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0954D">
      <w:pPr>
        <w:spacing w:line="360" w:lineRule="auto"/>
        <w:rPr>
          <w:rFonts w:hint="eastAsia" w:ascii="等线" w:hAnsi="等线" w:eastAsia="仿宋_GB2312"/>
          <w:sz w:val="44"/>
          <w:szCs w:val="44"/>
          <w:lang w:val="en-GB"/>
        </w:rPr>
      </w:pPr>
    </w:p>
    <w:p w14:paraId="582E7CFB">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307B22C0">
      <w:pPr>
        <w:spacing w:line="360" w:lineRule="auto"/>
        <w:jc w:val="center"/>
        <w:rPr>
          <w:b/>
          <w:sz w:val="52"/>
          <w:szCs w:val="52"/>
        </w:rPr>
      </w:pPr>
      <w:r>
        <w:rPr>
          <w:rFonts w:hint="eastAsia" w:ascii="黑体" w:hAnsi="黑体" w:eastAsia="黑体"/>
          <w:sz w:val="72"/>
          <w:szCs w:val="72"/>
        </w:rPr>
        <mc:AlternateContent>
          <mc:Choice Requires="wps">
            <w:drawing>
              <wp:anchor distT="0" distB="0" distL="114300" distR="114300" simplePos="0" relativeHeight="251660288" behindDoc="0" locked="0" layoutInCell="1" allowOverlap="1">
                <wp:simplePos x="0" y="0"/>
                <wp:positionH relativeFrom="column">
                  <wp:posOffset>212725</wp:posOffset>
                </wp:positionH>
                <wp:positionV relativeFrom="paragraph">
                  <wp:posOffset>12700</wp:posOffset>
                </wp:positionV>
                <wp:extent cx="5306060" cy="0"/>
                <wp:effectExtent l="0" t="9525" r="8890" b="9525"/>
                <wp:wrapNone/>
                <wp:docPr id="9"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a:effectLst/>
                      </wps:spPr>
                      <wps:bodyPr/>
                    </wps:wsp>
                  </a:graphicData>
                </a:graphic>
              </wp:anchor>
            </w:drawing>
          </mc:Choice>
          <mc:Fallback>
            <w:pict>
              <v:shape id="自选图形 14" o:spid="_x0000_s1026" o:spt="32" type="#_x0000_t32" style="position:absolute;left:0pt;margin-left:16.75pt;margin-top:1pt;height:0pt;width:417.8pt;z-index:251660288;mso-width-relative:page;mso-height-relative:page;" filled="f" stroked="t" coordsize="21600,21600" o:gfxdata="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a&#10;5F3l0QAAAAYBAAAPAAAAAAAAAAEAIAAAACIAAABkcnMvZG93bnJldi54bWxQSwECFAAUAAAACACH&#10;TuJAiP/B+vIBAADFAwAADgAAAAAAAAABACAAAAAgAQAAZHJzL2Uyb0RvYy54bWxQSwUGAAAAAAYA&#10;BgBZAQAAhAUAAAAA&#10;">
                <v:fill on="f" focussize="0,0"/>
                <v:stroke weight="1.5pt" color="#000000" joinstyle="round"/>
                <v:imagedata o:title=""/>
                <o:lock v:ext="edit" aspectratio="f"/>
              </v:shape>
            </w:pict>
          </mc:Fallback>
        </mc:AlternateContent>
      </w:r>
    </w:p>
    <w:p w14:paraId="227AC438">
      <w:pPr>
        <w:spacing w:line="800" w:lineRule="exact"/>
        <w:jc w:val="center"/>
        <w:rPr>
          <w:rFonts w:hint="eastAsia" w:ascii="华文中宋" w:hAnsi="华文中宋" w:eastAsia="华文中宋"/>
          <w:b/>
          <w:spacing w:val="200"/>
          <w:sz w:val="84"/>
          <w:szCs w:val="84"/>
        </w:rPr>
      </w:pPr>
    </w:p>
    <w:p w14:paraId="25196AA0">
      <w:pPr>
        <w:jc w:val="center"/>
        <w:rPr>
          <w:rFonts w:hint="eastAsia" w:ascii="华文中宋" w:hAnsi="华文中宋" w:eastAsia="华文中宋"/>
          <w:b/>
          <w:spacing w:val="200"/>
          <w:sz w:val="144"/>
          <w:szCs w:val="144"/>
        </w:rPr>
      </w:pPr>
      <w:r>
        <w:rPr>
          <w:rFonts w:hint="eastAsia" w:ascii="华文中宋" w:hAnsi="华文中宋" w:eastAsia="华文中宋"/>
          <w:b/>
          <w:spacing w:val="200"/>
          <w:sz w:val="144"/>
          <w:szCs w:val="144"/>
        </w:rPr>
        <w:t>招标文件</w:t>
      </w:r>
    </w:p>
    <w:p w14:paraId="36C47CCD">
      <w:pPr>
        <w:spacing w:line="600" w:lineRule="exact"/>
        <w:jc w:val="center"/>
        <w:rPr>
          <w:b/>
          <w:sz w:val="44"/>
          <w:szCs w:val="44"/>
        </w:rPr>
      </w:pPr>
    </w:p>
    <w:p w14:paraId="0F7201FA">
      <w:pPr>
        <w:spacing w:line="600" w:lineRule="exact"/>
        <w:rPr>
          <w:b/>
          <w:sz w:val="44"/>
          <w:szCs w:val="44"/>
        </w:rPr>
      </w:pPr>
    </w:p>
    <w:p w14:paraId="48FA7C03">
      <w:pPr>
        <w:spacing w:line="800" w:lineRule="exact"/>
        <w:ind w:left="907" w:leftChars="432"/>
        <w:rPr>
          <w:rFonts w:hint="eastAsia" w:ascii="楷体" w:hAnsi="楷体" w:eastAsia="楷体"/>
          <w:b/>
          <w:sz w:val="44"/>
          <w:szCs w:val="44"/>
          <w:lang w:val="en-GB"/>
        </w:rPr>
      </w:pPr>
      <w:r>
        <w:rPr>
          <w:rFonts w:hint="eastAsia" w:ascii="楷体" w:hAnsi="楷体" w:eastAsia="楷体"/>
          <w:b/>
          <w:sz w:val="44"/>
          <w:szCs w:val="44"/>
        </w:rPr>
        <w:t>项目名称：</w:t>
      </w:r>
      <w:r>
        <w:rPr>
          <w:rFonts w:ascii="楷体" w:hAnsi="楷体" w:eastAsia="楷体"/>
          <w:b/>
          <w:color w:val="000000"/>
          <w:sz w:val="44"/>
          <w:szCs w:val="44"/>
        </w:rPr>
        <w:t>办公区高低压配电系统维保服务采购</w:t>
      </w:r>
    </w:p>
    <w:p w14:paraId="486B82A4">
      <w:pPr>
        <w:spacing w:line="800" w:lineRule="exact"/>
        <w:ind w:left="907" w:leftChars="432"/>
        <w:rPr>
          <w:rFonts w:hint="eastAsia" w:ascii="楷体" w:hAnsi="楷体" w:eastAsia="楷体"/>
          <w:b/>
          <w:sz w:val="44"/>
          <w:szCs w:val="44"/>
          <w:lang w:val="en-GB" w:eastAsia="zh-CN"/>
        </w:rPr>
      </w:pPr>
      <w:r>
        <w:rPr>
          <w:rFonts w:hint="eastAsia" w:ascii="楷体" w:hAnsi="楷体" w:eastAsia="楷体"/>
          <w:b/>
          <w:sz w:val="44"/>
          <w:szCs w:val="44"/>
        </w:rPr>
        <w:t>项目编号：</w:t>
      </w:r>
      <w:r>
        <w:rPr>
          <w:rFonts w:hint="eastAsia" w:ascii="楷体" w:hAnsi="楷体" w:eastAsia="楷体"/>
          <w:b/>
          <w:color w:val="000000"/>
          <w:sz w:val="44"/>
          <w:szCs w:val="44"/>
          <w:lang w:eastAsia="zh-CN"/>
        </w:rPr>
        <w:t>LZZC2025-G3-990171-LZSZ</w:t>
      </w:r>
    </w:p>
    <w:p w14:paraId="44D68EAC">
      <w:pPr>
        <w:spacing w:line="800" w:lineRule="exact"/>
        <w:rPr>
          <w:rFonts w:hint="eastAsia" w:ascii="楷体" w:hAnsi="楷体" w:eastAsia="楷体"/>
          <w:b/>
          <w:sz w:val="44"/>
          <w:szCs w:val="44"/>
        </w:rPr>
      </w:pPr>
    </w:p>
    <w:p w14:paraId="0B3FDE3C">
      <w:pPr>
        <w:spacing w:line="800" w:lineRule="exact"/>
        <w:ind w:firstLine="663" w:firstLineChars="150"/>
        <w:jc w:val="center"/>
        <w:rPr>
          <w:rFonts w:hint="eastAsia" w:ascii="楷体" w:hAnsi="楷体" w:eastAsia="楷体"/>
          <w:b/>
          <w:sz w:val="44"/>
          <w:szCs w:val="44"/>
          <w:lang w:val="en-GB"/>
        </w:rPr>
      </w:pPr>
      <w:r>
        <w:rPr>
          <w:rFonts w:hint="eastAsia" w:ascii="楷体" w:hAnsi="楷体" w:eastAsia="楷体"/>
          <w:b/>
          <w:sz w:val="44"/>
          <w:szCs w:val="44"/>
        </w:rPr>
        <w:t>采购人：</w:t>
      </w:r>
      <w:r>
        <w:rPr>
          <w:rFonts w:ascii="楷体" w:hAnsi="楷体" w:eastAsia="楷体"/>
          <w:b/>
          <w:sz w:val="44"/>
          <w:szCs w:val="44"/>
        </w:rPr>
        <w:t>柳州市市直机关保障中心</w:t>
      </w:r>
    </w:p>
    <w:p w14:paraId="60F9EC2E">
      <w:pPr>
        <w:spacing w:line="800" w:lineRule="exact"/>
        <w:ind w:firstLine="658" w:firstLineChars="149"/>
        <w:rPr>
          <w:rFonts w:hint="eastAsia" w:ascii="楷体" w:hAnsi="楷体" w:eastAsia="楷体"/>
          <w:b/>
          <w:sz w:val="44"/>
          <w:szCs w:val="44"/>
        </w:rPr>
      </w:pPr>
      <w:r>
        <w:rPr>
          <w:rFonts w:hint="eastAsia" w:ascii="楷体" w:hAnsi="楷体" w:eastAsia="楷体"/>
          <w:b/>
          <w:sz w:val="44"/>
          <w:szCs w:val="44"/>
        </w:rPr>
        <w:t>采购代理机构：柳州市政府集中采购中心</w:t>
      </w:r>
    </w:p>
    <w:p w14:paraId="24BC30BA">
      <w:pPr>
        <w:spacing w:line="600" w:lineRule="exact"/>
        <w:jc w:val="center"/>
        <w:rPr>
          <w:rFonts w:hint="eastAsia" w:ascii="楷体" w:hAnsi="楷体" w:eastAsia="楷体"/>
          <w:b/>
          <w:sz w:val="44"/>
          <w:szCs w:val="44"/>
        </w:rPr>
      </w:pPr>
    </w:p>
    <w:p w14:paraId="074F86A8">
      <w:pPr>
        <w:spacing w:line="600" w:lineRule="exact"/>
        <w:jc w:val="center"/>
        <w:rPr>
          <w:rFonts w:hint="eastAsia" w:ascii="楷体" w:hAnsi="楷体" w:eastAsia="楷体"/>
          <w:b/>
          <w:sz w:val="44"/>
          <w:szCs w:val="44"/>
        </w:rPr>
      </w:pPr>
      <w:r>
        <w:rPr>
          <w:rFonts w:ascii="楷体" w:hAnsi="楷体" w:eastAsia="楷体"/>
          <w:b/>
          <w:sz w:val="44"/>
          <w:szCs w:val="44"/>
        </w:rPr>
        <w:t>202</w:t>
      </w:r>
      <w:r>
        <w:rPr>
          <w:rFonts w:hint="eastAsia" w:ascii="楷体" w:hAnsi="楷体" w:eastAsia="楷体"/>
          <w:b/>
          <w:sz w:val="44"/>
          <w:szCs w:val="44"/>
          <w:lang w:val="en-US" w:eastAsia="zh-CN"/>
        </w:rPr>
        <w:t>5</w:t>
      </w:r>
      <w:r>
        <w:rPr>
          <w:rFonts w:ascii="楷体" w:hAnsi="楷体" w:eastAsia="楷体"/>
          <w:b/>
          <w:sz w:val="44"/>
          <w:szCs w:val="44"/>
        </w:rPr>
        <w:t>年XX月XX日</w:t>
      </w:r>
    </w:p>
    <w:p w14:paraId="6AB17395">
      <w:pPr>
        <w:widowControl/>
        <w:jc w:val="left"/>
        <w:rPr>
          <w:rFonts w:hint="eastAsia" w:ascii="楷体" w:hAnsi="楷体" w:eastAsia="楷体"/>
          <w:b/>
          <w:sz w:val="44"/>
          <w:szCs w:val="44"/>
        </w:rPr>
      </w:pPr>
      <w:r>
        <w:rPr>
          <w:rFonts w:ascii="楷体" w:hAnsi="楷体" w:eastAsia="楷体"/>
          <w:b/>
          <w:sz w:val="44"/>
          <w:szCs w:val="44"/>
        </w:rPr>
        <w:br w:type="page"/>
      </w:r>
    </w:p>
    <w:p w14:paraId="414E3B64">
      <w:pPr>
        <w:spacing w:line="600" w:lineRule="exact"/>
        <w:jc w:val="center"/>
        <w:rPr>
          <w:rFonts w:hint="eastAsia" w:ascii="楷体" w:hAnsi="楷体" w:eastAsia="楷体"/>
          <w:b/>
          <w:sz w:val="44"/>
          <w:szCs w:val="44"/>
        </w:rPr>
      </w:pPr>
    </w:p>
    <w:p w14:paraId="2C4B08E2">
      <w:pPr>
        <w:spacing w:line="360" w:lineRule="auto"/>
        <w:rPr>
          <w:b/>
          <w:sz w:val="52"/>
          <w:szCs w:val="52"/>
        </w:rPr>
        <w:sectPr>
          <w:headerReference r:id="rId3" w:type="first"/>
          <w:footerReference r:id="rId4" w:type="even"/>
          <w:pgSz w:w="11906" w:h="16838"/>
          <w:pgMar w:top="1440" w:right="1440" w:bottom="1440" w:left="1440" w:header="851" w:footer="992" w:gutter="0"/>
          <w:cols w:space="720" w:num="1"/>
          <w:docGrid w:type="lines" w:linePitch="312" w:charSpace="0"/>
        </w:sectPr>
      </w:pPr>
    </w:p>
    <w:p w14:paraId="2E593CCA">
      <w:pPr>
        <w:spacing w:line="360" w:lineRule="auto"/>
        <w:jc w:val="center"/>
        <w:rPr>
          <w:b/>
          <w:sz w:val="52"/>
          <w:szCs w:val="52"/>
        </w:rPr>
      </w:pPr>
    </w:p>
    <w:p w14:paraId="0C94E6CA">
      <w:pPr>
        <w:spacing w:line="360" w:lineRule="auto"/>
        <w:jc w:val="center"/>
        <w:rPr>
          <w:b/>
          <w:sz w:val="52"/>
          <w:szCs w:val="52"/>
        </w:rPr>
      </w:pPr>
      <w:r>
        <w:rPr>
          <w:rFonts w:hint="eastAsia"/>
          <w:b/>
          <w:sz w:val="52"/>
          <w:szCs w:val="52"/>
        </w:rPr>
        <w:t>目  录</w:t>
      </w:r>
    </w:p>
    <w:p w14:paraId="3ADDA75B">
      <w:pPr>
        <w:spacing w:line="360" w:lineRule="auto"/>
        <w:jc w:val="center"/>
        <w:rPr>
          <w:b/>
          <w:sz w:val="52"/>
          <w:szCs w:val="52"/>
        </w:rPr>
      </w:pPr>
    </w:p>
    <w:p w14:paraId="13EA76E3">
      <w:pPr>
        <w:pStyle w:val="33"/>
        <w:tabs>
          <w:tab w:val="right" w:leader="dot" w:pos="974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"_Toc29306" </w:instrText>
      </w:r>
      <w:r>
        <w:fldChar w:fldCharType="separate"/>
      </w:r>
      <w:r>
        <w:rPr>
          <w:rFonts w:hint="eastAsia" w:ascii="仿宋_GB2312" w:hAnsi="仿宋_GB2312" w:eastAsia="仿宋_GB2312" w:cs="仿宋_GB2312"/>
          <w:sz w:val="32"/>
          <w:szCs w:val="32"/>
        </w:rPr>
        <w:t>第一章 公开招标公告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_Toc29306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E656780">
      <w:pPr>
        <w:pStyle w:val="33"/>
        <w:tabs>
          <w:tab w:val="right" w:leader="dot" w:pos="9746"/>
        </w:tabs>
        <w:spacing w:line="360" w:lineRule="auto"/>
        <w:rPr>
          <w:rFonts w:hint="eastAsia" w:ascii="仿宋_GB2312" w:hAnsi="仿宋_GB2312" w:eastAsia="仿宋_GB2312" w:cs="仿宋_GB2312"/>
          <w:sz w:val="32"/>
          <w:szCs w:val="32"/>
        </w:rPr>
      </w:pPr>
      <w:r>
        <w:fldChar w:fldCharType="begin"/>
      </w:r>
      <w:r>
        <w:instrText xml:space="preserve"> HYPERLINK \l "_Toc13541" </w:instrText>
      </w:r>
      <w:r>
        <w:fldChar w:fldCharType="separate"/>
      </w:r>
      <w:r>
        <w:rPr>
          <w:rFonts w:hint="eastAsia" w:ascii="仿宋_GB2312" w:hAnsi="仿宋_GB2312" w:eastAsia="仿宋_GB2312" w:cs="仿宋_GB2312"/>
          <w:sz w:val="32"/>
          <w:szCs w:val="32"/>
        </w:rPr>
        <w:t>第二章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fldChar w:fldCharType="end"/>
      </w:r>
    </w:p>
    <w:p w14:paraId="771EBB58">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"_Toc29711" </w:instrText>
      </w:r>
      <w:r>
        <w:fldChar w:fldCharType="separate"/>
      </w:r>
      <w:r>
        <w:rPr>
          <w:rFonts w:hint="eastAsia" w:ascii="仿宋_GB2312" w:hAnsi="仿宋_GB2312" w:eastAsia="仿宋_GB2312" w:cs="仿宋_GB2312"/>
          <w:sz w:val="32"/>
          <w:szCs w:val="32"/>
        </w:rPr>
        <w:t>第三章 投标人须知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7</w:t>
      </w:r>
    </w:p>
    <w:p w14:paraId="44D45300">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"_Toc27328" </w:instrText>
      </w:r>
      <w:r>
        <w:fldChar w:fldCharType="separate"/>
      </w:r>
      <w:r>
        <w:rPr>
          <w:rFonts w:hint="eastAsia" w:ascii="仿宋_GB2312" w:hAnsi="仿宋_GB2312" w:eastAsia="仿宋_GB2312" w:cs="仿宋_GB2312"/>
          <w:sz w:val="32"/>
          <w:szCs w:val="32"/>
        </w:rPr>
        <w:t>第四章 评标方法及评标标准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0BC5CFDA">
      <w:pPr>
        <w:pStyle w:val="33"/>
        <w:tabs>
          <w:tab w:val="right" w:leader="dot" w:pos="974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"_Toc21458" </w:instrText>
      </w:r>
      <w:r>
        <w:fldChar w:fldCharType="separate"/>
      </w:r>
      <w:r>
        <w:rPr>
          <w:rFonts w:hint="eastAsia" w:ascii="仿宋_GB2312" w:hAnsi="仿宋_GB2312" w:eastAsia="仿宋_GB2312" w:cs="仿宋_GB2312"/>
          <w:sz w:val="32"/>
          <w:szCs w:val="32"/>
        </w:rPr>
        <w:t>第五章 合同主要条款格式及广西壮族自治区政府采购项目合同验收书格式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8</w:t>
      </w:r>
    </w:p>
    <w:p w14:paraId="3D909F2A">
      <w:pPr>
        <w:pStyle w:val="33"/>
        <w:tabs>
          <w:tab w:val="right" w:leader="dot" w:pos="9016"/>
        </w:tabs>
        <w:spacing w:line="360" w:lineRule="auto"/>
        <w:rPr>
          <w:rFonts w:hint="eastAsia" w:ascii="仿宋_GB2312" w:hAnsi="宋体" w:eastAsia="仿宋_GB2312"/>
          <w:b w:val="0"/>
          <w:bCs w:val="0"/>
          <w:caps w:val="0"/>
          <w:sz w:val="32"/>
          <w:szCs w:val="32"/>
        </w:rPr>
      </w:pPr>
      <w:r>
        <w:rPr>
          <w:rFonts w:hint="eastAsia" w:ascii="仿宋_GB2312" w:hAnsi="仿宋_GB2312" w:eastAsia="仿宋_GB2312" w:cs="仿宋_GB2312"/>
          <w:sz w:val="32"/>
          <w:szCs w:val="32"/>
        </w:rPr>
        <w:fldChar w:fldCharType="end"/>
      </w:r>
      <w:r>
        <w:rPr>
          <w:rFonts w:hint="eastAsia" w:ascii="仿宋_GB2312" w:hAnsi="宋体" w:eastAsia="仿宋_GB2312"/>
          <w:b w:val="0"/>
          <w:bCs w:val="0"/>
          <w:caps w:val="0"/>
          <w:sz w:val="32"/>
          <w:szCs w:val="32"/>
        </w:rPr>
        <w:t xml:space="preserve"> </w:t>
      </w:r>
    </w:p>
    <w:p w14:paraId="12947CCD"/>
    <w:p w14:paraId="0F272DC2"/>
    <w:p w14:paraId="7E1786EF"/>
    <w:p w14:paraId="14DA6C48"/>
    <w:p w14:paraId="046121FD"/>
    <w:p w14:paraId="60D7C784"/>
    <w:p w14:paraId="6B748A6B"/>
    <w:p w14:paraId="234F184B"/>
    <w:p w14:paraId="78A04106"/>
    <w:p w14:paraId="714DCD45"/>
    <w:p w14:paraId="6D1FB1E4"/>
    <w:p w14:paraId="4BE6E61B">
      <w:pPr>
        <w:widowControl/>
        <w:jc w:val="left"/>
      </w:pPr>
      <w:r>
        <w:br w:type="page"/>
      </w:r>
    </w:p>
    <w:p w14:paraId="715A541B"/>
    <w:p w14:paraId="05822D24"/>
    <w:p w14:paraId="303FDC4F">
      <w:pPr>
        <w:sectPr>
          <w:headerReference r:id="rId5" w:type="default"/>
          <w:footerReference r:id="rId6" w:type="default"/>
          <w:pgSz w:w="11906" w:h="16838"/>
          <w:pgMar w:top="1440" w:right="1440" w:bottom="1440" w:left="1440" w:header="851" w:footer="992" w:gutter="0"/>
          <w:cols w:space="720" w:num="1"/>
          <w:docGrid w:linePitch="312" w:charSpace="0"/>
        </w:sectPr>
      </w:pPr>
    </w:p>
    <w:p w14:paraId="050C5A28">
      <w:pPr>
        <w:rPr>
          <w:lang w:val="en-GB"/>
        </w:rPr>
      </w:pPr>
    </w:p>
    <w:p w14:paraId="2A6DDFB5">
      <w:pPr>
        <w:pStyle w:val="4"/>
        <w:spacing w:line="276" w:lineRule="auto"/>
        <w:jc w:val="center"/>
        <w:rPr>
          <w:sz w:val="32"/>
          <w:szCs w:val="32"/>
        </w:rPr>
      </w:pPr>
      <w:bookmarkStart w:id="0" w:name="_Toc29306"/>
      <w:r>
        <w:rPr>
          <w:rFonts w:hint="eastAsia"/>
          <w:sz w:val="32"/>
          <w:szCs w:val="32"/>
        </w:rPr>
        <w:t>第一章 公开招标公告</w:t>
      </w:r>
      <w:bookmarkEnd w:id="0"/>
    </w:p>
    <w:p w14:paraId="55A4AC85">
      <w:pPr>
        <w:pStyle w:val="5"/>
        <w:spacing w:line="240" w:lineRule="auto"/>
        <w:ind w:right="-21" w:rightChars="-10"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49EA728A">
      <w:pPr>
        <w:spacing w:line="400" w:lineRule="exact"/>
        <w:ind w:right="-21" w:rightChars="-10" w:firstLine="555"/>
        <w:rPr>
          <w:rFonts w:ascii="仿宋_GB2312" w:eastAsia="仿宋_GB2312"/>
          <w:sz w:val="28"/>
          <w:szCs w:val="28"/>
          <w:u w:val="single"/>
        </w:rPr>
      </w:pPr>
      <w:bookmarkStart w:id="1" w:name="_Hlk50568865"/>
      <w:r>
        <w:rPr>
          <w:rFonts w:ascii="仿宋_GB2312" w:eastAsia="仿宋_GB2312"/>
          <w:sz w:val="28"/>
          <w:szCs w:val="28"/>
        </w:rPr>
        <w:t>办公区高低压配电系统维保服务采购</w:t>
      </w:r>
      <w:r>
        <w:rPr>
          <w:rFonts w:hint="eastAsia" w:ascii="仿宋_GB2312" w:eastAsia="仿宋_GB2312"/>
          <w:sz w:val="28"/>
          <w:szCs w:val="28"/>
        </w:rPr>
        <w:t>项目的潜在投标人应在广西政府采购云平台（https://www.gcy.zfcg.gxzf.gov.cn/）获取招标文件，并于</w:t>
      </w:r>
      <w:r>
        <w:rPr>
          <w:rFonts w:ascii="仿宋_GB2312" w:eastAsia="仿宋_GB2312"/>
          <w:sz w:val="28"/>
          <w:szCs w:val="28"/>
        </w:rPr>
        <w:t>202</w:t>
      </w:r>
      <w:r>
        <w:rPr>
          <w:rFonts w:hint="eastAsia" w:ascii="仿宋_GB2312" w:eastAsia="仿宋_GB2312"/>
          <w:sz w:val="28"/>
          <w:szCs w:val="28"/>
          <w:lang w:val="en-US" w:eastAsia="zh-CN"/>
        </w:rPr>
        <w:t>5</w:t>
      </w:r>
      <w:r>
        <w:rPr>
          <w:rFonts w:ascii="仿宋_GB2312" w:eastAsia="仿宋_GB2312"/>
          <w:sz w:val="28"/>
          <w:szCs w:val="28"/>
        </w:rPr>
        <w:t>年XX月XX日 09:20</w:t>
      </w:r>
      <w:r>
        <w:rPr>
          <w:rFonts w:hint="eastAsia" w:ascii="仿宋_GB2312" w:eastAsia="仿宋_GB2312"/>
          <w:sz w:val="28"/>
          <w:szCs w:val="28"/>
        </w:rPr>
        <w:t>（北京时间）前</w:t>
      </w:r>
      <w:bookmarkEnd w:id="1"/>
      <w:r>
        <w:rPr>
          <w:rFonts w:hint="eastAsia" w:ascii="仿宋_GB2312" w:hAnsi="仿宋_GB2312" w:eastAsia="仿宋_GB2312" w:cs="仿宋_GB2312"/>
          <w:sz w:val="28"/>
          <w:szCs w:val="28"/>
        </w:rPr>
        <w:t>在线提交投标文件</w:t>
      </w:r>
      <w:r>
        <w:rPr>
          <w:rFonts w:hint="eastAsia" w:ascii="仿宋_GB2312" w:eastAsia="仿宋_GB2312"/>
          <w:sz w:val="28"/>
          <w:szCs w:val="28"/>
        </w:rPr>
        <w:t>。</w:t>
      </w:r>
    </w:p>
    <w:p w14:paraId="49BF84C3">
      <w:pPr>
        <w:spacing w:line="400" w:lineRule="exact"/>
        <w:ind w:right="-21" w:rightChars="-10"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3BECC85B">
      <w:pPr>
        <w:pStyle w:val="96"/>
        <w:spacing w:line="400" w:lineRule="exact"/>
        <w:ind w:right="-21" w:rightChars="-10" w:firstLine="560"/>
        <w:rPr>
          <w:rFonts w:hint="eastAsia" w:ascii="仿宋_GB2312" w:eastAsia="仿宋_GB2312"/>
          <w:sz w:val="28"/>
          <w:szCs w:val="28"/>
          <w:lang w:eastAsia="zh-CN"/>
        </w:rPr>
      </w:pPr>
      <w:r>
        <w:rPr>
          <w:rFonts w:hint="eastAsia" w:ascii="仿宋_GB2312" w:eastAsia="仿宋_GB2312"/>
          <w:sz w:val="28"/>
          <w:szCs w:val="28"/>
        </w:rPr>
        <w:t>项目编号：</w:t>
      </w:r>
      <w:r>
        <w:rPr>
          <w:rFonts w:hint="eastAsia" w:ascii="仿宋_GB2312" w:eastAsia="仿宋_GB2312"/>
          <w:sz w:val="28"/>
          <w:szCs w:val="28"/>
          <w:lang w:eastAsia="zh-CN"/>
        </w:rPr>
        <w:t>LZZC2025-G3-990171-LZSZ</w:t>
      </w:r>
    </w:p>
    <w:p w14:paraId="423DEF42">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办公区高低压配电系统维保服务采购</w:t>
      </w:r>
    </w:p>
    <w:p w14:paraId="5260557E">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rPr>
        <w:t>预算总金额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1256000</w:t>
      </w:r>
    </w:p>
    <w:p w14:paraId="79507CD3">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采购需求：</w:t>
      </w:r>
    </w:p>
    <w:p w14:paraId="7412EBC8">
      <w:pPr>
        <w:numPr>
          <w:ilvl w:val="0"/>
          <w:numId w:val="0"/>
        </w:numPr>
        <w:spacing w:line="400" w:lineRule="exact"/>
        <w:jc w:val="left"/>
        <w:rPr>
          <w:rFonts w:hint="default" w:ascii="仿宋" w:hAnsi="仿宋" w:eastAsia="仿宋" w:cs="Times New Roman"/>
          <w:bCs/>
          <w:kern w:val="2"/>
          <w:sz w:val="24"/>
          <w:szCs w:val="24"/>
          <w:lang w:val="en-US" w:eastAsia="zh-CN" w:bidi="ar-SA"/>
        </w:rPr>
      </w:pPr>
      <w:r>
        <w:rPr>
          <w:rFonts w:ascii="仿宋" w:hAnsi="仿宋" w:eastAsia="仿宋"/>
          <w:bCs/>
          <w:sz w:val="24"/>
        </w:rPr>
        <w:t>标项名称：办公区高低压配电系统维保服务采购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预算金额（元）：1256000
</w:t>
      </w:r>
      <w:r>
        <w:rPr>
          <w:rFonts w:ascii="仿宋" w:hAnsi="仿宋" w:eastAsia="仿宋"/>
          <w:bCs/>
          <w:sz w:val="24"/>
        </w:rPr>
        <w:cr/>
      </w:r>
      <w:r>
        <w:rPr>
          <w:rFonts w:ascii="仿宋" w:hAnsi="仿宋" w:eastAsia="仿宋"/>
          <w:bCs/>
          <w:sz w:val="24"/>
        </w:rPr>
        <w:t>简要规格描述或项目基本概况介绍、用途：</w:t>
      </w:r>
      <w:r>
        <w:rPr>
          <w:rFonts w:hint="eastAsia" w:ascii="仿宋" w:hAnsi="仿宋" w:eastAsia="仿宋"/>
          <w:bCs/>
          <w:sz w:val="24"/>
        </w:rPr>
        <w:t>办公区高低压配电系统维保服务采购</w:t>
      </w:r>
      <w:r>
        <w:rPr>
          <w:rFonts w:ascii="仿宋" w:hAnsi="仿宋" w:eastAsia="仿宋"/>
          <w:bCs/>
          <w:sz w:val="24"/>
        </w:rPr>
        <w:t>1项（具体内容详见招标文件第二章《采购需求》）
</w:t>
      </w:r>
      <w:r>
        <w:rPr>
          <w:rFonts w:ascii="仿宋" w:hAnsi="仿宋" w:eastAsia="仿宋"/>
          <w:bCs/>
          <w:sz w:val="24"/>
        </w:rPr>
        <w:cr/>
      </w:r>
      <w:r>
        <w:rPr>
          <w:rFonts w:ascii="仿宋" w:hAnsi="仿宋" w:eastAsia="仿宋"/>
          <w:bCs/>
          <w:sz w:val="24"/>
        </w:rPr>
        <w:t>最高限价（元）：1256000</w:t>
      </w:r>
      <w:r>
        <w:rPr>
          <w:rFonts w:ascii="仿宋" w:hAnsi="仿宋" w:eastAsia="仿宋"/>
          <w:bCs/>
          <w:sz w:val="24"/>
        </w:rPr>
        <w:cr/>
      </w:r>
      <w:r>
        <w:rPr>
          <w:rFonts w:ascii="仿宋" w:hAnsi="仿宋" w:eastAsia="仿宋"/>
          <w:bCs/>
          <w:sz w:val="24"/>
        </w:rPr>
        <w:t>合同履约期限：</w:t>
      </w:r>
      <w:r>
        <w:rPr>
          <w:rFonts w:hint="default" w:ascii="仿宋" w:hAnsi="仿宋" w:eastAsia="仿宋" w:cs="Times New Roman"/>
          <w:bCs/>
          <w:kern w:val="2"/>
          <w:sz w:val="24"/>
          <w:szCs w:val="24"/>
          <w:lang w:val="en-US" w:eastAsia="zh-CN" w:bidi="ar-SA"/>
        </w:rPr>
        <w:t>1.除三中路66号办公区外，其余服务区域自提供服务之日起2年，具体服务起止时间以合同约定日期为准；</w:t>
      </w:r>
    </w:p>
    <w:p w14:paraId="4E8974FC">
      <w:pPr>
        <w:numPr>
          <w:ilvl w:val="0"/>
          <w:numId w:val="0"/>
        </w:numPr>
        <w:spacing w:line="400" w:lineRule="exact"/>
        <w:ind w:right="0" w:rightChars="0" w:firstLine="1680" w:firstLineChars="700"/>
        <w:jc w:val="left"/>
        <w:rPr>
          <w:rFonts w:ascii="仿宋" w:hAnsi="仿宋" w:eastAsia="仿宋"/>
          <w:bCs/>
          <w:sz w:val="24"/>
        </w:rPr>
      </w:pPr>
      <w:r>
        <w:rPr>
          <w:rFonts w:hint="eastAsia" w:ascii="仿宋" w:hAnsi="仿宋" w:eastAsia="仿宋" w:cs="Times New Roman"/>
          <w:bCs/>
          <w:kern w:val="2"/>
          <w:sz w:val="24"/>
          <w:szCs w:val="24"/>
          <w:lang w:val="en-US" w:eastAsia="zh-CN" w:bidi="ar-SA"/>
        </w:rPr>
        <w:t>2.</w:t>
      </w:r>
      <w:r>
        <w:rPr>
          <w:rFonts w:hint="default" w:ascii="仿宋" w:hAnsi="仿宋" w:eastAsia="仿宋" w:cs="Times New Roman"/>
          <w:bCs/>
          <w:kern w:val="2"/>
          <w:sz w:val="24"/>
          <w:szCs w:val="24"/>
          <w:lang w:val="en-US" w:eastAsia="zh-CN" w:bidi="ar-SA"/>
        </w:rPr>
        <w:t>三中路66号办公区，预计自2025年12月1起维保，与其它办公区同时间结束，具体服务起止时间以合同约定日期为准。</w:t>
      </w:r>
      <w:r>
        <w:rPr>
          <w:rFonts w:ascii="仿宋" w:hAnsi="仿宋" w:eastAsia="仿宋"/>
          <w:bCs/>
          <w:sz w:val="24"/>
        </w:rPr>
        <w:t xml:space="preserve"> </w:t>
      </w:r>
    </w:p>
    <w:p w14:paraId="6AAAE0BF">
      <w:pPr>
        <w:numPr>
          <w:ilvl w:val="-1"/>
          <w:numId w:val="0"/>
        </w:numPr>
        <w:spacing w:line="400" w:lineRule="exact"/>
        <w:ind w:right="-21" w:rightChars="-10" w:firstLine="0" w:firstLineChars="0"/>
        <w:rPr>
          <w:rFonts w:ascii="仿宋_GB2312" w:eastAsia="仿宋_GB2312"/>
          <w:b/>
          <w:sz w:val="28"/>
          <w:szCs w:val="28"/>
        </w:rPr>
      </w:pP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6AEAE70F">
      <w:pPr>
        <w:pStyle w:val="5"/>
        <w:spacing w:line="400" w:lineRule="exact"/>
        <w:ind w:right="-21" w:rightChars="-10"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71944AB">
      <w:pPr>
        <w:pStyle w:val="96"/>
        <w:spacing w:line="400" w:lineRule="exact"/>
        <w:ind w:right="-21" w:rightChars="-10"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34C03CFD">
      <w:pPr>
        <w:pStyle w:val="96"/>
        <w:spacing w:line="400" w:lineRule="exact"/>
        <w:ind w:right="-21" w:rightChars="-10" w:firstLine="56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hint="eastAsia" w:ascii="仿宋_GB2312" w:hAnsi="仿宋_GB2312" w:eastAsia="仿宋_GB2312" w:cs="仿宋_GB2312"/>
          <w:b/>
          <w:bCs/>
          <w:sz w:val="28"/>
          <w:szCs w:val="28"/>
        </w:rPr>
        <w:t>本项目</w:t>
      </w:r>
      <w:r>
        <w:rPr>
          <w:rFonts w:hint="eastAsia" w:ascii="仿宋_GB2312" w:hAnsi="仿宋_GB2312" w:eastAsia="仿宋_GB2312" w:cs="仿宋_GB2312"/>
          <w:b/>
          <w:bCs/>
          <w:sz w:val="28"/>
          <w:szCs w:val="28"/>
          <w:highlight w:val="none"/>
        </w:rPr>
        <w:t>属于专门面向中小企业采购的项目，监狱企业、残疾人福利单位视同小型、微型企业；中小企业须符合本项目采购标的所属行业对应的中小企业划分标准；</w:t>
      </w:r>
    </w:p>
    <w:p w14:paraId="38890A5B">
      <w:pPr>
        <w:pStyle w:val="96"/>
        <w:spacing w:line="400" w:lineRule="exact"/>
        <w:ind w:right="-21" w:rightChars="-10" w:firstLine="560"/>
        <w:rPr>
          <w:rFonts w:ascii="仿宋_GB2312" w:eastAsia="仿宋_GB2312"/>
          <w:sz w:val="28"/>
          <w:szCs w:val="28"/>
        </w:rPr>
      </w:pPr>
      <w:r>
        <w:rPr>
          <w:rFonts w:hint="eastAsia" w:ascii="仿宋_GB2312" w:eastAsia="仿宋_GB2312"/>
          <w:sz w:val="28"/>
          <w:szCs w:val="28"/>
          <w:highlight w:val="none"/>
        </w:rPr>
        <w:t>3</w:t>
      </w:r>
      <w:r>
        <w:rPr>
          <w:rFonts w:ascii="仿宋_GB2312" w:eastAsia="仿宋_GB2312"/>
          <w:sz w:val="28"/>
          <w:szCs w:val="28"/>
          <w:highlight w:val="none"/>
        </w:rPr>
        <w:t>.</w:t>
      </w:r>
      <w:r>
        <w:rPr>
          <w:rFonts w:hint="eastAsia" w:ascii="仿宋_GB2312" w:eastAsia="仿宋_GB2312"/>
          <w:sz w:val="28"/>
          <w:szCs w:val="28"/>
          <w:highlight w:val="none"/>
        </w:rPr>
        <w:t>本项目的特定资格要求：</w:t>
      </w:r>
      <w:r>
        <w:rPr>
          <w:rFonts w:hint="eastAsia" w:ascii="仿宋_GB2312" w:eastAsia="仿宋_GB2312"/>
          <w:sz w:val="28"/>
          <w:szCs w:val="28"/>
          <w:highlight w:val="none"/>
          <w:lang w:val="en-US" w:eastAsia="zh-CN"/>
        </w:rPr>
        <w:t>投标人</w:t>
      </w:r>
      <w:r>
        <w:rPr>
          <w:rFonts w:ascii="仿宋_GB2312" w:eastAsia="仿宋_GB2312"/>
          <w:sz w:val="28"/>
          <w:szCs w:val="28"/>
          <w:highlight w:val="none"/>
        </w:rPr>
        <w:t>具有国家能源局或其派出机构颁发的五级及以上《承装（修、试）电力设施许可证》（至少包含承修类）</w:t>
      </w:r>
      <w:r>
        <w:rPr>
          <w:rFonts w:ascii="仿宋_GB2312" w:eastAsia="仿宋_GB2312"/>
          <w:sz w:val="28"/>
          <w:szCs w:val="28"/>
        </w:rPr>
        <w:t>；</w:t>
      </w:r>
    </w:p>
    <w:p w14:paraId="242DA8E0">
      <w:pPr>
        <w:pStyle w:val="5"/>
        <w:spacing w:line="400" w:lineRule="exact"/>
        <w:ind w:right="-21" w:rightChars="-10"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获取招标文件</w:t>
      </w:r>
    </w:p>
    <w:p w14:paraId="63440D11">
      <w:pPr>
        <w:spacing w:line="400" w:lineRule="exact"/>
        <w:ind w:right="-21" w:rightChars="-10"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rPr>
        <w:t>XX年XX月XX日</w:t>
      </w:r>
      <w:r>
        <w:rPr>
          <w:rFonts w:hint="eastAsia" w:ascii="仿宋_GB2312" w:eastAsia="仿宋_GB2312"/>
          <w:sz w:val="28"/>
          <w:szCs w:val="28"/>
        </w:rPr>
        <w:t>至</w:t>
      </w:r>
      <w:r>
        <w:rPr>
          <w:rFonts w:ascii="仿宋_GB2312" w:hAnsi="Calibri" w:eastAsia="仿宋_GB2312"/>
          <w:sz w:val="28"/>
          <w:szCs w:val="28"/>
        </w:rPr>
        <w:t>XX年XX月XX日</w:t>
      </w:r>
      <w:r>
        <w:rPr>
          <w:rFonts w:hint="eastAsia" w:ascii="仿宋_GB2312" w:hAnsi="仿宋_GB2312" w:eastAsia="仿宋_GB2312" w:cs="仿宋_GB2312"/>
          <w:color w:val="000000"/>
          <w:sz w:val="28"/>
          <w:szCs w:val="28"/>
        </w:rPr>
        <w:t>，每天上午08:00至12:00，下午12:00至</w:t>
      </w:r>
      <w:r>
        <w:rPr>
          <w:rFonts w:hint="eastAsia" w:ascii="仿宋_GB2312" w:hAnsi="仿宋_GB2312" w:eastAsia="仿宋_GB2312" w:cs="仿宋_GB2312"/>
          <w:sz w:val="28"/>
          <w:szCs w:val="28"/>
        </w:rPr>
        <w:t>21:00</w:t>
      </w:r>
      <w:r>
        <w:rPr>
          <w:rFonts w:hint="eastAsia" w:ascii="仿宋_GB2312" w:hAnsi="仿宋_GB2312" w:eastAsia="仿宋_GB2312" w:cs="仿宋_GB2312"/>
          <w:color w:val="000000"/>
          <w:sz w:val="28"/>
          <w:szCs w:val="28"/>
        </w:rPr>
        <w:t>（北京时间，法定节假日除外）</w:t>
      </w:r>
    </w:p>
    <w:p w14:paraId="1D1085E6">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地点（网址）：</w:t>
      </w:r>
      <w:r>
        <w:rPr>
          <w:rFonts w:hint="eastAsia" w:ascii="仿宋_GB2312" w:hAnsi="仿宋_GB2312" w:eastAsia="仿宋_GB2312" w:cs="仿宋_GB2312"/>
          <w:sz w:val="28"/>
          <w:szCs w:val="28"/>
        </w:rPr>
        <w:t>广西政府采购云平台（https://www.gcy.zfcg.gxzf.gov.cn/）</w:t>
      </w:r>
    </w:p>
    <w:p w14:paraId="02B07791">
      <w:pPr>
        <w:spacing w:line="480" w:lineRule="exact"/>
        <w:ind w:right="-21" w:rightChars="-10"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方式：</w:t>
      </w:r>
      <w:r>
        <w:rPr>
          <w:rFonts w:hint="eastAsia" w:ascii="仿宋_GB2312" w:hAnsi="仿宋_GB2312" w:eastAsia="仿宋_GB2312" w:cs="仿宋_GB2312"/>
          <w:sz w:val="28"/>
          <w:szCs w:val="28"/>
        </w:rPr>
        <w:t>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供应商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w:t>
      </w:r>
    </w:p>
    <w:p w14:paraId="7A64C9A0">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50DA9342">
      <w:pPr>
        <w:pStyle w:val="5"/>
        <w:spacing w:line="400" w:lineRule="exact"/>
        <w:ind w:right="-21" w:rightChars="-10" w:firstLine="562" w:firstLineChars="200"/>
        <w:jc w:val="both"/>
        <w:rPr>
          <w:rFonts w:hint="eastAsia" w:ascii="黑体" w:hAnsi="黑体" w:eastAsia="黑体" w:cs="黑体"/>
          <w:bCs/>
          <w:sz w:val="28"/>
          <w:szCs w:val="28"/>
        </w:rPr>
      </w:pPr>
      <w:bookmarkStart w:id="7" w:name="_Toc28359005"/>
      <w:bookmarkStart w:id="8" w:name="_Toc28359082"/>
      <w:bookmarkStart w:id="9" w:name="_Toc35393793"/>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提交投标文件截止时间、开标时间和地点</w:t>
      </w:r>
    </w:p>
    <w:p w14:paraId="6167524E">
      <w:pPr>
        <w:spacing w:line="400" w:lineRule="exact"/>
        <w:ind w:right="-21" w:rightChars="-10" w:firstLine="560" w:firstLineChars="200"/>
        <w:rPr>
          <w:rFonts w:hint="eastAsia" w:ascii="仿宋" w:hAnsi="仿宋" w:eastAsia="仿宋"/>
          <w:bCs/>
          <w:sz w:val="28"/>
          <w:szCs w:val="28"/>
          <w:u w:val="single"/>
        </w:rPr>
      </w:pPr>
      <w:r>
        <w:rPr>
          <w:rFonts w:hint="eastAsia" w:ascii="仿宋_GB2312" w:hAnsi="仿宋_GB2312" w:eastAsia="仿宋_GB2312" w:cs="仿宋_GB2312"/>
          <w:color w:val="000000"/>
          <w:sz w:val="28"/>
          <w:szCs w:val="28"/>
        </w:rPr>
        <w:t>提交投标文件截止时间：</w:t>
      </w:r>
      <w:r>
        <w:rPr>
          <w:rFonts w:ascii="仿宋_GB2312" w:hAnsi="仿宋_GB2312" w:eastAsia="仿宋_GB2312" w:cs="仿宋_GB2312"/>
          <w:bCs/>
          <w:sz w:val="28"/>
          <w:szCs w:val="28"/>
        </w:rPr>
        <w:t>202</w:t>
      </w:r>
      <w:r>
        <w:rPr>
          <w:rFonts w:hint="eastAsia" w:ascii="仿宋_GB2312" w:hAnsi="仿宋_GB2312" w:eastAsia="仿宋_GB2312" w:cs="仿宋_GB2312"/>
          <w:bCs/>
          <w:sz w:val="28"/>
          <w:szCs w:val="28"/>
          <w:lang w:val="en-US" w:eastAsia="zh-CN"/>
        </w:rPr>
        <w:t>5</w:t>
      </w:r>
      <w:r>
        <w:rPr>
          <w:rFonts w:ascii="仿宋_GB2312" w:hAnsi="仿宋_GB2312" w:eastAsia="仿宋_GB2312" w:cs="仿宋_GB2312"/>
          <w:bCs/>
          <w:sz w:val="28"/>
          <w:szCs w:val="28"/>
        </w:rPr>
        <w:t>年XX月XX日 09:20</w:t>
      </w:r>
      <w:r>
        <w:rPr>
          <w:rFonts w:hint="eastAsia" w:ascii="仿宋_GB2312" w:eastAsia="仿宋_GB2312"/>
          <w:sz w:val="28"/>
          <w:szCs w:val="28"/>
        </w:rPr>
        <w:t>（北京时间）</w:t>
      </w:r>
    </w:p>
    <w:p w14:paraId="3DFD6FFC">
      <w:pPr>
        <w:spacing w:line="480" w:lineRule="exact"/>
        <w:ind w:right="-21" w:rightChars="-10"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color w:val="000000"/>
          <w:sz w:val="28"/>
          <w:szCs w:val="28"/>
        </w:rPr>
        <w:t>投标地点（网址）：</w:t>
      </w:r>
      <w:r>
        <w:rPr>
          <w:rFonts w:hint="eastAsia" w:ascii="仿宋_GB2312" w:hAnsi="仿宋_GB2312" w:eastAsia="仿宋_GB2312" w:cs="仿宋_GB2312"/>
          <w:sz w:val="28"/>
          <w:szCs w:val="28"/>
        </w:rPr>
        <w:t>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w:t>
      </w:r>
      <w:r>
        <w:rPr>
          <w:rFonts w:hint="eastAsia" w:ascii="仿宋_GB2312" w:hAnsi="仿宋_GB2312" w:eastAsia="仿宋_GB2312" w:cs="仿宋_GB2312"/>
          <w:sz w:val="28"/>
          <w:szCs w:val="28"/>
        </w:rPr>
        <w:t>未按规定编制并加密的电子投标文件，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6D71CF6E">
      <w:pPr>
        <w:spacing w:line="480" w:lineRule="exact"/>
        <w:ind w:right="-21" w:rightChars="-10"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开标时间：</w:t>
      </w:r>
      <w:r>
        <w:rPr>
          <w:rFonts w:ascii="仿宋_GB2312" w:eastAsia="仿宋_GB2312"/>
          <w:bCs/>
          <w:sz w:val="28"/>
          <w:szCs w:val="28"/>
        </w:rPr>
        <w:t>202</w:t>
      </w:r>
      <w:r>
        <w:rPr>
          <w:rFonts w:hint="eastAsia" w:ascii="仿宋_GB2312" w:eastAsia="仿宋_GB2312"/>
          <w:bCs/>
          <w:sz w:val="28"/>
          <w:szCs w:val="28"/>
          <w:lang w:val="en-US" w:eastAsia="zh-CN"/>
        </w:rPr>
        <w:t>5</w:t>
      </w:r>
      <w:r>
        <w:rPr>
          <w:rFonts w:ascii="仿宋_GB2312" w:eastAsia="仿宋_GB2312"/>
          <w:bCs/>
          <w:sz w:val="28"/>
          <w:szCs w:val="28"/>
        </w:rPr>
        <w:t>年XX月XX日 09:20</w:t>
      </w:r>
    </w:p>
    <w:p w14:paraId="1771EB11">
      <w:pPr>
        <w:spacing w:line="480" w:lineRule="exact"/>
        <w:ind w:right="-21" w:rightChars="-10"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color w:val="000000"/>
          <w:sz w:val="28"/>
          <w:szCs w:val="28"/>
        </w:rPr>
        <w:t> 开标地点：</w:t>
      </w:r>
      <w:r>
        <w:rPr>
          <w:rFonts w:hint="eastAsia" w:ascii="仿宋_GB2312" w:hAnsi="仿宋_GB2312" w:eastAsia="仿宋_GB2312" w:cs="仿宋_GB2312"/>
          <w:sz w:val="28"/>
          <w:szCs w:val="28"/>
        </w:rPr>
        <w:t>广西政府采购云平台（https://www.gcy.zfcg.gxzf.gov.cn/）</w:t>
      </w:r>
    </w:p>
    <w:p w14:paraId="7CFD66EC">
      <w:pPr>
        <w:pStyle w:val="5"/>
        <w:spacing w:line="400" w:lineRule="exact"/>
        <w:ind w:right="-21" w:rightChars="-10" w:firstLine="562" w:firstLineChars="200"/>
        <w:jc w:val="both"/>
        <w:rPr>
          <w:rFonts w:hint="eastAsia" w:ascii="黑体" w:hAnsi="黑体" w:eastAsia="黑体" w:cs="黑体"/>
          <w:bCs/>
          <w:sz w:val="28"/>
          <w:szCs w:val="28"/>
        </w:rPr>
      </w:pPr>
      <w:bookmarkStart w:id="11" w:name="_Toc28359007"/>
      <w:bookmarkStart w:id="12" w:name="_Toc35393625"/>
      <w:bookmarkStart w:id="13" w:name="_Toc28359084"/>
      <w:bookmarkStart w:id="14" w:name="_Toc35393794"/>
      <w:r>
        <w:rPr>
          <w:rFonts w:hint="eastAsia" w:ascii="黑体" w:hAnsi="黑体" w:eastAsia="黑体" w:cs="黑体"/>
          <w:bCs/>
          <w:sz w:val="28"/>
          <w:szCs w:val="28"/>
        </w:rPr>
        <w:t>五、公告期限</w:t>
      </w:r>
      <w:bookmarkEnd w:id="11"/>
      <w:bookmarkEnd w:id="12"/>
      <w:bookmarkEnd w:id="13"/>
      <w:bookmarkEnd w:id="14"/>
    </w:p>
    <w:p w14:paraId="212D031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39508957">
      <w:pPr>
        <w:pStyle w:val="5"/>
        <w:spacing w:line="400" w:lineRule="exact"/>
        <w:ind w:right="-21" w:rightChars="-10" w:firstLine="562" w:firstLineChars="200"/>
        <w:jc w:val="both"/>
        <w:rPr>
          <w:rFonts w:hint="eastAsia" w:ascii="仿宋_GB2312" w:hAnsi="仿宋_GB2312" w:eastAsia="仿宋_GB2312" w:cs="仿宋_GB2312"/>
          <w:b/>
          <w:bCs/>
          <w:sz w:val="28"/>
          <w:szCs w:val="28"/>
        </w:rPr>
      </w:pPr>
      <w:bookmarkStart w:id="15" w:name="_Toc35393626"/>
      <w:bookmarkStart w:id="16" w:name="_Toc35393795"/>
      <w:r>
        <w:rPr>
          <w:rFonts w:hint="eastAsia" w:ascii="黑体" w:hAnsi="黑体" w:eastAsia="黑体" w:cs="黑体"/>
          <w:bCs/>
          <w:sz w:val="28"/>
          <w:szCs w:val="28"/>
        </w:rPr>
        <w:t>六、其他补充事宜</w:t>
      </w:r>
      <w:bookmarkEnd w:id="15"/>
      <w:bookmarkEnd w:id="16"/>
    </w:p>
    <w:p w14:paraId="21A177EF">
      <w:pPr>
        <w:pStyle w:val="96"/>
        <w:spacing w:line="400" w:lineRule="exact"/>
        <w:ind w:right="-21" w:rightChars="-10"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（一）投标保证金：</w:t>
      </w:r>
      <w:r>
        <w:rPr>
          <w:rFonts w:hint="eastAsia" w:ascii="仿宋_GB2312" w:hAnsi="仿宋_GB2312" w:eastAsia="仿宋_GB2312" w:cs="仿宋_GB2312"/>
          <w:sz w:val="28"/>
          <w:szCs w:val="28"/>
        </w:rPr>
        <w:t>本项目无需提交投标保证金。</w:t>
      </w:r>
    </w:p>
    <w:p w14:paraId="14178958">
      <w:pPr>
        <w:pStyle w:val="96"/>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中国政府采购网（www.ccgp.gov.cn）、广西壮族自治区政府采购网（zfcg.gxzf.gov.cn）、柳州市政府采购网（zfcg.lzscz.liuzhou.gov.cn）。</w:t>
      </w:r>
    </w:p>
    <w:p w14:paraId="10C86B4A">
      <w:pPr>
        <w:pStyle w:val="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公开招标文件第二章《采购需求》及第四章《评标方法及评标标准》。</w:t>
      </w:r>
    </w:p>
    <w:p w14:paraId="00B6B097">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（四）对在“信用中国”网站(www.creditchina.gov.cn)、中国政府采购网(www.ccgp.gov.cn)等渠道列入失信被执行人、重大税收违法案件当事人名单、政府采购严重违法失信行为记录名单的投标人，不得参与政府采购活动。</w:t>
      </w:r>
    </w:p>
    <w:p w14:paraId="377FAA79">
      <w:pPr>
        <w:spacing w:line="4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关于进一步做好线上“政采贷”融资工作的通知》（柳财采〔2022〕19号），供应商可凭中标通知书、政府采购合同，通过中征应收账款融资服务平台向银行在线申请“政采贷”融资。</w:t>
      </w:r>
    </w:p>
    <w:p w14:paraId="0922E1D8">
      <w:pPr>
        <w:spacing w:line="42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（六）投标人参与电子投标特别说明</w:t>
      </w:r>
    </w:p>
    <w:p w14:paraId="3BAFCB8B">
      <w:pPr>
        <w:pStyle w:val="96"/>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1.本项目通过广西政府采购云平台实行电子投标，投标人应按照本项目公开招标文件和广西政府采购云平台的要求，通过“广西政府采购云平台客户端”编制、加密并提交电子投标文件。</w:t>
      </w:r>
    </w:p>
    <w:p w14:paraId="6014499B">
      <w:pPr>
        <w:pStyle w:val="96"/>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2.参与电子标的投标人必须为广西政府采购云平台的正式供应商且申领CA证书，</w:t>
      </w:r>
      <w:r>
        <w:rPr>
          <w:rFonts w:hint="eastAsia" w:ascii="仿宋_GB2312" w:hAnsi="仿宋_GB2312" w:eastAsia="仿宋_GB2312" w:cs="仿宋_GB2312"/>
          <w:b/>
          <w:bCs/>
          <w:sz w:val="28"/>
          <w:szCs w:val="28"/>
        </w:rPr>
        <w:t>各投标人应在开标前及时完成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16CC85BA">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投标人应及时熟悉掌握电子标系统操作指南（见广西政府采购云平台电子卖场首页—服务中心—帮助中心—项目采购）</w:t>
      </w:r>
    </w:p>
    <w:p w14:paraId="0FB66486">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投标人</w:t>
      </w:r>
      <w:r>
        <w:rPr>
          <w:rFonts w:ascii="仿宋_GB2312" w:hAnsi="仿宋_GB2312" w:eastAsia="仿宋_GB2312" w:cs="仿宋_GB2312"/>
          <w:sz w:val="28"/>
          <w:szCs w:val="28"/>
        </w:rPr>
        <w:t>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039604E9">
      <w:pPr>
        <w:pStyle w:val="96"/>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5A20A2EE">
      <w:pPr>
        <w:pStyle w:val="96"/>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各投标人通过新平台参与政府采购项目投标需下载使用新版客户端，广西政府采购云平台客户端</w:t>
      </w:r>
      <w:r>
        <w:rPr>
          <w:rFonts w:hint="eastAsia" w:ascii="仿宋_GB2312" w:hAnsi="仿宋_GB2312" w:eastAsia="仿宋_GB2312" w:cs="仿宋_GB2312"/>
          <w:sz w:val="28"/>
          <w:szCs w:val="28"/>
        </w:rPr>
        <w:t>软件请投标人自行前往下载并安装：</w:t>
      </w:r>
    </w:p>
    <w:p w14:paraId="168BE6E5">
      <w:pPr>
        <w:pStyle w:val="96"/>
        <w:wordWrap w:val="0"/>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13FD1539">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p>
    <w:p w14:paraId="1DE44D93">
      <w:pPr>
        <w:pStyle w:val="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4.因未注册广西政府采购云平台、未办理CA证书、CA证书故障、操作不当等原因造成无法投标或投标失败等后果由投标人自行承担；</w:t>
      </w:r>
    </w:p>
    <w:p w14:paraId="605C19C8">
      <w:pPr>
        <w:pStyle w:val="96"/>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5.投标人在使用广西政府采购云平台参与投标过程中遇到涉及平台使用的任何问题，可致电广西政府采购云平台技术支持热线咨询，联系方式：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5B6D447">
      <w:pPr>
        <w:pStyle w:val="5"/>
        <w:spacing w:line="400" w:lineRule="exact"/>
        <w:ind w:right="-21" w:rightChars="-10" w:firstLine="562" w:firstLineChars="200"/>
        <w:jc w:val="both"/>
        <w:rPr>
          <w:rFonts w:hint="eastAsia" w:ascii="黑体" w:hAnsi="黑体" w:eastAsia="黑体" w:cs="黑体"/>
          <w:b w:val="0"/>
          <w:sz w:val="28"/>
          <w:szCs w:val="28"/>
        </w:rPr>
      </w:pPr>
      <w:bookmarkStart w:id="17" w:name="_Toc35393796"/>
      <w:bookmarkStart w:id="18" w:name="_Toc35393627"/>
      <w:bookmarkStart w:id="19" w:name="_Toc28359085"/>
      <w:bookmarkStart w:id="20" w:name="_Toc28359008"/>
      <w:bookmarkStart w:id="21" w:name="_Hlk50569036"/>
      <w:r>
        <w:rPr>
          <w:rFonts w:hint="eastAsia" w:ascii="黑体" w:hAnsi="黑体" w:eastAsia="黑体" w:cs="黑体"/>
          <w:bCs/>
          <w:sz w:val="28"/>
          <w:szCs w:val="28"/>
        </w:rPr>
        <w:t>七、对本次招标提出询问，请按以下方式联系</w:t>
      </w:r>
      <w:bookmarkEnd w:id="17"/>
      <w:bookmarkEnd w:id="18"/>
      <w:bookmarkEnd w:id="19"/>
      <w:bookmarkEnd w:id="20"/>
    </w:p>
    <w:p w14:paraId="4CE0F8D4">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1.采购人信息</w:t>
      </w:r>
    </w:p>
    <w:p w14:paraId="4BD29024">
      <w:pPr>
        <w:tabs>
          <w:tab w:val="left" w:pos="851"/>
        </w:tabs>
        <w:spacing w:line="400" w:lineRule="exact"/>
        <w:ind w:right="-21" w:rightChars="-10"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柳州市市直机关保障中心</w:t>
      </w:r>
    </w:p>
    <w:p w14:paraId="38AEF495">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广西柳州市文昌路66号</w:t>
      </w:r>
    </w:p>
    <w:p w14:paraId="6AF3332F">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陈工</w:t>
      </w:r>
    </w:p>
    <w:p w14:paraId="50269510">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0772-2660286</w:t>
      </w:r>
    </w:p>
    <w:p w14:paraId="41190D07">
      <w:pPr>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2.采购代理机构信息</w:t>
      </w:r>
    </w:p>
    <w:p w14:paraId="48FA471D">
      <w:pPr>
        <w:tabs>
          <w:tab w:val="left" w:pos="851"/>
        </w:tabs>
        <w:spacing w:line="400" w:lineRule="exact"/>
        <w:ind w:right="-21" w:rightChars="-10"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636B1E4B">
      <w:pPr>
        <w:spacing w:line="400" w:lineRule="exact"/>
        <w:ind w:left="2100" w:right="-21" w:rightChars="-10"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47DBB8D3">
      <w:pPr>
        <w:spacing w:line="400" w:lineRule="exact"/>
        <w:ind w:right="-21" w:rightChars="-10"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何可</w:t>
      </w:r>
    </w:p>
    <w:p w14:paraId="68B8C5BD">
      <w:pPr>
        <w:spacing w:line="400" w:lineRule="exact"/>
        <w:ind w:right="-21" w:rightChars="-10"/>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0772-2992106</w:t>
      </w:r>
      <w:bookmarkEnd w:id="21"/>
    </w:p>
    <w:p w14:paraId="4E6201BC">
      <w:pPr>
        <w:spacing w:line="400" w:lineRule="exact"/>
        <w:ind w:right="560"/>
        <w:rPr>
          <w:rFonts w:ascii="仿宋_GB2312" w:eastAsia="仿宋_GB2312"/>
          <w:sz w:val="28"/>
          <w:szCs w:val="28"/>
        </w:rPr>
        <w:sectPr>
          <w:footerReference r:id="rId7" w:type="default"/>
          <w:pgSz w:w="11906" w:h="16838"/>
          <w:pgMar w:top="1440" w:right="991" w:bottom="1440" w:left="1440" w:header="851" w:footer="992" w:gutter="0"/>
          <w:pgNumType w:start="1"/>
          <w:cols w:space="720" w:num="1"/>
          <w:docGrid w:linePitch="312" w:charSpace="0"/>
        </w:sectPr>
      </w:pPr>
    </w:p>
    <w:p w14:paraId="097DECB1">
      <w:pPr>
        <w:pStyle w:val="4"/>
        <w:spacing w:line="276" w:lineRule="auto"/>
        <w:jc w:val="center"/>
        <w:rPr>
          <w:rFonts w:hint="eastAsia" w:ascii="宋体" w:hAnsi="宋体"/>
          <w:sz w:val="32"/>
          <w:szCs w:val="32"/>
        </w:rPr>
      </w:pPr>
      <w:bookmarkStart w:id="22" w:name="_Toc13541"/>
      <w:r>
        <w:rPr>
          <w:rFonts w:hint="eastAsia" w:ascii="宋体" w:hAnsi="宋体"/>
          <w:sz w:val="32"/>
          <w:szCs w:val="32"/>
        </w:rPr>
        <w:t>第二章 采购需求</w:t>
      </w:r>
      <w:bookmarkEnd w:id="22"/>
    </w:p>
    <w:p w14:paraId="67B08A6A">
      <w:pPr>
        <w:spacing w:line="276" w:lineRule="auto"/>
        <w:ind w:right="-330" w:rightChars="-157" w:firstLine="482" w:firstLineChars="200"/>
        <w:rPr>
          <w:rFonts w:ascii="仿宋_GB2312" w:eastAsia="仿宋_GB2312"/>
          <w:b/>
          <w:bCs/>
          <w:sz w:val="24"/>
        </w:rPr>
      </w:pPr>
      <w:bookmarkStart w:id="23" w:name="_Hlk50569056"/>
      <w:r>
        <w:rPr>
          <w:rFonts w:hint="eastAsia" w:ascii="仿宋_GB2312" w:eastAsia="仿宋_GB2312"/>
          <w:b/>
          <w:bCs/>
          <w:sz w:val="24"/>
        </w:rPr>
        <w:t>说明：</w:t>
      </w:r>
    </w:p>
    <w:p w14:paraId="3C7C0E91">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bCs/>
          <w:sz w:val="24"/>
        </w:rPr>
        <w:t>1.评审时，评审委员会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投标人提供虚假材料、串通等违法违规行为的，要及时向采购人或采购代理机构报告。</w:t>
      </w:r>
    </w:p>
    <w:p w14:paraId="10F87252">
      <w:pPr>
        <w:adjustRightInd w:val="0"/>
        <w:spacing w:line="276" w:lineRule="auto"/>
        <w:ind w:right="-330" w:rightChars="-157" w:firstLine="482" w:firstLineChars="200"/>
        <w:rPr>
          <w:rFonts w:ascii="仿宋_GB2312" w:eastAsia="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仅限于“第二章 采购需求”，</w:t>
      </w:r>
      <w:r>
        <w:rPr>
          <w:rFonts w:hint="eastAsia" w:ascii="仿宋_GB2312" w:eastAsia="仿宋_GB2312"/>
          <w:b/>
          <w:bCs/>
          <w:sz w:val="24"/>
        </w:rPr>
        <w:t>评审时投标人的响应内容</w:t>
      </w:r>
      <w:r>
        <w:rPr>
          <w:rFonts w:hint="eastAsia" w:ascii="仿宋_GB2312" w:hAnsi="仿宋_GB2312" w:eastAsia="仿宋_GB2312" w:cs="仿宋_GB2312"/>
          <w:b/>
          <w:bCs/>
          <w:sz w:val="24"/>
        </w:rPr>
        <w:t>发生负偏离一项以上的，视为投标无效。</w:t>
      </w:r>
    </w:p>
    <w:bookmarkEnd w:id="23"/>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379"/>
        <w:gridCol w:w="7741"/>
        <w:gridCol w:w="743"/>
      </w:tblGrid>
      <w:tr w14:paraId="446E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242" w:type="dxa"/>
            <w:gridSpan w:val="4"/>
            <w:tcBorders>
              <w:top w:val="single" w:color="auto" w:sz="4" w:space="0"/>
              <w:left w:val="single" w:color="auto" w:sz="4" w:space="0"/>
              <w:bottom w:val="single" w:color="auto" w:sz="4" w:space="0"/>
              <w:right w:val="single" w:color="auto" w:sz="4" w:space="0"/>
            </w:tcBorders>
            <w:noWrap w:val="0"/>
            <w:vAlign w:val="center"/>
          </w:tcPr>
          <w:p w14:paraId="59CF669D">
            <w:pPr>
              <w:spacing w:line="276" w:lineRule="auto"/>
              <w:jc w:val="left"/>
              <w:rPr>
                <w:rFonts w:hint="eastAsia" w:ascii="仿宋_GB2312" w:hAnsi="仿宋_GB2312" w:eastAsia="仿宋_GB2312" w:cs="仿宋_GB2312"/>
                <w:kern w:val="0"/>
                <w:sz w:val="24"/>
              </w:rPr>
            </w:pPr>
            <w:r>
              <w:rPr>
                <w:rFonts w:hint="eastAsia" w:ascii="仿宋_GB2312" w:hAnsi="仿宋_GB2312" w:eastAsia="仿宋_GB2312" w:cs="仿宋_GB2312"/>
                <w:b/>
                <w:bCs/>
                <w:kern w:val="0"/>
                <w:sz w:val="24"/>
              </w:rPr>
              <w:t>★</w:t>
            </w:r>
            <w:r>
              <w:rPr>
                <w:rFonts w:hint="eastAsia" w:ascii="仿宋_GB2312" w:hAnsi="仿宋_GB2312" w:eastAsia="仿宋_GB2312" w:cs="仿宋_GB2312"/>
                <w:b/>
                <w:kern w:val="0"/>
                <w:sz w:val="24"/>
              </w:rPr>
              <w:t>一、项目要求及服务需求</w:t>
            </w:r>
          </w:p>
        </w:tc>
      </w:tr>
      <w:tr w14:paraId="38B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379" w:type="dxa"/>
            <w:tcBorders>
              <w:top w:val="single" w:color="auto" w:sz="4" w:space="0"/>
              <w:left w:val="single" w:color="auto" w:sz="4" w:space="0"/>
              <w:bottom w:val="single" w:color="auto" w:sz="4" w:space="0"/>
              <w:right w:val="single" w:color="auto" w:sz="4" w:space="0"/>
            </w:tcBorders>
            <w:noWrap w:val="0"/>
            <w:vAlign w:val="center"/>
          </w:tcPr>
          <w:p w14:paraId="4473CC81">
            <w:pPr>
              <w:spacing w:line="276" w:lineRule="auto"/>
              <w:jc w:val="left"/>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项号</w:t>
            </w:r>
          </w:p>
        </w:tc>
        <w:tc>
          <w:tcPr>
            <w:tcW w:w="379" w:type="dxa"/>
            <w:tcBorders>
              <w:top w:val="single" w:color="auto" w:sz="4" w:space="0"/>
              <w:left w:val="single" w:color="auto" w:sz="4" w:space="0"/>
              <w:bottom w:val="single" w:color="auto" w:sz="4" w:space="0"/>
              <w:right w:val="single" w:color="auto" w:sz="4" w:space="0"/>
            </w:tcBorders>
            <w:noWrap w:val="0"/>
            <w:vAlign w:val="center"/>
          </w:tcPr>
          <w:p w14:paraId="135B5743">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标的名称</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0B98715B">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服务内容要求</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59405391">
            <w:pPr>
              <w:spacing w:line="276"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数量及单位</w:t>
            </w:r>
          </w:p>
        </w:tc>
      </w:tr>
      <w:tr w14:paraId="7CF6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379" w:type="dxa"/>
            <w:tcBorders>
              <w:top w:val="single" w:color="auto" w:sz="4" w:space="0"/>
              <w:left w:val="single" w:color="auto" w:sz="4" w:space="0"/>
              <w:right w:val="single" w:color="auto" w:sz="4" w:space="0"/>
            </w:tcBorders>
            <w:noWrap w:val="0"/>
            <w:vAlign w:val="center"/>
          </w:tcPr>
          <w:p w14:paraId="0CABFFE8">
            <w:pPr>
              <w:snapToGrid w:val="0"/>
              <w:spacing w:line="2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79" w:type="dxa"/>
            <w:tcBorders>
              <w:top w:val="single" w:color="auto" w:sz="4" w:space="0"/>
              <w:left w:val="single" w:color="auto" w:sz="4" w:space="0"/>
              <w:right w:val="single" w:color="auto" w:sz="4" w:space="0"/>
            </w:tcBorders>
            <w:noWrap w:val="0"/>
            <w:vAlign w:val="center"/>
          </w:tcPr>
          <w:p w14:paraId="5EADF859">
            <w:pPr>
              <w:widowControl/>
              <w:snapToGrid w:val="0"/>
              <w:spacing w:line="240" w:lineRule="atLeast"/>
              <w:jc w:val="center"/>
              <w:rPr>
                <w:rFonts w:hint="eastAsia" w:ascii="仿宋_GB2312" w:hAnsi="仿宋_GB2312" w:eastAsia="仿宋_GB2312" w:cs="仿宋_GB2312"/>
                <w:kern w:val="0"/>
                <w:sz w:val="24"/>
              </w:rPr>
            </w:pPr>
          </w:p>
          <w:p w14:paraId="55E59471">
            <w:pPr>
              <w:widowControl/>
              <w:snapToGrid w:val="0"/>
              <w:spacing w:line="240" w:lineRule="atLeas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办公区高低压配电系统维保服务采购</w:t>
            </w:r>
          </w:p>
        </w:tc>
        <w:tc>
          <w:tcPr>
            <w:tcW w:w="7741" w:type="dxa"/>
            <w:tcBorders>
              <w:top w:val="single" w:color="auto" w:sz="4" w:space="0"/>
              <w:left w:val="single" w:color="auto" w:sz="4" w:space="0"/>
              <w:bottom w:val="single" w:color="auto" w:sz="4" w:space="0"/>
              <w:right w:val="single" w:color="auto" w:sz="4" w:space="0"/>
            </w:tcBorders>
            <w:noWrap w:val="0"/>
            <w:vAlign w:val="center"/>
          </w:tcPr>
          <w:p w14:paraId="546E37E7">
            <w:pPr>
              <w:pStyle w:val="689"/>
              <w:snapToGrid w:val="0"/>
              <w:spacing w:line="400" w:lineRule="exact"/>
              <w:ind w:right="42" w:rightChars="20" w:firstLine="482" w:firstLineChars="200"/>
              <w:rPr>
                <w:rStyle w:val="369"/>
                <w:rFonts w:ascii="仿宋_GB2312" w:hAnsi="仿宋_GB2312" w:eastAsia="仿宋_GB2312" w:cs="仿宋_GB2312"/>
                <w:b/>
                <w:bCs/>
                <w:sz w:val="24"/>
                <w:szCs w:val="24"/>
              </w:rPr>
            </w:pPr>
            <w:r>
              <w:rPr>
                <w:rStyle w:val="369"/>
                <w:rFonts w:hint="eastAsia" w:ascii="仿宋_GB2312" w:hAnsi="仿宋_GB2312" w:eastAsia="仿宋_GB2312" w:cs="仿宋_GB2312"/>
                <w:b/>
                <w:bCs/>
                <w:sz w:val="24"/>
                <w:szCs w:val="24"/>
              </w:rPr>
              <w:t>一、</w:t>
            </w:r>
            <w:r>
              <w:rPr>
                <w:rStyle w:val="322"/>
                <w:rFonts w:hint="default" w:ascii="仿宋_GB2312" w:hAnsi="仿宋_GB2312" w:eastAsia="仿宋_GB2312" w:cs="仿宋_GB2312"/>
                <w:b/>
                <w:bCs/>
                <w:sz w:val="24"/>
                <w:szCs w:val="24"/>
              </w:rPr>
              <w:t>项目</w:t>
            </w:r>
            <w:r>
              <w:rPr>
                <w:rStyle w:val="369"/>
                <w:rFonts w:ascii="仿宋_GB2312" w:hAnsi="仿宋_GB2312" w:eastAsia="仿宋_GB2312" w:cs="仿宋_GB2312"/>
                <w:b/>
                <w:bCs/>
                <w:sz w:val="24"/>
                <w:szCs w:val="24"/>
              </w:rPr>
              <w:t>概况</w:t>
            </w:r>
          </w:p>
          <w:p w14:paraId="4260BAAF">
            <w:pPr>
              <w:pStyle w:val="689"/>
              <w:snapToGrid w:val="0"/>
              <w:spacing w:line="400" w:lineRule="exact"/>
              <w:ind w:right="42" w:rightChars="20" w:firstLine="422" w:firstLineChars="200"/>
              <w:rPr>
                <w:rFonts w:hint="eastAsia" w:ascii="仿宋_GB2312" w:hAnsi="仿宋_GB2312" w:eastAsia="仿宋_GB2312" w:cs="仿宋_GB2312"/>
                <w:szCs w:val="21"/>
                <w:lang w:val="en-US" w:eastAsia="zh-CN"/>
              </w:rPr>
            </w:pPr>
            <w:r>
              <w:rPr>
                <w:rStyle w:val="369"/>
                <w:rFonts w:ascii="仿宋_GB2312" w:hAnsi="仿宋_GB2312" w:eastAsia="仿宋_GB2312" w:cs="仿宋_GB2312"/>
                <w:b/>
                <w:bCs/>
              </w:rPr>
              <w:t>（一）</w:t>
            </w:r>
            <w:r>
              <w:rPr>
                <w:rStyle w:val="369"/>
                <w:rFonts w:ascii="仿宋_GB2312" w:hAnsi="仿宋_GB2312" w:eastAsia="仿宋_GB2312" w:cs="仿宋_GB2312"/>
                <w:b/>
                <w:bCs/>
                <w:sz w:val="24"/>
                <w:szCs w:val="24"/>
              </w:rPr>
              <w:t>服务地址：</w:t>
            </w:r>
            <w:r>
              <w:rPr>
                <w:rFonts w:hint="eastAsia" w:ascii="仿宋_GB2312" w:hAnsi="仿宋_GB2312" w:eastAsia="仿宋_GB2312" w:cs="仿宋_GB2312"/>
                <w:bCs/>
                <w:sz w:val="24"/>
              </w:rPr>
              <w:t>柳州市文昌路66号、瑞安路9号</w:t>
            </w:r>
            <w:r>
              <w:rPr>
                <w:rFonts w:hint="eastAsia" w:ascii="仿宋_GB2312" w:hAnsi="仿宋_GB2312" w:eastAsia="仿宋_GB2312" w:cs="仿宋_GB2312"/>
                <w:bCs/>
                <w:sz w:val="24"/>
                <w:lang w:eastAsia="zh-CN"/>
              </w:rPr>
              <w:t>；柳州市</w:t>
            </w:r>
            <w:r>
              <w:rPr>
                <w:rFonts w:hint="eastAsia" w:ascii="仿宋_GB2312" w:hAnsi="仿宋_GB2312" w:eastAsia="仿宋_GB2312" w:cs="仿宋_GB2312"/>
                <w:color w:val="auto"/>
                <w:sz w:val="24"/>
                <w:szCs w:val="24"/>
                <w:lang w:eastAsia="zh-CN"/>
              </w:rPr>
              <w:t>鱼峰区新柳大道</w:t>
            </w:r>
            <w:r>
              <w:rPr>
                <w:rFonts w:hint="eastAsia" w:ascii="仿宋_GB2312" w:hAnsi="仿宋_GB2312" w:eastAsia="仿宋_GB2312" w:cs="仿宋_GB2312"/>
                <w:color w:val="auto"/>
                <w:sz w:val="24"/>
                <w:szCs w:val="24"/>
                <w:lang w:val="en-US" w:eastAsia="zh-CN"/>
              </w:rPr>
              <w:t>91号</w:t>
            </w:r>
            <w:r>
              <w:rPr>
                <w:rFonts w:hint="eastAsia" w:ascii="仿宋_GB2312" w:hAnsi="仿宋_GB2312" w:eastAsia="仿宋_GB2312" w:cs="仿宋_GB2312"/>
                <w:bCs/>
                <w:sz w:val="24"/>
              </w:rPr>
              <w:t>；柳州市高新一路15号、潭中东路66号、广雅路17号</w:t>
            </w:r>
            <w:r>
              <w:rPr>
                <w:rFonts w:hint="eastAsia" w:ascii="仿宋_GB2312" w:hAnsi="仿宋_GB2312" w:eastAsia="仿宋_GB2312" w:cs="仿宋_GB2312"/>
                <w:bCs/>
                <w:sz w:val="24"/>
                <w:lang w:eastAsia="zh-CN"/>
              </w:rPr>
              <w:t>及</w:t>
            </w:r>
            <w:r>
              <w:rPr>
                <w:rFonts w:hint="eastAsia" w:ascii="仿宋_GB2312" w:hAnsi="仿宋_GB2312" w:eastAsia="仿宋_GB2312" w:cs="仿宋_GB2312"/>
                <w:bCs/>
                <w:sz w:val="24"/>
              </w:rPr>
              <w:t>三中路66号</w:t>
            </w:r>
            <w:r>
              <w:rPr>
                <w:rFonts w:hint="eastAsia" w:ascii="仿宋_GB2312" w:hAnsi="仿宋_GB2312" w:eastAsia="仿宋_GB2312" w:cs="仿宋_GB2312"/>
                <w:bCs/>
                <w:sz w:val="24"/>
                <w:lang w:val="en-US" w:eastAsia="zh-CN"/>
              </w:rPr>
              <w:t>。</w:t>
            </w:r>
          </w:p>
          <w:p w14:paraId="0BDB86E0">
            <w:pPr>
              <w:pStyle w:val="689"/>
              <w:snapToGrid w:val="0"/>
              <w:spacing w:line="400" w:lineRule="exact"/>
              <w:ind w:right="42" w:rightChars="20" w:firstLine="422" w:firstLineChars="200"/>
              <w:rPr>
                <w:rStyle w:val="369"/>
                <w:rFonts w:hint="eastAsia" w:ascii="仿宋_GB2312" w:hAnsi="仿宋_GB2312" w:eastAsia="仿宋_GB2312" w:cs="仿宋_GB2312"/>
                <w:b/>
                <w:bCs/>
                <w:sz w:val="24"/>
                <w:szCs w:val="24"/>
              </w:rPr>
            </w:pPr>
            <w:r>
              <w:rPr>
                <w:rStyle w:val="369"/>
                <w:rFonts w:ascii="仿宋_GB2312" w:hAnsi="仿宋_GB2312" w:eastAsia="仿宋_GB2312" w:cs="仿宋_GB2312"/>
                <w:b/>
                <w:bCs/>
              </w:rPr>
              <w:t>（二）</w:t>
            </w:r>
            <w:r>
              <w:rPr>
                <w:rStyle w:val="369"/>
                <w:rFonts w:ascii="仿宋_GB2312" w:hAnsi="仿宋_GB2312" w:eastAsia="仿宋_GB2312" w:cs="仿宋_GB2312"/>
                <w:b/>
                <w:bCs/>
                <w:sz w:val="24"/>
                <w:szCs w:val="24"/>
              </w:rPr>
              <w:t>服务范围</w:t>
            </w:r>
            <w:r>
              <w:rPr>
                <w:rStyle w:val="369"/>
                <w:rFonts w:hint="eastAsia" w:ascii="仿宋_GB2312" w:hAnsi="仿宋_GB2312" w:eastAsia="仿宋_GB2312" w:cs="仿宋_GB2312"/>
                <w:b/>
                <w:bCs/>
                <w:sz w:val="24"/>
                <w:szCs w:val="24"/>
              </w:rPr>
              <w:t>：</w:t>
            </w:r>
          </w:p>
          <w:p w14:paraId="3129E2E5">
            <w:pPr>
              <w:spacing w:line="42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bCs/>
                <w:sz w:val="24"/>
              </w:rPr>
              <w:t>文昌路66号、瑞安路9号</w:t>
            </w:r>
            <w:r>
              <w:rPr>
                <w:rFonts w:hint="eastAsia" w:ascii="仿宋_GB2312" w:hAnsi="仿宋_GB2312" w:eastAsia="仿宋_GB2312" w:cs="仿宋_GB2312"/>
                <w:bCs/>
                <w:sz w:val="24"/>
                <w:lang w:eastAsia="zh-CN"/>
              </w:rPr>
              <w:t>办公区</w:t>
            </w:r>
            <w:r>
              <w:rPr>
                <w:rFonts w:hint="eastAsia" w:ascii="仿宋_GB2312" w:hAnsi="仿宋_GB2312" w:eastAsia="仿宋_GB2312" w:cs="仿宋_GB2312"/>
                <w:bCs/>
                <w:sz w:val="24"/>
              </w:rPr>
              <w:t>高低压配电系统维保服务</w:t>
            </w:r>
            <w:r>
              <w:rPr>
                <w:rFonts w:hint="eastAsia" w:ascii="仿宋_GB2312" w:hAnsi="仿宋_GB2312" w:eastAsia="仿宋_GB2312" w:cs="仿宋_GB2312"/>
                <w:bCs/>
                <w:sz w:val="24"/>
                <w:lang w:eastAsia="zh-CN"/>
              </w:rPr>
              <w:t>；柳州市</w:t>
            </w:r>
            <w:r>
              <w:rPr>
                <w:rFonts w:hint="eastAsia" w:ascii="仿宋_GB2312" w:hAnsi="仿宋_GB2312" w:eastAsia="仿宋_GB2312" w:cs="仿宋_GB2312"/>
                <w:color w:val="auto"/>
                <w:sz w:val="24"/>
                <w:szCs w:val="24"/>
                <w:lang w:eastAsia="zh-CN"/>
              </w:rPr>
              <w:t>鱼峰区新柳大道</w:t>
            </w:r>
            <w:r>
              <w:rPr>
                <w:rFonts w:hint="eastAsia" w:ascii="仿宋_GB2312" w:hAnsi="仿宋_GB2312" w:eastAsia="仿宋_GB2312" w:cs="仿宋_GB2312"/>
                <w:color w:val="auto"/>
                <w:sz w:val="24"/>
                <w:szCs w:val="24"/>
                <w:lang w:val="en-US" w:eastAsia="zh-CN"/>
              </w:rPr>
              <w:t>91号</w:t>
            </w:r>
            <w:r>
              <w:rPr>
                <w:rFonts w:hint="eastAsia" w:ascii="仿宋_GB2312" w:hAnsi="仿宋_GB2312" w:eastAsia="仿宋_GB2312" w:cs="仿宋_GB2312"/>
                <w:bCs/>
                <w:sz w:val="24"/>
              </w:rPr>
              <w:t>办公区高低压配电系统维保服务；柳州市高新一路15号、潭中东路66号、广雅17号</w:t>
            </w:r>
            <w:r>
              <w:rPr>
                <w:rFonts w:hint="eastAsia" w:ascii="仿宋_GB2312" w:hAnsi="仿宋_GB2312" w:eastAsia="仿宋_GB2312" w:cs="仿宋_GB2312"/>
                <w:bCs/>
                <w:sz w:val="24"/>
                <w:lang w:eastAsia="zh-CN"/>
              </w:rPr>
              <w:t>及</w:t>
            </w:r>
            <w:r>
              <w:rPr>
                <w:rFonts w:hint="eastAsia" w:ascii="仿宋_GB2312" w:hAnsi="仿宋_GB2312" w:eastAsia="仿宋_GB2312" w:cs="仿宋_GB2312"/>
                <w:bCs/>
                <w:sz w:val="24"/>
              </w:rPr>
              <w:t>三中路66号办公区高低压配电系统维保服务</w:t>
            </w:r>
            <w:r>
              <w:rPr>
                <w:rFonts w:hint="eastAsia" w:ascii="仿宋_GB2312" w:hAnsi="仿宋_GB2312" w:eastAsia="仿宋_GB2312" w:cs="仿宋_GB2312"/>
                <w:bCs/>
                <w:sz w:val="24"/>
                <w:lang w:eastAsia="zh-CN"/>
              </w:rPr>
              <w:t>。</w:t>
            </w:r>
          </w:p>
          <w:p w14:paraId="60BE99D1">
            <w:pPr>
              <w:pStyle w:val="689"/>
              <w:snapToGrid w:val="0"/>
              <w:spacing w:line="400" w:lineRule="exact"/>
              <w:ind w:right="42" w:rightChars="20" w:firstLine="482" w:firstLineChars="200"/>
              <w:rPr>
                <w:rStyle w:val="369"/>
                <w:rFonts w:ascii="仿宋_GB2312" w:hAnsi="仿宋_GB2312" w:eastAsia="仿宋_GB2312" w:cs="仿宋_GB2312"/>
              </w:rPr>
            </w:pPr>
            <w:r>
              <w:rPr>
                <w:rStyle w:val="369"/>
                <w:rFonts w:ascii="仿宋_GB2312" w:hAnsi="仿宋_GB2312" w:eastAsia="仿宋_GB2312" w:cs="仿宋_GB2312"/>
                <w:b/>
                <w:bCs/>
                <w:sz w:val="24"/>
                <w:szCs w:val="24"/>
              </w:rPr>
              <w:t>二、岗位设置及人员素质要求</w:t>
            </w:r>
            <w:r>
              <w:rPr>
                <w:rStyle w:val="369"/>
                <w:rFonts w:hint="eastAsia" w:ascii="仿宋_GB2312" w:hAnsi="仿宋_GB2312" w:eastAsia="仿宋_GB2312" w:cs="仿宋_GB2312"/>
                <w:b/>
                <w:bCs/>
                <w:sz w:val="24"/>
                <w:szCs w:val="24"/>
              </w:rPr>
              <w:t>：</w:t>
            </w:r>
            <w:r>
              <w:rPr>
                <w:rStyle w:val="369"/>
                <w:rFonts w:hint="eastAsia" w:ascii="仿宋_GB2312" w:hAnsi="仿宋_GB2312" w:eastAsia="仿宋_GB2312" w:cs="仿宋_GB2312"/>
              </w:rPr>
              <w:t xml:space="preserve"> </w:t>
            </w:r>
          </w:p>
          <w:p w14:paraId="27213C1A">
            <w:pPr>
              <w:pStyle w:val="689"/>
              <w:snapToGrid w:val="0"/>
              <w:spacing w:line="400" w:lineRule="exact"/>
              <w:ind w:right="42" w:rightChars="20" w:firstLine="482" w:firstLineChars="200"/>
              <w:rPr>
                <w:rStyle w:val="369"/>
                <w:rFonts w:ascii="仿宋_GB2312" w:hAnsi="仿宋_GB2312" w:eastAsia="仿宋_GB2312" w:cs="仿宋_GB2312"/>
                <w:b/>
                <w:bCs/>
                <w:sz w:val="24"/>
                <w:szCs w:val="24"/>
              </w:rPr>
            </w:pPr>
            <w:r>
              <w:rPr>
                <w:rStyle w:val="369"/>
                <w:rFonts w:ascii="仿宋_GB2312" w:hAnsi="仿宋_GB2312" w:eastAsia="仿宋_GB2312" w:cs="仿宋_GB2312"/>
                <w:b/>
                <w:bCs/>
                <w:sz w:val="24"/>
                <w:szCs w:val="24"/>
              </w:rPr>
              <w:t>（一）岗位设置</w:t>
            </w:r>
          </w:p>
          <w:tbl>
            <w:tblPr>
              <w:tblStyle w:val="7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300"/>
              <w:gridCol w:w="1380"/>
              <w:gridCol w:w="705"/>
              <w:gridCol w:w="765"/>
              <w:gridCol w:w="2845"/>
            </w:tblGrid>
            <w:tr w14:paraId="058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5" w:type="dxa"/>
                  <w:noWrap w:val="0"/>
                  <w:vAlign w:val="center"/>
                </w:tcPr>
                <w:p w14:paraId="62A5C1CD">
                  <w:pPr>
                    <w:pStyle w:val="689"/>
                    <w:snapToGrid w:val="0"/>
                    <w:spacing w:line="400" w:lineRule="exact"/>
                    <w:ind w:right="42" w:rightChars="20" w:hanging="1"/>
                    <w:jc w:val="center"/>
                    <w:rPr>
                      <w:rStyle w:val="369"/>
                      <w:rFonts w:ascii="仿宋_GB2312" w:hAnsi="仿宋_GB2312" w:eastAsia="仿宋_GB2312" w:cs="仿宋_GB2312"/>
                      <w:sz w:val="24"/>
                      <w:szCs w:val="24"/>
                    </w:rPr>
                  </w:pPr>
                  <w:r>
                    <w:rPr>
                      <w:rStyle w:val="369"/>
                      <w:rFonts w:hint="eastAsia" w:ascii="仿宋_GB2312" w:hAnsi="仿宋_GB2312" w:eastAsia="仿宋_GB2312" w:cs="仿宋_GB2312"/>
                      <w:sz w:val="24"/>
                      <w:szCs w:val="24"/>
                    </w:rPr>
                    <w:t>序号</w:t>
                  </w:r>
                </w:p>
              </w:tc>
              <w:tc>
                <w:tcPr>
                  <w:tcW w:w="1300" w:type="dxa"/>
                  <w:noWrap w:val="0"/>
                  <w:vAlign w:val="center"/>
                </w:tcPr>
                <w:p w14:paraId="32328C97">
                  <w:pPr>
                    <w:pStyle w:val="689"/>
                    <w:snapToGrid w:val="0"/>
                    <w:spacing w:line="400" w:lineRule="exact"/>
                    <w:ind w:right="42" w:rightChars="20" w:hanging="1"/>
                    <w:jc w:val="center"/>
                    <w:rPr>
                      <w:rStyle w:val="369"/>
                      <w:rFonts w:hint="eastAsia" w:ascii="仿宋_GB2312" w:hAnsi="仿宋_GB2312" w:eastAsia="仿宋_GB2312" w:cs="仿宋_GB2312"/>
                      <w:sz w:val="24"/>
                      <w:szCs w:val="24"/>
                      <w:lang w:eastAsia="zh-CN"/>
                    </w:rPr>
                  </w:pPr>
                  <w:r>
                    <w:rPr>
                      <w:rStyle w:val="369"/>
                      <w:rFonts w:hint="eastAsia" w:ascii="仿宋_GB2312" w:hAnsi="仿宋_GB2312" w:eastAsia="仿宋_GB2312" w:cs="仿宋_GB2312"/>
                      <w:sz w:val="24"/>
                      <w:szCs w:val="24"/>
                    </w:rPr>
                    <w:t>值班岗位</w:t>
                  </w:r>
                </w:p>
              </w:tc>
              <w:tc>
                <w:tcPr>
                  <w:tcW w:w="1380" w:type="dxa"/>
                  <w:noWrap w:val="0"/>
                  <w:vAlign w:val="center"/>
                </w:tcPr>
                <w:p w14:paraId="7E8C6C5F">
                  <w:pPr>
                    <w:pStyle w:val="689"/>
                    <w:snapToGrid w:val="0"/>
                    <w:spacing w:line="400" w:lineRule="exact"/>
                    <w:ind w:right="42" w:rightChars="20"/>
                    <w:jc w:val="center"/>
                    <w:rPr>
                      <w:rStyle w:val="369"/>
                      <w:rFonts w:hint="eastAsia" w:ascii="仿宋_GB2312" w:hAnsi="仿宋_GB2312" w:eastAsia="仿宋_GB2312" w:cs="仿宋_GB2312"/>
                      <w:sz w:val="24"/>
                      <w:szCs w:val="24"/>
                      <w:lang w:eastAsia="zh-CN"/>
                    </w:rPr>
                  </w:pPr>
                  <w:r>
                    <w:rPr>
                      <w:rStyle w:val="369"/>
                      <w:rFonts w:ascii="仿宋_GB2312" w:hAnsi="仿宋_GB2312" w:eastAsia="仿宋_GB2312" w:cs="仿宋_GB2312"/>
                      <w:sz w:val="24"/>
                      <w:szCs w:val="24"/>
                    </w:rPr>
                    <w:t>工作</w:t>
                  </w:r>
                  <w:r>
                    <w:rPr>
                      <w:rStyle w:val="369"/>
                      <w:rFonts w:hint="eastAsia" w:ascii="仿宋_GB2312" w:hAnsi="仿宋_GB2312" w:eastAsia="仿宋_GB2312" w:cs="仿宋_GB2312"/>
                      <w:sz w:val="24"/>
                      <w:szCs w:val="24"/>
                      <w:lang w:eastAsia="zh-CN"/>
                    </w:rPr>
                    <w:t>地点</w:t>
                  </w:r>
                </w:p>
              </w:tc>
              <w:tc>
                <w:tcPr>
                  <w:tcW w:w="1470" w:type="dxa"/>
                  <w:gridSpan w:val="2"/>
                  <w:noWrap w:val="0"/>
                  <w:vAlign w:val="center"/>
                </w:tcPr>
                <w:p w14:paraId="30F09A27">
                  <w:pPr>
                    <w:pStyle w:val="689"/>
                    <w:snapToGrid w:val="0"/>
                    <w:spacing w:line="400" w:lineRule="exact"/>
                    <w:ind w:right="42" w:rightChars="20"/>
                    <w:jc w:val="center"/>
                    <w:rPr>
                      <w:rStyle w:val="369"/>
                      <w:rFonts w:hint="eastAsia" w:ascii="仿宋_GB2312" w:hAnsi="仿宋_GB2312" w:eastAsia="仿宋_GB2312" w:cs="仿宋_GB2312"/>
                      <w:sz w:val="24"/>
                      <w:szCs w:val="24"/>
                    </w:rPr>
                  </w:pPr>
                  <w:r>
                    <w:rPr>
                      <w:rStyle w:val="369"/>
                      <w:rFonts w:hint="eastAsia" w:ascii="仿宋_GB2312" w:hAnsi="仿宋_GB2312" w:eastAsia="仿宋_GB2312" w:cs="仿宋_GB2312"/>
                      <w:sz w:val="24"/>
                      <w:szCs w:val="24"/>
                    </w:rPr>
                    <w:t>岗位人数</w:t>
                  </w:r>
                </w:p>
              </w:tc>
              <w:tc>
                <w:tcPr>
                  <w:tcW w:w="2845" w:type="dxa"/>
                  <w:noWrap w:val="0"/>
                  <w:vAlign w:val="center"/>
                </w:tcPr>
                <w:p w14:paraId="7A79B3B7">
                  <w:pPr>
                    <w:pStyle w:val="689"/>
                    <w:snapToGrid w:val="0"/>
                    <w:spacing w:line="400" w:lineRule="exact"/>
                    <w:ind w:right="42" w:rightChars="20"/>
                    <w:jc w:val="center"/>
                    <w:rPr>
                      <w:rStyle w:val="369"/>
                      <w:rFonts w:ascii="仿宋_GB2312" w:hAnsi="仿宋_GB2312" w:eastAsia="仿宋_GB2312" w:cs="仿宋_GB2312"/>
                      <w:sz w:val="24"/>
                      <w:szCs w:val="24"/>
                    </w:rPr>
                  </w:pPr>
                  <w:r>
                    <w:rPr>
                      <w:rStyle w:val="369"/>
                      <w:rFonts w:ascii="仿宋_GB2312" w:hAnsi="仿宋_GB2312" w:eastAsia="仿宋_GB2312" w:cs="仿宋_GB2312"/>
                      <w:sz w:val="24"/>
                      <w:szCs w:val="24"/>
                    </w:rPr>
                    <w:t>备注</w:t>
                  </w:r>
                </w:p>
              </w:tc>
            </w:tr>
            <w:tr w14:paraId="2F03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14:paraId="14EEFC76">
                  <w:pPr>
                    <w:pStyle w:val="588"/>
                    <w:spacing w:line="240" w:lineRule="auto"/>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1</w:t>
                  </w:r>
                </w:p>
              </w:tc>
              <w:tc>
                <w:tcPr>
                  <w:tcW w:w="1300" w:type="dxa"/>
                  <w:noWrap w:val="0"/>
                  <w:vAlign w:val="center"/>
                </w:tcPr>
                <w:p w14:paraId="51DC6C0D">
                  <w:pPr>
                    <w:pStyle w:val="588"/>
                    <w:spacing w:line="420" w:lineRule="exact"/>
                    <w:ind w:right="42" w:rightChars="20"/>
                    <w:jc w:val="center"/>
                    <w:rPr>
                      <w:rStyle w:val="241"/>
                      <w:rFonts w:hint="eastAsia" w:ascii="仿宋_GB2312" w:hAnsi="仿宋_GB2312" w:eastAsia="仿宋_GB2312" w:cs="仿宋_GB2312"/>
                      <w:sz w:val="24"/>
                      <w:szCs w:val="24"/>
                      <w:lang w:val="en-US" w:eastAsia="zh-CN"/>
                    </w:rPr>
                  </w:pPr>
                  <w:r>
                    <w:rPr>
                      <w:rStyle w:val="241"/>
                      <w:rFonts w:hint="eastAsia" w:ascii="仿宋_GB2312" w:hAnsi="仿宋_GB2312" w:eastAsia="仿宋_GB2312" w:cs="仿宋_GB2312"/>
                      <w:sz w:val="24"/>
                      <w:szCs w:val="24"/>
                    </w:rPr>
                    <w:t>驻点岗</w:t>
                  </w:r>
                </w:p>
              </w:tc>
              <w:tc>
                <w:tcPr>
                  <w:tcW w:w="1380" w:type="dxa"/>
                  <w:noWrap w:val="0"/>
                  <w:vAlign w:val="top"/>
                </w:tcPr>
                <w:p w14:paraId="10C3D4E5">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文昌路66号办公区</w:t>
                  </w:r>
                </w:p>
              </w:tc>
              <w:tc>
                <w:tcPr>
                  <w:tcW w:w="705" w:type="dxa"/>
                  <w:noWrap w:val="0"/>
                  <w:vAlign w:val="center"/>
                </w:tcPr>
                <w:p w14:paraId="4AC6982E">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6人</w:t>
                  </w:r>
                </w:p>
              </w:tc>
              <w:tc>
                <w:tcPr>
                  <w:tcW w:w="765" w:type="dxa"/>
                  <w:vMerge w:val="restart"/>
                  <w:noWrap w:val="0"/>
                  <w:vAlign w:val="center"/>
                </w:tcPr>
                <w:p w14:paraId="7F157441">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lang w:val="en-US" w:eastAsia="zh-CN"/>
                    </w:rPr>
                    <w:t>2</w:t>
                  </w:r>
                  <w:r>
                    <w:rPr>
                      <w:rStyle w:val="241"/>
                      <w:rFonts w:hint="eastAsia" w:ascii="仿宋_GB2312" w:hAnsi="仿宋_GB2312" w:eastAsia="仿宋_GB2312" w:cs="仿宋_GB2312"/>
                      <w:sz w:val="24"/>
                      <w:szCs w:val="24"/>
                    </w:rPr>
                    <w:t>人/班</w:t>
                  </w:r>
                </w:p>
              </w:tc>
              <w:tc>
                <w:tcPr>
                  <w:tcW w:w="2845" w:type="dxa"/>
                  <w:vMerge w:val="restart"/>
                  <w:noWrap w:val="0"/>
                  <w:vAlign w:val="center"/>
                </w:tcPr>
                <w:p w14:paraId="0299E839">
                  <w:pPr>
                    <w:pStyle w:val="588"/>
                    <w:spacing w:line="420" w:lineRule="exact"/>
                    <w:ind w:right="42" w:rightChars="20"/>
                    <w:jc w:val="left"/>
                    <w:rPr>
                      <w:rStyle w:val="369"/>
                      <w:rFonts w:hint="eastAsia" w:ascii="仿宋_GB2312" w:hAnsi="仿宋_GB2312" w:eastAsia="仿宋_GB2312" w:cs="仿宋_GB2312"/>
                      <w:lang w:eastAsia="zh-CN"/>
                    </w:rPr>
                  </w:pPr>
                  <w:r>
                    <w:rPr>
                      <w:rStyle w:val="369"/>
                      <w:rFonts w:hint="eastAsia" w:ascii="仿宋_GB2312" w:hAnsi="仿宋_GB2312" w:eastAsia="仿宋_GB2312" w:cs="仿宋_GB2312"/>
                      <w:sz w:val="24"/>
                      <w:szCs w:val="24"/>
                    </w:rPr>
                    <w:t>合计11人（含项目负责人），各办公区维保技术员休假时由此11人之间互相顶岗，</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自行安排</w:t>
                  </w:r>
                  <w:r>
                    <w:rPr>
                      <w:rStyle w:val="369"/>
                      <w:rFonts w:hint="eastAsia" w:ascii="仿宋_GB2312" w:hAnsi="仿宋_GB2312" w:eastAsia="仿宋_GB2312" w:cs="仿宋_GB2312"/>
                      <w:sz w:val="24"/>
                      <w:szCs w:val="24"/>
                      <w:lang w:eastAsia="zh-CN"/>
                    </w:rPr>
                    <w:t>。</w:t>
                  </w:r>
                </w:p>
              </w:tc>
            </w:tr>
            <w:tr w14:paraId="3A35A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5" w:type="dxa"/>
                  <w:noWrap w:val="0"/>
                  <w:vAlign w:val="center"/>
                </w:tcPr>
                <w:p w14:paraId="03F80557">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2</w:t>
                  </w:r>
                </w:p>
              </w:tc>
              <w:tc>
                <w:tcPr>
                  <w:tcW w:w="1300" w:type="dxa"/>
                  <w:noWrap w:val="0"/>
                  <w:vAlign w:val="center"/>
                </w:tcPr>
                <w:p w14:paraId="1D309FD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行政岗</w:t>
                  </w:r>
                </w:p>
              </w:tc>
              <w:tc>
                <w:tcPr>
                  <w:tcW w:w="1380" w:type="dxa"/>
                  <w:noWrap w:val="0"/>
                  <w:vAlign w:val="top"/>
                </w:tcPr>
                <w:p w14:paraId="4F284742">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鱼峰区新柳大道91号办公区</w:t>
                  </w:r>
                </w:p>
              </w:tc>
              <w:tc>
                <w:tcPr>
                  <w:tcW w:w="705" w:type="dxa"/>
                  <w:noWrap w:val="0"/>
                  <w:vAlign w:val="center"/>
                </w:tcPr>
                <w:p w14:paraId="73D7B6C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2人</w:t>
                  </w:r>
                </w:p>
              </w:tc>
              <w:tc>
                <w:tcPr>
                  <w:tcW w:w="765" w:type="dxa"/>
                  <w:vMerge w:val="continue"/>
                  <w:noWrap w:val="0"/>
                  <w:vAlign w:val="center"/>
                </w:tcPr>
                <w:p w14:paraId="32E9B1BF">
                  <w:pPr>
                    <w:pStyle w:val="588"/>
                    <w:spacing w:line="420" w:lineRule="exact"/>
                    <w:ind w:right="42" w:rightChars="20"/>
                    <w:jc w:val="center"/>
                    <w:rPr>
                      <w:rStyle w:val="241"/>
                      <w:rFonts w:hint="eastAsia" w:ascii="仿宋_GB2312" w:hAnsi="仿宋_GB2312" w:eastAsia="仿宋_GB2312" w:cs="仿宋_GB2312"/>
                      <w:sz w:val="24"/>
                      <w:szCs w:val="24"/>
                    </w:rPr>
                  </w:pPr>
                </w:p>
              </w:tc>
              <w:tc>
                <w:tcPr>
                  <w:tcW w:w="2845" w:type="dxa"/>
                  <w:vMerge w:val="continue"/>
                  <w:noWrap w:val="0"/>
                  <w:vAlign w:val="center"/>
                </w:tcPr>
                <w:p w14:paraId="36F952B5">
                  <w:pPr>
                    <w:pStyle w:val="595"/>
                    <w:rPr>
                      <w:rStyle w:val="369"/>
                      <w:rFonts w:ascii="仿宋_GB2312" w:hAnsi="仿宋_GB2312" w:eastAsia="仿宋_GB2312" w:cs="仿宋_GB2312"/>
                    </w:rPr>
                  </w:pPr>
                </w:p>
              </w:tc>
            </w:tr>
            <w:tr w14:paraId="6BF28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15" w:type="dxa"/>
                  <w:noWrap w:val="0"/>
                  <w:vAlign w:val="center"/>
                </w:tcPr>
                <w:p w14:paraId="342DF7EF">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lang w:val="en-US" w:eastAsia="zh-CN"/>
                    </w:rPr>
                    <w:t>3</w:t>
                  </w:r>
                </w:p>
              </w:tc>
              <w:tc>
                <w:tcPr>
                  <w:tcW w:w="1300" w:type="dxa"/>
                  <w:noWrap w:val="0"/>
                  <w:vAlign w:val="center"/>
                </w:tcPr>
                <w:p w14:paraId="493C5BF0">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巡检岗</w:t>
                  </w:r>
                </w:p>
              </w:tc>
              <w:tc>
                <w:tcPr>
                  <w:tcW w:w="1380" w:type="dxa"/>
                  <w:noWrap w:val="0"/>
                  <w:vAlign w:val="center"/>
                </w:tcPr>
                <w:p w14:paraId="7CC9FF56">
                  <w:pPr>
                    <w:pStyle w:val="588"/>
                    <w:spacing w:line="420" w:lineRule="exact"/>
                    <w:ind w:right="42" w:rightChars="20"/>
                    <w:jc w:val="center"/>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其它办公区</w:t>
                  </w:r>
                </w:p>
              </w:tc>
              <w:tc>
                <w:tcPr>
                  <w:tcW w:w="705" w:type="dxa"/>
                  <w:noWrap w:val="0"/>
                  <w:vAlign w:val="center"/>
                </w:tcPr>
                <w:p w14:paraId="457FB267">
                  <w:pPr>
                    <w:pStyle w:val="588"/>
                    <w:spacing w:line="420" w:lineRule="exact"/>
                    <w:ind w:right="42" w:rightChars="20"/>
                    <w:jc w:val="center"/>
                    <w:rPr>
                      <w:rStyle w:val="241"/>
                      <w:rFonts w:hint="eastAsia" w:ascii="仿宋_GB2312" w:hAnsi="仿宋_GB2312" w:eastAsia="仿宋_GB2312" w:cs="仿宋_GB2312"/>
                      <w:sz w:val="24"/>
                      <w:szCs w:val="24"/>
                      <w:lang w:eastAsia="zh-CN"/>
                    </w:rPr>
                  </w:pPr>
                  <w:r>
                    <w:rPr>
                      <w:rStyle w:val="241"/>
                      <w:rFonts w:hint="eastAsia" w:ascii="仿宋_GB2312" w:hAnsi="仿宋_GB2312" w:eastAsia="仿宋_GB2312" w:cs="仿宋_GB2312"/>
                      <w:sz w:val="24"/>
                      <w:szCs w:val="24"/>
                    </w:rPr>
                    <w:t>3人</w:t>
                  </w:r>
                </w:p>
              </w:tc>
              <w:tc>
                <w:tcPr>
                  <w:tcW w:w="765" w:type="dxa"/>
                  <w:vMerge w:val="continue"/>
                  <w:noWrap w:val="0"/>
                  <w:vAlign w:val="center"/>
                </w:tcPr>
                <w:p w14:paraId="709D4527">
                  <w:pPr>
                    <w:pStyle w:val="588"/>
                    <w:spacing w:line="420" w:lineRule="exact"/>
                    <w:ind w:right="42" w:rightChars="20"/>
                    <w:jc w:val="center"/>
                    <w:rPr>
                      <w:rStyle w:val="241"/>
                      <w:rFonts w:hint="eastAsia" w:ascii="仿宋_GB2312" w:hAnsi="仿宋_GB2312" w:eastAsia="仿宋_GB2312" w:cs="仿宋_GB2312"/>
                      <w:sz w:val="24"/>
                      <w:szCs w:val="24"/>
                      <w:lang w:eastAsia="zh-CN"/>
                    </w:rPr>
                  </w:pPr>
                </w:p>
              </w:tc>
              <w:tc>
                <w:tcPr>
                  <w:tcW w:w="2845" w:type="dxa"/>
                  <w:vMerge w:val="continue"/>
                  <w:noWrap w:val="0"/>
                  <w:vAlign w:val="center"/>
                </w:tcPr>
                <w:p w14:paraId="182E4074">
                  <w:pPr>
                    <w:pStyle w:val="588"/>
                    <w:spacing w:line="420" w:lineRule="exact"/>
                    <w:ind w:right="42" w:rightChars="20"/>
                    <w:jc w:val="left"/>
                    <w:rPr>
                      <w:rStyle w:val="369"/>
                      <w:rFonts w:hint="eastAsia" w:ascii="仿宋_GB2312" w:hAnsi="仿宋_GB2312" w:eastAsia="仿宋_GB2312" w:cs="仿宋_GB2312"/>
                      <w:lang w:eastAsia="zh-CN"/>
                    </w:rPr>
                  </w:pPr>
                </w:p>
              </w:tc>
            </w:tr>
          </w:tbl>
          <w:p w14:paraId="5B0622B6">
            <w:pPr>
              <w:pStyle w:val="536"/>
              <w:spacing w:line="420" w:lineRule="exact"/>
              <w:ind w:right="42" w:rightChars="20" w:firstLine="482" w:firstLineChars="200"/>
              <w:rPr>
                <w:rStyle w:val="241"/>
                <w:rFonts w:ascii="仿宋_GB2312" w:hAnsi="仿宋_GB2312" w:eastAsia="仿宋_GB2312" w:cs="仿宋_GB2312"/>
                <w:b/>
                <w:sz w:val="24"/>
                <w:szCs w:val="24"/>
              </w:rPr>
            </w:pPr>
            <w:r>
              <w:rPr>
                <w:rStyle w:val="241"/>
                <w:rFonts w:hint="eastAsia" w:ascii="仿宋_GB2312" w:hAnsi="仿宋_GB2312" w:eastAsia="仿宋_GB2312" w:cs="仿宋_GB2312"/>
                <w:b/>
                <w:bCs/>
                <w:sz w:val="24"/>
                <w:szCs w:val="24"/>
              </w:rPr>
              <w:t>（二）</w:t>
            </w:r>
            <w:r>
              <w:rPr>
                <w:rStyle w:val="241"/>
                <w:rFonts w:ascii="仿宋_GB2312" w:hAnsi="仿宋_GB2312" w:eastAsia="仿宋_GB2312" w:cs="仿宋_GB2312"/>
                <w:b/>
                <w:sz w:val="24"/>
                <w:szCs w:val="24"/>
              </w:rPr>
              <w:t>岗位人员</w:t>
            </w:r>
            <w:r>
              <w:rPr>
                <w:rStyle w:val="241"/>
                <w:rFonts w:hint="eastAsia" w:ascii="仿宋_GB2312" w:hAnsi="仿宋_GB2312" w:eastAsia="仿宋_GB2312" w:cs="仿宋_GB2312"/>
                <w:b/>
                <w:sz w:val="24"/>
                <w:szCs w:val="24"/>
                <w:lang w:eastAsia="zh-CN"/>
              </w:rPr>
              <w:t>素质及对应岗位工作</w:t>
            </w:r>
            <w:r>
              <w:rPr>
                <w:rStyle w:val="241"/>
                <w:rFonts w:ascii="仿宋_GB2312" w:hAnsi="仿宋_GB2312" w:eastAsia="仿宋_GB2312" w:cs="仿宋_GB2312"/>
                <w:b/>
                <w:sz w:val="24"/>
                <w:szCs w:val="24"/>
              </w:rPr>
              <w:t>要求</w:t>
            </w:r>
          </w:p>
          <w:p w14:paraId="079C4192">
            <w:pPr>
              <w:spacing w:line="420" w:lineRule="exact"/>
              <w:ind w:firstLine="482" w:firstLineChars="200"/>
              <w:rPr>
                <w:rStyle w:val="369"/>
                <w:rFonts w:hint="eastAsia" w:ascii="仿宋_GB2312" w:hAnsi="仿宋_GB2312" w:eastAsia="仿宋_GB2312" w:cs="仿宋_GB2312"/>
                <w:sz w:val="24"/>
                <w:szCs w:val="24"/>
              </w:rPr>
            </w:pPr>
            <w:r>
              <w:rPr>
                <w:rFonts w:hint="eastAsia" w:ascii="仿宋_GB2312" w:hAnsi="仿宋_GB2312" w:eastAsia="仿宋_GB2312" w:cs="仿宋_GB2312"/>
                <w:b/>
                <w:bCs/>
                <w:sz w:val="24"/>
              </w:rPr>
              <w:t>1.维保技术员：</w:t>
            </w: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名专业维保技术员，年龄</w:t>
            </w:r>
            <w:r>
              <w:rPr>
                <w:rFonts w:hint="eastAsia" w:ascii="仿宋_GB2312" w:hAnsi="仿宋_GB2312" w:eastAsia="仿宋_GB2312" w:cs="仿宋_GB2312"/>
                <w:sz w:val="24"/>
                <w:lang w:eastAsia="zh-CN"/>
              </w:rPr>
              <w:t>必须在法定</w:t>
            </w:r>
            <w:r>
              <w:rPr>
                <w:rFonts w:hint="eastAsia" w:ascii="仿宋_GB2312" w:hAnsi="仿宋_GB2312" w:eastAsia="仿宋_GB2312" w:cs="仿宋_GB2312"/>
                <w:sz w:val="24"/>
              </w:rPr>
              <w:t>退休年龄</w:t>
            </w:r>
            <w:r>
              <w:rPr>
                <w:rFonts w:hint="eastAsia" w:ascii="仿宋_GB2312" w:hAnsi="仿宋_GB2312" w:eastAsia="仿宋_GB2312" w:cs="仿宋_GB2312"/>
                <w:sz w:val="24"/>
                <w:lang w:eastAsia="zh-CN"/>
              </w:rPr>
              <w:t>内，</w:t>
            </w:r>
            <w:r>
              <w:rPr>
                <w:rFonts w:hint="eastAsia" w:ascii="仿宋_GB2312" w:hAnsi="仿宋_GB2312" w:eastAsia="仿宋_GB2312" w:cs="仿宋_GB2312"/>
                <w:sz w:val="24"/>
              </w:rPr>
              <w:t>高中或中专及以上学历，有1年及以上高低压配电系统（0.4KV以上）维保工作经验，身体健康，形象良好，无不良记录，无特种作业禁忌症。所有专业维保技术员均须持有有效的《中华人民共和国特种作业操作证》（高压电工作业、低压电工作业）（进场时须提供证件原件给采购人核验并提交复印件备案，电子证书提供电子版文件及打印件备案），所有专业维保人员须统一着装、佩戴工作牌证，按《办公区高低压配电系统维保服务考核办法》（详见附件一）中设定的职责要求、本采购需求及电力行业相关国家规范开展工作。项目服务期间，维保技术员如有</w:t>
            </w:r>
            <w:r>
              <w:rPr>
                <w:rFonts w:hint="eastAsia" w:ascii="仿宋_GB2312" w:hAnsi="仿宋_GB2312" w:eastAsia="仿宋_GB2312" w:cs="仿宋_GB2312"/>
                <w:sz w:val="24"/>
                <w:lang w:eastAsia="zh-CN"/>
              </w:rPr>
              <w:t>更换</w:t>
            </w:r>
            <w:r>
              <w:rPr>
                <w:rFonts w:hint="eastAsia" w:ascii="仿宋_GB2312" w:hAnsi="仿宋_GB2312" w:eastAsia="仿宋_GB2312" w:cs="仿宋_GB2312"/>
                <w:sz w:val="24"/>
              </w:rPr>
              <w:t>，</w:t>
            </w:r>
            <w:r>
              <w:rPr>
                <w:rFonts w:hint="eastAsia" w:ascii="仿宋_GB2312" w:hAnsi="仿宋_GB2312" w:eastAsia="仿宋_GB2312" w:cs="仿宋_GB2312"/>
                <w:sz w:val="24"/>
                <w:szCs w:val="21"/>
                <w:lang w:bidi="ar"/>
              </w:rPr>
              <w:t>需在原</w:t>
            </w:r>
            <w:r>
              <w:rPr>
                <w:rFonts w:hint="eastAsia" w:ascii="仿宋_GB2312" w:hAnsi="仿宋_GB2312" w:eastAsia="仿宋_GB2312" w:cs="仿宋_GB2312"/>
                <w:sz w:val="24"/>
              </w:rPr>
              <w:t>维保技术员</w:t>
            </w:r>
            <w:r>
              <w:rPr>
                <w:rFonts w:hint="eastAsia" w:ascii="仿宋_GB2312" w:hAnsi="仿宋_GB2312" w:eastAsia="仿宋_GB2312" w:cs="仿宋_GB2312"/>
                <w:sz w:val="24"/>
                <w:szCs w:val="21"/>
                <w:lang w:bidi="ar"/>
              </w:rPr>
              <w:t>离职前7天以书面形式向采购人申请，</w:t>
            </w:r>
            <w:r>
              <w:rPr>
                <w:rFonts w:hint="eastAsia" w:ascii="仿宋_GB2312" w:hAnsi="仿宋_GB2312" w:eastAsia="仿宋_GB2312" w:cs="仿宋_GB2312"/>
                <w:sz w:val="24"/>
              </w:rPr>
              <w:t>征得采购人同意，并在老员工离职前配备新员工到岗，且人员资质、资历、证书等应不低于原维保人员（含采购需求</w:t>
            </w:r>
            <w:r>
              <w:rPr>
                <w:rFonts w:hint="eastAsia" w:ascii="仿宋_GB2312" w:hAnsi="仿宋_GB2312" w:eastAsia="仿宋_GB2312" w:cs="仿宋_GB2312"/>
                <w:sz w:val="24"/>
                <w:lang w:eastAsia="zh-CN"/>
              </w:rPr>
              <w:t>、投标</w:t>
            </w:r>
            <w:r>
              <w:rPr>
                <w:rFonts w:hint="eastAsia" w:ascii="仿宋_GB2312" w:hAnsi="仿宋_GB2312" w:eastAsia="仿宋_GB2312" w:cs="仿宋_GB2312"/>
                <w:sz w:val="24"/>
              </w:rPr>
              <w:t>文件的资质条件）。</w:t>
            </w:r>
            <w:r>
              <w:rPr>
                <w:rStyle w:val="369"/>
                <w:rFonts w:hint="eastAsia" w:ascii="仿宋_GB2312" w:hAnsi="仿宋_GB2312" w:eastAsia="仿宋_GB2312" w:cs="仿宋_GB2312"/>
                <w:sz w:val="24"/>
                <w:szCs w:val="24"/>
              </w:rPr>
              <w:t>维保技术员轮休时，只能由上述1</w:t>
            </w:r>
            <w:r>
              <w:rPr>
                <w:rStyle w:val="369"/>
                <w:rFonts w:hint="eastAsia" w:ascii="仿宋_GB2312" w:hAnsi="仿宋_GB2312" w:eastAsia="仿宋_GB2312" w:cs="仿宋_GB2312"/>
                <w:sz w:val="24"/>
                <w:szCs w:val="24"/>
                <w:lang w:val="en-US" w:eastAsia="zh-CN"/>
              </w:rPr>
              <w:t>0</w:t>
            </w:r>
            <w:r>
              <w:rPr>
                <w:rStyle w:val="369"/>
                <w:rFonts w:hint="eastAsia" w:ascii="仿宋_GB2312" w:hAnsi="仿宋_GB2312" w:eastAsia="仿宋_GB2312" w:cs="仿宋_GB2312"/>
                <w:sz w:val="24"/>
                <w:szCs w:val="24"/>
              </w:rPr>
              <w:t>名专业维保技术员</w:t>
            </w:r>
            <w:r>
              <w:rPr>
                <w:rStyle w:val="369"/>
                <w:rFonts w:hint="eastAsia" w:ascii="仿宋_GB2312" w:hAnsi="仿宋_GB2312" w:eastAsia="仿宋_GB2312" w:cs="仿宋_GB2312"/>
                <w:sz w:val="24"/>
                <w:szCs w:val="24"/>
                <w:lang w:val="en-US" w:eastAsia="zh-CN"/>
              </w:rPr>
              <w:t>和项目负责人</w:t>
            </w:r>
            <w:r>
              <w:rPr>
                <w:rStyle w:val="369"/>
                <w:rFonts w:hint="eastAsia" w:ascii="仿宋_GB2312" w:hAnsi="仿宋_GB2312" w:eastAsia="仿宋_GB2312" w:cs="仿宋_GB2312"/>
                <w:sz w:val="24"/>
                <w:szCs w:val="24"/>
              </w:rPr>
              <w:t>之间互相顶岗，不能从项目外选择人员顶岗。</w:t>
            </w:r>
          </w:p>
          <w:p w14:paraId="30D988EB">
            <w:pPr>
              <w:spacing w:line="420" w:lineRule="exact"/>
              <w:ind w:firstLine="482" w:firstLineChars="200"/>
              <w:rPr>
                <w:rStyle w:val="369"/>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lang w:val="en-US" w:eastAsia="zh-CN"/>
              </w:rPr>
              <w:t>2.项目负责人：</w:t>
            </w:r>
            <w:r>
              <w:rPr>
                <w:rFonts w:hint="eastAsia" w:ascii="仿宋_GB2312" w:hAnsi="仿宋_GB2312" w:eastAsia="仿宋_GB2312" w:cs="仿宋_GB2312"/>
                <w:b w:val="0"/>
                <w:bCs w:val="0"/>
                <w:sz w:val="24"/>
                <w:lang w:val="en-US" w:eastAsia="zh-CN"/>
              </w:rPr>
              <w:t>1名，</w:t>
            </w:r>
            <w:r>
              <w:rPr>
                <w:rFonts w:hint="eastAsia" w:ascii="仿宋_GB2312" w:hAnsi="仿宋_GB2312" w:eastAsia="仿宋_GB2312" w:cs="仿宋_GB2312"/>
                <w:sz w:val="24"/>
              </w:rPr>
              <w:t>年龄</w:t>
            </w:r>
            <w:r>
              <w:rPr>
                <w:rFonts w:hint="eastAsia" w:ascii="仿宋_GB2312" w:hAnsi="仿宋_GB2312" w:eastAsia="仿宋_GB2312" w:cs="仿宋_GB2312"/>
                <w:sz w:val="24"/>
                <w:lang w:eastAsia="zh-CN"/>
              </w:rPr>
              <w:t>必须在法定</w:t>
            </w:r>
            <w:r>
              <w:rPr>
                <w:rFonts w:hint="eastAsia" w:ascii="仿宋_GB2312" w:hAnsi="仿宋_GB2312" w:eastAsia="仿宋_GB2312" w:cs="仿宋_GB2312"/>
                <w:sz w:val="24"/>
              </w:rPr>
              <w:t>退休年龄</w:t>
            </w:r>
            <w:r>
              <w:rPr>
                <w:rFonts w:hint="eastAsia" w:ascii="仿宋_GB2312" w:hAnsi="仿宋_GB2312" w:eastAsia="仿宋_GB2312" w:cs="仿宋_GB2312"/>
                <w:sz w:val="24"/>
                <w:lang w:eastAsia="zh-CN"/>
              </w:rPr>
              <w:t>内，</w:t>
            </w:r>
            <w:r>
              <w:rPr>
                <w:rFonts w:hint="eastAsia" w:ascii="仿宋_GB2312" w:hAnsi="仿宋_GB2312" w:eastAsia="仿宋_GB2312" w:cs="仿宋_GB2312"/>
                <w:sz w:val="24"/>
              </w:rPr>
              <w:t>高中或中专及以上学历，有5年相关管理及技术工作经验</w:t>
            </w:r>
            <w:r>
              <w:rPr>
                <w:rFonts w:hint="eastAsia" w:ascii="Arial" w:hAnsi="Arial" w:eastAsia="仿宋_GB2312" w:cs="Arial"/>
                <w:sz w:val="21"/>
              </w:rPr>
              <w:t>，</w:t>
            </w:r>
            <w:r>
              <w:rPr>
                <w:rStyle w:val="369"/>
                <w:rFonts w:hint="eastAsia" w:ascii="仿宋_GB2312" w:hAnsi="仿宋_GB2312" w:eastAsia="仿宋_GB2312" w:cs="仿宋_GB2312"/>
                <w:sz w:val="24"/>
                <w:szCs w:val="24"/>
              </w:rPr>
              <w:t>且行政班期间于文昌路66号办公区值班室在岗值班，值班期间离开值班室至其它办公区域巡查、处理故障、协调安排维保事项等时应征得采购人同意。项目负责人除负责日常专职技术员的工作外，还需负责办公区（即本需求涉及的所有办公区）高低压配电系统维保服务的沟通协调工作，并负责对所有维保人员的管理工作。除特殊情况（如离职、重大疾病等）外，项目负责人在项目维保期内不得更换；如有</w:t>
            </w:r>
            <w:r>
              <w:rPr>
                <w:rStyle w:val="369"/>
                <w:rFonts w:hint="eastAsia" w:ascii="仿宋_GB2312" w:hAnsi="仿宋_GB2312" w:eastAsia="仿宋_GB2312" w:cs="仿宋_GB2312"/>
                <w:sz w:val="24"/>
                <w:szCs w:val="24"/>
                <w:lang w:eastAsia="zh-CN"/>
              </w:rPr>
              <w:t>更换</w:t>
            </w:r>
            <w:r>
              <w:rPr>
                <w:rStyle w:val="369"/>
                <w:rFonts w:hint="eastAsia" w:ascii="仿宋_GB2312" w:hAnsi="仿宋_GB2312" w:eastAsia="仿宋_GB2312" w:cs="仿宋_GB2312"/>
                <w:sz w:val="24"/>
                <w:szCs w:val="24"/>
              </w:rPr>
              <w:t>，</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需在原项目负责人离职前30天以书面形式向采购人申请，征得采购人同意，且人员资质、资历、证书等应不低于原项目负责人（含采购需求</w:t>
            </w:r>
            <w:r>
              <w:rPr>
                <w:rStyle w:val="369"/>
                <w:rFonts w:hint="eastAsia" w:ascii="仿宋_GB2312" w:hAnsi="仿宋_GB2312" w:eastAsia="仿宋_GB2312" w:cs="仿宋_GB2312"/>
                <w:sz w:val="24"/>
                <w:szCs w:val="24"/>
                <w:lang w:eastAsia="zh-CN"/>
              </w:rPr>
              <w:t>、投标</w:t>
            </w:r>
            <w:r>
              <w:rPr>
                <w:rStyle w:val="369"/>
                <w:rFonts w:hint="eastAsia" w:ascii="仿宋_GB2312" w:hAnsi="仿宋_GB2312" w:eastAsia="仿宋_GB2312" w:cs="仿宋_GB2312"/>
                <w:sz w:val="24"/>
                <w:szCs w:val="24"/>
              </w:rPr>
              <w:t>文件的资质条件）。项目负责人只服务于该项目，不得由</w:t>
            </w:r>
            <w:r>
              <w:rPr>
                <w:rStyle w:val="369"/>
                <w:rFonts w:hint="eastAsia" w:ascii="仿宋_GB2312" w:hAnsi="仿宋_GB2312" w:eastAsia="仿宋_GB2312" w:cs="仿宋_GB2312"/>
                <w:sz w:val="24"/>
                <w:szCs w:val="24"/>
                <w:lang w:eastAsia="zh-CN"/>
              </w:rPr>
              <w:t>投标人</w:t>
            </w:r>
            <w:r>
              <w:rPr>
                <w:rStyle w:val="369"/>
                <w:rFonts w:hint="eastAsia" w:ascii="仿宋_GB2312" w:hAnsi="仿宋_GB2312" w:eastAsia="仿宋_GB2312" w:cs="仿宋_GB2312"/>
                <w:sz w:val="24"/>
                <w:szCs w:val="24"/>
              </w:rPr>
              <w:t>其他人员挂名，以便熟悉现场情况、及时处理问题。</w:t>
            </w:r>
          </w:p>
          <w:p w14:paraId="78680F2D">
            <w:pPr>
              <w:spacing w:line="420" w:lineRule="exact"/>
              <w:ind w:firstLine="482" w:firstLineChars="200"/>
              <w:rPr>
                <w:rFonts w:hint="eastAsia" w:ascii="仿宋_GB2312" w:hAnsi="仿宋_GB2312" w:eastAsia="仿宋_GB2312" w:cs="仿宋_GB2312"/>
                <w:sz w:val="24"/>
              </w:rPr>
            </w:pPr>
            <w:r>
              <w:rPr>
                <w:rFonts w:hint="eastAsia" w:ascii="仿宋_GB2312" w:hAnsi="仿宋_GB2312" w:eastAsia="仿宋_GB2312" w:cs="仿宋_GB2312"/>
                <w:b/>
                <w:bCs/>
                <w:sz w:val="24"/>
              </w:rPr>
              <w:t>3.</w:t>
            </w:r>
            <w:r>
              <w:rPr>
                <w:rFonts w:hint="eastAsia" w:ascii="仿宋_GB2312" w:hAnsi="仿宋_GB2312" w:eastAsia="仿宋_GB2312" w:cs="仿宋_GB2312"/>
                <w:b/>
                <w:bCs/>
                <w:sz w:val="24"/>
                <w:lang w:val="en-US" w:eastAsia="zh-CN"/>
              </w:rPr>
              <w:t>文昌路66号办公区维保技术员：</w:t>
            </w:r>
            <w:r>
              <w:rPr>
                <w:rStyle w:val="369"/>
                <w:rFonts w:hint="eastAsia" w:ascii="仿宋_GB2312" w:hAnsi="仿宋_GB2312" w:eastAsia="仿宋_GB2312" w:cs="仿宋_GB2312"/>
                <w:sz w:val="24"/>
                <w:szCs w:val="24"/>
                <w:lang w:val="en-US" w:eastAsia="zh-CN"/>
              </w:rPr>
              <w:t>实施</w:t>
            </w:r>
            <w:r>
              <w:rPr>
                <w:rStyle w:val="369"/>
                <w:rFonts w:hint="eastAsia" w:ascii="仿宋_GB2312" w:hAnsi="仿宋_GB2312" w:eastAsia="仿宋_GB2312" w:cs="仿宋_GB2312"/>
                <w:sz w:val="24"/>
                <w:szCs w:val="24"/>
              </w:rPr>
              <w:t>每天</w:t>
            </w:r>
            <w:r>
              <w:rPr>
                <w:rFonts w:hint="eastAsia" w:ascii="仿宋_GB2312" w:hAnsi="仿宋_GB2312" w:eastAsia="仿宋_GB2312" w:cs="仿宋_GB2312"/>
                <w:bCs/>
                <w:color w:val="000000"/>
                <w:sz w:val="24"/>
              </w:rPr>
              <w:t>24小时三班倒值班制度，节假日及周末需正常值班，每班须安排2名</w:t>
            </w:r>
            <w:r>
              <w:rPr>
                <w:rFonts w:hint="eastAsia" w:ascii="仿宋_GB2312" w:hAnsi="仿宋_GB2312" w:eastAsia="仿宋_GB2312" w:cs="仿宋_GB2312"/>
                <w:sz w:val="24"/>
              </w:rPr>
              <w:t>专业维保</w:t>
            </w:r>
            <w:r>
              <w:rPr>
                <w:rFonts w:hint="eastAsia" w:ascii="仿宋_GB2312" w:hAnsi="仿宋_GB2312" w:eastAsia="仿宋_GB2312" w:cs="仿宋_GB2312"/>
                <w:bCs/>
                <w:color w:val="000000"/>
                <w:sz w:val="24"/>
              </w:rPr>
              <w:t>技术员提供服务，值班期间除巡查取水专变、柴油发电机组以及处理瑞安路9号办公区设备故障或经采购人同意外不可离开文昌路66号办公区值班室区域。值班维保技术员每班值班时间为8小时，每人每天只能在本项目上岗一次</w:t>
            </w:r>
            <w:r>
              <w:rPr>
                <w:rStyle w:val="241"/>
                <w:rFonts w:hint="eastAsia" w:ascii="仿宋_GB2312" w:hAnsi="仿宋_GB2312" w:eastAsia="仿宋_GB2312" w:cs="仿宋_GB2312"/>
                <w:sz w:val="24"/>
                <w:szCs w:val="24"/>
              </w:rPr>
              <w:t>。</w:t>
            </w:r>
          </w:p>
          <w:p w14:paraId="2145CA11">
            <w:pPr>
              <w:pStyle w:val="588"/>
              <w:spacing w:line="420" w:lineRule="exact"/>
              <w:ind w:firstLine="482" w:firstLineChars="200"/>
              <w:jc w:val="left"/>
              <w:rPr>
                <w:rFonts w:hint="eastAsia" w:ascii="仿宋_GB2312" w:hAnsi="仿宋_GB2312" w:eastAsia="仿宋_GB2312" w:cs="仿宋_GB2312"/>
              </w:rPr>
            </w:pPr>
            <w:r>
              <w:rPr>
                <w:rFonts w:hint="eastAsia" w:ascii="仿宋_GB2312" w:hAnsi="仿宋_GB2312" w:eastAsia="仿宋_GB2312" w:cs="仿宋_GB2312"/>
                <w:b/>
                <w:bCs/>
              </w:rPr>
              <w:t>4.鱼峰区新柳大道91号办公区维保技术员：</w:t>
            </w:r>
            <w:r>
              <w:rPr>
                <w:rFonts w:hint="eastAsia" w:ascii="仿宋_GB2312" w:hAnsi="仿宋_GB2312" w:eastAsia="仿宋_GB2312" w:cs="仿宋_GB2312"/>
                <w:bCs/>
                <w:color w:val="000000"/>
              </w:rPr>
              <w:t>行政班期间每天安排</w:t>
            </w:r>
            <w:r>
              <w:rPr>
                <w:rFonts w:hint="eastAsia" w:ascii="仿宋_GB2312" w:hAnsi="仿宋_GB2312" w:eastAsia="仿宋_GB2312" w:cs="仿宋_GB2312"/>
              </w:rPr>
              <w:t>专业维保</w:t>
            </w:r>
            <w:r>
              <w:rPr>
                <w:rFonts w:hint="eastAsia" w:ascii="仿宋_GB2312" w:hAnsi="仿宋_GB2312" w:eastAsia="仿宋_GB2312" w:cs="仿宋_GB2312"/>
                <w:bCs/>
                <w:color w:val="000000"/>
              </w:rPr>
              <w:t>技术员驻点维保，每班2人</w:t>
            </w:r>
            <w:r>
              <w:rPr>
                <w:rFonts w:hint="eastAsia" w:ascii="仿宋_GB2312" w:hAnsi="仿宋_GB2312" w:eastAsia="仿宋_GB2312" w:cs="仿宋_GB2312"/>
                <w:bCs/>
                <w:color w:val="000000"/>
                <w:lang w:eastAsia="zh-CN"/>
              </w:rPr>
              <w:t>，</w:t>
            </w:r>
            <w:r>
              <w:rPr>
                <w:rFonts w:hint="eastAsia" w:ascii="仿宋_GB2312" w:hAnsi="仿宋_GB2312" w:eastAsia="仿宋_GB2312" w:cs="仿宋_GB2312"/>
                <w:bCs/>
                <w:color w:val="000000"/>
              </w:rPr>
              <w:t>值班期间需在职在岗</w:t>
            </w:r>
            <w:r>
              <w:rPr>
                <w:rStyle w:val="241"/>
                <w:rFonts w:hint="eastAsia" w:ascii="仿宋_GB2312" w:hAnsi="仿宋_GB2312" w:eastAsia="仿宋_GB2312" w:cs="仿宋_GB2312"/>
                <w:sz w:val="24"/>
                <w:szCs w:val="24"/>
              </w:rPr>
              <w:t>。</w:t>
            </w:r>
          </w:p>
          <w:p w14:paraId="7666CB4C">
            <w:pPr>
              <w:pStyle w:val="536"/>
              <w:spacing w:line="420" w:lineRule="exact"/>
              <w:ind w:firstLine="482" w:firstLineChars="200"/>
              <w:rPr>
                <w:rFonts w:hint="eastAsia" w:ascii="仿宋_GB2312" w:hAnsi="仿宋_GB2312" w:eastAsia="仿宋_GB2312" w:cs="仿宋_GB2312"/>
                <w:bCs/>
                <w:color w:val="000000"/>
                <w:kern w:val="2"/>
                <w:sz w:val="24"/>
                <w:szCs w:val="24"/>
              </w:rPr>
            </w:pPr>
            <w:r>
              <w:rPr>
                <w:rFonts w:hint="eastAsia" w:ascii="仿宋_GB2312" w:hAnsi="仿宋_GB2312" w:eastAsia="仿宋_GB2312" w:cs="仿宋_GB2312"/>
                <w:b/>
                <w:bCs w:val="0"/>
                <w:color w:val="000000"/>
                <w:kern w:val="2"/>
              </w:rPr>
              <w:t>5.其它办公区维保技术员：</w:t>
            </w:r>
            <w:r>
              <w:rPr>
                <w:rFonts w:hint="eastAsia" w:ascii="仿宋_GB2312" w:hAnsi="仿宋_GB2312" w:eastAsia="仿宋_GB2312" w:cs="仿宋_GB2312"/>
                <w:bCs/>
                <w:color w:val="000000"/>
                <w:kern w:val="2"/>
              </w:rPr>
              <w:t>采用“定期维护保养+24小时应急维修”的服务模式，按日常维修保养服务内容进行巡检，安排2名专业维保技术员同时对变配电设备巡检、保养。其中巡检频次为瑞安路9号</w:t>
            </w:r>
            <w:r>
              <w:rPr>
                <w:rFonts w:hint="eastAsia" w:ascii="仿宋_GB2312" w:hAnsi="仿宋_GB2312" w:eastAsia="仿宋_GB2312" w:cs="仿宋_GB2312"/>
                <w:bCs/>
                <w:color w:val="000000"/>
                <w:kern w:val="2"/>
                <w:lang w:eastAsia="zh-CN"/>
              </w:rPr>
              <w:t>、</w:t>
            </w:r>
            <w:r>
              <w:rPr>
                <w:rFonts w:hint="eastAsia" w:ascii="仿宋_GB2312" w:hAnsi="仿宋_GB2312" w:eastAsia="仿宋_GB2312" w:cs="仿宋_GB2312"/>
                <w:bCs/>
                <w:color w:val="000000"/>
                <w:kern w:val="2"/>
              </w:rPr>
              <w:t>高</w:t>
            </w:r>
            <w:r>
              <w:rPr>
                <w:rFonts w:hint="eastAsia" w:ascii="仿宋_GB2312" w:hAnsi="仿宋_GB2312" w:eastAsia="仿宋_GB2312" w:cs="仿宋_GB2312"/>
                <w:bCs/>
                <w:color w:val="000000"/>
                <w:kern w:val="2"/>
                <w:sz w:val="24"/>
                <w:szCs w:val="24"/>
              </w:rPr>
              <w:t>新一路15号办公区每周5次（按每天一次计，即每周至少有五天进行巡检），</w:t>
            </w:r>
            <w:r>
              <w:rPr>
                <w:rFonts w:hint="eastAsia" w:ascii="仿宋_GB2312" w:hAnsi="仿宋_GB2312" w:eastAsia="仿宋_GB2312" w:cs="仿宋_GB2312"/>
                <w:bCs/>
                <w:color w:val="000000"/>
                <w:kern w:val="2"/>
              </w:rPr>
              <w:t>潭中东路66号</w:t>
            </w:r>
            <w:r>
              <w:rPr>
                <w:rFonts w:hint="eastAsia" w:ascii="仿宋_GB2312" w:hAnsi="仿宋_GB2312" w:eastAsia="仿宋_GB2312" w:cs="仿宋_GB2312"/>
                <w:bCs/>
                <w:color w:val="000000"/>
                <w:kern w:val="2"/>
                <w:sz w:val="24"/>
                <w:szCs w:val="24"/>
              </w:rPr>
              <w:t>、广雅路17号办公区每周1次（按每天一次计）。从2025年12月1日（预计时间，如有变更以采购人通知为准）起，三中路66号办公区巡查每周1次。</w:t>
            </w:r>
          </w:p>
          <w:p w14:paraId="6675BDEB">
            <w:pPr>
              <w:pStyle w:val="588"/>
              <w:spacing w:line="420" w:lineRule="exact"/>
              <w:ind w:right="42" w:rightChars="20" w:firstLine="480" w:firstLineChars="200"/>
              <w:rPr>
                <w:rStyle w:val="241"/>
                <w:rFonts w:hint="eastAsia" w:ascii="仿宋_GB2312" w:hAnsi="仿宋_GB2312" w:eastAsia="仿宋_GB2312" w:cs="仿宋_GB2312"/>
                <w:sz w:val="24"/>
                <w:szCs w:val="24"/>
              </w:rPr>
            </w:pPr>
            <w:r>
              <w:rPr>
                <w:rFonts w:hint="eastAsia" w:ascii="仿宋_GB2312" w:hAnsi="仿宋_GB2312" w:eastAsia="仿宋_GB2312" w:cs="仿宋_GB2312"/>
                <w:b w:val="0"/>
                <w:bCs/>
                <w:color w:val="000000"/>
                <w:kern w:val="2"/>
                <w:sz w:val="24"/>
                <w:szCs w:val="24"/>
              </w:rPr>
              <w:t>注：</w:t>
            </w:r>
            <w:r>
              <w:rPr>
                <w:rFonts w:hint="eastAsia" w:ascii="仿宋_GB2312" w:hAnsi="仿宋_GB2312" w:eastAsia="仿宋_GB2312" w:cs="仿宋_GB2312"/>
                <w:bCs/>
                <w:color w:val="000000"/>
                <w:kern w:val="2"/>
                <w:sz w:val="24"/>
                <w:szCs w:val="24"/>
              </w:rPr>
              <w:t>1.所有维</w:t>
            </w:r>
            <w:r>
              <w:rPr>
                <w:rStyle w:val="241"/>
                <w:rFonts w:hint="eastAsia" w:ascii="仿宋_GB2312" w:hAnsi="仿宋_GB2312" w:eastAsia="仿宋_GB2312" w:cs="仿宋_GB2312"/>
                <w:sz w:val="24"/>
                <w:szCs w:val="24"/>
              </w:rPr>
              <w:t>保技术员上岗时须穿</w:t>
            </w:r>
            <w:r>
              <w:rPr>
                <w:rFonts w:hint="eastAsia" w:ascii="仿宋_GB2312" w:hAnsi="仿宋_GB2312" w:eastAsia="仿宋_GB2312" w:cs="仿宋_GB2312"/>
                <w:lang w:eastAsia="zh-CN"/>
              </w:rPr>
              <w:t>投标人</w:t>
            </w:r>
            <w:r>
              <w:rPr>
                <w:rStyle w:val="241"/>
                <w:rFonts w:hint="eastAsia" w:ascii="仿宋_GB2312" w:hAnsi="仿宋_GB2312" w:eastAsia="仿宋_GB2312" w:cs="仿宋_GB2312"/>
                <w:sz w:val="24"/>
                <w:szCs w:val="24"/>
              </w:rPr>
              <w:t>统一发放的工作服装、佩戴</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统一发放的工作牌；</w:t>
            </w:r>
          </w:p>
          <w:p w14:paraId="008506CB">
            <w:pPr>
              <w:pStyle w:val="588"/>
              <w:spacing w:line="42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2.为保持队伍稳定性，维保技术员每季度的流动不得超过1人，如因工作需要出现人员变动，应由双方协商且得到采购人的同意，未经采购人同意不得抽调维保技术员从事本项目以外的其它任务；</w:t>
            </w:r>
          </w:p>
          <w:p w14:paraId="7CFBAE51">
            <w:pPr>
              <w:pStyle w:val="588"/>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3.所有维保技术员须具有良好的思想道德，无不良记录，必须自觉遵守各项工作纪律、规章制度和工作保密规定，服从工作范围内的安排，以良好的精神面貌认真履行工作职责，并加强工作安全防范和各类流行性疾病防控，杜绝各类工作安全、流行性疾病事故发生。</w:t>
            </w:r>
          </w:p>
          <w:p w14:paraId="133D97EF">
            <w:pPr>
              <w:pStyle w:val="588"/>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4.所有维保技术员必须具备良好的职业道德、业务工作能力和文明工作礼仪。工作期间，坚守岗位，不得脱岗、旷工，严禁酒后上岗，禁止做与工作无关事项，禁止浪费、偷盗、打人、骂人等不文明行为，禁止下班后利用本项目公共设施设备做私人事项，自觉厉行节约节能、垃圾分类投放及爱护本项目各项设施、设备、绿植等公物，具备良好的卫生习惯，工作区域干净整洁、不存放与工作无关物品。</w:t>
            </w:r>
          </w:p>
          <w:p w14:paraId="0D67FECF">
            <w:pPr>
              <w:pStyle w:val="588"/>
              <w:spacing w:line="440" w:lineRule="exact"/>
              <w:ind w:right="42" w:rightChars="20" w:firstLine="480" w:firstLineChars="200"/>
              <w:rPr>
                <w:rFonts w:hint="eastAsia" w:ascii="仿宋_GB2312" w:hAnsi="仿宋_GB2312" w:eastAsia="仿宋_GB2312" w:cs="仿宋_GB2312"/>
                <w:color w:val="auto"/>
              </w:rPr>
            </w:pPr>
            <w:r>
              <w:rPr>
                <w:rStyle w:val="241"/>
                <w:rFonts w:hint="eastAsia" w:ascii="仿宋_GB2312" w:hAnsi="仿宋_GB2312" w:eastAsia="仿宋_GB2312" w:cs="仿宋_GB2312"/>
                <w:color w:val="auto"/>
                <w:sz w:val="24"/>
                <w:szCs w:val="24"/>
              </w:rPr>
              <w:t>5.进场时由采购人按采购需求、</w:t>
            </w:r>
            <w:r>
              <w:rPr>
                <w:rStyle w:val="241"/>
                <w:rFonts w:hint="eastAsia" w:ascii="仿宋_GB2312" w:hAnsi="仿宋_GB2312" w:eastAsia="仿宋_GB2312" w:cs="仿宋_GB2312"/>
                <w:color w:val="auto"/>
                <w:sz w:val="24"/>
                <w:szCs w:val="24"/>
                <w:lang w:val="en-US" w:eastAsia="zh-CN"/>
              </w:rPr>
              <w:t>投标人</w:t>
            </w:r>
            <w:r>
              <w:rPr>
                <w:rStyle w:val="241"/>
                <w:rFonts w:hint="default" w:ascii="仿宋_GB2312" w:hAnsi="仿宋_GB2312" w:eastAsia="仿宋_GB2312" w:cs="仿宋_GB2312"/>
                <w:color w:val="auto"/>
                <w:sz w:val="24"/>
                <w:szCs w:val="24"/>
                <w:lang w:val="en-US"/>
              </w:rPr>
              <w:t>投标</w:t>
            </w:r>
            <w:r>
              <w:rPr>
                <w:rStyle w:val="241"/>
                <w:rFonts w:hint="eastAsia" w:ascii="仿宋_GB2312" w:hAnsi="仿宋_GB2312" w:eastAsia="仿宋_GB2312" w:cs="仿宋_GB2312"/>
                <w:color w:val="auto"/>
                <w:sz w:val="24"/>
                <w:szCs w:val="24"/>
              </w:rPr>
              <w:t>文件对所有服务人员的相关证明材料原件(如工作证明材料、证书、身份证等)、相关证明材料和人员花名册（包含服务人员基本资料、照片等）进行验证；一个月后的验收当日仍未提供上述材料及社保办理相关手续的，将按照《</w:t>
            </w:r>
            <w:r>
              <w:rPr>
                <w:rFonts w:hint="eastAsia" w:ascii="仿宋_GB2312" w:hAnsi="仿宋_GB2312" w:eastAsia="仿宋_GB2312" w:cs="仿宋_GB2312"/>
                <w:color w:val="auto"/>
                <w:sz w:val="24"/>
              </w:rPr>
              <w:t>办公区高低压配电系统维保服务</w:t>
            </w:r>
            <w:r>
              <w:rPr>
                <w:rStyle w:val="241"/>
                <w:rFonts w:hint="eastAsia" w:ascii="仿宋_GB2312" w:hAnsi="仿宋_GB2312" w:eastAsia="仿宋_GB2312" w:cs="仿宋_GB2312"/>
                <w:color w:val="auto"/>
                <w:sz w:val="24"/>
                <w:szCs w:val="24"/>
              </w:rPr>
              <w:t>考核办法》（</w:t>
            </w:r>
            <w:r>
              <w:rPr>
                <w:rStyle w:val="241"/>
                <w:rFonts w:hint="eastAsia" w:ascii="仿宋_GB2312" w:hAnsi="仿宋_GB2312" w:eastAsia="仿宋_GB2312" w:cs="仿宋_GB2312"/>
                <w:color w:val="auto"/>
                <w:sz w:val="24"/>
                <w:szCs w:val="24"/>
                <w:lang w:val="en-US" w:eastAsia="zh-CN"/>
              </w:rPr>
              <w:t>详见</w:t>
            </w:r>
            <w:r>
              <w:rPr>
                <w:rStyle w:val="241"/>
                <w:rFonts w:hint="eastAsia" w:ascii="仿宋_GB2312" w:hAnsi="仿宋_GB2312" w:eastAsia="仿宋_GB2312" w:cs="仿宋_GB2312"/>
                <w:color w:val="auto"/>
                <w:sz w:val="24"/>
                <w:szCs w:val="24"/>
              </w:rPr>
              <w:t>附件一）进行考核。</w:t>
            </w:r>
          </w:p>
          <w:p w14:paraId="4A3CB034">
            <w:pPr>
              <w:pStyle w:val="641"/>
              <w:snapToGrid w:val="0"/>
              <w:spacing w:line="400" w:lineRule="exact"/>
              <w:ind w:left="-1" w:right="42" w:rightChars="20" w:firstLine="482" w:firstLineChars="200"/>
              <w:rPr>
                <w:rStyle w:val="241"/>
                <w:rFonts w:hint="eastAsia" w:ascii="仿宋_GB2312" w:hAnsi="仿宋_GB2312" w:eastAsia="仿宋_GB2312" w:cs="仿宋_GB2312"/>
                <w:b/>
                <w:bCs/>
                <w:sz w:val="24"/>
                <w:szCs w:val="24"/>
              </w:rPr>
            </w:pPr>
            <w:r>
              <w:rPr>
                <w:rStyle w:val="369"/>
                <w:rFonts w:ascii="仿宋_GB2312" w:hAnsi="仿宋_GB2312" w:eastAsia="仿宋_GB2312" w:cs="仿宋_GB2312"/>
                <w:b/>
                <w:sz w:val="24"/>
                <w:szCs w:val="24"/>
              </w:rPr>
              <w:t>三、服务内容</w:t>
            </w:r>
            <w:r>
              <w:rPr>
                <w:rStyle w:val="241"/>
                <w:rFonts w:hint="eastAsia" w:ascii="仿宋_GB2312" w:hAnsi="仿宋_GB2312" w:eastAsia="仿宋_GB2312" w:cs="仿宋_GB2312"/>
                <w:b/>
                <w:bCs/>
                <w:sz w:val="24"/>
                <w:szCs w:val="24"/>
              </w:rPr>
              <w:t>工作要求</w:t>
            </w:r>
          </w:p>
          <w:p w14:paraId="2169757A">
            <w:pPr>
              <w:pStyle w:val="588"/>
              <w:spacing w:line="400" w:lineRule="exact"/>
              <w:ind w:right="42" w:rightChars="20" w:firstLine="482" w:firstLineChars="200"/>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（一）维保设备名称、数量及要求</w:t>
            </w:r>
          </w:p>
          <w:p w14:paraId="30FAB322">
            <w:pPr>
              <w:pStyle w:val="588"/>
              <w:spacing w:line="400" w:lineRule="exact"/>
              <w:ind w:right="42" w:rightChars="20" w:firstLine="482" w:firstLineChars="200"/>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1.文昌路66号、瑞安路9号高低压配电系统维保设备名称、数量及要求</w:t>
            </w:r>
          </w:p>
          <w:p w14:paraId="5AC03A89">
            <w:pPr>
              <w:keepNext w:val="0"/>
              <w:keepLines w:val="0"/>
              <w:pageBreakBefore w:val="0"/>
              <w:kinsoku/>
              <w:wordWrap/>
              <w:overflowPunct/>
              <w:topLinePunct w:val="0"/>
              <w:autoSpaceDE/>
              <w:autoSpaceDN/>
              <w:bidi w:val="0"/>
              <w:adjustRightInd/>
              <w:spacing w:line="400" w:lineRule="exact"/>
              <w:ind w:right="-113" w:rightChars="-54"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（1）文昌路66号办公区</w:t>
            </w:r>
            <w:r>
              <w:rPr>
                <w:rFonts w:hint="eastAsia" w:ascii="仿宋_GB2312" w:hAnsi="仿宋_GB2312" w:eastAsia="仿宋_GB2312" w:cs="仿宋_GB2312"/>
                <w:color w:val="000000"/>
                <w:sz w:val="24"/>
                <w:lang w:eastAsia="zh-CN"/>
              </w:rPr>
              <w:t>以下</w:t>
            </w:r>
            <w:r>
              <w:rPr>
                <w:rFonts w:hint="eastAsia" w:ascii="仿宋_GB2312" w:hAnsi="仿宋_GB2312" w:eastAsia="仿宋_GB2312" w:cs="仿宋_GB2312"/>
                <w:color w:val="000000"/>
                <w:sz w:val="24"/>
              </w:rPr>
              <w:t>变配电设备，要求每两小时记录一次运行数据：</w:t>
            </w:r>
          </w:p>
          <w:tbl>
            <w:tblPr>
              <w:tblStyle w:val="738"/>
              <w:tblpPr w:leftFromText="180" w:rightFromText="180" w:vertAnchor="text" w:horzAnchor="margin" w:tblpXSpec="center" w:tblpY="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4665"/>
            </w:tblGrid>
            <w:tr w14:paraId="6A25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7A572F6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设备名称</w:t>
                  </w:r>
                </w:p>
              </w:tc>
              <w:tc>
                <w:tcPr>
                  <w:tcW w:w="4665" w:type="dxa"/>
                  <w:noWrap w:val="0"/>
                  <w:vAlign w:val="top"/>
                </w:tcPr>
                <w:p w14:paraId="6C2B2ACF">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要记录的运行数据</w:t>
                  </w:r>
                </w:p>
              </w:tc>
            </w:tr>
            <w:tr w14:paraId="776F7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424AB114">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高压开关柜</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台）</w:t>
                  </w:r>
                </w:p>
              </w:tc>
              <w:tc>
                <w:tcPr>
                  <w:tcW w:w="4665" w:type="dxa"/>
                  <w:noWrap w:val="0"/>
                  <w:vAlign w:val="top"/>
                </w:tcPr>
                <w:p w14:paraId="0469D2B0">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工作电压、各开关柜电流</w:t>
                  </w:r>
                </w:p>
              </w:tc>
            </w:tr>
            <w:tr w14:paraId="7BF57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1C5BEA6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直流电源柜（2台）</w:t>
                  </w:r>
                </w:p>
              </w:tc>
              <w:tc>
                <w:tcPr>
                  <w:tcW w:w="4665" w:type="dxa"/>
                  <w:noWrap w:val="0"/>
                  <w:vAlign w:val="top"/>
                </w:tcPr>
                <w:p w14:paraId="0B6D05D9">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合母电压，控母电压，充电电压、电流</w:t>
                  </w:r>
                </w:p>
              </w:tc>
            </w:tr>
            <w:tr w14:paraId="0AC1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1D76CCF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变压器（4台）</w:t>
                  </w:r>
                </w:p>
              </w:tc>
              <w:tc>
                <w:tcPr>
                  <w:tcW w:w="4665" w:type="dxa"/>
                  <w:noWrap w:val="0"/>
                  <w:vAlign w:val="top"/>
                </w:tcPr>
                <w:p w14:paraId="0189F1FE">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工作温度</w:t>
                  </w:r>
                </w:p>
              </w:tc>
            </w:tr>
            <w:tr w14:paraId="6B11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594" w:type="dxa"/>
                  <w:noWrap w:val="0"/>
                  <w:vAlign w:val="top"/>
                </w:tcPr>
                <w:p w14:paraId="5D66757C">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低压进线柜（4台）</w:t>
                  </w:r>
                </w:p>
              </w:tc>
              <w:tc>
                <w:tcPr>
                  <w:tcW w:w="4665" w:type="dxa"/>
                  <w:noWrap w:val="0"/>
                  <w:vAlign w:val="top"/>
                </w:tcPr>
                <w:p w14:paraId="4FE1C69E">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变压器低压侧三相总电流，三相电压</w:t>
                  </w:r>
                </w:p>
              </w:tc>
            </w:tr>
            <w:tr w14:paraId="3BB2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594" w:type="dxa"/>
                  <w:noWrap w:val="0"/>
                  <w:vAlign w:val="top"/>
                </w:tcPr>
                <w:p w14:paraId="1A6AAA31">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无功功率补偿柜（8台）</w:t>
                  </w:r>
                </w:p>
              </w:tc>
              <w:tc>
                <w:tcPr>
                  <w:tcW w:w="4665" w:type="dxa"/>
                  <w:noWrap w:val="0"/>
                  <w:vAlign w:val="top"/>
                </w:tcPr>
                <w:p w14:paraId="0347B3F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功率因素值</w:t>
                  </w:r>
                </w:p>
              </w:tc>
            </w:tr>
          </w:tbl>
          <w:p w14:paraId="67776F99">
            <w:pPr>
              <w:keepNext w:val="0"/>
              <w:keepLines w:val="0"/>
              <w:pageBreakBefore w:val="0"/>
              <w:kinsoku/>
              <w:wordWrap/>
              <w:overflowPunct/>
              <w:topLinePunct w:val="0"/>
              <w:autoSpaceDE/>
              <w:autoSpaceDN/>
              <w:bidi w:val="0"/>
              <w:adjustRightInd/>
              <w:spacing w:line="400" w:lineRule="exact"/>
              <w:ind w:right="-113" w:rightChars="-54"/>
              <w:textAlignment w:val="auto"/>
              <w:rPr>
                <w:rFonts w:hint="eastAsia" w:ascii="仿宋_GB2312" w:hAnsi="仿宋_GB2312" w:eastAsia="仿宋_GB2312" w:cs="仿宋_GB2312"/>
                <w:sz w:val="24"/>
              </w:rPr>
            </w:pPr>
          </w:p>
          <w:p w14:paraId="7170AB4D">
            <w:pPr>
              <w:pStyle w:val="588"/>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w:t>
            </w:r>
            <w:r>
              <w:rPr>
                <w:rFonts w:hint="eastAsia" w:ascii="仿宋_GB2312" w:hAnsi="仿宋_GB2312" w:eastAsia="仿宋_GB2312" w:cs="仿宋_GB2312"/>
                <w:bCs/>
                <w:color w:val="000000"/>
                <w:sz w:val="24"/>
                <w:lang w:val="en"/>
              </w:rPr>
              <w:t>2</w:t>
            </w:r>
            <w:r>
              <w:rPr>
                <w:rFonts w:hint="eastAsia" w:ascii="仿宋_GB2312" w:hAnsi="仿宋_GB2312" w:eastAsia="仿宋_GB2312" w:cs="仿宋_GB2312"/>
                <w:bCs/>
                <w:color w:val="000000"/>
                <w:sz w:val="24"/>
              </w:rPr>
              <w:t>）</w:t>
            </w:r>
            <w:r>
              <w:rPr>
                <w:rFonts w:hint="eastAsia" w:ascii="仿宋_GB2312" w:hAnsi="仿宋_GB2312" w:eastAsia="仿宋_GB2312" w:cs="仿宋_GB2312"/>
                <w:color w:val="000000"/>
                <w:sz w:val="24"/>
              </w:rPr>
              <w:t>瑞安路9号办公区</w:t>
            </w:r>
            <w:r>
              <w:rPr>
                <w:rFonts w:hint="eastAsia" w:ascii="仿宋_GB2312" w:hAnsi="仿宋_GB2312" w:eastAsia="仿宋_GB2312" w:cs="仿宋_GB2312"/>
                <w:color w:val="000000"/>
                <w:sz w:val="24"/>
                <w:lang w:eastAsia="zh-CN"/>
              </w:rPr>
              <w:t>以下</w:t>
            </w:r>
            <w:r>
              <w:rPr>
                <w:rFonts w:hint="eastAsia" w:ascii="仿宋_GB2312" w:hAnsi="仿宋_GB2312" w:eastAsia="仿宋_GB2312" w:cs="仿宋_GB2312"/>
                <w:bCs/>
                <w:color w:val="000000"/>
                <w:sz w:val="24"/>
              </w:rPr>
              <w:t>变配电设备，要求每天上午、下午各记录一次运行数据：</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0"/>
              <w:gridCol w:w="4402"/>
            </w:tblGrid>
            <w:tr w14:paraId="57A7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3110" w:type="dxa"/>
                  <w:tcBorders>
                    <w:right w:val="single" w:color="auto" w:sz="4" w:space="0"/>
                  </w:tcBorders>
                  <w:noWrap w:val="0"/>
                  <w:vAlign w:val="center"/>
                </w:tcPr>
                <w:p w14:paraId="3056DF1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设备名称</w:t>
                  </w:r>
                </w:p>
              </w:tc>
              <w:tc>
                <w:tcPr>
                  <w:tcW w:w="4402" w:type="dxa"/>
                  <w:tcBorders>
                    <w:top w:val="single" w:color="auto" w:sz="4" w:space="0"/>
                    <w:left w:val="single" w:color="auto" w:sz="4" w:space="0"/>
                    <w:right w:val="single" w:color="auto" w:sz="4" w:space="0"/>
                  </w:tcBorders>
                  <w:noWrap w:val="0"/>
                  <w:vAlign w:val="center"/>
                </w:tcPr>
                <w:p w14:paraId="0975AB14">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sz w:val="24"/>
                    </w:rPr>
                    <w:t>要记录的运行数据</w:t>
                  </w:r>
                </w:p>
              </w:tc>
            </w:tr>
            <w:tr w14:paraId="03EAD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110" w:type="dxa"/>
                  <w:tcBorders>
                    <w:right w:val="single" w:color="auto" w:sz="4" w:space="0"/>
                  </w:tcBorders>
                  <w:noWrap w:val="0"/>
                  <w:vAlign w:val="center"/>
                </w:tcPr>
                <w:p w14:paraId="3A6F46C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高压开关柜（5台）</w:t>
                  </w:r>
                </w:p>
              </w:tc>
              <w:tc>
                <w:tcPr>
                  <w:tcW w:w="4402" w:type="dxa"/>
                  <w:tcBorders>
                    <w:left w:val="single" w:color="auto" w:sz="4" w:space="0"/>
                    <w:right w:val="single" w:color="auto" w:sz="4" w:space="0"/>
                  </w:tcBorders>
                  <w:noWrap w:val="0"/>
                  <w:vAlign w:val="center"/>
                </w:tcPr>
                <w:p w14:paraId="754A8EA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工作电压、各开关柜电流</w:t>
                  </w:r>
                </w:p>
              </w:tc>
            </w:tr>
            <w:tr w14:paraId="7B4D4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3110" w:type="dxa"/>
                  <w:tcBorders>
                    <w:right w:val="single" w:color="auto" w:sz="4" w:space="0"/>
                  </w:tcBorders>
                  <w:noWrap w:val="0"/>
                  <w:vAlign w:val="center"/>
                </w:tcPr>
                <w:p w14:paraId="152A355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变压器（3台）</w:t>
                  </w:r>
                </w:p>
              </w:tc>
              <w:tc>
                <w:tcPr>
                  <w:tcW w:w="4402" w:type="dxa"/>
                  <w:tcBorders>
                    <w:left w:val="single" w:color="auto" w:sz="4" w:space="0"/>
                    <w:right w:val="single" w:color="auto" w:sz="4" w:space="0"/>
                  </w:tcBorders>
                  <w:noWrap w:val="0"/>
                  <w:vAlign w:val="center"/>
                </w:tcPr>
                <w:p w14:paraId="0648848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工作温度</w:t>
                  </w:r>
                </w:p>
              </w:tc>
            </w:tr>
            <w:tr w14:paraId="02C4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3110" w:type="dxa"/>
                  <w:tcBorders>
                    <w:right w:val="single" w:color="auto" w:sz="4" w:space="0"/>
                  </w:tcBorders>
                  <w:noWrap w:val="0"/>
                  <w:vAlign w:val="center"/>
                </w:tcPr>
                <w:p w14:paraId="3C9A0F09">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低压进线柜（3台）</w:t>
                  </w:r>
                </w:p>
              </w:tc>
              <w:tc>
                <w:tcPr>
                  <w:tcW w:w="4402" w:type="dxa"/>
                  <w:tcBorders>
                    <w:left w:val="single" w:color="auto" w:sz="4" w:space="0"/>
                    <w:right w:val="single" w:color="auto" w:sz="4" w:space="0"/>
                  </w:tcBorders>
                  <w:noWrap w:val="0"/>
                  <w:vAlign w:val="center"/>
                </w:tcPr>
                <w:p w14:paraId="7FBE59B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变压器低压侧三相总电流，三相电压</w:t>
                  </w:r>
                </w:p>
              </w:tc>
            </w:tr>
            <w:tr w14:paraId="3A06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3110" w:type="dxa"/>
                  <w:tcBorders>
                    <w:right w:val="single" w:color="auto" w:sz="4" w:space="0"/>
                  </w:tcBorders>
                  <w:noWrap w:val="0"/>
                  <w:vAlign w:val="center"/>
                </w:tcPr>
                <w:p w14:paraId="521D6CC5">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无功功率补偿柜（3台）</w:t>
                  </w:r>
                </w:p>
              </w:tc>
              <w:tc>
                <w:tcPr>
                  <w:tcW w:w="4402" w:type="dxa"/>
                  <w:tcBorders>
                    <w:left w:val="single" w:color="auto" w:sz="4" w:space="0"/>
                    <w:bottom w:val="single" w:color="auto" w:sz="4" w:space="0"/>
                    <w:right w:val="single" w:color="auto" w:sz="4" w:space="0"/>
                  </w:tcBorders>
                  <w:noWrap w:val="0"/>
                  <w:vAlign w:val="center"/>
                </w:tcPr>
                <w:p w14:paraId="186EE777">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功率因素值</w:t>
                  </w:r>
                </w:p>
              </w:tc>
            </w:tr>
          </w:tbl>
          <w:p w14:paraId="407D119D">
            <w:pPr>
              <w:keepNext w:val="0"/>
              <w:keepLines w:val="0"/>
              <w:pageBreakBefore w:val="0"/>
              <w:kinsoku/>
              <w:wordWrap/>
              <w:overflowPunct/>
              <w:topLinePunct w:val="0"/>
              <w:autoSpaceDE/>
              <w:autoSpaceDN/>
              <w:bidi w:val="0"/>
              <w:adjustRightInd/>
              <w:spacing w:line="400" w:lineRule="exact"/>
              <w:ind w:right="-113" w:rightChars="-54"/>
              <w:textAlignment w:val="auto"/>
              <w:rPr>
                <w:rFonts w:hint="eastAsia" w:ascii="仿宋_GB2312" w:hAnsi="仿宋_GB2312" w:eastAsia="仿宋_GB2312" w:cs="仿宋_GB2312"/>
                <w:sz w:val="24"/>
              </w:rPr>
            </w:pPr>
          </w:p>
          <w:p w14:paraId="6AFD16DC">
            <w:pPr>
              <w:keepNext w:val="0"/>
              <w:keepLines w:val="0"/>
              <w:pageBreakBefore w:val="0"/>
              <w:kinsoku/>
              <w:wordWrap/>
              <w:overflowPunct/>
              <w:topLinePunct w:val="0"/>
              <w:autoSpaceDE/>
              <w:autoSpaceDN/>
              <w:bidi w:val="0"/>
              <w:adjustRightInd/>
              <w:spacing w:line="400" w:lineRule="exact"/>
              <w:ind w:right="-113" w:rightChars="-54" w:firstLine="480" w:firstLineChars="200"/>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）文昌路66号、瑞安路9号办公区</w:t>
            </w:r>
            <w:r>
              <w:rPr>
                <w:rFonts w:hint="eastAsia" w:ascii="仿宋_GB2312" w:hAnsi="仿宋_GB2312" w:eastAsia="仿宋_GB2312" w:cs="仿宋_GB2312"/>
                <w:sz w:val="24"/>
                <w:lang w:eastAsia="zh-CN"/>
              </w:rPr>
              <w:t>以下</w:t>
            </w:r>
            <w:r>
              <w:rPr>
                <w:rFonts w:hint="eastAsia" w:ascii="仿宋_GB2312" w:hAnsi="仿宋_GB2312" w:eastAsia="仿宋_GB2312" w:cs="仿宋_GB2312"/>
                <w:sz w:val="24"/>
              </w:rPr>
              <w:t>设备，要求每天巡视、检查并记录（</w:t>
            </w:r>
            <w:r>
              <w:rPr>
                <w:rFonts w:hint="eastAsia" w:ascii="仿宋_GB2312" w:hAnsi="仿宋_GB2312" w:eastAsia="仿宋_GB2312" w:cs="仿宋_GB2312"/>
                <w:sz w:val="24"/>
                <w:lang w:eastAsia="zh-CN"/>
              </w:rPr>
              <w:t>检查记录频次：除上述第（</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条要求设备外，其余设备</w:t>
            </w:r>
            <w:r>
              <w:rPr>
                <w:rFonts w:hint="eastAsia" w:ascii="仿宋_GB2312" w:hAnsi="仿宋_GB2312" w:eastAsia="仿宋_GB2312" w:cs="仿宋_GB2312"/>
                <w:sz w:val="24"/>
              </w:rPr>
              <w:t>每天上午、下午各一次）：</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005"/>
              <w:gridCol w:w="1421"/>
              <w:gridCol w:w="990"/>
              <w:gridCol w:w="765"/>
              <w:gridCol w:w="2646"/>
            </w:tblGrid>
            <w:tr w14:paraId="162F4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9" w:hRule="atLeast"/>
                <w:jc w:val="center"/>
              </w:trPr>
              <w:tc>
                <w:tcPr>
                  <w:tcW w:w="490" w:type="dxa"/>
                  <w:noWrap w:val="0"/>
                  <w:vAlign w:val="center"/>
                </w:tcPr>
                <w:p w14:paraId="39EFDAE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005" w:type="dxa"/>
                  <w:noWrap w:val="0"/>
                  <w:vAlign w:val="center"/>
                </w:tcPr>
                <w:p w14:paraId="084342D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名 称</w:t>
                  </w:r>
                </w:p>
              </w:tc>
              <w:tc>
                <w:tcPr>
                  <w:tcW w:w="1421" w:type="dxa"/>
                  <w:noWrap w:val="0"/>
                  <w:vAlign w:val="center"/>
                </w:tcPr>
                <w:p w14:paraId="431699D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品牌及型号</w:t>
                  </w:r>
                </w:p>
              </w:tc>
              <w:tc>
                <w:tcPr>
                  <w:tcW w:w="990" w:type="dxa"/>
                  <w:noWrap w:val="0"/>
                  <w:vAlign w:val="center"/>
                </w:tcPr>
                <w:p w14:paraId="2C5FD98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规 格</w:t>
                  </w:r>
                </w:p>
              </w:tc>
              <w:tc>
                <w:tcPr>
                  <w:tcW w:w="765" w:type="dxa"/>
                  <w:noWrap w:val="0"/>
                  <w:vAlign w:val="center"/>
                </w:tcPr>
                <w:p w14:paraId="0247CEF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2646" w:type="dxa"/>
                  <w:noWrap w:val="0"/>
                  <w:vAlign w:val="center"/>
                </w:tcPr>
                <w:p w14:paraId="60AA3C4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巡视、检查内容</w:t>
                  </w:r>
                </w:p>
              </w:tc>
            </w:tr>
            <w:tr w14:paraId="6BBB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0" w:type="dxa"/>
                  <w:noWrap w:val="0"/>
                  <w:vAlign w:val="center"/>
                </w:tcPr>
                <w:p w14:paraId="13D8B85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005" w:type="dxa"/>
                  <w:noWrap w:val="0"/>
                  <w:vAlign w:val="center"/>
                </w:tcPr>
                <w:p w14:paraId="5CF4567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高压开关柜</w:t>
                  </w:r>
                </w:p>
              </w:tc>
              <w:tc>
                <w:tcPr>
                  <w:tcW w:w="1421" w:type="dxa"/>
                  <w:noWrap w:val="0"/>
                  <w:vAlign w:val="center"/>
                </w:tcPr>
                <w:p w14:paraId="02C05B4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KYN28-12</w:t>
                  </w:r>
                </w:p>
                <w:p w14:paraId="303773B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lang w:eastAsia="zh-CN"/>
                    </w:rPr>
                  </w:pPr>
                  <w:r>
                    <w:rPr>
                      <w:rFonts w:hint="eastAsia" w:ascii="仿宋_GB2312" w:hAnsi="仿宋_GB2312" w:eastAsia="仿宋_GB2312" w:cs="仿宋_GB2312"/>
                      <w:sz w:val="24"/>
                      <w:lang w:eastAsia="zh-CN"/>
                    </w:rPr>
                    <w:t>海南威特</w:t>
                  </w:r>
                </w:p>
              </w:tc>
              <w:tc>
                <w:tcPr>
                  <w:tcW w:w="990" w:type="dxa"/>
                  <w:noWrap w:val="0"/>
                  <w:vAlign w:val="center"/>
                </w:tcPr>
                <w:p w14:paraId="5C59856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400</w:t>
                  </w:r>
                  <w:r>
                    <w:rPr>
                      <w:rFonts w:hint="eastAsia" w:ascii="仿宋_GB2312" w:hAnsi="仿宋_GB2312" w:eastAsia="仿宋_GB2312" w:cs="仿宋_GB2312"/>
                      <w:sz w:val="24"/>
                    </w:rPr>
                    <w:t>A，</w:t>
                  </w:r>
                  <w:r>
                    <w:rPr>
                      <w:rFonts w:hint="eastAsia" w:ascii="仿宋_GB2312" w:hAnsi="仿宋_GB2312" w:eastAsia="仿宋_GB2312" w:cs="仿宋_GB2312"/>
                      <w:sz w:val="24"/>
                      <w:lang w:val="en-US" w:eastAsia="zh-CN"/>
                    </w:rPr>
                    <w:t>12KV</w:t>
                  </w:r>
                </w:p>
              </w:tc>
              <w:tc>
                <w:tcPr>
                  <w:tcW w:w="765" w:type="dxa"/>
                  <w:noWrap w:val="0"/>
                  <w:vAlign w:val="center"/>
                </w:tcPr>
                <w:p w14:paraId="7B5113C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2646" w:type="dxa"/>
                  <w:noWrap w:val="0"/>
                  <w:vAlign w:val="center"/>
                </w:tcPr>
                <w:p w14:paraId="512276B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检查主回路接头，微机保护器、仪表及指示灯、负荷是否正常，有无高压打火放电现象等。</w:t>
                  </w:r>
                </w:p>
              </w:tc>
            </w:tr>
            <w:tr w14:paraId="0D3E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90" w:type="dxa"/>
                  <w:noWrap w:val="0"/>
                  <w:vAlign w:val="center"/>
                </w:tcPr>
                <w:p w14:paraId="09A7737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1005" w:type="dxa"/>
                  <w:noWrap w:val="0"/>
                  <w:vAlign w:val="center"/>
                </w:tcPr>
                <w:p w14:paraId="3F74EB7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直流电源柜</w:t>
                  </w:r>
                </w:p>
              </w:tc>
              <w:tc>
                <w:tcPr>
                  <w:tcW w:w="1421" w:type="dxa"/>
                  <w:noWrap w:val="0"/>
                  <w:vAlign w:val="center"/>
                </w:tcPr>
                <w:p w14:paraId="28D6CD5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CD-GZDW1</w:t>
                  </w:r>
                </w:p>
                <w:p w14:paraId="0FC82E8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德力西</w:t>
                  </w:r>
                </w:p>
              </w:tc>
              <w:tc>
                <w:tcPr>
                  <w:tcW w:w="990" w:type="dxa"/>
                  <w:noWrap w:val="0"/>
                  <w:vAlign w:val="center"/>
                </w:tcPr>
                <w:p w14:paraId="138D3F3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000000"/>
                      <w:sz w:val="24"/>
                    </w:rPr>
                  </w:pPr>
                </w:p>
              </w:tc>
              <w:tc>
                <w:tcPr>
                  <w:tcW w:w="765" w:type="dxa"/>
                  <w:noWrap w:val="0"/>
                  <w:vAlign w:val="center"/>
                </w:tcPr>
                <w:p w14:paraId="2476E91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2306F868">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电压电流数值，指示仪表、蓄电池及接头，控制器及显示屏等。</w:t>
                  </w:r>
                </w:p>
              </w:tc>
            </w:tr>
            <w:tr w14:paraId="0FE0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490" w:type="dxa"/>
                  <w:noWrap w:val="0"/>
                  <w:vAlign w:val="center"/>
                </w:tcPr>
                <w:p w14:paraId="572BE4F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1005" w:type="dxa"/>
                  <w:noWrap w:val="0"/>
                  <w:vAlign w:val="center"/>
                </w:tcPr>
                <w:p w14:paraId="71C2C61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255B4FC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SCB10-2000/10</w:t>
                  </w:r>
                </w:p>
                <w:p w14:paraId="2004E1A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特变电工</w:t>
                  </w:r>
                </w:p>
              </w:tc>
              <w:tc>
                <w:tcPr>
                  <w:tcW w:w="990" w:type="dxa"/>
                  <w:noWrap w:val="0"/>
                  <w:vAlign w:val="center"/>
                </w:tcPr>
                <w:p w14:paraId="334CA2B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2000</w:t>
                  </w:r>
                </w:p>
                <w:p w14:paraId="045A954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3BA0A52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0D70CACB">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6884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490" w:type="dxa"/>
                  <w:noWrap w:val="0"/>
                  <w:vAlign w:val="center"/>
                </w:tcPr>
                <w:p w14:paraId="4F534FF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1005" w:type="dxa"/>
                  <w:noWrap w:val="0"/>
                  <w:vAlign w:val="center"/>
                </w:tcPr>
                <w:p w14:paraId="01B5CFF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11621DA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SCB10-1600/10</w:t>
                  </w:r>
                </w:p>
                <w:p w14:paraId="71A0660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特变电工</w:t>
                  </w:r>
                </w:p>
              </w:tc>
              <w:tc>
                <w:tcPr>
                  <w:tcW w:w="990" w:type="dxa"/>
                  <w:noWrap w:val="0"/>
                  <w:vAlign w:val="center"/>
                </w:tcPr>
                <w:p w14:paraId="33341EF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w:t>
                  </w:r>
                </w:p>
                <w:p w14:paraId="43397DD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1C79C97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2261B4D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3228A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90" w:type="dxa"/>
                  <w:noWrap w:val="0"/>
                  <w:vAlign w:val="center"/>
                </w:tcPr>
                <w:p w14:paraId="13BABD7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1005" w:type="dxa"/>
                  <w:noWrap w:val="0"/>
                  <w:vAlign w:val="center"/>
                </w:tcPr>
                <w:p w14:paraId="7BF6DEA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17D378E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0DC1CD0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205AEF7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MT40H1</w:t>
                  </w:r>
                </w:p>
                <w:p w14:paraId="2B63659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4000A</w:t>
                  </w:r>
                </w:p>
              </w:tc>
              <w:tc>
                <w:tcPr>
                  <w:tcW w:w="765" w:type="dxa"/>
                  <w:noWrap w:val="0"/>
                  <w:vAlign w:val="center"/>
                </w:tcPr>
                <w:p w14:paraId="7020875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013C880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7FC1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90" w:type="dxa"/>
                  <w:noWrap w:val="0"/>
                  <w:vAlign w:val="center"/>
                </w:tcPr>
                <w:p w14:paraId="2FCF478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w:t>
                  </w:r>
                </w:p>
              </w:tc>
              <w:tc>
                <w:tcPr>
                  <w:tcW w:w="1005" w:type="dxa"/>
                  <w:noWrap w:val="0"/>
                  <w:vAlign w:val="center"/>
                </w:tcPr>
                <w:p w14:paraId="3D7E77D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0C23CC7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4B7C033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7EB2130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MT32H1</w:t>
                  </w:r>
                </w:p>
                <w:p w14:paraId="5ED1664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3200A</w:t>
                  </w:r>
                </w:p>
              </w:tc>
              <w:tc>
                <w:tcPr>
                  <w:tcW w:w="765" w:type="dxa"/>
                  <w:noWrap w:val="0"/>
                  <w:vAlign w:val="center"/>
                </w:tcPr>
                <w:p w14:paraId="4E59999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10F279A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4A59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90" w:type="dxa"/>
                  <w:noWrap w:val="0"/>
                  <w:vAlign w:val="center"/>
                </w:tcPr>
                <w:p w14:paraId="34E94D0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7</w:t>
                  </w:r>
                </w:p>
              </w:tc>
              <w:tc>
                <w:tcPr>
                  <w:tcW w:w="1005" w:type="dxa"/>
                  <w:noWrap w:val="0"/>
                  <w:vAlign w:val="center"/>
                </w:tcPr>
                <w:p w14:paraId="55AA758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6A4BECF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628D1C9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0F8BAFA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360</w:t>
                  </w:r>
                </w:p>
                <w:p w14:paraId="590E42C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Kvar</w:t>
                  </w:r>
                </w:p>
              </w:tc>
              <w:tc>
                <w:tcPr>
                  <w:tcW w:w="765" w:type="dxa"/>
                  <w:noWrap w:val="0"/>
                  <w:vAlign w:val="center"/>
                </w:tcPr>
                <w:p w14:paraId="4250D29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646" w:type="dxa"/>
                  <w:noWrap w:val="0"/>
                  <w:vAlign w:val="center"/>
                </w:tcPr>
                <w:p w14:paraId="5836BA13">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2FC2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490" w:type="dxa"/>
                  <w:noWrap w:val="0"/>
                  <w:vAlign w:val="center"/>
                </w:tcPr>
                <w:p w14:paraId="4578BD1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1005" w:type="dxa"/>
                  <w:noWrap w:val="0"/>
                  <w:vAlign w:val="center"/>
                </w:tcPr>
                <w:p w14:paraId="36763C0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64CFBDB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30C9ABE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4A69D2D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w:t>
                  </w:r>
                </w:p>
                <w:p w14:paraId="33EB1A3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Kvar</w:t>
                  </w:r>
                </w:p>
              </w:tc>
              <w:tc>
                <w:tcPr>
                  <w:tcW w:w="765" w:type="dxa"/>
                  <w:noWrap w:val="0"/>
                  <w:vAlign w:val="center"/>
                </w:tcPr>
                <w:p w14:paraId="5F3F271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w:t>
                  </w:r>
                </w:p>
              </w:tc>
              <w:tc>
                <w:tcPr>
                  <w:tcW w:w="2646" w:type="dxa"/>
                  <w:noWrap w:val="0"/>
                  <w:vAlign w:val="center"/>
                </w:tcPr>
                <w:p w14:paraId="57F88CEE">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224D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490" w:type="dxa"/>
                  <w:noWrap w:val="0"/>
                  <w:vAlign w:val="center"/>
                </w:tcPr>
                <w:p w14:paraId="6B703F4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w:t>
                  </w:r>
                </w:p>
              </w:tc>
              <w:tc>
                <w:tcPr>
                  <w:tcW w:w="1005" w:type="dxa"/>
                  <w:noWrap w:val="0"/>
                  <w:vAlign w:val="center"/>
                </w:tcPr>
                <w:p w14:paraId="63054B6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出线柜</w:t>
                  </w:r>
                </w:p>
              </w:tc>
              <w:tc>
                <w:tcPr>
                  <w:tcW w:w="1421" w:type="dxa"/>
                  <w:noWrap w:val="0"/>
                  <w:vAlign w:val="center"/>
                </w:tcPr>
                <w:p w14:paraId="289ED96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3C1E3C2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7CF63D5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100-1250A系列</w:t>
                  </w:r>
                </w:p>
              </w:tc>
              <w:tc>
                <w:tcPr>
                  <w:tcW w:w="765" w:type="dxa"/>
                  <w:noWrap w:val="0"/>
                  <w:vAlign w:val="center"/>
                </w:tcPr>
                <w:p w14:paraId="35D5B82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28</w:t>
                  </w:r>
                </w:p>
              </w:tc>
              <w:tc>
                <w:tcPr>
                  <w:tcW w:w="2646" w:type="dxa"/>
                  <w:noWrap w:val="0"/>
                  <w:vAlign w:val="center"/>
                </w:tcPr>
                <w:p w14:paraId="3F784087">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开关是否正常，主接头是否牢固，输出电压、仪表及指示灯是否正常，是否超负荷运行等。</w:t>
                  </w:r>
                </w:p>
              </w:tc>
            </w:tr>
            <w:tr w14:paraId="63C5A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490" w:type="dxa"/>
                  <w:noWrap w:val="0"/>
                  <w:vAlign w:val="center"/>
                </w:tcPr>
                <w:p w14:paraId="7F73BE4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p>
              </w:tc>
              <w:tc>
                <w:tcPr>
                  <w:tcW w:w="1005" w:type="dxa"/>
                  <w:noWrap w:val="0"/>
                  <w:vAlign w:val="center"/>
                </w:tcPr>
                <w:p w14:paraId="240481B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发电机进线柜</w:t>
                  </w:r>
                </w:p>
              </w:tc>
              <w:tc>
                <w:tcPr>
                  <w:tcW w:w="1421" w:type="dxa"/>
                  <w:noWrap w:val="0"/>
                  <w:vAlign w:val="center"/>
                </w:tcPr>
                <w:p w14:paraId="4D10DF9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NGC3</w:t>
                  </w:r>
                </w:p>
                <w:p w14:paraId="0FC7857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正泰</w:t>
                  </w:r>
                </w:p>
              </w:tc>
              <w:tc>
                <w:tcPr>
                  <w:tcW w:w="990" w:type="dxa"/>
                  <w:noWrap w:val="0"/>
                  <w:vAlign w:val="center"/>
                </w:tcPr>
                <w:p w14:paraId="64775BE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2500A</w:t>
                  </w:r>
                </w:p>
              </w:tc>
              <w:tc>
                <w:tcPr>
                  <w:tcW w:w="765" w:type="dxa"/>
                  <w:noWrap w:val="0"/>
                  <w:vAlign w:val="center"/>
                </w:tcPr>
                <w:p w14:paraId="37B7371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603FB409">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分合闸、仪表及指灯是否正常，母线连接点是否牢固等。</w:t>
                  </w:r>
                </w:p>
              </w:tc>
            </w:tr>
            <w:tr w14:paraId="6102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90" w:type="dxa"/>
                  <w:noWrap w:val="0"/>
                  <w:vAlign w:val="center"/>
                </w:tcPr>
                <w:p w14:paraId="6D77D7D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11</w:t>
                  </w:r>
                </w:p>
              </w:tc>
              <w:tc>
                <w:tcPr>
                  <w:tcW w:w="1005" w:type="dxa"/>
                  <w:noWrap w:val="0"/>
                  <w:vAlign w:val="center"/>
                </w:tcPr>
                <w:p w14:paraId="4CAE081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双电源转换柜</w:t>
                  </w:r>
                </w:p>
              </w:tc>
              <w:tc>
                <w:tcPr>
                  <w:tcW w:w="1421" w:type="dxa"/>
                  <w:noWrap w:val="0"/>
                  <w:vAlign w:val="center"/>
                </w:tcPr>
                <w:p w14:paraId="3CB4B101">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TGMES-1600A/4P  正泰</w:t>
                  </w:r>
                </w:p>
              </w:tc>
              <w:tc>
                <w:tcPr>
                  <w:tcW w:w="990" w:type="dxa"/>
                  <w:noWrap w:val="0"/>
                  <w:vAlign w:val="center"/>
                </w:tcPr>
                <w:p w14:paraId="39EADC5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1600A</w:t>
                  </w:r>
                </w:p>
              </w:tc>
              <w:tc>
                <w:tcPr>
                  <w:tcW w:w="765" w:type="dxa"/>
                  <w:noWrap w:val="0"/>
                  <w:vAlign w:val="center"/>
                </w:tcPr>
                <w:p w14:paraId="613A70E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w:t>
                  </w:r>
                </w:p>
              </w:tc>
              <w:tc>
                <w:tcPr>
                  <w:tcW w:w="2646" w:type="dxa"/>
                  <w:noWrap w:val="0"/>
                  <w:vAlign w:val="center"/>
                </w:tcPr>
                <w:p w14:paraId="714CEB6B">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转换是否正常，触点可靠，指示正确，母线连接点牢固等。</w:t>
                  </w:r>
                </w:p>
              </w:tc>
            </w:tr>
            <w:tr w14:paraId="10A14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8" w:hRule="atLeast"/>
                <w:jc w:val="center"/>
              </w:trPr>
              <w:tc>
                <w:tcPr>
                  <w:tcW w:w="490" w:type="dxa"/>
                  <w:noWrap w:val="0"/>
                  <w:vAlign w:val="center"/>
                </w:tcPr>
                <w:p w14:paraId="3A6263D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1005" w:type="dxa"/>
                  <w:noWrap w:val="0"/>
                  <w:vAlign w:val="center"/>
                </w:tcPr>
                <w:p w14:paraId="2F558C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发电机组</w:t>
                  </w:r>
                </w:p>
              </w:tc>
              <w:tc>
                <w:tcPr>
                  <w:tcW w:w="1421" w:type="dxa"/>
                  <w:noWrap w:val="0"/>
                  <w:vAlign w:val="center"/>
                </w:tcPr>
                <w:p w14:paraId="4EAE57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KP1250</w:t>
                  </w:r>
                </w:p>
                <w:p w14:paraId="018D14A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康尔信</w:t>
                  </w:r>
                </w:p>
              </w:tc>
              <w:tc>
                <w:tcPr>
                  <w:tcW w:w="990" w:type="dxa"/>
                  <w:noWrap w:val="0"/>
                  <w:vAlign w:val="center"/>
                </w:tcPr>
                <w:p w14:paraId="7540F96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1250</w:t>
                  </w:r>
                </w:p>
                <w:p w14:paraId="57C1FA1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5E5AC62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567B0874">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柴油应急发电机。每2周检查及试机一次</w:t>
                  </w:r>
                  <w:r>
                    <w:rPr>
                      <w:rFonts w:hint="eastAsia" w:ascii="仿宋_GB2312" w:hAnsi="仿宋_GB2312" w:eastAsia="仿宋_GB2312" w:cs="仿宋_GB2312"/>
                      <w:sz w:val="24"/>
                    </w:rPr>
                    <w:t>（如周期调整，以采购人通知为准）</w:t>
                  </w:r>
                  <w:r>
                    <w:rPr>
                      <w:rFonts w:hint="eastAsia" w:ascii="仿宋_GB2312" w:hAnsi="仿宋_GB2312" w:eastAsia="仿宋_GB2312" w:cs="仿宋_GB2312"/>
                      <w:color w:val="000000"/>
                      <w:sz w:val="24"/>
                    </w:rPr>
                    <w:t>，试机时间30分钟。1、试机前检查内容：燃油，机油状况，机油油位，水位，蓄电池电压。2、试机时检查：三相电压，频率、油压，水温，排汽情况，机器响声等等是否正常。3、严格按照该发电机组的要求进行保养与维护。</w:t>
                  </w:r>
                </w:p>
              </w:tc>
            </w:tr>
            <w:tr w14:paraId="4EAE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0A3765C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13</w:t>
                  </w:r>
                </w:p>
              </w:tc>
              <w:tc>
                <w:tcPr>
                  <w:tcW w:w="1005" w:type="dxa"/>
                  <w:noWrap w:val="0"/>
                  <w:vAlign w:val="center"/>
                </w:tcPr>
                <w:p w14:paraId="22EF912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箱式变电站</w:t>
                  </w:r>
                </w:p>
              </w:tc>
              <w:tc>
                <w:tcPr>
                  <w:tcW w:w="1421" w:type="dxa"/>
                  <w:noWrap w:val="0"/>
                  <w:vAlign w:val="center"/>
                </w:tcPr>
                <w:p w14:paraId="2918C33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YB-12/0.4－160KVA</w:t>
                  </w:r>
                </w:p>
                <w:p w14:paraId="3D0664F1">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西能电气</w:t>
                  </w:r>
                </w:p>
              </w:tc>
              <w:tc>
                <w:tcPr>
                  <w:tcW w:w="990" w:type="dxa"/>
                  <w:noWrap w:val="0"/>
                  <w:vAlign w:val="center"/>
                </w:tcPr>
                <w:p w14:paraId="3E6C916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w:t>
                  </w:r>
                </w:p>
                <w:p w14:paraId="2EFAA28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KVA</w:t>
                  </w:r>
                </w:p>
              </w:tc>
              <w:tc>
                <w:tcPr>
                  <w:tcW w:w="765" w:type="dxa"/>
                  <w:noWrap w:val="0"/>
                  <w:vAlign w:val="center"/>
                </w:tcPr>
                <w:p w14:paraId="652EA53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center"/>
                </w:tcPr>
                <w:p w14:paraId="7DE304F8">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江边取水工程变电站。每周巡视、检查一次，内容：工作状态，负荷大小，进线电压、电流及仪表指示，电容柜，出线柜等。</w:t>
                  </w:r>
                </w:p>
              </w:tc>
            </w:tr>
            <w:tr w14:paraId="7558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118D9445">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14</w:t>
                  </w:r>
                </w:p>
              </w:tc>
              <w:tc>
                <w:tcPr>
                  <w:tcW w:w="1005" w:type="dxa"/>
                  <w:noWrap w:val="0"/>
                  <w:vAlign w:val="center"/>
                </w:tcPr>
                <w:p w14:paraId="47A202D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高压开关柜</w:t>
                  </w:r>
                </w:p>
              </w:tc>
              <w:tc>
                <w:tcPr>
                  <w:tcW w:w="1421" w:type="dxa"/>
                  <w:noWrap w:val="0"/>
                  <w:vAlign w:val="center"/>
                </w:tcPr>
                <w:p w14:paraId="613278FD">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KYN28A</w:t>
                  </w:r>
                </w:p>
                <w:p w14:paraId="13462A5B">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德力西</w:t>
                  </w:r>
                </w:p>
              </w:tc>
              <w:tc>
                <w:tcPr>
                  <w:tcW w:w="990" w:type="dxa"/>
                  <w:noWrap w:val="0"/>
                  <w:vAlign w:val="center"/>
                </w:tcPr>
                <w:p w14:paraId="6E01016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250A，150A</w:t>
                  </w:r>
                </w:p>
              </w:tc>
              <w:tc>
                <w:tcPr>
                  <w:tcW w:w="765" w:type="dxa"/>
                  <w:noWrap w:val="0"/>
                  <w:vAlign w:val="center"/>
                </w:tcPr>
                <w:p w14:paraId="3EC5C12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5</w:t>
                  </w:r>
                </w:p>
              </w:tc>
              <w:tc>
                <w:tcPr>
                  <w:tcW w:w="2646" w:type="dxa"/>
                  <w:noWrap w:val="0"/>
                  <w:vAlign w:val="center"/>
                </w:tcPr>
                <w:p w14:paraId="401F37E2">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检查主回路接头，微机保护器、仪表及指示灯、负荷是否正常，有无高压打火放电现象等。</w:t>
                  </w:r>
                </w:p>
              </w:tc>
            </w:tr>
            <w:tr w14:paraId="6E6A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490" w:type="dxa"/>
                  <w:noWrap w:val="0"/>
                  <w:vAlign w:val="center"/>
                </w:tcPr>
                <w:p w14:paraId="7E40E6F9">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15</w:t>
                  </w:r>
                </w:p>
              </w:tc>
              <w:tc>
                <w:tcPr>
                  <w:tcW w:w="1005" w:type="dxa"/>
                  <w:noWrap w:val="0"/>
                  <w:vAlign w:val="center"/>
                </w:tcPr>
                <w:p w14:paraId="6B95809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干式变压器</w:t>
                  </w:r>
                </w:p>
              </w:tc>
              <w:tc>
                <w:tcPr>
                  <w:tcW w:w="1421" w:type="dxa"/>
                  <w:noWrap w:val="0"/>
                  <w:vAlign w:val="center"/>
                </w:tcPr>
                <w:p w14:paraId="4D6BB86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SCB10-800</w:t>
                  </w:r>
                </w:p>
                <w:p w14:paraId="739F20C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特变电工</w:t>
                  </w:r>
                </w:p>
              </w:tc>
              <w:tc>
                <w:tcPr>
                  <w:tcW w:w="990" w:type="dxa"/>
                  <w:noWrap w:val="0"/>
                  <w:vAlign w:val="center"/>
                </w:tcPr>
                <w:p w14:paraId="246D05F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800KVA</w:t>
                  </w:r>
                </w:p>
              </w:tc>
              <w:tc>
                <w:tcPr>
                  <w:tcW w:w="765" w:type="dxa"/>
                  <w:noWrap w:val="0"/>
                  <w:vAlign w:val="center"/>
                </w:tcPr>
                <w:p w14:paraId="02D0E45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06BEBC3E">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负荷状况及工作温度，铁芯、内部母线连接点及电缆接头是否松动、过热，降温排风系统是否正常，整机有无异常响声等。</w:t>
                  </w:r>
                </w:p>
              </w:tc>
            </w:tr>
            <w:tr w14:paraId="22C6C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4C5DB94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16</w:t>
                  </w:r>
                </w:p>
              </w:tc>
              <w:tc>
                <w:tcPr>
                  <w:tcW w:w="1005" w:type="dxa"/>
                  <w:noWrap w:val="0"/>
                  <w:vAlign w:val="center"/>
                </w:tcPr>
                <w:p w14:paraId="387D4A3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低压进线柜</w:t>
                  </w:r>
                </w:p>
              </w:tc>
              <w:tc>
                <w:tcPr>
                  <w:tcW w:w="1421" w:type="dxa"/>
                  <w:noWrap w:val="0"/>
                  <w:vAlign w:val="center"/>
                </w:tcPr>
                <w:p w14:paraId="0C84FB0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GCK</w:t>
                  </w:r>
                </w:p>
                <w:p w14:paraId="2F769275">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13BD2433">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AC380V</w:t>
                  </w:r>
                </w:p>
                <w:p w14:paraId="3EEDC10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1600A</w:t>
                  </w:r>
                </w:p>
              </w:tc>
              <w:tc>
                <w:tcPr>
                  <w:tcW w:w="765" w:type="dxa"/>
                  <w:noWrap w:val="0"/>
                  <w:vAlign w:val="center"/>
                </w:tcPr>
                <w:p w14:paraId="38D69209">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2990D422">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负荷状况，母排接头、保护模块工作情况，仪表及指示灯，响声等。</w:t>
                  </w:r>
                </w:p>
              </w:tc>
            </w:tr>
            <w:tr w14:paraId="64A2C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6A0669E6">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17</w:t>
                  </w:r>
                </w:p>
              </w:tc>
              <w:tc>
                <w:tcPr>
                  <w:tcW w:w="1005" w:type="dxa"/>
                  <w:noWrap w:val="0"/>
                  <w:vAlign w:val="center"/>
                </w:tcPr>
                <w:p w14:paraId="5AD070F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无功功率补偿柜</w:t>
                  </w:r>
                </w:p>
              </w:tc>
              <w:tc>
                <w:tcPr>
                  <w:tcW w:w="1421" w:type="dxa"/>
                  <w:noWrap w:val="0"/>
                  <w:vAlign w:val="center"/>
                </w:tcPr>
                <w:p w14:paraId="789DA37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GWJ</w:t>
                  </w:r>
                </w:p>
                <w:p w14:paraId="46409AA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746C674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AC380V</w:t>
                  </w:r>
                </w:p>
                <w:p w14:paraId="76CD32E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630A</w:t>
                  </w:r>
                </w:p>
              </w:tc>
              <w:tc>
                <w:tcPr>
                  <w:tcW w:w="765" w:type="dxa"/>
                  <w:noWrap w:val="0"/>
                  <w:vAlign w:val="center"/>
                </w:tcPr>
                <w:p w14:paraId="1F455F2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w:t>
                  </w:r>
                </w:p>
              </w:tc>
              <w:tc>
                <w:tcPr>
                  <w:tcW w:w="2646" w:type="dxa"/>
                  <w:noWrap w:val="0"/>
                  <w:vAlign w:val="top"/>
                </w:tcPr>
                <w:p w14:paraId="68AC077E">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补偿电流，一次接头是否发热，主开关、仪表及指示灯是否正常，各电容状态，有无变形，漏液等。</w:t>
                  </w:r>
                </w:p>
              </w:tc>
            </w:tr>
            <w:tr w14:paraId="0C9B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5E4A327A">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18</w:t>
                  </w:r>
                </w:p>
              </w:tc>
              <w:tc>
                <w:tcPr>
                  <w:tcW w:w="1005" w:type="dxa"/>
                  <w:noWrap w:val="0"/>
                  <w:vAlign w:val="center"/>
                </w:tcPr>
                <w:p w14:paraId="14283AC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出线柜</w:t>
                  </w:r>
                </w:p>
              </w:tc>
              <w:tc>
                <w:tcPr>
                  <w:tcW w:w="1421" w:type="dxa"/>
                  <w:noWrap w:val="0"/>
                  <w:vAlign w:val="center"/>
                </w:tcPr>
                <w:p w14:paraId="2DAF683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GCK</w:t>
                  </w:r>
                </w:p>
                <w:p w14:paraId="7ADA3E20">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02B1B0F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100-400A系列</w:t>
                  </w:r>
                </w:p>
              </w:tc>
              <w:tc>
                <w:tcPr>
                  <w:tcW w:w="765" w:type="dxa"/>
                  <w:noWrap w:val="0"/>
                  <w:vAlign w:val="center"/>
                </w:tcPr>
                <w:p w14:paraId="788B446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w:t>
                  </w:r>
                </w:p>
              </w:tc>
              <w:tc>
                <w:tcPr>
                  <w:tcW w:w="2646" w:type="dxa"/>
                  <w:noWrap w:val="0"/>
                  <w:vAlign w:val="top"/>
                </w:tcPr>
                <w:p w14:paraId="22A8C761">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开关是否正常，主接头是否牢固，输出电压、仪表及指示灯是否正常，是否超负荷运行等。</w:t>
                  </w:r>
                </w:p>
              </w:tc>
            </w:tr>
            <w:tr w14:paraId="0688C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096A42B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19</w:t>
                  </w:r>
                </w:p>
              </w:tc>
              <w:tc>
                <w:tcPr>
                  <w:tcW w:w="1005" w:type="dxa"/>
                  <w:noWrap w:val="0"/>
                  <w:vAlign w:val="center"/>
                </w:tcPr>
                <w:p w14:paraId="717E29F5">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双电源转换柜</w:t>
                  </w:r>
                </w:p>
              </w:tc>
              <w:tc>
                <w:tcPr>
                  <w:tcW w:w="1421" w:type="dxa"/>
                  <w:noWrap w:val="0"/>
                  <w:vAlign w:val="center"/>
                </w:tcPr>
                <w:p w14:paraId="79EB623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IEC80947-3</w:t>
                  </w:r>
                </w:p>
                <w:p w14:paraId="0DC4B61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西科</w:t>
                  </w:r>
                </w:p>
              </w:tc>
              <w:tc>
                <w:tcPr>
                  <w:tcW w:w="990" w:type="dxa"/>
                  <w:noWrap w:val="0"/>
                  <w:vAlign w:val="center"/>
                </w:tcPr>
                <w:p w14:paraId="4AB9587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1000A</w:t>
                  </w:r>
                </w:p>
              </w:tc>
              <w:tc>
                <w:tcPr>
                  <w:tcW w:w="765" w:type="dxa"/>
                  <w:noWrap w:val="0"/>
                  <w:vAlign w:val="center"/>
                </w:tcPr>
                <w:p w14:paraId="2F6C5B1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3BE33BA4">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转换是否正常，触点可靠，指示正确，母线连接点牢固等。</w:t>
                  </w:r>
                </w:p>
              </w:tc>
            </w:tr>
            <w:tr w14:paraId="3633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682A31DC">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20</w:t>
                  </w:r>
                </w:p>
              </w:tc>
              <w:tc>
                <w:tcPr>
                  <w:tcW w:w="1005" w:type="dxa"/>
                  <w:noWrap w:val="0"/>
                  <w:vAlign w:val="center"/>
                </w:tcPr>
                <w:p w14:paraId="21C4BC7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电缆沟</w:t>
                  </w:r>
                </w:p>
              </w:tc>
              <w:tc>
                <w:tcPr>
                  <w:tcW w:w="1421" w:type="dxa"/>
                  <w:noWrap w:val="0"/>
                  <w:vAlign w:val="center"/>
                </w:tcPr>
                <w:p w14:paraId="60BB3D1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p>
              </w:tc>
              <w:tc>
                <w:tcPr>
                  <w:tcW w:w="990" w:type="dxa"/>
                  <w:noWrap w:val="0"/>
                  <w:vAlign w:val="center"/>
                </w:tcPr>
                <w:p w14:paraId="4A6E3702">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765" w:type="dxa"/>
                  <w:noWrap w:val="0"/>
                  <w:vAlign w:val="center"/>
                </w:tcPr>
                <w:p w14:paraId="2DB7EB56">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6DCF5EBF">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确保电缆沟保持干燥，如遇积水及时清理。进出线封堵口是否完好</w:t>
                  </w:r>
                </w:p>
              </w:tc>
            </w:tr>
            <w:tr w14:paraId="5722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90" w:type="dxa"/>
                  <w:noWrap w:val="0"/>
                  <w:vAlign w:val="center"/>
                </w:tcPr>
                <w:p w14:paraId="3189CF7F">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21</w:t>
                  </w:r>
                </w:p>
              </w:tc>
              <w:tc>
                <w:tcPr>
                  <w:tcW w:w="1005" w:type="dxa"/>
                  <w:noWrap w:val="0"/>
                  <w:vAlign w:val="center"/>
                </w:tcPr>
                <w:p w14:paraId="5864460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发电机组</w:t>
                  </w:r>
                </w:p>
              </w:tc>
              <w:tc>
                <w:tcPr>
                  <w:tcW w:w="1421" w:type="dxa"/>
                  <w:noWrap w:val="0"/>
                  <w:vAlign w:val="center"/>
                </w:tcPr>
                <w:p w14:paraId="6A8F94EC">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MP-400-4</w:t>
                  </w:r>
                </w:p>
                <w:p w14:paraId="51AD02DC">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马拉松</w:t>
                  </w:r>
                </w:p>
              </w:tc>
              <w:tc>
                <w:tcPr>
                  <w:tcW w:w="990" w:type="dxa"/>
                  <w:noWrap w:val="0"/>
                  <w:vAlign w:val="center"/>
                </w:tcPr>
                <w:p w14:paraId="541BEA17">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400KVA</w:t>
                  </w:r>
                </w:p>
              </w:tc>
              <w:tc>
                <w:tcPr>
                  <w:tcW w:w="765" w:type="dxa"/>
                  <w:noWrap w:val="0"/>
                  <w:vAlign w:val="center"/>
                </w:tcPr>
                <w:p w14:paraId="4ED1DBC1">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511C80E1">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柴油应急发电机。每2周检查及试机一次</w:t>
                  </w:r>
                  <w:r>
                    <w:rPr>
                      <w:rFonts w:hint="eastAsia" w:ascii="仿宋_GB2312" w:hAnsi="仿宋_GB2312" w:eastAsia="仿宋_GB2312" w:cs="仿宋_GB2312"/>
                      <w:sz w:val="24"/>
                    </w:rPr>
                    <w:t>（如周期调整，以采购人通知为准）</w:t>
                  </w:r>
                  <w:r>
                    <w:rPr>
                      <w:rFonts w:hint="eastAsia" w:ascii="仿宋_GB2312" w:hAnsi="仿宋_GB2312" w:eastAsia="仿宋_GB2312" w:cs="仿宋_GB2312"/>
                      <w:color w:val="000000"/>
                      <w:sz w:val="24"/>
                    </w:rPr>
                    <w:t>，试机时间30分钟。1、试机前检查内容：燃油，机油状况，机油油位，水位，蓄电池电压。2、试机时检查：三相电压，频率、油压，水温，排汽情况，机器响声等等是否正常。3、严格按照该发电机组的要求进行保养与维护。</w:t>
                  </w:r>
                </w:p>
              </w:tc>
            </w:tr>
            <w:tr w14:paraId="52FB4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490" w:type="dxa"/>
                  <w:noWrap w:val="0"/>
                  <w:vAlign w:val="center"/>
                </w:tcPr>
                <w:p w14:paraId="2ABE8AF9">
                  <w:pPr>
                    <w:spacing w:line="400" w:lineRule="exact"/>
                    <w:jc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22</w:t>
                  </w:r>
                </w:p>
              </w:tc>
              <w:tc>
                <w:tcPr>
                  <w:tcW w:w="1005" w:type="dxa"/>
                  <w:noWrap w:val="0"/>
                  <w:vAlign w:val="center"/>
                </w:tcPr>
                <w:p w14:paraId="59818BC0">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微机保护测控装置（备自投装置）</w:t>
                  </w:r>
                </w:p>
              </w:tc>
              <w:tc>
                <w:tcPr>
                  <w:tcW w:w="1421" w:type="dxa"/>
                  <w:noWrap w:val="0"/>
                  <w:vAlign w:val="center"/>
                </w:tcPr>
                <w:p w14:paraId="382D3637">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w:t>
                  </w:r>
                </w:p>
              </w:tc>
              <w:tc>
                <w:tcPr>
                  <w:tcW w:w="990" w:type="dxa"/>
                  <w:noWrap w:val="0"/>
                  <w:vAlign w:val="center"/>
                </w:tcPr>
                <w:p w14:paraId="1B687594">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765" w:type="dxa"/>
                  <w:noWrap w:val="0"/>
                  <w:vAlign w:val="center"/>
                </w:tcPr>
                <w:p w14:paraId="7004E00F">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62773A13">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对微机保护测控装置进行检查、调测。</w:t>
                  </w:r>
                </w:p>
              </w:tc>
            </w:tr>
            <w:tr w14:paraId="4942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490" w:type="dxa"/>
                  <w:noWrap w:val="0"/>
                  <w:vAlign w:val="center"/>
                </w:tcPr>
                <w:p w14:paraId="56C722BB">
                  <w:pPr>
                    <w:spacing w:line="400" w:lineRule="exact"/>
                    <w:jc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rPr>
                    <w:t>23</w:t>
                  </w:r>
                </w:p>
              </w:tc>
              <w:tc>
                <w:tcPr>
                  <w:tcW w:w="1005" w:type="dxa"/>
                  <w:noWrap w:val="0"/>
                  <w:vAlign w:val="center"/>
                </w:tcPr>
                <w:p w14:paraId="0471DBB8">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不间断电源</w:t>
                  </w:r>
                </w:p>
              </w:tc>
              <w:tc>
                <w:tcPr>
                  <w:tcW w:w="1421" w:type="dxa"/>
                  <w:noWrap w:val="0"/>
                  <w:vAlign w:val="center"/>
                </w:tcPr>
                <w:p w14:paraId="32242D6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rPr>
                    <w:t>C3KS山特</w:t>
                  </w:r>
                </w:p>
              </w:tc>
              <w:tc>
                <w:tcPr>
                  <w:tcW w:w="990" w:type="dxa"/>
                  <w:noWrap w:val="0"/>
                  <w:vAlign w:val="center"/>
                </w:tcPr>
                <w:p w14:paraId="428251B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3KVA，65AH</w:t>
                  </w:r>
                </w:p>
              </w:tc>
              <w:tc>
                <w:tcPr>
                  <w:tcW w:w="765" w:type="dxa"/>
                  <w:noWrap w:val="0"/>
                  <w:vAlign w:val="center"/>
                </w:tcPr>
                <w:p w14:paraId="17AADCAA">
                  <w:pPr>
                    <w:spacing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w:t>
                  </w:r>
                </w:p>
              </w:tc>
              <w:tc>
                <w:tcPr>
                  <w:tcW w:w="2646" w:type="dxa"/>
                  <w:noWrap w:val="0"/>
                  <w:vAlign w:val="top"/>
                </w:tcPr>
                <w:p w14:paraId="3548B334">
                  <w:pPr>
                    <w:spacing w:line="40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
                    </w:rPr>
                    <w:t>检查运行是否正常，指示正确。</w:t>
                  </w:r>
                </w:p>
              </w:tc>
            </w:tr>
          </w:tbl>
          <w:p w14:paraId="6D36D5CF">
            <w:pPr>
              <w:spacing w:line="400" w:lineRule="exact"/>
              <w:ind w:right="-113" w:rightChars="-54" w:firstLine="723" w:firstLineChars="300"/>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rPr>
              <w:t>注:</w:t>
            </w:r>
            <w:r>
              <w:rPr>
                <w:rFonts w:hint="eastAsia" w:ascii="仿宋_GB2312" w:hAnsi="仿宋_GB2312" w:eastAsia="仿宋_GB2312" w:cs="仿宋_GB2312"/>
                <w:b/>
                <w:color w:val="000000"/>
                <w:sz w:val="24"/>
                <w:lang w:val="en-US" w:eastAsia="zh-CN"/>
              </w:rPr>
              <w:t>1.</w:t>
            </w:r>
            <w:r>
              <w:rPr>
                <w:rFonts w:hint="eastAsia" w:ascii="仿宋_GB2312" w:hAnsi="仿宋_GB2312" w:eastAsia="仿宋_GB2312" w:cs="仿宋_GB2312"/>
                <w:b/>
                <w:color w:val="000000"/>
                <w:sz w:val="24"/>
                <w:lang w:eastAsia="zh-CN"/>
              </w:rPr>
              <w:t>上表中</w:t>
            </w:r>
            <w:r>
              <w:rPr>
                <w:rFonts w:hint="eastAsia" w:ascii="仿宋_GB2312" w:hAnsi="仿宋_GB2312" w:eastAsia="仿宋_GB2312" w:cs="仿宋_GB2312"/>
                <w:b/>
                <w:color w:val="000000"/>
                <w:sz w:val="24"/>
                <w:lang w:val="en-US" w:eastAsia="zh-CN"/>
              </w:rPr>
              <w:t>1-13为文昌路66号办公区设备</w:t>
            </w:r>
            <w:r>
              <w:rPr>
                <w:rFonts w:hint="eastAsia" w:ascii="仿宋_GB2312" w:hAnsi="仿宋_GB2312" w:eastAsia="仿宋_GB2312" w:cs="仿宋_GB2312"/>
                <w:b/>
                <w:color w:val="000000"/>
                <w:sz w:val="24"/>
                <w:lang w:eastAsia="zh-CN"/>
              </w:rPr>
              <w:t>，</w:t>
            </w:r>
            <w:r>
              <w:rPr>
                <w:rFonts w:hint="eastAsia" w:ascii="仿宋_GB2312" w:hAnsi="仿宋_GB2312" w:eastAsia="仿宋_GB2312" w:cs="仿宋_GB2312"/>
                <w:b/>
                <w:color w:val="000000"/>
                <w:sz w:val="24"/>
              </w:rPr>
              <w:t>1</w:t>
            </w:r>
            <w:r>
              <w:rPr>
                <w:rFonts w:hint="eastAsia" w:ascii="仿宋_GB2312" w:hAnsi="仿宋_GB2312" w:eastAsia="仿宋_GB2312" w:cs="仿宋_GB2312"/>
                <w:b/>
                <w:color w:val="000000"/>
                <w:sz w:val="24"/>
                <w:lang w:val="en-US" w:eastAsia="zh-CN"/>
              </w:rPr>
              <w:t>4</w:t>
            </w:r>
            <w:r>
              <w:rPr>
                <w:rFonts w:hint="eastAsia" w:ascii="仿宋_GB2312" w:hAnsi="仿宋_GB2312" w:eastAsia="仿宋_GB2312" w:cs="仿宋_GB2312"/>
                <w:b/>
                <w:color w:val="000000"/>
                <w:sz w:val="24"/>
              </w:rPr>
              <w:t>-</w:t>
            </w:r>
            <w:r>
              <w:rPr>
                <w:rFonts w:hint="eastAsia" w:ascii="仿宋_GB2312" w:hAnsi="仿宋_GB2312" w:eastAsia="仿宋_GB2312" w:cs="仿宋_GB2312"/>
                <w:b/>
                <w:color w:val="000000"/>
                <w:sz w:val="24"/>
                <w:lang w:val="en-US" w:eastAsia="zh-CN"/>
              </w:rPr>
              <w:t>2</w:t>
            </w:r>
            <w:r>
              <w:rPr>
                <w:rFonts w:hint="eastAsia" w:ascii="仿宋_GB2312" w:hAnsi="仿宋_GB2312" w:eastAsia="仿宋_GB2312" w:cs="仿宋_GB2312"/>
                <w:b/>
                <w:color w:val="000000"/>
                <w:sz w:val="24"/>
              </w:rPr>
              <w:t>3为瑞安路9号办公区设备。</w:t>
            </w:r>
          </w:p>
          <w:p w14:paraId="56C8C46D">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default"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2.鱼峰区新柳大道91号办公区高低压配电系统维保设备名称、数量及要求</w:t>
            </w:r>
          </w:p>
          <w:p w14:paraId="17CEB157">
            <w:pPr>
              <w:pStyle w:val="588"/>
              <w:keepNext w:val="0"/>
              <w:keepLines w:val="0"/>
              <w:pageBreakBefore w:val="0"/>
              <w:kinsoku/>
              <w:wordWrap/>
              <w:overflowPunct/>
              <w:topLinePunct w:val="0"/>
              <w:autoSpaceDE/>
              <w:autoSpaceDN/>
              <w:bidi w:val="0"/>
              <w:adjustRightInd/>
              <w:spacing w:line="400" w:lineRule="exact"/>
              <w:ind w:right="42" w:rightChars="20" w:firstLine="480" w:firstLineChars="200"/>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（1）</w:t>
            </w:r>
            <w:r>
              <w:rPr>
                <w:rFonts w:hint="eastAsia" w:ascii="仿宋_GB2312" w:hAnsi="仿宋_GB2312" w:eastAsia="仿宋_GB2312" w:cs="仿宋_GB2312"/>
                <w:bCs/>
                <w:color w:val="auto"/>
                <w:sz w:val="24"/>
                <w:lang w:eastAsia="zh-CN"/>
              </w:rPr>
              <w:t>以下</w:t>
            </w:r>
            <w:r>
              <w:rPr>
                <w:rFonts w:hint="eastAsia" w:ascii="仿宋_GB2312" w:hAnsi="仿宋_GB2312" w:eastAsia="仿宋_GB2312" w:cs="仿宋_GB2312"/>
                <w:bCs/>
                <w:color w:val="auto"/>
                <w:sz w:val="24"/>
              </w:rPr>
              <w:t>设备要求每天记录一次运行数据：</w:t>
            </w:r>
          </w:p>
          <w:tbl>
            <w:tblPr>
              <w:tblStyle w:val="7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5"/>
              <w:gridCol w:w="4492"/>
            </w:tblGrid>
            <w:tr w14:paraId="2E81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985" w:type="dxa"/>
                  <w:noWrap w:val="0"/>
                  <w:vAlign w:val="center"/>
                </w:tcPr>
                <w:p w14:paraId="1202E5C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设备名称</w:t>
                  </w:r>
                </w:p>
              </w:tc>
              <w:tc>
                <w:tcPr>
                  <w:tcW w:w="4492" w:type="dxa"/>
                  <w:noWrap w:val="0"/>
                  <w:vAlign w:val="center"/>
                </w:tcPr>
                <w:p w14:paraId="2A1D1087">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要记录的运行数据</w:t>
                  </w:r>
                </w:p>
              </w:tc>
            </w:tr>
            <w:tr w14:paraId="7DC3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985" w:type="dxa"/>
                  <w:noWrap w:val="0"/>
                  <w:vAlign w:val="center"/>
                </w:tcPr>
                <w:p w14:paraId="14946035">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高压开关柜</w:t>
                  </w:r>
                </w:p>
              </w:tc>
              <w:tc>
                <w:tcPr>
                  <w:tcW w:w="4492" w:type="dxa"/>
                  <w:noWrap w:val="0"/>
                  <w:vAlign w:val="center"/>
                </w:tcPr>
                <w:p w14:paraId="75DCFE03">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工作电压、各开关柜电流</w:t>
                  </w:r>
                </w:p>
              </w:tc>
            </w:tr>
            <w:tr w14:paraId="4302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85" w:type="dxa"/>
                  <w:noWrap w:val="0"/>
                  <w:vAlign w:val="center"/>
                </w:tcPr>
                <w:p w14:paraId="10D2676D">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变压器</w:t>
                  </w:r>
                </w:p>
              </w:tc>
              <w:tc>
                <w:tcPr>
                  <w:tcW w:w="4492" w:type="dxa"/>
                  <w:noWrap w:val="0"/>
                  <w:vAlign w:val="center"/>
                </w:tcPr>
                <w:p w14:paraId="73545B3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工作温度</w:t>
                  </w:r>
                </w:p>
              </w:tc>
            </w:tr>
            <w:tr w14:paraId="7AAF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985" w:type="dxa"/>
                  <w:noWrap w:val="0"/>
                  <w:vAlign w:val="center"/>
                </w:tcPr>
                <w:p w14:paraId="6AD3D77B">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低压进线柜</w:t>
                  </w:r>
                </w:p>
              </w:tc>
              <w:tc>
                <w:tcPr>
                  <w:tcW w:w="4492" w:type="dxa"/>
                  <w:noWrap w:val="0"/>
                  <w:vAlign w:val="center"/>
                </w:tcPr>
                <w:p w14:paraId="7AA910DC">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变压器低压侧三相总电流，三相电压</w:t>
                  </w:r>
                </w:p>
              </w:tc>
            </w:tr>
            <w:tr w14:paraId="096E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985" w:type="dxa"/>
                  <w:noWrap w:val="0"/>
                  <w:vAlign w:val="center"/>
                </w:tcPr>
                <w:p w14:paraId="1261EB9A">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无功功率补偿柜</w:t>
                  </w:r>
                </w:p>
              </w:tc>
              <w:tc>
                <w:tcPr>
                  <w:tcW w:w="4492" w:type="dxa"/>
                  <w:noWrap w:val="0"/>
                  <w:vAlign w:val="center"/>
                </w:tcPr>
                <w:p w14:paraId="48ED3926">
                  <w:pPr>
                    <w:keepNext w:val="0"/>
                    <w:keepLines w:val="0"/>
                    <w:pageBreakBefore w:val="0"/>
                    <w:kinsoku/>
                    <w:wordWrap/>
                    <w:overflowPunct/>
                    <w:topLinePunct w:val="0"/>
                    <w:autoSpaceDE/>
                    <w:autoSpaceDN/>
                    <w:bidi w:val="0"/>
                    <w:adjustRightInd/>
                    <w:spacing w:line="400" w:lineRule="exact"/>
                    <w:ind w:left="-424" w:leftChars="-202" w:firstLine="668"/>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功率因素值</w:t>
                  </w:r>
                </w:p>
              </w:tc>
            </w:tr>
          </w:tbl>
          <w:p w14:paraId="5BA10BC2">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p w14:paraId="68ED8CC0">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hint="eastAsia" w:ascii="仿宋_GB2312" w:hAnsi="仿宋_GB2312" w:eastAsia="仿宋_GB2312" w:cs="仿宋_GB2312"/>
                <w:color w:val="auto"/>
                <w:sz w:val="24"/>
                <w:lang w:eastAsia="zh-CN"/>
              </w:rPr>
              <w:t>对</w:t>
            </w:r>
            <w:r>
              <w:rPr>
                <w:rFonts w:hint="eastAsia" w:ascii="仿宋_GB2312" w:hAnsi="仿宋_GB2312" w:eastAsia="仿宋_GB2312" w:cs="仿宋_GB2312"/>
                <w:color w:val="auto"/>
                <w:sz w:val="24"/>
              </w:rPr>
              <w:t>下列设备巡视、检查（每</w:t>
            </w:r>
            <w:r>
              <w:rPr>
                <w:rFonts w:hint="eastAsia" w:ascii="仿宋_GB2312" w:hAnsi="仿宋_GB2312" w:eastAsia="仿宋_GB2312" w:cs="仿宋_GB2312"/>
                <w:color w:val="auto"/>
                <w:sz w:val="24"/>
                <w:lang w:eastAsia="zh-CN"/>
              </w:rPr>
              <w:t>天上午、下午各</w:t>
            </w:r>
            <w:r>
              <w:rPr>
                <w:rFonts w:hint="eastAsia" w:ascii="仿宋_GB2312" w:hAnsi="仿宋_GB2312" w:eastAsia="仿宋_GB2312" w:cs="仿宋_GB2312"/>
                <w:color w:val="auto"/>
                <w:sz w:val="24"/>
              </w:rPr>
              <w:t>一次）</w:t>
            </w:r>
          </w:p>
          <w:tbl>
            <w:tblPr>
              <w:tblStyle w:val="7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
              <w:gridCol w:w="896"/>
              <w:gridCol w:w="1055"/>
              <w:gridCol w:w="603"/>
              <w:gridCol w:w="1411"/>
              <w:gridCol w:w="3168"/>
            </w:tblGrid>
            <w:tr w14:paraId="0FCD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noWrap w:val="0"/>
                  <w:vAlign w:val="center"/>
                </w:tcPr>
                <w:p w14:paraId="6483EED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序号</w:t>
                  </w:r>
                </w:p>
              </w:tc>
              <w:tc>
                <w:tcPr>
                  <w:tcW w:w="896" w:type="dxa"/>
                  <w:noWrap w:val="0"/>
                  <w:vAlign w:val="center"/>
                </w:tcPr>
                <w:p w14:paraId="7F365CF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名 称</w:t>
                  </w:r>
                </w:p>
              </w:tc>
              <w:tc>
                <w:tcPr>
                  <w:tcW w:w="1055" w:type="dxa"/>
                  <w:noWrap w:val="0"/>
                  <w:vAlign w:val="center"/>
                </w:tcPr>
                <w:p w14:paraId="66C371B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型号与</w:t>
                  </w:r>
                  <w:r>
                    <w:rPr>
                      <w:rFonts w:hint="eastAsia" w:ascii="仿宋_GB2312" w:hAnsi="仿宋_GB2312" w:eastAsia="仿宋_GB2312" w:cs="仿宋_GB2312"/>
                      <w:color w:val="auto"/>
                      <w:sz w:val="24"/>
                    </w:rPr>
                    <w:t>规格</w:t>
                  </w:r>
                </w:p>
              </w:tc>
              <w:tc>
                <w:tcPr>
                  <w:tcW w:w="603" w:type="dxa"/>
                  <w:noWrap w:val="0"/>
                  <w:vAlign w:val="center"/>
                </w:tcPr>
                <w:p w14:paraId="4A6408B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数量</w:t>
                  </w:r>
                </w:p>
              </w:tc>
              <w:tc>
                <w:tcPr>
                  <w:tcW w:w="1411" w:type="dxa"/>
                  <w:noWrap w:val="0"/>
                  <w:vAlign w:val="center"/>
                </w:tcPr>
                <w:p w14:paraId="2D864CA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位置</w:t>
                  </w:r>
                </w:p>
              </w:tc>
              <w:tc>
                <w:tcPr>
                  <w:tcW w:w="3168" w:type="dxa"/>
                  <w:noWrap w:val="0"/>
                  <w:vAlign w:val="center"/>
                </w:tcPr>
                <w:p w14:paraId="2EFED7A5">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巡视、检查内容</w:t>
                  </w:r>
                </w:p>
              </w:tc>
            </w:tr>
            <w:tr w14:paraId="0363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restart"/>
                  <w:noWrap w:val="0"/>
                  <w:vAlign w:val="center"/>
                </w:tcPr>
                <w:p w14:paraId="58BB5833">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896" w:type="dxa"/>
                  <w:vMerge w:val="restart"/>
                  <w:noWrap w:val="0"/>
                  <w:vAlign w:val="center"/>
                </w:tcPr>
                <w:p w14:paraId="4A670E07">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10KV</w:t>
                  </w:r>
                  <w:r>
                    <w:rPr>
                      <w:rFonts w:hint="eastAsia" w:ascii="仿宋_GB2312" w:hAnsi="仿宋_GB2312" w:eastAsia="仿宋_GB2312" w:cs="仿宋_GB2312"/>
                      <w:color w:val="auto"/>
                      <w:sz w:val="24"/>
                    </w:rPr>
                    <w:t>干式变压器</w:t>
                  </w:r>
                </w:p>
              </w:tc>
              <w:tc>
                <w:tcPr>
                  <w:tcW w:w="1055" w:type="dxa"/>
                  <w:noWrap w:val="0"/>
                  <w:vAlign w:val="center"/>
                </w:tcPr>
                <w:p w14:paraId="6B945973">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01173654">
                  <w:pPr>
                    <w:spacing w:line="400" w:lineRule="exact"/>
                    <w:jc w:val="center"/>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rPr>
                    <w:t>2000KVA</w:t>
                  </w:r>
                </w:p>
              </w:tc>
              <w:tc>
                <w:tcPr>
                  <w:tcW w:w="603" w:type="dxa"/>
                  <w:noWrap w:val="0"/>
                  <w:vAlign w:val="center"/>
                </w:tcPr>
                <w:p w14:paraId="21DEBC69">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restart"/>
                  <w:noWrap w:val="0"/>
                  <w:vAlign w:val="center"/>
                </w:tcPr>
                <w:p w14:paraId="5D754C4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其中1号配电房6台；2号配电房4台 ；3号配电房2台；充电桩配电房2台 。</w:t>
                  </w:r>
                </w:p>
              </w:tc>
              <w:tc>
                <w:tcPr>
                  <w:tcW w:w="3168" w:type="dxa"/>
                  <w:vMerge w:val="restart"/>
                  <w:noWrap w:val="0"/>
                  <w:vAlign w:val="center"/>
                </w:tcPr>
                <w:p w14:paraId="7DD61802">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负荷状况及工作温度，铁芯、内部母线连接点及电缆接头是否松动、过热，降温排风系统是否正常，整机有无异常响声等。</w:t>
                  </w:r>
                </w:p>
              </w:tc>
            </w:tr>
            <w:tr w14:paraId="5F23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2DCC7EB5">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683C116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0EC5E27A">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65E268D">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1600KVA</w:t>
                  </w:r>
                </w:p>
              </w:tc>
              <w:tc>
                <w:tcPr>
                  <w:tcW w:w="603" w:type="dxa"/>
                  <w:noWrap w:val="0"/>
                  <w:vAlign w:val="center"/>
                </w:tcPr>
                <w:p w14:paraId="1540216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continue"/>
                  <w:noWrap w:val="0"/>
                  <w:vAlign w:val="center"/>
                </w:tcPr>
                <w:p w14:paraId="72F70C4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07E73187">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0D6DB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4CEF0B1E">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4FAD52B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7493FA8E">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2F26A96">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1000KVA</w:t>
                  </w:r>
                </w:p>
              </w:tc>
              <w:tc>
                <w:tcPr>
                  <w:tcW w:w="603" w:type="dxa"/>
                  <w:noWrap w:val="0"/>
                  <w:vAlign w:val="center"/>
                </w:tcPr>
                <w:p w14:paraId="5C6F3F7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w:t>
                  </w:r>
                </w:p>
              </w:tc>
              <w:tc>
                <w:tcPr>
                  <w:tcW w:w="1411" w:type="dxa"/>
                  <w:vMerge w:val="continue"/>
                  <w:noWrap w:val="0"/>
                  <w:vAlign w:val="center"/>
                </w:tcPr>
                <w:p w14:paraId="636516EC">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5AF2AB72">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2FFD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79" w:type="dxa"/>
                  <w:vMerge w:val="continue"/>
                  <w:noWrap w:val="0"/>
                  <w:vAlign w:val="center"/>
                </w:tcPr>
                <w:p w14:paraId="05D0CE5B">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p>
              </w:tc>
              <w:tc>
                <w:tcPr>
                  <w:tcW w:w="896" w:type="dxa"/>
                  <w:vMerge w:val="continue"/>
                  <w:noWrap w:val="0"/>
                  <w:vAlign w:val="center"/>
                </w:tcPr>
                <w:p w14:paraId="178284D8">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51665609">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SCB11-</w:t>
                  </w:r>
                </w:p>
                <w:p w14:paraId="35935873">
                  <w:pPr>
                    <w:spacing w:line="40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sz w:val="24"/>
                    </w:rPr>
                    <w:t>800KVA</w:t>
                  </w:r>
                </w:p>
              </w:tc>
              <w:tc>
                <w:tcPr>
                  <w:tcW w:w="603" w:type="dxa"/>
                  <w:noWrap w:val="0"/>
                  <w:vAlign w:val="center"/>
                </w:tcPr>
                <w:p w14:paraId="12BB628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1411" w:type="dxa"/>
                  <w:vMerge w:val="continue"/>
                  <w:noWrap w:val="0"/>
                  <w:vAlign w:val="center"/>
                </w:tcPr>
                <w:p w14:paraId="3AACFDDA">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p>
              </w:tc>
              <w:tc>
                <w:tcPr>
                  <w:tcW w:w="3168" w:type="dxa"/>
                  <w:vMerge w:val="continue"/>
                  <w:noWrap w:val="0"/>
                  <w:vAlign w:val="center"/>
                </w:tcPr>
                <w:p w14:paraId="46C32B7D">
                  <w:pPr>
                    <w:keepNext w:val="0"/>
                    <w:keepLines w:val="0"/>
                    <w:pageBreakBefore w:val="0"/>
                    <w:kinsoku/>
                    <w:wordWrap/>
                    <w:overflowPunct/>
                    <w:topLinePunct w:val="0"/>
                    <w:autoSpaceDE/>
                    <w:autoSpaceDN/>
                    <w:bidi w:val="0"/>
                    <w:adjustRightInd/>
                    <w:spacing w:line="400" w:lineRule="exact"/>
                    <w:textAlignment w:val="auto"/>
                    <w:rPr>
                      <w:rFonts w:hint="eastAsia" w:ascii="仿宋_GB2312" w:hAnsi="仿宋_GB2312" w:eastAsia="仿宋_GB2312" w:cs="仿宋_GB2312"/>
                      <w:color w:val="auto"/>
                      <w:sz w:val="24"/>
                    </w:rPr>
                  </w:pPr>
                </w:p>
              </w:tc>
            </w:tr>
            <w:tr w14:paraId="37D3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9" w:type="dxa"/>
                  <w:noWrap w:val="0"/>
                  <w:vAlign w:val="center"/>
                </w:tcPr>
                <w:p w14:paraId="0181F32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2</w:t>
                  </w:r>
                </w:p>
              </w:tc>
              <w:tc>
                <w:tcPr>
                  <w:tcW w:w="896" w:type="dxa"/>
                  <w:noWrap w:val="0"/>
                  <w:vAlign w:val="center"/>
                </w:tcPr>
                <w:p w14:paraId="076CE46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高压柜</w:t>
                  </w:r>
                </w:p>
              </w:tc>
              <w:tc>
                <w:tcPr>
                  <w:tcW w:w="1055" w:type="dxa"/>
                  <w:noWrap w:val="0"/>
                  <w:vAlign w:val="center"/>
                </w:tcPr>
                <w:p w14:paraId="5F3BE7E7">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KYN28</w:t>
                  </w:r>
                  <w:r>
                    <w:rPr>
                      <w:rFonts w:hint="eastAsia" w:ascii="仿宋_GB2312" w:hAnsi="仿宋_GB2312" w:eastAsia="仿宋_GB2312" w:cs="仿宋_GB2312"/>
                      <w:color w:val="auto"/>
                      <w:sz w:val="24"/>
                      <w:lang w:val="en-US" w:eastAsia="zh-CN"/>
                    </w:rPr>
                    <w:t>-12</w:t>
                  </w:r>
                </w:p>
              </w:tc>
              <w:tc>
                <w:tcPr>
                  <w:tcW w:w="603" w:type="dxa"/>
                  <w:noWrap w:val="0"/>
                  <w:vAlign w:val="center"/>
                </w:tcPr>
                <w:p w14:paraId="0105CE4A">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42</w:t>
                  </w:r>
                </w:p>
              </w:tc>
              <w:tc>
                <w:tcPr>
                  <w:tcW w:w="1411" w:type="dxa"/>
                  <w:noWrap w:val="0"/>
                  <w:vAlign w:val="center"/>
                </w:tcPr>
                <w:p w14:paraId="62F821F5">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sz w:val="24"/>
                    </w:rPr>
                    <w:t>其中中心配电房20面；1号配电房8面;2号配电房6面 ;3号配电房4面；充电桩配电房4面。</w:t>
                  </w:r>
                </w:p>
              </w:tc>
              <w:tc>
                <w:tcPr>
                  <w:tcW w:w="3168" w:type="dxa"/>
                  <w:noWrap w:val="0"/>
                  <w:vAlign w:val="center"/>
                </w:tcPr>
                <w:p w14:paraId="09999B44">
                  <w:pPr>
                    <w:spacing w:line="34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1.高压开关柜：检查主回路接头，微机保护器、仪表及指示灯、负荷是否正常，有无高压打火放电现象等。</w:t>
                  </w:r>
                </w:p>
                <w:p w14:paraId="350D718F">
                  <w:pPr>
                    <w:keepNext w:val="0"/>
                    <w:keepLines w:val="0"/>
                    <w:pageBreakBefore w:val="0"/>
                    <w:kinsoku/>
                    <w:wordWrap/>
                    <w:overflowPunct/>
                    <w:topLinePunct w:val="0"/>
                    <w:autoSpaceDE/>
                    <w:autoSpaceDN/>
                    <w:bidi w:val="0"/>
                    <w:adjustRightInd/>
                    <w:spacing w:line="340" w:lineRule="exact"/>
                    <w:jc w:val="lef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sz w:val="24"/>
                    </w:rPr>
                    <w:t>2.无功补偿柜：补偿电流，一次接头是否发热，主开关、仪表及指示灯是否正常，各电容状态，有无变形，漏液等。</w:t>
                  </w:r>
                </w:p>
              </w:tc>
            </w:tr>
            <w:tr w14:paraId="4725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379" w:type="dxa"/>
                  <w:noWrap w:val="0"/>
                  <w:vAlign w:val="center"/>
                </w:tcPr>
                <w:p w14:paraId="15BD143D">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3</w:t>
                  </w:r>
                </w:p>
              </w:tc>
              <w:tc>
                <w:tcPr>
                  <w:tcW w:w="896" w:type="dxa"/>
                  <w:noWrap w:val="0"/>
                  <w:vAlign w:val="center"/>
                </w:tcPr>
                <w:p w14:paraId="2136E56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低压柜</w:t>
                  </w:r>
                </w:p>
              </w:tc>
              <w:tc>
                <w:tcPr>
                  <w:tcW w:w="1055" w:type="dxa"/>
                  <w:noWrap w:val="0"/>
                  <w:vAlign w:val="center"/>
                </w:tcPr>
                <w:p w14:paraId="31899630">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GCS、2000A/IP</w:t>
                  </w:r>
                </w:p>
              </w:tc>
              <w:tc>
                <w:tcPr>
                  <w:tcW w:w="603" w:type="dxa"/>
                  <w:noWrap w:val="0"/>
                  <w:vAlign w:val="center"/>
                </w:tcPr>
                <w:p w14:paraId="44E81A01">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107</w:t>
                  </w:r>
                </w:p>
              </w:tc>
              <w:tc>
                <w:tcPr>
                  <w:tcW w:w="1411" w:type="dxa"/>
                  <w:noWrap w:val="0"/>
                  <w:vAlign w:val="center"/>
                </w:tcPr>
                <w:p w14:paraId="4C0EF7C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其中1号配电房48面；2号配电房26面；3号配电房20面；充电桩配电房13面。</w:t>
                  </w:r>
                </w:p>
              </w:tc>
              <w:tc>
                <w:tcPr>
                  <w:tcW w:w="3168" w:type="dxa"/>
                  <w:noWrap w:val="0"/>
                  <w:vAlign w:val="top"/>
                </w:tcPr>
                <w:p w14:paraId="0374564C">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1.进线柜：负荷状况，母排接头、保护模块工作情况，仪表及指示灯，响声等。</w:t>
                  </w:r>
                </w:p>
                <w:p w14:paraId="6D72DD54">
                  <w:pPr>
                    <w:spacing w:line="40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2.出线柜：开关是否正常，主接头是否牢固，输出电压、仪表及指示灯是否正常，是否超负荷运行等。</w:t>
                  </w:r>
                </w:p>
                <w:p w14:paraId="1FA687EC">
                  <w:pPr>
                    <w:keepNext w:val="0"/>
                    <w:keepLines w:val="0"/>
                    <w:pageBreakBefore w:val="0"/>
                    <w:numPr>
                      <w:ilvl w:val="0"/>
                      <w:numId w:val="0"/>
                    </w:numPr>
                    <w:kinsoku/>
                    <w:wordWrap/>
                    <w:overflowPunct/>
                    <w:topLinePunct w:val="0"/>
                    <w:autoSpaceDE/>
                    <w:autoSpaceDN/>
                    <w:bidi w:val="0"/>
                    <w:adjustRightInd/>
                    <w:spacing w:line="400" w:lineRule="exact"/>
                    <w:ind w:leftChars="0"/>
                    <w:jc w:val="left"/>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sz w:val="24"/>
                    </w:rPr>
                    <w:t>3.双电源转换柜：转换是否正常，触点可靠，指示正确，母线连接点牢固等。</w:t>
                  </w:r>
                </w:p>
              </w:tc>
            </w:tr>
            <w:tr w14:paraId="46A9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379" w:type="dxa"/>
                  <w:vMerge w:val="restart"/>
                  <w:noWrap w:val="0"/>
                  <w:vAlign w:val="center"/>
                </w:tcPr>
                <w:p w14:paraId="5387EE73">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4</w:t>
                  </w:r>
                </w:p>
              </w:tc>
              <w:tc>
                <w:tcPr>
                  <w:tcW w:w="896" w:type="dxa"/>
                  <w:vMerge w:val="restart"/>
                  <w:noWrap w:val="0"/>
                  <w:vAlign w:val="center"/>
                </w:tcPr>
                <w:p w14:paraId="76D79FA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发电机组</w:t>
                  </w:r>
                </w:p>
              </w:tc>
              <w:tc>
                <w:tcPr>
                  <w:tcW w:w="1055" w:type="dxa"/>
                  <w:noWrap w:val="0"/>
                  <w:vAlign w:val="center"/>
                </w:tcPr>
                <w:p w14:paraId="3C0F71C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EG-1600</w:t>
                  </w:r>
                </w:p>
                <w:p w14:paraId="7C9C0A64">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2000KVA</w:t>
                  </w:r>
                </w:p>
              </w:tc>
              <w:tc>
                <w:tcPr>
                  <w:tcW w:w="603" w:type="dxa"/>
                  <w:noWrap w:val="0"/>
                  <w:vAlign w:val="center"/>
                </w:tcPr>
                <w:p w14:paraId="621E4A7E">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1411" w:type="dxa"/>
                  <w:noWrap w:val="0"/>
                  <w:vAlign w:val="center"/>
                </w:tcPr>
                <w:p w14:paraId="51CBD706">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位于</w:t>
                  </w:r>
                  <w:r>
                    <w:rPr>
                      <w:rFonts w:hint="eastAsia" w:ascii="仿宋_GB2312" w:hAnsi="仿宋_GB2312" w:eastAsia="仿宋_GB2312" w:cs="仿宋_GB2312"/>
                      <w:color w:val="auto"/>
                      <w:sz w:val="24"/>
                      <w:lang w:val="en-US" w:eastAsia="zh-CN"/>
                    </w:rPr>
                    <w:t>A</w:t>
                  </w:r>
                  <w:r>
                    <w:rPr>
                      <w:rFonts w:hint="eastAsia" w:ascii="仿宋_GB2312" w:hAnsi="仿宋_GB2312" w:eastAsia="仿宋_GB2312" w:cs="仿宋_GB2312"/>
                      <w:color w:val="auto"/>
                      <w:sz w:val="24"/>
                    </w:rPr>
                    <w:t>塔负一层</w:t>
                  </w:r>
                </w:p>
              </w:tc>
              <w:tc>
                <w:tcPr>
                  <w:tcW w:w="3168" w:type="dxa"/>
                  <w:vMerge w:val="restart"/>
                  <w:noWrap w:val="0"/>
                  <w:vAlign w:val="top"/>
                </w:tcPr>
                <w:p w14:paraId="04CB1691">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sz w:val="24"/>
                    </w:rPr>
                    <w:t>柴油应急发电机。每2周（如周期调整，以采购人通知为准）检查及试机一次，试机时间30分钟。1.试机前检查内容：燃油，机油状况，机油油位，水位，蓄电池电压。2.试机时检查：三相电压，频率、油压，水温，排汽情况，机器响声等是否正常。3.严格按照该发电机组的要求进行保养与维护。</w:t>
                  </w:r>
                </w:p>
              </w:tc>
            </w:tr>
            <w:tr w14:paraId="0E40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379" w:type="dxa"/>
                  <w:vMerge w:val="continue"/>
                  <w:noWrap w:val="0"/>
                  <w:vAlign w:val="center"/>
                </w:tcPr>
                <w:p w14:paraId="257FCC3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896" w:type="dxa"/>
                  <w:vMerge w:val="continue"/>
                  <w:noWrap w:val="0"/>
                  <w:vAlign w:val="center"/>
                </w:tcPr>
                <w:p w14:paraId="08FB842F">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c>
                <w:tcPr>
                  <w:tcW w:w="1055" w:type="dxa"/>
                  <w:noWrap w:val="0"/>
                  <w:vAlign w:val="center"/>
                </w:tcPr>
                <w:p w14:paraId="6751259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EG-160</w:t>
                  </w:r>
                </w:p>
                <w:p w14:paraId="5AD2D8EB">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200KVA</w:t>
                  </w:r>
                </w:p>
              </w:tc>
              <w:tc>
                <w:tcPr>
                  <w:tcW w:w="603" w:type="dxa"/>
                  <w:noWrap w:val="0"/>
                  <w:vAlign w:val="center"/>
                </w:tcPr>
                <w:p w14:paraId="4FCFAB10">
                  <w:pPr>
                    <w:keepNext w:val="0"/>
                    <w:keepLines w:val="0"/>
                    <w:pageBreakBefore w:val="0"/>
                    <w:kinsoku/>
                    <w:wordWrap/>
                    <w:overflowPunct/>
                    <w:topLinePunct w:val="0"/>
                    <w:autoSpaceDE/>
                    <w:autoSpaceDN/>
                    <w:bidi w:val="0"/>
                    <w:adjustRightInd/>
                    <w:spacing w:line="400" w:lineRule="exact"/>
                    <w:jc w:val="center"/>
                    <w:textAlignment w:val="auto"/>
                    <w:rPr>
                      <w:rFonts w:hint="default"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1</w:t>
                  </w:r>
                </w:p>
              </w:tc>
              <w:tc>
                <w:tcPr>
                  <w:tcW w:w="1411" w:type="dxa"/>
                  <w:noWrap w:val="0"/>
                  <w:vAlign w:val="center"/>
                </w:tcPr>
                <w:p w14:paraId="3EBDF55D">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t>位于</w:t>
                  </w:r>
                  <w:r>
                    <w:rPr>
                      <w:rFonts w:hint="eastAsia" w:ascii="仿宋_GB2312" w:hAnsi="仿宋_GB2312" w:eastAsia="仿宋_GB2312" w:cs="仿宋_GB2312"/>
                      <w:color w:val="auto"/>
                      <w:sz w:val="24"/>
                      <w:lang w:val="en-US" w:eastAsia="zh-CN"/>
                    </w:rPr>
                    <w:t>A</w:t>
                  </w:r>
                  <w:r>
                    <w:rPr>
                      <w:rFonts w:hint="eastAsia" w:ascii="仿宋_GB2312" w:hAnsi="仿宋_GB2312" w:eastAsia="仿宋_GB2312" w:cs="仿宋_GB2312"/>
                      <w:color w:val="auto"/>
                      <w:sz w:val="24"/>
                    </w:rPr>
                    <w:t>塔负</w:t>
                  </w:r>
                  <w:r>
                    <w:rPr>
                      <w:rFonts w:hint="eastAsia" w:ascii="仿宋_GB2312" w:hAnsi="仿宋_GB2312" w:eastAsia="仿宋_GB2312" w:cs="仿宋_GB2312"/>
                      <w:color w:val="auto"/>
                      <w:sz w:val="24"/>
                      <w:lang w:eastAsia="zh-CN"/>
                    </w:rPr>
                    <w:t>二</w:t>
                  </w:r>
                  <w:r>
                    <w:rPr>
                      <w:rFonts w:hint="eastAsia" w:ascii="仿宋_GB2312" w:hAnsi="仿宋_GB2312" w:eastAsia="仿宋_GB2312" w:cs="仿宋_GB2312"/>
                      <w:color w:val="auto"/>
                      <w:sz w:val="24"/>
                    </w:rPr>
                    <w:t>层</w:t>
                  </w:r>
                </w:p>
              </w:tc>
              <w:tc>
                <w:tcPr>
                  <w:tcW w:w="3168" w:type="dxa"/>
                  <w:vMerge w:val="continue"/>
                  <w:noWrap w:val="0"/>
                  <w:vAlign w:val="top"/>
                </w:tcPr>
                <w:p w14:paraId="028C5F42">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val="en-US" w:eastAsia="zh-CN"/>
                    </w:rPr>
                  </w:pPr>
                </w:p>
              </w:tc>
            </w:tr>
            <w:tr w14:paraId="296D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9" w:type="dxa"/>
                  <w:noWrap w:val="0"/>
                  <w:vAlign w:val="center"/>
                </w:tcPr>
                <w:p w14:paraId="2D2B3A80">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5</w:t>
                  </w:r>
                </w:p>
              </w:tc>
              <w:tc>
                <w:tcPr>
                  <w:tcW w:w="896" w:type="dxa"/>
                  <w:noWrap w:val="0"/>
                  <w:vAlign w:val="center"/>
                </w:tcPr>
                <w:p w14:paraId="1D16A876">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电缆沟</w:t>
                  </w:r>
                </w:p>
              </w:tc>
              <w:tc>
                <w:tcPr>
                  <w:tcW w:w="1055" w:type="dxa"/>
                  <w:noWrap w:val="0"/>
                  <w:vAlign w:val="center"/>
                </w:tcPr>
                <w:p w14:paraId="6B67E2A5">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603" w:type="dxa"/>
                  <w:noWrap w:val="0"/>
                  <w:vAlign w:val="center"/>
                </w:tcPr>
                <w:p w14:paraId="2EF90567">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w:t>
                  </w:r>
                </w:p>
              </w:tc>
              <w:tc>
                <w:tcPr>
                  <w:tcW w:w="1411" w:type="dxa"/>
                  <w:noWrap w:val="0"/>
                  <w:vAlign w:val="center"/>
                </w:tcPr>
                <w:p w14:paraId="27110074">
                  <w:pPr>
                    <w:keepNext w:val="0"/>
                    <w:keepLines w:val="0"/>
                    <w:pageBreakBefore w:val="0"/>
                    <w:kinsoku/>
                    <w:wordWrap/>
                    <w:overflowPunct/>
                    <w:topLinePunct w:val="0"/>
                    <w:autoSpaceDE/>
                    <w:autoSpaceDN/>
                    <w:bidi w:val="0"/>
                    <w:adjustRightInd/>
                    <w:spacing w:line="40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w:t>
                  </w:r>
                </w:p>
              </w:tc>
              <w:tc>
                <w:tcPr>
                  <w:tcW w:w="3168" w:type="dxa"/>
                  <w:noWrap w:val="0"/>
                  <w:vAlign w:val="top"/>
                </w:tcPr>
                <w:p w14:paraId="303F9A52">
                  <w:pPr>
                    <w:keepNext w:val="0"/>
                    <w:keepLines w:val="0"/>
                    <w:pageBreakBefore w:val="0"/>
                    <w:kinsoku/>
                    <w:wordWrap/>
                    <w:overflowPunct/>
                    <w:topLinePunct w:val="0"/>
                    <w:autoSpaceDE/>
                    <w:autoSpaceDN/>
                    <w:bidi w:val="0"/>
                    <w:adjustRightInd/>
                    <w:spacing w:line="400" w:lineRule="exact"/>
                    <w:jc w:val="left"/>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确保电缆沟保持干燥，如遇积水及时清理。进出线封堵口是否完好</w:t>
                  </w:r>
                  <w:r>
                    <w:rPr>
                      <w:rFonts w:hint="eastAsia" w:ascii="仿宋_GB2312" w:hAnsi="仿宋_GB2312" w:eastAsia="仿宋_GB2312" w:cs="仿宋_GB2312"/>
                      <w:color w:val="auto"/>
                      <w:sz w:val="24"/>
                      <w:lang w:eastAsia="zh-CN"/>
                    </w:rPr>
                    <w:t>。</w:t>
                  </w:r>
                </w:p>
              </w:tc>
            </w:tr>
          </w:tbl>
          <w:p w14:paraId="241F6172">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color w:val="000000"/>
                <w:sz w:val="24"/>
                <w:lang w:val="en-US" w:eastAsia="zh-CN"/>
              </w:rPr>
            </w:pPr>
          </w:p>
          <w:p w14:paraId="717C66CE">
            <w:pPr>
              <w:keepNext w:val="0"/>
              <w:keepLines w:val="0"/>
              <w:pageBreakBefore w:val="0"/>
              <w:tabs>
                <w:tab w:val="left" w:pos="312"/>
              </w:tabs>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color w:val="000000"/>
                <w:sz w:val="24"/>
                <w:lang w:val="en-US" w:eastAsia="zh-CN"/>
              </w:rPr>
            </w:pPr>
            <w:r>
              <w:rPr>
                <w:rFonts w:hint="eastAsia" w:ascii="仿宋_GB2312" w:hAnsi="仿宋_GB2312" w:eastAsia="仿宋_GB2312" w:cs="仿宋_GB2312"/>
                <w:b/>
                <w:color w:val="000000"/>
                <w:sz w:val="24"/>
                <w:lang w:val="en-US" w:eastAsia="zh-CN"/>
              </w:rPr>
              <w:t>3.其它办公区高低压配电系统维保设备名称、数量及要求</w:t>
            </w:r>
          </w:p>
          <w:p w14:paraId="68EB6486">
            <w:pPr>
              <w:pStyle w:val="588"/>
              <w:keepNext w:val="0"/>
              <w:keepLines w:val="0"/>
              <w:pageBreakBefore w:val="0"/>
              <w:numPr>
                <w:ilvl w:val="0"/>
                <w:numId w:val="0"/>
              </w:numPr>
              <w:kinsoku/>
              <w:wordWrap/>
              <w:overflowPunct/>
              <w:topLinePunct w:val="0"/>
              <w:autoSpaceDE/>
              <w:autoSpaceDN/>
              <w:bidi w:val="0"/>
              <w:adjustRightInd/>
              <w:spacing w:line="400" w:lineRule="exact"/>
              <w:ind w:right="42" w:rightChars="20" w:firstLine="482" w:firstLineChars="200"/>
              <w:textAlignment w:val="auto"/>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lang w:val="en-US" w:eastAsia="zh-CN"/>
              </w:rPr>
              <w:t>（1）</w:t>
            </w:r>
            <w:r>
              <w:rPr>
                <w:rStyle w:val="241"/>
                <w:rFonts w:hint="eastAsia" w:ascii="仿宋_GB2312" w:hAnsi="仿宋_GB2312" w:eastAsia="仿宋_GB2312" w:cs="仿宋_GB2312"/>
                <w:b/>
                <w:bCs/>
                <w:sz w:val="24"/>
                <w:szCs w:val="24"/>
              </w:rPr>
              <w:t>高新一路15号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7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3"/>
              <w:gridCol w:w="978"/>
              <w:gridCol w:w="4555"/>
              <w:gridCol w:w="511"/>
              <w:gridCol w:w="545"/>
            </w:tblGrid>
            <w:tr w14:paraId="60AB0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488F3084">
                  <w:pPr>
                    <w:widowControl/>
                    <w:jc w:val="center"/>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序号</w:t>
                  </w:r>
                </w:p>
              </w:tc>
              <w:tc>
                <w:tcPr>
                  <w:tcW w:w="978" w:type="dxa"/>
                  <w:noWrap w:val="0"/>
                  <w:vAlign w:val="center"/>
                </w:tcPr>
                <w:p w14:paraId="1F9EAAA1">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设备名称</w:t>
                  </w:r>
                </w:p>
              </w:tc>
              <w:tc>
                <w:tcPr>
                  <w:tcW w:w="4555" w:type="dxa"/>
                  <w:noWrap w:val="0"/>
                  <w:vAlign w:val="center"/>
                </w:tcPr>
                <w:p w14:paraId="719F85AE">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 xml:space="preserve"> 内容明细</w:t>
                  </w:r>
                </w:p>
              </w:tc>
              <w:tc>
                <w:tcPr>
                  <w:tcW w:w="511" w:type="dxa"/>
                  <w:noWrap w:val="0"/>
                  <w:vAlign w:val="center"/>
                </w:tcPr>
                <w:p w14:paraId="7206E20A">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数量</w:t>
                  </w:r>
                </w:p>
              </w:tc>
              <w:tc>
                <w:tcPr>
                  <w:tcW w:w="545" w:type="dxa"/>
                  <w:noWrap w:val="0"/>
                  <w:vAlign w:val="center"/>
                </w:tcPr>
                <w:p w14:paraId="60135707">
                  <w:pPr>
                    <w:widowControl/>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w:t>
                  </w:r>
                </w:p>
              </w:tc>
            </w:tr>
            <w:tr w14:paraId="189E0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7EC5847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978" w:type="dxa"/>
                  <w:noWrap w:val="0"/>
                  <w:vAlign w:val="center"/>
                </w:tcPr>
                <w:p w14:paraId="22B33BEB">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高压开关柜</w:t>
                  </w:r>
                </w:p>
              </w:tc>
              <w:tc>
                <w:tcPr>
                  <w:tcW w:w="4555" w:type="dxa"/>
                  <w:noWrap w:val="0"/>
                  <w:vAlign w:val="center"/>
                </w:tcPr>
                <w:p w14:paraId="75EB59F5">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主回路接头，微机保护器、仪表及指示灯、负荷是否正常，有无高压打火放电现象，检查各块仪表指示是否正常，与现运行方式是否相符，检查各继电保护应处于正常运行状态，无异常。通过观察口检查各连接部位应无过热现象，绝缘表面无闪络放电痕迹，表面光洁、完好无损，检查接地系统无腐蚀断裂，接头无松动过热现象，检查分合闸回路电源及其熔断器应正常完好，检查各开关柜门是否关闭牢固，以免小动物窜入。</w:t>
                  </w:r>
                </w:p>
              </w:tc>
              <w:tc>
                <w:tcPr>
                  <w:tcW w:w="511" w:type="dxa"/>
                  <w:noWrap w:val="0"/>
                  <w:vAlign w:val="center"/>
                </w:tcPr>
                <w:p w14:paraId="322FA152">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545" w:type="dxa"/>
                  <w:noWrap w:val="0"/>
                  <w:vAlign w:val="center"/>
                </w:tcPr>
                <w:p w14:paraId="4FF76C7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39E16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3A37186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978" w:type="dxa"/>
                  <w:noWrap w:val="0"/>
                  <w:vAlign w:val="center"/>
                </w:tcPr>
                <w:p w14:paraId="4274D5CF">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干式变压器</w:t>
                  </w:r>
                </w:p>
              </w:tc>
              <w:tc>
                <w:tcPr>
                  <w:tcW w:w="4555" w:type="dxa"/>
                  <w:noWrap w:val="0"/>
                  <w:vAlign w:val="center"/>
                </w:tcPr>
                <w:p w14:paraId="3CC38630">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负荷状况及工作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温度超过设定值时，风机能自行起动，外壳接地应符合规范，变压器通风口应完好，无破损、腐蚀现象，变压器温控报警装置应可靠无误。</w:t>
                  </w:r>
                </w:p>
              </w:tc>
              <w:tc>
                <w:tcPr>
                  <w:tcW w:w="511" w:type="dxa"/>
                  <w:noWrap w:val="0"/>
                  <w:vAlign w:val="center"/>
                </w:tcPr>
                <w:p w14:paraId="423271D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2EA5537C">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16DE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104EC9E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978" w:type="dxa"/>
                  <w:noWrap w:val="0"/>
                  <w:vAlign w:val="center"/>
                </w:tcPr>
                <w:p w14:paraId="325342A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低压进线柜</w:t>
                  </w:r>
                </w:p>
              </w:tc>
              <w:tc>
                <w:tcPr>
                  <w:tcW w:w="4555" w:type="dxa"/>
                  <w:noWrap w:val="0"/>
                  <w:vAlign w:val="center"/>
                </w:tcPr>
                <w:p w14:paraId="51F2ED0C">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红灯表示开关处于合闸状态；绿灯表示开关处于断开位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511" w:type="dxa"/>
                  <w:noWrap w:val="0"/>
                  <w:vAlign w:val="center"/>
                </w:tcPr>
                <w:p w14:paraId="208A7EA8">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739038F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3D08A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4791296D">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78" w:type="dxa"/>
                  <w:noWrap w:val="0"/>
                  <w:vAlign w:val="center"/>
                </w:tcPr>
                <w:p w14:paraId="3CC8A0B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无功功率补偿柜</w:t>
                  </w:r>
                </w:p>
              </w:tc>
              <w:tc>
                <w:tcPr>
                  <w:tcW w:w="4555" w:type="dxa"/>
                  <w:noWrap w:val="0"/>
                  <w:vAlign w:val="center"/>
                </w:tcPr>
                <w:p w14:paraId="0D58DB0A">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的 15%或电容缺相，如有则更换电容。</w:t>
                  </w:r>
                </w:p>
              </w:tc>
              <w:tc>
                <w:tcPr>
                  <w:tcW w:w="511" w:type="dxa"/>
                  <w:noWrap w:val="0"/>
                  <w:vAlign w:val="center"/>
                </w:tcPr>
                <w:p w14:paraId="50B74E3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545" w:type="dxa"/>
                  <w:noWrap w:val="0"/>
                  <w:vAlign w:val="center"/>
                </w:tcPr>
                <w:p w14:paraId="455224C6">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r w14:paraId="69065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3" w:type="dxa"/>
                  <w:noWrap w:val="0"/>
                  <w:vAlign w:val="center"/>
                </w:tcPr>
                <w:p w14:paraId="12802BA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978" w:type="dxa"/>
                  <w:noWrap w:val="0"/>
                  <w:vAlign w:val="center"/>
                </w:tcPr>
                <w:p w14:paraId="494804C6">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低压开关柜</w:t>
                  </w:r>
                </w:p>
              </w:tc>
              <w:tc>
                <w:tcPr>
                  <w:tcW w:w="4555" w:type="dxa"/>
                  <w:noWrap w:val="0"/>
                  <w:vAlign w:val="center"/>
                </w:tcPr>
                <w:p w14:paraId="1EB376D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p w14:paraId="7F590132">
                  <w:pPr>
                    <w:widowControl/>
                    <w:jc w:val="left"/>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511" w:type="dxa"/>
                  <w:noWrap w:val="0"/>
                  <w:vAlign w:val="center"/>
                </w:tcPr>
                <w:p w14:paraId="7BAC4DE0">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545" w:type="dxa"/>
                  <w:noWrap w:val="0"/>
                  <w:vAlign w:val="center"/>
                </w:tcPr>
                <w:p w14:paraId="3F94514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bl>
          <w:p w14:paraId="4C5DD7EE">
            <w:pPr>
              <w:pStyle w:val="588"/>
              <w:spacing w:line="360" w:lineRule="auto"/>
              <w:jc w:val="left"/>
              <w:rPr>
                <w:rStyle w:val="241"/>
                <w:rFonts w:hint="eastAsia" w:ascii="仿宋_GB2312" w:hAnsi="仿宋_GB2312" w:eastAsia="仿宋_GB2312" w:cs="仿宋_GB2312"/>
                <w:b/>
                <w:bCs/>
                <w:sz w:val="24"/>
                <w:szCs w:val="24"/>
                <w:lang w:val="en-US" w:eastAsia="zh-CN"/>
              </w:rPr>
            </w:pPr>
          </w:p>
          <w:p w14:paraId="4DB1B99B">
            <w:pPr>
              <w:pStyle w:val="588"/>
              <w:numPr>
                <w:ilvl w:val="0"/>
                <w:numId w:val="2"/>
              </w:numPr>
              <w:spacing w:line="360" w:lineRule="auto"/>
              <w:ind w:firstLine="482" w:firstLineChars="200"/>
              <w:jc w:val="left"/>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rPr>
              <w:t>潭中东路66号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49"/>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60"/>
              <w:gridCol w:w="4575"/>
              <w:gridCol w:w="480"/>
              <w:gridCol w:w="585"/>
            </w:tblGrid>
            <w:tr w14:paraId="4B3F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22204CE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color w:val="000000"/>
                      <w:kern w:val="0"/>
                      <w:sz w:val="24"/>
                    </w:rPr>
                    <w:t>序号</w:t>
                  </w:r>
                </w:p>
              </w:tc>
              <w:tc>
                <w:tcPr>
                  <w:tcW w:w="960" w:type="dxa"/>
                  <w:noWrap w:val="0"/>
                  <w:vAlign w:val="center"/>
                </w:tcPr>
                <w:p w14:paraId="3F11644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设备名称</w:t>
                  </w:r>
                </w:p>
              </w:tc>
              <w:tc>
                <w:tcPr>
                  <w:tcW w:w="4575" w:type="dxa"/>
                  <w:noWrap w:val="0"/>
                  <w:vAlign w:val="center"/>
                </w:tcPr>
                <w:p w14:paraId="1A514B8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50864B3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数量</w:t>
                  </w:r>
                </w:p>
              </w:tc>
              <w:tc>
                <w:tcPr>
                  <w:tcW w:w="585" w:type="dxa"/>
                  <w:noWrap w:val="0"/>
                  <w:vAlign w:val="center"/>
                </w:tcPr>
                <w:p w14:paraId="3212F18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单位</w:t>
                  </w:r>
                </w:p>
              </w:tc>
            </w:tr>
            <w:tr w14:paraId="0983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691FACA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960" w:type="dxa"/>
                  <w:noWrap w:val="0"/>
                  <w:vAlign w:val="center"/>
                </w:tcPr>
                <w:p w14:paraId="013C71C1">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预装式变电站（含630kvA油浸式变压器）</w:t>
                  </w:r>
                </w:p>
              </w:tc>
              <w:tc>
                <w:tcPr>
                  <w:tcW w:w="4575" w:type="dxa"/>
                  <w:noWrap w:val="0"/>
                  <w:vAlign w:val="center"/>
                </w:tcPr>
                <w:p w14:paraId="35F15C8C">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变电站本体：检查主回路接头，微机保护器、仪表及指示灯、负荷是否正常，有无高压打火放电现象，检查各块仪表指示是否正常，与现运行方式是否相符，检查各继电保护应处于正常运行状态，无异常。通过观察口检查各连接部位应无过热现象，绝缘表面无闪络放电痕迹，表面光洁、完好无损，检查接地系统无腐蚀断裂，接头无松动过热现象，检查分合闸回路电源及其熔断器应正常完好，检查各开关柜门是否关闭牢固，以免小动物窜入。</w:t>
                  </w:r>
                </w:p>
                <w:p w14:paraId="511D41DB">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②变压器：负荷状况及工作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外壳接地应符合规范，变压器通风口应完好，无破损、腐蚀现象，变压器温控报警装置应可靠无误。</w:t>
                  </w:r>
                </w:p>
              </w:tc>
              <w:tc>
                <w:tcPr>
                  <w:tcW w:w="480" w:type="dxa"/>
                  <w:noWrap w:val="0"/>
                  <w:vAlign w:val="center"/>
                </w:tcPr>
                <w:p w14:paraId="02193223">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309A1CC9">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台套</w:t>
                  </w:r>
                </w:p>
              </w:tc>
            </w:tr>
            <w:tr w14:paraId="185D3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425164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960" w:type="dxa"/>
                  <w:noWrap w:val="0"/>
                  <w:vAlign w:val="center"/>
                </w:tcPr>
                <w:p w14:paraId="3EA8833D">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低压进线柜</w:t>
                  </w:r>
                </w:p>
              </w:tc>
              <w:tc>
                <w:tcPr>
                  <w:tcW w:w="4575" w:type="dxa"/>
                  <w:noWrap w:val="0"/>
                  <w:vAlign w:val="center"/>
                </w:tcPr>
                <w:p w14:paraId="7BC50789">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480" w:type="dxa"/>
                  <w:noWrap w:val="0"/>
                  <w:vAlign w:val="center"/>
                </w:tcPr>
                <w:p w14:paraId="7CE147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4FCEB8C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280C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187C205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3</w:t>
                  </w:r>
                </w:p>
              </w:tc>
              <w:tc>
                <w:tcPr>
                  <w:tcW w:w="960" w:type="dxa"/>
                  <w:noWrap w:val="0"/>
                  <w:vAlign w:val="center"/>
                </w:tcPr>
                <w:p w14:paraId="03D71768">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无功功率补偿柜</w:t>
                  </w:r>
                </w:p>
              </w:tc>
              <w:tc>
                <w:tcPr>
                  <w:tcW w:w="4575" w:type="dxa"/>
                  <w:noWrap w:val="0"/>
                  <w:vAlign w:val="center"/>
                </w:tcPr>
                <w:p w14:paraId="2EDADED8">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的15%或电容缺相，如有则更换电容。</w:t>
                  </w:r>
                </w:p>
              </w:tc>
              <w:tc>
                <w:tcPr>
                  <w:tcW w:w="480" w:type="dxa"/>
                  <w:noWrap w:val="0"/>
                  <w:vAlign w:val="center"/>
                </w:tcPr>
                <w:p w14:paraId="39DB69D3">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85" w:type="dxa"/>
                  <w:noWrap w:val="0"/>
                  <w:vAlign w:val="center"/>
                </w:tcPr>
                <w:p w14:paraId="39CDF5F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510F5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noWrap w:val="0"/>
                  <w:vAlign w:val="center"/>
                </w:tcPr>
                <w:p w14:paraId="5F5997E3">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60" w:type="dxa"/>
                  <w:noWrap w:val="0"/>
                  <w:vAlign w:val="center"/>
                </w:tcPr>
                <w:p w14:paraId="425FB794">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低压开关柜</w:t>
                  </w:r>
                </w:p>
              </w:tc>
              <w:tc>
                <w:tcPr>
                  <w:tcW w:w="4575" w:type="dxa"/>
                  <w:noWrap w:val="0"/>
                  <w:vAlign w:val="center"/>
                </w:tcPr>
                <w:p w14:paraId="0A37D2C0">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p w14:paraId="080CF3E9">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480" w:type="dxa"/>
                  <w:noWrap w:val="0"/>
                  <w:vAlign w:val="center"/>
                </w:tcPr>
                <w:p w14:paraId="14B882CA">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585" w:type="dxa"/>
                  <w:noWrap w:val="0"/>
                  <w:vAlign w:val="center"/>
                </w:tcPr>
                <w:p w14:paraId="183A2547">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台</w:t>
                  </w:r>
                </w:p>
              </w:tc>
            </w:tr>
          </w:tbl>
          <w:p w14:paraId="2622B70D">
            <w:pPr>
              <w:pStyle w:val="588"/>
              <w:spacing w:line="360" w:lineRule="auto"/>
              <w:ind w:firstLine="482" w:firstLineChars="200"/>
              <w:jc w:val="left"/>
              <w:rPr>
                <w:rStyle w:val="241"/>
                <w:rFonts w:hint="eastAsia" w:ascii="仿宋_GB2312" w:hAnsi="仿宋_GB2312" w:eastAsia="仿宋_GB2312" w:cs="仿宋_GB2312"/>
                <w:b/>
                <w:bCs/>
                <w:sz w:val="24"/>
                <w:szCs w:val="24"/>
                <w:lang w:val="en-US" w:eastAsia="zh-CN"/>
              </w:rPr>
            </w:pPr>
          </w:p>
          <w:p w14:paraId="7A1877FE">
            <w:pPr>
              <w:pStyle w:val="588"/>
              <w:spacing w:line="360" w:lineRule="auto"/>
              <w:ind w:firstLine="482" w:firstLineChars="200"/>
              <w:jc w:val="left"/>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lang w:val="en-US" w:eastAsia="zh-CN"/>
              </w:rPr>
              <w:t>（3）</w:t>
            </w:r>
            <w:r>
              <w:rPr>
                <w:rStyle w:val="241"/>
                <w:rFonts w:hint="eastAsia" w:ascii="仿宋_GB2312" w:hAnsi="仿宋_GB2312" w:eastAsia="仿宋_GB2312" w:cs="仿宋_GB2312"/>
                <w:b/>
                <w:bCs/>
                <w:sz w:val="24"/>
                <w:szCs w:val="24"/>
              </w:rPr>
              <w:t>广雅路17号</w:t>
            </w:r>
            <w:r>
              <w:rPr>
                <w:rStyle w:val="241"/>
                <w:rFonts w:hint="eastAsia" w:ascii="仿宋_GB2312" w:hAnsi="仿宋_GB2312" w:eastAsia="仿宋_GB2312" w:cs="仿宋_GB2312"/>
                <w:b/>
                <w:bCs/>
                <w:sz w:val="24"/>
                <w:szCs w:val="24"/>
                <w:lang w:eastAsia="zh-CN"/>
              </w:rPr>
              <w:t>办公区</w:t>
            </w:r>
            <w:r>
              <w:rPr>
                <w:rStyle w:val="241"/>
                <w:rFonts w:hint="eastAsia" w:ascii="仿宋_GB2312" w:hAnsi="仿宋_GB2312" w:eastAsia="仿宋_GB2312" w:cs="仿宋_GB2312"/>
                <w:b/>
                <w:bCs/>
                <w:sz w:val="24"/>
                <w:szCs w:val="24"/>
              </w:rPr>
              <w:t>设备明细</w:t>
            </w:r>
          </w:p>
          <w:tbl>
            <w:tblPr>
              <w:tblStyle w:val="49"/>
              <w:tblW w:w="0" w:type="auto"/>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60"/>
              <w:gridCol w:w="4575"/>
              <w:gridCol w:w="480"/>
              <w:gridCol w:w="570"/>
            </w:tblGrid>
            <w:tr w14:paraId="5126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48AE909F">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color w:val="000000"/>
                      <w:kern w:val="0"/>
                      <w:sz w:val="24"/>
                    </w:rPr>
                    <w:t>序号</w:t>
                  </w:r>
                </w:p>
              </w:tc>
              <w:tc>
                <w:tcPr>
                  <w:tcW w:w="960" w:type="dxa"/>
                  <w:noWrap w:val="0"/>
                  <w:vAlign w:val="center"/>
                </w:tcPr>
                <w:p w14:paraId="186A9494">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设备名称及型号</w:t>
                  </w:r>
                </w:p>
              </w:tc>
              <w:tc>
                <w:tcPr>
                  <w:tcW w:w="4575" w:type="dxa"/>
                  <w:noWrap w:val="0"/>
                  <w:vAlign w:val="center"/>
                </w:tcPr>
                <w:p w14:paraId="0091B4E6">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6932C50C">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数量</w:t>
                  </w:r>
                </w:p>
              </w:tc>
              <w:tc>
                <w:tcPr>
                  <w:tcW w:w="570" w:type="dxa"/>
                  <w:noWrap w:val="0"/>
                  <w:vAlign w:val="center"/>
                </w:tcPr>
                <w:p w14:paraId="612184BE">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color w:val="000000"/>
                      <w:kern w:val="0"/>
                      <w:sz w:val="24"/>
                    </w:rPr>
                    <w:t>单位</w:t>
                  </w:r>
                </w:p>
              </w:tc>
            </w:tr>
            <w:tr w14:paraId="3FDA4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5" w:type="dxa"/>
                  <w:noWrap w:val="0"/>
                  <w:vAlign w:val="center"/>
                </w:tcPr>
                <w:p w14:paraId="5832F0D7">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1</w:t>
                  </w:r>
                </w:p>
              </w:tc>
              <w:tc>
                <w:tcPr>
                  <w:tcW w:w="960" w:type="dxa"/>
                  <w:noWrap w:val="0"/>
                  <w:vAlign w:val="center"/>
                </w:tcPr>
                <w:p w14:paraId="312BEE5D">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200kVA油浸式变压器</w:t>
                  </w:r>
                </w:p>
                <w:p w14:paraId="37EA3823">
                  <w:pPr>
                    <w:widowControl/>
                    <w:jc w:val="left"/>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S11-M-200/10</w:t>
                  </w:r>
                </w:p>
              </w:tc>
              <w:tc>
                <w:tcPr>
                  <w:tcW w:w="4575" w:type="dxa"/>
                  <w:noWrap w:val="0"/>
                  <w:vAlign w:val="center"/>
                </w:tcPr>
                <w:p w14:paraId="2DAEAB27">
                  <w:pPr>
                    <w:widowControl/>
                    <w:jc w:val="left"/>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负荷状况及工作</w:t>
                  </w:r>
                  <w:r>
                    <w:rPr>
                      <w:rFonts w:hint="eastAsia" w:ascii="仿宋_GB2312" w:hAnsi="仿宋_GB2312" w:eastAsia="仿宋_GB2312" w:cs="仿宋_GB2312"/>
                      <w:kern w:val="0"/>
                      <w:sz w:val="24"/>
                    </w:rPr>
                    <w:t>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有无渗油现象，外壳接地应符合规范，变压器通风口应完好，无</w:t>
                  </w:r>
                  <w:r>
                    <w:rPr>
                      <w:rFonts w:hint="eastAsia" w:ascii="仿宋_GB2312" w:hAnsi="仿宋_GB2312" w:eastAsia="仿宋_GB2312" w:cs="仿宋_GB2312"/>
                      <w:color w:val="000000"/>
                      <w:kern w:val="0"/>
                      <w:sz w:val="24"/>
                    </w:rPr>
                    <w:t>破损、腐蚀现象，变压器温控报警装置应可靠无误，继电器工作正常。</w:t>
                  </w:r>
                </w:p>
              </w:tc>
              <w:tc>
                <w:tcPr>
                  <w:tcW w:w="480" w:type="dxa"/>
                  <w:noWrap w:val="0"/>
                  <w:vAlign w:val="center"/>
                </w:tcPr>
                <w:p w14:paraId="001625FA">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1</w:t>
                  </w:r>
                </w:p>
              </w:tc>
              <w:tc>
                <w:tcPr>
                  <w:tcW w:w="570" w:type="dxa"/>
                  <w:noWrap w:val="0"/>
                  <w:vAlign w:val="center"/>
                </w:tcPr>
                <w:p w14:paraId="2A62146C">
                  <w:pPr>
                    <w:widowControl/>
                    <w:jc w:val="center"/>
                    <w:rPr>
                      <w:rStyle w:val="241"/>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color w:val="000000"/>
                      <w:kern w:val="0"/>
                      <w:sz w:val="24"/>
                    </w:rPr>
                    <w:t>台</w:t>
                  </w:r>
                </w:p>
              </w:tc>
            </w:tr>
          </w:tbl>
          <w:p w14:paraId="0930A07E">
            <w:pPr>
              <w:pStyle w:val="588"/>
              <w:spacing w:line="360" w:lineRule="auto"/>
              <w:ind w:firstLine="482" w:firstLineChars="200"/>
              <w:jc w:val="left"/>
              <w:rPr>
                <w:rStyle w:val="241"/>
                <w:rFonts w:hint="eastAsia" w:ascii="仿宋_GB2312" w:hAnsi="仿宋_GB2312" w:eastAsia="仿宋_GB2312" w:cs="仿宋_GB2312"/>
                <w:b/>
                <w:bCs/>
                <w:sz w:val="24"/>
                <w:szCs w:val="24"/>
              </w:rPr>
            </w:pPr>
          </w:p>
          <w:p w14:paraId="670D7305">
            <w:pPr>
              <w:pStyle w:val="588"/>
              <w:spacing w:line="360" w:lineRule="auto"/>
              <w:ind w:firstLine="482" w:firstLineChars="200"/>
              <w:jc w:val="left"/>
              <w:rPr>
                <w:rFonts w:hint="eastAsia" w:ascii="仿宋_GB2312" w:hAnsi="仿宋_GB2312" w:eastAsia="仿宋_GB2312" w:cs="仿宋_GB2312"/>
                <w:b/>
                <w:color w:val="000000"/>
              </w:rPr>
            </w:pPr>
            <w:r>
              <w:rPr>
                <w:rStyle w:val="241"/>
                <w:rFonts w:hint="eastAsia" w:ascii="仿宋_GB2312" w:hAnsi="仿宋_GB2312" w:eastAsia="仿宋_GB2312" w:cs="仿宋_GB2312"/>
                <w:b/>
                <w:bCs/>
                <w:sz w:val="24"/>
                <w:szCs w:val="24"/>
              </w:rPr>
              <w:t>（4）三中路66号办公区设备明细</w:t>
            </w:r>
          </w:p>
          <w:tbl>
            <w:tblPr>
              <w:tblStyle w:val="49"/>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960"/>
              <w:gridCol w:w="4575"/>
              <w:gridCol w:w="480"/>
              <w:gridCol w:w="570"/>
            </w:tblGrid>
            <w:tr w14:paraId="0D85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1C81786D">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color w:val="000000"/>
                      <w:kern w:val="0"/>
                      <w:sz w:val="24"/>
                    </w:rPr>
                    <w:t>序号</w:t>
                  </w:r>
                </w:p>
              </w:tc>
              <w:tc>
                <w:tcPr>
                  <w:tcW w:w="960" w:type="dxa"/>
                  <w:noWrap w:val="0"/>
                  <w:vAlign w:val="center"/>
                </w:tcPr>
                <w:p w14:paraId="213C7A8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设备名称及型号</w:t>
                  </w:r>
                </w:p>
              </w:tc>
              <w:tc>
                <w:tcPr>
                  <w:tcW w:w="4575" w:type="dxa"/>
                  <w:noWrap w:val="0"/>
                  <w:vAlign w:val="center"/>
                </w:tcPr>
                <w:p w14:paraId="636D382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 xml:space="preserve"> 内容明细</w:t>
                  </w:r>
                </w:p>
              </w:tc>
              <w:tc>
                <w:tcPr>
                  <w:tcW w:w="480" w:type="dxa"/>
                  <w:noWrap w:val="0"/>
                  <w:vAlign w:val="center"/>
                </w:tcPr>
                <w:p w14:paraId="361729D0">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数量</w:t>
                  </w:r>
                </w:p>
              </w:tc>
              <w:tc>
                <w:tcPr>
                  <w:tcW w:w="570" w:type="dxa"/>
                  <w:noWrap w:val="0"/>
                  <w:vAlign w:val="center"/>
                </w:tcPr>
                <w:p w14:paraId="0BFFF5D9">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color w:val="000000"/>
                      <w:kern w:val="0"/>
                      <w:sz w:val="24"/>
                    </w:rPr>
                    <w:t>单位</w:t>
                  </w:r>
                </w:p>
              </w:tc>
            </w:tr>
            <w:tr w14:paraId="348CC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5EEBEDE">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960" w:type="dxa"/>
                  <w:noWrap w:val="0"/>
                  <w:vAlign w:val="center"/>
                </w:tcPr>
                <w:p w14:paraId="35DC18DE">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1600kVA干式变压器（带风冷装置）</w:t>
                  </w:r>
                </w:p>
                <w:p w14:paraId="4902BD69">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SCB13-1600KVA/10</w:t>
                  </w:r>
                </w:p>
              </w:tc>
              <w:tc>
                <w:tcPr>
                  <w:tcW w:w="4575" w:type="dxa"/>
                  <w:vMerge w:val="restart"/>
                  <w:noWrap w:val="0"/>
                  <w:vAlign w:val="center"/>
                </w:tcPr>
                <w:p w14:paraId="15B8DDDA">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①变压器室或变压器箱：检查各开关柜门是否关闭牢固，挡鼠网是否可靠，以免小动物窜入。</w:t>
                  </w:r>
                </w:p>
                <w:p w14:paraId="1D3791E5">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②变压器：负荷状况及工作</w:t>
                  </w:r>
                  <w:r>
                    <w:rPr>
                      <w:rFonts w:hint="eastAsia" w:ascii="仿宋_GB2312" w:hAnsi="仿宋_GB2312" w:eastAsia="仿宋_GB2312" w:cs="仿宋_GB2312"/>
                      <w:kern w:val="0"/>
                      <w:sz w:val="24"/>
                    </w:rPr>
                    <w:t>温度，铁芯、内部母线连接点及电缆接头是否松动、过热，降温排风系统是否正常，整机有无异常响声，变压器本体浇注绝缘处应清洁、无放电闪络痕迹，连接杆及接线端子处无接触不良、过热现象，运行声音应正常，冷却装置应运行正常，油液位是否正常，有无渗油现象，外壳接地应符合规范，变压器通风口应完好，无</w:t>
                  </w:r>
                  <w:r>
                    <w:rPr>
                      <w:rFonts w:hint="eastAsia" w:ascii="仿宋_GB2312" w:hAnsi="仿宋_GB2312" w:eastAsia="仿宋_GB2312" w:cs="仿宋_GB2312"/>
                      <w:color w:val="000000"/>
                      <w:kern w:val="0"/>
                      <w:sz w:val="24"/>
                    </w:rPr>
                    <w:t>破损、腐蚀现象，变压器温控报警装置应可靠无误，继电器工作正常。</w:t>
                  </w:r>
                </w:p>
              </w:tc>
              <w:tc>
                <w:tcPr>
                  <w:tcW w:w="480" w:type="dxa"/>
                  <w:noWrap w:val="0"/>
                  <w:vAlign w:val="center"/>
                </w:tcPr>
                <w:p w14:paraId="2DF357A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2091A7E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5561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49F53F65">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960" w:type="dxa"/>
                  <w:noWrap w:val="0"/>
                  <w:vAlign w:val="center"/>
                </w:tcPr>
                <w:p w14:paraId="7B471521">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1250KVA终端型欧变（带强制风冷）</w:t>
                  </w:r>
                </w:p>
              </w:tc>
              <w:tc>
                <w:tcPr>
                  <w:tcW w:w="4575" w:type="dxa"/>
                  <w:vMerge w:val="continue"/>
                  <w:noWrap w:val="0"/>
                  <w:vAlign w:val="top"/>
                </w:tcPr>
                <w:p w14:paraId="2D2E17DF">
                  <w:pPr>
                    <w:pStyle w:val="588"/>
                    <w:numPr>
                      <w:ilvl w:val="0"/>
                      <w:numId w:val="0"/>
                    </w:numPr>
                    <w:spacing w:line="360" w:lineRule="auto"/>
                    <w:jc w:val="left"/>
                    <w:rPr>
                      <w:rStyle w:val="241"/>
                      <w:rFonts w:hint="eastAsia" w:ascii="仿宋_GB2312" w:hAnsi="仿宋_GB2312" w:eastAsia="仿宋_GB2312" w:cs="仿宋_GB2312"/>
                      <w:b/>
                      <w:bCs/>
                      <w:sz w:val="24"/>
                      <w:szCs w:val="24"/>
                      <w:vertAlign w:val="baseline"/>
                    </w:rPr>
                  </w:pPr>
                </w:p>
              </w:tc>
              <w:tc>
                <w:tcPr>
                  <w:tcW w:w="480" w:type="dxa"/>
                  <w:noWrap w:val="0"/>
                  <w:vAlign w:val="center"/>
                </w:tcPr>
                <w:p w14:paraId="0F1D1B64">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4ECFB377">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台</w:t>
                  </w:r>
                </w:p>
              </w:tc>
            </w:tr>
            <w:tr w14:paraId="40D71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5D620491">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3</w:t>
                  </w:r>
                </w:p>
              </w:tc>
              <w:tc>
                <w:tcPr>
                  <w:tcW w:w="960" w:type="dxa"/>
                  <w:noWrap w:val="0"/>
                  <w:vAlign w:val="center"/>
                </w:tcPr>
                <w:p w14:paraId="01C317A5">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低压进线柜</w:t>
                  </w:r>
                </w:p>
              </w:tc>
              <w:tc>
                <w:tcPr>
                  <w:tcW w:w="4575" w:type="dxa"/>
                  <w:noWrap w:val="0"/>
                  <w:vAlign w:val="center"/>
                </w:tcPr>
                <w:p w14:paraId="16DEBD83">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配电柜柜面上的电气元件的名称、标志、编号是否清楚、正确检查配电柜上的所有操作把手、按钮和按键等位置与实际情况是否相符，固定是否牢靠，操作是否灵活，检查配电柜仪表或表盘玻璃是否松动，电压、电流表指示是否正常，检查配电柜表示“合”、“断”等信号灯和其它信号指示是否正确。检查配电柜内的开关，熔断器等的接点是否牢靠，有无过热变色现象。检查线缆的绝缘是否破损，有无线路外皮破损及产生焦糊味，电气设备运行声音是否正常，联接点螺丝是否松动。接地系统：接地线等器件是否有破损腐蚀现象，螺丝是否牢固可靠。检查配电柜周围的照明灯具是否完好，照度是否均匀，观察仪表有无眩光。</w:t>
                  </w:r>
                </w:p>
              </w:tc>
              <w:tc>
                <w:tcPr>
                  <w:tcW w:w="480" w:type="dxa"/>
                  <w:noWrap w:val="0"/>
                  <w:vAlign w:val="center"/>
                </w:tcPr>
                <w:p w14:paraId="535E521A">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1</w:t>
                  </w:r>
                </w:p>
              </w:tc>
              <w:tc>
                <w:tcPr>
                  <w:tcW w:w="570" w:type="dxa"/>
                  <w:noWrap w:val="0"/>
                  <w:vAlign w:val="center"/>
                </w:tcPr>
                <w:p w14:paraId="616FF0D8">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570A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7B00612F">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4</w:t>
                  </w:r>
                </w:p>
              </w:tc>
              <w:tc>
                <w:tcPr>
                  <w:tcW w:w="960" w:type="dxa"/>
                  <w:noWrap w:val="0"/>
                  <w:vAlign w:val="center"/>
                </w:tcPr>
                <w:p w14:paraId="12288F7C">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低压补偿柜</w:t>
                  </w:r>
                </w:p>
              </w:tc>
              <w:tc>
                <w:tcPr>
                  <w:tcW w:w="4575" w:type="dxa"/>
                  <w:noWrap w:val="0"/>
                  <w:vAlign w:val="center"/>
                </w:tcPr>
                <w:p w14:paraId="5C05E17B">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一次接线接头是否发热、主开关、仪表及指示灯是否正常。清理冷却风道及外壳灰尘，使电容器散热良好。检查电容有无膨胀、漏液或异常响声，如有则应更换。检查接头处，接地线是否有松脱或锈蚀，如有则应除锈处理并拧紧。检查电容三相不平衡电流是否超过额定值。</w:t>
                  </w:r>
                </w:p>
              </w:tc>
              <w:tc>
                <w:tcPr>
                  <w:tcW w:w="480" w:type="dxa"/>
                  <w:noWrap w:val="0"/>
                  <w:vAlign w:val="center"/>
                </w:tcPr>
                <w:p w14:paraId="5760F788">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2</w:t>
                  </w:r>
                </w:p>
              </w:tc>
              <w:tc>
                <w:tcPr>
                  <w:tcW w:w="570" w:type="dxa"/>
                  <w:noWrap w:val="0"/>
                  <w:vAlign w:val="center"/>
                </w:tcPr>
                <w:p w14:paraId="291B9F72">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4BE3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0FCDD06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5</w:t>
                  </w:r>
                </w:p>
              </w:tc>
              <w:tc>
                <w:tcPr>
                  <w:tcW w:w="960" w:type="dxa"/>
                  <w:noWrap w:val="0"/>
                  <w:vAlign w:val="center"/>
                </w:tcPr>
                <w:p w14:paraId="2BF09CB7">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低压出线柜</w:t>
                  </w:r>
                </w:p>
              </w:tc>
              <w:tc>
                <w:tcPr>
                  <w:tcW w:w="4575" w:type="dxa"/>
                  <w:noWrap w:val="0"/>
                  <w:vAlign w:val="center"/>
                </w:tcPr>
                <w:p w14:paraId="7C8FF8CD">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检查出线开关应正常合分操作灵活可靠，无卡滞及操作力过大的现象。检查线缆的绝缘是否破损，有无线路外皮破损及产生焦糊味，电气设备运行声音是否正常，接点螺丝是否松动，各出线电缆接线端子是否有发热现象，是否超负荷使用现象。检查出线柜周围的照明灯具是否完好，照度是否均匀，观察仪表有无眩光。检查配电柜仪表或表盘玻璃是否松动，电压、电流表指示是否正常。检查是否存在主接头压力过低、主接头表面磨损严重或接触不良。</w:t>
                  </w:r>
                </w:p>
              </w:tc>
              <w:tc>
                <w:tcPr>
                  <w:tcW w:w="480" w:type="dxa"/>
                  <w:noWrap w:val="0"/>
                  <w:vAlign w:val="center"/>
                </w:tcPr>
                <w:p w14:paraId="19FA1C3F">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5</w:t>
                  </w:r>
                </w:p>
              </w:tc>
              <w:tc>
                <w:tcPr>
                  <w:tcW w:w="570" w:type="dxa"/>
                  <w:noWrap w:val="0"/>
                  <w:vAlign w:val="center"/>
                </w:tcPr>
                <w:p w14:paraId="3F22BE46">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面</w:t>
                  </w:r>
                </w:p>
              </w:tc>
            </w:tr>
            <w:tr w14:paraId="72F0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noWrap w:val="0"/>
                  <w:vAlign w:val="center"/>
                </w:tcPr>
                <w:p w14:paraId="3810B08B">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6</w:t>
                  </w:r>
                </w:p>
              </w:tc>
              <w:tc>
                <w:tcPr>
                  <w:tcW w:w="960" w:type="dxa"/>
                  <w:noWrap w:val="0"/>
                  <w:vAlign w:val="center"/>
                </w:tcPr>
                <w:p w14:paraId="5F698A3E">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其它相关部件（如线缆、铜排、端子、电表等）</w:t>
                  </w:r>
                </w:p>
              </w:tc>
              <w:tc>
                <w:tcPr>
                  <w:tcW w:w="4575" w:type="dxa"/>
                  <w:noWrap w:val="0"/>
                  <w:vAlign w:val="center"/>
                </w:tcPr>
                <w:p w14:paraId="47C4422A">
                  <w:pPr>
                    <w:widowControl/>
                    <w:jc w:val="left"/>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工作正常、接触良好，无老化、发热。</w:t>
                  </w:r>
                </w:p>
              </w:tc>
              <w:tc>
                <w:tcPr>
                  <w:tcW w:w="480" w:type="dxa"/>
                  <w:noWrap w:val="0"/>
                  <w:vAlign w:val="center"/>
                </w:tcPr>
                <w:p w14:paraId="71E3B88C">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w:t>
                  </w:r>
                </w:p>
              </w:tc>
              <w:tc>
                <w:tcPr>
                  <w:tcW w:w="570" w:type="dxa"/>
                  <w:noWrap w:val="0"/>
                  <w:vAlign w:val="center"/>
                </w:tcPr>
                <w:p w14:paraId="239A3645">
                  <w:pPr>
                    <w:widowControl/>
                    <w:jc w:val="center"/>
                    <w:rPr>
                      <w:rStyle w:val="241"/>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color w:val="000000"/>
                      <w:kern w:val="0"/>
                      <w:sz w:val="24"/>
                    </w:rPr>
                    <w:t>/</w:t>
                  </w:r>
                </w:p>
              </w:tc>
            </w:tr>
          </w:tbl>
          <w:p w14:paraId="1EF73AA1">
            <w:pPr>
              <w:tabs>
                <w:tab w:val="left" w:pos="312"/>
              </w:tabs>
              <w:spacing w:line="400" w:lineRule="exact"/>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4.</w:t>
            </w:r>
            <w:r>
              <w:rPr>
                <w:rStyle w:val="241"/>
                <w:rFonts w:hint="eastAsia" w:ascii="仿宋_GB2312" w:hAnsi="仿宋_GB2312" w:eastAsia="仿宋_GB2312" w:cs="仿宋_GB2312"/>
                <w:b/>
                <w:bCs/>
                <w:sz w:val="24"/>
                <w:szCs w:val="24"/>
              </w:rPr>
              <w:t>以上办公区设备型号及数量以实际为准，含办公区所有高低压配电设备及相关零部件</w:t>
            </w:r>
            <w:r>
              <w:rPr>
                <w:rFonts w:hint="eastAsia" w:ascii="仿宋_GB2312" w:hAnsi="仿宋_GB2312" w:eastAsia="仿宋_GB2312" w:cs="仿宋_GB2312"/>
                <w:b/>
                <w:color w:val="000000"/>
                <w:sz w:val="24"/>
              </w:rPr>
              <w:t>，以及维保期间新增的高低压配电设备</w:t>
            </w:r>
            <w:r>
              <w:rPr>
                <w:rStyle w:val="241"/>
                <w:rFonts w:hint="eastAsia" w:ascii="仿宋_GB2312" w:hAnsi="仿宋_GB2312" w:eastAsia="仿宋_GB2312" w:cs="仿宋_GB2312"/>
                <w:b/>
                <w:bCs/>
                <w:sz w:val="24"/>
                <w:szCs w:val="24"/>
              </w:rPr>
              <w:t>。</w:t>
            </w:r>
          </w:p>
          <w:p w14:paraId="07DC7C29">
            <w:pPr>
              <w:tabs>
                <w:tab w:val="left" w:pos="312"/>
              </w:tabs>
              <w:spacing w:line="400" w:lineRule="exact"/>
              <w:ind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5.设备及环境卫生要求：</w:t>
            </w:r>
            <w:r>
              <w:rPr>
                <w:rFonts w:hint="eastAsia" w:ascii="仿宋_GB2312" w:hAnsi="仿宋_GB2312" w:eastAsia="仿宋_GB2312" w:cs="仿宋_GB2312"/>
                <w:bCs/>
                <w:color w:val="000000"/>
                <w:sz w:val="24"/>
              </w:rPr>
              <w:t>定期清理设备的灰尘，做好区域内门窗、楼道、楼梯及环境卫生，保持干净清洁。</w:t>
            </w:r>
          </w:p>
          <w:p w14:paraId="4FDEA939">
            <w:pPr>
              <w:spacing w:line="420" w:lineRule="exact"/>
              <w:ind w:firstLine="482" w:firstLineChars="200"/>
              <w:rPr>
                <w:rFonts w:hint="eastAsia" w:ascii="仿宋_GB2312" w:hAnsi="仿宋_GB2312" w:eastAsia="仿宋_GB2312" w:cs="仿宋_GB2312"/>
                <w:b/>
                <w:bCs/>
                <w:sz w:val="24"/>
              </w:rPr>
            </w:pPr>
            <w:r>
              <w:rPr>
                <w:rFonts w:hint="eastAsia" w:ascii="仿宋_GB2312" w:hAnsi="仿宋_GB2312" w:eastAsia="仿宋_GB2312" w:cs="仿宋_GB2312"/>
                <w:b/>
                <w:bCs/>
                <w:sz w:val="24"/>
              </w:rPr>
              <w:t>（2）</w:t>
            </w:r>
            <w:r>
              <w:rPr>
                <w:rFonts w:hint="eastAsia" w:ascii="仿宋_GB2312" w:hAnsi="仿宋_GB2312" w:eastAsia="仿宋_GB2312" w:cs="仿宋_GB2312"/>
                <w:b/>
                <w:color w:val="000000"/>
                <w:sz w:val="24"/>
              </w:rPr>
              <w:t>维保服务要求</w:t>
            </w:r>
          </w:p>
          <w:p w14:paraId="07164D9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须建立有24小时现场值班电话，提供及时的全天候维保服务，并确保24小时电话畅通。</w:t>
            </w:r>
          </w:p>
          <w:p w14:paraId="7CF009E8">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2.确保配电室内设施设备满足南方电网用电设备操作的要求，如遇设施设备检测时，需主动无偿进行配合完成相关检测工作；</w:t>
            </w:r>
          </w:p>
          <w:p w14:paraId="3EE8AC8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3.配合采购人做好设施设备的预防性试验、检测；</w:t>
            </w:r>
          </w:p>
          <w:p w14:paraId="0ABAC871">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4.根据相关行业要求配备包含但不限于《附件二：备品备件清单》内相应的安全工器具，建立安全工器具库，并按期进行安全工器具的预防性试验；</w:t>
            </w:r>
          </w:p>
          <w:p w14:paraId="488C0C9F">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5.处理故障响应时间：</w:t>
            </w:r>
          </w:p>
          <w:p w14:paraId="1E76F589">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（1）柳州市文昌路66号、瑞安路9号：接到通知后立即处理故障。</w:t>
            </w:r>
          </w:p>
          <w:p w14:paraId="05AD4BA0">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（2）柳州市鱼峰区新柳大道91号：接到通知后驻点维保期间立即处理故障，其余时间30分钟内到达现场处理故障。</w:t>
            </w:r>
          </w:p>
          <w:p w14:paraId="4F134241">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（3）柳州市高新一路15号、潭中东路66号、广雅路17号、三中路66号：接到通知后20分钟内到达采购人指定现场处理故障。</w:t>
            </w:r>
          </w:p>
          <w:p w14:paraId="4F781FB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（4）一般故障1小时内解决，重大故障在备品备件齐全条件下24小时连续抢修，直至设备正常，最长48小时内解决。并协助采购人送电。</w:t>
            </w:r>
          </w:p>
          <w:p w14:paraId="33CABB0A">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6.维修材料的管理及费用要求：</w:t>
            </w:r>
          </w:p>
          <w:p w14:paraId="48EFA4D5">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（1）维保过程中发现元器件存在问题，如经调整合格能正常使用的，由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调整；</w:t>
            </w:r>
          </w:p>
          <w:p w14:paraId="54CD0F71">
            <w:pPr>
              <w:spacing w:line="400" w:lineRule="exact"/>
              <w:ind w:firstLine="480" w:firstLineChars="200"/>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（2）</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负责维保范围内所有高低压系统设施设备的维修、保养工作（提供技术服务及承担因此产生的各项费用）。</w:t>
            </w:r>
          </w:p>
          <w:p w14:paraId="692F896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（3）</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须承担单件300元及以下的零配件更换、维修及保养所需各项费用；单件价格超过300元的，</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以书面方式呈交采购人，由采购人采购或委托</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采购，其中零配件费用由采购人承担，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免费安装、更换，</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承担由此产生的其它费用包括</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请第三方公司安装、更换、维修产生的人工费、设备使用费等费用（此费用已包含在本项目预算内）；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更换的零配件需与设备无缝对接，并确保为全新正品。</w:t>
            </w:r>
          </w:p>
          <w:p w14:paraId="443A067E">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（4）委托</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采购的零配件，报价仅为零配件费用，不包含人工费、维修费、系统集成费等变相增加的额外费用，零配件费用不得高于市场平均价（由采购人审核），并签订维修合同（协议），所采购零配件需为全新正品且质保期不低于两年。</w:t>
            </w:r>
          </w:p>
          <w:p w14:paraId="24A0F5CD">
            <w:pPr>
              <w:spacing w:line="400" w:lineRule="exact"/>
              <w:ind w:firstLine="480" w:firstLineChars="200"/>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7.维保期内，</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保证采购人高压配电设备的正常运行。因</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违反操作规程而造成高压配电事故及损坏，其责任和维修费全部由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承担。因</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保养不善而引起的事故责任和造成采购人的直接经济损失，由</w:t>
            </w:r>
            <w:r>
              <w:rPr>
                <w:rFonts w:hint="eastAsia" w:ascii="仿宋_GB2312" w:hAnsi="仿宋_GB2312" w:eastAsia="仿宋_GB2312" w:cs="仿宋_GB2312"/>
                <w:bCs/>
                <w:color w:val="000000"/>
                <w:sz w:val="24"/>
                <w:lang w:eastAsia="zh-CN"/>
              </w:rPr>
              <w:t>投标人</w:t>
            </w:r>
            <w:r>
              <w:rPr>
                <w:rFonts w:hint="eastAsia" w:ascii="仿宋_GB2312" w:hAnsi="仿宋_GB2312" w:eastAsia="仿宋_GB2312" w:cs="仿宋_GB2312"/>
                <w:bCs/>
                <w:color w:val="000000"/>
                <w:sz w:val="24"/>
              </w:rPr>
              <w:t>承担相应的经济和法律责任；</w:t>
            </w:r>
          </w:p>
          <w:p w14:paraId="42862B15">
            <w:pPr>
              <w:spacing w:line="400" w:lineRule="exact"/>
              <w:ind w:right="-38" w:rightChars="-18" w:firstLine="480" w:firstLineChars="200"/>
              <w:rPr>
                <w:rFonts w:hint="eastAsia" w:ascii="仿宋_GB2312" w:hAnsi="仿宋_GB2312" w:eastAsia="仿宋_GB2312" w:cs="仿宋_GB2312"/>
              </w:rPr>
            </w:pPr>
            <w:r>
              <w:rPr>
                <w:rFonts w:hint="eastAsia" w:ascii="仿宋_GB2312" w:hAnsi="仿宋_GB2312" w:eastAsia="仿宋_GB2312" w:cs="仿宋_GB2312"/>
                <w:bCs/>
                <w:color w:val="000000"/>
                <w:sz w:val="24"/>
              </w:rPr>
              <w:t>8.</w:t>
            </w:r>
            <w:r>
              <w:rPr>
                <w:rFonts w:hint="eastAsia" w:ascii="仿宋_GB2312" w:hAnsi="仿宋_GB2312" w:eastAsia="仿宋_GB2312" w:cs="仿宋_GB2312"/>
                <w:bCs/>
                <w:sz w:val="24"/>
              </w:rPr>
              <w:t>提供24小时故障处理服务；维保</w:t>
            </w:r>
            <w:r>
              <w:rPr>
                <w:rFonts w:hint="eastAsia" w:ascii="仿宋_GB2312" w:hAnsi="仿宋_GB2312" w:eastAsia="仿宋_GB2312" w:cs="仿宋_GB2312"/>
                <w:sz w:val="24"/>
              </w:rPr>
              <w:t>人员值班期间不得从事与本项目无关工作；</w:t>
            </w:r>
          </w:p>
          <w:p w14:paraId="00B3C04B">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9.如遇重要会议或重大活动，</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须派技术人员在现场驻点值班至会议或活动结束，每班不少于2人。</w:t>
            </w:r>
          </w:p>
          <w:p w14:paraId="17534496">
            <w:pPr>
              <w:spacing w:line="40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根据采购人高低压配电房及其设施设备制定完备合规的高低压配电房规章制度，绘制准确的一次、二次设备接线图，并按照规定将相关线路图纸及规章制度上墙。</w:t>
            </w:r>
          </w:p>
          <w:p w14:paraId="511E26C1">
            <w:pPr>
              <w:spacing w:line="400" w:lineRule="exact"/>
              <w:ind w:firstLine="480" w:firstLineChars="200"/>
              <w:rPr>
                <w:rFonts w:hint="eastAsia" w:ascii="仿宋_GB2312" w:hAnsi="仿宋_GB2312" w:eastAsia="仿宋_GB2312" w:cs="仿宋_GB2312"/>
                <w:sz w:val="24"/>
              </w:rPr>
            </w:pPr>
            <w:r>
              <w:rPr>
                <w:rFonts w:ascii="仿宋_GB2312" w:hAnsi="仿宋_GB2312" w:eastAsia="仿宋_GB2312" w:cs="仿宋_GB2312"/>
                <w:sz w:val="24"/>
                <w:lang w:val="en"/>
              </w:rPr>
              <w:t>11.</w:t>
            </w:r>
            <w:r>
              <w:rPr>
                <w:rFonts w:hint="eastAsia" w:ascii="仿宋_GB2312" w:hAnsi="仿宋_GB2312" w:eastAsia="仿宋_GB2312" w:cs="仿宋_GB2312"/>
                <w:sz w:val="24"/>
              </w:rPr>
              <w:t>采购人在</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服务范围内提出需求时，包括但不限于设备维修、设备改造、技术升级等，</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应配合完成技术方案评估及报价工作</w:t>
            </w:r>
            <w:r>
              <w:rPr>
                <w:rFonts w:ascii="仿宋_GB2312" w:hAnsi="仿宋_GB2312" w:eastAsia="仿宋_GB2312" w:cs="仿宋_GB2312"/>
                <w:sz w:val="24"/>
                <w:lang w:val="en"/>
              </w:rPr>
              <w:t>(</w:t>
            </w:r>
            <w:r>
              <w:rPr>
                <w:rFonts w:hint="eastAsia" w:ascii="仿宋_GB2312" w:hAnsi="仿宋_GB2312" w:eastAsia="仿宋_GB2312" w:cs="仿宋_GB2312"/>
                <w:sz w:val="24"/>
                <w:lang w:val="en"/>
              </w:rPr>
              <w:t>提出需求</w:t>
            </w:r>
            <w:r>
              <w:rPr>
                <w:rFonts w:ascii="仿宋_GB2312" w:hAnsi="仿宋_GB2312" w:eastAsia="仿宋_GB2312" w:cs="仿宋_GB2312"/>
                <w:sz w:val="24"/>
                <w:lang w:val="en"/>
              </w:rPr>
              <w:t>3</w:t>
            </w:r>
            <w:r>
              <w:rPr>
                <w:rFonts w:hint="eastAsia" w:ascii="仿宋_GB2312" w:hAnsi="仿宋_GB2312" w:eastAsia="仿宋_GB2312" w:cs="仿宋_GB2312"/>
                <w:sz w:val="24"/>
                <w:lang w:val="en"/>
              </w:rPr>
              <w:t>天内完成报价</w:t>
            </w:r>
            <w:r>
              <w:rPr>
                <w:rFonts w:ascii="仿宋_GB2312" w:hAnsi="仿宋_GB2312" w:eastAsia="仿宋_GB2312" w:cs="仿宋_GB2312"/>
                <w:sz w:val="24"/>
                <w:lang w:val="en"/>
              </w:rPr>
              <w:t>)</w:t>
            </w:r>
            <w:r>
              <w:rPr>
                <w:rFonts w:hint="eastAsia" w:ascii="仿宋_GB2312" w:hAnsi="仿宋_GB2312" w:eastAsia="仿宋_GB2312" w:cs="仿宋_GB2312"/>
                <w:sz w:val="24"/>
              </w:rPr>
              <w:t>。</w:t>
            </w:r>
          </w:p>
          <w:p w14:paraId="47027678">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12.因该办公楼内部分区域无法在行政班期间施工，</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需配合安排人员在夜间及周末施工，以及安排人员在其他系统涉及高低压配电系统的施工现场确认跟踪，服从采购人其他临时工作安排。</w:t>
            </w:r>
          </w:p>
          <w:p w14:paraId="053C0C85">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13.项目服务期间</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不得转包服务。</w:t>
            </w:r>
          </w:p>
          <w:p w14:paraId="7CCCC3E7">
            <w:pPr>
              <w:keepNext w:val="0"/>
              <w:keepLines w:val="0"/>
              <w:pageBreakBefore w:val="0"/>
              <w:kinsoku/>
              <w:wordWrap/>
              <w:overflowPunct/>
              <w:topLinePunct w:val="0"/>
              <w:autoSpaceDE/>
              <w:autoSpaceDN/>
              <w:bidi w:val="0"/>
              <w:adjustRightInd/>
              <w:spacing w:line="400" w:lineRule="exact"/>
              <w:ind w:firstLine="480"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sz w:val="24"/>
              </w:rPr>
              <w:t>14.</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应做好突发事件的应急预案。</w:t>
            </w:r>
            <w:r>
              <w:rPr>
                <w:rFonts w:hint="eastAsia" w:ascii="仿宋_GB2312" w:eastAsia="仿宋_GB2312"/>
                <w:sz w:val="24"/>
              </w:rPr>
              <w:t>如遇自然灾害（地震、洪水等）、公共安全、公共卫生等突发事件和紧急事故能及时处理，有应急预案。能做出快速的反应，采取相应的措施，尽可能减少破坏和损失程度。</w:t>
            </w:r>
          </w:p>
          <w:p w14:paraId="384969A2">
            <w:pPr>
              <w:spacing w:line="42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lang w:val="en-US" w:eastAsia="zh-CN"/>
              </w:rPr>
              <w:t>四、</w:t>
            </w:r>
            <w:r>
              <w:rPr>
                <w:rStyle w:val="241"/>
                <w:rFonts w:hint="eastAsia" w:ascii="仿宋_GB2312" w:hAnsi="仿宋_GB2312" w:eastAsia="仿宋_GB2312" w:cs="仿宋_GB2312"/>
                <w:b/>
                <w:bCs/>
                <w:sz w:val="24"/>
                <w:szCs w:val="24"/>
              </w:rPr>
              <w:t>保密要求</w:t>
            </w:r>
            <w:r>
              <w:rPr>
                <w:rStyle w:val="241"/>
                <w:rFonts w:hint="eastAsia" w:ascii="仿宋_GB2312" w:hAnsi="仿宋_GB2312" w:eastAsia="仿宋_GB2312" w:cs="仿宋_GB2312"/>
                <w:b/>
                <w:bCs/>
                <w:sz w:val="24"/>
                <w:szCs w:val="24"/>
                <w:lang w:val="en-US" w:eastAsia="zh-CN"/>
              </w:rPr>
              <w:t xml:space="preserve"> </w:t>
            </w:r>
          </w:p>
          <w:p w14:paraId="1076AA80">
            <w:pPr>
              <w:pStyle w:val="588"/>
              <w:keepNext w:val="0"/>
              <w:keepLines w:val="0"/>
              <w:pageBreakBefore w:val="0"/>
              <w:kinsoku/>
              <w:wordWrap/>
              <w:overflowPunct/>
              <w:topLinePunct w:val="0"/>
              <w:autoSpaceDE/>
              <w:autoSpaceDN/>
              <w:bidi w:val="0"/>
              <w:adjustRightInd/>
              <w:spacing w:line="400" w:lineRule="exact"/>
              <w:ind w:firstLine="480" w:firstLineChars="200"/>
              <w:jc w:val="left"/>
              <w:textAlignment w:val="auto"/>
              <w:rPr>
                <w:rFonts w:hint="eastAsia" w:ascii="仿宋_GB2312" w:hAnsi="仿宋_GB2312" w:eastAsia="仿宋_GB2312" w:cs="仿宋_GB2312"/>
                <w:sz w:val="24"/>
              </w:rPr>
            </w:pP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严格执行国家有关的保密法律法规及规章制度。所有</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必须做到不该问的不问，不该说的不说，不该看的不看，对采购人提供的相关资料，</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应妥善保管，不得向第三方提供、转述该资料的任何部分，否则，造成严重后果的，追究其法律责任。</w:t>
            </w:r>
          </w:p>
          <w:p w14:paraId="46950687">
            <w:pPr>
              <w:pStyle w:val="588"/>
              <w:keepNext w:val="0"/>
              <w:keepLines w:val="0"/>
              <w:pageBreakBefore w:val="0"/>
              <w:kinsoku/>
              <w:wordWrap/>
              <w:overflowPunct/>
              <w:topLinePunct w:val="0"/>
              <w:autoSpaceDE/>
              <w:autoSpaceDN/>
              <w:bidi w:val="0"/>
              <w:adjustRightInd/>
              <w:spacing w:line="400" w:lineRule="exact"/>
              <w:ind w:firstLine="482" w:firstLineChars="200"/>
              <w:jc w:val="left"/>
              <w:textAlignment w:val="auto"/>
              <w:rPr>
                <w:rStyle w:val="241"/>
                <w:rFonts w:hint="eastAsia" w:ascii="仿宋_GB2312" w:hAnsi="仿宋_GB2312" w:eastAsia="仿宋_GB2312" w:cs="仿宋_GB2312"/>
                <w:b/>
                <w:bCs/>
                <w:sz w:val="24"/>
                <w:szCs w:val="24"/>
              </w:rPr>
            </w:pPr>
            <w:r>
              <w:rPr>
                <w:rStyle w:val="241"/>
                <w:rFonts w:hint="eastAsia" w:ascii="仿宋_GB2312" w:hAnsi="仿宋_GB2312" w:eastAsia="仿宋_GB2312" w:cs="仿宋_GB2312"/>
                <w:b/>
                <w:bCs/>
                <w:sz w:val="24"/>
                <w:szCs w:val="24"/>
                <w:lang w:eastAsia="zh-CN"/>
              </w:rPr>
              <w:t>五</w:t>
            </w:r>
            <w:r>
              <w:rPr>
                <w:rStyle w:val="241"/>
                <w:rFonts w:hint="eastAsia" w:ascii="仿宋_GB2312" w:hAnsi="仿宋_GB2312" w:eastAsia="仿宋_GB2312" w:cs="仿宋_GB2312"/>
                <w:b/>
                <w:bCs/>
                <w:sz w:val="24"/>
                <w:szCs w:val="24"/>
              </w:rPr>
              <w:t>、</w:t>
            </w:r>
            <w:r>
              <w:rPr>
                <w:rStyle w:val="241"/>
                <w:rFonts w:hint="eastAsia" w:ascii="仿宋_GB2312" w:hAnsi="仿宋_GB2312" w:eastAsia="仿宋_GB2312" w:cs="仿宋_GB2312"/>
                <w:b/>
                <w:bCs/>
                <w:sz w:val="24"/>
                <w:szCs w:val="24"/>
                <w:lang w:eastAsia="zh-CN"/>
              </w:rPr>
              <w:t>其它</w:t>
            </w:r>
            <w:r>
              <w:rPr>
                <w:rStyle w:val="241"/>
                <w:rFonts w:hint="eastAsia" w:ascii="仿宋_GB2312" w:hAnsi="仿宋_GB2312" w:eastAsia="仿宋_GB2312" w:cs="仿宋_GB2312"/>
                <w:b/>
                <w:bCs/>
                <w:sz w:val="24"/>
                <w:szCs w:val="24"/>
              </w:rPr>
              <w:t>要求</w:t>
            </w:r>
          </w:p>
          <w:p w14:paraId="45A37C6F">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1.</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需按照采购人的节能管理规定，认真做好本项目能源的节约管理工作。</w:t>
            </w:r>
          </w:p>
          <w:p w14:paraId="49F996FE">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2.项目合同期满后，</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应积极配合完成交接工作。在未确定新一期服务合同前，应采购人的要求，经双方协商一致，在相关政策允许情况下，采购人可与</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按本项目合同约定（包括服务标准及费用）继续与采购人签订延期服务合同，直至新一期服务合同生效止。</w:t>
            </w:r>
          </w:p>
          <w:p w14:paraId="7A69F7F3">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3.</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针对本采购需求</w:t>
            </w:r>
            <w:r>
              <w:rPr>
                <w:rStyle w:val="241"/>
                <w:rFonts w:hint="eastAsia" w:ascii="仿宋_GB2312" w:hAnsi="仿宋_GB2312" w:eastAsia="仿宋_GB2312" w:cs="仿宋_GB2312"/>
                <w:sz w:val="24"/>
                <w:szCs w:val="24"/>
                <w:lang w:eastAsia="zh-CN"/>
              </w:rPr>
              <w:t>、投标文件中</w:t>
            </w:r>
            <w:r>
              <w:rPr>
                <w:rStyle w:val="241"/>
                <w:rFonts w:hint="eastAsia" w:ascii="仿宋_GB2312" w:hAnsi="仿宋_GB2312" w:eastAsia="仿宋_GB2312" w:cs="仿宋_GB2312"/>
                <w:sz w:val="24"/>
                <w:szCs w:val="24"/>
              </w:rPr>
              <w:t>承诺</w:t>
            </w:r>
            <w:r>
              <w:rPr>
                <w:rStyle w:val="241"/>
                <w:rFonts w:hint="eastAsia" w:ascii="仿宋_GB2312" w:hAnsi="仿宋_GB2312" w:eastAsia="仿宋_GB2312" w:cs="仿宋_GB2312"/>
                <w:sz w:val="24"/>
                <w:szCs w:val="24"/>
                <w:lang w:eastAsia="zh-CN"/>
              </w:rPr>
              <w:t>、响应表及</w:t>
            </w:r>
            <w:r>
              <w:rPr>
                <w:rStyle w:val="241"/>
                <w:rFonts w:hint="eastAsia" w:ascii="仿宋_GB2312" w:hAnsi="仿宋_GB2312" w:eastAsia="仿宋_GB2312" w:cs="仿宋_GB2312"/>
                <w:sz w:val="24"/>
                <w:szCs w:val="24"/>
              </w:rPr>
              <w:t>获得加分的内容，</w:t>
            </w:r>
            <w:r>
              <w:rPr>
                <w:rStyle w:val="241"/>
                <w:rFonts w:hint="eastAsia" w:ascii="仿宋_GB2312" w:hAnsi="仿宋_GB2312" w:eastAsia="仿宋_GB2312" w:cs="仿宋_GB2312"/>
                <w:sz w:val="24"/>
                <w:szCs w:val="24"/>
                <w:lang w:eastAsia="zh-CN"/>
              </w:rPr>
              <w:t>在</w:t>
            </w:r>
            <w:r>
              <w:rPr>
                <w:rStyle w:val="241"/>
                <w:rFonts w:hint="eastAsia" w:ascii="仿宋_GB2312" w:hAnsi="仿宋_GB2312" w:eastAsia="仿宋_GB2312" w:cs="仿宋_GB2312"/>
                <w:sz w:val="24"/>
                <w:szCs w:val="24"/>
              </w:rPr>
              <w:t>后续实施过程中未达到事项按《办公区高低压配电系统维保服务考核办法》（</w:t>
            </w:r>
            <w:r>
              <w:rPr>
                <w:rStyle w:val="241"/>
                <w:rFonts w:hint="eastAsia" w:ascii="仿宋_GB2312" w:hAnsi="仿宋_GB2312" w:eastAsia="仿宋_GB2312" w:cs="仿宋_GB2312"/>
                <w:sz w:val="24"/>
                <w:szCs w:val="24"/>
                <w:lang w:val="en-US" w:eastAsia="zh-CN"/>
              </w:rPr>
              <w:t>详见</w:t>
            </w:r>
            <w:r>
              <w:rPr>
                <w:rStyle w:val="241"/>
                <w:rFonts w:hint="eastAsia" w:ascii="仿宋_GB2312" w:hAnsi="仿宋_GB2312" w:eastAsia="仿宋_GB2312" w:cs="仿宋_GB2312"/>
                <w:sz w:val="24"/>
                <w:szCs w:val="24"/>
              </w:rPr>
              <w:t>附件一）扣款，直至</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完成整改。如因</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不按采购需求</w:t>
            </w:r>
            <w:r>
              <w:rPr>
                <w:rStyle w:val="241"/>
                <w:rFonts w:hint="eastAsia" w:ascii="仿宋_GB2312" w:hAnsi="仿宋_GB2312" w:eastAsia="仿宋_GB2312" w:cs="仿宋_GB2312"/>
                <w:sz w:val="24"/>
                <w:szCs w:val="24"/>
                <w:lang w:eastAsia="zh-CN"/>
              </w:rPr>
              <w:t>、投标文件中</w:t>
            </w:r>
            <w:r>
              <w:rPr>
                <w:rStyle w:val="241"/>
                <w:rFonts w:hint="eastAsia" w:ascii="仿宋_GB2312" w:hAnsi="仿宋_GB2312" w:eastAsia="仿宋_GB2312" w:cs="仿宋_GB2312"/>
                <w:sz w:val="24"/>
                <w:szCs w:val="24"/>
              </w:rPr>
              <w:t>承诺</w:t>
            </w:r>
            <w:r>
              <w:rPr>
                <w:rStyle w:val="241"/>
                <w:rFonts w:hint="eastAsia" w:ascii="仿宋_GB2312" w:hAnsi="仿宋_GB2312" w:eastAsia="仿宋_GB2312" w:cs="仿宋_GB2312"/>
                <w:sz w:val="24"/>
                <w:szCs w:val="24"/>
                <w:lang w:eastAsia="zh-CN"/>
              </w:rPr>
              <w:t>、响应表及</w:t>
            </w:r>
            <w:r>
              <w:rPr>
                <w:rStyle w:val="241"/>
                <w:rFonts w:hint="eastAsia" w:ascii="仿宋_GB2312" w:hAnsi="仿宋_GB2312" w:eastAsia="仿宋_GB2312" w:cs="仿宋_GB2312"/>
                <w:sz w:val="24"/>
                <w:szCs w:val="24"/>
              </w:rPr>
              <w:t>获得加分的内容执行导致项目未验收通过的，由</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负全责。</w:t>
            </w:r>
          </w:p>
          <w:p w14:paraId="10D7C849">
            <w:pPr>
              <w:spacing w:line="400" w:lineRule="exact"/>
              <w:ind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4.合同签订后如</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提出提前解除合同，</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应提前三个月以纸质文件形式通知采购人，</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如有违反，由此造成的损失由</w:t>
            </w:r>
            <w:r>
              <w:rPr>
                <w:rStyle w:val="241"/>
                <w:rFonts w:hint="eastAsia" w:ascii="仿宋_GB2312" w:hAnsi="仿宋_GB2312" w:eastAsia="仿宋_GB2312" w:cs="仿宋_GB2312"/>
                <w:sz w:val="24"/>
                <w:szCs w:val="24"/>
                <w:lang w:eastAsia="zh-CN"/>
              </w:rPr>
              <w:t>投标人</w:t>
            </w:r>
            <w:r>
              <w:rPr>
                <w:rStyle w:val="241"/>
                <w:rFonts w:hint="eastAsia" w:ascii="仿宋_GB2312" w:hAnsi="仿宋_GB2312" w:eastAsia="仿宋_GB2312" w:cs="仿宋_GB2312"/>
                <w:sz w:val="24"/>
                <w:szCs w:val="24"/>
              </w:rPr>
              <w:t>承担。</w:t>
            </w:r>
          </w:p>
          <w:p w14:paraId="6AE67344">
            <w:pPr>
              <w:pStyle w:val="536"/>
              <w:spacing w:line="440" w:lineRule="exact"/>
              <w:ind w:right="42" w:rightChars="20" w:firstLine="480" w:firstLineChars="200"/>
              <w:rPr>
                <w:rStyle w:val="241"/>
                <w:rFonts w:hint="eastAsia" w:ascii="仿宋_GB2312" w:hAnsi="仿宋_GB2312" w:eastAsia="仿宋_GB2312" w:cs="仿宋_GB2312"/>
                <w:sz w:val="24"/>
                <w:szCs w:val="24"/>
              </w:rPr>
            </w:pPr>
            <w:r>
              <w:rPr>
                <w:rStyle w:val="241"/>
                <w:rFonts w:hint="eastAsia" w:ascii="仿宋_GB2312" w:hAnsi="仿宋_GB2312" w:eastAsia="仿宋_GB2312" w:cs="仿宋_GB2312"/>
                <w:sz w:val="24"/>
                <w:szCs w:val="24"/>
              </w:rPr>
              <w:t>5.完成采购人交办的其他事项，如联动巡查、应急处置调度等。</w:t>
            </w:r>
          </w:p>
          <w:p w14:paraId="73BEDFCA">
            <w:pPr>
              <w:pStyle w:val="536"/>
              <w:spacing w:line="440" w:lineRule="exact"/>
              <w:ind w:right="42" w:rightChars="20" w:firstLine="480" w:firstLineChars="200"/>
              <w:rPr>
                <w:rStyle w:val="173"/>
                <w:rFonts w:hint="eastAsia" w:ascii="仿宋_GB2312" w:hAnsi="仿宋_GB2312" w:eastAsia="仿宋_GB2312" w:cs="仿宋_GB2312"/>
                <w:color w:val="auto"/>
                <w:sz w:val="24"/>
                <w:szCs w:val="24"/>
                <w:lang w:eastAsia="zh-CN"/>
              </w:rPr>
            </w:pPr>
            <w:r>
              <w:rPr>
                <w:rStyle w:val="241"/>
                <w:rFonts w:hint="eastAsia" w:ascii="仿宋_GB2312" w:hAnsi="仿宋_GB2312" w:eastAsia="仿宋_GB2312" w:cs="仿宋_GB2312"/>
                <w:sz w:val="24"/>
                <w:szCs w:val="24"/>
              </w:rPr>
              <w:t>6.</w:t>
            </w:r>
            <w:r>
              <w:rPr>
                <w:rStyle w:val="173"/>
                <w:rFonts w:hint="eastAsia" w:ascii="仿宋_GB2312" w:hAnsi="仿宋_GB2312" w:eastAsia="仿宋_GB2312" w:cs="仿宋_GB2312"/>
                <w:color w:val="auto"/>
                <w:sz w:val="24"/>
                <w:szCs w:val="24"/>
                <w:lang w:eastAsia="zh-CN"/>
              </w:rPr>
              <w:t>投标人</w:t>
            </w:r>
            <w:r>
              <w:rPr>
                <w:rStyle w:val="173"/>
                <w:rFonts w:hint="default" w:ascii="仿宋_GB2312" w:hAnsi="仿宋_GB2312" w:eastAsia="仿宋_GB2312" w:cs="仿宋_GB2312"/>
                <w:color w:val="auto"/>
                <w:sz w:val="24"/>
                <w:szCs w:val="24"/>
              </w:rPr>
              <w:t>项目负责人及法定代表人需定期与采购人进行业务交流、沟通</w:t>
            </w:r>
            <w:r>
              <w:rPr>
                <w:rStyle w:val="173"/>
                <w:rFonts w:hint="eastAsia" w:ascii="仿宋_GB2312" w:hAnsi="仿宋_GB2312" w:eastAsia="仿宋_GB2312" w:cs="仿宋_GB2312"/>
                <w:color w:val="auto"/>
                <w:sz w:val="24"/>
                <w:szCs w:val="24"/>
                <w:lang w:eastAsia="zh-CN"/>
              </w:rPr>
              <w:t>。</w:t>
            </w:r>
          </w:p>
          <w:p w14:paraId="7F5CAA81">
            <w:pPr>
              <w:spacing w:line="440" w:lineRule="exact"/>
              <w:ind w:firstLine="480" w:firstLineChars="200"/>
              <w:jc w:val="left"/>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val="en-US" w:eastAsia="zh-CN"/>
              </w:rPr>
              <w:t>7</w:t>
            </w:r>
            <w:r>
              <w:rPr>
                <w:rFonts w:hint="eastAsia" w:ascii="仿宋_GB2312" w:hAnsi="仿宋_GB2312" w:eastAsia="仿宋_GB2312" w:cs="仿宋_GB2312"/>
                <w:bCs/>
                <w:color w:val="auto"/>
                <w:sz w:val="24"/>
              </w:rPr>
              <w:t>.</w:t>
            </w:r>
            <w:r>
              <w:rPr>
                <w:rFonts w:hint="eastAsia" w:ascii="仿宋_GB2312" w:hAnsi="仿宋_GB2312" w:eastAsia="仿宋_GB2312" w:cs="仿宋_GB2312"/>
                <w:bCs/>
                <w:color w:val="auto"/>
                <w:sz w:val="24"/>
                <w:lang w:val="en-US" w:eastAsia="zh-CN"/>
              </w:rPr>
              <w:t>中标人</w:t>
            </w:r>
            <w:r>
              <w:rPr>
                <w:rFonts w:hint="eastAsia" w:ascii="仿宋_GB2312" w:hAnsi="仿宋_GB2312" w:eastAsia="仿宋_GB2312" w:cs="仿宋_GB2312"/>
                <w:bCs/>
                <w:color w:val="auto"/>
                <w:sz w:val="24"/>
              </w:rPr>
              <w:t>每季度须向采购人提供成本核算（成本核算的有关内容必须符合国家、政府有关法律法规的规定），同时提供每个服务人员购买社保的社保号。社保及购买的相关凭证须报备采购人。</w:t>
            </w:r>
          </w:p>
          <w:p w14:paraId="202DD9E4">
            <w:pPr>
              <w:pStyle w:val="536"/>
              <w:spacing w:line="440" w:lineRule="exact"/>
              <w:ind w:right="42" w:rightChars="20" w:firstLine="480" w:firstLineChars="200"/>
              <w:rPr>
                <w:rStyle w:val="173"/>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lang w:val="en-US" w:eastAsia="zh-CN"/>
              </w:rPr>
              <w:t>8</w:t>
            </w:r>
            <w:r>
              <w:rPr>
                <w:rFonts w:hint="default" w:ascii="仿宋_GB2312" w:hAnsi="仿宋_GB2312" w:eastAsia="仿宋_GB2312" w:cs="仿宋_GB2312"/>
                <w:bCs/>
                <w:color w:val="auto"/>
                <w:sz w:val="24"/>
                <w:lang w:val="en"/>
              </w:rPr>
              <w:t>.</w:t>
            </w:r>
            <w:r>
              <w:rPr>
                <w:rFonts w:hint="eastAsia" w:ascii="仿宋_GB2312" w:hAnsi="仿宋_GB2312" w:eastAsia="仿宋_GB2312" w:cs="仿宋_GB2312"/>
                <w:bCs/>
                <w:color w:val="auto"/>
                <w:sz w:val="24"/>
                <w:lang w:val="en-US" w:eastAsia="zh-CN"/>
              </w:rPr>
              <w:t>中标人</w:t>
            </w:r>
            <w:r>
              <w:rPr>
                <w:rFonts w:hint="eastAsia" w:ascii="仿宋_GB2312" w:hAnsi="仿宋_GB2312" w:eastAsia="仿宋_GB2312" w:cs="仿宋_GB2312"/>
                <w:bCs/>
                <w:color w:val="auto"/>
                <w:sz w:val="24"/>
              </w:rPr>
              <w:t>在进场一个月后的验收当日须满足其在</w:t>
            </w:r>
            <w:r>
              <w:rPr>
                <w:rFonts w:hint="default" w:ascii="仿宋_GB2312" w:hAnsi="仿宋_GB2312" w:eastAsia="仿宋_GB2312" w:cs="仿宋_GB2312"/>
                <w:bCs/>
                <w:color w:val="auto"/>
                <w:sz w:val="24"/>
                <w:lang w:val="en-US"/>
              </w:rPr>
              <w:t>投标</w:t>
            </w:r>
            <w:r>
              <w:rPr>
                <w:rFonts w:hint="eastAsia" w:ascii="仿宋_GB2312" w:hAnsi="仿宋_GB2312" w:eastAsia="仿宋_GB2312" w:cs="仿宋_GB2312"/>
                <w:bCs/>
                <w:color w:val="auto"/>
                <w:sz w:val="24"/>
              </w:rPr>
              <w:t>文件中所有的响应内容，若未满足响应内容的，将按照</w:t>
            </w:r>
            <w:r>
              <w:rPr>
                <w:rStyle w:val="241"/>
                <w:rFonts w:hint="eastAsia" w:ascii="仿宋_GB2312" w:hAnsi="仿宋_GB2312" w:eastAsia="仿宋_GB2312" w:cs="仿宋_GB2312"/>
                <w:color w:val="auto"/>
                <w:sz w:val="24"/>
                <w:szCs w:val="24"/>
              </w:rPr>
              <w:t>《办公区高低压配电系统维保服务考核办法》（</w:t>
            </w:r>
            <w:r>
              <w:rPr>
                <w:rStyle w:val="241"/>
                <w:rFonts w:hint="eastAsia" w:ascii="仿宋_GB2312" w:hAnsi="仿宋_GB2312" w:eastAsia="仿宋_GB2312" w:cs="仿宋_GB2312"/>
                <w:color w:val="auto"/>
                <w:sz w:val="24"/>
                <w:szCs w:val="24"/>
                <w:lang w:val="en-US" w:eastAsia="zh-CN"/>
              </w:rPr>
              <w:t>详见</w:t>
            </w:r>
            <w:r>
              <w:rPr>
                <w:rStyle w:val="241"/>
                <w:rFonts w:hint="eastAsia" w:ascii="仿宋_GB2312" w:hAnsi="仿宋_GB2312" w:eastAsia="仿宋_GB2312" w:cs="仿宋_GB2312"/>
                <w:color w:val="auto"/>
                <w:sz w:val="24"/>
                <w:szCs w:val="24"/>
              </w:rPr>
              <w:t>附件一）</w:t>
            </w:r>
            <w:r>
              <w:rPr>
                <w:rFonts w:hint="eastAsia" w:ascii="仿宋_GB2312" w:hAnsi="仿宋_GB2312" w:eastAsia="仿宋_GB2312" w:cs="仿宋_GB2312"/>
                <w:bCs/>
                <w:color w:val="auto"/>
                <w:sz w:val="24"/>
              </w:rPr>
              <w:t>进行考核。</w:t>
            </w:r>
          </w:p>
        </w:tc>
        <w:tc>
          <w:tcPr>
            <w:tcW w:w="743" w:type="dxa"/>
            <w:tcBorders>
              <w:top w:val="single" w:color="auto" w:sz="4" w:space="0"/>
              <w:left w:val="single" w:color="auto" w:sz="4" w:space="0"/>
              <w:right w:val="single" w:color="auto" w:sz="4" w:space="0"/>
            </w:tcBorders>
            <w:noWrap w:val="0"/>
            <w:vAlign w:val="center"/>
          </w:tcPr>
          <w:p w14:paraId="5DCBE473">
            <w:pPr>
              <w:snapToGrid w:val="0"/>
              <w:spacing w:line="240" w:lineRule="atLeast"/>
              <w:ind w:left="420" w:hanging="42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1项</w:t>
            </w:r>
          </w:p>
        </w:tc>
      </w:tr>
    </w:tbl>
    <w:p w14:paraId="6F51F024">
      <w:pPr>
        <w:spacing w:line="440" w:lineRule="exact"/>
        <w:ind w:right="-330" w:rightChars="-157"/>
        <w:jc w:val="left"/>
        <w:rPr>
          <w:rFonts w:hint="eastAsia" w:ascii="仿宋_GB2312" w:hAnsi="仿宋_GB2312" w:eastAsia="仿宋_GB2312" w:cs="仿宋_GB2312"/>
          <w:color w:val="000000"/>
          <w:sz w:val="24"/>
        </w:rPr>
      </w:pP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945"/>
      </w:tblGrid>
      <w:tr w14:paraId="42B9C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3E65BF19">
            <w:pPr>
              <w:spacing w:line="276" w:lineRule="auto"/>
              <w:ind w:left="420" w:hanging="420"/>
              <w:jc w:val="left"/>
              <w:rPr>
                <w:rFonts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3DAF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E2F35B2">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1EFE56FF">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报价必须包含以下部分，包括：
</w:t>
            </w:r>
          </w:p>
          <w:p w14:paraId="0AEC0C0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1.本项目</w:t>
            </w:r>
            <w:r>
              <w:rPr>
                <w:rFonts w:hint="eastAsia" w:ascii="仿宋_GB2312" w:hAnsi="仿宋_GB2312" w:eastAsia="仿宋_GB2312" w:cs="仿宋_GB2312"/>
                <w:bCs/>
                <w:sz w:val="24"/>
                <w:lang w:eastAsia="zh-CN"/>
              </w:rPr>
              <w:t>投标</w:t>
            </w:r>
            <w:r>
              <w:rPr>
                <w:rFonts w:hint="eastAsia" w:ascii="仿宋_GB2312" w:hAnsi="仿宋_GB2312" w:eastAsia="仿宋_GB2312" w:cs="仿宋_GB2312"/>
                <w:bCs/>
                <w:sz w:val="24"/>
              </w:rPr>
              <w:t>报价、利润及风险由</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自行考虑（包括广西壮族自治区调整最低工资标准后，按实际情况增加人工费及相应保险费用）；</w:t>
            </w:r>
          </w:p>
          <w:p w14:paraId="2FCEC8E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2.</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必须按照《</w:t>
            </w:r>
            <w:r>
              <w:rPr>
                <w:rFonts w:hint="eastAsia" w:ascii="仿宋_GB2312" w:hAnsi="仿宋_GB2312" w:eastAsia="仿宋_GB2312" w:cs="仿宋_GB2312"/>
                <w:bCs/>
                <w:sz w:val="24"/>
                <w:lang w:val="en-US" w:eastAsia="zh-CN"/>
              </w:rPr>
              <w:t>中华人民共和国</w:t>
            </w:r>
            <w:r>
              <w:rPr>
                <w:rFonts w:hint="eastAsia" w:ascii="仿宋_GB2312" w:hAnsi="仿宋_GB2312" w:eastAsia="仿宋_GB2312" w:cs="仿宋_GB2312"/>
                <w:bCs/>
                <w:sz w:val="24"/>
              </w:rPr>
              <w:t>劳动合同法》的规定与员工签订劳动合同并按照国家及省市的相关规定为投入本项目人员统一办理社会保险、人员意外伤害等各种保险；</w:t>
            </w:r>
          </w:p>
          <w:p w14:paraId="34E4BAD8">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3.</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报价必须包含本项目人员工资、保险费、福利费、管理费、加班费、服装费、交通费、通讯费、税费等相关费用；</w:t>
            </w:r>
          </w:p>
          <w:p w14:paraId="21860385">
            <w:pPr>
              <w:snapToGrid w:val="0"/>
              <w:spacing w:line="380" w:lineRule="exact"/>
              <w:ind w:firstLine="0" w:firstLineChars="0"/>
              <w:rPr>
                <w:rFonts w:hint="eastAsia" w:ascii="仿宋_GB2312" w:hAnsi="仿宋_GB2312" w:eastAsia="仿宋_GB2312" w:cs="仿宋_GB2312"/>
                <w:bCs/>
                <w:sz w:val="24"/>
              </w:rPr>
            </w:pPr>
            <w:r>
              <w:rPr>
                <w:rFonts w:hint="eastAsia" w:ascii="仿宋_GB2312" w:hAnsi="仿宋_GB2312" w:eastAsia="仿宋_GB2312" w:cs="仿宋_GB2312"/>
                <w:bCs/>
                <w:sz w:val="24"/>
              </w:rPr>
              <w:t>4.</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须自行承担提供维保服务所需的专用工具物品、备品备件、办公用品及日常易耗品、单价300元以下的零配件费及所有零配件更换、</w:t>
            </w:r>
            <w:r>
              <w:rPr>
                <w:rFonts w:hint="eastAsia" w:ascii="仿宋_GB2312" w:hAnsi="仿宋_GB2312" w:eastAsia="仿宋_GB2312" w:cs="仿宋_GB2312"/>
                <w:bCs/>
                <w:color w:val="000000"/>
                <w:sz w:val="24"/>
              </w:rPr>
              <w:t>维修及保养</w:t>
            </w:r>
            <w:r>
              <w:rPr>
                <w:rFonts w:hint="eastAsia" w:ascii="仿宋_GB2312" w:hAnsi="仿宋_GB2312" w:eastAsia="仿宋_GB2312" w:cs="仿宋_GB2312"/>
                <w:bCs/>
                <w:color w:val="000000"/>
                <w:sz w:val="24"/>
                <w:lang w:eastAsia="zh-CN"/>
              </w:rPr>
              <w:t>、</w:t>
            </w:r>
            <w:r>
              <w:rPr>
                <w:rFonts w:hint="eastAsia" w:ascii="仿宋_GB2312" w:hAnsi="仿宋_GB2312" w:eastAsia="仿宋_GB2312" w:cs="仿宋_GB2312"/>
                <w:bCs/>
                <w:sz w:val="24"/>
              </w:rPr>
              <w:t>安装的人工费、设备使用费等相关费用；</w:t>
            </w:r>
          </w:p>
          <w:p w14:paraId="5638ABC4">
            <w:pPr>
              <w:spacing w:line="380" w:lineRule="exact"/>
              <w:ind w:firstLine="0" w:firstLineChars="0"/>
              <w:rPr>
                <w:rFonts w:ascii="仿宋_GB2312" w:hAnsi="仿宋_GB2312" w:eastAsia="仿宋_GB2312" w:cs="仿宋_GB2312"/>
                <w:bCs/>
                <w:color w:val="000000"/>
                <w:sz w:val="24"/>
              </w:rPr>
            </w:pPr>
            <w:r>
              <w:rPr>
                <w:rFonts w:hint="eastAsia" w:ascii="仿宋_GB2312" w:hAnsi="仿宋_GB2312" w:eastAsia="仿宋_GB2312" w:cs="仿宋_GB2312"/>
                <w:bCs/>
                <w:sz w:val="24"/>
              </w:rPr>
              <w:t>5.其他相关费用由</w:t>
            </w:r>
            <w:r>
              <w:rPr>
                <w:rFonts w:hint="eastAsia" w:ascii="仿宋_GB2312" w:hAnsi="仿宋_GB2312" w:eastAsia="仿宋_GB2312" w:cs="仿宋_GB2312"/>
                <w:bCs/>
                <w:sz w:val="24"/>
                <w:lang w:eastAsia="zh-CN"/>
              </w:rPr>
              <w:t>投标人</w:t>
            </w:r>
            <w:r>
              <w:rPr>
                <w:rFonts w:hint="eastAsia" w:ascii="仿宋_GB2312" w:hAnsi="仿宋_GB2312" w:eastAsia="仿宋_GB2312" w:cs="仿宋_GB2312"/>
                <w:bCs/>
                <w:sz w:val="24"/>
              </w:rPr>
              <w:t>自行承担。</w:t>
            </w:r>
          </w:p>
        </w:tc>
      </w:tr>
      <w:tr w14:paraId="7517E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4AA42A45">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33D80DF">
            <w:pPr>
              <w:numPr>
                <w:ilvl w:val="0"/>
                <w:numId w:val="0"/>
              </w:numPr>
              <w:spacing w:line="40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1.除三中路66号办公区外，其余服务区域自提供服务之日起2年，具体服务起止时间以合同约定日期为准；</w:t>
            </w:r>
          </w:p>
          <w:p w14:paraId="0AB1BA4A">
            <w:pPr>
              <w:numPr>
                <w:ilvl w:val="0"/>
                <w:numId w:val="0"/>
              </w:numPr>
              <w:spacing w:line="400" w:lineRule="exact"/>
              <w:ind w:left="0" w:leftChars="0" w:firstLine="0" w:firstLineChars="0"/>
              <w:jc w:val="left"/>
              <w:rPr>
                <w:rFonts w:hint="default"/>
                <w:lang w:val="en-US" w:eastAsia="zh-CN"/>
              </w:rPr>
            </w:pPr>
            <w:r>
              <w:rPr>
                <w:rFonts w:hint="eastAsia" w:ascii="仿宋_GB2312" w:hAnsi="仿宋_GB2312" w:eastAsia="仿宋_GB2312" w:cs="仿宋_GB2312"/>
                <w:kern w:val="2"/>
                <w:sz w:val="24"/>
                <w:szCs w:val="24"/>
                <w:lang w:val="en-US" w:eastAsia="zh-CN" w:bidi="ar-SA"/>
              </w:rPr>
              <w:t>2.三中路66号办公区，预计自2025年12月1起维保，与其它办公区同时间结束，具体服务起止时间以合同约定日期为准。</w:t>
            </w:r>
          </w:p>
        </w:tc>
      </w:tr>
      <w:tr w14:paraId="0FB1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5C6ACDA4">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7D3AF4F6">
            <w:pPr>
              <w:spacing w:line="380" w:lineRule="exact"/>
              <w:ind w:firstLine="0" w:firstLineChars="0"/>
              <w:rPr>
                <w:rFonts w:hint="eastAsia"/>
              </w:rPr>
            </w:pPr>
            <w:r>
              <w:rPr>
                <w:rFonts w:hint="eastAsia" w:ascii="仿宋_GB2312" w:hAnsi="仿宋_GB2312" w:eastAsia="仿宋_GB2312" w:cs="仿宋_GB2312"/>
                <w:sz w:val="24"/>
              </w:rPr>
              <w:t>1.柳州市文昌路66号、瑞安路9号：接到通知后立即处理问题。</w:t>
            </w:r>
          </w:p>
          <w:p w14:paraId="0C63D020">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2.柳州市鱼峰区新柳大道91号：接到通知后驻点维保期间立即处理问题，其余时间30分钟内到达现场处理问题。</w:t>
            </w:r>
          </w:p>
          <w:p w14:paraId="5282C800">
            <w:pPr>
              <w:spacing w:line="380" w:lineRule="exact"/>
              <w:ind w:firstLine="0" w:firstLineChars="0"/>
              <w:rPr>
                <w:rFonts w:ascii="仿宋_GB2312" w:hAnsi="仿宋_GB2312" w:eastAsia="仿宋_GB2312" w:cs="仿宋_GB2312"/>
                <w:bCs/>
                <w:color w:val="000000"/>
                <w:sz w:val="24"/>
              </w:rPr>
            </w:pPr>
            <w:r>
              <w:rPr>
                <w:rFonts w:hint="eastAsia" w:ascii="仿宋_GB2312" w:hAnsi="仿宋_GB2312" w:eastAsia="仿宋_GB2312" w:cs="仿宋_GB2312"/>
                <w:sz w:val="24"/>
              </w:rPr>
              <w:t>3.柳州市高新一路15号、潭中东路66号、广雅路17号及三中路66号：接到通知后20分钟内到达采购人指定现场处理问题。</w:t>
            </w:r>
          </w:p>
        </w:tc>
      </w:tr>
      <w:tr w14:paraId="18BB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370A0725">
            <w:pPr>
              <w:spacing w:line="440" w:lineRule="exact"/>
              <w:jc w:val="center"/>
              <w:rPr>
                <w:rFonts w:hint="default" w:ascii="等线" w:hAnsi="等线" w:eastAsia="仿宋_GB2312" w:cs="Arial"/>
                <w:bCs/>
                <w:color w:val="000000"/>
                <w:sz w:val="24"/>
                <w:lang w:val="en-US"/>
              </w:rPr>
            </w:pPr>
            <w:r>
              <w:rPr>
                <w:rFonts w:hint="eastAsia" w:ascii="仿宋_GB2312" w:hAnsi="仿宋_GB2312" w:eastAsia="仿宋_GB2312" w:cs="仿宋_GB2312"/>
                <w:color w:val="000000"/>
                <w:sz w:val="24"/>
                <w:lang w:val="en-US" w:eastAsia="zh-CN"/>
              </w:rPr>
              <w:t xml:space="preserve">                                                                                                                                                                                                                                                                                                                                                                                                                                                                                                                                                                                                                                                                                                                                                                                                                                                                                                                                                                                                                                                                                                                                                                                                                                                                                                                                                                                                                                                                                                                                                                                                                                                                                                                                                                                                                                                                                                                                                                                                                                                                                                                                                                                                                                                                                                                                                                                                                                                                                                                                                                                                                                                                                                                                                                                                                                                                                                                                                                                                                                                                                      </w:t>
            </w:r>
            <w:r>
              <w:rPr>
                <w:rFonts w:hint="default" w:ascii="仿宋_GB2312" w:hAnsi="仿宋_GB2312" w:eastAsia="仿宋_GB2312" w:cs="仿宋_GB2312"/>
                <w:color w:val="000000"/>
                <w:sz w:val="24"/>
                <w:lang w:val="en-US"/>
              </w:rPr>
              <w:t>服务交接时间及地点</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69BAB47C">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1.提供服务时间：自合同约定提供服务之日起1日内办理好服务交接手续；</w:t>
            </w:r>
          </w:p>
          <w:p w14:paraId="63285894">
            <w:pPr>
              <w:spacing w:line="440" w:lineRule="exact"/>
              <w:ind w:firstLine="0" w:firstLineChars="0"/>
              <w:jc w:val="left"/>
              <w:rPr>
                <w:rFonts w:hint="default" w:ascii="仿宋_GB2312" w:hAnsi="仿宋_GB2312" w:eastAsia="仿宋_GB2312" w:cs="仿宋_GB2312"/>
                <w:bCs/>
                <w:color w:val="000000"/>
                <w:sz w:val="24"/>
                <w:lang w:val="en-US"/>
              </w:rPr>
            </w:pPr>
            <w:r>
              <w:rPr>
                <w:rFonts w:hint="eastAsia" w:ascii="仿宋_GB2312" w:hAnsi="仿宋_GB2312" w:eastAsia="仿宋_GB2312" w:cs="仿宋_GB2312"/>
                <w:sz w:val="24"/>
              </w:rPr>
              <w:t>2.服务地点：柳州市文昌路66号、瑞安路9号；柳州市鱼峰区新柳大道91号；柳州市高新一路15号、潭中东路66号、广雅路17号、三中路66号。</w:t>
            </w:r>
          </w:p>
        </w:tc>
      </w:tr>
      <w:tr w14:paraId="26E79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7A6EEFB">
            <w:pPr>
              <w:spacing w:line="440" w:lineRule="exact"/>
              <w:jc w:val="center"/>
              <w:rPr>
                <w:rFonts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30E798C">
            <w:pPr>
              <w:spacing w:line="440" w:lineRule="exact"/>
              <w:jc w:val="left"/>
              <w:rPr>
                <w:rFonts w:hint="eastAsia" w:ascii="仿宋_GB2312" w:hAnsi="仿宋_GB2312" w:eastAsia="仿宋_GB2312" w:cs="仿宋_GB2312"/>
                <w:bCs/>
                <w:color w:val="000000"/>
                <w:sz w:val="24"/>
                <w:lang w:eastAsia="zh-CN"/>
              </w:rPr>
            </w:pPr>
            <w:r>
              <w:rPr>
                <w:rFonts w:hint="eastAsia" w:ascii="仿宋_GB2312" w:hAnsi="仿宋_GB2312" w:eastAsia="仿宋_GB2312" w:cs="仿宋_GB2312"/>
                <w:bCs/>
                <w:color w:val="000000"/>
                <w:sz w:val="24"/>
              </w:rPr>
              <w:t>财政性资金按财政国库集中支付规定程序办理。
</w:t>
            </w:r>
          </w:p>
          <w:p w14:paraId="350CFFCC">
            <w:pPr>
              <w:spacing w:line="380" w:lineRule="exact"/>
              <w:ind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lang w:eastAsia="zh-CN"/>
              </w:rPr>
              <w:t>每季度结束后由采购人按《办公区高低压配电系统维保服务考核办法》（详见附件</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）对</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在办公区高低压配电系统维保服务履行情况进行实地考核。考核出现有扣款情况时以处罚通知书形式通知</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并由双方签字认可后生效（</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收到处罚通知书后需在1-3天内回复意见，截止请款月份不及时回复或不回复的，采购人可以顺延启动请款流程）。按《办公区高低压配电系统维保服务考核办法》（详见附件</w:t>
            </w:r>
            <w:r>
              <w:rPr>
                <w:rFonts w:hint="eastAsia" w:ascii="仿宋_GB2312" w:hAnsi="仿宋_GB2312" w:eastAsia="仿宋_GB2312" w:cs="仿宋_GB2312"/>
                <w:sz w:val="24"/>
                <w:lang w:val="en-US" w:eastAsia="zh-CN"/>
              </w:rPr>
              <w:t>一</w:t>
            </w:r>
            <w:r>
              <w:rPr>
                <w:rFonts w:hint="eastAsia" w:ascii="仿宋_GB2312" w:hAnsi="仿宋_GB2312" w:eastAsia="仿宋_GB2312" w:cs="仿宋_GB2312"/>
                <w:sz w:val="24"/>
                <w:lang w:eastAsia="zh-CN"/>
              </w:rPr>
              <w:t>）考核发现问题时，将相应的扣款作为违约金从服务费中扣除，</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根据考核结果应当于10个工作日内将上季度服务费合法、有效发票开具给采购人,采购人原则上自收到发票后10个工作日内将资金支付到合同约定的</w:t>
            </w:r>
            <w:r>
              <w:rPr>
                <w:rFonts w:hint="eastAsia" w:ascii="仿宋_GB2312" w:hAnsi="仿宋_GB2312" w:eastAsia="仿宋_GB2312" w:cs="仿宋_GB2312"/>
                <w:sz w:val="24"/>
                <w:lang w:val="en-US" w:eastAsia="zh-CN"/>
              </w:rPr>
              <w:t>中标人</w:t>
            </w:r>
            <w:r>
              <w:rPr>
                <w:rFonts w:hint="eastAsia" w:ascii="仿宋_GB2312" w:hAnsi="仿宋_GB2312" w:eastAsia="仿宋_GB2312" w:cs="仿宋_GB2312"/>
                <w:sz w:val="24"/>
                <w:lang w:eastAsia="zh-CN"/>
              </w:rPr>
              <w:t>账户。（季度：第一季度1-3月，第二季度4-6月，其它类推。）</w:t>
            </w:r>
          </w:p>
          <w:p w14:paraId="55FA4457">
            <w:pPr>
              <w:spacing w:line="440" w:lineRule="exact"/>
              <w:jc w:val="left"/>
              <w:rPr>
                <w:rFonts w:ascii="仿宋_GB2312" w:hAnsi="仿宋_GB2312" w:eastAsia="仿宋_GB2312" w:cs="仿宋_GB2312"/>
                <w:bCs/>
                <w:color w:val="000000"/>
                <w:sz w:val="24"/>
              </w:rPr>
            </w:pPr>
            <w:r>
              <w:rPr>
                <w:rFonts w:hint="eastAsia" w:ascii="仿宋_GB2312" w:hAnsi="仿宋_GB2312" w:eastAsia="仿宋_GB2312" w:cs="仿宋_GB2312"/>
                <w:bCs/>
                <w:color w:val="000000"/>
                <w:sz w:val="24"/>
              </w:rPr>
              <w:t>注：资金支付等事项按照《保障中小企业款项支付条例》（国务院令第728号）、《运用政府采购政策支持柳州市中小微企业发展暂行办法》要求执行。</w:t>
            </w:r>
          </w:p>
        </w:tc>
      </w:tr>
      <w:tr w14:paraId="5CAA1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572ADBB9">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32F8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DA5C9A9">
            <w:pPr>
              <w:pStyle w:val="26"/>
              <w:snapToGrid w:val="0"/>
              <w:spacing w:line="400" w:lineRule="exact"/>
              <w:jc w:val="center"/>
              <w:rPr>
                <w:rFonts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945" w:type="dxa"/>
            <w:tcBorders>
              <w:left w:val="single" w:color="auto" w:sz="4" w:space="0"/>
              <w:bottom w:val="single" w:color="auto" w:sz="4" w:space="0"/>
              <w:right w:val="single" w:color="auto" w:sz="4" w:space="0"/>
            </w:tcBorders>
            <w:noWrap w:val="0"/>
            <w:vAlign w:val="center"/>
          </w:tcPr>
          <w:p w14:paraId="128F64C8">
            <w:pPr>
              <w:spacing w:line="440" w:lineRule="exact"/>
              <w:jc w:val="left"/>
              <w:rPr>
                <w:rFonts w:hint="eastAsia" w:ascii="仿宋_GB2312" w:hAnsi="等线" w:eastAsia="仿宋_GB2312" w:cs="Arial"/>
                <w:bCs/>
                <w:sz w:val="24"/>
                <w:lang w:val="en-GB" w:eastAsia="zh-CN"/>
              </w:rPr>
            </w:pPr>
            <w:r>
              <w:rPr>
                <w:rFonts w:hint="eastAsia" w:ascii="仿宋_GB2312" w:hAnsi="等线" w:eastAsia="仿宋_GB2312" w:cs="Arial"/>
                <w:bCs/>
                <w:sz w:val="24"/>
                <w:lang w:val="en-GB"/>
              </w:rPr>
              <w:t>1.国家强制性标准及有关规定。
</w:t>
            </w:r>
          </w:p>
          <w:p w14:paraId="3D20300B">
            <w:pPr>
              <w:spacing w:line="440" w:lineRule="exact"/>
              <w:jc w:val="left"/>
              <w:rPr>
                <w:rFonts w:ascii="仿宋_GB2312" w:hAnsi="仿宋_GB2312" w:eastAsia="仿宋_GB2312" w:cs="仿宋_GB2312"/>
                <w:bCs/>
                <w:color w:val="000000"/>
                <w:sz w:val="24"/>
              </w:rPr>
            </w:pPr>
            <w:r>
              <w:rPr>
                <w:rFonts w:hint="eastAsia" w:ascii="仿宋_GB2312" w:hAnsi="等线" w:eastAsia="仿宋_GB2312" w:cs="Arial"/>
                <w:bCs/>
                <w:sz w:val="24"/>
                <w:lang w:val="en-GB"/>
              </w:rPr>
              <w:t>2.</w:t>
            </w:r>
            <w:r>
              <w:rPr>
                <w:rFonts w:ascii="仿宋_GB2312" w:hAnsi="仿宋_GB2312" w:eastAsia="仿宋_GB2312" w:cs="仿宋_GB2312"/>
                <w:bCs/>
                <w:color w:val="000000"/>
                <w:sz w:val="24"/>
              </w:rPr>
              <w:t>招标文件的采购需求及中标人投标文件响应的事项</w:t>
            </w:r>
          </w:p>
        </w:tc>
      </w:tr>
      <w:tr w14:paraId="396F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1957ED98">
            <w:pPr>
              <w:widowControl/>
              <w:snapToGrid w:val="0"/>
              <w:spacing w:before="120" w:after="120" w:line="440" w:lineRule="exact"/>
              <w:jc w:val="left"/>
              <w:rPr>
                <w:rFonts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7C84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53177BD">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88AF3FE">
            <w:pPr>
              <w:pStyle w:val="691"/>
              <w:numPr>
                <w:ilvl w:val="0"/>
                <w:numId w:val="0"/>
              </w:numPr>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根据《政府采购促进中小企业发展管理办法》（财库〔2020〕46号），本项目属于专门面向中小企业采购的项目，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09FA3DE3">
            <w:pPr>
              <w:pStyle w:val="691"/>
              <w:numPr>
                <w:ilvl w:val="0"/>
                <w:numId w:val="0"/>
              </w:numPr>
              <w:spacing w:before="0" w:beforeAutospacing="0" w:after="0" w:afterAutospacing="0" w:line="460" w:lineRule="atLeast"/>
              <w:rPr>
                <w:rFonts w:hint="eastAsia" w:ascii="仿宋_GB2312" w:eastAsia="宋体"/>
                <w:b/>
                <w:bCs/>
                <w:color w:val="000000"/>
                <w:lang w:eastAsia="zh-CN"/>
              </w:rPr>
            </w:pPr>
            <w:r>
              <w:rPr>
                <w:rFonts w:hint="eastAsia" w:ascii="仿宋_GB2312" w:eastAsia="仿宋_GB2312"/>
                <w:b/>
                <w:bCs/>
                <w:color w:val="000000"/>
              </w:rPr>
              <w:t>注：（1）采购标的对应的中小企业划分标准所属行业：</w:t>
            </w:r>
            <w:r>
              <w:rPr>
                <w:rFonts w:hint="eastAsia" w:ascii="仿宋_GB2312" w:eastAsia="仿宋_GB2312"/>
                <w:b/>
                <w:bCs/>
                <w:color w:val="000000"/>
                <w:u w:val="single"/>
                <w:lang w:eastAsia="zh-CN"/>
              </w:rPr>
              <w:t>工业</w:t>
            </w:r>
          </w:p>
          <w:p w14:paraId="3EA6FD88">
            <w:pPr>
              <w:pStyle w:val="690"/>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（2）中小企业划分有关标准根据工信部等部委发布的《关于印发中小企业划型标准规定的通知》（工信部联企业〔2011〕300号）确定；</w:t>
            </w:r>
          </w:p>
          <w:p w14:paraId="5292A04C">
            <w:pPr>
              <w:pStyle w:val="690"/>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4562D316">
            <w:pPr>
              <w:pStyle w:val="691"/>
              <w:spacing w:before="0" w:beforeAutospacing="0" w:after="0" w:afterAutospacing="0" w:line="460" w:lineRule="atLeast"/>
              <w:rPr>
                <w:rFonts w:hint="eastAsia" w:ascii="仿宋_GB2312" w:eastAsia="仿宋_GB2312"/>
                <w:color w:val="000000"/>
              </w:rPr>
            </w:pPr>
            <w:r>
              <w:rPr>
                <w:rStyle w:val="250"/>
                <w:rFonts w:hint="eastAsia" w:ascii="仿宋_GB2312" w:eastAsia="仿宋_GB2312"/>
                <w:color w:val="000000"/>
              </w:rPr>
              <w:t>自测小程序链接：https://baosong.miit.gov.cn/ScaleTest</w:t>
            </w:r>
          </w:p>
        </w:tc>
      </w:tr>
      <w:tr w14:paraId="050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14AE49EF">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0E7ECF49">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1.投标人具备有效的质量管理体系认证</w:t>
            </w:r>
            <w:r>
              <w:rPr>
                <w:rFonts w:hint="eastAsia" w:ascii="仿宋_GB2312" w:hAnsi="仿宋_GB2312" w:eastAsia="仿宋_GB2312" w:cs="仿宋_GB2312"/>
              </w:rPr>
              <w:t>证书</w:t>
            </w:r>
            <w:r>
              <w:rPr>
                <w:rFonts w:hint="eastAsia" w:ascii="仿宋_GB2312" w:eastAsia="仿宋_GB2312"/>
                <w:color w:val="000000"/>
              </w:rPr>
              <w:t>；</w:t>
            </w:r>
          </w:p>
          <w:p w14:paraId="4F9EC907">
            <w:pPr>
              <w:pStyle w:val="702"/>
              <w:spacing w:before="0" w:beforeAutospacing="0" w:after="0" w:afterAutospacing="0" w:line="460" w:lineRule="atLeast"/>
              <w:rPr>
                <w:rFonts w:ascii="仿宋_GB2312" w:eastAsia="仿宋_GB2312"/>
                <w:color w:val="000000"/>
              </w:rPr>
            </w:pPr>
            <w:r>
              <w:rPr>
                <w:rFonts w:hint="eastAsia" w:ascii="仿宋_GB2312" w:eastAsia="仿宋_GB2312"/>
                <w:color w:val="000000"/>
              </w:rPr>
              <w:t>2.投标人具备有效的职业健康安全管理体系认证</w:t>
            </w:r>
            <w:r>
              <w:rPr>
                <w:rFonts w:hint="eastAsia" w:ascii="仿宋_GB2312" w:hAnsi="仿宋_GB2312" w:eastAsia="仿宋_GB2312" w:cs="仿宋_GB2312"/>
              </w:rPr>
              <w:t>证书</w:t>
            </w:r>
            <w:r>
              <w:rPr>
                <w:rFonts w:hint="eastAsia" w:ascii="仿宋_GB2312" w:eastAsia="仿宋_GB2312"/>
                <w:color w:val="000000"/>
              </w:rPr>
              <w:t>；</w:t>
            </w:r>
          </w:p>
          <w:p w14:paraId="11C6C67D">
            <w:pPr>
              <w:pStyle w:val="69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3.投标人具备有效的环境管理体系认证</w:t>
            </w:r>
            <w:r>
              <w:rPr>
                <w:rFonts w:hint="eastAsia" w:ascii="仿宋_GB2312" w:hAnsi="仿宋_GB2312" w:eastAsia="仿宋_GB2312" w:cs="仿宋_GB2312"/>
              </w:rPr>
              <w:t>证书</w:t>
            </w:r>
            <w:r>
              <w:rPr>
                <w:rFonts w:hint="eastAsia" w:ascii="仿宋_GB2312" w:eastAsia="仿宋_GB2312"/>
                <w:color w:val="000000"/>
              </w:rPr>
              <w:t>。</w:t>
            </w:r>
          </w:p>
        </w:tc>
      </w:tr>
      <w:tr w14:paraId="6A05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7BF16268">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22B05F50">
            <w:pPr>
              <w:pStyle w:val="638"/>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投标人2021年1月1日起至今承接的同类服务项目。</w:t>
            </w:r>
          </w:p>
        </w:tc>
      </w:tr>
      <w:tr w14:paraId="2763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09F75A9A">
            <w:pPr>
              <w:pStyle w:val="26"/>
              <w:snapToGrid w:val="0"/>
              <w:spacing w:line="400" w:lineRule="exact"/>
              <w:jc w:val="center"/>
              <w:rPr>
                <w:rFonts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945" w:type="dxa"/>
            <w:tcBorders>
              <w:top w:val="single" w:color="auto" w:sz="4" w:space="0"/>
              <w:left w:val="single" w:color="auto" w:sz="4" w:space="0"/>
              <w:bottom w:val="single" w:color="auto" w:sz="4" w:space="0"/>
              <w:right w:val="single" w:color="auto" w:sz="4" w:space="0"/>
            </w:tcBorders>
            <w:noWrap w:val="0"/>
            <w:vAlign w:val="center"/>
          </w:tcPr>
          <w:p w14:paraId="550913F4">
            <w:pPr>
              <w:pStyle w:val="697"/>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w:t>
            </w:r>
            <w:r>
              <w:rPr>
                <w:rFonts w:hint="default" w:ascii="仿宋_GB2312" w:eastAsia="仿宋_GB2312"/>
                <w:color w:val="000000"/>
                <w:lang w:val="en-US" w:eastAsia="zh-CN"/>
              </w:rPr>
              <w:t>四</w:t>
            </w:r>
            <w:r>
              <w:rPr>
                <w:rFonts w:hint="eastAsia" w:ascii="仿宋_GB2312" w:eastAsia="仿宋_GB2312"/>
                <w:color w:val="000000"/>
              </w:rPr>
              <w:t>章 评标方法及评标标准中的“人员配置方案”要求。</w:t>
            </w:r>
          </w:p>
        </w:tc>
      </w:tr>
      <w:tr w14:paraId="50E4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2"/>
            <w:tcBorders>
              <w:top w:val="single" w:color="auto" w:sz="4" w:space="0"/>
              <w:left w:val="single" w:color="auto" w:sz="4" w:space="0"/>
              <w:bottom w:val="single" w:color="auto" w:sz="4" w:space="0"/>
              <w:right w:val="single" w:color="auto" w:sz="4" w:space="0"/>
            </w:tcBorders>
            <w:noWrap w:val="0"/>
            <w:vAlign w:val="center"/>
          </w:tcPr>
          <w:p w14:paraId="372A7801">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04D1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359" w:type="dxa"/>
            <w:tcBorders>
              <w:top w:val="single" w:color="auto" w:sz="4" w:space="0"/>
              <w:left w:val="single" w:color="auto" w:sz="4" w:space="0"/>
              <w:bottom w:val="single" w:color="auto" w:sz="4" w:space="0"/>
              <w:right w:val="single" w:color="auto" w:sz="4" w:space="0"/>
            </w:tcBorders>
            <w:noWrap w:val="0"/>
            <w:vAlign w:val="center"/>
          </w:tcPr>
          <w:p w14:paraId="65D70AB6">
            <w:pPr>
              <w:jc w:val="center"/>
              <w:rPr>
                <w:rFonts w:hint="eastAsia" w:ascii="仿宋_GB2312" w:hAnsi="宋体" w:eastAsia="仿宋_GB2312" w:cs="宋体"/>
                <w:bCs/>
                <w:color w:val="000000"/>
                <w:sz w:val="24"/>
                <w:lang w:eastAsia="zh-CN"/>
              </w:rPr>
            </w:pPr>
            <w:r>
              <w:rPr>
                <w:rFonts w:hint="eastAsia" w:ascii="仿宋_GB2312" w:hAnsi="宋体" w:eastAsia="仿宋_GB2312" w:cs="宋体"/>
                <w:bCs/>
                <w:color w:val="000000"/>
                <w:sz w:val="24"/>
                <w:lang w:eastAsia="zh-CN"/>
              </w:rPr>
              <w:t>踏勘</w:t>
            </w:r>
          </w:p>
        </w:tc>
        <w:tc>
          <w:tcPr>
            <w:tcW w:w="7945" w:type="dxa"/>
            <w:tcBorders>
              <w:left w:val="single" w:color="auto" w:sz="4" w:space="0"/>
              <w:bottom w:val="single" w:color="auto" w:sz="4" w:space="0"/>
              <w:right w:val="single" w:color="auto" w:sz="4" w:space="0"/>
            </w:tcBorders>
            <w:noWrap w:val="0"/>
            <w:vAlign w:val="center"/>
          </w:tcPr>
          <w:p w14:paraId="16C092C5">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r>
              <w:rPr>
                <w:rFonts w:ascii="仿宋_GB2312" w:eastAsia="仿宋_GB2312"/>
                <w:bCs/>
                <w:color w:val="000000"/>
                <w:kern w:val="0"/>
                <w:sz w:val="24"/>
              </w:rPr>
              <w:t>为便于投标人详细了解本项目服务场地设置现场勘察，投标人应在报价、项目服务方案中给予充分考虑。
</w:t>
            </w:r>
            <w:r>
              <w:rPr>
                <w:rFonts w:ascii="仿宋_GB2312" w:eastAsia="仿宋_GB2312"/>
                <w:bCs/>
                <w:color w:val="000000"/>
                <w:kern w:val="0"/>
                <w:sz w:val="24"/>
              </w:rPr>
              <w:br w:type="textWrapping"/>
            </w:r>
            <w:r>
              <w:rPr>
                <w:rFonts w:ascii="仿宋_GB2312" w:eastAsia="仿宋_GB2312"/>
                <w:bCs/>
                <w:color w:val="000000"/>
                <w:kern w:val="0"/>
                <w:sz w:val="24"/>
              </w:rPr>
              <w:t>（1）</w:t>
            </w:r>
            <w:r>
              <w:rPr>
                <w:rFonts w:ascii="仿宋_GB2312" w:eastAsia="仿宋_GB2312"/>
                <w:bCs/>
                <w:color w:val="000000"/>
                <w:kern w:val="0"/>
                <w:sz w:val="24"/>
                <w:highlight w:val="none"/>
                <w:shd w:val="clear"/>
              </w:rPr>
              <w:t>踏勘时间：请于202</w:t>
            </w:r>
            <w:r>
              <w:rPr>
                <w:rFonts w:hint="eastAsia" w:ascii="仿宋_GB2312" w:eastAsia="仿宋_GB2312"/>
                <w:bCs/>
                <w:color w:val="000000"/>
                <w:kern w:val="0"/>
                <w:sz w:val="24"/>
                <w:highlight w:val="none"/>
                <w:shd w:val="clear"/>
                <w:lang w:val="en-US" w:eastAsia="zh-CN"/>
              </w:rPr>
              <w:t>5</w:t>
            </w:r>
            <w:r>
              <w:rPr>
                <w:rFonts w:ascii="仿宋_GB2312" w:eastAsia="仿宋_GB2312"/>
                <w:bCs/>
                <w:color w:val="000000"/>
                <w:kern w:val="0"/>
                <w:sz w:val="24"/>
                <w:highlight w:val="none"/>
                <w:shd w:val="clear"/>
              </w:rPr>
              <w:t>年</w:t>
            </w:r>
            <w:r>
              <w:rPr>
                <w:rFonts w:hint="eastAsia" w:ascii="仿宋_GB2312" w:eastAsia="仿宋_GB2312"/>
                <w:bCs/>
                <w:color w:val="000000"/>
                <w:kern w:val="0"/>
                <w:sz w:val="24"/>
                <w:highlight w:val="none"/>
                <w:shd w:val="clear"/>
                <w:lang w:val="en-US" w:eastAsia="zh-CN"/>
              </w:rPr>
              <w:t>X</w:t>
            </w:r>
            <w:r>
              <w:rPr>
                <w:rFonts w:ascii="仿宋_GB2312" w:eastAsia="仿宋_GB2312"/>
                <w:bCs/>
                <w:color w:val="000000"/>
                <w:kern w:val="0"/>
                <w:sz w:val="24"/>
                <w:highlight w:val="none"/>
                <w:shd w:val="clear"/>
              </w:rPr>
              <w:t>月</w:t>
            </w:r>
            <w:r>
              <w:rPr>
                <w:rFonts w:hint="eastAsia" w:ascii="仿宋_GB2312" w:eastAsia="仿宋_GB2312"/>
                <w:bCs/>
                <w:color w:val="000000"/>
                <w:kern w:val="0"/>
                <w:sz w:val="24"/>
                <w:highlight w:val="none"/>
                <w:shd w:val="clear"/>
                <w:lang w:val="en-US" w:eastAsia="zh-CN"/>
              </w:rPr>
              <w:t>XX</w:t>
            </w:r>
            <w:r>
              <w:rPr>
                <w:rFonts w:ascii="仿宋_GB2312" w:eastAsia="仿宋_GB2312"/>
                <w:bCs/>
                <w:color w:val="000000"/>
                <w:kern w:val="0"/>
                <w:sz w:val="24"/>
                <w:highlight w:val="none"/>
                <w:shd w:val="clear"/>
              </w:rPr>
              <w:t>日</w:t>
            </w:r>
            <w:r>
              <w:rPr>
                <w:rFonts w:hint="eastAsia" w:ascii="仿宋_GB2312" w:eastAsia="仿宋_GB2312"/>
                <w:bCs/>
                <w:color w:val="000000"/>
                <w:kern w:val="0"/>
                <w:sz w:val="24"/>
                <w:highlight w:val="none"/>
                <w:shd w:val="clear"/>
                <w:lang w:val="en-US" w:eastAsia="zh-CN"/>
              </w:rPr>
              <w:t>9:30前</w:t>
            </w:r>
            <w:r>
              <w:rPr>
                <w:rFonts w:ascii="仿宋_GB2312" w:eastAsia="仿宋_GB2312"/>
                <w:bCs/>
                <w:color w:val="000000"/>
                <w:kern w:val="0"/>
                <w:sz w:val="24"/>
                <w:highlight w:val="none"/>
                <w:shd w:val="clear"/>
              </w:rPr>
              <w:t>到达现场</w:t>
            </w:r>
            <w:r>
              <w:rPr>
                <w:rFonts w:hint="eastAsia" w:ascii="仿宋_GB2312" w:eastAsia="仿宋_GB2312"/>
                <w:bCs/>
                <w:color w:val="000000"/>
                <w:kern w:val="0"/>
                <w:sz w:val="24"/>
                <w:highlight w:val="none"/>
                <w:shd w:val="clear"/>
                <w:lang w:eastAsia="zh-CN"/>
              </w:rPr>
              <w:t>，完成签到</w:t>
            </w:r>
            <w:r>
              <w:rPr>
                <w:rFonts w:ascii="仿宋_GB2312" w:eastAsia="仿宋_GB2312"/>
                <w:bCs/>
                <w:color w:val="000000"/>
                <w:kern w:val="0"/>
                <w:sz w:val="24"/>
                <w:highlight w:val="none"/>
                <w:shd w:val="clear"/>
              </w:rPr>
              <w:t>；</w:t>
            </w:r>
            <w:r>
              <w:rPr>
                <w:rFonts w:ascii="仿宋_GB2312" w:eastAsia="仿宋_GB2312"/>
                <w:bCs/>
                <w:color w:val="000000"/>
                <w:kern w:val="0"/>
                <w:sz w:val="24"/>
                <w:highlight w:val="none"/>
                <w:shd w:val="clear" w:fill="000000"/>
              </w:rPr>
              <w:br w:type="textWrapping"/>
            </w:r>
            <w:r>
              <w:rPr>
                <w:rFonts w:ascii="仿宋_GB2312" w:eastAsia="仿宋_GB2312"/>
                <w:bCs/>
                <w:color w:val="000000"/>
                <w:kern w:val="0"/>
                <w:sz w:val="24"/>
              </w:rPr>
              <w:t>（2）踏勘地点：</w:t>
            </w:r>
            <w:r>
              <w:rPr>
                <w:rFonts w:hint="eastAsia" w:ascii="仿宋_GB2312" w:eastAsia="仿宋_GB2312"/>
                <w:bCs/>
                <w:color w:val="000000"/>
                <w:kern w:val="0"/>
                <w:sz w:val="24"/>
                <w:lang w:val="en-US" w:eastAsia="zh-CN"/>
              </w:rPr>
              <w:t>柳州市城中区文昌路66号文昌综合楼北门一楼大厅</w:t>
            </w:r>
            <w:r>
              <w:rPr>
                <w:rFonts w:hint="eastAsia" w:ascii="仿宋_GB2312" w:eastAsia="仿宋_GB2312"/>
                <w:bCs/>
                <w:color w:val="000000"/>
                <w:kern w:val="0"/>
                <w:sz w:val="24"/>
                <w:lang w:eastAsia="zh-CN"/>
              </w:rPr>
              <w:t>；</w:t>
            </w:r>
            <w:r>
              <w:rPr>
                <w:rFonts w:ascii="仿宋_GB2312" w:eastAsia="仿宋_GB2312"/>
                <w:bCs/>
                <w:color w:val="000000"/>
                <w:kern w:val="0"/>
                <w:sz w:val="24"/>
              </w:rPr>
              <w:br w:type="textWrapping"/>
            </w:r>
            <w:r>
              <w:rPr>
                <w:rFonts w:ascii="仿宋_GB2312" w:eastAsia="仿宋_GB2312"/>
                <w:bCs/>
                <w:color w:val="000000"/>
                <w:kern w:val="0"/>
                <w:sz w:val="24"/>
              </w:rPr>
              <w:t>（3）联系人及电话：</w:t>
            </w:r>
            <w:r>
              <w:rPr>
                <w:rFonts w:hint="eastAsia" w:ascii="仿宋_GB2312" w:eastAsia="仿宋_GB2312"/>
                <w:bCs/>
                <w:color w:val="000000"/>
                <w:kern w:val="0"/>
                <w:sz w:val="24"/>
                <w:lang w:val="en-US" w:eastAsia="zh-CN"/>
              </w:rPr>
              <w:t>陈工</w:t>
            </w:r>
            <w:r>
              <w:rPr>
                <w:rFonts w:ascii="仿宋_GB2312" w:eastAsia="仿宋_GB2312"/>
                <w:bCs/>
                <w:color w:val="000000"/>
                <w:kern w:val="0"/>
                <w:sz w:val="24"/>
              </w:rPr>
              <w:t>，</w:t>
            </w:r>
            <w:r>
              <w:rPr>
                <w:rFonts w:hint="eastAsia" w:ascii="仿宋_GB2312" w:eastAsia="仿宋_GB2312"/>
                <w:bCs/>
                <w:color w:val="000000"/>
                <w:kern w:val="0"/>
                <w:sz w:val="24"/>
                <w:lang w:val="en-US" w:eastAsia="zh-CN"/>
              </w:rPr>
              <w:t>0772-2660286</w:t>
            </w:r>
            <w:r>
              <w:rPr>
                <w:rFonts w:ascii="仿宋_GB2312" w:eastAsia="仿宋_GB2312"/>
                <w:bCs/>
                <w:color w:val="000000"/>
                <w:kern w:val="0"/>
                <w:sz w:val="24"/>
              </w:rPr>
              <w:t>；
</w:t>
            </w:r>
            <w:r>
              <w:rPr>
                <w:rFonts w:ascii="仿宋_GB2312" w:eastAsia="仿宋_GB2312"/>
                <w:bCs/>
                <w:color w:val="000000"/>
                <w:kern w:val="0"/>
                <w:sz w:val="24"/>
              </w:rPr>
              <w:br w:type="textWrapping"/>
            </w:r>
            <w:r>
              <w:rPr>
                <w:rFonts w:ascii="仿宋_GB2312" w:eastAsia="仿宋_GB2312"/>
                <w:bCs/>
                <w:color w:val="000000"/>
                <w:kern w:val="0"/>
                <w:sz w:val="24"/>
              </w:rPr>
              <w:t>（4）请按踏勘时间在踏勘地点集合，</w:t>
            </w:r>
            <w:bookmarkStart w:id="73" w:name="_GoBack"/>
            <w:bookmarkEnd w:id="73"/>
            <w:r>
              <w:rPr>
                <w:rFonts w:ascii="仿宋_GB2312" w:eastAsia="仿宋_GB2312"/>
                <w:bCs/>
                <w:color w:val="000000"/>
                <w:kern w:val="0"/>
                <w:sz w:val="24"/>
              </w:rPr>
              <w:t>采购人将统一带领前来踏勘的投标人前往现场勘察，逾期不予接待。</w:t>
            </w:r>
          </w:p>
        </w:tc>
      </w:tr>
    </w:tbl>
    <w:p w14:paraId="41265FC1">
      <w:pPr>
        <w:sectPr>
          <w:pgSz w:w="11906" w:h="16838"/>
          <w:pgMar w:top="1440" w:right="1440" w:bottom="1440" w:left="1440" w:header="851" w:footer="992" w:gutter="0"/>
          <w:cols w:space="720" w:num="1"/>
          <w:docGrid w:linePitch="312" w:charSpace="0"/>
        </w:sectPr>
      </w:pPr>
    </w:p>
    <w:p w14:paraId="22DC9F18">
      <w:pPr>
        <w:spacing w:line="400" w:lineRule="exact"/>
        <w:ind w:right="42" w:rightChars="20"/>
        <w:rPr>
          <w:rFonts w:hint="eastAsia" w:ascii="仿宋_GB2312" w:hAnsi="仿宋_GB2312" w:eastAsia="仿宋_GB2312" w:cs="仿宋_GB2312"/>
          <w:b/>
          <w:bCs/>
          <w:sz w:val="24"/>
        </w:rPr>
      </w:pPr>
      <w:bookmarkStart w:id="24" w:name="_Toc29711"/>
      <w:r>
        <w:rPr>
          <w:rFonts w:hint="eastAsia" w:ascii="仿宋_GB2312" w:hAnsi="仿宋_GB2312" w:eastAsia="仿宋_GB2312" w:cs="仿宋_GB2312"/>
          <w:b/>
          <w:bCs/>
          <w:sz w:val="24"/>
        </w:rPr>
        <w:t>★附件一：</w:t>
      </w:r>
    </w:p>
    <w:p w14:paraId="0607A8FC">
      <w:pPr>
        <w:spacing w:line="400" w:lineRule="exact"/>
        <w:ind w:right="-113" w:rightChars="-54"/>
        <w:jc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办公区高低压配电系统维保服务考核办法</w:t>
      </w:r>
    </w:p>
    <w:p w14:paraId="51A00B08">
      <w:pPr>
        <w:spacing w:line="400" w:lineRule="exact"/>
        <w:ind w:right="-113" w:rightChars="-54"/>
        <w:rPr>
          <w:rFonts w:hint="eastAsia" w:ascii="仿宋_GB2312" w:hAnsi="仿宋_GB2312" w:eastAsia="仿宋_GB2312" w:cs="仿宋_GB2312"/>
          <w:b/>
          <w:color w:val="000000"/>
          <w:sz w:val="24"/>
        </w:rPr>
      </w:pPr>
    </w:p>
    <w:p w14:paraId="64872A84">
      <w:pPr>
        <w:spacing w:line="400" w:lineRule="exact"/>
        <w:ind w:right="-113" w:rightChars="-54"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根据柳州市</w:t>
      </w:r>
      <w:r>
        <w:rPr>
          <w:rFonts w:hint="eastAsia" w:ascii="仿宋_GB2312" w:hAnsi="仿宋_GB2312" w:eastAsia="仿宋_GB2312" w:cs="仿宋_GB2312"/>
          <w:bCs/>
          <w:color w:val="000000"/>
          <w:sz w:val="24"/>
        </w:rPr>
        <w:t>文昌路66号、瑞安路</w:t>
      </w:r>
      <w:r>
        <w:rPr>
          <w:rFonts w:hint="eastAsia" w:ascii="仿宋_GB2312" w:hAnsi="仿宋_GB2312" w:eastAsia="仿宋_GB2312" w:cs="仿宋_GB2312"/>
          <w:color w:val="000000"/>
          <w:sz w:val="24"/>
        </w:rPr>
        <w:t>9号等办公区高低压配电系统维保服务采购项目的工作需要，订立本《办公区高低压配电系统维保服务考核办法》，内容如下：</w:t>
      </w:r>
    </w:p>
    <w:p w14:paraId="4C5AA7DB">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一、考核内容</w:t>
      </w:r>
    </w:p>
    <w:tbl>
      <w:tblPr>
        <w:tblStyle w:val="48"/>
        <w:tblW w:w="0" w:type="auto"/>
        <w:jc w:val="center"/>
        <w:tblLayout w:type="fixed"/>
        <w:tblCellMar>
          <w:top w:w="0" w:type="dxa"/>
          <w:left w:w="108" w:type="dxa"/>
          <w:bottom w:w="0" w:type="dxa"/>
          <w:right w:w="108" w:type="dxa"/>
        </w:tblCellMar>
      </w:tblPr>
      <w:tblGrid>
        <w:gridCol w:w="721"/>
        <w:gridCol w:w="919"/>
        <w:gridCol w:w="7060"/>
      </w:tblGrid>
      <w:tr w14:paraId="7BAD2CA2">
        <w:tblPrEx>
          <w:tblCellMar>
            <w:top w:w="0" w:type="dxa"/>
            <w:left w:w="108" w:type="dxa"/>
            <w:bottom w:w="0" w:type="dxa"/>
            <w:right w:w="108" w:type="dxa"/>
          </w:tblCellMar>
        </w:tblPrEx>
        <w:trPr>
          <w:trHeight w:val="324" w:hRule="atLeast"/>
          <w:jc w:val="center"/>
        </w:trPr>
        <w:tc>
          <w:tcPr>
            <w:tcW w:w="721" w:type="dxa"/>
            <w:tcBorders>
              <w:top w:val="single" w:color="auto" w:sz="8" w:space="0"/>
              <w:left w:val="single" w:color="auto" w:sz="8" w:space="0"/>
              <w:bottom w:val="single" w:color="auto" w:sz="8" w:space="0"/>
              <w:right w:val="single" w:color="auto" w:sz="8" w:space="0"/>
            </w:tcBorders>
            <w:noWrap w:val="0"/>
            <w:vAlign w:val="center"/>
          </w:tcPr>
          <w:p w14:paraId="3278BA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序号</w:t>
            </w:r>
          </w:p>
        </w:tc>
        <w:tc>
          <w:tcPr>
            <w:tcW w:w="919" w:type="dxa"/>
            <w:tcBorders>
              <w:top w:val="single" w:color="auto" w:sz="8" w:space="0"/>
              <w:left w:val="nil"/>
              <w:bottom w:val="single" w:color="auto" w:sz="8" w:space="0"/>
              <w:right w:val="single" w:color="auto" w:sz="8" w:space="0"/>
            </w:tcBorders>
            <w:noWrap w:val="0"/>
            <w:vAlign w:val="center"/>
          </w:tcPr>
          <w:p w14:paraId="10BB4B9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w:t>
            </w:r>
          </w:p>
        </w:tc>
        <w:tc>
          <w:tcPr>
            <w:tcW w:w="7060" w:type="dxa"/>
            <w:tcBorders>
              <w:top w:val="single" w:color="auto" w:sz="8" w:space="0"/>
              <w:left w:val="nil"/>
              <w:bottom w:val="single" w:color="auto" w:sz="8" w:space="0"/>
              <w:right w:val="single" w:color="auto" w:sz="8" w:space="0"/>
            </w:tcBorders>
            <w:noWrap w:val="0"/>
            <w:vAlign w:val="center"/>
          </w:tcPr>
          <w:p w14:paraId="57DA4DBE">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维护保养要求</w:t>
            </w:r>
          </w:p>
        </w:tc>
      </w:tr>
      <w:tr w14:paraId="046B4EBA">
        <w:tblPrEx>
          <w:tblCellMar>
            <w:top w:w="0" w:type="dxa"/>
            <w:left w:w="108" w:type="dxa"/>
            <w:bottom w:w="0" w:type="dxa"/>
            <w:right w:w="108" w:type="dxa"/>
          </w:tblCellMar>
        </w:tblPrEx>
        <w:trPr>
          <w:trHeight w:val="672" w:hRule="atLeast"/>
          <w:jc w:val="center"/>
        </w:trPr>
        <w:tc>
          <w:tcPr>
            <w:tcW w:w="721" w:type="dxa"/>
            <w:tcBorders>
              <w:top w:val="nil"/>
              <w:left w:val="single" w:color="auto" w:sz="8" w:space="0"/>
              <w:bottom w:val="single" w:color="auto" w:sz="4" w:space="0"/>
              <w:right w:val="single" w:color="auto" w:sz="8" w:space="0"/>
            </w:tcBorders>
            <w:noWrap w:val="0"/>
            <w:vAlign w:val="center"/>
          </w:tcPr>
          <w:p w14:paraId="3E3EB2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919" w:type="dxa"/>
            <w:tcBorders>
              <w:top w:val="nil"/>
              <w:left w:val="nil"/>
              <w:bottom w:val="single" w:color="auto" w:sz="4" w:space="0"/>
              <w:right w:val="single" w:color="auto" w:sz="8" w:space="0"/>
            </w:tcBorders>
            <w:noWrap w:val="0"/>
            <w:vAlign w:val="center"/>
          </w:tcPr>
          <w:p w14:paraId="06F807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人员</w:t>
            </w:r>
          </w:p>
          <w:p w14:paraId="087065F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配备</w:t>
            </w:r>
          </w:p>
        </w:tc>
        <w:tc>
          <w:tcPr>
            <w:tcW w:w="7060" w:type="dxa"/>
            <w:tcBorders>
              <w:top w:val="nil"/>
              <w:left w:val="nil"/>
              <w:bottom w:val="single" w:color="auto" w:sz="4" w:space="0"/>
              <w:right w:val="single" w:color="auto" w:sz="8" w:space="0"/>
            </w:tcBorders>
            <w:noWrap w:val="0"/>
            <w:vAlign w:val="center"/>
          </w:tcPr>
          <w:p w14:paraId="271946AF">
            <w:pPr>
              <w:widowControl/>
              <w:spacing w:line="4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维保技术员11名（含项目负责人），每班2人（具体人员要求见需求），每天对设施设备进行巡检或保养服务，并记录好运行数据。</w:t>
            </w:r>
          </w:p>
        </w:tc>
      </w:tr>
      <w:tr w14:paraId="154A721E">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8" w:space="0"/>
              <w:right w:val="single" w:color="auto" w:sz="8" w:space="0"/>
            </w:tcBorders>
            <w:noWrap w:val="0"/>
            <w:vAlign w:val="center"/>
          </w:tcPr>
          <w:p w14:paraId="15F903C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919" w:type="dxa"/>
            <w:tcBorders>
              <w:top w:val="single" w:color="auto" w:sz="4" w:space="0"/>
              <w:left w:val="nil"/>
              <w:bottom w:val="single" w:color="auto" w:sz="8" w:space="0"/>
              <w:right w:val="single" w:color="auto" w:sz="8" w:space="0"/>
            </w:tcBorders>
            <w:noWrap w:val="0"/>
            <w:vAlign w:val="center"/>
          </w:tcPr>
          <w:p w14:paraId="16F9448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工作</w:t>
            </w:r>
          </w:p>
          <w:p w14:paraId="19E63B4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纪律</w:t>
            </w:r>
          </w:p>
        </w:tc>
        <w:tc>
          <w:tcPr>
            <w:tcW w:w="7060" w:type="dxa"/>
            <w:tcBorders>
              <w:top w:val="single" w:color="auto" w:sz="4" w:space="0"/>
              <w:left w:val="nil"/>
              <w:bottom w:val="single" w:color="auto" w:sz="8" w:space="0"/>
              <w:right w:val="single" w:color="auto" w:sz="8" w:space="0"/>
            </w:tcBorders>
            <w:noWrap w:val="0"/>
            <w:vAlign w:val="center"/>
          </w:tcPr>
          <w:p w14:paraId="50095D3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要求各项规章制度，着装规范，严格执行合同维护保养条例，坚守岗位。</w:t>
            </w:r>
          </w:p>
        </w:tc>
      </w:tr>
      <w:tr w14:paraId="2CB71CED">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7C6663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919" w:type="dxa"/>
            <w:vMerge w:val="restart"/>
            <w:tcBorders>
              <w:top w:val="nil"/>
              <w:left w:val="single" w:color="auto" w:sz="8" w:space="0"/>
              <w:bottom w:val="single" w:color="000000" w:sz="8" w:space="0"/>
              <w:right w:val="single" w:color="auto" w:sz="8" w:space="0"/>
            </w:tcBorders>
            <w:noWrap w:val="0"/>
            <w:vAlign w:val="center"/>
          </w:tcPr>
          <w:p w14:paraId="273088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w:t>
            </w:r>
          </w:p>
          <w:p w14:paraId="725EEF7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72DC081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开</w:t>
            </w:r>
          </w:p>
          <w:p w14:paraId="306D7A5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关</w:t>
            </w:r>
          </w:p>
        </w:tc>
        <w:tc>
          <w:tcPr>
            <w:tcW w:w="7060" w:type="dxa"/>
            <w:tcBorders>
              <w:top w:val="nil"/>
              <w:left w:val="nil"/>
              <w:bottom w:val="single" w:color="auto" w:sz="8" w:space="0"/>
              <w:right w:val="single" w:color="auto" w:sz="8" w:space="0"/>
            </w:tcBorders>
            <w:noWrap w:val="0"/>
            <w:vAlign w:val="center"/>
          </w:tcPr>
          <w:p w14:paraId="163F900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检查主回路接头，继电保护装置，仪表及指示灯、负荷是否正常。</w:t>
            </w:r>
          </w:p>
        </w:tc>
      </w:tr>
      <w:tr w14:paraId="18EF5B70">
        <w:tblPrEx>
          <w:tblCellMar>
            <w:top w:w="0" w:type="dxa"/>
            <w:left w:w="108" w:type="dxa"/>
            <w:bottom w:w="0" w:type="dxa"/>
            <w:right w:w="108" w:type="dxa"/>
          </w:tblCellMar>
        </w:tblPrEx>
        <w:trPr>
          <w:trHeight w:val="372"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DDAB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919" w:type="dxa"/>
            <w:vMerge w:val="continue"/>
            <w:tcBorders>
              <w:top w:val="nil"/>
              <w:left w:val="single" w:color="auto" w:sz="8" w:space="0"/>
              <w:bottom w:val="single" w:color="000000" w:sz="8" w:space="0"/>
              <w:right w:val="single" w:color="auto" w:sz="8" w:space="0"/>
            </w:tcBorders>
            <w:noWrap w:val="0"/>
            <w:vAlign w:val="center"/>
          </w:tcPr>
          <w:p w14:paraId="311BDB7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D0190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有无高压打火放电现象。</w:t>
            </w:r>
          </w:p>
        </w:tc>
      </w:tr>
      <w:tr w14:paraId="3AB37BE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7D73CBD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919" w:type="dxa"/>
            <w:vMerge w:val="continue"/>
            <w:tcBorders>
              <w:top w:val="nil"/>
              <w:left w:val="single" w:color="auto" w:sz="8" w:space="0"/>
              <w:bottom w:val="single" w:color="000000" w:sz="8" w:space="0"/>
              <w:right w:val="single" w:color="auto" w:sz="8" w:space="0"/>
            </w:tcBorders>
            <w:noWrap w:val="0"/>
            <w:vAlign w:val="center"/>
          </w:tcPr>
          <w:p w14:paraId="60BEA85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D3AA66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检查各块仪表指示是否正常，与现运行方式是否相符。</w:t>
            </w:r>
          </w:p>
        </w:tc>
      </w:tr>
      <w:tr w14:paraId="122F5F68">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CB1327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39C90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375868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检查各继电保护应处于正常运行状态，无异常。</w:t>
            </w:r>
          </w:p>
        </w:tc>
      </w:tr>
      <w:tr w14:paraId="439CA125">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11C9B6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E4A0E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7DDB54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通过观察口检查各连接部位应无过热现象，绝缘表面无闪络放电痕迹，表面光洁、完好无损。</w:t>
            </w:r>
          </w:p>
        </w:tc>
      </w:tr>
      <w:tr w14:paraId="7066D9C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3278BE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919" w:type="dxa"/>
            <w:vMerge w:val="continue"/>
            <w:tcBorders>
              <w:top w:val="nil"/>
              <w:left w:val="single" w:color="auto" w:sz="8" w:space="0"/>
              <w:bottom w:val="single" w:color="000000" w:sz="8" w:space="0"/>
              <w:right w:val="single" w:color="auto" w:sz="8" w:space="0"/>
            </w:tcBorders>
            <w:noWrap w:val="0"/>
            <w:vAlign w:val="center"/>
          </w:tcPr>
          <w:p w14:paraId="3BA589B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8E51BC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检查接地系统无腐蚀断裂，接头无松动过热现象。</w:t>
            </w:r>
          </w:p>
        </w:tc>
      </w:tr>
      <w:tr w14:paraId="04499FB2">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01EC4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919" w:type="dxa"/>
            <w:vMerge w:val="continue"/>
            <w:tcBorders>
              <w:top w:val="nil"/>
              <w:left w:val="single" w:color="auto" w:sz="8" w:space="0"/>
              <w:bottom w:val="single" w:color="000000" w:sz="8" w:space="0"/>
              <w:right w:val="single" w:color="auto" w:sz="8" w:space="0"/>
            </w:tcBorders>
            <w:noWrap w:val="0"/>
            <w:vAlign w:val="center"/>
          </w:tcPr>
          <w:p w14:paraId="17F895A0">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CDB06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检查分合闸回路电源及其熔断器应正常完好。</w:t>
            </w:r>
          </w:p>
        </w:tc>
      </w:tr>
      <w:tr w14:paraId="06BB095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3F19F9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919" w:type="dxa"/>
            <w:vMerge w:val="continue"/>
            <w:tcBorders>
              <w:top w:val="nil"/>
              <w:left w:val="single" w:color="auto" w:sz="8" w:space="0"/>
              <w:bottom w:val="single" w:color="000000" w:sz="8" w:space="0"/>
              <w:right w:val="single" w:color="auto" w:sz="8" w:space="0"/>
            </w:tcBorders>
            <w:noWrap w:val="0"/>
            <w:vAlign w:val="center"/>
          </w:tcPr>
          <w:p w14:paraId="3C729A5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E0923F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检查避雷器，绝缘套管应无裂纹破损及闪络痕迹，内部无异常声响。</w:t>
            </w:r>
          </w:p>
        </w:tc>
      </w:tr>
      <w:tr w14:paraId="26313293">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315CDE8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919" w:type="dxa"/>
            <w:vMerge w:val="continue"/>
            <w:tcBorders>
              <w:top w:val="nil"/>
              <w:left w:val="single" w:color="auto" w:sz="8" w:space="0"/>
              <w:bottom w:val="single" w:color="000000" w:sz="8" w:space="0"/>
              <w:right w:val="single" w:color="auto" w:sz="8" w:space="0"/>
            </w:tcBorders>
            <w:noWrap w:val="0"/>
            <w:vAlign w:val="center"/>
          </w:tcPr>
          <w:p w14:paraId="61CCE7A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1E9D7D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检查各开关柜门是否关闭牢固，以免小动物窜入。</w:t>
            </w:r>
          </w:p>
        </w:tc>
      </w:tr>
      <w:tr w14:paraId="568931F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91DA7D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919" w:type="dxa"/>
            <w:vMerge w:val="restart"/>
            <w:tcBorders>
              <w:top w:val="nil"/>
              <w:left w:val="single" w:color="auto" w:sz="8" w:space="0"/>
              <w:bottom w:val="single" w:color="000000" w:sz="8" w:space="0"/>
              <w:right w:val="single" w:color="auto" w:sz="8" w:space="0"/>
            </w:tcBorders>
            <w:noWrap w:val="0"/>
            <w:vAlign w:val="center"/>
          </w:tcPr>
          <w:p w14:paraId="6458D9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直</w:t>
            </w:r>
          </w:p>
          <w:p w14:paraId="393C67F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流</w:t>
            </w:r>
          </w:p>
          <w:p w14:paraId="09BF02E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05DB3D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源</w:t>
            </w:r>
          </w:p>
          <w:p w14:paraId="2C60B96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0F0C771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电压电流表、指示仪表、蓄电池及接头、控制器及显示屏等。</w:t>
            </w:r>
          </w:p>
        </w:tc>
      </w:tr>
      <w:tr w14:paraId="0E71CCDA">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9A6B1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919" w:type="dxa"/>
            <w:vMerge w:val="continue"/>
            <w:tcBorders>
              <w:top w:val="nil"/>
              <w:left w:val="single" w:color="auto" w:sz="8" w:space="0"/>
              <w:bottom w:val="single" w:color="000000" w:sz="8" w:space="0"/>
              <w:right w:val="single" w:color="auto" w:sz="8" w:space="0"/>
            </w:tcBorders>
            <w:noWrap w:val="0"/>
            <w:vAlign w:val="center"/>
          </w:tcPr>
          <w:p w14:paraId="0BFCE9D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94D4F2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检查各指示灯是否与现运行方式相符。</w:t>
            </w:r>
          </w:p>
        </w:tc>
      </w:tr>
      <w:tr w14:paraId="1FB9421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896593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919" w:type="dxa"/>
            <w:vMerge w:val="continue"/>
            <w:tcBorders>
              <w:top w:val="nil"/>
              <w:left w:val="single" w:color="auto" w:sz="8" w:space="0"/>
              <w:bottom w:val="single" w:color="000000" w:sz="8" w:space="0"/>
              <w:right w:val="single" w:color="auto" w:sz="8" w:space="0"/>
            </w:tcBorders>
            <w:noWrap w:val="0"/>
            <w:vAlign w:val="center"/>
          </w:tcPr>
          <w:p w14:paraId="4C10AA9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80F9CB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打开后盖，检查柜内元件有无松动、过热、放电现象。</w:t>
            </w:r>
          </w:p>
        </w:tc>
      </w:tr>
      <w:tr w14:paraId="24DEE0A7">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5F9429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919" w:type="dxa"/>
            <w:vMerge w:val="continue"/>
            <w:tcBorders>
              <w:top w:val="nil"/>
              <w:left w:val="single" w:color="auto" w:sz="8" w:space="0"/>
              <w:bottom w:val="single" w:color="000000" w:sz="8" w:space="0"/>
              <w:right w:val="single" w:color="auto" w:sz="8" w:space="0"/>
            </w:tcBorders>
            <w:noWrap w:val="0"/>
            <w:vAlign w:val="center"/>
          </w:tcPr>
          <w:p w14:paraId="3E6A0BF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717AB4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放置、转换开关检查各单只电瓶，不得低于10.8V。</w:t>
            </w:r>
          </w:p>
        </w:tc>
      </w:tr>
      <w:tr w14:paraId="430C8FD3">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0F26133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919" w:type="dxa"/>
            <w:vMerge w:val="continue"/>
            <w:tcBorders>
              <w:top w:val="nil"/>
              <w:left w:val="single" w:color="auto" w:sz="8" w:space="0"/>
              <w:bottom w:val="single" w:color="000000" w:sz="8" w:space="0"/>
              <w:right w:val="single" w:color="auto" w:sz="8" w:space="0"/>
            </w:tcBorders>
            <w:noWrap w:val="0"/>
            <w:vAlign w:val="center"/>
          </w:tcPr>
          <w:p w14:paraId="65A643E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B1F60BE">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检查单只电瓶，任何情况下不允许过电压。单只额定电压12V，浮充不允许超过13.38V。</w:t>
            </w:r>
          </w:p>
        </w:tc>
      </w:tr>
      <w:tr w14:paraId="399A175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E8C83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17</w:t>
            </w:r>
          </w:p>
        </w:tc>
        <w:tc>
          <w:tcPr>
            <w:tcW w:w="919" w:type="dxa"/>
            <w:vMerge w:val="continue"/>
            <w:tcBorders>
              <w:top w:val="nil"/>
              <w:left w:val="single" w:color="auto" w:sz="8" w:space="0"/>
              <w:bottom w:val="single" w:color="000000" w:sz="8" w:space="0"/>
              <w:right w:val="single" w:color="auto" w:sz="8" w:space="0"/>
            </w:tcBorders>
            <w:noWrap w:val="0"/>
            <w:vAlign w:val="center"/>
          </w:tcPr>
          <w:p w14:paraId="577F48C0">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D19D0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检查各报警装置，应正常完好。</w:t>
            </w:r>
          </w:p>
        </w:tc>
      </w:tr>
      <w:tr w14:paraId="091F18D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90B3FC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18</w:t>
            </w:r>
          </w:p>
        </w:tc>
        <w:tc>
          <w:tcPr>
            <w:tcW w:w="919" w:type="dxa"/>
            <w:vMerge w:val="continue"/>
            <w:tcBorders>
              <w:top w:val="nil"/>
              <w:left w:val="single" w:color="auto" w:sz="8" w:space="0"/>
              <w:bottom w:val="single" w:color="000000" w:sz="8" w:space="0"/>
              <w:right w:val="single" w:color="auto" w:sz="8" w:space="0"/>
            </w:tcBorders>
            <w:noWrap w:val="0"/>
            <w:vAlign w:val="center"/>
          </w:tcPr>
          <w:p w14:paraId="15D77B9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8FF7A3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带电检查直流屏时必须配戴安全防护用具，严防触电。</w:t>
            </w:r>
          </w:p>
        </w:tc>
      </w:tr>
      <w:tr w14:paraId="699B95C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575F40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19</w:t>
            </w:r>
          </w:p>
        </w:tc>
        <w:tc>
          <w:tcPr>
            <w:tcW w:w="919" w:type="dxa"/>
            <w:vMerge w:val="continue"/>
            <w:tcBorders>
              <w:top w:val="nil"/>
              <w:left w:val="single" w:color="auto" w:sz="8" w:space="0"/>
              <w:bottom w:val="single" w:color="000000" w:sz="8" w:space="0"/>
              <w:right w:val="single" w:color="auto" w:sz="8" w:space="0"/>
            </w:tcBorders>
            <w:noWrap w:val="0"/>
            <w:vAlign w:val="center"/>
          </w:tcPr>
          <w:p w14:paraId="12AD1E37">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5F6C54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完成任务后填写工作记录。</w:t>
            </w:r>
          </w:p>
        </w:tc>
      </w:tr>
      <w:tr w14:paraId="6CDC614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086B28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919" w:type="dxa"/>
            <w:vMerge w:val="restart"/>
            <w:tcBorders>
              <w:top w:val="nil"/>
              <w:left w:val="single" w:color="auto" w:sz="8" w:space="0"/>
              <w:bottom w:val="single" w:color="000000" w:sz="8" w:space="0"/>
              <w:right w:val="single" w:color="auto" w:sz="8" w:space="0"/>
            </w:tcBorders>
            <w:noWrap w:val="0"/>
            <w:vAlign w:val="center"/>
          </w:tcPr>
          <w:p w14:paraId="2B82F9C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干</w:t>
            </w:r>
          </w:p>
          <w:p w14:paraId="5BA661A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式</w:t>
            </w:r>
          </w:p>
          <w:p w14:paraId="2E56762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w:t>
            </w:r>
          </w:p>
          <w:p w14:paraId="0119F8A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2076DE4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器</w:t>
            </w:r>
          </w:p>
        </w:tc>
        <w:tc>
          <w:tcPr>
            <w:tcW w:w="7060" w:type="dxa"/>
            <w:tcBorders>
              <w:top w:val="nil"/>
              <w:left w:val="nil"/>
              <w:bottom w:val="single" w:color="auto" w:sz="8" w:space="0"/>
              <w:right w:val="single" w:color="auto" w:sz="8" w:space="0"/>
            </w:tcBorders>
            <w:noWrap w:val="0"/>
            <w:vAlign w:val="center"/>
          </w:tcPr>
          <w:p w14:paraId="40DB0FD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检查变压器的运行电压、负荷电流、运行温度应正常。</w:t>
            </w:r>
          </w:p>
        </w:tc>
      </w:tr>
      <w:tr w14:paraId="7967C8A8">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16B13A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21</w:t>
            </w:r>
          </w:p>
        </w:tc>
        <w:tc>
          <w:tcPr>
            <w:tcW w:w="919" w:type="dxa"/>
            <w:vMerge w:val="continue"/>
            <w:tcBorders>
              <w:top w:val="nil"/>
              <w:left w:val="single" w:color="auto" w:sz="8" w:space="0"/>
              <w:bottom w:val="single" w:color="000000" w:sz="8" w:space="0"/>
              <w:right w:val="single" w:color="auto" w:sz="8" w:space="0"/>
            </w:tcBorders>
            <w:noWrap w:val="0"/>
            <w:vAlign w:val="center"/>
          </w:tcPr>
          <w:p w14:paraId="1AC6B60B">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AC2D55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变压器本体浇注绝缘处应清洁、无放电闪络痕迹。</w:t>
            </w:r>
          </w:p>
        </w:tc>
      </w:tr>
      <w:tr w14:paraId="6163C1F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7098B5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919" w:type="dxa"/>
            <w:vMerge w:val="continue"/>
            <w:tcBorders>
              <w:top w:val="nil"/>
              <w:left w:val="single" w:color="auto" w:sz="8" w:space="0"/>
              <w:bottom w:val="single" w:color="000000" w:sz="8" w:space="0"/>
              <w:right w:val="single" w:color="auto" w:sz="8" w:space="0"/>
            </w:tcBorders>
            <w:noWrap w:val="0"/>
            <w:vAlign w:val="center"/>
          </w:tcPr>
          <w:p w14:paraId="2F68398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25F3B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连接杆及接线端子处无接触不良、过热现象。</w:t>
            </w:r>
          </w:p>
        </w:tc>
      </w:tr>
      <w:tr w14:paraId="390C810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0F6F14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23</w:t>
            </w:r>
          </w:p>
        </w:tc>
        <w:tc>
          <w:tcPr>
            <w:tcW w:w="919" w:type="dxa"/>
            <w:vMerge w:val="continue"/>
            <w:tcBorders>
              <w:top w:val="nil"/>
              <w:left w:val="single" w:color="auto" w:sz="8" w:space="0"/>
              <w:bottom w:val="single" w:color="000000" w:sz="8" w:space="0"/>
              <w:right w:val="single" w:color="auto" w:sz="8" w:space="0"/>
            </w:tcBorders>
            <w:noWrap w:val="0"/>
            <w:vAlign w:val="center"/>
          </w:tcPr>
          <w:p w14:paraId="300AAB6D">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5CAC16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运行声音应正常。</w:t>
            </w:r>
          </w:p>
        </w:tc>
      </w:tr>
      <w:tr w14:paraId="11E650CB">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6DE42B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24</w:t>
            </w:r>
          </w:p>
        </w:tc>
        <w:tc>
          <w:tcPr>
            <w:tcW w:w="919" w:type="dxa"/>
            <w:vMerge w:val="continue"/>
            <w:tcBorders>
              <w:top w:val="nil"/>
              <w:left w:val="single" w:color="auto" w:sz="8" w:space="0"/>
              <w:bottom w:val="single" w:color="000000" w:sz="8" w:space="0"/>
              <w:right w:val="single" w:color="auto" w:sz="8" w:space="0"/>
            </w:tcBorders>
            <w:noWrap w:val="0"/>
            <w:vAlign w:val="center"/>
          </w:tcPr>
          <w:p w14:paraId="4EA095F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E4FBA7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冷却装置应运行正常，温度超过设定值时，风机能自行起动。</w:t>
            </w:r>
          </w:p>
        </w:tc>
      </w:tr>
      <w:tr w14:paraId="12C4D361">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E19430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25</w:t>
            </w:r>
          </w:p>
        </w:tc>
        <w:tc>
          <w:tcPr>
            <w:tcW w:w="919" w:type="dxa"/>
            <w:vMerge w:val="continue"/>
            <w:tcBorders>
              <w:top w:val="nil"/>
              <w:left w:val="single" w:color="auto" w:sz="8" w:space="0"/>
              <w:bottom w:val="single" w:color="000000" w:sz="8" w:space="0"/>
              <w:right w:val="single" w:color="auto" w:sz="8" w:space="0"/>
            </w:tcBorders>
            <w:noWrap w:val="0"/>
            <w:vAlign w:val="center"/>
          </w:tcPr>
          <w:p w14:paraId="6572BE7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7F1528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外壳接地应符合规范。</w:t>
            </w:r>
          </w:p>
        </w:tc>
      </w:tr>
      <w:tr w14:paraId="6156512B">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FBB746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26</w:t>
            </w:r>
          </w:p>
        </w:tc>
        <w:tc>
          <w:tcPr>
            <w:tcW w:w="919" w:type="dxa"/>
            <w:vMerge w:val="continue"/>
            <w:tcBorders>
              <w:top w:val="nil"/>
              <w:left w:val="single" w:color="auto" w:sz="8" w:space="0"/>
              <w:bottom w:val="single" w:color="000000" w:sz="8" w:space="0"/>
              <w:right w:val="single" w:color="auto" w:sz="8" w:space="0"/>
            </w:tcBorders>
            <w:noWrap w:val="0"/>
            <w:vAlign w:val="center"/>
          </w:tcPr>
          <w:p w14:paraId="426CA8CD">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0A7FAC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变压器通风口应完好，无破损、腐蚀现象。</w:t>
            </w:r>
          </w:p>
        </w:tc>
      </w:tr>
      <w:tr w14:paraId="26E08D2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DCD369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27</w:t>
            </w:r>
          </w:p>
        </w:tc>
        <w:tc>
          <w:tcPr>
            <w:tcW w:w="919" w:type="dxa"/>
            <w:vMerge w:val="continue"/>
            <w:tcBorders>
              <w:top w:val="nil"/>
              <w:left w:val="single" w:color="auto" w:sz="8" w:space="0"/>
              <w:bottom w:val="single" w:color="000000" w:sz="8" w:space="0"/>
              <w:right w:val="single" w:color="auto" w:sz="8" w:space="0"/>
            </w:tcBorders>
            <w:noWrap w:val="0"/>
            <w:vAlign w:val="center"/>
          </w:tcPr>
          <w:p w14:paraId="724D9C7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B95897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变压器温控报警装置应可靠无误。</w:t>
            </w:r>
          </w:p>
        </w:tc>
      </w:tr>
      <w:tr w14:paraId="58EF88DC">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6DB39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28</w:t>
            </w:r>
          </w:p>
        </w:tc>
        <w:tc>
          <w:tcPr>
            <w:tcW w:w="919" w:type="dxa"/>
            <w:vMerge w:val="restart"/>
            <w:tcBorders>
              <w:top w:val="nil"/>
              <w:left w:val="single" w:color="auto" w:sz="8" w:space="0"/>
              <w:bottom w:val="single" w:color="000000" w:sz="8" w:space="0"/>
              <w:right w:val="single" w:color="auto" w:sz="8" w:space="0"/>
            </w:tcBorders>
            <w:noWrap w:val="0"/>
            <w:vAlign w:val="center"/>
          </w:tcPr>
          <w:p w14:paraId="1FBE988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w:t>
            </w:r>
          </w:p>
          <w:p w14:paraId="493483A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压</w:t>
            </w:r>
          </w:p>
          <w:p w14:paraId="24ADD4C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进</w:t>
            </w:r>
          </w:p>
          <w:p w14:paraId="79E27E0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w:t>
            </w:r>
          </w:p>
          <w:p w14:paraId="02F07E7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2DD8E59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检查配电柜柜面上的电气元件的名称、标志、编号是否清楚、正确</w:t>
            </w:r>
          </w:p>
        </w:tc>
      </w:tr>
      <w:tr w14:paraId="35C07E27">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D3EC8F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29</w:t>
            </w:r>
          </w:p>
        </w:tc>
        <w:tc>
          <w:tcPr>
            <w:tcW w:w="919" w:type="dxa"/>
            <w:vMerge w:val="continue"/>
            <w:tcBorders>
              <w:top w:val="nil"/>
              <w:left w:val="single" w:color="auto" w:sz="8" w:space="0"/>
              <w:bottom w:val="single" w:color="000000" w:sz="8" w:space="0"/>
              <w:right w:val="single" w:color="auto" w:sz="8" w:space="0"/>
            </w:tcBorders>
            <w:noWrap w:val="0"/>
            <w:vAlign w:val="center"/>
          </w:tcPr>
          <w:p w14:paraId="7844A77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B3BE50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检查配电柜上的所有操作把手、按钮和按键等位置与实际情况是否相符，固定是否牢靠，操作是否灵活。</w:t>
            </w:r>
          </w:p>
        </w:tc>
      </w:tr>
      <w:tr w14:paraId="2F7964F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281EB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w:t>
            </w:r>
          </w:p>
        </w:tc>
        <w:tc>
          <w:tcPr>
            <w:tcW w:w="919" w:type="dxa"/>
            <w:vMerge w:val="continue"/>
            <w:tcBorders>
              <w:top w:val="nil"/>
              <w:left w:val="single" w:color="auto" w:sz="8" w:space="0"/>
              <w:bottom w:val="single" w:color="000000" w:sz="8" w:space="0"/>
              <w:right w:val="single" w:color="auto" w:sz="8" w:space="0"/>
            </w:tcBorders>
            <w:noWrap w:val="0"/>
            <w:vAlign w:val="center"/>
          </w:tcPr>
          <w:p w14:paraId="5158A53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509875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41B6C92A">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F8A53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31</w:t>
            </w:r>
          </w:p>
        </w:tc>
        <w:tc>
          <w:tcPr>
            <w:tcW w:w="919" w:type="dxa"/>
            <w:vMerge w:val="continue"/>
            <w:tcBorders>
              <w:top w:val="nil"/>
              <w:left w:val="single" w:color="auto" w:sz="8" w:space="0"/>
              <w:bottom w:val="single" w:color="000000" w:sz="8" w:space="0"/>
              <w:right w:val="single" w:color="auto" w:sz="8" w:space="0"/>
            </w:tcBorders>
            <w:noWrap w:val="0"/>
            <w:vAlign w:val="center"/>
          </w:tcPr>
          <w:p w14:paraId="1D0C969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756C2D9">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检查配电柜表示“合”、“断”等信号灯和其它信号指示是否正确（红灯表示开关处于合闸状态；绿灯表示开关处于断开位置）。</w:t>
            </w:r>
          </w:p>
        </w:tc>
      </w:tr>
      <w:tr w14:paraId="314468A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5966C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32</w:t>
            </w:r>
          </w:p>
        </w:tc>
        <w:tc>
          <w:tcPr>
            <w:tcW w:w="919" w:type="dxa"/>
            <w:vMerge w:val="continue"/>
            <w:tcBorders>
              <w:top w:val="nil"/>
              <w:left w:val="single" w:color="auto" w:sz="8" w:space="0"/>
              <w:bottom w:val="single" w:color="000000" w:sz="8" w:space="0"/>
              <w:right w:val="single" w:color="auto" w:sz="8" w:space="0"/>
            </w:tcBorders>
            <w:noWrap w:val="0"/>
            <w:vAlign w:val="center"/>
          </w:tcPr>
          <w:p w14:paraId="64172FE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8CAADA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检查配电柜内的开关，熔断器等的接点是否牢靠，有无过热变色现象。</w:t>
            </w:r>
          </w:p>
        </w:tc>
      </w:tr>
      <w:tr w14:paraId="695E4693">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29C0F6B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33</w:t>
            </w:r>
          </w:p>
        </w:tc>
        <w:tc>
          <w:tcPr>
            <w:tcW w:w="919" w:type="dxa"/>
            <w:vMerge w:val="continue"/>
            <w:tcBorders>
              <w:top w:val="nil"/>
              <w:left w:val="single" w:color="auto" w:sz="8" w:space="0"/>
              <w:bottom w:val="single" w:color="000000" w:sz="8" w:space="0"/>
              <w:right w:val="single" w:color="auto" w:sz="8" w:space="0"/>
            </w:tcBorders>
            <w:noWrap w:val="0"/>
            <w:vAlign w:val="center"/>
          </w:tcPr>
          <w:p w14:paraId="372ADA6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EB7987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检查线缆的绝缘是否破损，有无线路外皮破损及产生焦糊味，电气设备运行声音是否正常，联接点螺丝是否松动。</w:t>
            </w:r>
          </w:p>
        </w:tc>
      </w:tr>
      <w:tr w14:paraId="1503D22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DB6570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34</w:t>
            </w:r>
          </w:p>
        </w:tc>
        <w:tc>
          <w:tcPr>
            <w:tcW w:w="919" w:type="dxa"/>
            <w:vMerge w:val="continue"/>
            <w:tcBorders>
              <w:top w:val="nil"/>
              <w:left w:val="single" w:color="auto" w:sz="8" w:space="0"/>
              <w:bottom w:val="single" w:color="000000" w:sz="8" w:space="0"/>
              <w:right w:val="single" w:color="auto" w:sz="8" w:space="0"/>
            </w:tcBorders>
            <w:noWrap w:val="0"/>
            <w:vAlign w:val="center"/>
          </w:tcPr>
          <w:p w14:paraId="393D09C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FB3B62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接地系统：接地线等器件是否有破损腐蚀现象，螺丝是否牢固可靠。</w:t>
            </w:r>
          </w:p>
        </w:tc>
      </w:tr>
      <w:tr w14:paraId="5C570791">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84908F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35</w:t>
            </w:r>
          </w:p>
        </w:tc>
        <w:tc>
          <w:tcPr>
            <w:tcW w:w="919" w:type="dxa"/>
            <w:vMerge w:val="continue"/>
            <w:tcBorders>
              <w:top w:val="nil"/>
              <w:left w:val="single" w:color="auto" w:sz="8" w:space="0"/>
              <w:bottom w:val="single" w:color="000000" w:sz="8" w:space="0"/>
              <w:right w:val="single" w:color="auto" w:sz="8" w:space="0"/>
            </w:tcBorders>
            <w:noWrap w:val="0"/>
            <w:vAlign w:val="center"/>
          </w:tcPr>
          <w:p w14:paraId="3647237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19A5A8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检查配电柜周围的照明灯具是否完好，照度是否均匀，观查仪表有无眩光。</w:t>
            </w:r>
          </w:p>
        </w:tc>
      </w:tr>
      <w:tr w14:paraId="49A414E6">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59F8FC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36</w:t>
            </w:r>
          </w:p>
        </w:tc>
        <w:tc>
          <w:tcPr>
            <w:tcW w:w="919" w:type="dxa"/>
            <w:vMerge w:val="restart"/>
            <w:tcBorders>
              <w:top w:val="nil"/>
              <w:left w:val="single" w:color="auto" w:sz="8" w:space="0"/>
              <w:bottom w:val="single" w:color="000000" w:sz="8" w:space="0"/>
              <w:right w:val="single" w:color="auto" w:sz="8" w:space="0"/>
            </w:tcBorders>
            <w:noWrap w:val="0"/>
            <w:vAlign w:val="center"/>
          </w:tcPr>
          <w:p w14:paraId="5635FB0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无</w:t>
            </w:r>
          </w:p>
          <w:p w14:paraId="0278331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功</w:t>
            </w:r>
          </w:p>
          <w:p w14:paraId="771DB84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功</w:t>
            </w:r>
          </w:p>
          <w:p w14:paraId="75768CD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率</w:t>
            </w:r>
          </w:p>
          <w:p w14:paraId="74FE038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补</w:t>
            </w:r>
          </w:p>
          <w:p w14:paraId="7D3CAA4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偿</w:t>
            </w:r>
          </w:p>
          <w:p w14:paraId="214143D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6933CDD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一次接线接头是否发热、主开关、仪表及指示灯是否正常。</w:t>
            </w:r>
          </w:p>
        </w:tc>
      </w:tr>
      <w:tr w14:paraId="527DCFF5">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70D44D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37</w:t>
            </w:r>
          </w:p>
        </w:tc>
        <w:tc>
          <w:tcPr>
            <w:tcW w:w="919" w:type="dxa"/>
            <w:vMerge w:val="continue"/>
            <w:tcBorders>
              <w:top w:val="nil"/>
              <w:left w:val="single" w:color="auto" w:sz="8" w:space="0"/>
              <w:bottom w:val="single" w:color="000000" w:sz="8" w:space="0"/>
              <w:right w:val="single" w:color="auto" w:sz="8" w:space="0"/>
            </w:tcBorders>
            <w:noWrap w:val="0"/>
            <w:vAlign w:val="center"/>
          </w:tcPr>
          <w:p w14:paraId="2287728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4A9C92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清理冷却风道及外壳灰尘，使电容器散热良好。</w:t>
            </w:r>
          </w:p>
        </w:tc>
      </w:tr>
      <w:tr w14:paraId="6879480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970182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38</w:t>
            </w:r>
          </w:p>
        </w:tc>
        <w:tc>
          <w:tcPr>
            <w:tcW w:w="919" w:type="dxa"/>
            <w:vMerge w:val="continue"/>
            <w:tcBorders>
              <w:top w:val="nil"/>
              <w:left w:val="single" w:color="auto" w:sz="8" w:space="0"/>
              <w:bottom w:val="single" w:color="000000" w:sz="8" w:space="0"/>
              <w:right w:val="single" w:color="auto" w:sz="8" w:space="0"/>
            </w:tcBorders>
            <w:noWrap w:val="0"/>
            <w:vAlign w:val="center"/>
          </w:tcPr>
          <w:p w14:paraId="6B6C428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9035ED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检查电容有无膨胀、漏液或异常响声，如有则应更换。</w:t>
            </w:r>
          </w:p>
        </w:tc>
      </w:tr>
      <w:tr w14:paraId="6BE268F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97AA2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39</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858C2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A3847E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检查接头处，接地线是否有松脱或锈蚀，如有则应除锈处理并拧紧。</w:t>
            </w:r>
          </w:p>
        </w:tc>
      </w:tr>
      <w:tr w14:paraId="0013A6D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449B4A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6A46D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5B74F4D">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检查电容三相不平衡电流是否超过额定值的15%或电容缺相，如是则更换电容。</w:t>
            </w:r>
          </w:p>
        </w:tc>
      </w:tr>
      <w:tr w14:paraId="108E0D8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5F524FE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41</w:t>
            </w:r>
          </w:p>
        </w:tc>
        <w:tc>
          <w:tcPr>
            <w:tcW w:w="919" w:type="dxa"/>
            <w:vMerge w:val="restart"/>
            <w:tcBorders>
              <w:top w:val="nil"/>
              <w:left w:val="single" w:color="auto" w:sz="8" w:space="0"/>
              <w:bottom w:val="single" w:color="000000" w:sz="8" w:space="0"/>
              <w:right w:val="single" w:color="auto" w:sz="8" w:space="0"/>
            </w:tcBorders>
            <w:noWrap w:val="0"/>
            <w:vAlign w:val="center"/>
          </w:tcPr>
          <w:p w14:paraId="3B64D11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出</w:t>
            </w:r>
          </w:p>
          <w:p w14:paraId="33B5E28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线</w:t>
            </w:r>
          </w:p>
          <w:p w14:paraId="66BEDB4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柜</w:t>
            </w:r>
          </w:p>
        </w:tc>
        <w:tc>
          <w:tcPr>
            <w:tcW w:w="7060" w:type="dxa"/>
            <w:tcBorders>
              <w:top w:val="nil"/>
              <w:left w:val="nil"/>
              <w:bottom w:val="single" w:color="auto" w:sz="8" w:space="0"/>
              <w:right w:val="single" w:color="auto" w:sz="8" w:space="0"/>
            </w:tcBorders>
            <w:noWrap w:val="0"/>
            <w:vAlign w:val="center"/>
          </w:tcPr>
          <w:p w14:paraId="329B1616">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检查出线开关应正常合分操作灵活可靠，无卡滞及操作力过大的现象。</w:t>
            </w:r>
          </w:p>
        </w:tc>
      </w:tr>
      <w:tr w14:paraId="58AFB687">
        <w:tblPrEx>
          <w:tblCellMar>
            <w:top w:w="0" w:type="dxa"/>
            <w:left w:w="108" w:type="dxa"/>
            <w:bottom w:w="0" w:type="dxa"/>
            <w:right w:w="108" w:type="dxa"/>
          </w:tblCellMar>
        </w:tblPrEx>
        <w:trPr>
          <w:trHeight w:val="948" w:hRule="atLeast"/>
          <w:jc w:val="center"/>
        </w:trPr>
        <w:tc>
          <w:tcPr>
            <w:tcW w:w="721" w:type="dxa"/>
            <w:tcBorders>
              <w:top w:val="nil"/>
              <w:left w:val="single" w:color="auto" w:sz="8" w:space="0"/>
              <w:bottom w:val="single" w:color="auto" w:sz="8" w:space="0"/>
              <w:right w:val="single" w:color="auto" w:sz="8" w:space="0"/>
            </w:tcBorders>
            <w:noWrap w:val="0"/>
            <w:vAlign w:val="center"/>
          </w:tcPr>
          <w:p w14:paraId="2B01C46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42</w:t>
            </w:r>
          </w:p>
        </w:tc>
        <w:tc>
          <w:tcPr>
            <w:tcW w:w="919" w:type="dxa"/>
            <w:vMerge w:val="continue"/>
            <w:tcBorders>
              <w:top w:val="nil"/>
              <w:left w:val="single" w:color="auto" w:sz="8" w:space="0"/>
              <w:bottom w:val="single" w:color="000000" w:sz="8" w:space="0"/>
              <w:right w:val="single" w:color="auto" w:sz="8" w:space="0"/>
            </w:tcBorders>
            <w:noWrap w:val="0"/>
            <w:vAlign w:val="center"/>
          </w:tcPr>
          <w:p w14:paraId="4F98740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42DBFC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检查线缆的绝缘是否破损，有无线路外皮破损及产生焦糊味，电气设备运行声音是否正常，接点螺丝是否松动，各出线电缆接线端子是否有发热现象，是否超负荷使用现象。</w:t>
            </w:r>
          </w:p>
        </w:tc>
      </w:tr>
      <w:tr w14:paraId="2087024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2A2F5E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43</w:t>
            </w:r>
          </w:p>
        </w:tc>
        <w:tc>
          <w:tcPr>
            <w:tcW w:w="919" w:type="dxa"/>
            <w:vMerge w:val="continue"/>
            <w:tcBorders>
              <w:top w:val="nil"/>
              <w:left w:val="single" w:color="auto" w:sz="8" w:space="0"/>
              <w:bottom w:val="single" w:color="000000" w:sz="8" w:space="0"/>
              <w:right w:val="single" w:color="auto" w:sz="8" w:space="0"/>
            </w:tcBorders>
            <w:noWrap w:val="0"/>
            <w:vAlign w:val="center"/>
          </w:tcPr>
          <w:p w14:paraId="6BEA8A9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FF58F4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检查出线柜周围的照明灯具是否完好，照度是否均匀，观查仪表有无眩光。</w:t>
            </w:r>
          </w:p>
        </w:tc>
      </w:tr>
      <w:tr w14:paraId="7C014F6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3BC11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c>
          <w:tcPr>
            <w:tcW w:w="919" w:type="dxa"/>
            <w:vMerge w:val="continue"/>
            <w:tcBorders>
              <w:top w:val="nil"/>
              <w:left w:val="single" w:color="auto" w:sz="8" w:space="0"/>
              <w:bottom w:val="single" w:color="000000" w:sz="8" w:space="0"/>
              <w:right w:val="single" w:color="auto" w:sz="8" w:space="0"/>
            </w:tcBorders>
            <w:noWrap w:val="0"/>
            <w:vAlign w:val="center"/>
          </w:tcPr>
          <w:p w14:paraId="00EAF4A1">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360649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089F03B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EC3B36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45</w:t>
            </w:r>
          </w:p>
        </w:tc>
        <w:tc>
          <w:tcPr>
            <w:tcW w:w="919" w:type="dxa"/>
            <w:vMerge w:val="continue"/>
            <w:tcBorders>
              <w:top w:val="nil"/>
              <w:left w:val="single" w:color="auto" w:sz="8" w:space="0"/>
              <w:bottom w:val="single" w:color="000000" w:sz="8" w:space="0"/>
              <w:right w:val="single" w:color="auto" w:sz="8" w:space="0"/>
            </w:tcBorders>
            <w:noWrap w:val="0"/>
            <w:vAlign w:val="center"/>
          </w:tcPr>
          <w:p w14:paraId="57ABCB9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CA878EC">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检查主接头头压力过低主接头头表面磨损严重或接触不良。</w:t>
            </w:r>
          </w:p>
        </w:tc>
      </w:tr>
      <w:tr w14:paraId="5F062382">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2274A8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46</w:t>
            </w:r>
          </w:p>
        </w:tc>
        <w:tc>
          <w:tcPr>
            <w:tcW w:w="919" w:type="dxa"/>
            <w:vMerge w:val="restart"/>
            <w:tcBorders>
              <w:top w:val="nil"/>
              <w:left w:val="single" w:color="auto" w:sz="8" w:space="0"/>
              <w:bottom w:val="single" w:color="000000" w:sz="8" w:space="0"/>
              <w:right w:val="single" w:color="auto" w:sz="8" w:space="0"/>
            </w:tcBorders>
            <w:noWrap w:val="0"/>
            <w:vAlign w:val="center"/>
          </w:tcPr>
          <w:p w14:paraId="74373B2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发电机</w:t>
            </w:r>
          </w:p>
          <w:p w14:paraId="0F08701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进线柜</w:t>
            </w:r>
          </w:p>
        </w:tc>
        <w:tc>
          <w:tcPr>
            <w:tcW w:w="7060" w:type="dxa"/>
            <w:tcBorders>
              <w:top w:val="nil"/>
              <w:left w:val="nil"/>
              <w:bottom w:val="single" w:color="auto" w:sz="8" w:space="0"/>
              <w:right w:val="single" w:color="auto" w:sz="8" w:space="0"/>
            </w:tcBorders>
            <w:noWrap w:val="0"/>
            <w:vAlign w:val="center"/>
          </w:tcPr>
          <w:p w14:paraId="539BEB64">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检查配电柜仪表或表盘玻璃是否松动，电压、电流表指示是否正常。</w:t>
            </w:r>
          </w:p>
        </w:tc>
      </w:tr>
      <w:tr w14:paraId="3602B547">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D38282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47</w:t>
            </w:r>
          </w:p>
        </w:tc>
        <w:tc>
          <w:tcPr>
            <w:tcW w:w="919" w:type="dxa"/>
            <w:vMerge w:val="continue"/>
            <w:tcBorders>
              <w:top w:val="nil"/>
              <w:left w:val="single" w:color="auto" w:sz="8" w:space="0"/>
              <w:bottom w:val="single" w:color="000000" w:sz="8" w:space="0"/>
              <w:right w:val="single" w:color="auto" w:sz="8" w:space="0"/>
            </w:tcBorders>
            <w:noWrap w:val="0"/>
            <w:vAlign w:val="center"/>
          </w:tcPr>
          <w:p w14:paraId="5C3C1CE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ECD4FC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发电机进线柜母线连接是否牢固。</w:t>
            </w:r>
          </w:p>
        </w:tc>
      </w:tr>
      <w:tr w14:paraId="5A703AC7">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4FE0283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p>
        </w:tc>
        <w:tc>
          <w:tcPr>
            <w:tcW w:w="919" w:type="dxa"/>
            <w:vMerge w:val="continue"/>
            <w:tcBorders>
              <w:top w:val="nil"/>
              <w:left w:val="single" w:color="auto" w:sz="8" w:space="0"/>
              <w:bottom w:val="single" w:color="000000" w:sz="8" w:space="0"/>
              <w:right w:val="single" w:color="auto" w:sz="8" w:space="0"/>
            </w:tcBorders>
            <w:noWrap w:val="0"/>
            <w:vAlign w:val="center"/>
          </w:tcPr>
          <w:p w14:paraId="61E6E19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06945ED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检查发电机进线柜周围的照明灯具是否完好，照度是否均匀，观查仪表有无眩光。</w:t>
            </w:r>
          </w:p>
        </w:tc>
      </w:tr>
      <w:tr w14:paraId="5E52C5C6">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73DCED6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49</w:t>
            </w:r>
          </w:p>
        </w:tc>
        <w:tc>
          <w:tcPr>
            <w:tcW w:w="919" w:type="dxa"/>
            <w:vMerge w:val="restart"/>
            <w:tcBorders>
              <w:top w:val="nil"/>
              <w:left w:val="single" w:color="auto" w:sz="8" w:space="0"/>
              <w:bottom w:val="single" w:color="000000" w:sz="8" w:space="0"/>
              <w:right w:val="single" w:color="auto" w:sz="8" w:space="0"/>
            </w:tcBorders>
            <w:noWrap w:val="0"/>
            <w:vAlign w:val="center"/>
          </w:tcPr>
          <w:p w14:paraId="461DF8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双电源转换柜</w:t>
            </w:r>
          </w:p>
        </w:tc>
        <w:tc>
          <w:tcPr>
            <w:tcW w:w="7060" w:type="dxa"/>
            <w:tcBorders>
              <w:top w:val="nil"/>
              <w:left w:val="nil"/>
              <w:bottom w:val="single" w:color="auto" w:sz="8" w:space="0"/>
              <w:right w:val="single" w:color="auto" w:sz="8" w:space="0"/>
            </w:tcBorders>
            <w:noWrap w:val="0"/>
            <w:vAlign w:val="center"/>
          </w:tcPr>
          <w:p w14:paraId="1711734F">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检查双电源转换柜转换功能是否正常。</w:t>
            </w:r>
          </w:p>
        </w:tc>
      </w:tr>
      <w:tr w14:paraId="077D2E93">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CA7465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50</w:t>
            </w:r>
          </w:p>
        </w:tc>
        <w:tc>
          <w:tcPr>
            <w:tcW w:w="919" w:type="dxa"/>
            <w:vMerge w:val="continue"/>
            <w:tcBorders>
              <w:top w:val="nil"/>
              <w:left w:val="single" w:color="auto" w:sz="8" w:space="0"/>
              <w:bottom w:val="single" w:color="000000" w:sz="8" w:space="0"/>
              <w:right w:val="single" w:color="auto" w:sz="8" w:space="0"/>
            </w:tcBorders>
            <w:noWrap w:val="0"/>
            <w:vAlign w:val="center"/>
          </w:tcPr>
          <w:p w14:paraId="6CF2520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63BFA9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检查双电源转换柜母线连接是否牢固。</w:t>
            </w:r>
          </w:p>
        </w:tc>
      </w:tr>
      <w:tr w14:paraId="1E338350">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52E9A25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51</w:t>
            </w:r>
          </w:p>
        </w:tc>
        <w:tc>
          <w:tcPr>
            <w:tcW w:w="919" w:type="dxa"/>
            <w:vMerge w:val="continue"/>
            <w:tcBorders>
              <w:top w:val="nil"/>
              <w:left w:val="single" w:color="auto" w:sz="8" w:space="0"/>
              <w:bottom w:val="single" w:color="000000" w:sz="8" w:space="0"/>
              <w:right w:val="single" w:color="auto" w:sz="8" w:space="0"/>
            </w:tcBorders>
            <w:noWrap w:val="0"/>
            <w:vAlign w:val="center"/>
          </w:tcPr>
          <w:p w14:paraId="078D0F0E">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4798A52">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检查双电源转换指示灯指示是否正确。</w:t>
            </w:r>
          </w:p>
        </w:tc>
      </w:tr>
      <w:tr w14:paraId="714EFC1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70A0EF1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52</w:t>
            </w:r>
          </w:p>
        </w:tc>
        <w:tc>
          <w:tcPr>
            <w:tcW w:w="919" w:type="dxa"/>
            <w:vMerge w:val="continue"/>
            <w:tcBorders>
              <w:top w:val="nil"/>
              <w:left w:val="single" w:color="auto" w:sz="8" w:space="0"/>
              <w:bottom w:val="single" w:color="000000" w:sz="8" w:space="0"/>
              <w:right w:val="single" w:color="auto" w:sz="8" w:space="0"/>
            </w:tcBorders>
            <w:noWrap w:val="0"/>
            <w:vAlign w:val="center"/>
          </w:tcPr>
          <w:p w14:paraId="591E5AEA">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64C3FA0">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检查双电源转换柜的触点接头是否清洁，是否有影响转接电源的介质。</w:t>
            </w:r>
          </w:p>
        </w:tc>
      </w:tr>
      <w:tr w14:paraId="29126E3F">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10FB5DD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53</w:t>
            </w:r>
          </w:p>
        </w:tc>
        <w:tc>
          <w:tcPr>
            <w:tcW w:w="919" w:type="dxa"/>
            <w:vMerge w:val="restart"/>
            <w:tcBorders>
              <w:top w:val="nil"/>
              <w:left w:val="single" w:color="auto" w:sz="8" w:space="0"/>
              <w:right w:val="single" w:color="auto" w:sz="8" w:space="0"/>
            </w:tcBorders>
            <w:noWrap w:val="0"/>
            <w:vAlign w:val="center"/>
          </w:tcPr>
          <w:p w14:paraId="3566C92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发</w:t>
            </w:r>
          </w:p>
          <w:p w14:paraId="351AD5B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0A43E74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w:t>
            </w:r>
          </w:p>
          <w:p w14:paraId="75CDCE0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组</w:t>
            </w:r>
          </w:p>
        </w:tc>
        <w:tc>
          <w:tcPr>
            <w:tcW w:w="7060" w:type="dxa"/>
            <w:tcBorders>
              <w:top w:val="nil"/>
              <w:left w:val="nil"/>
              <w:bottom w:val="single" w:color="auto" w:sz="8" w:space="0"/>
              <w:right w:val="single" w:color="auto" w:sz="8" w:space="0"/>
            </w:tcBorders>
            <w:noWrap w:val="0"/>
            <w:vAlign w:val="center"/>
          </w:tcPr>
          <w:p w14:paraId="3F5FE987">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每2周检查及试机一次，试机时间30分钟。</w:t>
            </w:r>
          </w:p>
        </w:tc>
      </w:tr>
      <w:tr w14:paraId="1AFC1D7A">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1F278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54</w:t>
            </w:r>
          </w:p>
        </w:tc>
        <w:tc>
          <w:tcPr>
            <w:tcW w:w="919" w:type="dxa"/>
            <w:vMerge w:val="continue"/>
            <w:tcBorders>
              <w:left w:val="single" w:color="auto" w:sz="8" w:space="0"/>
              <w:right w:val="single" w:color="auto" w:sz="8" w:space="0"/>
            </w:tcBorders>
            <w:noWrap w:val="0"/>
            <w:vAlign w:val="center"/>
          </w:tcPr>
          <w:p w14:paraId="6215FB52">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3C48693">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试机时倾听机器的各部分运转声响是否正常。</w:t>
            </w:r>
          </w:p>
        </w:tc>
      </w:tr>
      <w:tr w14:paraId="258EA7A6">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0997AB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55</w:t>
            </w:r>
          </w:p>
        </w:tc>
        <w:tc>
          <w:tcPr>
            <w:tcW w:w="919" w:type="dxa"/>
            <w:vMerge w:val="continue"/>
            <w:tcBorders>
              <w:left w:val="single" w:color="auto" w:sz="8" w:space="0"/>
              <w:right w:val="single" w:color="auto" w:sz="8" w:space="0"/>
            </w:tcBorders>
            <w:noWrap w:val="0"/>
            <w:vAlign w:val="center"/>
          </w:tcPr>
          <w:p w14:paraId="77958C94">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7195DE3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试机时按照规定时间检查各指示仪表，注意润滑油的油位、压力、水温是否有变化。</w:t>
            </w:r>
          </w:p>
        </w:tc>
      </w:tr>
      <w:tr w14:paraId="5371C1C5">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491BE3F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56</w:t>
            </w:r>
          </w:p>
        </w:tc>
        <w:tc>
          <w:tcPr>
            <w:tcW w:w="919" w:type="dxa"/>
            <w:vMerge w:val="continue"/>
            <w:tcBorders>
              <w:left w:val="single" w:color="auto" w:sz="8" w:space="0"/>
              <w:right w:val="single" w:color="auto" w:sz="8" w:space="0"/>
            </w:tcBorders>
            <w:noWrap w:val="0"/>
            <w:vAlign w:val="center"/>
          </w:tcPr>
          <w:p w14:paraId="75C3072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50BAF8CF">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试机时发电机的输出电压和频率的数值与母排上的数值相一致。</w:t>
            </w:r>
          </w:p>
        </w:tc>
      </w:tr>
      <w:tr w14:paraId="648E6FD4">
        <w:tblPrEx>
          <w:tblCellMar>
            <w:top w:w="0" w:type="dxa"/>
            <w:left w:w="108" w:type="dxa"/>
            <w:bottom w:w="0" w:type="dxa"/>
            <w:right w:w="108" w:type="dxa"/>
          </w:tblCellMar>
        </w:tblPrEx>
        <w:trPr>
          <w:trHeight w:val="512" w:hRule="atLeast"/>
          <w:jc w:val="center"/>
        </w:trPr>
        <w:tc>
          <w:tcPr>
            <w:tcW w:w="721" w:type="dxa"/>
            <w:tcBorders>
              <w:top w:val="nil"/>
              <w:left w:val="single" w:color="auto" w:sz="8" w:space="0"/>
              <w:bottom w:val="single" w:color="auto" w:sz="8" w:space="0"/>
              <w:right w:val="single" w:color="auto" w:sz="8" w:space="0"/>
            </w:tcBorders>
            <w:noWrap w:val="0"/>
            <w:vAlign w:val="center"/>
          </w:tcPr>
          <w:p w14:paraId="50D981F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57</w:t>
            </w:r>
          </w:p>
        </w:tc>
        <w:tc>
          <w:tcPr>
            <w:tcW w:w="919" w:type="dxa"/>
            <w:vMerge w:val="continue"/>
            <w:tcBorders>
              <w:left w:val="single" w:color="auto" w:sz="8" w:space="0"/>
              <w:right w:val="single" w:color="auto" w:sz="8" w:space="0"/>
            </w:tcBorders>
            <w:noWrap w:val="0"/>
            <w:vAlign w:val="center"/>
          </w:tcPr>
          <w:p w14:paraId="009E40B6">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91269D8">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试机时发电机的油温、水温、油压达到正常值，运转正常，检查机油品质是否正常。</w:t>
            </w:r>
          </w:p>
        </w:tc>
      </w:tr>
      <w:tr w14:paraId="7C4873F6">
        <w:tblPrEx>
          <w:tblCellMar>
            <w:top w:w="0" w:type="dxa"/>
            <w:left w:w="108" w:type="dxa"/>
            <w:bottom w:w="0" w:type="dxa"/>
            <w:right w:w="108" w:type="dxa"/>
          </w:tblCellMar>
        </w:tblPrEx>
        <w:trPr>
          <w:trHeight w:val="576"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ECC87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58</w:t>
            </w:r>
          </w:p>
        </w:tc>
        <w:tc>
          <w:tcPr>
            <w:tcW w:w="919" w:type="dxa"/>
            <w:vMerge w:val="continue"/>
            <w:tcBorders>
              <w:left w:val="single" w:color="auto" w:sz="8" w:space="0"/>
              <w:right w:val="single" w:color="auto" w:sz="8" w:space="0"/>
            </w:tcBorders>
            <w:noWrap w:val="0"/>
            <w:vAlign w:val="center"/>
          </w:tcPr>
          <w:p w14:paraId="0D653E09">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E506A9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试机前及试机后检查起动电动机的蓄电池组电压是否正常，以及充电（浮充）装置是否正常。</w:t>
            </w:r>
          </w:p>
        </w:tc>
      </w:tr>
      <w:tr w14:paraId="3A1FF614">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092A099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59</w:t>
            </w:r>
          </w:p>
        </w:tc>
        <w:tc>
          <w:tcPr>
            <w:tcW w:w="919" w:type="dxa"/>
            <w:vMerge w:val="continue"/>
            <w:tcBorders>
              <w:left w:val="single" w:color="auto" w:sz="8" w:space="0"/>
              <w:right w:val="single" w:color="auto" w:sz="8" w:space="0"/>
            </w:tcBorders>
            <w:noWrap w:val="0"/>
            <w:vAlign w:val="center"/>
          </w:tcPr>
          <w:p w14:paraId="5CAE40C6">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FB630E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试机前检查燃油供油阀和冷却水截止阀是否处于开通位置。</w:t>
            </w:r>
          </w:p>
        </w:tc>
      </w:tr>
      <w:tr w14:paraId="3BDCA31E">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35764C4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60</w:t>
            </w:r>
          </w:p>
        </w:tc>
        <w:tc>
          <w:tcPr>
            <w:tcW w:w="919" w:type="dxa"/>
            <w:vMerge w:val="continue"/>
            <w:tcBorders>
              <w:left w:val="single" w:color="auto" w:sz="8" w:space="0"/>
              <w:right w:val="single" w:color="auto" w:sz="8" w:space="0"/>
            </w:tcBorders>
            <w:noWrap w:val="0"/>
            <w:vAlign w:val="center"/>
          </w:tcPr>
          <w:p w14:paraId="245EEA0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4BEA1D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试机前检查曲轴箱油位，燃油箱油位，散热器水位，如油位水位低于规定值应补充至于正常位置。</w:t>
            </w:r>
          </w:p>
        </w:tc>
      </w:tr>
      <w:tr w14:paraId="5B50CF74">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5E6D782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61</w:t>
            </w:r>
          </w:p>
        </w:tc>
        <w:tc>
          <w:tcPr>
            <w:tcW w:w="919" w:type="dxa"/>
            <w:vMerge w:val="continue"/>
            <w:tcBorders>
              <w:left w:val="single" w:color="auto" w:sz="8" w:space="0"/>
              <w:right w:val="single" w:color="auto" w:sz="8" w:space="0"/>
            </w:tcBorders>
            <w:noWrap w:val="0"/>
            <w:vAlign w:val="center"/>
          </w:tcPr>
          <w:p w14:paraId="2D8DA89F">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62F34487">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试机前检查机油、柴油、冷却水是否存在渗漏。</w:t>
            </w:r>
          </w:p>
        </w:tc>
      </w:tr>
      <w:tr w14:paraId="26CC9CEB">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16CD47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62</w:t>
            </w:r>
          </w:p>
        </w:tc>
        <w:tc>
          <w:tcPr>
            <w:tcW w:w="919" w:type="dxa"/>
            <w:vMerge w:val="continue"/>
            <w:tcBorders>
              <w:left w:val="single" w:color="auto" w:sz="8" w:space="0"/>
              <w:bottom w:val="single" w:color="000000" w:sz="8" w:space="0"/>
              <w:right w:val="single" w:color="auto" w:sz="8" w:space="0"/>
            </w:tcBorders>
            <w:noWrap w:val="0"/>
            <w:vAlign w:val="center"/>
          </w:tcPr>
          <w:p w14:paraId="7ABBE40C">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269BEAB6">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根据发动机保养手册定期检查柴滤、机滤、空滤等易损件，提交发动机保养计划，协助加注柴油、更换机油、冷却水、各类滤芯等。</w:t>
            </w:r>
          </w:p>
        </w:tc>
      </w:tr>
      <w:tr w14:paraId="0990C162">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8" w:space="0"/>
              <w:right w:val="single" w:color="auto" w:sz="8" w:space="0"/>
            </w:tcBorders>
            <w:noWrap w:val="0"/>
            <w:vAlign w:val="center"/>
          </w:tcPr>
          <w:p w14:paraId="24CFBC9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63</w:t>
            </w:r>
          </w:p>
        </w:tc>
        <w:tc>
          <w:tcPr>
            <w:tcW w:w="919" w:type="dxa"/>
            <w:vMerge w:val="restart"/>
            <w:tcBorders>
              <w:top w:val="nil"/>
              <w:left w:val="single" w:color="auto" w:sz="8" w:space="0"/>
              <w:bottom w:val="single" w:color="000000" w:sz="8" w:space="0"/>
              <w:right w:val="single" w:color="auto" w:sz="8" w:space="0"/>
            </w:tcBorders>
            <w:noWrap w:val="0"/>
            <w:vAlign w:val="center"/>
          </w:tcPr>
          <w:p w14:paraId="627135C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箱</w:t>
            </w:r>
          </w:p>
          <w:p w14:paraId="27BEEA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式</w:t>
            </w:r>
          </w:p>
          <w:p w14:paraId="147361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变</w:t>
            </w:r>
          </w:p>
          <w:p w14:paraId="3AF2CA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w:t>
            </w:r>
          </w:p>
          <w:p w14:paraId="4EED640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站</w:t>
            </w:r>
          </w:p>
        </w:tc>
        <w:tc>
          <w:tcPr>
            <w:tcW w:w="7060" w:type="dxa"/>
            <w:tcBorders>
              <w:top w:val="nil"/>
              <w:left w:val="nil"/>
              <w:bottom w:val="single" w:color="auto" w:sz="8" w:space="0"/>
              <w:right w:val="single" w:color="auto" w:sz="8" w:space="0"/>
            </w:tcBorders>
            <w:noWrap w:val="0"/>
            <w:vAlign w:val="center"/>
          </w:tcPr>
          <w:p w14:paraId="3A754C4F">
            <w:pPr>
              <w:widowControl/>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检查开关分、合闸位置是否正确，与实际运行方式是否相符，控制把手与指示灯位置对应。</w:t>
            </w:r>
          </w:p>
        </w:tc>
      </w:tr>
      <w:tr w14:paraId="17E4F95E">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C4C12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64</w:t>
            </w:r>
          </w:p>
        </w:tc>
        <w:tc>
          <w:tcPr>
            <w:tcW w:w="919" w:type="dxa"/>
            <w:vMerge w:val="continue"/>
            <w:tcBorders>
              <w:top w:val="nil"/>
              <w:left w:val="single" w:color="auto" w:sz="8" w:space="0"/>
              <w:bottom w:val="single" w:color="000000" w:sz="8" w:space="0"/>
              <w:right w:val="single" w:color="auto" w:sz="8" w:space="0"/>
            </w:tcBorders>
            <w:noWrap w:val="0"/>
            <w:vAlign w:val="center"/>
          </w:tcPr>
          <w:p w14:paraId="2785E518">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11E4EC01">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检查电压、电流表指示是否正常。</w:t>
            </w:r>
          </w:p>
        </w:tc>
      </w:tr>
      <w:tr w14:paraId="6AA9F729">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6258C7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65</w:t>
            </w:r>
          </w:p>
        </w:tc>
        <w:tc>
          <w:tcPr>
            <w:tcW w:w="919" w:type="dxa"/>
            <w:vMerge w:val="continue"/>
            <w:tcBorders>
              <w:top w:val="nil"/>
              <w:left w:val="single" w:color="auto" w:sz="8" w:space="0"/>
              <w:bottom w:val="single" w:color="000000" w:sz="8" w:space="0"/>
              <w:right w:val="single" w:color="auto" w:sz="8" w:space="0"/>
            </w:tcBorders>
            <w:noWrap w:val="0"/>
            <w:vAlign w:val="center"/>
          </w:tcPr>
          <w:p w14:paraId="20C720C5">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4052A38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检查进线电压是否正常。</w:t>
            </w:r>
          </w:p>
        </w:tc>
      </w:tr>
      <w:tr w14:paraId="6EDD4BCD">
        <w:tblPrEx>
          <w:tblCellMar>
            <w:top w:w="0" w:type="dxa"/>
            <w:left w:w="108" w:type="dxa"/>
            <w:bottom w:w="0" w:type="dxa"/>
            <w:right w:w="108" w:type="dxa"/>
          </w:tblCellMar>
        </w:tblPrEx>
        <w:trPr>
          <w:trHeight w:val="324" w:hRule="atLeast"/>
          <w:jc w:val="center"/>
        </w:trPr>
        <w:tc>
          <w:tcPr>
            <w:tcW w:w="721" w:type="dxa"/>
            <w:tcBorders>
              <w:top w:val="nil"/>
              <w:left w:val="single" w:color="auto" w:sz="8" w:space="0"/>
              <w:bottom w:val="single" w:color="auto" w:sz="8" w:space="0"/>
              <w:right w:val="single" w:color="auto" w:sz="8" w:space="0"/>
            </w:tcBorders>
            <w:noWrap w:val="0"/>
            <w:vAlign w:val="center"/>
          </w:tcPr>
          <w:p w14:paraId="284C293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66</w:t>
            </w:r>
          </w:p>
        </w:tc>
        <w:tc>
          <w:tcPr>
            <w:tcW w:w="919" w:type="dxa"/>
            <w:vMerge w:val="continue"/>
            <w:tcBorders>
              <w:top w:val="nil"/>
              <w:left w:val="single" w:color="auto" w:sz="8" w:space="0"/>
              <w:bottom w:val="single" w:color="000000" w:sz="8" w:space="0"/>
              <w:right w:val="single" w:color="auto" w:sz="8" w:space="0"/>
            </w:tcBorders>
            <w:noWrap w:val="0"/>
            <w:vAlign w:val="center"/>
          </w:tcPr>
          <w:p w14:paraId="5B7CAB73">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8" w:space="0"/>
              <w:right w:val="single" w:color="auto" w:sz="8" w:space="0"/>
            </w:tcBorders>
            <w:noWrap w:val="0"/>
            <w:vAlign w:val="center"/>
          </w:tcPr>
          <w:p w14:paraId="3F498460">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检查变压器有无异常的声音，是否存在过载现象。</w:t>
            </w:r>
          </w:p>
        </w:tc>
      </w:tr>
      <w:tr w14:paraId="2553E869">
        <w:tblPrEx>
          <w:tblCellMar>
            <w:top w:w="0" w:type="dxa"/>
            <w:left w:w="108" w:type="dxa"/>
            <w:bottom w:w="0" w:type="dxa"/>
            <w:right w:w="108" w:type="dxa"/>
          </w:tblCellMar>
        </w:tblPrEx>
        <w:trPr>
          <w:trHeight w:val="636" w:hRule="atLeast"/>
          <w:jc w:val="center"/>
        </w:trPr>
        <w:tc>
          <w:tcPr>
            <w:tcW w:w="721" w:type="dxa"/>
            <w:tcBorders>
              <w:top w:val="nil"/>
              <w:left w:val="single" w:color="auto" w:sz="8" w:space="0"/>
              <w:bottom w:val="single" w:color="auto" w:sz="4" w:space="0"/>
              <w:right w:val="single" w:color="auto" w:sz="8" w:space="0"/>
            </w:tcBorders>
            <w:noWrap w:val="0"/>
            <w:vAlign w:val="center"/>
          </w:tcPr>
          <w:p w14:paraId="7DDBC62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67</w:t>
            </w:r>
          </w:p>
        </w:tc>
        <w:tc>
          <w:tcPr>
            <w:tcW w:w="919" w:type="dxa"/>
            <w:vMerge w:val="continue"/>
            <w:tcBorders>
              <w:top w:val="nil"/>
              <w:left w:val="single" w:color="auto" w:sz="8" w:space="0"/>
              <w:bottom w:val="single" w:color="auto" w:sz="4" w:space="0"/>
              <w:right w:val="single" w:color="auto" w:sz="8" w:space="0"/>
            </w:tcBorders>
            <w:noWrap w:val="0"/>
            <w:vAlign w:val="center"/>
          </w:tcPr>
          <w:p w14:paraId="5B3AC8C7">
            <w:pPr>
              <w:widowControl/>
              <w:spacing w:line="400" w:lineRule="exact"/>
              <w:jc w:val="left"/>
              <w:rPr>
                <w:rFonts w:hint="eastAsia" w:ascii="仿宋_GB2312" w:hAnsi="仿宋_GB2312" w:eastAsia="仿宋_GB2312" w:cs="仿宋_GB2312"/>
                <w:color w:val="000000"/>
                <w:kern w:val="0"/>
                <w:sz w:val="24"/>
              </w:rPr>
            </w:pPr>
          </w:p>
        </w:tc>
        <w:tc>
          <w:tcPr>
            <w:tcW w:w="7060" w:type="dxa"/>
            <w:tcBorders>
              <w:top w:val="nil"/>
              <w:left w:val="nil"/>
              <w:bottom w:val="single" w:color="auto" w:sz="4" w:space="0"/>
              <w:right w:val="single" w:color="auto" w:sz="8" w:space="0"/>
            </w:tcBorders>
            <w:noWrap w:val="0"/>
            <w:vAlign w:val="center"/>
          </w:tcPr>
          <w:p w14:paraId="60CC73A5">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检查设备的各部件连接点接触是否良好，有无放电声，有无过热变色、烧熔现象，示温片是否熔化脱落。</w:t>
            </w:r>
          </w:p>
        </w:tc>
      </w:tr>
      <w:tr w14:paraId="006AA57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4" w:space="0"/>
              <w:right w:val="single" w:color="auto" w:sz="4" w:space="0"/>
            </w:tcBorders>
            <w:noWrap w:val="0"/>
            <w:vAlign w:val="center"/>
          </w:tcPr>
          <w:p w14:paraId="1EC895D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68</w:t>
            </w:r>
          </w:p>
        </w:tc>
        <w:tc>
          <w:tcPr>
            <w:tcW w:w="919" w:type="dxa"/>
            <w:tcBorders>
              <w:top w:val="single" w:color="auto" w:sz="4" w:space="0"/>
              <w:left w:val="single" w:color="auto" w:sz="4" w:space="0"/>
              <w:bottom w:val="single" w:color="auto" w:sz="4" w:space="0"/>
              <w:right w:val="single" w:color="auto" w:sz="8" w:space="0"/>
            </w:tcBorders>
            <w:noWrap w:val="0"/>
            <w:vAlign w:val="center"/>
          </w:tcPr>
          <w:p w14:paraId="13E079F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机房空调</w:t>
            </w:r>
          </w:p>
        </w:tc>
        <w:tc>
          <w:tcPr>
            <w:tcW w:w="7060" w:type="dxa"/>
            <w:tcBorders>
              <w:top w:val="single" w:color="auto" w:sz="4" w:space="0"/>
              <w:left w:val="nil"/>
              <w:bottom w:val="single" w:color="auto" w:sz="4" w:space="0"/>
              <w:right w:val="single" w:color="auto" w:sz="4" w:space="0"/>
            </w:tcBorders>
            <w:noWrap w:val="0"/>
            <w:vAlign w:val="center"/>
          </w:tcPr>
          <w:p w14:paraId="62F0865B">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定期检查并疏通配电机房空调排水管道，检查空调是否正常运行。</w:t>
            </w:r>
          </w:p>
        </w:tc>
      </w:tr>
      <w:tr w14:paraId="7316185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4" w:space="0"/>
              <w:right w:val="single" w:color="auto" w:sz="4" w:space="0"/>
            </w:tcBorders>
            <w:noWrap w:val="0"/>
            <w:vAlign w:val="center"/>
          </w:tcPr>
          <w:p w14:paraId="56B3280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69</w:t>
            </w:r>
          </w:p>
        </w:tc>
        <w:tc>
          <w:tcPr>
            <w:tcW w:w="919" w:type="dxa"/>
            <w:tcBorders>
              <w:top w:val="single" w:color="auto" w:sz="4" w:space="0"/>
              <w:left w:val="single" w:color="auto" w:sz="4" w:space="0"/>
              <w:bottom w:val="single" w:color="auto" w:sz="4" w:space="0"/>
              <w:right w:val="single" w:color="auto" w:sz="8" w:space="0"/>
            </w:tcBorders>
            <w:noWrap w:val="0"/>
            <w:vAlign w:val="center"/>
          </w:tcPr>
          <w:p w14:paraId="3F05E67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
              </w:rPr>
              <w:t>微机保护测控装置</w:t>
            </w:r>
          </w:p>
        </w:tc>
        <w:tc>
          <w:tcPr>
            <w:tcW w:w="7060" w:type="dxa"/>
            <w:tcBorders>
              <w:top w:val="single" w:color="auto" w:sz="4" w:space="0"/>
              <w:left w:val="nil"/>
              <w:bottom w:val="single" w:color="auto" w:sz="4" w:space="0"/>
              <w:right w:val="single" w:color="auto" w:sz="4" w:space="0"/>
            </w:tcBorders>
            <w:noWrap w:val="0"/>
            <w:vAlign w:val="center"/>
          </w:tcPr>
          <w:p w14:paraId="5E45249E">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定期检查是否正常运行，定期调试。</w:t>
            </w:r>
          </w:p>
        </w:tc>
      </w:tr>
      <w:tr w14:paraId="043397F2">
        <w:tblPrEx>
          <w:tblCellMar>
            <w:top w:w="0" w:type="dxa"/>
            <w:left w:w="108" w:type="dxa"/>
            <w:bottom w:w="0" w:type="dxa"/>
            <w:right w:w="108" w:type="dxa"/>
          </w:tblCellMar>
        </w:tblPrEx>
        <w:trPr>
          <w:trHeight w:val="636" w:hRule="atLeast"/>
          <w:jc w:val="center"/>
        </w:trPr>
        <w:tc>
          <w:tcPr>
            <w:tcW w:w="721" w:type="dxa"/>
            <w:tcBorders>
              <w:top w:val="single" w:color="auto" w:sz="4" w:space="0"/>
              <w:left w:val="single" w:color="auto" w:sz="8" w:space="0"/>
              <w:bottom w:val="single" w:color="auto" w:sz="8" w:space="0"/>
              <w:right w:val="single" w:color="auto" w:sz="4" w:space="0"/>
            </w:tcBorders>
            <w:noWrap w:val="0"/>
            <w:vAlign w:val="center"/>
          </w:tcPr>
          <w:p w14:paraId="32D23D8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70</w:t>
            </w:r>
          </w:p>
        </w:tc>
        <w:tc>
          <w:tcPr>
            <w:tcW w:w="919" w:type="dxa"/>
            <w:tcBorders>
              <w:top w:val="single" w:color="auto" w:sz="4" w:space="0"/>
              <w:left w:val="single" w:color="auto" w:sz="4" w:space="0"/>
              <w:bottom w:val="single" w:color="000000" w:sz="8" w:space="0"/>
              <w:right w:val="single" w:color="auto" w:sz="8" w:space="0"/>
            </w:tcBorders>
            <w:noWrap w:val="0"/>
            <w:vAlign w:val="center"/>
          </w:tcPr>
          <w:p w14:paraId="59E5DD8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lang w:val="en"/>
              </w:rPr>
              <w:t>不间断电源</w:t>
            </w:r>
          </w:p>
        </w:tc>
        <w:tc>
          <w:tcPr>
            <w:tcW w:w="7060" w:type="dxa"/>
            <w:tcBorders>
              <w:top w:val="single" w:color="auto" w:sz="4" w:space="0"/>
              <w:left w:val="nil"/>
              <w:bottom w:val="single" w:color="auto" w:sz="8" w:space="0"/>
              <w:right w:val="single" w:color="auto" w:sz="4" w:space="0"/>
            </w:tcBorders>
            <w:noWrap w:val="0"/>
            <w:vAlign w:val="center"/>
          </w:tcPr>
          <w:p w14:paraId="51EBC40A">
            <w:pPr>
              <w:widowControl/>
              <w:spacing w:line="400" w:lineRule="exact"/>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定期检查是否正常运行。</w:t>
            </w:r>
          </w:p>
        </w:tc>
      </w:tr>
    </w:tbl>
    <w:p w14:paraId="6969A25C">
      <w:pPr>
        <w:keepNext w:val="0"/>
        <w:keepLines w:val="0"/>
        <w:pageBreakBefore w:val="0"/>
        <w:kinsoku/>
        <w:wordWrap/>
        <w:overflowPunct/>
        <w:topLinePunct w:val="0"/>
        <w:autoSpaceDE/>
        <w:autoSpaceDN/>
        <w:bidi w:val="0"/>
        <w:adjustRightInd/>
        <w:spacing w:line="400" w:lineRule="exact"/>
        <w:ind w:right="-113" w:rightChars="-54" w:firstLine="482" w:firstLineChars="200"/>
        <w:textAlignment w:val="auto"/>
        <w:rPr>
          <w:rFonts w:hint="eastAsia" w:ascii="仿宋_GB2312" w:hAnsi="仿宋_GB2312" w:eastAsia="仿宋_GB2312" w:cs="仿宋_GB2312"/>
          <w:b/>
          <w:sz w:val="24"/>
        </w:rPr>
      </w:pPr>
      <w:r>
        <w:rPr>
          <w:rFonts w:hint="eastAsia" w:ascii="仿宋_GB2312" w:hAnsi="仿宋_GB2312" w:eastAsia="仿宋_GB2312" w:cs="仿宋_GB2312"/>
          <w:b/>
          <w:sz w:val="24"/>
        </w:rPr>
        <w:t>二、考核措施</w:t>
      </w:r>
    </w:p>
    <w:p w14:paraId="3D6438DF">
      <w:pPr>
        <w:spacing w:line="400" w:lineRule="exact"/>
        <w:ind w:right="-113" w:rightChars="-54" w:firstLine="480" w:firstLineChars="2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1.中标人需按照采购需求、投标文件的内容提供服务，若无法提供相应服务，采购人将以书面形式通知供应商，中标人应在整改期限内整改完毕，若中标人未能按期整改，则每项每天扣款100元,直至整改完毕。若因人员要求达不到采购需求、投标文件的内容，超过整改期限未能整改完毕的，则按照每人每项每天扣款100元,直至整改完毕。</w:t>
      </w:r>
    </w:p>
    <w:p w14:paraId="3690C3B3">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严格按合同要求配备具有相应资质的</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人员11名（每班2人），如人数不达到要求，每人次每天扣款300元，缺人连续超过3天的从第4天起，每人次每天扣款500元；配备</w:t>
      </w:r>
      <w:r>
        <w:rPr>
          <w:rFonts w:hint="eastAsia" w:ascii="仿宋_GB2312" w:hAnsi="仿宋_GB2312" w:eastAsia="仿宋_GB2312" w:cs="仿宋_GB2312"/>
          <w:sz w:val="24"/>
          <w:lang w:eastAsia="zh-CN"/>
        </w:rPr>
        <w:t>维保</w:t>
      </w:r>
      <w:r>
        <w:rPr>
          <w:rFonts w:hint="eastAsia" w:ascii="仿宋_GB2312" w:hAnsi="仿宋_GB2312" w:eastAsia="仿宋_GB2312" w:cs="仿宋_GB2312"/>
          <w:sz w:val="24"/>
        </w:rPr>
        <w:t>人员资质不符合要求的，视同缺人，按缺人扣款处理。</w:t>
      </w:r>
    </w:p>
    <w:p w14:paraId="6203401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岗人员有脱岗、缺岗、睡岗、酒后上岗、替岗（特殊情况需事先与采购人报备）、迟到早退、弄虚作假、未按要求统一着装等违反相关规定的，同一名人员第一次扣款200元，第二次扣款300元，第三次扣款500元，三次扣款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必须将该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立即调离本项目。</w:t>
      </w:r>
    </w:p>
    <w:p w14:paraId="4C2F286B">
      <w:pPr>
        <w:spacing w:line="40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4</w:t>
      </w:r>
      <w:r>
        <w:rPr>
          <w:rFonts w:hint="eastAsia" w:ascii="仿宋_GB2312" w:hAnsi="仿宋_GB2312" w:eastAsia="仿宋_GB2312" w:cs="仿宋_GB2312"/>
          <w:color w:val="000000"/>
          <w:kern w:val="0"/>
          <w:sz w:val="24"/>
        </w:rPr>
        <w:t>. 按采购要求定期对相关设备进行巡查及保养、隐患排查，有巡查和工作记录，巡查记录、工作记录不完整的或者不按要求开展相关</w:t>
      </w:r>
      <w:r>
        <w:rPr>
          <w:rFonts w:hint="eastAsia" w:ascii="仿宋_GB2312" w:hAnsi="仿宋_GB2312" w:eastAsia="仿宋_GB2312" w:cs="仿宋_GB2312"/>
          <w:color w:val="000000"/>
          <w:kern w:val="0"/>
          <w:sz w:val="24"/>
          <w:lang w:eastAsia="zh-CN"/>
        </w:rPr>
        <w:t>记录</w:t>
      </w:r>
      <w:r>
        <w:rPr>
          <w:rFonts w:hint="eastAsia" w:ascii="仿宋_GB2312" w:hAnsi="仿宋_GB2312" w:eastAsia="仿宋_GB2312" w:cs="仿宋_GB2312"/>
          <w:color w:val="000000"/>
          <w:kern w:val="0"/>
          <w:sz w:val="24"/>
        </w:rPr>
        <w:t>的，每次扣200元；超过保养周期未保养的或是不按要求开展定期保养的，每次扣款500元。</w:t>
      </w:r>
    </w:p>
    <w:p w14:paraId="7AFE128F">
      <w:pPr>
        <w:spacing w:line="400" w:lineRule="exact"/>
        <w:ind w:firstLine="480" w:firstLineChars="200"/>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5</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应按采购人要求及时提交排班表、设备巡检计划、设备保养计划以及工作台账等资料，无正当理由未及时提交的，第一次扣款200元，第二次扣款300元，第三次扣款500元并视同拒不配合采购人工作安排。</w:t>
      </w:r>
    </w:p>
    <w:p w14:paraId="35940DF9">
      <w:pPr>
        <w:spacing w:line="40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color w:val="000000"/>
          <w:kern w:val="0"/>
          <w:sz w:val="24"/>
          <w:lang w:val="en-US" w:eastAsia="zh-CN"/>
        </w:rPr>
        <w:t>6</w:t>
      </w:r>
      <w:r>
        <w:rPr>
          <w:rFonts w:hint="eastAsia" w:ascii="仿宋_GB2312" w:hAnsi="仿宋_GB2312" w:eastAsia="仿宋_GB2312" w:cs="仿宋_GB2312"/>
          <w:color w:val="000000"/>
          <w:kern w:val="0"/>
          <w:sz w:val="24"/>
        </w:rPr>
        <w:t>. 如设施设备存在隐患或故障，</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须如实提供专业、合理的维修、更换、改造方案，并不高于市场价提供报价。所提供的方案经第三方检测不合理的（例如能修的不修，或只需换配件的要求换总成等），或报价明显高于市场价的，每次扣款1000元。</w:t>
      </w:r>
    </w:p>
    <w:p w14:paraId="7483E7E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人员在工作期间未能按工作标准履行职责的，经采购人核实，同一人第一次扣款200元，第二次扣款500元，第三次扣款1000元后，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须将该</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立即调离本项目。</w:t>
      </w:r>
    </w:p>
    <w:p w14:paraId="04040C0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采购人日常检查工作时指出的问题，</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未及时整改，每处扣款200元；采购人安排的工作拒不执行或未按时完成，且无正当理由的，每次扣款200元。</w:t>
      </w:r>
    </w:p>
    <w:p w14:paraId="0DCF661A">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9</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人员如有变动，需书面报采购人备案，并在老员工离职前配备具有相应资质的新员工到岗，否则，每人次扣款200元。变动后人员资质、证书等应不低于原工作人员，否则视同缺人，按缺人（第1条）扣款处理。</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应采取措施保持人员稳定，每季度人员变动不得超过</w:t>
      </w:r>
      <w:r>
        <w:rPr>
          <w:rFonts w:hint="eastAsia" w:ascii="仿宋_GB2312" w:hAnsi="仿宋_GB2312" w:eastAsia="仿宋_GB2312" w:cs="仿宋_GB2312"/>
          <w:color w:val="000000"/>
          <w:kern w:val="0"/>
          <w:sz w:val="24"/>
        </w:rPr>
        <w:t>一人</w:t>
      </w:r>
      <w:r>
        <w:rPr>
          <w:rFonts w:hint="eastAsia" w:ascii="仿宋_GB2312" w:hAnsi="仿宋_GB2312" w:eastAsia="仿宋_GB2312" w:cs="仿宋_GB2312"/>
          <w:sz w:val="24"/>
        </w:rPr>
        <w:t>，否则，每人次扣款500元。</w:t>
      </w:r>
    </w:p>
    <w:p w14:paraId="4BFFD037">
      <w:pPr>
        <w:spacing w:line="400" w:lineRule="exact"/>
        <w:ind w:firstLine="48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4"/>
          <w:lang w:val="en-US" w:eastAsia="zh-CN"/>
        </w:rPr>
        <w:t>10</w:t>
      </w:r>
      <w:r>
        <w:rPr>
          <w:rFonts w:hint="eastAsia" w:ascii="仿宋_GB2312" w:hAnsi="仿宋_GB2312" w:eastAsia="仿宋_GB2312" w:cs="仿宋_GB2312"/>
          <w:color w:val="000000"/>
          <w:kern w:val="0"/>
          <w:sz w:val="24"/>
        </w:rPr>
        <w:t xml:space="preserve">. </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应建立有24小时现场值班电话提供全天候维保服务，并确保24小时畅通，值班电话无法接通又无正当理由的，每次扣款300元；在接到故障报修电话后，</w:t>
      </w:r>
      <w:r>
        <w:rPr>
          <w:rFonts w:hint="eastAsia" w:ascii="仿宋_GB2312" w:hAnsi="仿宋_GB2312" w:eastAsia="仿宋_GB2312" w:cs="仿宋_GB2312"/>
          <w:kern w:val="0"/>
          <w:sz w:val="24"/>
        </w:rPr>
        <w:t>驻点维保期间须立即内派专职技术人员到达现场进行处理，其余时间及区域需30分钟内到达现场处理</w:t>
      </w:r>
      <w:r>
        <w:rPr>
          <w:rFonts w:hint="eastAsia" w:ascii="仿宋_GB2312" w:hAnsi="仿宋_GB2312" w:eastAsia="仿宋_GB2312" w:cs="仿宋_GB2312"/>
          <w:color w:val="000000"/>
          <w:kern w:val="0"/>
          <w:sz w:val="24"/>
        </w:rPr>
        <w:t>;</w:t>
      </w:r>
      <w:r>
        <w:rPr>
          <w:rStyle w:val="275"/>
          <w:rFonts w:hint="default" w:ascii="仿宋_GB2312" w:hAnsi="仿宋_GB2312" w:eastAsia="仿宋_GB2312" w:cs="仿宋_GB2312"/>
          <w:sz w:val="24"/>
          <w:szCs w:val="24"/>
        </w:rPr>
        <w:t>备品备件齐全条件下24小时连续抢修，直至设备正常</w:t>
      </w:r>
      <w:r>
        <w:rPr>
          <w:rFonts w:hint="eastAsia" w:ascii="仿宋_GB2312" w:hAnsi="仿宋_GB2312" w:eastAsia="仿宋_GB2312" w:cs="仿宋_GB2312"/>
          <w:color w:val="000000"/>
          <w:kern w:val="0"/>
          <w:sz w:val="24"/>
        </w:rPr>
        <w:t>。未能按要求及时赶到现场的或不能及时修复的，第一次扣款100元，第二次扣款300元，第三次以后每次扣款500 元。如因未能及时处理造成事故或恶劣影响的，由</w:t>
      </w:r>
      <w:r>
        <w:rPr>
          <w:rFonts w:hint="eastAsia" w:ascii="仿宋_GB2312" w:hAnsi="仿宋_GB2312" w:eastAsia="仿宋_GB2312" w:cs="仿宋_GB2312"/>
          <w:color w:val="000000"/>
          <w:kern w:val="0"/>
          <w:sz w:val="24"/>
          <w:lang w:eastAsia="zh-CN"/>
        </w:rPr>
        <w:t>投标人</w:t>
      </w:r>
      <w:r>
        <w:rPr>
          <w:rFonts w:hint="eastAsia" w:ascii="仿宋_GB2312" w:hAnsi="仿宋_GB2312" w:eastAsia="仿宋_GB2312" w:cs="仿宋_GB2312"/>
          <w:color w:val="000000"/>
          <w:kern w:val="0"/>
          <w:sz w:val="24"/>
        </w:rPr>
        <w:t>负全责。</w:t>
      </w:r>
    </w:p>
    <w:p w14:paraId="0B3B944F">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如果未按相关要求配备足够的安全工器具，或超期未进行安全工器具的预防性试验，每件扣款200元/天，直至配齐合格工器具。</w:t>
      </w:r>
    </w:p>
    <w:p w14:paraId="57E84FB5">
      <w:pPr>
        <w:spacing w:line="400" w:lineRule="exact"/>
        <w:ind w:right="-113" w:rightChars="-54" w:firstLine="480" w:firstLineChars="200"/>
        <w:rPr>
          <w:rFonts w:hint="eastAsia" w:ascii="仿宋_GB2312" w:hAnsi="仿宋_GB2312" w:eastAsia="仿宋_GB2312" w:cs="仿宋_GB2312"/>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人员在工作期间遇投诉，经采购人核实为有效投诉的，每次扣款500元，被有效投诉两次以上或情节严重的</w:t>
      </w:r>
      <w:r>
        <w:rPr>
          <w:rFonts w:hint="eastAsia" w:ascii="仿宋_GB2312" w:hAnsi="仿宋_GB2312" w:eastAsia="仿宋_GB2312" w:cs="仿宋_GB2312"/>
          <w:sz w:val="24"/>
          <w:lang w:eastAsia="zh-CN"/>
        </w:rPr>
        <w:t>人员</w:t>
      </w:r>
      <w:r>
        <w:rPr>
          <w:rFonts w:hint="eastAsia" w:ascii="仿宋_GB2312" w:hAnsi="仿宋_GB2312" w:eastAsia="仿宋_GB2312" w:cs="仿宋_GB2312"/>
          <w:sz w:val="24"/>
        </w:rPr>
        <w:t>，</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必须将该</w:t>
      </w:r>
      <w:r>
        <w:rPr>
          <w:rFonts w:hint="eastAsia" w:ascii="仿宋_GB2312" w:hAnsi="仿宋_GB2312" w:eastAsia="仿宋_GB2312" w:cs="仿宋_GB2312"/>
          <w:sz w:val="24"/>
          <w:lang w:eastAsia="zh-CN"/>
        </w:rPr>
        <w:t>人</w:t>
      </w:r>
      <w:r>
        <w:rPr>
          <w:rFonts w:hint="eastAsia" w:ascii="仿宋_GB2312" w:hAnsi="仿宋_GB2312" w:eastAsia="仿宋_GB2312" w:cs="仿宋_GB2312"/>
          <w:sz w:val="24"/>
        </w:rPr>
        <w:t xml:space="preserve">员立即调离本项目。 </w:t>
      </w:r>
    </w:p>
    <w:p w14:paraId="6D6E03E2">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针对本采购需求</w:t>
      </w:r>
      <w:r>
        <w:rPr>
          <w:rFonts w:hint="eastAsia" w:ascii="仿宋_GB2312" w:hAnsi="仿宋_GB2312" w:eastAsia="仿宋_GB2312" w:cs="仿宋_GB2312"/>
          <w:sz w:val="24"/>
          <w:lang w:eastAsia="zh-CN"/>
        </w:rPr>
        <w:t>、投标</w:t>
      </w:r>
      <w:r>
        <w:rPr>
          <w:rFonts w:hint="eastAsia" w:ascii="仿宋_GB2312" w:hAnsi="仿宋_GB2312" w:eastAsia="仿宋_GB2312" w:cs="仿宋_GB2312"/>
          <w:sz w:val="24"/>
        </w:rPr>
        <w:t>文件</w:t>
      </w:r>
      <w:r>
        <w:rPr>
          <w:rFonts w:hint="eastAsia" w:ascii="仿宋_GB2312" w:hAnsi="仿宋_GB2312" w:eastAsia="仿宋_GB2312" w:cs="仿宋_GB2312"/>
          <w:sz w:val="24"/>
          <w:lang w:eastAsia="zh-CN"/>
        </w:rPr>
        <w:t>中</w:t>
      </w:r>
      <w:r>
        <w:rPr>
          <w:rFonts w:hint="eastAsia" w:ascii="仿宋_GB2312" w:hAnsi="仿宋_GB2312" w:eastAsia="仿宋_GB2312" w:cs="仿宋_GB2312"/>
          <w:sz w:val="24"/>
        </w:rPr>
        <w:t>承诺</w:t>
      </w:r>
      <w:r>
        <w:rPr>
          <w:rFonts w:hint="eastAsia" w:ascii="仿宋_GB2312" w:hAnsi="仿宋_GB2312" w:eastAsia="仿宋_GB2312" w:cs="仿宋_GB2312"/>
          <w:sz w:val="24"/>
          <w:lang w:eastAsia="zh-CN"/>
        </w:rPr>
        <w:t>、响应表及</w:t>
      </w:r>
      <w:r>
        <w:rPr>
          <w:rFonts w:hint="eastAsia" w:ascii="仿宋_GB2312" w:hAnsi="仿宋_GB2312" w:eastAsia="仿宋_GB2312" w:cs="仿宋_GB2312"/>
          <w:sz w:val="24"/>
        </w:rPr>
        <w:t>获得加分的内容，后续实施过程中未达到事项按100元·项/天扣款，直至</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完成整改。</w:t>
      </w:r>
    </w:p>
    <w:p w14:paraId="00CF5F71">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合</w:t>
      </w:r>
      <w:r>
        <w:rPr>
          <w:rFonts w:hint="eastAsia" w:ascii="仿宋_GB2312" w:hAnsi="仿宋_GB2312" w:eastAsia="仿宋_GB2312" w:cs="仿宋_GB2312"/>
          <w:sz w:val="24"/>
        </w:rPr>
        <w:t>同签订后如</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提出提前解除合同，</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应提前三个月以纸质文件形式通知采购人，</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如有违反，由此造成的损失由</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承担。</w:t>
      </w:r>
    </w:p>
    <w:p w14:paraId="4F557CE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 因</w:t>
      </w:r>
      <w:r>
        <w:rPr>
          <w:rFonts w:hint="eastAsia" w:ascii="仿宋_GB2312" w:hAnsi="仿宋_GB2312" w:eastAsia="仿宋_GB2312" w:cs="仿宋_GB2312"/>
          <w:sz w:val="24"/>
          <w:lang w:eastAsia="zh-CN"/>
        </w:rPr>
        <w:t>投标人维保</w:t>
      </w:r>
      <w:r>
        <w:rPr>
          <w:rFonts w:hint="eastAsia" w:ascii="仿宋_GB2312" w:hAnsi="仿宋_GB2312" w:eastAsia="仿宋_GB2312" w:cs="仿宋_GB2312"/>
          <w:sz w:val="24"/>
        </w:rPr>
        <w:t>人员工作失误造成不良影响的，每次扣1000元。</w:t>
      </w:r>
    </w:p>
    <w:p w14:paraId="2A445848">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 因</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原因发生责任事故，造成恶劣影响的，每次扣10000元。</w:t>
      </w:r>
    </w:p>
    <w:p w14:paraId="11E2DC16">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7</w:t>
      </w:r>
      <w:r>
        <w:rPr>
          <w:rFonts w:hint="eastAsia" w:ascii="仿宋_GB2312" w:hAnsi="仿宋_GB2312" w:eastAsia="仿宋_GB2312" w:cs="仿宋_GB2312"/>
          <w:sz w:val="24"/>
        </w:rPr>
        <w:t>. 业务交流制度</w:t>
      </w:r>
    </w:p>
    <w:p w14:paraId="22DEA9E8">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(1)本项目负责人须每天与采购人进行业务交流、沟通，否则每次扣200元；</w:t>
      </w:r>
    </w:p>
    <w:p w14:paraId="5E7F50DB">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法定代表人须每半年与采购人进行业务交流、沟通，否则每次扣1000元。</w:t>
      </w:r>
    </w:p>
    <w:p w14:paraId="7AB57003">
      <w:pPr>
        <w:spacing w:line="400" w:lineRule="exact"/>
        <w:ind w:right="-113" w:rightChars="-54"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在日常工作中拒不配合采购人安排的，采购人可以提前终止合同。</w:t>
      </w:r>
    </w:p>
    <w:p w14:paraId="5BF0C081">
      <w:pPr>
        <w:spacing w:line="400" w:lineRule="exact"/>
        <w:ind w:right="-113" w:rightChars="-54" w:firstLine="482" w:firstLineChars="200"/>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三、考核形式</w:t>
      </w:r>
    </w:p>
    <w:p w14:paraId="26B907A5">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以日常动态考核与每月底全面考核相结合的方式进行，具体由采购人派人暗访抽查或组织</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相关人员按</w:t>
      </w:r>
      <w:r>
        <w:rPr>
          <w:rFonts w:hint="eastAsia" w:ascii="仿宋_GB2312" w:hAnsi="仿宋_GB2312" w:eastAsia="仿宋_GB2312" w:cs="仿宋_GB2312"/>
          <w:sz w:val="24"/>
          <w:lang w:val="en-US" w:eastAsia="zh-CN"/>
        </w:rPr>
        <w:t>本</w:t>
      </w:r>
      <w:r>
        <w:rPr>
          <w:rFonts w:hint="eastAsia" w:ascii="仿宋_GB2312" w:hAnsi="仿宋_GB2312" w:eastAsia="仿宋_GB2312" w:cs="仿宋_GB2312"/>
          <w:sz w:val="24"/>
        </w:rPr>
        <w:t>《</w:t>
      </w:r>
      <w:r>
        <w:rPr>
          <w:rFonts w:hint="eastAsia" w:ascii="仿宋_GB2312" w:hAnsi="仿宋_GB2312" w:eastAsia="仿宋_GB2312" w:cs="仿宋_GB2312"/>
          <w:color w:val="000000"/>
          <w:sz w:val="24"/>
        </w:rPr>
        <w:t>办公区高低压配电系统维保服务</w:t>
      </w:r>
      <w:r>
        <w:rPr>
          <w:rFonts w:hint="eastAsia" w:ascii="仿宋_GB2312" w:hAnsi="仿宋_GB2312" w:eastAsia="仿宋_GB2312" w:cs="仿宋_GB2312"/>
          <w:sz w:val="24"/>
        </w:rPr>
        <w:t>考核办法》对</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在</w:t>
      </w:r>
      <w:r>
        <w:rPr>
          <w:rFonts w:hint="eastAsia" w:ascii="仿宋_GB2312" w:hAnsi="仿宋_GB2312" w:eastAsia="仿宋_GB2312" w:cs="仿宋_GB2312"/>
          <w:bCs/>
          <w:color w:val="000000"/>
          <w:sz w:val="24"/>
        </w:rPr>
        <w:t>文昌路66号、瑞安路9号等办公区</w:t>
      </w:r>
      <w:r>
        <w:rPr>
          <w:rFonts w:hint="eastAsia" w:ascii="仿宋_GB2312" w:hAnsi="仿宋_GB2312" w:eastAsia="仿宋_GB2312" w:cs="仿宋_GB2312"/>
          <w:sz w:val="24"/>
        </w:rPr>
        <w:t>的高低压配电系统维保服务履行情况随时进行实地考核。考核出现有扣款情况时以处罚通知书形式通知</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并由双方签字认可后生效（</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收到处罚通知书后需在1-3天内回复意见，截止请款月份不及时回复或不回复的，采购人可以顺延启动请款流程）。按本考核办法考核发现问题时，将相应的扣款作为违约金从服务费中扣除，同时采购人给予</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1-3天整改时间（小问题要求1天内解决，大问题要求3天内解决），整改期间同一对象同一问题不重复、不连续扣款。整改期结束后</w:t>
      </w:r>
      <w:r>
        <w:rPr>
          <w:rFonts w:hint="eastAsia" w:ascii="仿宋_GB2312" w:hAnsi="仿宋_GB2312" w:eastAsia="仿宋_GB2312" w:cs="仿宋_GB2312"/>
          <w:sz w:val="24"/>
          <w:lang w:eastAsia="zh-CN"/>
        </w:rPr>
        <w:t>投标人</w:t>
      </w:r>
      <w:r>
        <w:rPr>
          <w:rFonts w:hint="eastAsia" w:ascii="仿宋_GB2312" w:hAnsi="仿宋_GB2312" w:eastAsia="仿宋_GB2312" w:cs="仿宋_GB2312"/>
          <w:sz w:val="24"/>
        </w:rPr>
        <w:t>仍未完成整改的，继续按照本考核办法进行扣款。</w:t>
      </w:r>
    </w:p>
    <w:p w14:paraId="52CA30CC">
      <w:pPr>
        <w:spacing w:line="400" w:lineRule="exact"/>
        <w:ind w:right="-113" w:rightChars="-54"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考核中约定的扣除服务费条款，扣除服务费总额最多不超过合同总金额的15%，如扣除服务费超过合同总金额的15%，采购人可以提前终止合同。</w:t>
      </w:r>
    </w:p>
    <w:p w14:paraId="329EC59A">
      <w:pPr>
        <w:pStyle w:val="38"/>
        <w:rPr>
          <w:rFonts w:hint="eastAsia" w:ascii="仿宋_GB2312" w:hAnsi="仿宋_GB2312" w:eastAsia="仿宋_GB2312" w:cs="仿宋_GB2312"/>
          <w:sz w:val="24"/>
        </w:rPr>
      </w:pPr>
    </w:p>
    <w:p w14:paraId="6092C5B7">
      <w:pPr>
        <w:pStyle w:val="38"/>
        <w:rPr>
          <w:rFonts w:hint="eastAsia" w:ascii="仿宋_GB2312" w:hAnsi="仿宋_GB2312" w:eastAsia="仿宋_GB2312" w:cs="仿宋_GB2312"/>
          <w:sz w:val="24"/>
        </w:rPr>
      </w:pPr>
    </w:p>
    <w:p w14:paraId="2734C2F2">
      <w:pPr>
        <w:pStyle w:val="38"/>
        <w:rPr>
          <w:rFonts w:hint="eastAsia" w:ascii="仿宋_GB2312" w:hAnsi="仿宋_GB2312" w:eastAsia="仿宋_GB2312" w:cs="仿宋_GB2312"/>
          <w:sz w:val="24"/>
        </w:rPr>
      </w:pPr>
    </w:p>
    <w:p w14:paraId="1BA6A5F1">
      <w:pPr>
        <w:pStyle w:val="38"/>
        <w:rPr>
          <w:rFonts w:hint="eastAsia" w:ascii="仿宋_GB2312" w:hAnsi="仿宋_GB2312" w:eastAsia="仿宋_GB2312" w:cs="仿宋_GB2312"/>
          <w:sz w:val="24"/>
        </w:rPr>
      </w:pPr>
    </w:p>
    <w:p w14:paraId="3D1510AB">
      <w:pPr>
        <w:pStyle w:val="38"/>
        <w:rPr>
          <w:rFonts w:hint="eastAsia" w:ascii="仿宋_GB2312" w:hAnsi="仿宋_GB2312" w:eastAsia="仿宋_GB2312" w:cs="仿宋_GB2312"/>
          <w:sz w:val="24"/>
        </w:rPr>
      </w:pPr>
    </w:p>
    <w:p w14:paraId="0817BEF2">
      <w:pPr>
        <w:spacing w:line="400" w:lineRule="exact"/>
        <w:ind w:right="-113" w:rightChars="-54"/>
        <w:rPr>
          <w:rFonts w:hint="eastAsia" w:ascii="仿宋_GB2312" w:hAnsi="仿宋_GB2312" w:eastAsia="仿宋_GB2312" w:cs="仿宋_GB2312"/>
          <w:sz w:val="24"/>
        </w:rPr>
      </w:pPr>
      <w:r>
        <w:rPr>
          <w:rFonts w:hint="eastAsia" w:ascii="仿宋_GB2312" w:hAnsi="仿宋_GB2312" w:eastAsia="仿宋_GB2312" w:cs="仿宋_GB2312"/>
          <w:b/>
          <w:bCs/>
          <w:sz w:val="24"/>
        </w:rPr>
        <w:t>★附件二：</w:t>
      </w:r>
    </w:p>
    <w:tbl>
      <w:tblPr>
        <w:tblStyle w:val="48"/>
        <w:tblW w:w="0" w:type="auto"/>
        <w:tblInd w:w="0" w:type="dxa"/>
        <w:tblBorders>
          <w:top w:val="none" w:color="auto" w:sz="0" w:space="0"/>
          <w:left w:val="none" w:color="auto" w:sz="0"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4"/>
        <w:gridCol w:w="2026"/>
        <w:gridCol w:w="668"/>
        <w:gridCol w:w="851"/>
        <w:gridCol w:w="206"/>
        <w:gridCol w:w="928"/>
        <w:gridCol w:w="722"/>
        <w:gridCol w:w="837"/>
        <w:gridCol w:w="538"/>
        <w:gridCol w:w="1200"/>
      </w:tblGrid>
      <w:tr w14:paraId="3F824C7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8650" w:type="dxa"/>
            <w:gridSpan w:val="10"/>
            <w:tcBorders>
              <w:top w:val="nil"/>
              <w:left w:val="nil"/>
              <w:bottom w:val="single" w:color="000000" w:sz="4" w:space="0"/>
              <w:right w:val="nil"/>
            </w:tcBorders>
            <w:noWrap w:val="0"/>
            <w:vAlign w:val="center"/>
          </w:tcPr>
          <w:p w14:paraId="7BA48D8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《备件备品清单》</w:t>
            </w:r>
          </w:p>
        </w:tc>
      </w:tr>
      <w:tr w14:paraId="51D73546">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50" w:type="dxa"/>
            <w:gridSpan w:val="10"/>
            <w:tcBorders>
              <w:top w:val="single" w:color="000000" w:sz="4" w:space="0"/>
              <w:left w:val="single" w:color="000000" w:sz="4" w:space="0"/>
              <w:bottom w:val="single" w:color="000000" w:sz="4" w:space="0"/>
              <w:right w:val="single" w:color="000000" w:sz="4" w:space="0"/>
            </w:tcBorders>
            <w:noWrap w:val="0"/>
            <w:vAlign w:val="center"/>
          </w:tcPr>
          <w:p w14:paraId="74A23843">
            <w:pPr>
              <w:widowControl/>
              <w:spacing w:line="400" w:lineRule="exact"/>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（一）材料、工具表（含每半年一次工器具试验）</w:t>
            </w:r>
          </w:p>
        </w:tc>
      </w:tr>
      <w:tr w14:paraId="6C43839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4" w:type="dxa"/>
            <w:tcBorders>
              <w:top w:val="single" w:color="000000" w:sz="4" w:space="0"/>
              <w:left w:val="single" w:color="auto" w:sz="4" w:space="0"/>
              <w:bottom w:val="single" w:color="auto" w:sz="4" w:space="0"/>
              <w:right w:val="single" w:color="auto" w:sz="4" w:space="0"/>
            </w:tcBorders>
            <w:noWrap w:val="0"/>
            <w:vAlign w:val="center"/>
          </w:tcPr>
          <w:p w14:paraId="329855CA">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694" w:type="dxa"/>
            <w:gridSpan w:val="2"/>
            <w:tcBorders>
              <w:top w:val="single" w:color="000000" w:sz="4" w:space="0"/>
              <w:left w:val="single" w:color="auto" w:sz="4" w:space="0"/>
              <w:bottom w:val="single" w:color="auto" w:sz="4" w:space="0"/>
              <w:right w:val="single" w:color="auto" w:sz="4" w:space="0"/>
            </w:tcBorders>
            <w:noWrap w:val="0"/>
            <w:vAlign w:val="center"/>
          </w:tcPr>
          <w:p w14:paraId="3549C39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材料、工具</w:t>
            </w:r>
          </w:p>
        </w:tc>
        <w:tc>
          <w:tcPr>
            <w:tcW w:w="851" w:type="dxa"/>
            <w:tcBorders>
              <w:top w:val="single" w:color="000000" w:sz="4" w:space="0"/>
              <w:left w:val="single" w:color="auto" w:sz="4" w:space="0"/>
              <w:bottom w:val="single" w:color="auto" w:sz="4" w:space="0"/>
              <w:right w:val="single" w:color="auto" w:sz="4" w:space="0"/>
            </w:tcBorders>
            <w:noWrap w:val="0"/>
            <w:vAlign w:val="center"/>
          </w:tcPr>
          <w:p w14:paraId="2DC00CB4">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单位</w:t>
            </w:r>
          </w:p>
        </w:tc>
        <w:tc>
          <w:tcPr>
            <w:tcW w:w="1134" w:type="dxa"/>
            <w:gridSpan w:val="2"/>
            <w:tcBorders>
              <w:top w:val="single" w:color="000000" w:sz="4" w:space="0"/>
              <w:left w:val="single" w:color="auto" w:sz="4" w:space="0"/>
              <w:bottom w:val="single" w:color="auto" w:sz="4" w:space="0"/>
              <w:right w:val="single" w:color="auto" w:sz="4" w:space="0"/>
            </w:tcBorders>
            <w:noWrap w:val="0"/>
            <w:vAlign w:val="center"/>
          </w:tcPr>
          <w:p w14:paraId="6367143B">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年消耗</w:t>
            </w:r>
          </w:p>
        </w:tc>
        <w:tc>
          <w:tcPr>
            <w:tcW w:w="1559" w:type="dxa"/>
            <w:gridSpan w:val="2"/>
            <w:tcBorders>
              <w:top w:val="single" w:color="000000" w:sz="4" w:space="0"/>
              <w:left w:val="single" w:color="auto" w:sz="4" w:space="0"/>
              <w:bottom w:val="single" w:color="auto" w:sz="4" w:space="0"/>
              <w:right w:val="single" w:color="auto" w:sz="4" w:space="0"/>
            </w:tcBorders>
            <w:noWrap w:val="0"/>
            <w:vAlign w:val="center"/>
          </w:tcPr>
          <w:p w14:paraId="6C14CA08">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使用期限</w:t>
            </w:r>
          </w:p>
        </w:tc>
        <w:tc>
          <w:tcPr>
            <w:tcW w:w="1738" w:type="dxa"/>
            <w:gridSpan w:val="2"/>
            <w:tcBorders>
              <w:top w:val="single" w:color="000000" w:sz="4" w:space="0"/>
              <w:left w:val="single" w:color="auto" w:sz="4" w:space="0"/>
              <w:bottom w:val="single" w:color="auto" w:sz="4" w:space="0"/>
            </w:tcBorders>
            <w:noWrap w:val="0"/>
            <w:vAlign w:val="center"/>
          </w:tcPr>
          <w:p w14:paraId="62EA8113">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总数</w:t>
            </w:r>
          </w:p>
        </w:tc>
      </w:tr>
      <w:tr w14:paraId="7CAE461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003ED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995DEA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400安钳型电流表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8BF146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D40516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085464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center"/>
          </w:tcPr>
          <w:p w14:paraId="29121519">
            <w:pPr>
              <w:widowControl/>
              <w:tabs>
                <w:tab w:val="center" w:pos="-994"/>
                <w:tab w:val="left" w:pos="958"/>
              </w:tabs>
              <w:spacing w:line="400" w:lineRule="exact"/>
              <w:ind w:left="-4160" w:leftChars="-1981"/>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48</w:t>
            </w:r>
            <w:r>
              <w:rPr>
                <w:rFonts w:hint="eastAsia" w:ascii="仿宋_GB2312" w:hAnsi="仿宋_GB2312" w:eastAsia="仿宋_GB2312" w:cs="仿宋_GB2312"/>
                <w:color w:val="000000"/>
                <w:kern w:val="0"/>
                <w:sz w:val="24"/>
              </w:rPr>
              <w:tab/>
            </w:r>
            <w:r>
              <w:rPr>
                <w:rFonts w:hint="eastAsia" w:ascii="仿宋_GB2312" w:hAnsi="仿宋_GB2312" w:eastAsia="仿宋_GB2312" w:cs="仿宋_GB2312"/>
                <w:color w:val="000000"/>
                <w:kern w:val="0"/>
                <w:sz w:val="24"/>
              </w:rPr>
              <w:t xml:space="preserve">                  4</w:t>
            </w:r>
          </w:p>
        </w:tc>
      </w:tr>
      <w:tr w14:paraId="4BBBFCFD">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F75387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0D14EF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高压电笔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4BE019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B38146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0B3484A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center"/>
          </w:tcPr>
          <w:p w14:paraId="5153956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215A32B3">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08B65D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700629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低压电笔</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132D4D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支</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E1D61D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0879C22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top"/>
          </w:tcPr>
          <w:p w14:paraId="74337DF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240CBF5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F6F1BF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0D57827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十字螺丝刀</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666B53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14CD0B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565AB9B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672A98C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2350B775">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59FBDD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5</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ED120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30B万用表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66B6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7C67241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5C2DEE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23449C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5FDA1A71">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0E7E387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6EBCF65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钢丝钳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5C9A9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BB8792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5B1D544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074243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652CF2A4">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81766E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7</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3C08CF9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尖嘴钳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0ABDB02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1CAEBA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12EA7F0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0899407E">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0C7391E">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349EE3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659206F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平嘴钳</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AE1183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0D05933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223C2B6">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85432A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67D573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008F07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9</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2E26BBE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剪刀</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F31A5C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把</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49E166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6080D3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1E9B132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5BB6833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599742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10</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765F5D8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电工胶布</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8C6A1BD">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卷</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8E0CC1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center"/>
          </w:tcPr>
          <w:p w14:paraId="76E7679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center"/>
          </w:tcPr>
          <w:p w14:paraId="279D22F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8</w:t>
            </w:r>
          </w:p>
        </w:tc>
      </w:tr>
      <w:tr w14:paraId="4C40D2FA">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3D8CDF1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5450CED8">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电工包</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107E6FD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套</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B14944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3397117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47AC671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7477ACFB">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35E553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12</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5066DC8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堵泥</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4621BC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公斤</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0D91B4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20</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4AB9A7B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1年</w:t>
            </w:r>
          </w:p>
        </w:tc>
        <w:tc>
          <w:tcPr>
            <w:tcW w:w="1738" w:type="dxa"/>
            <w:gridSpan w:val="2"/>
            <w:tcBorders>
              <w:top w:val="single" w:color="auto" w:sz="4" w:space="0"/>
              <w:left w:val="single" w:color="auto" w:sz="4" w:space="0"/>
              <w:bottom w:val="single" w:color="auto" w:sz="4" w:space="0"/>
            </w:tcBorders>
            <w:noWrap w:val="0"/>
            <w:vAlign w:val="top"/>
          </w:tcPr>
          <w:p w14:paraId="2335F1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40</w:t>
            </w:r>
          </w:p>
        </w:tc>
      </w:tr>
      <w:tr w14:paraId="339374B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70016E5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13</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01DB31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绝缘鞋</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5376AA4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6C9950C8">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80F36D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02FA4B5D">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15311172">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EBA338F">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14</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4FF9DCCA">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绝缘手套</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563869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双</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4E920C7F">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191B9FB9">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244B5961">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4EB6010C">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4EF02CF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15</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3C6053A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安全帽</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3908DD3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个</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6F0536D">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225C0E87">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6个月</w:t>
            </w:r>
          </w:p>
        </w:tc>
        <w:tc>
          <w:tcPr>
            <w:tcW w:w="1738" w:type="dxa"/>
            <w:gridSpan w:val="2"/>
            <w:tcBorders>
              <w:top w:val="single" w:color="auto" w:sz="4" w:space="0"/>
              <w:left w:val="single" w:color="auto" w:sz="4" w:space="0"/>
              <w:bottom w:val="single" w:color="auto" w:sz="4" w:space="0"/>
            </w:tcBorders>
            <w:noWrap w:val="0"/>
            <w:vAlign w:val="top"/>
          </w:tcPr>
          <w:p w14:paraId="07DBADA0">
            <w:pPr>
              <w:widowControl/>
              <w:spacing w:line="400" w:lineRule="exact"/>
              <w:jc w:val="center"/>
              <w:rPr>
                <w:rFonts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44</w:t>
            </w:r>
          </w:p>
        </w:tc>
      </w:tr>
      <w:tr w14:paraId="5B79D468">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186883E2">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16</w:t>
            </w:r>
          </w:p>
        </w:tc>
        <w:tc>
          <w:tcPr>
            <w:tcW w:w="2694" w:type="dxa"/>
            <w:gridSpan w:val="2"/>
            <w:tcBorders>
              <w:top w:val="single" w:color="auto" w:sz="4" w:space="0"/>
              <w:left w:val="single" w:color="auto" w:sz="4" w:space="0"/>
              <w:bottom w:val="single" w:color="auto" w:sz="4" w:space="0"/>
              <w:right w:val="single" w:color="auto" w:sz="4" w:space="0"/>
            </w:tcBorders>
            <w:noWrap w:val="0"/>
            <w:vAlign w:val="center"/>
          </w:tcPr>
          <w:p w14:paraId="1E79E3E4">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绝缘表</w:t>
            </w:r>
          </w:p>
        </w:tc>
        <w:tc>
          <w:tcPr>
            <w:tcW w:w="851" w:type="dxa"/>
            <w:tcBorders>
              <w:top w:val="single" w:color="auto" w:sz="4" w:space="0"/>
              <w:left w:val="single" w:color="auto" w:sz="4" w:space="0"/>
              <w:bottom w:val="single" w:color="auto" w:sz="4" w:space="0"/>
              <w:right w:val="single" w:color="auto" w:sz="4" w:space="0"/>
            </w:tcBorders>
            <w:noWrap w:val="0"/>
            <w:vAlign w:val="center"/>
          </w:tcPr>
          <w:p w14:paraId="297CFC8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块</w:t>
            </w: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14:paraId="2B3D160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c>
          <w:tcPr>
            <w:tcW w:w="1559" w:type="dxa"/>
            <w:gridSpan w:val="2"/>
            <w:tcBorders>
              <w:top w:val="single" w:color="auto" w:sz="4" w:space="0"/>
              <w:left w:val="single" w:color="auto" w:sz="4" w:space="0"/>
              <w:bottom w:val="single" w:color="auto" w:sz="4" w:space="0"/>
              <w:right w:val="single" w:color="auto" w:sz="4" w:space="0"/>
            </w:tcBorders>
            <w:noWrap w:val="0"/>
            <w:vAlign w:val="top"/>
          </w:tcPr>
          <w:p w14:paraId="6D5E035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738" w:type="dxa"/>
            <w:gridSpan w:val="2"/>
            <w:tcBorders>
              <w:top w:val="single" w:color="auto" w:sz="4" w:space="0"/>
              <w:left w:val="single" w:color="auto" w:sz="4" w:space="0"/>
              <w:bottom w:val="single" w:color="auto" w:sz="4" w:space="0"/>
            </w:tcBorders>
            <w:noWrap w:val="0"/>
            <w:vAlign w:val="top"/>
          </w:tcPr>
          <w:p w14:paraId="533A1FA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4</w:t>
            </w:r>
          </w:p>
        </w:tc>
      </w:tr>
      <w:tr w14:paraId="242A1ACF">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650" w:type="dxa"/>
            <w:gridSpan w:val="10"/>
            <w:tcBorders>
              <w:top w:val="single" w:color="auto" w:sz="4" w:space="0"/>
              <w:left w:val="single" w:color="auto" w:sz="4" w:space="0"/>
              <w:bottom w:val="single" w:color="auto" w:sz="4" w:space="0"/>
            </w:tcBorders>
            <w:noWrap w:val="0"/>
            <w:vAlign w:val="center"/>
          </w:tcPr>
          <w:p w14:paraId="13042F6D">
            <w:pPr>
              <w:spacing w:line="40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b/>
                <w:bCs/>
                <w:color w:val="000000"/>
                <w:kern w:val="0"/>
                <w:sz w:val="24"/>
              </w:rPr>
              <w:t>（二）服装</w:t>
            </w:r>
          </w:p>
        </w:tc>
      </w:tr>
      <w:tr w14:paraId="5C26975E">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674" w:type="dxa"/>
            <w:tcBorders>
              <w:top w:val="single" w:color="auto" w:sz="4" w:space="0"/>
              <w:left w:val="single" w:color="auto" w:sz="4" w:space="0"/>
              <w:bottom w:val="single" w:color="auto" w:sz="4" w:space="0"/>
              <w:right w:val="single" w:color="auto" w:sz="4" w:space="0"/>
            </w:tcBorders>
            <w:noWrap w:val="0"/>
            <w:vAlign w:val="center"/>
          </w:tcPr>
          <w:p w14:paraId="23293781">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序号</w:t>
            </w:r>
          </w:p>
        </w:tc>
        <w:tc>
          <w:tcPr>
            <w:tcW w:w="2026" w:type="dxa"/>
            <w:tcBorders>
              <w:top w:val="single" w:color="auto" w:sz="4" w:space="0"/>
              <w:left w:val="single" w:color="auto" w:sz="4" w:space="0"/>
              <w:bottom w:val="single" w:color="auto" w:sz="4" w:space="0"/>
              <w:right w:val="single" w:color="auto" w:sz="4" w:space="0"/>
            </w:tcBorders>
            <w:noWrap w:val="0"/>
            <w:vAlign w:val="center"/>
          </w:tcPr>
          <w:p w14:paraId="68EFC033">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项目</w:t>
            </w: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7A5EB64A">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标准</w:t>
            </w:r>
          </w:p>
        </w:tc>
        <w:tc>
          <w:tcPr>
            <w:tcW w:w="1650" w:type="dxa"/>
            <w:gridSpan w:val="2"/>
            <w:tcBorders>
              <w:top w:val="single" w:color="auto" w:sz="4" w:space="0"/>
              <w:left w:val="single" w:color="auto" w:sz="4" w:space="0"/>
              <w:bottom w:val="single" w:color="auto" w:sz="4" w:space="0"/>
              <w:right w:val="single" w:color="auto" w:sz="4" w:space="0"/>
            </w:tcBorders>
            <w:noWrap w:val="0"/>
            <w:vAlign w:val="center"/>
          </w:tcPr>
          <w:p w14:paraId="3CB812DC">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人数</w:t>
            </w:r>
          </w:p>
        </w:tc>
        <w:tc>
          <w:tcPr>
            <w:tcW w:w="1375" w:type="dxa"/>
            <w:gridSpan w:val="2"/>
            <w:tcBorders>
              <w:top w:val="single" w:color="auto" w:sz="4" w:space="0"/>
              <w:left w:val="single" w:color="auto" w:sz="4" w:space="0"/>
              <w:bottom w:val="single" w:color="auto" w:sz="4" w:space="0"/>
              <w:right w:val="single" w:color="auto" w:sz="4" w:space="0"/>
            </w:tcBorders>
            <w:noWrap w:val="0"/>
            <w:vAlign w:val="center"/>
          </w:tcPr>
          <w:p w14:paraId="77EC5F94">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使用年限</w:t>
            </w:r>
          </w:p>
        </w:tc>
        <w:tc>
          <w:tcPr>
            <w:tcW w:w="1200" w:type="dxa"/>
            <w:tcBorders>
              <w:top w:val="single" w:color="auto" w:sz="4" w:space="0"/>
              <w:left w:val="single" w:color="auto" w:sz="4" w:space="0"/>
              <w:bottom w:val="single" w:color="auto" w:sz="4" w:space="0"/>
            </w:tcBorders>
            <w:noWrap w:val="0"/>
            <w:vAlign w:val="center"/>
          </w:tcPr>
          <w:p w14:paraId="3B65A192">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color w:val="000000"/>
                <w:kern w:val="0"/>
                <w:sz w:val="24"/>
              </w:rPr>
              <w:t>总数</w:t>
            </w:r>
          </w:p>
        </w:tc>
      </w:tr>
      <w:tr w14:paraId="62037440">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4" w:type="dxa"/>
            <w:vMerge w:val="restart"/>
            <w:tcBorders>
              <w:top w:val="single" w:color="auto" w:sz="4" w:space="0"/>
              <w:left w:val="single" w:color="auto" w:sz="4" w:space="0"/>
              <w:right w:val="single" w:color="auto" w:sz="4" w:space="0"/>
            </w:tcBorders>
            <w:noWrap w:val="0"/>
            <w:vAlign w:val="center"/>
          </w:tcPr>
          <w:p w14:paraId="2985D2F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w:t>
            </w:r>
          </w:p>
        </w:tc>
        <w:tc>
          <w:tcPr>
            <w:tcW w:w="2026" w:type="dxa"/>
            <w:vMerge w:val="restart"/>
            <w:tcBorders>
              <w:top w:val="single" w:color="auto" w:sz="4" w:space="0"/>
              <w:left w:val="single" w:color="auto" w:sz="4" w:space="0"/>
              <w:right w:val="single" w:color="auto" w:sz="4" w:space="0"/>
            </w:tcBorders>
            <w:noWrap w:val="0"/>
            <w:vAlign w:val="center"/>
          </w:tcPr>
          <w:p w14:paraId="0C90B0A0">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专职技术员</w:t>
            </w:r>
          </w:p>
          <w:p w14:paraId="6D80546C">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（含项目负责人）</w:t>
            </w: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0F2D0F90">
            <w:pPr>
              <w:widowControl/>
              <w:spacing w:line="400" w:lineRule="exact"/>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color w:val="000000"/>
                <w:kern w:val="0"/>
                <w:sz w:val="24"/>
              </w:rPr>
              <w:t>夏装2套/人</w:t>
            </w:r>
          </w:p>
        </w:tc>
        <w:tc>
          <w:tcPr>
            <w:tcW w:w="1650" w:type="dxa"/>
            <w:gridSpan w:val="2"/>
            <w:vMerge w:val="restart"/>
            <w:tcBorders>
              <w:top w:val="single" w:color="auto" w:sz="4" w:space="0"/>
              <w:left w:val="single" w:color="auto" w:sz="4" w:space="0"/>
              <w:right w:val="single" w:color="auto" w:sz="4" w:space="0"/>
            </w:tcBorders>
            <w:noWrap w:val="0"/>
            <w:vAlign w:val="center"/>
          </w:tcPr>
          <w:p w14:paraId="5F19BEB5">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11人</w:t>
            </w:r>
          </w:p>
        </w:tc>
        <w:tc>
          <w:tcPr>
            <w:tcW w:w="1375" w:type="dxa"/>
            <w:gridSpan w:val="2"/>
            <w:vMerge w:val="restart"/>
            <w:tcBorders>
              <w:top w:val="single" w:color="auto" w:sz="4" w:space="0"/>
              <w:left w:val="single" w:color="auto" w:sz="4" w:space="0"/>
              <w:right w:val="single" w:color="auto" w:sz="4" w:space="0"/>
            </w:tcBorders>
            <w:noWrap w:val="0"/>
            <w:vAlign w:val="center"/>
          </w:tcPr>
          <w:p w14:paraId="2E90E3F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2年</w:t>
            </w:r>
          </w:p>
        </w:tc>
        <w:tc>
          <w:tcPr>
            <w:tcW w:w="1200" w:type="dxa"/>
            <w:tcBorders>
              <w:top w:val="single" w:color="auto" w:sz="4" w:space="0"/>
              <w:left w:val="single" w:color="auto" w:sz="4" w:space="0"/>
              <w:bottom w:val="single" w:color="auto" w:sz="4" w:space="0"/>
            </w:tcBorders>
            <w:noWrap w:val="0"/>
            <w:vAlign w:val="center"/>
          </w:tcPr>
          <w:p w14:paraId="51DFF2B3">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22套</w:t>
            </w:r>
          </w:p>
        </w:tc>
      </w:tr>
      <w:tr w14:paraId="59F7FDC5">
        <w:tblPrEx>
          <w:tblBorders>
            <w:top w:val="none" w:color="auto" w:sz="0" w:space="0"/>
            <w:left w:val="none" w:color="auto" w:sz="0"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4" w:type="dxa"/>
            <w:vMerge w:val="continue"/>
            <w:tcBorders>
              <w:left w:val="single" w:color="auto" w:sz="4" w:space="0"/>
              <w:bottom w:val="single" w:color="auto" w:sz="4" w:space="0"/>
              <w:right w:val="single" w:color="auto" w:sz="4" w:space="0"/>
            </w:tcBorders>
            <w:noWrap w:val="0"/>
            <w:vAlign w:val="center"/>
          </w:tcPr>
          <w:p w14:paraId="0DF90E08">
            <w:pPr>
              <w:widowControl/>
              <w:spacing w:line="400" w:lineRule="exact"/>
              <w:jc w:val="center"/>
              <w:rPr>
                <w:rFonts w:hint="eastAsia" w:ascii="仿宋_GB2312" w:hAnsi="仿宋_GB2312" w:eastAsia="仿宋_GB2312" w:cs="仿宋_GB2312"/>
                <w:color w:val="000000"/>
                <w:kern w:val="0"/>
                <w:sz w:val="24"/>
              </w:rPr>
            </w:pPr>
          </w:p>
        </w:tc>
        <w:tc>
          <w:tcPr>
            <w:tcW w:w="2026" w:type="dxa"/>
            <w:vMerge w:val="continue"/>
            <w:tcBorders>
              <w:left w:val="single" w:color="auto" w:sz="4" w:space="0"/>
              <w:bottom w:val="single" w:color="auto" w:sz="4" w:space="0"/>
              <w:right w:val="single" w:color="auto" w:sz="4" w:space="0"/>
            </w:tcBorders>
            <w:noWrap w:val="0"/>
            <w:vAlign w:val="center"/>
          </w:tcPr>
          <w:p w14:paraId="63D5136D">
            <w:pPr>
              <w:widowControl/>
              <w:spacing w:line="400" w:lineRule="exact"/>
              <w:jc w:val="center"/>
              <w:rPr>
                <w:rFonts w:hint="eastAsia" w:ascii="仿宋_GB2312" w:hAnsi="仿宋_GB2312" w:eastAsia="仿宋_GB2312" w:cs="仿宋_GB2312"/>
                <w:color w:val="000000"/>
                <w:kern w:val="0"/>
                <w:sz w:val="24"/>
              </w:rPr>
            </w:pPr>
          </w:p>
        </w:tc>
        <w:tc>
          <w:tcPr>
            <w:tcW w:w="1725" w:type="dxa"/>
            <w:gridSpan w:val="3"/>
            <w:tcBorders>
              <w:top w:val="single" w:color="auto" w:sz="4" w:space="0"/>
              <w:left w:val="single" w:color="auto" w:sz="4" w:space="0"/>
              <w:bottom w:val="single" w:color="auto" w:sz="4" w:space="0"/>
              <w:right w:val="single" w:color="auto" w:sz="4" w:space="0"/>
            </w:tcBorders>
            <w:noWrap w:val="0"/>
            <w:vAlign w:val="center"/>
          </w:tcPr>
          <w:p w14:paraId="13861DAB">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冬装2套/人</w:t>
            </w:r>
          </w:p>
        </w:tc>
        <w:tc>
          <w:tcPr>
            <w:tcW w:w="1650" w:type="dxa"/>
            <w:gridSpan w:val="2"/>
            <w:vMerge w:val="continue"/>
            <w:tcBorders>
              <w:left w:val="single" w:color="auto" w:sz="4" w:space="0"/>
              <w:bottom w:val="single" w:color="auto" w:sz="4" w:space="0"/>
              <w:right w:val="single" w:color="auto" w:sz="4" w:space="0"/>
            </w:tcBorders>
            <w:noWrap w:val="0"/>
            <w:vAlign w:val="center"/>
          </w:tcPr>
          <w:p w14:paraId="1568B193">
            <w:pPr>
              <w:widowControl/>
              <w:spacing w:line="400" w:lineRule="exact"/>
              <w:jc w:val="center"/>
              <w:rPr>
                <w:rFonts w:hint="eastAsia" w:ascii="仿宋_GB2312" w:hAnsi="仿宋_GB2312" w:eastAsia="仿宋_GB2312" w:cs="仿宋_GB2312"/>
                <w:color w:val="000000"/>
                <w:kern w:val="0"/>
                <w:sz w:val="24"/>
              </w:rPr>
            </w:pPr>
          </w:p>
        </w:tc>
        <w:tc>
          <w:tcPr>
            <w:tcW w:w="1375" w:type="dxa"/>
            <w:gridSpan w:val="2"/>
            <w:vMerge w:val="continue"/>
            <w:tcBorders>
              <w:left w:val="single" w:color="auto" w:sz="4" w:space="0"/>
              <w:bottom w:val="single" w:color="auto" w:sz="4" w:space="0"/>
              <w:right w:val="single" w:color="auto" w:sz="4" w:space="0"/>
            </w:tcBorders>
            <w:noWrap w:val="0"/>
            <w:vAlign w:val="top"/>
          </w:tcPr>
          <w:p w14:paraId="576646C6">
            <w:pPr>
              <w:widowControl/>
              <w:spacing w:line="400" w:lineRule="exact"/>
              <w:jc w:val="center"/>
              <w:rPr>
                <w:rFonts w:hint="eastAsia" w:ascii="仿宋_GB2312" w:hAnsi="仿宋_GB2312" w:eastAsia="仿宋_GB2312" w:cs="仿宋_GB2312"/>
                <w:color w:val="000000"/>
                <w:kern w:val="0"/>
                <w:sz w:val="24"/>
              </w:rPr>
            </w:pPr>
          </w:p>
        </w:tc>
        <w:tc>
          <w:tcPr>
            <w:tcW w:w="1200" w:type="dxa"/>
            <w:tcBorders>
              <w:top w:val="single" w:color="auto" w:sz="4" w:space="0"/>
              <w:left w:val="single" w:color="auto" w:sz="4" w:space="0"/>
              <w:bottom w:val="single" w:color="auto" w:sz="4" w:space="0"/>
            </w:tcBorders>
            <w:noWrap w:val="0"/>
            <w:vAlign w:val="center"/>
          </w:tcPr>
          <w:p w14:paraId="03B13E61">
            <w:pPr>
              <w:widowControl/>
              <w:spacing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22套</w:t>
            </w:r>
          </w:p>
        </w:tc>
      </w:tr>
    </w:tbl>
    <w:p w14:paraId="6C5F410A">
      <w:pPr>
        <w:widowControl/>
        <w:spacing w:line="400" w:lineRule="exact"/>
        <w:rPr>
          <w:rFonts w:hint="eastAsia" w:ascii="仿宋_GB2312" w:hAnsi="仿宋_GB2312" w:eastAsia="仿宋_GB2312" w:cs="仿宋_GB2312"/>
        </w:rPr>
      </w:pPr>
      <w:r>
        <w:rPr>
          <w:rFonts w:hint="eastAsia" w:ascii="仿宋_GB2312" w:hAnsi="仿宋_GB2312" w:eastAsia="仿宋_GB2312" w:cs="仿宋_GB2312"/>
          <w:color w:val="000000"/>
          <w:kern w:val="0"/>
          <w:sz w:val="24"/>
        </w:rPr>
        <w:t>以上备品备件总数按实际投入人员数计算。</w:t>
      </w:r>
    </w:p>
    <w:p w14:paraId="33932BA1">
      <w:pPr>
        <w:pStyle w:val="38"/>
        <w:rPr>
          <w:rFonts w:hint="eastAsia" w:ascii="仿宋_GB2312" w:hAnsi="仿宋_GB2312" w:eastAsia="仿宋_GB2312" w:cs="仿宋_GB2312"/>
          <w:sz w:val="24"/>
        </w:rPr>
      </w:pPr>
    </w:p>
    <w:p w14:paraId="5FF26CC5">
      <w:pPr>
        <w:pStyle w:val="38"/>
        <w:rPr>
          <w:rFonts w:hint="eastAsia" w:ascii="仿宋_GB2312" w:hAnsi="仿宋_GB2312" w:eastAsia="仿宋_GB2312" w:cs="仿宋_GB2312"/>
          <w:sz w:val="24"/>
        </w:rPr>
      </w:pPr>
    </w:p>
    <w:p w14:paraId="4808AA01">
      <w:pPr>
        <w:pStyle w:val="38"/>
        <w:ind w:left="0" w:leftChars="0" w:firstLine="0" w:firstLineChars="0"/>
        <w:rPr>
          <w:rFonts w:hint="eastAsia" w:ascii="仿宋_GB2312" w:hAnsi="仿宋_GB2312" w:eastAsia="仿宋_GB2312" w:cs="仿宋_GB2312"/>
          <w:sz w:val="24"/>
        </w:rPr>
        <w:sectPr>
          <w:footerReference r:id="rId8" w:type="default"/>
          <w:pgSz w:w="11906" w:h="16838"/>
          <w:pgMar w:top="1134" w:right="1247" w:bottom="1134" w:left="1247" w:header="851" w:footer="992" w:gutter="0"/>
          <w:pgNumType w:start="21"/>
          <w:cols w:space="720" w:num="1"/>
          <w:docGrid w:type="lines" w:linePitch="312" w:charSpace="0"/>
        </w:sectPr>
      </w:pPr>
    </w:p>
    <w:p w14:paraId="43E8D2FB">
      <w:pPr>
        <w:pStyle w:val="4"/>
        <w:spacing w:line="276" w:lineRule="auto"/>
        <w:jc w:val="center"/>
        <w:rPr>
          <w:sz w:val="32"/>
          <w:szCs w:val="32"/>
        </w:rPr>
      </w:pPr>
      <w:r>
        <w:rPr>
          <w:rFonts w:hint="eastAsia"/>
          <w:sz w:val="32"/>
          <w:szCs w:val="32"/>
        </w:rPr>
        <w:t>第三章 投标人须知</w:t>
      </w:r>
      <w:bookmarkEnd w:id="24"/>
    </w:p>
    <w:p w14:paraId="15FB8E3B">
      <w:pPr>
        <w:spacing w:line="276" w:lineRule="auto"/>
        <w:jc w:val="center"/>
        <w:rPr>
          <w:rFonts w:ascii="仿宋_GB2312" w:eastAsia="仿宋_GB2312"/>
          <w:b/>
          <w:sz w:val="28"/>
          <w:szCs w:val="28"/>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232"/>
      </w:tblGrid>
      <w:tr w14:paraId="794D8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top"/>
          </w:tcPr>
          <w:p w14:paraId="42AE63E1">
            <w:pPr>
              <w:spacing w:line="400" w:lineRule="exact"/>
              <w:jc w:val="center"/>
              <w:rPr>
                <w:rFonts w:ascii="仿宋_GB2312" w:eastAsia="仿宋_GB2312"/>
                <w:b/>
                <w:sz w:val="24"/>
              </w:rPr>
            </w:pPr>
            <w:r>
              <w:rPr>
                <w:rFonts w:hint="eastAsia" w:ascii="仿宋_GB2312" w:eastAsia="仿宋_GB2312"/>
                <w:b/>
                <w:sz w:val="24"/>
              </w:rPr>
              <w:t>序号</w:t>
            </w:r>
          </w:p>
        </w:tc>
        <w:tc>
          <w:tcPr>
            <w:tcW w:w="8232" w:type="dxa"/>
            <w:noWrap w:val="0"/>
            <w:vAlign w:val="top"/>
          </w:tcPr>
          <w:p w14:paraId="3B24A2A2">
            <w:pPr>
              <w:spacing w:line="400" w:lineRule="exact"/>
              <w:jc w:val="center"/>
              <w:rPr>
                <w:rFonts w:ascii="仿宋_GB2312" w:eastAsia="仿宋_GB2312"/>
                <w:b/>
                <w:sz w:val="24"/>
              </w:rPr>
            </w:pPr>
            <w:r>
              <w:rPr>
                <w:rFonts w:hint="eastAsia" w:ascii="仿宋_GB2312" w:eastAsia="仿宋_GB2312"/>
                <w:b/>
                <w:sz w:val="24"/>
              </w:rPr>
              <w:t>内    容</w:t>
            </w:r>
          </w:p>
        </w:tc>
      </w:tr>
      <w:tr w14:paraId="0FD1C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16E7867">
            <w:pPr>
              <w:spacing w:line="400" w:lineRule="exact"/>
              <w:jc w:val="center"/>
              <w:rPr>
                <w:rFonts w:ascii="仿宋_GB2312" w:eastAsia="仿宋_GB2312"/>
                <w:sz w:val="24"/>
              </w:rPr>
            </w:pPr>
            <w:r>
              <w:rPr>
                <w:rFonts w:hint="eastAsia" w:ascii="仿宋_GB2312" w:eastAsia="仿宋_GB2312"/>
                <w:sz w:val="24"/>
              </w:rPr>
              <w:t>1</w:t>
            </w:r>
          </w:p>
        </w:tc>
        <w:tc>
          <w:tcPr>
            <w:tcW w:w="8232" w:type="dxa"/>
            <w:noWrap w:val="0"/>
            <w:vAlign w:val="center"/>
          </w:tcPr>
          <w:p w14:paraId="47B6A118">
            <w:pPr>
              <w:spacing w:line="400" w:lineRule="exact"/>
              <w:rPr>
                <w:rFonts w:ascii="仿宋_GB2312" w:eastAsia="仿宋_GB2312"/>
                <w:sz w:val="24"/>
              </w:rPr>
            </w:pPr>
            <w:r>
              <w:rPr>
                <w:rFonts w:hint="eastAsia" w:ascii="仿宋_GB2312" w:eastAsia="仿宋_GB2312"/>
                <w:sz w:val="24"/>
              </w:rPr>
              <w:t>项目名称：</w:t>
            </w:r>
            <w:r>
              <w:rPr>
                <w:rFonts w:ascii="仿宋_GB2312" w:hAnsi="宋体" w:eastAsia="仿宋_GB2312"/>
                <w:sz w:val="24"/>
              </w:rPr>
              <w:t>办公区高低压配电系统维保服务采购</w:t>
            </w:r>
          </w:p>
          <w:p w14:paraId="3E974B1B">
            <w:pPr>
              <w:spacing w:line="400" w:lineRule="exact"/>
              <w:rPr>
                <w:rFonts w:ascii="仿宋_GB2312" w:eastAsia="仿宋_GB2312"/>
                <w:sz w:val="24"/>
              </w:rPr>
            </w:pPr>
            <w:r>
              <w:rPr>
                <w:rFonts w:hint="eastAsia" w:ascii="仿宋_GB2312" w:eastAsia="仿宋_GB2312"/>
                <w:sz w:val="24"/>
              </w:rPr>
              <w:t>项目编号：</w:t>
            </w:r>
            <w:r>
              <w:rPr>
                <w:rFonts w:hint="eastAsia" w:ascii="仿宋_GB2312" w:hAnsi="宋体" w:eastAsia="仿宋_GB2312"/>
                <w:sz w:val="24"/>
                <w:lang w:eastAsia="zh-CN"/>
              </w:rPr>
              <w:t>LZZC2025-G3-990171-LZSZ</w:t>
            </w:r>
          </w:p>
        </w:tc>
      </w:tr>
      <w:tr w14:paraId="3C871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339F50A">
            <w:pPr>
              <w:spacing w:line="400" w:lineRule="exact"/>
              <w:jc w:val="center"/>
              <w:rPr>
                <w:rFonts w:ascii="仿宋_GB2312" w:eastAsia="仿宋_GB2312"/>
                <w:sz w:val="24"/>
              </w:rPr>
            </w:pPr>
            <w:r>
              <w:rPr>
                <w:rFonts w:ascii="仿宋_GB2312" w:eastAsia="仿宋_GB2312"/>
                <w:sz w:val="24"/>
              </w:rPr>
              <w:t>2</w:t>
            </w:r>
          </w:p>
        </w:tc>
        <w:tc>
          <w:tcPr>
            <w:tcW w:w="8232" w:type="dxa"/>
            <w:noWrap w:val="0"/>
            <w:vAlign w:val="top"/>
          </w:tcPr>
          <w:p w14:paraId="490BB755">
            <w:pPr>
              <w:autoSpaceDE w:val="0"/>
              <w:autoSpaceDN w:val="0"/>
              <w:spacing w:line="400" w:lineRule="exact"/>
              <w:textAlignment w:val="bottom"/>
              <w:rPr>
                <w:rFonts w:ascii="仿宋_GB2312" w:eastAsia="仿宋_GB2312"/>
                <w:sz w:val="24"/>
              </w:rPr>
            </w:pPr>
            <w:r>
              <w:rPr>
                <w:rFonts w:hint="eastAsia" w:ascii="仿宋_GB2312" w:eastAsia="仿宋_GB2312"/>
                <w:sz w:val="24"/>
              </w:rPr>
              <w:t>采购资金来源：财政性资金</w:t>
            </w:r>
          </w:p>
          <w:p w14:paraId="629F28DC">
            <w:pPr>
              <w:autoSpaceDE w:val="0"/>
              <w:autoSpaceDN w:val="0"/>
              <w:spacing w:line="400" w:lineRule="exact"/>
              <w:textAlignment w:val="bottom"/>
              <w:rPr>
                <w:rFonts w:ascii="仿宋_GB2312" w:eastAsia="仿宋_GB2312"/>
                <w:sz w:val="24"/>
              </w:rPr>
            </w:pPr>
            <w:r>
              <w:rPr>
                <w:rFonts w:hint="eastAsia" w:ascii="仿宋_GB2312" w:eastAsia="仿宋_GB2312"/>
                <w:sz w:val="24"/>
              </w:rPr>
              <w:t>预算资金（人民币）：</w:t>
            </w:r>
            <w:r>
              <w:rPr>
                <w:rFonts w:ascii="仿宋_GB2312" w:eastAsia="仿宋_GB2312"/>
                <w:sz w:val="24"/>
              </w:rPr>
              <w:t>壹佰贰拾伍万陆仟元整</w:t>
            </w:r>
            <w:r>
              <w:rPr>
                <w:rFonts w:hint="eastAsia" w:ascii="仿宋_GB2312" w:eastAsia="仿宋_GB2312"/>
                <w:sz w:val="24"/>
              </w:rPr>
              <w:t>（¥</w:t>
            </w:r>
            <w:r>
              <w:rPr>
                <w:rFonts w:ascii="仿宋_GB2312" w:eastAsia="仿宋_GB2312"/>
                <w:sz w:val="24"/>
              </w:rPr>
              <w:t xml:space="preserve"> 1</w:t>
            </w:r>
            <w:r>
              <w:rPr>
                <w:rFonts w:hint="eastAsia" w:ascii="仿宋_GB2312" w:eastAsia="仿宋_GB2312"/>
                <w:sz w:val="24"/>
              </w:rPr>
              <w:t>,</w:t>
            </w:r>
            <w:r>
              <w:rPr>
                <w:rFonts w:ascii="仿宋_GB2312" w:eastAsia="仿宋_GB2312"/>
                <w:sz w:val="24"/>
              </w:rPr>
              <w:t>256</w:t>
            </w:r>
            <w:r>
              <w:rPr>
                <w:rFonts w:hint="eastAsia" w:ascii="仿宋_GB2312" w:eastAsia="仿宋_GB2312"/>
                <w:sz w:val="24"/>
              </w:rPr>
              <w:t>,</w:t>
            </w:r>
            <w:r>
              <w:rPr>
                <w:rFonts w:ascii="仿宋_GB2312" w:eastAsia="仿宋_GB2312"/>
                <w:sz w:val="24"/>
              </w:rPr>
              <w:t>000.00</w:t>
            </w:r>
            <w:r>
              <w:rPr>
                <w:rFonts w:hint="eastAsia" w:ascii="仿宋_GB2312" w:eastAsia="仿宋_GB2312"/>
                <w:sz w:val="24"/>
              </w:rPr>
              <w:t>）。</w:t>
            </w:r>
          </w:p>
        </w:tc>
      </w:tr>
      <w:tr w14:paraId="6B78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24E1AD2">
            <w:pPr>
              <w:spacing w:line="400" w:lineRule="exact"/>
              <w:jc w:val="center"/>
              <w:rPr>
                <w:rFonts w:ascii="仿宋_GB2312" w:eastAsia="仿宋_GB2312"/>
                <w:sz w:val="24"/>
              </w:rPr>
            </w:pPr>
            <w:r>
              <w:rPr>
                <w:rFonts w:ascii="仿宋_GB2312" w:eastAsia="仿宋_GB2312"/>
                <w:sz w:val="24"/>
              </w:rPr>
              <w:t>3</w:t>
            </w:r>
          </w:p>
        </w:tc>
        <w:tc>
          <w:tcPr>
            <w:tcW w:w="8232" w:type="dxa"/>
            <w:noWrap w:val="0"/>
            <w:vAlign w:val="center"/>
          </w:tcPr>
          <w:p w14:paraId="3B97E1B0">
            <w:pPr>
              <w:spacing w:line="400" w:lineRule="exact"/>
              <w:rPr>
                <w:rFonts w:ascii="仿宋_GB2312" w:eastAsia="仿宋_GB2312"/>
                <w:sz w:val="24"/>
              </w:rPr>
            </w:pPr>
            <w:r>
              <w:rPr>
                <w:rFonts w:hint="eastAsia" w:ascii="仿宋_GB2312" w:eastAsia="仿宋_GB2312"/>
                <w:sz w:val="24"/>
              </w:rPr>
              <w:t>投标报价及费用：</w:t>
            </w:r>
          </w:p>
          <w:p w14:paraId="1997AD46">
            <w:pPr>
              <w:spacing w:line="400" w:lineRule="exact"/>
              <w:rPr>
                <w:rFonts w:ascii="仿宋_GB2312" w:eastAsia="仿宋_GB2312"/>
                <w:sz w:val="24"/>
              </w:rPr>
            </w:pPr>
            <w:r>
              <w:rPr>
                <w:rFonts w:hint="eastAsia" w:ascii="仿宋_GB2312" w:eastAsia="仿宋_GB2312"/>
                <w:sz w:val="24"/>
              </w:rPr>
              <w:t>1.本项目投标应以人民币报价；</w:t>
            </w:r>
          </w:p>
          <w:p w14:paraId="27C73293">
            <w:pPr>
              <w:spacing w:line="400" w:lineRule="exact"/>
              <w:rPr>
                <w:rFonts w:ascii="仿宋_GB2312" w:eastAsia="仿宋_GB2312"/>
                <w:sz w:val="24"/>
              </w:rPr>
            </w:pPr>
            <w:r>
              <w:rPr>
                <w:rFonts w:hint="eastAsia" w:ascii="仿宋_GB2312" w:eastAsia="仿宋_GB2312"/>
                <w:sz w:val="24"/>
              </w:rPr>
              <w:t>2.不论投标结果如何，投标人均应自行承担所有与投标有关的全部费用；</w:t>
            </w:r>
          </w:p>
          <w:p w14:paraId="79733DF3">
            <w:pPr>
              <w:spacing w:line="400" w:lineRule="exact"/>
              <w:rPr>
                <w:rFonts w:ascii="仿宋_GB2312" w:eastAsia="仿宋_GB2312"/>
                <w:sz w:val="24"/>
              </w:rPr>
            </w:pPr>
            <w:r>
              <w:rPr>
                <w:rFonts w:hint="eastAsia" w:ascii="仿宋_GB2312" w:eastAsia="仿宋_GB2312"/>
                <w:sz w:val="24"/>
              </w:rPr>
              <w:t>3.本次招标文件和代理服务费用全免。</w:t>
            </w:r>
          </w:p>
        </w:tc>
      </w:tr>
      <w:tr w14:paraId="2DA5A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817" w:type="dxa"/>
            <w:noWrap w:val="0"/>
            <w:vAlign w:val="center"/>
          </w:tcPr>
          <w:p w14:paraId="46B687AE">
            <w:pPr>
              <w:spacing w:line="400" w:lineRule="exact"/>
              <w:jc w:val="center"/>
              <w:rPr>
                <w:rFonts w:ascii="仿宋_GB2312" w:eastAsia="仿宋_GB2312"/>
                <w:sz w:val="24"/>
              </w:rPr>
            </w:pPr>
            <w:r>
              <w:rPr>
                <w:rFonts w:ascii="仿宋_GB2312" w:eastAsia="仿宋_GB2312"/>
                <w:sz w:val="24"/>
              </w:rPr>
              <w:t>4</w:t>
            </w:r>
          </w:p>
        </w:tc>
        <w:tc>
          <w:tcPr>
            <w:tcW w:w="8232" w:type="dxa"/>
            <w:noWrap w:val="0"/>
            <w:vAlign w:val="center"/>
          </w:tcPr>
          <w:p w14:paraId="61AADF05">
            <w:pPr>
              <w:spacing w:line="400" w:lineRule="exact"/>
              <w:rPr>
                <w:rFonts w:ascii="仿宋_GB2312" w:eastAsia="仿宋_GB2312"/>
                <w:sz w:val="24"/>
              </w:rPr>
            </w:pPr>
            <w:r>
              <w:rPr>
                <w:rFonts w:hint="eastAsia" w:ascii="仿宋_GB2312" w:eastAsia="仿宋_GB2312"/>
                <w:sz w:val="24"/>
              </w:rPr>
              <w:t>投标保证金为：本项目无需提交投标保证金。</w:t>
            </w:r>
          </w:p>
        </w:tc>
      </w:tr>
      <w:tr w14:paraId="117D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116B755">
            <w:pPr>
              <w:spacing w:line="400" w:lineRule="exact"/>
              <w:jc w:val="center"/>
              <w:rPr>
                <w:rFonts w:ascii="仿宋_GB2312" w:eastAsia="仿宋_GB2312"/>
                <w:sz w:val="24"/>
              </w:rPr>
            </w:pPr>
            <w:r>
              <w:rPr>
                <w:rFonts w:ascii="仿宋_GB2312" w:eastAsia="仿宋_GB2312"/>
                <w:sz w:val="24"/>
              </w:rPr>
              <w:t>5</w:t>
            </w:r>
          </w:p>
        </w:tc>
        <w:tc>
          <w:tcPr>
            <w:tcW w:w="8232" w:type="dxa"/>
            <w:noWrap w:val="0"/>
            <w:vAlign w:val="center"/>
          </w:tcPr>
          <w:p w14:paraId="581049D7">
            <w:pPr>
              <w:spacing w:line="400" w:lineRule="exact"/>
              <w:rPr>
                <w:rFonts w:ascii="仿宋_GB2312" w:eastAsia="仿宋_GB2312"/>
                <w:sz w:val="24"/>
              </w:rPr>
            </w:pPr>
            <w:r>
              <w:rPr>
                <w:rFonts w:hint="eastAsia" w:ascii="仿宋_GB2312" w:hAnsi="宋体" w:eastAsia="仿宋_GB2312"/>
                <w:sz w:val="24"/>
              </w:rPr>
              <w:t>答疑与澄清：投标人如认为招标文件表述不清晰或对政府采购活动事项有疑问的，应当以书面形式向采购人提出询问、澄清；答疑内容是招标文件的组成部分，并将以书面形式送达所有已获取招标文件的投标人；采购人或采购代理机构可以视采购具体情况，延长</w:t>
            </w:r>
            <w:r>
              <w:rPr>
                <w:rFonts w:hint="eastAsia" w:ascii="仿宋_GB2312" w:eastAsia="仿宋_GB2312"/>
                <w:sz w:val="24"/>
              </w:rPr>
              <w:t>招标文件提供期限，并在财政部门指定的政府采购信息发布媒体上发布公告。</w:t>
            </w:r>
          </w:p>
        </w:tc>
      </w:tr>
      <w:tr w14:paraId="095DB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9" w:hRule="atLeast"/>
          <w:jc w:val="center"/>
        </w:trPr>
        <w:tc>
          <w:tcPr>
            <w:tcW w:w="817" w:type="dxa"/>
            <w:noWrap w:val="0"/>
            <w:vAlign w:val="center"/>
          </w:tcPr>
          <w:p w14:paraId="365961CC">
            <w:pPr>
              <w:spacing w:line="400" w:lineRule="exact"/>
              <w:jc w:val="center"/>
              <w:rPr>
                <w:rFonts w:ascii="仿宋_GB2312" w:eastAsia="仿宋_GB2312"/>
                <w:sz w:val="24"/>
              </w:rPr>
            </w:pPr>
            <w:r>
              <w:rPr>
                <w:rFonts w:hint="eastAsia" w:ascii="仿宋_GB2312" w:eastAsia="仿宋_GB2312"/>
                <w:color w:val="000000"/>
                <w:sz w:val="24"/>
              </w:rPr>
              <w:t>6</w:t>
            </w:r>
          </w:p>
        </w:tc>
        <w:tc>
          <w:tcPr>
            <w:tcW w:w="8232" w:type="dxa"/>
            <w:noWrap w:val="0"/>
            <w:vAlign w:val="center"/>
          </w:tcPr>
          <w:p w14:paraId="6F6FE478">
            <w:pPr>
              <w:pStyle w:val="511"/>
              <w:spacing w:before="0" w:beforeAutospacing="0" w:after="0" w:afterAutospacing="0" w:line="460" w:lineRule="atLeast"/>
              <w:rPr>
                <w:rFonts w:hint="eastAsia" w:ascii="仿宋_GB2312" w:eastAsia="仿宋_GB2312"/>
                <w:color w:val="000000"/>
              </w:rPr>
            </w:pPr>
            <w:r>
              <w:rPr>
                <w:rStyle w:val="260"/>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60"/>
                <w:rFonts w:hint="eastAsia" w:ascii="仿宋_GB2312" w:eastAsia="仿宋_GB2312"/>
                <w:color w:val="000000"/>
              </w:rPr>
              <w:t>中小</w:t>
            </w:r>
            <w:r>
              <w:rPr>
                <w:rFonts w:hint="eastAsia" w:ascii="仿宋_GB2312" w:eastAsia="仿宋_GB2312"/>
                <w:color w:val="000000"/>
              </w:rPr>
              <w:t>企业以投标人填写的《中小企业声明函》为判定标准（格式见公开招标文件第六章）；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2.残疾人福利性单位以投标人提供的《残疾人福利性单位声明函》为判定标准（格式见公开招标文件第六章）；</w:t>
            </w:r>
            <w:r>
              <w:rPr>
                <w:rFonts w:hint="eastAsia" w:ascii="仿宋_GB2312" w:eastAsia="仿宋_GB2312"/>
                <w:color w:val="000000"/>
              </w:rPr>
              <w:br w:type="textWrapping"/>
            </w:r>
            <w:r>
              <w:rPr>
                <w:rFonts w:hint="eastAsia" w:ascii="仿宋_GB2312" w:eastAsia="仿宋_GB2312"/>
                <w:color w:val="000000"/>
              </w:rPr>
              <w:t>3.监狱企业以投标人提供由省级以上监狱管理局、戒毒管理局（含新疆生产建设兵团）出具的属于监狱企业的证明文件为判定标准。</w:t>
            </w:r>
          </w:p>
        </w:tc>
      </w:tr>
      <w:tr w14:paraId="0BDEF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97F9EFF">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7</w:t>
            </w:r>
          </w:p>
        </w:tc>
        <w:tc>
          <w:tcPr>
            <w:tcW w:w="8232" w:type="dxa"/>
            <w:noWrap w:val="0"/>
            <w:vAlign w:val="center"/>
          </w:tcPr>
          <w:p w14:paraId="48D70F95">
            <w:pPr>
              <w:pStyle w:val="517"/>
              <w:spacing w:before="0" w:beforeAutospacing="0" w:after="0" w:afterAutospacing="0" w:line="460" w:lineRule="atLeast"/>
              <w:rPr>
                <w:rFonts w:ascii="仿宋_GB2312" w:eastAsia="仿宋_GB2312"/>
                <w:color w:val="000000"/>
              </w:rPr>
            </w:pPr>
            <w:r>
              <w:rPr>
                <w:rStyle w:val="372"/>
                <w:rFonts w:hint="eastAsia" w:ascii="仿宋_GB2312" w:eastAsia="仿宋_GB2312"/>
                <w:color w:val="000000"/>
              </w:rPr>
              <w:t>电子投标文件：</w:t>
            </w:r>
            <w:r>
              <w:rPr>
                <w:rFonts w:hint="eastAsia" w:ascii="仿宋_GB2312" w:eastAsia="仿宋_GB2312"/>
                <w:b/>
                <w:bCs/>
                <w:color w:val="000000"/>
              </w:rPr>
              <w:br w:type="textWrapping"/>
            </w:r>
            <w:r>
              <w:rPr>
                <w:rStyle w:val="372"/>
                <w:rFonts w:hint="eastAsia" w:ascii="仿宋_GB2312" w:eastAsia="仿宋_GB2312"/>
                <w:color w:val="000000"/>
              </w:rPr>
              <w:t>1.投标人应按照本项目公开招标文件和广西政府采购云平台的要求，通过“广西政府采购云平台客户端”编制、加密电子投标文件，并于提交投标文件截止时间前在广西政府采购云平台上提交加密的电子投标文件。</w:t>
            </w:r>
            <w:r>
              <w:rPr>
                <w:rFonts w:hint="eastAsia" w:ascii="仿宋_GB2312" w:eastAsia="仿宋_GB2312"/>
                <w:b/>
                <w:bCs/>
                <w:color w:val="000000"/>
              </w:rPr>
              <w:br w:type="textWrapping"/>
            </w:r>
            <w:r>
              <w:rPr>
                <w:rStyle w:val="372"/>
                <w:rFonts w:hint="eastAsia" w:ascii="仿宋_GB2312" w:eastAsia="仿宋_GB2312"/>
                <w:color w:val="000000"/>
              </w:rPr>
              <w:t>2.未按规定传输提交电子投标文件的将被广西政府采购云平台拒绝。</w:t>
            </w:r>
            <w:r>
              <w:rPr>
                <w:rFonts w:hint="eastAsia" w:ascii="仿宋_GB2312" w:eastAsia="仿宋_GB2312"/>
                <w:b/>
                <w:bCs/>
                <w:color w:val="000000"/>
              </w:rPr>
              <w:br w:type="textWrapping"/>
            </w:r>
            <w:r>
              <w:rPr>
                <w:rStyle w:val="372"/>
                <w:rFonts w:hint="eastAsia" w:ascii="仿宋_GB2312" w:eastAsia="仿宋_GB2312"/>
                <w:color w:val="000000"/>
              </w:rPr>
              <w:t>3.电子投标文件成功提交后，投标人可自行打印投标文件接收回执。</w:t>
            </w:r>
          </w:p>
        </w:tc>
      </w:tr>
      <w:tr w14:paraId="1E530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323700D">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8</w:t>
            </w:r>
          </w:p>
        </w:tc>
        <w:tc>
          <w:tcPr>
            <w:tcW w:w="8232" w:type="dxa"/>
            <w:noWrap w:val="0"/>
            <w:vAlign w:val="center"/>
          </w:tcPr>
          <w:p w14:paraId="67FA4C90">
            <w:pPr>
              <w:pStyle w:val="65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投标文件提交截止时间及地点：详见公开招标公告。</w:t>
            </w:r>
          </w:p>
        </w:tc>
      </w:tr>
      <w:tr w14:paraId="292F8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9C94C1E">
            <w:pPr>
              <w:spacing w:line="400" w:lineRule="exact"/>
              <w:jc w:val="center"/>
              <w:rPr>
                <w:rFonts w:hint="eastAsia" w:ascii="仿宋_GB2312" w:eastAsia="仿宋_GB2312"/>
                <w:sz w:val="24"/>
                <w:lang w:eastAsia="zh-CN"/>
              </w:rPr>
            </w:pPr>
            <w:r>
              <w:rPr>
                <w:rFonts w:hint="eastAsia" w:ascii="仿宋_GB2312" w:eastAsia="仿宋_GB2312"/>
                <w:color w:val="000000"/>
                <w:sz w:val="24"/>
                <w:lang w:val="en-US" w:eastAsia="zh-CN"/>
              </w:rPr>
              <w:t>9</w:t>
            </w:r>
          </w:p>
        </w:tc>
        <w:tc>
          <w:tcPr>
            <w:tcW w:w="8232" w:type="dxa"/>
            <w:noWrap w:val="0"/>
            <w:vAlign w:val="center"/>
          </w:tcPr>
          <w:p w14:paraId="6A67FE51">
            <w:pPr>
              <w:pStyle w:val="705"/>
              <w:spacing w:before="0" w:beforeAutospacing="0" w:after="0" w:afterAutospacing="0" w:line="460" w:lineRule="atLeast"/>
              <w:rPr>
                <w:rFonts w:ascii="仿宋_GB2312" w:eastAsia="仿宋_GB2312"/>
                <w:color w:val="000000"/>
              </w:rPr>
            </w:pPr>
            <w:r>
              <w:rPr>
                <w:rFonts w:hint="eastAsia" w:ascii="仿宋_GB2312" w:eastAsia="仿宋_GB2312"/>
                <w:color w:val="000000"/>
              </w:rPr>
              <w:t>开标时间：详见公开招标公告。</w:t>
            </w:r>
          </w:p>
        </w:tc>
      </w:tr>
      <w:tr w14:paraId="54161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49120C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0</w:t>
            </w:r>
          </w:p>
        </w:tc>
        <w:tc>
          <w:tcPr>
            <w:tcW w:w="8232" w:type="dxa"/>
            <w:noWrap w:val="0"/>
            <w:vAlign w:val="center"/>
          </w:tcPr>
          <w:p w14:paraId="4E94BD7E">
            <w:pPr>
              <w:pStyle w:val="583"/>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投标文件解密时间：采购代理机构开启解密标书后30分钟内，投标人必须在此时间段内登录广西政府采购云平台，用“项目采购-开标评标”功能完成电子投标文件的解密。若投标人在规定时间内未按时解密的，视为投标无效。</w:t>
            </w:r>
          </w:p>
        </w:tc>
      </w:tr>
      <w:tr w14:paraId="1A7B1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34E94CC">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1</w:t>
            </w:r>
          </w:p>
        </w:tc>
        <w:tc>
          <w:tcPr>
            <w:tcW w:w="8232" w:type="dxa"/>
            <w:noWrap w:val="0"/>
            <w:vAlign w:val="center"/>
          </w:tcPr>
          <w:p w14:paraId="7E043B76">
            <w:pPr>
              <w:pStyle w:val="676"/>
              <w:spacing w:before="0" w:beforeAutospacing="0" w:after="0" w:afterAutospacing="0" w:line="460" w:lineRule="atLeast"/>
              <w:rPr>
                <w:rFonts w:ascii="仿宋_GB2312" w:eastAsia="仿宋_GB2312"/>
                <w:color w:val="000000"/>
              </w:rPr>
            </w:pPr>
            <w:r>
              <w:rPr>
                <w:rFonts w:hint="eastAsia" w:ascii="仿宋_GB2312" w:eastAsia="仿宋_GB2312"/>
                <w:color w:val="000000"/>
              </w:rPr>
              <w:t>评标方法：综合评分法</w:t>
            </w:r>
          </w:p>
        </w:tc>
      </w:tr>
      <w:tr w14:paraId="0E108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9C6945D">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2</w:t>
            </w:r>
          </w:p>
        </w:tc>
        <w:tc>
          <w:tcPr>
            <w:tcW w:w="8232" w:type="dxa"/>
            <w:noWrap w:val="0"/>
            <w:vAlign w:val="center"/>
          </w:tcPr>
          <w:p w14:paraId="4D3B3C4A">
            <w:pPr>
              <w:pStyle w:val="706"/>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发布媒体：中国政府采购网（www.ccgp.gov.cn）、广西壮族自治区政府采购网（zfcg.gxzf.gov.cn）、柳州市政府采购网（zfcg.lzscz.liuzhou.gov.cn）。</w:t>
            </w:r>
          </w:p>
        </w:tc>
      </w:tr>
      <w:tr w14:paraId="3E51B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9878E07">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3</w:t>
            </w:r>
          </w:p>
        </w:tc>
        <w:tc>
          <w:tcPr>
            <w:tcW w:w="8232" w:type="dxa"/>
            <w:noWrap w:val="0"/>
            <w:vAlign w:val="center"/>
          </w:tcPr>
          <w:p w14:paraId="2865631E">
            <w:pPr>
              <w:pStyle w:val="645"/>
              <w:spacing w:before="0" w:beforeAutospacing="0" w:after="0" w:afterAutospacing="0" w:line="460" w:lineRule="atLeast"/>
              <w:rPr>
                <w:rFonts w:ascii="仿宋_GB2312" w:eastAsia="仿宋_GB2312"/>
                <w:color w:val="000000"/>
              </w:rPr>
            </w:pPr>
            <w:r>
              <w:rPr>
                <w:rStyle w:val="356"/>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356"/>
                <w:rFonts w:hint="eastAsia" w:ascii="仿宋_GB2312" w:eastAsia="仿宋_GB2312"/>
                <w:color w:val="000000"/>
              </w:rPr>
              <w:t>二、甄别方式：</w:t>
            </w:r>
            <w:r>
              <w:rPr>
                <w:rFonts w:hint="eastAsia" w:ascii="仿宋_GB2312" w:eastAsia="仿宋_GB2312"/>
                <w:b/>
                <w:bCs/>
                <w:color w:val="000000"/>
              </w:rPr>
              <w:br w:type="textWrapping"/>
            </w:r>
            <w:r>
              <w:rPr>
                <w:rStyle w:val="356"/>
                <w:rFonts w:hint="eastAsia" w:ascii="仿宋_GB2312" w:eastAsia="仿宋_GB2312"/>
                <w:color w:val="000000"/>
              </w:rPr>
              <w:t>1.在本项目资格性审查时，采购人将对投标人信用进行查询，并按照以上信用信息使用规则处理；</w:t>
            </w:r>
            <w:r>
              <w:rPr>
                <w:rFonts w:hint="eastAsia" w:ascii="仿宋_GB2312" w:eastAsia="仿宋_GB2312"/>
                <w:b/>
                <w:bCs/>
                <w:color w:val="000000"/>
              </w:rPr>
              <w:br w:type="textWrapping"/>
            </w:r>
            <w:r>
              <w:rPr>
                <w:rStyle w:val="356"/>
                <w:rFonts w:hint="eastAsia" w:ascii="仿宋_GB2312" w:eastAsia="仿宋_GB2312"/>
                <w:color w:val="000000"/>
              </w:rPr>
              <w:t>2.在中标通知书发出前，采购人或者采购代理机构将对中标人信用进行查询，并按照以上信用信息使用规则处理；</w:t>
            </w:r>
            <w:r>
              <w:rPr>
                <w:rFonts w:hint="eastAsia" w:ascii="仿宋_GB2312" w:eastAsia="仿宋_GB2312"/>
                <w:b/>
                <w:bCs/>
                <w:color w:val="000000"/>
              </w:rPr>
              <w:br w:type="textWrapping"/>
            </w:r>
            <w:r>
              <w:rPr>
                <w:rStyle w:val="356"/>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6F981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650975B6">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4</w:t>
            </w:r>
          </w:p>
        </w:tc>
        <w:tc>
          <w:tcPr>
            <w:tcW w:w="8232" w:type="dxa"/>
            <w:noWrap w:val="0"/>
            <w:vAlign w:val="center"/>
          </w:tcPr>
          <w:p w14:paraId="77087940">
            <w:pPr>
              <w:pStyle w:val="665"/>
              <w:spacing w:before="0" w:beforeAutospacing="0" w:after="0" w:afterAutospacing="0" w:line="460" w:lineRule="atLeast"/>
              <w:rPr>
                <w:rFonts w:ascii="仿宋_GB2312" w:eastAsia="仿宋_GB2312"/>
                <w:color w:val="000000"/>
              </w:rPr>
            </w:pPr>
            <w:r>
              <w:rPr>
                <w:rFonts w:hint="eastAsia" w:ascii="仿宋_GB2312" w:eastAsia="仿宋_GB2312"/>
                <w:color w:val="000000"/>
              </w:rPr>
              <w:t>中标公告及中标通知书：采购代理机构在采购人依法确认中标人后两个工作日内发布中标公告和中标通知书。</w:t>
            </w:r>
            <w:r>
              <w:rPr>
                <w:rFonts w:hint="eastAsia" w:ascii="仿宋_GB2312" w:eastAsia="仿宋_GB2312"/>
                <w:color w:val="000000"/>
              </w:rPr>
              <w:br w:type="textWrapping"/>
            </w:r>
            <w:r>
              <w:rPr>
                <w:rStyle w:val="358"/>
                <w:rFonts w:hint="eastAsia" w:ascii="仿宋_GB2312" w:eastAsia="仿宋_GB2312"/>
                <w:color w:val="000000"/>
              </w:rPr>
              <w:t>根据《柳州市财政局 人民银行柳州市中心支行 关于进一步做好线上“政采贷”融资工作的通知》（柳财采〔2022〕19号），供应商可凭中标通知书、政府采购合同，通过中征应收账款融资服务平台向银行在线申请“政采贷”融资。</w:t>
            </w:r>
          </w:p>
        </w:tc>
      </w:tr>
      <w:tr w14:paraId="46C55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1D45793E">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5</w:t>
            </w:r>
          </w:p>
        </w:tc>
        <w:tc>
          <w:tcPr>
            <w:tcW w:w="8232" w:type="dxa"/>
            <w:noWrap w:val="0"/>
            <w:vAlign w:val="center"/>
          </w:tcPr>
          <w:p w14:paraId="7E5EFFC6">
            <w:pPr>
              <w:pStyle w:val="707"/>
              <w:spacing w:before="0" w:beforeAutospacing="0" w:after="0" w:afterAutospacing="0" w:line="460" w:lineRule="atLeast"/>
              <w:rPr>
                <w:rFonts w:ascii="仿宋_GB2312" w:eastAsia="仿宋_GB2312"/>
                <w:color w:val="000000"/>
              </w:rPr>
            </w:pPr>
            <w:r>
              <w:rPr>
                <w:rStyle w:val="374"/>
                <w:rFonts w:hint="eastAsia" w:ascii="仿宋_GB2312" w:eastAsia="仿宋_GB2312"/>
                <w:color w:val="000000"/>
              </w:rPr>
              <w:t>签订合同时间：中标通知书发出后</w:t>
            </w:r>
            <w:r>
              <w:rPr>
                <w:rStyle w:val="374"/>
                <w:rFonts w:hint="eastAsia" w:ascii="仿宋_GB2312" w:eastAsia="仿宋_GB2312"/>
                <w:color w:val="000000"/>
                <w:u w:val="single"/>
              </w:rPr>
              <w:t>25</w:t>
            </w:r>
            <w:r>
              <w:rPr>
                <w:rStyle w:val="374"/>
                <w:rFonts w:hint="eastAsia" w:ascii="仿宋_GB2312" w:eastAsia="仿宋_GB2312"/>
                <w:color w:val="000000"/>
              </w:rPr>
              <w:t>日内。</w:t>
            </w:r>
          </w:p>
        </w:tc>
      </w:tr>
      <w:tr w14:paraId="43AF3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4CE4382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6</w:t>
            </w:r>
          </w:p>
        </w:tc>
        <w:tc>
          <w:tcPr>
            <w:tcW w:w="8232" w:type="dxa"/>
            <w:noWrap w:val="0"/>
            <w:vAlign w:val="center"/>
          </w:tcPr>
          <w:p w14:paraId="2713DA0A">
            <w:pPr>
              <w:pStyle w:val="709"/>
              <w:spacing w:before="0" w:beforeAutospacing="0" w:after="0" w:afterAutospacing="0" w:line="460" w:lineRule="atLeast"/>
              <w:rPr>
                <w:rFonts w:ascii="仿宋_GB2312" w:eastAsia="仿宋_GB2312"/>
                <w:color w:val="000000"/>
              </w:rPr>
            </w:pPr>
            <w:r>
              <w:rPr>
                <w:rFonts w:hint="eastAsia" w:ascii="仿宋_GB2312" w:eastAsia="仿宋_GB2312"/>
                <w:color w:val="000000"/>
              </w:rPr>
              <w:t>投标文件有效期：投标截止日期后</w:t>
            </w:r>
            <w:r>
              <w:rPr>
                <w:rFonts w:hint="eastAsia" w:ascii="仿宋_GB2312" w:eastAsia="仿宋_GB2312"/>
                <w:color w:val="000000"/>
                <w:u w:val="single"/>
              </w:rPr>
              <w:t>不得少于90天</w:t>
            </w:r>
            <w:r>
              <w:rPr>
                <w:rFonts w:hint="eastAsia" w:ascii="仿宋_GB2312" w:eastAsia="仿宋_GB2312"/>
                <w:color w:val="000000"/>
              </w:rPr>
              <w:t>。</w:t>
            </w:r>
          </w:p>
        </w:tc>
      </w:tr>
      <w:tr w14:paraId="52B74F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744C271F">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7</w:t>
            </w:r>
          </w:p>
        </w:tc>
        <w:tc>
          <w:tcPr>
            <w:tcW w:w="8232" w:type="dxa"/>
            <w:noWrap w:val="0"/>
            <w:vAlign w:val="center"/>
          </w:tcPr>
          <w:p w14:paraId="5C0B06C9">
            <w:pPr>
              <w:pStyle w:val="695"/>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解释：本招标文件的解释权属于采购代理机构。</w:t>
            </w:r>
          </w:p>
        </w:tc>
      </w:tr>
      <w:tr w14:paraId="6D363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BC20BB9">
            <w:pPr>
              <w:spacing w:line="400" w:lineRule="exact"/>
              <w:jc w:val="center"/>
              <w:rPr>
                <w:rFonts w:hint="eastAsia" w:ascii="仿宋_GB2312" w:eastAsia="仿宋_GB2312"/>
                <w:sz w:val="24"/>
                <w:lang w:eastAsia="zh-CN"/>
              </w:rPr>
            </w:pPr>
            <w:r>
              <w:rPr>
                <w:rFonts w:hint="eastAsia" w:ascii="仿宋_GB2312" w:eastAsia="仿宋_GB2312"/>
                <w:color w:val="000000"/>
                <w:sz w:val="24"/>
              </w:rPr>
              <w:t>1</w:t>
            </w:r>
            <w:r>
              <w:rPr>
                <w:rFonts w:hint="eastAsia" w:ascii="仿宋_GB2312" w:eastAsia="仿宋_GB2312"/>
                <w:color w:val="000000"/>
                <w:sz w:val="24"/>
                <w:lang w:val="en-US" w:eastAsia="zh-CN"/>
              </w:rPr>
              <w:t>8</w:t>
            </w:r>
          </w:p>
        </w:tc>
        <w:tc>
          <w:tcPr>
            <w:tcW w:w="8232" w:type="dxa"/>
            <w:noWrap w:val="0"/>
            <w:vAlign w:val="center"/>
          </w:tcPr>
          <w:p w14:paraId="63D50936">
            <w:pPr>
              <w:pStyle w:val="711"/>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因此请各投标人应在投标文件中注明投标文件内容中涉及商业秘密的部分，未注明的视为投标文件中不涉及商业秘密。</w:t>
            </w:r>
          </w:p>
        </w:tc>
      </w:tr>
      <w:tr w14:paraId="58261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noWrap w:val="0"/>
            <w:vAlign w:val="center"/>
          </w:tcPr>
          <w:p w14:paraId="08F618CC">
            <w:pPr>
              <w:spacing w:line="400" w:lineRule="exact"/>
              <w:jc w:val="center"/>
              <w:rPr>
                <w:rFonts w:hint="eastAsia" w:ascii="仿宋_GB2312" w:eastAsia="仿宋_GB2312"/>
                <w:color w:val="000000"/>
                <w:sz w:val="24"/>
              </w:rPr>
            </w:pPr>
            <w:r>
              <w:rPr>
                <w:rFonts w:hint="eastAsia" w:ascii="仿宋_GB2312" w:eastAsia="仿宋_GB2312"/>
                <w:color w:val="000000"/>
                <w:sz w:val="24"/>
              </w:rPr>
              <w:t>19</w:t>
            </w:r>
          </w:p>
        </w:tc>
        <w:tc>
          <w:tcPr>
            <w:tcW w:w="8232" w:type="dxa"/>
            <w:noWrap w:val="0"/>
            <w:vAlign w:val="center"/>
          </w:tcPr>
          <w:p w14:paraId="6C56996F">
            <w:pPr>
              <w:pStyle w:val="71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1.本招标文件中描述投标人的“公章”是指投标人的CA电子签章。</w:t>
            </w:r>
            <w:r>
              <w:rPr>
                <w:rFonts w:hint="eastAsia" w:ascii="仿宋_GB2312" w:eastAsia="仿宋_GB2312"/>
                <w:color w:val="000000"/>
              </w:rPr>
              <w:br w:type="textWrapping"/>
            </w:r>
            <w:r>
              <w:rPr>
                <w:rFonts w:hint="eastAsia" w:ascii="仿宋_GB2312" w:eastAsia="仿宋_GB2312"/>
                <w:color w:val="000000"/>
              </w:rPr>
              <w:t>2.本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p>
        </w:tc>
      </w:tr>
    </w:tbl>
    <w:p w14:paraId="68E5DC7C">
      <w:pPr>
        <w:spacing w:line="360" w:lineRule="auto"/>
        <w:jc w:val="center"/>
        <w:rPr>
          <w:b/>
          <w:sz w:val="32"/>
          <w:szCs w:val="32"/>
        </w:rPr>
        <w:sectPr>
          <w:footerReference r:id="rId9" w:type="default"/>
          <w:pgSz w:w="11906" w:h="16838"/>
          <w:pgMar w:top="1440" w:right="1440" w:bottom="1440" w:left="1440" w:header="851" w:footer="992" w:gutter="0"/>
          <w:cols w:space="720" w:num="1"/>
          <w:docGrid w:linePitch="312" w:charSpace="0"/>
        </w:sectPr>
      </w:pPr>
    </w:p>
    <w:p w14:paraId="65FD1378">
      <w:pPr>
        <w:spacing w:line="360" w:lineRule="auto"/>
        <w:jc w:val="center"/>
        <w:rPr>
          <w:b/>
          <w:sz w:val="32"/>
          <w:szCs w:val="32"/>
        </w:rPr>
      </w:pPr>
      <w:r>
        <w:rPr>
          <w:rFonts w:hint="eastAsia"/>
          <w:b/>
          <w:sz w:val="32"/>
          <w:szCs w:val="32"/>
        </w:rPr>
        <w:t>投标人须知</w:t>
      </w:r>
    </w:p>
    <w:p w14:paraId="527C1F9E">
      <w:pPr>
        <w:spacing w:line="300" w:lineRule="exact"/>
        <w:jc w:val="center"/>
        <w:rPr>
          <w:b/>
          <w:sz w:val="32"/>
          <w:szCs w:val="32"/>
        </w:rPr>
      </w:pPr>
    </w:p>
    <w:p w14:paraId="162FBADE">
      <w:pPr>
        <w:pStyle w:val="26"/>
        <w:snapToGrid w:val="0"/>
        <w:spacing w:line="360" w:lineRule="exact"/>
        <w:ind w:right="-330" w:rightChars="-157"/>
        <w:rPr>
          <w:rFonts w:hint="eastAsia" w:ascii="仿宋_GB2312" w:hAnsi="宋体" w:eastAsia="仿宋_GB2312"/>
          <w:b/>
          <w:sz w:val="24"/>
          <w:szCs w:val="24"/>
        </w:rPr>
      </w:pPr>
      <w:r>
        <w:rPr>
          <w:rFonts w:hint="eastAsia" w:ascii="仿宋_GB2312" w:hAnsi="宋体" w:eastAsia="仿宋_GB2312"/>
          <w:b/>
          <w:sz w:val="24"/>
          <w:szCs w:val="24"/>
        </w:rPr>
        <w:t>一、总  则</w:t>
      </w:r>
    </w:p>
    <w:p w14:paraId="6C2F4D57">
      <w:pPr>
        <w:snapToGrid w:val="0"/>
        <w:spacing w:line="360" w:lineRule="exact"/>
        <w:ind w:right="-330" w:rightChars="-157" w:firstLine="472" w:firstLineChars="196"/>
        <w:jc w:val="left"/>
        <w:outlineLvl w:val="1"/>
        <w:rPr>
          <w:rFonts w:ascii="仿宋_GB2312" w:eastAsia="仿宋_GB2312"/>
          <w:b/>
          <w:sz w:val="24"/>
        </w:rPr>
      </w:pPr>
      <w:bookmarkStart w:id="25" w:name="_Toc254970668"/>
      <w:bookmarkStart w:id="26" w:name="_Toc254970527"/>
      <w:r>
        <w:rPr>
          <w:rFonts w:hint="eastAsia" w:ascii="仿宋_GB2312" w:eastAsia="仿宋_GB2312"/>
          <w:b/>
          <w:sz w:val="24"/>
        </w:rPr>
        <w:t>1. 适用范围</w:t>
      </w:r>
      <w:bookmarkEnd w:id="25"/>
      <w:bookmarkEnd w:id="26"/>
    </w:p>
    <w:p w14:paraId="1370717D">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1.1本招标文件适用于</w:t>
      </w:r>
      <w:r>
        <w:rPr>
          <w:rFonts w:hint="eastAsia" w:ascii="仿宋_GB2312" w:hAnsi="宋体" w:eastAsia="仿宋_GB2312"/>
          <w:sz w:val="24"/>
          <w:u w:val="single"/>
        </w:rPr>
        <w:t>办公区高低压配电系统维保服务采购</w:t>
      </w:r>
      <w:r>
        <w:rPr>
          <w:rFonts w:hint="eastAsia" w:ascii="仿宋_GB2312" w:hAnsi="宋体" w:eastAsia="仿宋_GB2312"/>
          <w:bCs/>
          <w:sz w:val="24"/>
          <w:szCs w:val="24"/>
        </w:rPr>
        <w:t>项目的招标、投标、评标、定标、验收、合同履约、付款等行为（法律、法规另有规定的，从其规定）。</w:t>
      </w:r>
    </w:p>
    <w:p w14:paraId="1A62BFB9">
      <w:pPr>
        <w:snapToGrid w:val="0"/>
        <w:spacing w:line="360" w:lineRule="exact"/>
        <w:ind w:right="-330" w:rightChars="-157" w:firstLine="354" w:firstLineChars="147"/>
        <w:jc w:val="left"/>
        <w:outlineLvl w:val="1"/>
        <w:rPr>
          <w:rFonts w:ascii="仿宋_GB2312" w:eastAsia="仿宋_GB2312"/>
          <w:b/>
          <w:sz w:val="24"/>
        </w:rPr>
      </w:pPr>
      <w:bookmarkStart w:id="27" w:name="_Toc254970528"/>
      <w:bookmarkStart w:id="28" w:name="_Toc254970669"/>
      <w:r>
        <w:rPr>
          <w:rFonts w:hint="eastAsia" w:ascii="仿宋_GB2312" w:eastAsia="仿宋_GB2312"/>
          <w:b/>
          <w:sz w:val="24"/>
        </w:rPr>
        <w:t>2.定义</w:t>
      </w:r>
      <w:bookmarkEnd w:id="27"/>
      <w:bookmarkEnd w:id="28"/>
    </w:p>
    <w:p w14:paraId="76C99954">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2.1“采购人”是指：</w:t>
      </w:r>
      <w:r>
        <w:rPr>
          <w:rFonts w:hint="eastAsia" w:ascii="仿宋_GB2312" w:hAnsi="宋体" w:eastAsia="仿宋_GB2312"/>
          <w:sz w:val="24"/>
          <w:u w:val="single"/>
        </w:rPr>
        <w:t>柳州市市直机关保障中心</w:t>
      </w:r>
      <w:r>
        <w:rPr>
          <w:rFonts w:hint="eastAsia" w:ascii="仿宋_GB2312" w:hAnsi="宋体" w:eastAsia="仿宋_GB2312"/>
          <w:bCs/>
          <w:sz w:val="24"/>
          <w:szCs w:val="24"/>
        </w:rPr>
        <w:t>；“采购代理机构”是指</w:t>
      </w:r>
      <w:r>
        <w:rPr>
          <w:rFonts w:hint="eastAsia" w:ascii="仿宋_GB2312" w:hAnsi="宋体" w:eastAsia="仿宋_GB2312"/>
          <w:bCs/>
          <w:sz w:val="24"/>
          <w:szCs w:val="24"/>
          <w:u w:val="single"/>
        </w:rPr>
        <w:t>柳州市政府集中采购中心</w:t>
      </w:r>
      <w:r>
        <w:rPr>
          <w:rFonts w:hint="eastAsia" w:ascii="仿宋_GB2312" w:hAnsi="宋体" w:eastAsia="仿宋_GB2312"/>
          <w:bCs/>
          <w:sz w:val="24"/>
          <w:szCs w:val="24"/>
        </w:rPr>
        <w:t>。</w:t>
      </w:r>
    </w:p>
    <w:p w14:paraId="197EE0A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2.2“投标人”系指响应本公开招标文件要求，参加投标的法人或其他组织或自然人。如果该投标人在本次投标中中标，即成为“中标人”。</w:t>
      </w:r>
    </w:p>
    <w:p w14:paraId="4F3189E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2.3“产品”系指投标人按招标文件规定，须向采购人提供的一切设备（含安装）、保险、税金、备品备件、工具、手册及其它有关技术资料和材料。</w:t>
      </w:r>
    </w:p>
    <w:p w14:paraId="3B6C649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2.4“</w:t>
      </w:r>
      <w:bookmarkStart w:id="29" w:name="_Hlk93567071"/>
      <w:r>
        <w:rPr>
          <w:rFonts w:hint="eastAsia" w:ascii="仿宋_GB2312" w:hAnsi="宋体" w:eastAsia="仿宋_GB2312"/>
          <w:bCs/>
          <w:sz w:val="24"/>
          <w:szCs w:val="24"/>
        </w:rPr>
        <w:t>服务”</w:t>
      </w:r>
      <w:bookmarkEnd w:id="29"/>
      <w:r>
        <w:rPr>
          <w:rFonts w:hint="eastAsia" w:ascii="仿宋_GB2312" w:hAnsi="宋体" w:eastAsia="仿宋_GB2312"/>
          <w:bCs/>
          <w:sz w:val="24"/>
          <w:szCs w:val="24"/>
        </w:rPr>
        <w:t>系指除货物和工程以外的其他政府采购对象。</w:t>
      </w:r>
    </w:p>
    <w:p w14:paraId="612822C8">
      <w:pPr>
        <w:pStyle w:val="26"/>
        <w:snapToGrid w:val="0"/>
        <w:spacing w:line="360" w:lineRule="exact"/>
        <w:ind w:right="-330" w:rightChars="-157" w:firstLine="480" w:firstLineChars="200"/>
        <w:rPr>
          <w:rFonts w:hint="eastAsia" w:ascii="仿宋_GB2312" w:hAnsi="宋体" w:eastAsia="仿宋_GB2312"/>
          <w:bCs/>
          <w:sz w:val="24"/>
          <w:szCs w:val="24"/>
        </w:rPr>
      </w:pPr>
      <w:r>
        <w:rPr>
          <w:rFonts w:hint="eastAsia" w:ascii="仿宋_GB2312" w:hAnsi="宋体" w:eastAsia="仿宋_GB2312"/>
          <w:bCs/>
          <w:sz w:val="24"/>
          <w:szCs w:val="24"/>
        </w:rPr>
        <w:t>2.5“项目”系指投标人按招标文件规定向采购人提供的产品和服务。</w:t>
      </w:r>
    </w:p>
    <w:p w14:paraId="3E51FBBD">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2.6“签字”系指投标人的法定代表人或授权委托代理人的电子签名或电子签章或手写签名或盖章，表示同意、认可、承担责任或义务的行为。</w:t>
      </w:r>
    </w:p>
    <w:p w14:paraId="77DF78AA">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2.7“电子投标文件”系指完整的投标文件，内容包括资格文件、报价要求文件、商务技术文件。</w:t>
      </w:r>
    </w:p>
    <w:p w14:paraId="69D88941">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2.8“</w:t>
      </w:r>
      <w:r>
        <w:rPr>
          <w:rFonts w:hint="eastAsia" w:ascii="仿宋_GB2312" w:hAnsi="仿宋_GB2312" w:eastAsia="仿宋_GB2312" w:cs="仿宋_GB2312"/>
          <w:kern w:val="0"/>
          <w:sz w:val="24"/>
        </w:rPr>
        <w:t>★</w:t>
      </w:r>
      <w:r>
        <w:rPr>
          <w:rFonts w:hint="eastAsia" w:ascii="仿宋_GB2312" w:hAnsi="宋体" w:eastAsia="仿宋_GB2312"/>
          <w:bCs/>
          <w:sz w:val="24"/>
        </w:rPr>
        <w:t>”系指本次采购项目“第二章 采购需求”中的实质性要求。</w:t>
      </w:r>
    </w:p>
    <w:p w14:paraId="1D335A09">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w:t>
      </w:r>
      <w:r>
        <w:rPr>
          <w:rFonts w:ascii="仿宋_GB2312" w:hAnsi="宋体" w:eastAsia="仿宋_GB2312"/>
          <w:bCs/>
          <w:sz w:val="24"/>
        </w:rPr>
        <w:t>9</w:t>
      </w:r>
      <w:r>
        <w:rPr>
          <w:rFonts w:hint="eastAsia" w:ascii="仿宋_GB2312" w:hAnsi="宋体" w:eastAsia="仿宋_GB2312"/>
          <w:bCs/>
          <w:sz w:val="24"/>
        </w:rPr>
        <w:t xml:space="preserve"> 公开招标文件中所称的“以上”、“以下”、“内”、“以内”、“届满”，包括本数；所称的“不满”、“不足”、“以外”，不包括本数。</w:t>
      </w:r>
    </w:p>
    <w:p w14:paraId="79FB50B6">
      <w:pPr>
        <w:pStyle w:val="26"/>
        <w:widowControl/>
        <w:snapToGrid w:val="0"/>
        <w:spacing w:line="400" w:lineRule="exact"/>
        <w:ind w:firstLine="480" w:firstLineChars="200"/>
        <w:rPr>
          <w:rFonts w:hint="eastAsia" w:ascii="仿宋_GB2312" w:hAnsi="宋体" w:eastAsia="仿宋_GB2312"/>
          <w:bCs/>
          <w:sz w:val="24"/>
        </w:rPr>
      </w:pPr>
      <w:r>
        <w:rPr>
          <w:rFonts w:hint="eastAsia" w:ascii="仿宋_GB2312" w:hAnsi="宋体" w:eastAsia="仿宋_GB2312"/>
          <w:bCs/>
          <w:sz w:val="24"/>
        </w:rPr>
        <w:t>2.10“法定代表人”系指投标人的法定代表人、负责人或自然人。</w:t>
      </w:r>
    </w:p>
    <w:p w14:paraId="252EE80A">
      <w:pPr>
        <w:snapToGrid w:val="0"/>
        <w:spacing w:line="400" w:lineRule="exact"/>
        <w:ind w:firstLine="482" w:firstLineChars="200"/>
        <w:jc w:val="left"/>
        <w:rPr>
          <w:rFonts w:ascii="仿宋_GB2312" w:eastAsia="仿宋_GB2312"/>
          <w:b/>
          <w:sz w:val="24"/>
        </w:rPr>
      </w:pPr>
      <w:bookmarkStart w:id="30" w:name="_Toc254970529"/>
      <w:bookmarkStart w:id="31" w:name="_Toc254970670"/>
      <w:bookmarkStart w:id="32" w:name="_Toc254970534"/>
      <w:bookmarkStart w:id="33" w:name="_Toc254970675"/>
      <w:bookmarkStart w:id="34" w:name="_Toc254970536"/>
      <w:bookmarkStart w:id="35" w:name="_Toc254970677"/>
      <w:r>
        <w:rPr>
          <w:rFonts w:hint="eastAsia" w:ascii="仿宋_GB2312" w:eastAsia="仿宋_GB2312"/>
          <w:b/>
          <w:sz w:val="24"/>
        </w:rPr>
        <w:t>3.招标方式</w:t>
      </w:r>
      <w:bookmarkEnd w:id="30"/>
      <w:bookmarkEnd w:id="31"/>
    </w:p>
    <w:p w14:paraId="15B9A0F2">
      <w:pPr>
        <w:snapToGrid w:val="0"/>
        <w:spacing w:line="400" w:lineRule="exact"/>
        <w:ind w:firstLine="480" w:firstLineChars="200"/>
        <w:jc w:val="left"/>
        <w:rPr>
          <w:rFonts w:ascii="仿宋_GB2312" w:eastAsia="仿宋_GB2312"/>
          <w:sz w:val="24"/>
        </w:rPr>
      </w:pPr>
      <w:r>
        <w:rPr>
          <w:rFonts w:hint="eastAsia" w:ascii="仿宋_GB2312" w:eastAsia="仿宋_GB2312"/>
          <w:sz w:val="24"/>
        </w:rPr>
        <w:t>3.1公开招标方式。</w:t>
      </w:r>
    </w:p>
    <w:p w14:paraId="172520F6">
      <w:pPr>
        <w:snapToGrid w:val="0"/>
        <w:spacing w:line="400" w:lineRule="exact"/>
        <w:ind w:firstLine="482" w:firstLineChars="200"/>
        <w:jc w:val="left"/>
        <w:rPr>
          <w:rFonts w:ascii="仿宋_GB2312" w:eastAsia="仿宋_GB2312"/>
          <w:b/>
          <w:sz w:val="24"/>
        </w:rPr>
      </w:pPr>
      <w:bookmarkStart w:id="36" w:name="_Toc254970530"/>
      <w:bookmarkStart w:id="37" w:name="_Toc254970671"/>
      <w:r>
        <w:rPr>
          <w:rFonts w:hint="eastAsia" w:ascii="仿宋_GB2312" w:eastAsia="仿宋_GB2312"/>
          <w:b/>
          <w:sz w:val="24"/>
        </w:rPr>
        <w:t>4.投标委托</w:t>
      </w:r>
      <w:bookmarkEnd w:id="36"/>
      <w:bookmarkEnd w:id="37"/>
    </w:p>
    <w:p w14:paraId="0A71A1C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4.1如投标人代表不是法定代表人，须有法定代表人出具的授权委托书（格式见第六章投标文件格式）。</w:t>
      </w:r>
      <w:bookmarkStart w:id="38" w:name="_Toc254970531"/>
      <w:bookmarkStart w:id="39" w:name="_Toc254970672"/>
    </w:p>
    <w:p w14:paraId="65FF4CD8">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5.投标费用</w:t>
      </w:r>
      <w:bookmarkEnd w:id="38"/>
      <w:bookmarkEnd w:id="39"/>
    </w:p>
    <w:p w14:paraId="27853B41">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5.1投标人均应自行承担所有与投标有关的全部费用（招标文件有相关规定的除外）。</w:t>
      </w:r>
    </w:p>
    <w:p w14:paraId="16C32E5D">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6.联合体投标</w:t>
      </w:r>
    </w:p>
    <w:p w14:paraId="0D2C18EB">
      <w:pPr>
        <w:snapToGrid w:val="0"/>
        <w:spacing w:line="400" w:lineRule="exact"/>
        <w:ind w:firstLine="420"/>
        <w:jc w:val="left"/>
        <w:rPr>
          <w:rFonts w:ascii="仿宋_GB2312" w:eastAsia="仿宋_GB2312"/>
          <w:sz w:val="24"/>
        </w:rPr>
      </w:pPr>
      <w:r>
        <w:rPr>
          <w:rFonts w:hint="eastAsia" w:ascii="仿宋_GB2312" w:eastAsia="仿宋_GB2312"/>
          <w:sz w:val="24"/>
        </w:rPr>
        <w:t>6.1本项目</w:t>
      </w:r>
      <w:r>
        <w:rPr>
          <w:rFonts w:hint="eastAsia" w:ascii="仿宋_GB2312" w:eastAsia="仿宋_GB2312"/>
          <w:sz w:val="24"/>
          <w:u w:val="single"/>
        </w:rPr>
        <w:t>不接受</w:t>
      </w:r>
      <w:r>
        <w:rPr>
          <w:rFonts w:hint="eastAsia" w:ascii="仿宋_GB2312" w:eastAsia="仿宋_GB2312"/>
          <w:sz w:val="24"/>
        </w:rPr>
        <w:t>联合体投标。</w:t>
      </w:r>
    </w:p>
    <w:p w14:paraId="7975DCDA">
      <w:pPr>
        <w:snapToGrid w:val="0"/>
        <w:spacing w:line="400" w:lineRule="exact"/>
        <w:ind w:firstLine="470" w:firstLineChars="195"/>
        <w:rPr>
          <w:rFonts w:ascii="仿宋_GB2312" w:eastAsia="仿宋_GB2312"/>
          <w:b/>
          <w:kern w:val="0"/>
          <w:sz w:val="24"/>
        </w:rPr>
      </w:pPr>
      <w:r>
        <w:rPr>
          <w:rFonts w:hint="eastAsia" w:ascii="仿宋_GB2312" w:eastAsia="仿宋_GB2312"/>
          <w:b/>
          <w:sz w:val="24"/>
        </w:rPr>
        <w:t>7.</w:t>
      </w:r>
      <w:r>
        <w:rPr>
          <w:rFonts w:hint="eastAsia" w:ascii="仿宋_GB2312" w:eastAsia="仿宋_GB2312"/>
          <w:b/>
          <w:kern w:val="0"/>
          <w:sz w:val="24"/>
        </w:rPr>
        <w:t xml:space="preserve">转包与分包             </w:t>
      </w:r>
    </w:p>
    <w:p w14:paraId="02E5A75F">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7.1本项目不允许转包。</w:t>
      </w:r>
    </w:p>
    <w:p w14:paraId="3B647EE4">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7.2本项目不可以分包。</w:t>
      </w:r>
    </w:p>
    <w:p w14:paraId="0C00A2B8">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3CCB817B">
      <w:pPr>
        <w:snapToGrid w:val="0"/>
        <w:spacing w:line="400" w:lineRule="exact"/>
        <w:ind w:firstLine="472" w:firstLineChars="196"/>
        <w:jc w:val="left"/>
        <w:outlineLvl w:val="1"/>
        <w:rPr>
          <w:rFonts w:ascii="仿宋_GB2312" w:eastAsia="仿宋_GB2312"/>
          <w:b/>
          <w:sz w:val="24"/>
        </w:rPr>
      </w:pPr>
      <w:bookmarkStart w:id="40" w:name="_Toc254970532"/>
      <w:bookmarkStart w:id="41" w:name="_Toc254970673"/>
      <w:r>
        <w:rPr>
          <w:rFonts w:hint="eastAsia" w:ascii="仿宋_GB2312" w:eastAsia="仿宋_GB2312"/>
          <w:b/>
          <w:sz w:val="24"/>
        </w:rPr>
        <w:t>8.特别说明</w:t>
      </w:r>
      <w:bookmarkEnd w:id="40"/>
      <w:bookmarkEnd w:id="41"/>
    </w:p>
    <w:p w14:paraId="1D18D68C">
      <w:pPr>
        <w:pStyle w:val="26"/>
        <w:snapToGrid w:val="0"/>
        <w:spacing w:line="400" w:lineRule="exact"/>
        <w:ind w:firstLine="480" w:firstLineChars="200"/>
        <w:rPr>
          <w:rFonts w:hint="eastAsia" w:ascii="仿宋_GB2312" w:hAnsi="宋体" w:eastAsia="仿宋_GB2312"/>
          <w:bCs/>
          <w:sz w:val="24"/>
          <w:szCs w:val="24"/>
        </w:rPr>
      </w:pPr>
      <w:bookmarkStart w:id="42" w:name="_Toc254970674"/>
      <w:bookmarkStart w:id="43" w:name="_Toc254970533"/>
      <w:r>
        <w:rPr>
          <w:rFonts w:hint="eastAsia" w:ascii="仿宋_GB2312" w:hAnsi="宋体" w:eastAsia="仿宋_GB2312"/>
          <w:bCs/>
          <w:sz w:val="24"/>
          <w:szCs w:val="24"/>
        </w:rPr>
        <w:t>8.1投标人投标所使用的资格、信誉、荣誉、业绩与企业认证必须为投标人所拥有。投标人投标的采购项目负责人必须为投标人员工（或必须本投标人或其控股公司员工）。</w:t>
      </w:r>
    </w:p>
    <w:p w14:paraId="31163EC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8.2投标人应仔细阅读招标文件的所有内容，按照招标文件的要求提交投标文件，并对所提供的全部资料的真实性承担法律责任。</w:t>
      </w:r>
    </w:p>
    <w:p w14:paraId="3F5420DF">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8.3关联供应商不得参加同一合同项下的政府采购活动，否则投标文件将被视为无效：</w:t>
      </w:r>
    </w:p>
    <w:p w14:paraId="2724E3E0">
      <w:pPr>
        <w:pStyle w:val="26"/>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单位负责人为同一人或者存在直接控股、管理关系的不同供应商，不得参加同一合同项下的政府采购活动。</w:t>
      </w:r>
    </w:p>
    <w:p w14:paraId="6D3AA3B2">
      <w:pPr>
        <w:pStyle w:val="26"/>
        <w:widowControl/>
        <w:snapToGrid w:val="0"/>
        <w:spacing w:line="400" w:lineRule="exact"/>
        <w:ind w:firstLine="480" w:firstLineChars="2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42"/>
    <w:bookmarkEnd w:id="43"/>
    <w:p w14:paraId="59AD3052">
      <w:pPr>
        <w:pStyle w:val="26"/>
        <w:snapToGrid w:val="0"/>
        <w:spacing w:line="400" w:lineRule="exact"/>
        <w:ind w:firstLine="472" w:firstLineChars="196"/>
        <w:outlineLvl w:val="1"/>
        <w:rPr>
          <w:rFonts w:hint="eastAsia" w:ascii="仿宋_GB2312" w:hAnsi="宋体" w:eastAsia="仿宋_GB2312"/>
          <w:b/>
          <w:bCs/>
          <w:sz w:val="24"/>
          <w:szCs w:val="24"/>
        </w:rPr>
      </w:pPr>
      <w:r>
        <w:rPr>
          <w:rFonts w:hint="eastAsia" w:ascii="仿宋_GB2312" w:hAnsi="宋体" w:eastAsia="仿宋_GB2312"/>
          <w:b/>
          <w:bCs/>
          <w:sz w:val="24"/>
          <w:szCs w:val="24"/>
        </w:rPr>
        <w:t>9.</w:t>
      </w:r>
      <w:r>
        <w:rPr>
          <w:rFonts w:hint="eastAsia" w:ascii="仿宋_GB2312" w:hAnsi="宋体" w:eastAsia="仿宋_GB2312" w:cs="宋体"/>
          <w:b/>
          <w:sz w:val="24"/>
          <w:szCs w:val="24"/>
        </w:rPr>
        <w:t>质疑和投诉</w:t>
      </w:r>
    </w:p>
    <w:p w14:paraId="51CA2C17">
      <w:pPr>
        <w:pStyle w:val="26"/>
        <w:snapToGrid w:val="0"/>
        <w:spacing w:line="400" w:lineRule="exact"/>
        <w:ind w:firstLine="482" w:firstLineChars="200"/>
        <w:rPr>
          <w:rFonts w:hint="eastAsia" w:ascii="仿宋_GB2312" w:hAnsi="宋体" w:eastAsia="仿宋_GB2312"/>
          <w:bCs/>
          <w:sz w:val="24"/>
          <w:szCs w:val="24"/>
        </w:rPr>
      </w:pPr>
      <w:r>
        <w:rPr>
          <w:rFonts w:hint="eastAsia" w:ascii="仿宋_GB2312" w:hAnsi="宋体" w:eastAsia="仿宋_GB2312"/>
          <w:b/>
          <w:sz w:val="24"/>
        </w:rPr>
        <w:t>注：投标人对电子标项目提出质疑和投诉的，应按照《政府采购质疑和投诉办法》（财政部令第94号）规定的方式提交质疑和投诉。</w:t>
      </w:r>
    </w:p>
    <w:p w14:paraId="275A7E43">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9.1投标人认为招标文件、招标过程或中标结果使自己的合法权益受到损害的，可以在知道或者应知其权益受到损害之日起七个工作日内，以书面形式向采购人或采购代理机构提出质疑。权益受到损害之日是：</w:t>
      </w:r>
    </w:p>
    <w:p w14:paraId="43A275E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9.1.1对可以质疑的采购文件提出质疑的，为收到采购文件之日或者采购文件公告期限届满之日；</w:t>
      </w:r>
    </w:p>
    <w:p w14:paraId="7BB770FE">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9.1.2对采购过程提出质疑的，为各采购程序环节结束之日；</w:t>
      </w:r>
    </w:p>
    <w:p w14:paraId="120FF60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9.1.3对成交结果提出质疑的，为成交结果公告期限届满之日。</w:t>
      </w:r>
    </w:p>
    <w:p w14:paraId="59548B1B">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投标人对采购人或采购代理机构的答复不满意或者采购人、采购代理机构未在规定时间内作出答复的，可以在答复期满后十五个工作日内向同级政府采购监管部门投诉。</w:t>
      </w:r>
    </w:p>
    <w:p w14:paraId="5EA14122">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 xml:space="preserve">9.2采购人或采购代理机构（采购代理机构应当按照有关规定就采购人委托授权范围内的事项）在收到供应商的书面质疑后七个工作日内作出答复，但答复的内容不得涉及商业秘密。 </w:t>
      </w:r>
    </w:p>
    <w:p w14:paraId="55325E36">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9.3质疑、投诉应当采用书面形式，质疑函、投诉书均应明确阐述招标文件、招标过程或中标结果中使自己合法权益受到损害的实质性内容，提供相关事实依据和证据及其来源或线索，便于有关单位调查、答复和处理。</w:t>
      </w:r>
    </w:p>
    <w:p w14:paraId="4C817CB5">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9.4质疑书面要求</w:t>
      </w:r>
    </w:p>
    <w:p w14:paraId="3F9D22D1">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9.4.1质疑人质疑时须提交质疑</w:t>
      </w:r>
      <w:r>
        <w:rPr>
          <w:rFonts w:ascii="仿宋_GB2312" w:hAnsi="宋体" w:eastAsia="仿宋_GB2312"/>
          <w:sz w:val="24"/>
          <w:szCs w:val="24"/>
        </w:rPr>
        <w:t>函</w:t>
      </w:r>
      <w:r>
        <w:rPr>
          <w:rFonts w:hint="eastAsia" w:ascii="仿宋_GB2312" w:hAnsi="宋体" w:eastAsia="仿宋_GB2312"/>
          <w:sz w:val="24"/>
          <w:szCs w:val="24"/>
        </w:rPr>
        <w:t>和必要的证明材料</w:t>
      </w:r>
      <w:r>
        <w:rPr>
          <w:rFonts w:hint="eastAsia" w:ascii="仿宋_GB2312" w:eastAsia="仿宋_GB2312"/>
          <w:sz w:val="24"/>
        </w:rPr>
        <w:t>，</w:t>
      </w:r>
      <w:r>
        <w:rPr>
          <w:rFonts w:hint="eastAsia" w:ascii="仿宋_GB2312" w:hAnsi="宋体" w:eastAsia="仿宋_GB2312"/>
          <w:sz w:val="24"/>
          <w:szCs w:val="24"/>
        </w:rPr>
        <w:t>供应商须在法定质疑期内一次性提出针对同一采购程序环节的质疑。</w:t>
      </w:r>
      <w:r>
        <w:rPr>
          <w:rFonts w:hint="eastAsia" w:ascii="仿宋_GB2312" w:hAnsi="宋体" w:eastAsia="仿宋_GB2312"/>
          <w:bCs/>
          <w:sz w:val="24"/>
          <w:szCs w:val="24"/>
        </w:rPr>
        <w:t>质疑函至少包括下列主要内容：</w:t>
      </w:r>
    </w:p>
    <w:p w14:paraId="282C110C">
      <w:pPr>
        <w:pStyle w:val="26"/>
        <w:numPr>
          <w:ilvl w:val="0"/>
          <w:numId w:val="3"/>
        </w:numPr>
        <w:tabs>
          <w:tab w:val="left" w:pos="1150"/>
          <w:tab w:val="left" w:pos="1350"/>
        </w:tabs>
        <w:spacing w:line="400" w:lineRule="exact"/>
        <w:rPr>
          <w:rFonts w:hint="eastAsia" w:ascii="仿宋_GB2312" w:hAnsi="宋体" w:eastAsia="仿宋_GB2312"/>
          <w:sz w:val="24"/>
          <w:szCs w:val="24"/>
        </w:rPr>
      </w:pPr>
      <w:bookmarkStart w:id="44" w:name="_Hlk93567609"/>
      <w:r>
        <w:rPr>
          <w:rFonts w:hint="eastAsia" w:ascii="仿宋_GB2312" w:hAnsi="宋体" w:eastAsia="仿宋_GB2312"/>
          <w:sz w:val="24"/>
          <w:szCs w:val="24"/>
        </w:rPr>
        <w:t>供应商的姓名或名称、地址、邮编、联系人及联系电话</w:t>
      </w:r>
      <w:bookmarkEnd w:id="44"/>
      <w:r>
        <w:rPr>
          <w:rFonts w:hint="eastAsia" w:ascii="仿宋_GB2312" w:hAnsi="宋体" w:eastAsia="仿宋_GB2312"/>
          <w:sz w:val="24"/>
          <w:szCs w:val="24"/>
        </w:rPr>
        <w:t>；</w:t>
      </w:r>
    </w:p>
    <w:p w14:paraId="6E116E2B">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质疑项目的名称、编号；</w:t>
      </w:r>
    </w:p>
    <w:p w14:paraId="16D18DCD">
      <w:pPr>
        <w:pStyle w:val="26"/>
        <w:numPr>
          <w:ilvl w:val="0"/>
          <w:numId w:val="3"/>
        </w:numPr>
        <w:spacing w:line="400" w:lineRule="exact"/>
        <w:rPr>
          <w:rFonts w:hint="eastAsia" w:ascii="仿宋_GB2312" w:hAnsi="宋体" w:eastAsia="仿宋_GB2312"/>
          <w:sz w:val="24"/>
          <w:szCs w:val="24"/>
        </w:rPr>
      </w:pPr>
      <w:bookmarkStart w:id="45" w:name="_Hlk93567704"/>
      <w:r>
        <w:rPr>
          <w:rFonts w:hint="eastAsia" w:ascii="仿宋_GB2312" w:hAnsi="宋体" w:eastAsia="仿宋_GB2312"/>
          <w:sz w:val="24"/>
          <w:szCs w:val="24"/>
        </w:rPr>
        <w:t>具体、明确的质疑事项和与质疑事项相关的请求；</w:t>
      </w:r>
    </w:p>
    <w:bookmarkEnd w:id="45"/>
    <w:p w14:paraId="6ABD0548">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事实依据；</w:t>
      </w:r>
    </w:p>
    <w:p w14:paraId="17E6672C">
      <w:pPr>
        <w:pStyle w:val="26"/>
        <w:numPr>
          <w:ilvl w:val="0"/>
          <w:numId w:val="3"/>
        </w:numPr>
        <w:spacing w:line="400" w:lineRule="exact"/>
        <w:rPr>
          <w:rFonts w:hint="eastAsia" w:ascii="仿宋_GB2312" w:hAnsi="宋体" w:eastAsia="仿宋_GB2312"/>
          <w:sz w:val="24"/>
          <w:szCs w:val="24"/>
        </w:rPr>
      </w:pPr>
      <w:r>
        <w:rPr>
          <w:rFonts w:hint="eastAsia" w:ascii="仿宋_GB2312" w:hAnsi="宋体" w:eastAsia="仿宋_GB2312"/>
          <w:sz w:val="24"/>
          <w:szCs w:val="24"/>
        </w:rPr>
        <w:t>必要的法律依据；</w:t>
      </w:r>
    </w:p>
    <w:p w14:paraId="32D437B3">
      <w:pPr>
        <w:pStyle w:val="26"/>
        <w:numPr>
          <w:ilvl w:val="0"/>
          <w:numId w:val="3"/>
        </w:numPr>
        <w:spacing w:line="400" w:lineRule="exact"/>
        <w:ind w:left="1025" w:hanging="590"/>
        <w:rPr>
          <w:rFonts w:hint="eastAsia" w:ascii="仿宋_GB2312" w:hAnsi="宋体" w:eastAsia="仿宋_GB2312"/>
          <w:sz w:val="24"/>
          <w:szCs w:val="24"/>
        </w:rPr>
      </w:pPr>
      <w:r>
        <w:rPr>
          <w:rFonts w:hint="eastAsia" w:ascii="仿宋_GB2312" w:hAnsi="宋体" w:eastAsia="仿宋_GB2312"/>
          <w:sz w:val="24"/>
          <w:szCs w:val="24"/>
        </w:rPr>
        <w:t>提出质疑的日期。</w:t>
      </w:r>
    </w:p>
    <w:p w14:paraId="1D031830">
      <w:pPr>
        <w:pStyle w:val="26"/>
        <w:snapToGrid w:val="0"/>
        <w:spacing w:line="400" w:lineRule="exact"/>
        <w:ind w:firstLine="480" w:firstLineChars="200"/>
        <w:rPr>
          <w:rFonts w:hint="eastAsia" w:ascii="仿宋_GB2312" w:hAnsi="宋体" w:eastAsia="仿宋_GB2312"/>
          <w:bCs/>
          <w:sz w:val="24"/>
          <w:szCs w:val="24"/>
        </w:rPr>
      </w:pPr>
      <w:r>
        <w:rPr>
          <w:rFonts w:hint="eastAsia" w:ascii="仿宋_GB2312" w:hAnsi="宋体" w:eastAsia="仿宋_GB2312"/>
          <w:bCs/>
          <w:sz w:val="24"/>
          <w:szCs w:val="24"/>
        </w:rPr>
        <w:t>供应商为自然人的，应当由本人签字；供应商为法人或者其他组织的，应当由法定代表人、主要负责人，或其授权代表签字或者盖章，并加盖公章。</w:t>
      </w:r>
    </w:p>
    <w:p w14:paraId="47795698">
      <w:pPr>
        <w:pStyle w:val="26"/>
        <w:spacing w:line="400" w:lineRule="exact"/>
        <w:ind w:firstLine="480" w:firstLineChars="200"/>
        <w:rPr>
          <w:rFonts w:hint="eastAsia" w:ascii="仿宋_GB2312" w:hAnsi="宋体" w:eastAsia="仿宋_GB2312"/>
          <w:sz w:val="24"/>
          <w:szCs w:val="24"/>
        </w:rPr>
      </w:pPr>
      <w:r>
        <w:rPr>
          <w:rFonts w:hint="eastAsia" w:ascii="仿宋_GB2312" w:hAnsi="宋体" w:eastAsia="仿宋_GB2312"/>
          <w:bCs/>
          <w:sz w:val="24"/>
          <w:szCs w:val="24"/>
        </w:rPr>
        <w:t>代理人提出质疑和投诉，应当提交供应商签署的授权委托书。</w:t>
      </w:r>
    </w:p>
    <w:p w14:paraId="6D2A9E76">
      <w:pPr>
        <w:snapToGrid w:val="0"/>
        <w:spacing w:line="400" w:lineRule="exact"/>
        <w:ind w:firstLine="480" w:firstLineChars="200"/>
        <w:jc w:val="left"/>
        <w:rPr>
          <w:rFonts w:ascii="仿宋_GB2312" w:eastAsia="仿宋_GB2312" w:cs="Courier New"/>
          <w:sz w:val="24"/>
        </w:rPr>
      </w:pPr>
      <w:bookmarkStart w:id="46" w:name="_Hlk101434311"/>
      <w:r>
        <w:rPr>
          <w:rFonts w:hint="eastAsia" w:ascii="仿宋_GB2312" w:eastAsia="仿宋_GB2312" w:cs="Courier New"/>
          <w:sz w:val="24"/>
        </w:rPr>
        <w:t>9.5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4975862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9.6联系部门：柳州市政府集中采购中心监督科。</w:t>
      </w:r>
    </w:p>
    <w:p w14:paraId="62C2F27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9.7联系电话：0772-2992103。</w:t>
      </w:r>
    </w:p>
    <w:p w14:paraId="5B2AF50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9.8通讯地址：广西</w:t>
      </w:r>
      <w:r>
        <w:rPr>
          <w:rFonts w:ascii="仿宋_GB2312" w:eastAsia="仿宋_GB2312" w:cs="Courier New"/>
          <w:sz w:val="24"/>
        </w:rPr>
        <w:t>柳州市三中路6</w:t>
      </w:r>
      <w:r>
        <w:rPr>
          <w:rFonts w:hint="eastAsia" w:ascii="仿宋_GB2312" w:eastAsia="仿宋_GB2312" w:cs="Courier New"/>
          <w:sz w:val="24"/>
        </w:rPr>
        <w:t>4-2</w:t>
      </w:r>
      <w:r>
        <w:rPr>
          <w:rFonts w:ascii="仿宋_GB2312" w:eastAsia="仿宋_GB2312" w:cs="Courier New"/>
          <w:sz w:val="24"/>
        </w:rPr>
        <w:t>号</w:t>
      </w:r>
      <w:r>
        <w:rPr>
          <w:rFonts w:hint="eastAsia" w:ascii="仿宋_GB2312" w:eastAsia="仿宋_GB2312" w:cs="Courier New"/>
          <w:sz w:val="24"/>
        </w:rPr>
        <w:t>。</w:t>
      </w:r>
    </w:p>
    <w:p w14:paraId="69EBE64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9.9现场提交质疑办理业务时间：工作日8时00分到12时00分，15时00分到18时 00分，业务时间以外、双休日和法定节假日不办理业务。</w:t>
      </w:r>
    </w:p>
    <w:p w14:paraId="332F44D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9.10投诉的书面要求</w:t>
      </w:r>
    </w:p>
    <w:p w14:paraId="1821224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9.10.1符合《政府采购质疑和投诉办法》（财政部第94号令）要求。</w:t>
      </w:r>
    </w:p>
    <w:p w14:paraId="5998EA58">
      <w:pPr>
        <w:pStyle w:val="26"/>
        <w:snapToGrid w:val="0"/>
        <w:spacing w:line="360" w:lineRule="exact"/>
        <w:ind w:right="-330" w:rightChars="-157" w:firstLine="472" w:firstLineChars="196"/>
        <w:rPr>
          <w:rFonts w:hint="eastAsia" w:ascii="仿宋_GB2312" w:hAnsi="宋体" w:eastAsia="仿宋_GB2312"/>
          <w:b/>
          <w:sz w:val="24"/>
          <w:szCs w:val="24"/>
        </w:rPr>
      </w:pPr>
      <w:r>
        <w:rPr>
          <w:rFonts w:hint="eastAsia" w:ascii="仿宋_GB2312" w:hAnsi="宋体" w:eastAsia="仿宋_GB2312"/>
          <w:b/>
          <w:sz w:val="24"/>
          <w:szCs w:val="24"/>
        </w:rPr>
        <w:t>二、招标文件</w:t>
      </w:r>
      <w:bookmarkEnd w:id="32"/>
      <w:bookmarkEnd w:id="33"/>
    </w:p>
    <w:p w14:paraId="4BD7676B">
      <w:pPr>
        <w:snapToGrid w:val="0"/>
        <w:spacing w:line="360" w:lineRule="exact"/>
        <w:ind w:right="-330" w:rightChars="-157" w:firstLine="472" w:firstLineChars="196"/>
        <w:jc w:val="left"/>
        <w:rPr>
          <w:rFonts w:hint="eastAsia" w:ascii="等线" w:hAnsi="等线" w:eastAsia="仿宋_GB2312"/>
          <w:b/>
          <w:sz w:val="24"/>
          <w:lang w:val="en-GB"/>
        </w:rPr>
      </w:pPr>
      <w:r>
        <w:rPr>
          <w:rFonts w:hint="eastAsia" w:ascii="仿宋_GB2312" w:eastAsia="仿宋_GB2312" w:cs="Courier New"/>
          <w:b/>
          <w:sz w:val="24"/>
        </w:rPr>
        <w:t>10.招标文件的构成</w:t>
      </w:r>
    </w:p>
    <w:p w14:paraId="3747D614">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（1）公开招标公告；</w:t>
      </w:r>
    </w:p>
    <w:p w14:paraId="6CEB3F8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（2）采购需求；</w:t>
      </w:r>
    </w:p>
    <w:p w14:paraId="47255251">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（3）投标人须知；</w:t>
      </w:r>
    </w:p>
    <w:p w14:paraId="7355F40F">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（4）评标方法及评标标准；</w:t>
      </w:r>
    </w:p>
    <w:p w14:paraId="723D84C7">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（5）合同主要条款及验收书格式；</w:t>
      </w:r>
    </w:p>
    <w:p w14:paraId="5533B738">
      <w:pPr>
        <w:tabs>
          <w:tab w:val="left" w:pos="3870"/>
          <w:tab w:val="left" w:pos="4085"/>
        </w:tabs>
        <w:snapToGrid w:val="0"/>
        <w:spacing w:line="360" w:lineRule="exact"/>
        <w:ind w:right="-330" w:rightChars="-157" w:firstLine="720" w:firstLineChars="300"/>
        <w:jc w:val="left"/>
        <w:rPr>
          <w:rFonts w:ascii="仿宋_GB2312" w:eastAsia="仿宋_GB2312"/>
          <w:sz w:val="24"/>
        </w:rPr>
      </w:pPr>
      <w:r>
        <w:rPr>
          <w:rFonts w:ascii="仿宋_GB2312" w:eastAsia="仿宋_GB2312"/>
          <w:sz w:val="24"/>
        </w:rPr>
        <w:t>（6）投标文件格式。</w:t>
      </w:r>
    </w:p>
    <w:p w14:paraId="1BF588DF">
      <w:pPr>
        <w:snapToGrid w:val="0"/>
        <w:spacing w:line="400" w:lineRule="exact"/>
        <w:ind w:firstLine="472" w:firstLineChars="196"/>
        <w:jc w:val="left"/>
        <w:rPr>
          <w:rFonts w:ascii="仿宋_GB2312" w:eastAsia="仿宋_GB2312" w:cs="Courier New"/>
          <w:b/>
          <w:sz w:val="24"/>
        </w:rPr>
      </w:pPr>
      <w:r>
        <w:rPr>
          <w:rFonts w:hint="eastAsia" w:ascii="仿宋_GB2312" w:eastAsia="仿宋_GB2312" w:cs="Courier New"/>
          <w:b/>
          <w:sz w:val="24"/>
        </w:rPr>
        <w:t>11.投标人的风险</w:t>
      </w:r>
    </w:p>
    <w:p w14:paraId="5C73413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11.1投标人没有按照招标文件要求提供全部资料，或者投标人没有对招标文件在各方面作出实质性响应是投标人的风险，并可能导致其投标被拒绝。</w:t>
      </w:r>
    </w:p>
    <w:p w14:paraId="79E867B4">
      <w:pPr>
        <w:snapToGrid w:val="0"/>
        <w:spacing w:line="400" w:lineRule="exact"/>
        <w:ind w:firstLine="472" w:firstLineChars="196"/>
        <w:jc w:val="left"/>
        <w:rPr>
          <w:rFonts w:ascii="仿宋_GB2312" w:eastAsia="仿宋_GB2312"/>
          <w:b/>
          <w:sz w:val="24"/>
        </w:rPr>
      </w:pPr>
      <w:r>
        <w:rPr>
          <w:rFonts w:hint="eastAsia" w:ascii="仿宋_GB2312" w:eastAsia="仿宋_GB2312" w:cs="Courier New"/>
          <w:b/>
          <w:sz w:val="24"/>
        </w:rPr>
        <w:t>12.招标文件的澄清与修改</w:t>
      </w:r>
      <w:r>
        <w:rPr>
          <w:rFonts w:hint="eastAsia" w:ascii="仿宋_GB2312" w:eastAsia="仿宋_GB2312"/>
          <w:b/>
          <w:sz w:val="24"/>
        </w:rPr>
        <w:t xml:space="preserve"> </w:t>
      </w:r>
    </w:p>
    <w:p w14:paraId="6F4BE0B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12.1投标人应认真阅读本招标文件，发现其中有误或有不合理要求的，投标人必须以书面形式询问采购人或采购代理机构。采购代理机构对已发出的招标文件进行必要澄清、答复、修改或补充的，应当在招标文件要求提交投标文件截止时间十五日前，在财政部门指定的政府采购信息发布媒体上发布更正公告，并以书面形式通知所有获取招标文件的供应商。该澄清或者修改的内容为招标文件的组成部分。</w:t>
      </w:r>
    </w:p>
    <w:p w14:paraId="6F931A0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12.2采购人或采购代理机构以书面形式答复投标人询问的问题，除书面答复以外的其他澄清方式及澄清内容均无效。</w:t>
      </w:r>
    </w:p>
    <w:p w14:paraId="08F1AD2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12.3招标文件澄清、答复、修改、补充的内容为招标文件的组成部分。当招标文件与招标文件的答复、澄清、修改、补充通知就同一内容的表述不一致时，以最后发出的书面文件为准。</w:t>
      </w:r>
    </w:p>
    <w:p w14:paraId="650C52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12.4招标文件的澄清、答复、修改或补充都应该通过本采购代理机构以法定形式发布，采购人非通过代理机构，不得擅自澄清、答复、修改或补充招标文件。</w:t>
      </w:r>
    </w:p>
    <w:p w14:paraId="0F911360">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12.5</w:t>
      </w:r>
      <w:r>
        <w:rPr>
          <w:rFonts w:hint="eastAsia" w:ascii="仿宋_GB2312" w:hAnsi="宋体" w:eastAsia="仿宋_GB2312"/>
          <w:sz w:val="24"/>
        </w:rPr>
        <w:t>采购人或采购代理机构可以视采购具体情况，延长</w:t>
      </w:r>
      <w:r>
        <w:rPr>
          <w:rFonts w:hint="eastAsia" w:ascii="仿宋_GB2312" w:eastAsia="仿宋_GB2312"/>
          <w:sz w:val="24"/>
        </w:rPr>
        <w:t>招标文件提供期限，并在财政部门指定的政府采购信息发布媒体上发布公告</w:t>
      </w:r>
      <w:r>
        <w:rPr>
          <w:rFonts w:hint="eastAsia" w:ascii="仿宋_GB2312" w:eastAsia="仿宋_GB2312" w:cs="Courier New"/>
          <w:sz w:val="24"/>
        </w:rPr>
        <w:t>。</w:t>
      </w:r>
    </w:p>
    <w:p w14:paraId="36499DD2">
      <w:pPr>
        <w:snapToGrid w:val="0"/>
        <w:spacing w:line="360" w:lineRule="exact"/>
        <w:ind w:right="-330" w:rightChars="-157" w:firstLine="472" w:firstLineChars="196"/>
        <w:jc w:val="left"/>
        <w:rPr>
          <w:rFonts w:ascii="仿宋_GB2312" w:eastAsia="仿宋_GB2312" w:cs="Courier New"/>
          <w:b/>
          <w:sz w:val="24"/>
        </w:rPr>
      </w:pPr>
      <w:bookmarkStart w:id="47" w:name="_Toc254970676"/>
      <w:bookmarkStart w:id="48" w:name="_Toc254970535"/>
      <w:r>
        <w:rPr>
          <w:rFonts w:hint="eastAsia" w:ascii="仿宋_GB2312" w:eastAsia="仿宋_GB2312" w:cs="Courier New"/>
          <w:b/>
          <w:sz w:val="24"/>
        </w:rPr>
        <w:t>三、投标文件的编制</w:t>
      </w:r>
      <w:bookmarkEnd w:id="47"/>
      <w:bookmarkEnd w:id="48"/>
    </w:p>
    <w:p w14:paraId="7716857B">
      <w:pPr>
        <w:snapToGrid w:val="0"/>
        <w:spacing w:line="360" w:lineRule="exact"/>
        <w:ind w:right="-330" w:rightChars="-157" w:firstLine="472" w:firstLineChars="196"/>
        <w:jc w:val="left"/>
        <w:rPr>
          <w:rFonts w:ascii="仿宋_GB2312" w:eastAsia="仿宋_GB2312"/>
          <w:b/>
          <w:sz w:val="24"/>
        </w:rPr>
      </w:pPr>
      <w:r>
        <w:rPr>
          <w:rFonts w:hint="eastAsia" w:ascii="仿宋_GB2312" w:eastAsia="仿宋_GB2312" w:cs="Courier New"/>
          <w:b/>
          <w:sz w:val="24"/>
        </w:rPr>
        <w:t>13.投标文件的组成</w:t>
      </w:r>
    </w:p>
    <w:p w14:paraId="08AFA3C0">
      <w:pPr>
        <w:snapToGrid w:val="0"/>
        <w:spacing w:line="400" w:lineRule="exact"/>
        <w:ind w:firstLine="482" w:firstLineChars="200"/>
        <w:jc w:val="left"/>
        <w:rPr>
          <w:rFonts w:ascii="仿宋_GB2312" w:eastAsia="仿宋_GB2312"/>
          <w:b/>
          <w:bCs/>
          <w:sz w:val="24"/>
        </w:rPr>
      </w:pPr>
      <w:r>
        <w:rPr>
          <w:rFonts w:hint="eastAsia" w:ascii="仿宋_GB2312" w:eastAsia="仿宋_GB2312"/>
          <w:b/>
          <w:bCs/>
          <w:sz w:val="24"/>
        </w:rPr>
        <w:t>13.1投标文件由资格文件、报价要求文件、商务技术文件三部分组成。</w:t>
      </w:r>
    </w:p>
    <w:bookmarkEnd w:id="34"/>
    <w:bookmarkEnd w:id="35"/>
    <w:p w14:paraId="66D7045F">
      <w:pPr>
        <w:snapToGrid w:val="0"/>
        <w:spacing w:line="360" w:lineRule="exact"/>
        <w:ind w:right="-330" w:rightChars="-157" w:firstLine="472" w:firstLineChars="196"/>
        <w:jc w:val="left"/>
        <w:rPr>
          <w:rFonts w:ascii="仿宋_GB2312" w:eastAsia="仿宋_GB2312" w:cs="Courier New"/>
          <w:b/>
          <w:sz w:val="24"/>
        </w:rPr>
      </w:pPr>
      <w:r>
        <w:rPr>
          <w:rFonts w:hint="eastAsia" w:ascii="仿宋_GB2312" w:eastAsia="仿宋_GB2312"/>
          <w:b/>
          <w:sz w:val="24"/>
        </w:rPr>
        <w:t>13.1.</w:t>
      </w:r>
      <w:r>
        <w:rPr>
          <w:rFonts w:ascii="仿宋_GB2312" w:eastAsia="仿宋_GB2312"/>
          <w:b/>
          <w:sz w:val="24"/>
        </w:rPr>
        <w:t>1</w:t>
      </w:r>
      <w:r>
        <w:rPr>
          <w:rFonts w:hint="eastAsia" w:ascii="仿宋_GB2312" w:eastAsia="仿宋_GB2312" w:cs="Courier New"/>
          <w:b/>
          <w:bCs/>
          <w:sz w:val="24"/>
        </w:rPr>
        <w:t>资格文件</w:t>
      </w:r>
    </w:p>
    <w:p w14:paraId="4F684EAE">
      <w:pPr>
        <w:snapToGrid w:val="0"/>
        <w:spacing w:line="340" w:lineRule="exact"/>
        <w:ind w:right="-330" w:rightChars="-157" w:firstLine="472" w:firstLineChars="196"/>
        <w:jc w:val="left"/>
        <w:rPr>
          <w:rFonts w:ascii="仿宋_GB2312" w:hAnsi="宋体" w:eastAsia="仿宋_GB2312" w:cs="Courier New"/>
          <w:sz w:val="24"/>
        </w:rPr>
      </w:pPr>
      <w:r>
        <w:rPr>
          <w:rFonts w:hint="eastAsia" w:ascii="仿宋_GB2312" w:hAnsi="宋体" w:eastAsia="仿宋_GB2312"/>
          <w:b/>
          <w:bCs/>
          <w:sz w:val="24"/>
        </w:rPr>
        <w:t>注：以下各项必须提供并加盖投标人CA电子签章、按照第六章格式要求签字，否则其投标无效。</w:t>
      </w:r>
    </w:p>
    <w:p w14:paraId="38F6588C">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，格式见第六章）；</w:t>
      </w:r>
    </w:p>
    <w:p w14:paraId="7C11C656">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，格式见第六章）；</w:t>
      </w:r>
    </w:p>
    <w:p w14:paraId="7BF2082E">
      <w:pPr>
        <w:pStyle w:val="616"/>
        <w:spacing w:before="0" w:beforeAutospacing="0" w:after="0" w:afterAutospacing="0" w:line="360" w:lineRule="atLeast"/>
        <w:rPr>
          <w:rFonts w:ascii="仿宋_GB2312" w:eastAsia="仿宋_GB2312"/>
          <w:color w:val="000000"/>
        </w:rPr>
      </w:pPr>
      <w:r>
        <w:rPr>
          <w:rFonts w:hint="eastAsia" w:ascii="仿宋_GB2312" w:eastAsia="仿宋_GB2312"/>
          <w:color w:val="000000"/>
        </w:rPr>
        <w:t>  （3）投标人资格声明函（</w:t>
      </w:r>
      <w:r>
        <w:rPr>
          <w:rFonts w:hint="eastAsia" w:ascii="仿宋_GB2312" w:eastAsia="仿宋_GB2312"/>
          <w:b/>
          <w:bCs/>
          <w:color w:val="000000"/>
        </w:rPr>
        <w:t>必须提供</w:t>
      </w:r>
      <w:r>
        <w:rPr>
          <w:rFonts w:hint="eastAsia" w:ascii="仿宋_GB2312" w:eastAsia="仿宋_GB2312"/>
          <w:color w:val="000000"/>
        </w:rPr>
        <w:t>，格式见第六章）；</w:t>
      </w:r>
    </w:p>
    <w:p w14:paraId="5ED6ECED">
      <w:pPr>
        <w:pStyle w:val="6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（4）投标人有效主体资格证明（如营业执照、事业单位法人证书、执业许可证、自然人身份证等）（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95A794">
      <w:pPr>
        <w:pStyle w:val="616"/>
        <w:spacing w:before="0" w:beforeAutospacing="0" w:after="0" w:afterAutospacing="0" w:line="360" w:lineRule="atLeast"/>
        <w:ind w:firstLine="480" w:firstLineChars="200"/>
        <w:rPr>
          <w:rFonts w:hint="eastAsia" w:ascii="仿宋_GB2312" w:eastAsia="仿宋_GB2312"/>
          <w:color w:val="000000"/>
        </w:rPr>
      </w:pPr>
      <w:r>
        <w:rPr>
          <w:rFonts w:hint="eastAsia" w:ascii="仿宋_GB2312" w:eastAsia="仿宋_GB2312"/>
          <w:color w:val="000000"/>
          <w:highlight w:val="none"/>
        </w:rPr>
        <w:t>（5）本项目属于专门面向</w:t>
      </w:r>
      <w:r>
        <w:rPr>
          <w:rFonts w:hint="eastAsia" w:ascii="仿宋_GB2312" w:eastAsia="仿宋_GB2312"/>
          <w:color w:val="000000"/>
        </w:rPr>
        <w:t>中小</w:t>
      </w:r>
      <w:r>
        <w:rPr>
          <w:rFonts w:hint="eastAsia" w:ascii="仿宋_GB2312" w:eastAsia="仿宋_GB2312"/>
          <w:color w:val="000000"/>
          <w:highlight w:val="none"/>
        </w:rPr>
        <w:t>企业采购的项目，投标人</w:t>
      </w:r>
      <w:r>
        <w:rPr>
          <w:rFonts w:hint="eastAsia" w:ascii="仿宋_GB2312" w:eastAsia="仿宋_GB2312"/>
          <w:b/>
          <w:bCs/>
          <w:color w:val="000000"/>
          <w:highlight w:val="none"/>
        </w:rPr>
        <w:t>必须提供</w:t>
      </w:r>
      <w:r>
        <w:rPr>
          <w:rFonts w:hint="eastAsia" w:ascii="仿宋_GB2312" w:eastAsia="仿宋_GB2312"/>
          <w:color w:val="000000"/>
          <w:highlight w:val="none"/>
        </w:rPr>
        <w:t>以下</w:t>
      </w:r>
      <w:r>
        <w:rPr>
          <w:rFonts w:hint="eastAsia" w:ascii="仿宋_GB2312" w:eastAsia="仿宋_GB2312"/>
          <w:color w:val="000000"/>
        </w:rPr>
        <w:t>中小</w:t>
      </w:r>
      <w:r>
        <w:rPr>
          <w:rFonts w:hint="eastAsia" w:ascii="仿宋_GB2312" w:eastAsia="仿宋_GB2312"/>
          <w:color w:val="000000"/>
          <w:highlight w:val="none"/>
        </w:rPr>
        <w:t>企业证明材料之一：</w:t>
      </w:r>
      <w:r>
        <w:rPr>
          <w:rFonts w:hint="eastAsia" w:ascii="仿宋_GB2312" w:eastAsia="仿宋_GB2312"/>
          <w:color w:val="000000"/>
          <w:highlight w:val="none"/>
        </w:rPr>
        <w:br w:type="textWrapping"/>
      </w:r>
      <w:r>
        <w:rPr>
          <w:rFonts w:hint="eastAsia" w:ascii="仿宋_GB2312" w:eastAsia="仿宋_GB2312"/>
          <w:color w:val="000000"/>
          <w:highlight w:val="none"/>
        </w:rPr>
        <w:t>   ①中小企业声明函（服务由</w:t>
      </w:r>
      <w:r>
        <w:rPr>
          <w:rFonts w:hint="eastAsia" w:ascii="仿宋_GB2312" w:eastAsia="仿宋_GB2312"/>
          <w:color w:val="000000"/>
        </w:rPr>
        <w:t>中小</w:t>
      </w:r>
      <w:r>
        <w:rPr>
          <w:rFonts w:hint="eastAsia" w:ascii="仿宋_GB2312" w:eastAsia="仿宋_GB2312"/>
          <w:color w:val="000000"/>
          <w:highlight w:val="none"/>
        </w:rPr>
        <w:t>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②残疾人福利性单位声明函（服务由残疾人福利性单位承接的</w:t>
      </w:r>
      <w:r>
        <w:rPr>
          <w:rFonts w:hint="eastAsia" w:ascii="仿宋_GB2312" w:eastAsia="仿宋_GB2312"/>
          <w:b/>
          <w:bCs/>
          <w:color w:val="000000"/>
          <w:highlight w:val="none"/>
        </w:rPr>
        <w:t>必须提供</w:t>
      </w:r>
      <w:r>
        <w:rPr>
          <w:rFonts w:hint="eastAsia" w:ascii="仿宋_GB2312" w:eastAsia="仿宋_GB2312"/>
          <w:color w:val="000000"/>
          <w:highlight w:val="none"/>
        </w:rPr>
        <w:t>，格式见第六章）；</w:t>
      </w:r>
      <w:r>
        <w:rPr>
          <w:rFonts w:hint="eastAsia" w:ascii="仿宋_GB2312" w:eastAsia="仿宋_GB2312"/>
          <w:color w:val="000000"/>
          <w:highlight w:val="none"/>
        </w:rPr>
        <w:br w:type="textWrapping"/>
      </w:r>
      <w:r>
        <w:rPr>
          <w:rFonts w:hint="eastAsia" w:ascii="仿宋_GB2312" w:eastAsia="仿宋_GB2312"/>
          <w:color w:val="000000"/>
          <w:highlight w:val="none"/>
        </w:rPr>
        <w:t>   ③监狱企业由省级以上监狱管理局、戒毒管理局（含新疆生产建设兵团）出具的属于监狱企业的证明文件（服务由监狱企业承接的</w:t>
      </w:r>
      <w:r>
        <w:rPr>
          <w:rFonts w:hint="eastAsia" w:ascii="仿宋_GB2312" w:eastAsia="仿宋_GB2312"/>
          <w:b/>
          <w:bCs/>
          <w:color w:val="000000"/>
          <w:highlight w:val="none"/>
        </w:rPr>
        <w:t>必须提供</w:t>
      </w:r>
      <w:r>
        <w:rPr>
          <w:rFonts w:hint="eastAsia" w:ascii="仿宋_GB2312" w:eastAsia="仿宋_GB2312"/>
          <w:color w:val="000000"/>
          <w:highlight w:val="none"/>
        </w:rPr>
        <w:t>）；</w:t>
      </w:r>
    </w:p>
    <w:p w14:paraId="2C59B65E">
      <w:pPr>
        <w:pStyle w:val="616"/>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color w:val="000000"/>
          <w:lang w:val="en-US" w:eastAsia="zh-CN"/>
        </w:rPr>
        <w:t>6</w:t>
      </w:r>
      <w:r>
        <w:rPr>
          <w:rFonts w:hint="eastAsia" w:ascii="仿宋_GB2312" w:eastAsia="仿宋_GB2312"/>
          <w:color w:val="000000"/>
        </w:rPr>
        <w:t>）</w:t>
      </w:r>
      <w:r>
        <w:rPr>
          <w:rFonts w:hint="eastAsia" w:ascii="仿宋_GB2312" w:eastAsia="仿宋_GB2312"/>
          <w:color w:val="000000"/>
          <w:sz w:val="24"/>
          <w:lang w:val="en-US" w:eastAsia="zh-CN"/>
        </w:rPr>
        <w:t>投标人</w:t>
      </w:r>
      <w:r>
        <w:rPr>
          <w:rFonts w:hint="eastAsia" w:ascii="仿宋_GB2312" w:hAnsi="宋体" w:eastAsia="仿宋_GB2312" w:cs="宋体"/>
          <w:color w:val="000000"/>
          <w:kern w:val="0"/>
          <w:sz w:val="24"/>
          <w:szCs w:val="24"/>
        </w:rPr>
        <w:t>具有国家能源局或其派出机构颁发的五级及以上《承装（修、试）电力设施许可证》（</w:t>
      </w:r>
      <w:r>
        <w:rPr>
          <w:rFonts w:hint="eastAsia" w:ascii="仿宋_GB2312" w:hAnsi="宋体" w:eastAsia="仿宋_GB2312" w:cs="宋体"/>
          <w:color w:val="000000"/>
          <w:kern w:val="0"/>
          <w:sz w:val="24"/>
          <w:szCs w:val="24"/>
          <w:lang w:val="en-US" w:eastAsia="zh-CN"/>
        </w:rPr>
        <w:t>至少包含</w:t>
      </w:r>
      <w:r>
        <w:rPr>
          <w:rFonts w:hint="eastAsia" w:ascii="仿宋_GB2312" w:hAnsi="宋体" w:eastAsia="仿宋_GB2312" w:cs="宋体"/>
          <w:color w:val="000000"/>
          <w:kern w:val="0"/>
          <w:sz w:val="24"/>
          <w:szCs w:val="24"/>
        </w:rPr>
        <w:t>承修类）</w:t>
      </w:r>
      <w:r>
        <w:rPr>
          <w:rFonts w:hint="eastAsia" w:ascii="仿宋_GB2312" w:hAnsi="宋体" w:eastAsia="仿宋_GB2312" w:cs="宋体"/>
          <w:color w:val="000000"/>
          <w:kern w:val="0"/>
          <w:sz w:val="24"/>
        </w:rPr>
        <w:t>（</w:t>
      </w:r>
      <w:r>
        <w:rPr>
          <w:rFonts w:hint="eastAsia" w:ascii="仿宋_GB2312" w:hAnsi="宋体" w:eastAsia="仿宋_GB2312" w:cs="宋体"/>
          <w:b/>
          <w:bCs/>
          <w:color w:val="000000"/>
          <w:kern w:val="0"/>
          <w:sz w:val="24"/>
        </w:rPr>
        <w:t>必须提供</w:t>
      </w:r>
      <w:r>
        <w:rPr>
          <w:rFonts w:hint="eastAsia" w:ascii="仿宋_GB2312" w:hAnsi="宋体" w:eastAsia="仿宋_GB2312" w:cs="宋体"/>
          <w:color w:val="000000"/>
          <w:kern w:val="0"/>
          <w:sz w:val="24"/>
        </w:rPr>
        <w:t>）</w:t>
      </w:r>
    </w:p>
    <w:p w14:paraId="46F4BA98">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13.1.2报价要求文件</w:t>
      </w:r>
    </w:p>
    <w:p w14:paraId="0C412328">
      <w:pPr>
        <w:snapToGrid w:val="0"/>
        <w:spacing w:line="400" w:lineRule="exact"/>
        <w:ind w:firstLine="420"/>
        <w:jc w:val="left"/>
        <w:rPr>
          <w:rFonts w:ascii="仿宋_GB2312" w:eastAsia="仿宋_GB2312" w:cs="Courier New"/>
          <w:sz w:val="24"/>
        </w:rPr>
      </w:pPr>
      <w:r>
        <w:rPr>
          <w:rFonts w:hint="eastAsia" w:ascii="仿宋_GB2312" w:eastAsia="仿宋_GB2312" w:cs="Courier New"/>
          <w:b/>
          <w:bCs/>
          <w:sz w:val="24"/>
        </w:rPr>
        <w:t>注：以下各项必须提供并加盖投标人</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按照第六章格式要求签字，</w:t>
      </w:r>
      <w:r>
        <w:rPr>
          <w:rFonts w:hint="eastAsia" w:ascii="仿宋_GB2312" w:eastAsia="仿宋_GB2312" w:cs="Courier New"/>
          <w:b/>
          <w:bCs/>
          <w:sz w:val="24"/>
        </w:rPr>
        <w:t>否则其投标无效。</w:t>
      </w:r>
    </w:p>
    <w:p w14:paraId="3203C2EC">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（1）开标一览表（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6BE4997B">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（2）投标报价明细表（</w:t>
      </w:r>
      <w:r>
        <w:rPr>
          <w:rFonts w:hint="eastAsia" w:ascii="仿宋_GB2312" w:eastAsia="仿宋_GB2312"/>
          <w:b/>
          <w:bCs/>
          <w:sz w:val="24"/>
        </w:rPr>
        <w:t>必须提供，</w:t>
      </w:r>
      <w:r>
        <w:rPr>
          <w:rFonts w:hint="eastAsia" w:ascii="仿宋_GB2312" w:eastAsia="仿宋_GB2312"/>
          <w:sz w:val="24"/>
        </w:rPr>
        <w:t>格式见第六章</w:t>
      </w:r>
      <w:r>
        <w:rPr>
          <w:rFonts w:hint="eastAsia" w:ascii="仿宋_GB2312" w:eastAsia="仿宋_GB2312" w:cs="Courier New"/>
          <w:sz w:val="24"/>
        </w:rPr>
        <w:t>）。</w:t>
      </w:r>
    </w:p>
    <w:p w14:paraId="06848C8C">
      <w:pPr>
        <w:snapToGrid w:val="0"/>
        <w:spacing w:line="340" w:lineRule="exact"/>
        <w:ind w:right="-330" w:rightChars="-157" w:firstLine="441" w:firstLineChars="183"/>
        <w:jc w:val="left"/>
        <w:rPr>
          <w:rFonts w:ascii="仿宋_GB2312" w:eastAsia="仿宋_GB2312" w:cs="Courier New"/>
          <w:b/>
          <w:sz w:val="24"/>
        </w:rPr>
      </w:pPr>
      <w:r>
        <w:rPr>
          <w:rFonts w:hint="eastAsia" w:ascii="仿宋_GB2312" w:eastAsia="仿宋_GB2312"/>
          <w:b/>
          <w:sz w:val="24"/>
        </w:rPr>
        <w:t>13.1.3商务技术文件</w:t>
      </w:r>
    </w:p>
    <w:p w14:paraId="252DB1DE">
      <w:pPr>
        <w:snapToGrid w:val="0"/>
        <w:spacing w:line="340" w:lineRule="exact"/>
        <w:ind w:right="-330" w:rightChars="-157" w:firstLine="472" w:firstLineChars="196"/>
        <w:jc w:val="left"/>
        <w:rPr>
          <w:rFonts w:ascii="仿宋_GB2312" w:hAnsi="宋体" w:eastAsia="仿宋_GB2312" w:cs="Courier New"/>
          <w:sz w:val="24"/>
        </w:rPr>
      </w:pPr>
      <w:bookmarkStart w:id="49" w:name="_Hlk517112217"/>
      <w:bookmarkStart w:id="50" w:name="_Toc254970537"/>
      <w:bookmarkStart w:id="51" w:name="_Toc254970678"/>
      <w:bookmarkStart w:id="52" w:name="_Hlk517112171"/>
      <w:r>
        <w:rPr>
          <w:rFonts w:hint="eastAsia" w:ascii="仿宋_GB2312" w:hAnsi="宋体" w:eastAsia="仿宋_GB2312"/>
          <w:b/>
          <w:bCs/>
          <w:sz w:val="24"/>
        </w:rPr>
        <w:t>注：以下第（1）至第（</w:t>
      </w:r>
      <w:r>
        <w:rPr>
          <w:rFonts w:ascii="仿宋_GB2312" w:hAnsi="宋体" w:eastAsia="仿宋_GB2312"/>
          <w:b/>
          <w:bCs/>
          <w:sz w:val="24"/>
        </w:rPr>
        <w:t>4</w:t>
      </w:r>
      <w:r>
        <w:rPr>
          <w:rFonts w:hint="eastAsia" w:ascii="仿宋_GB2312" w:hAnsi="宋体" w:eastAsia="仿宋_GB2312"/>
          <w:b/>
          <w:bCs/>
          <w:sz w:val="24"/>
        </w:rPr>
        <w:t>）项必须提供并加盖投标人CA电子签章、并按照第六章格式要求签字，否则投标无效。其余各项如有请提供，同时要加盖投标人CA电子签章，否则该材料被视为无效。</w:t>
      </w:r>
    </w:p>
    <w:p w14:paraId="7AD73AE6">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（1）投标函（</w:t>
      </w:r>
      <w:r>
        <w:rPr>
          <w:rFonts w:hint="eastAsia" w:ascii="仿宋_GB2312" w:eastAsia="仿宋_GB2312"/>
          <w:b/>
          <w:bCs/>
          <w:color w:val="000000"/>
        </w:rPr>
        <w:t>必须提供</w:t>
      </w:r>
      <w:r>
        <w:rPr>
          <w:rFonts w:hint="eastAsia" w:ascii="仿宋_GB2312" w:eastAsia="仿宋_GB2312"/>
          <w:color w:val="000000"/>
        </w:rPr>
        <w:t>，格式见第六章）；</w:t>
      </w:r>
    </w:p>
    <w:p w14:paraId="398B2713">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，格式见第六章）；</w:t>
      </w:r>
    </w:p>
    <w:p w14:paraId="56EF83CD">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，格式见第六章）；</w:t>
      </w:r>
    </w:p>
    <w:p w14:paraId="2BF2EBC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，格式见第六章）；</w:t>
      </w:r>
    </w:p>
    <w:p w14:paraId="7DF93AD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（5）拟投入服务团队一览表（如有，格式见第六章）；</w:t>
      </w:r>
    </w:p>
    <w:p w14:paraId="40DFBADB">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（6）针对本项目的理解分析和工作方案（如有，格式见第六章）；</w:t>
      </w:r>
    </w:p>
    <w:p w14:paraId="3C2E7475">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（7）针对本项目的管理模式和管理机制（如有，格式见第六章）；</w:t>
      </w:r>
    </w:p>
    <w:p w14:paraId="523FCEB0">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（8）维保服务方案（如有，格式见第六章）；</w:t>
      </w:r>
    </w:p>
    <w:p w14:paraId="07803502">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（9）应急预案和应急配合方案（如有，格式见第六章）；</w:t>
      </w:r>
    </w:p>
    <w:p w14:paraId="1A4B6826">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（10）特色服务方案（如有，格式见第六章）；</w:t>
      </w:r>
    </w:p>
    <w:p w14:paraId="3FE358B8">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（11）物资配备方案（如有，格式见第六章）；</w:t>
      </w:r>
    </w:p>
    <w:p w14:paraId="491E4A4D">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（12）人员稳定性及管理方案（如有，格式见第六章）；</w:t>
      </w:r>
    </w:p>
    <w:p w14:paraId="5D78B899">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（13）投标人同类项目经验一览表（如有，格式见第六章）；</w:t>
      </w:r>
    </w:p>
    <w:p w14:paraId="5AC41B7C">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（14）投标人具备有效的质量管理体系认证证书（如有）；</w:t>
      </w:r>
    </w:p>
    <w:p w14:paraId="66A1A53C">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（15）投标人具备有效的职业健康安全管理体系认证证书（如有）；</w:t>
      </w:r>
    </w:p>
    <w:p w14:paraId="5B04EAF2">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（16）投标人具备有效的环境管理体系认证证书（如有）；</w:t>
      </w:r>
    </w:p>
    <w:p w14:paraId="6CC2E17F">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（17）投标人对本项目的合理化建议和改进措施（如有，格式自拟）；</w:t>
      </w:r>
    </w:p>
    <w:p w14:paraId="08A94613">
      <w:pPr>
        <w:pStyle w:val="515"/>
        <w:spacing w:before="0" w:beforeAutospacing="0" w:after="0" w:afterAutospacing="0" w:line="360" w:lineRule="atLeast"/>
        <w:rPr>
          <w:rFonts w:ascii="仿宋_GB2312" w:eastAsia="仿宋_GB2312"/>
          <w:color w:val="000000"/>
        </w:rPr>
      </w:pPr>
      <w:r>
        <w:rPr>
          <w:rFonts w:hint="eastAsia" w:ascii="仿宋_GB2312" w:eastAsia="仿宋_GB2312"/>
          <w:color w:val="000000"/>
        </w:rPr>
        <w:t>  （18）投标人认为需要提供的有关资料（如有，格式自拟）。</w:t>
      </w:r>
    </w:p>
    <w:bookmarkEnd w:id="49"/>
    <w:bookmarkEnd w:id="50"/>
    <w:bookmarkEnd w:id="51"/>
    <w:bookmarkEnd w:id="52"/>
    <w:p w14:paraId="05E27FB3">
      <w:pPr>
        <w:snapToGrid w:val="0"/>
        <w:spacing w:line="400" w:lineRule="exact"/>
        <w:ind w:firstLine="482" w:firstLineChars="200"/>
        <w:jc w:val="left"/>
        <w:rPr>
          <w:rFonts w:ascii="仿宋_GB2312" w:eastAsia="仿宋_GB2312" w:cs="Courier New"/>
          <w:b/>
          <w:sz w:val="24"/>
        </w:rPr>
      </w:pPr>
      <w:r>
        <w:rPr>
          <w:rFonts w:hint="eastAsia" w:ascii="仿宋_GB2312" w:eastAsia="仿宋_GB2312" w:cs="Courier New"/>
          <w:b/>
          <w:sz w:val="24"/>
        </w:rPr>
        <w:t>14.投标文件的语言及计量</w:t>
      </w:r>
    </w:p>
    <w:p w14:paraId="1D18451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14.1投标文件以及投标人与采购代理机构就有关投标事宜的所有来往函电，均应以中文汉语书写。除签字、盖章、专用名称等特殊情形外，以中文汉语以外的文字表述的投标文件视同未提供。</w:t>
      </w:r>
    </w:p>
    <w:p w14:paraId="714D585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14.2投标计量单位，招标文件已有明确规定的，使用招标文件规定的计量单位；招标文件没有规定的，应采用中华人民共和国法定计量单位，否则视同未响应。</w:t>
      </w:r>
    </w:p>
    <w:p w14:paraId="391BBF27">
      <w:pPr>
        <w:snapToGrid w:val="0"/>
        <w:spacing w:line="400" w:lineRule="exact"/>
        <w:ind w:firstLine="422" w:firstLineChars="175"/>
        <w:jc w:val="left"/>
        <w:rPr>
          <w:rFonts w:ascii="仿宋_GB2312" w:eastAsia="仿宋_GB2312" w:cs="Courier New"/>
          <w:b/>
          <w:sz w:val="24"/>
        </w:rPr>
      </w:pPr>
      <w:bookmarkStart w:id="53" w:name="_Toc254970679"/>
      <w:bookmarkStart w:id="54" w:name="_Toc254970538"/>
      <w:r>
        <w:rPr>
          <w:rFonts w:hint="eastAsia" w:ascii="仿宋_GB2312" w:eastAsia="仿宋_GB2312" w:cs="Courier New"/>
          <w:b/>
          <w:sz w:val="24"/>
        </w:rPr>
        <w:t>15.投标报价</w:t>
      </w:r>
      <w:bookmarkEnd w:id="53"/>
      <w:bookmarkEnd w:id="54"/>
    </w:p>
    <w:p w14:paraId="76CDE7F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15.1投标报价应按招标文件中相关附表格式填写。</w:t>
      </w:r>
    </w:p>
    <w:p w14:paraId="703FBB5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15.2投标报价是履行合同的最终价格。</w:t>
      </w:r>
    </w:p>
    <w:p w14:paraId="56D80B4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15.3投标文件只允许有一个总报价，有选择的或有条件的报价将不予接受。</w:t>
      </w:r>
    </w:p>
    <w:p w14:paraId="3B61DB4E">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16.投标文件的有效期</w:t>
      </w:r>
    </w:p>
    <w:p w14:paraId="1AD27D1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16.1 投标截止日期后不得少于90天，投标文件应保持有效。有效期不足的投标文件将被拒绝，视为投标无效。</w:t>
      </w:r>
    </w:p>
    <w:p w14:paraId="237CE90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16.2在特殊情况下，采购人可与投标人协商延长投标书的有效期，这种要求和答复均以书面形式进行。</w:t>
      </w:r>
    </w:p>
    <w:p w14:paraId="4AEED030">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 xml:space="preserve">16.3投标人可拒绝接受延长有效期要求，同意延长有效期的投标人不能修改投标文件其它内容。 </w:t>
      </w:r>
    </w:p>
    <w:p w14:paraId="497BBC9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16.4投标人的投标文件在投标有效期内保持有效；如中标，投标文件至合同履行完毕止均应保持有效。</w:t>
      </w:r>
    </w:p>
    <w:p w14:paraId="3FE991E6">
      <w:pPr>
        <w:spacing w:line="400" w:lineRule="exact"/>
        <w:ind w:firstLine="472" w:firstLineChars="196"/>
        <w:rPr>
          <w:rFonts w:ascii="仿宋_GB2312" w:eastAsia="仿宋_GB2312" w:cs="Courier New"/>
          <w:b/>
          <w:sz w:val="24"/>
        </w:rPr>
      </w:pPr>
      <w:bookmarkStart w:id="55" w:name="_Toc254970541"/>
      <w:bookmarkStart w:id="56" w:name="_Toc254970682"/>
      <w:r>
        <w:rPr>
          <w:rFonts w:hint="eastAsia" w:ascii="仿宋_GB2312" w:eastAsia="仿宋_GB2312" w:cs="Courier New"/>
          <w:b/>
          <w:sz w:val="24"/>
        </w:rPr>
        <w:t>17.投标保证金</w:t>
      </w:r>
      <w:bookmarkEnd w:id="55"/>
      <w:bookmarkEnd w:id="56"/>
    </w:p>
    <w:p w14:paraId="76EE76F3">
      <w:pPr>
        <w:snapToGrid w:val="0"/>
        <w:spacing w:line="400" w:lineRule="exact"/>
        <w:ind w:firstLine="420"/>
        <w:jc w:val="left"/>
        <w:rPr>
          <w:rFonts w:ascii="仿宋_GB2312" w:eastAsia="仿宋_GB2312" w:cs="Courier New"/>
          <w:sz w:val="24"/>
        </w:rPr>
      </w:pPr>
      <w:bookmarkStart w:id="57" w:name="_Toc254970542"/>
      <w:bookmarkStart w:id="58" w:name="_Toc254970683"/>
      <w:r>
        <w:rPr>
          <w:rFonts w:hint="eastAsia" w:ascii="仿宋_GB2312" w:eastAsia="仿宋_GB2312" w:cs="Courier New"/>
          <w:sz w:val="24"/>
        </w:rPr>
        <w:t>17.1本项目无需提交投标保证金。</w:t>
      </w:r>
    </w:p>
    <w:p w14:paraId="1A17F7B0">
      <w:pPr>
        <w:snapToGrid w:val="0"/>
        <w:spacing w:line="400" w:lineRule="exact"/>
        <w:ind w:firstLine="422" w:firstLineChars="175"/>
        <w:jc w:val="left"/>
        <w:rPr>
          <w:rFonts w:ascii="仿宋_GB2312" w:eastAsia="仿宋_GB2312" w:cs="Courier New"/>
          <w:b/>
          <w:sz w:val="24"/>
        </w:rPr>
      </w:pPr>
      <w:r>
        <w:rPr>
          <w:rFonts w:hint="eastAsia" w:ascii="仿宋_GB2312" w:eastAsia="仿宋_GB2312" w:cs="Courier New"/>
          <w:b/>
          <w:sz w:val="24"/>
        </w:rPr>
        <w:t>18.电子投标文件的</w:t>
      </w:r>
      <w:bookmarkEnd w:id="57"/>
      <w:bookmarkEnd w:id="58"/>
      <w:r>
        <w:rPr>
          <w:rFonts w:hint="eastAsia" w:ascii="仿宋_GB2312" w:eastAsia="仿宋_GB2312" w:cs="Courier New"/>
          <w:b/>
          <w:sz w:val="24"/>
        </w:rPr>
        <w:t>编制、加密要求</w:t>
      </w:r>
    </w:p>
    <w:p w14:paraId="4DF089F2">
      <w:pPr>
        <w:spacing w:line="360" w:lineRule="auto"/>
        <w:ind w:firstLine="480" w:firstLineChars="200"/>
        <w:rPr>
          <w:rFonts w:ascii="仿宋_GB2312" w:eastAsia="仿宋_GB2312"/>
          <w:sz w:val="24"/>
        </w:rPr>
      </w:pPr>
      <w:r>
        <w:rPr>
          <w:rFonts w:hint="eastAsia" w:ascii="仿宋_GB2312" w:eastAsia="仿宋_GB2312" w:cs="Courier New"/>
          <w:sz w:val="24"/>
        </w:rPr>
        <w:t>18.1投标人应按本招标文件规定的格式</w:t>
      </w:r>
      <w:r>
        <w:rPr>
          <w:rFonts w:hint="eastAsia" w:ascii="仿宋_GB2312" w:eastAsia="仿宋_GB2312"/>
          <w:sz w:val="24"/>
        </w:rPr>
        <w:t>、顺序和广西政府采购云平台“政府采购项目电子交易管理操作指南-供应商”的有关要求编制电子投标文件并进行关联定位，以便评标委员会在评审时，点击评审项可直接定位到该评审项内容；如电子投标文件因内容不完整、投标人</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投标文件被误读、漏读或者查找不到相关内容，</w:t>
      </w:r>
      <w:r>
        <w:rPr>
          <w:rFonts w:hint="eastAsia" w:ascii="仿宋_GB2312" w:eastAsia="仿宋_GB2312"/>
          <w:sz w:val="24"/>
        </w:rPr>
        <w:t>导致评标委员会在评审时做出对投标人不利的评审，所引起的后果由投标人自行承担。</w:t>
      </w:r>
    </w:p>
    <w:p w14:paraId="0775E3D7">
      <w:pPr>
        <w:spacing w:line="360" w:lineRule="auto"/>
        <w:ind w:firstLine="482" w:firstLineChars="200"/>
        <w:rPr>
          <w:rFonts w:ascii="仿宋_GB2312" w:eastAsia="仿宋_GB2312"/>
          <w:b/>
          <w:bCs/>
          <w:sz w:val="24"/>
        </w:rPr>
      </w:pPr>
      <w:r>
        <w:rPr>
          <w:rFonts w:hint="eastAsia" w:ascii="仿宋_GB2312" w:eastAsia="仿宋_GB2312"/>
          <w:b/>
          <w:bCs/>
          <w:sz w:val="24"/>
        </w:rPr>
        <w:t>18.2公开招标文件中规定须由投标人在规定处盖章的，投标人应加盖CA电子签章，否则视为投标无效。</w:t>
      </w:r>
    </w:p>
    <w:p w14:paraId="3FEE86C4">
      <w:pPr>
        <w:spacing w:line="360" w:lineRule="auto"/>
        <w:ind w:firstLine="482" w:firstLineChars="200"/>
        <w:rPr>
          <w:rFonts w:ascii="仿宋_GB2312" w:eastAsia="仿宋_GB2312"/>
          <w:b/>
          <w:sz w:val="24"/>
        </w:rPr>
      </w:pPr>
      <w:r>
        <w:rPr>
          <w:rFonts w:hint="eastAsia" w:ascii="仿宋_GB2312" w:eastAsia="仿宋_GB2312"/>
          <w:b/>
          <w:bCs/>
          <w:sz w:val="24"/>
        </w:rPr>
        <w:t>18.3公开招标文件描述的投标人“签字”是投标人的法定代表人或授权委托代理人的电子签名或电子签章或手写签名或盖章。涉及的法定代表人或授权委托代理人签字的内容，如果投标人没有法定代表人或授权委托代理人电子签名或电子签章，投标人可以线下签字或盖章后扫描上传，</w:t>
      </w:r>
      <w:r>
        <w:rPr>
          <w:rFonts w:hint="eastAsia" w:ascii="仿宋_GB2312" w:eastAsia="仿宋_GB2312"/>
          <w:b/>
          <w:sz w:val="24"/>
        </w:rPr>
        <w:t>否则视为投标无效。</w:t>
      </w:r>
    </w:p>
    <w:p w14:paraId="6A6B5014">
      <w:pPr>
        <w:spacing w:line="360" w:lineRule="auto"/>
        <w:ind w:firstLine="480" w:firstLineChars="200"/>
        <w:rPr>
          <w:rFonts w:ascii="仿宋_GB2312" w:eastAsia="仿宋_GB2312"/>
          <w:sz w:val="24"/>
        </w:rPr>
      </w:pPr>
      <w:r>
        <w:rPr>
          <w:rFonts w:hint="eastAsia" w:ascii="仿宋_GB2312" w:eastAsia="仿宋_GB2312"/>
          <w:sz w:val="24"/>
        </w:rPr>
        <w:t>18.4电子投标文件不得涂改，若有修改错漏处，须加盖投标人CA电子签章或者法定代表人或授权委托代理人签字。电子投标文件因扫描不清晰或乱码或表达不清所引起的后果由投标人负责。</w:t>
      </w:r>
    </w:p>
    <w:p w14:paraId="3617AFF0">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18.5</w:t>
      </w:r>
      <w:r>
        <w:rPr>
          <w:rFonts w:hint="eastAsia" w:ascii="仿宋_GB2312" w:eastAsia="仿宋_GB2312"/>
          <w:sz w:val="24"/>
        </w:rPr>
        <w:t>电子</w:t>
      </w:r>
      <w:r>
        <w:rPr>
          <w:rFonts w:hint="eastAsia" w:ascii="仿宋_GB2312" w:hAnsi="宋体" w:eastAsia="仿宋_GB2312"/>
          <w:sz w:val="24"/>
        </w:rPr>
        <w:t>投标文件所提供的相关材料的尺寸和清晰度应该能够在电脑上被阅读、识别和判断。</w:t>
      </w:r>
    </w:p>
    <w:p w14:paraId="4AF62B1B">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18.6</w:t>
      </w:r>
      <w:r>
        <w:rPr>
          <w:rFonts w:hint="eastAsia" w:ascii="仿宋_GB2312" w:eastAsia="仿宋_GB2312"/>
          <w:sz w:val="24"/>
        </w:rPr>
        <w:t>电子</w:t>
      </w:r>
      <w:r>
        <w:rPr>
          <w:rFonts w:hint="eastAsia" w:ascii="仿宋_GB2312" w:hAnsi="宋体" w:eastAsia="仿宋_GB2312"/>
          <w:sz w:val="24"/>
        </w:rPr>
        <w:t>投标文件内容无法阅读、识别和判断的，视为未提供。</w:t>
      </w:r>
    </w:p>
    <w:p w14:paraId="68A7FC34">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18.7</w:t>
      </w:r>
      <w:r>
        <w:rPr>
          <w:rFonts w:hint="eastAsia" w:ascii="仿宋_GB2312" w:eastAsia="仿宋_GB2312"/>
          <w:sz w:val="24"/>
        </w:rPr>
        <w:t>电子</w:t>
      </w:r>
      <w:r>
        <w:rPr>
          <w:rFonts w:hint="eastAsia" w:ascii="仿宋_GB2312" w:hAnsi="宋体" w:eastAsia="仿宋_GB2312"/>
          <w:sz w:val="24"/>
        </w:rPr>
        <w:t>投标文件的容量大小须符合广西政府采购云平台客户端规定。</w:t>
      </w:r>
    </w:p>
    <w:p w14:paraId="7ADC70CE">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18.8电子投标文件的加密要求</w:t>
      </w:r>
    </w:p>
    <w:p w14:paraId="506684D1">
      <w:pPr>
        <w:snapToGrid w:val="0"/>
        <w:spacing w:line="420" w:lineRule="exact"/>
        <w:ind w:firstLine="480" w:firstLineChars="200"/>
        <w:jc w:val="left"/>
        <w:rPr>
          <w:rFonts w:hint="eastAsia" w:ascii="仿宋_GB2312" w:hAnsi="宋体" w:eastAsia="仿宋_GB2312"/>
          <w:sz w:val="24"/>
        </w:rPr>
      </w:pPr>
      <w:r>
        <w:rPr>
          <w:rFonts w:hint="eastAsia" w:ascii="仿宋_GB2312" w:eastAsia="仿宋_GB2312"/>
          <w:sz w:val="24"/>
        </w:rPr>
        <w:t>电子</w:t>
      </w:r>
      <w:r>
        <w:rPr>
          <w:rFonts w:hint="eastAsia" w:ascii="仿宋_GB2312" w:hAnsi="宋体" w:eastAsia="仿宋_GB2312"/>
          <w:sz w:val="24"/>
        </w:rPr>
        <w:t>投标文件应按广西政府采购云平台客户端软件有关规定加密，否则广西政府采购云平台将拒收</w:t>
      </w:r>
      <w:r>
        <w:rPr>
          <w:rFonts w:hint="eastAsia" w:ascii="仿宋_GB2312" w:eastAsia="仿宋_GB2312" w:cs="Courier New"/>
          <w:sz w:val="24"/>
        </w:rPr>
        <w:t>，由此造成的风险由投标人承担。</w:t>
      </w:r>
    </w:p>
    <w:p w14:paraId="0B027BB1">
      <w:pPr>
        <w:snapToGrid w:val="0"/>
        <w:spacing w:line="400" w:lineRule="exact"/>
        <w:ind w:firstLine="422" w:firstLineChars="175"/>
        <w:jc w:val="left"/>
        <w:rPr>
          <w:rFonts w:ascii="仿宋_GB2312" w:eastAsia="仿宋_GB2312"/>
          <w:b/>
          <w:sz w:val="24"/>
        </w:rPr>
      </w:pPr>
      <w:r>
        <w:rPr>
          <w:rFonts w:hint="eastAsia" w:ascii="仿宋_GB2312" w:eastAsia="仿宋_GB2312" w:cs="Courier New"/>
          <w:b/>
          <w:sz w:val="24"/>
        </w:rPr>
        <w:t>19.电子投标文件的提交、修改、撤回和解密</w:t>
      </w:r>
    </w:p>
    <w:p w14:paraId="6FD5B834">
      <w:pPr>
        <w:tabs>
          <w:tab w:val="left" w:pos="3870"/>
          <w:tab w:val="left" w:pos="4085"/>
        </w:tabs>
        <w:snapToGrid w:val="0"/>
        <w:spacing w:line="420" w:lineRule="exact"/>
        <w:ind w:firstLine="480" w:firstLineChars="200"/>
        <w:jc w:val="left"/>
        <w:rPr>
          <w:rFonts w:hint="eastAsia" w:ascii="仿宋_GB2312" w:hAnsi="宋体" w:eastAsia="仿宋_GB2312"/>
          <w:sz w:val="24"/>
        </w:rPr>
      </w:pPr>
      <w:bookmarkStart w:id="59" w:name="_Toc254970684"/>
      <w:bookmarkStart w:id="60" w:name="_Toc254970543"/>
      <w:r>
        <w:rPr>
          <w:rFonts w:hint="eastAsia" w:ascii="仿宋_GB2312" w:hAnsi="宋体" w:eastAsia="仿宋_GB2312"/>
          <w:sz w:val="24"/>
        </w:rPr>
        <w:t>19.1本项目实行“网上投标、电子评标”，投标人应于提交投标文件截止时间前在广西政府采购云平台上提交已经加密的电子投标文件。</w:t>
      </w:r>
    </w:p>
    <w:p w14:paraId="6F5F007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19.2未按规定上传的电子投标文件将被广西政府采购云平台拒收，由此造成电子投标文件解密失败或被误投的风险由投标人自行承担。</w:t>
      </w:r>
    </w:p>
    <w:p w14:paraId="2850EAB0">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19.3 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撤回电子投标文件。提交截止时间后上传的文件，将被广西政府采购云平台拒收。</w:t>
      </w:r>
    </w:p>
    <w:p w14:paraId="7FE266EB">
      <w:pPr>
        <w:tabs>
          <w:tab w:val="left" w:pos="3870"/>
          <w:tab w:val="left" w:pos="4085"/>
        </w:tabs>
        <w:snapToGrid w:val="0"/>
        <w:spacing w:line="420" w:lineRule="exact"/>
        <w:ind w:firstLine="482" w:firstLineChars="200"/>
        <w:jc w:val="left"/>
        <w:rPr>
          <w:rFonts w:hint="eastAsia" w:ascii="仿宋_GB2312" w:hAnsi="宋体" w:eastAsia="仿宋_GB2312"/>
          <w:sz w:val="24"/>
        </w:rPr>
      </w:pPr>
      <w:r>
        <w:rPr>
          <w:rFonts w:hint="eastAsia" w:ascii="仿宋_GB2312" w:hAnsi="宋体" w:eastAsia="仿宋_GB2312"/>
          <w:b/>
          <w:bCs/>
          <w:sz w:val="24"/>
        </w:rPr>
        <w:t>19.4</w:t>
      </w:r>
      <w:r>
        <w:rPr>
          <w:rFonts w:hint="eastAsia" w:ascii="仿宋_GB2312" w:eastAsia="仿宋_GB2312"/>
          <w:b/>
          <w:bCs/>
          <w:sz w:val="24"/>
        </w:rPr>
        <w:t>电子投标文件成功提交后，投标人可自行打印投标文件接收回执。</w:t>
      </w:r>
    </w:p>
    <w:p w14:paraId="65E857C8">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19.5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w:t>
      </w:r>
    </w:p>
    <w:p w14:paraId="2D2F723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非广西政府采购云平台技术原因造成的投标人超过解密时限未完成解密的，或投标文件无法解密或解密失败，视为投标人放弃投标，投标无效。</w:t>
      </w:r>
    </w:p>
    <w:p w14:paraId="37F17F21">
      <w:pPr>
        <w:snapToGrid w:val="0"/>
        <w:spacing w:line="400" w:lineRule="exact"/>
        <w:ind w:firstLine="354" w:firstLineChars="147"/>
        <w:jc w:val="left"/>
        <w:rPr>
          <w:rFonts w:ascii="仿宋_GB2312" w:eastAsia="仿宋_GB2312"/>
          <w:b/>
          <w:sz w:val="24"/>
        </w:rPr>
      </w:pPr>
      <w:r>
        <w:rPr>
          <w:rFonts w:hint="eastAsia" w:ascii="仿宋_GB2312" w:eastAsia="仿宋_GB2312" w:cs="Courier New"/>
          <w:b/>
          <w:sz w:val="24"/>
        </w:rPr>
        <w:t>20.投标无效的情形</w:t>
      </w:r>
      <w:bookmarkEnd w:id="59"/>
      <w:bookmarkEnd w:id="60"/>
    </w:p>
    <w:p w14:paraId="5B9FE6B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20.1实质上没有响应招标文件要求和条件的投标将被视为无效投标。投标人不得通过修正或撤消不合要求的偏离或保留从而使其投标成为实质上响应的投标，除资格证明文件外经评标委员会认定属于28.澄清问题的形式规定情形的，应当允许其在评标结束之前通过广西政府采购云平台进行澄清或者补正，澄清或者补正投标文件必须以书面形式进行。限期内不补正或经补正后仍不符合招标文件要求的，应认定其投标无效。投标人澄清、补正投标文件后，不影响评标委员会对其投标文件所作的评价和评分结果。</w:t>
      </w:r>
    </w:p>
    <w:p w14:paraId="6CCFD47B">
      <w:pPr>
        <w:snapToGrid w:val="0"/>
        <w:spacing w:line="400" w:lineRule="exact"/>
        <w:ind w:firstLine="472" w:firstLineChars="196"/>
        <w:rPr>
          <w:rFonts w:ascii="仿宋_GB2312" w:eastAsia="仿宋_GB2312"/>
          <w:b/>
          <w:bCs/>
          <w:sz w:val="24"/>
        </w:rPr>
      </w:pPr>
      <w:r>
        <w:rPr>
          <w:rFonts w:hint="eastAsia" w:ascii="仿宋_GB2312" w:eastAsia="仿宋_GB2312"/>
          <w:b/>
          <w:sz w:val="24"/>
        </w:rPr>
        <w:t>20.1.1投标人存在下列情况之一的，投标无效：</w:t>
      </w:r>
    </w:p>
    <w:p w14:paraId="210A14C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（1）投标文件未按招标文件要求签署、盖章的；</w:t>
      </w:r>
    </w:p>
    <w:p w14:paraId="3989AB9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（2）不具备招标文件中规定的资格要求的；</w:t>
      </w:r>
    </w:p>
    <w:p w14:paraId="5BF0A5F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（3）报价超过招标文件中规定的预算金额或者最高限价的；</w:t>
      </w:r>
    </w:p>
    <w:p w14:paraId="65F522E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（4）投标文件含有采购人不能接受的附加条件的；</w:t>
      </w:r>
    </w:p>
    <w:p w14:paraId="49D000B7">
      <w:pPr>
        <w:snapToGrid w:val="0"/>
        <w:spacing w:line="400" w:lineRule="exact"/>
        <w:ind w:firstLine="420"/>
        <w:jc w:val="left"/>
        <w:rPr>
          <w:rFonts w:ascii="仿宋_GB2312" w:eastAsia="仿宋_GB2312" w:cs="Courier New"/>
          <w:b/>
          <w:bCs/>
          <w:sz w:val="24"/>
        </w:rPr>
      </w:pPr>
      <w:r>
        <w:rPr>
          <w:rFonts w:hint="eastAsia" w:ascii="仿宋_GB2312" w:eastAsia="仿宋_GB2312" w:cs="Courier New"/>
          <w:b/>
          <w:bCs/>
          <w:sz w:val="24"/>
        </w:rPr>
        <w:t>（5）投标人在线制作电子投标文件时填写的报价金额与解密后“电子加密投标文件”中《开标一览表》填写的金额不一致并拒绝按公开招标文件要求接受调整的；</w:t>
      </w:r>
    </w:p>
    <w:p w14:paraId="04979056">
      <w:pPr>
        <w:snapToGrid w:val="0"/>
        <w:spacing w:line="360" w:lineRule="exact"/>
        <w:ind w:right="-330" w:rightChars="-157" w:firstLine="420"/>
        <w:jc w:val="left"/>
        <w:rPr>
          <w:rFonts w:ascii="仿宋_GB2312" w:eastAsia="仿宋_GB2312" w:cs="Courier New"/>
          <w:sz w:val="24"/>
        </w:rPr>
      </w:pPr>
      <w:r>
        <w:rPr>
          <w:rFonts w:hint="eastAsia" w:ascii="仿宋_GB2312" w:eastAsia="仿宋_GB2312" w:cs="Courier New"/>
          <w:sz w:val="24"/>
        </w:rPr>
        <w:t>（6）法律、法规和招标文件规定的其他无效情形。</w:t>
      </w:r>
    </w:p>
    <w:p w14:paraId="0939F1A2">
      <w:pPr>
        <w:snapToGrid w:val="0"/>
        <w:spacing w:line="350" w:lineRule="exact"/>
        <w:ind w:right="-330" w:rightChars="-157" w:firstLine="472" w:firstLineChars="196"/>
        <w:rPr>
          <w:rFonts w:ascii="仿宋_GB2312" w:eastAsia="仿宋_GB2312"/>
          <w:b/>
          <w:sz w:val="24"/>
        </w:rPr>
      </w:pPr>
      <w:r>
        <w:rPr>
          <w:rFonts w:hint="eastAsia" w:ascii="仿宋_GB2312" w:eastAsia="仿宋_GB2312"/>
          <w:b/>
          <w:sz w:val="24"/>
        </w:rPr>
        <w:t>20.1.2在资格性审查时，如发现下列情形之一的，投标文件将被视为无效：</w:t>
      </w:r>
    </w:p>
    <w:p w14:paraId="15435515">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（1）资格证明文件不全的，或者不符合招标文件标明的资格要求的；</w:t>
      </w:r>
    </w:p>
    <w:p w14:paraId="67ED411E">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（2）无法定代表人或其授权委托代理人签字，或未提供法定代表人授权委托书或者填写项目不齐全的；</w:t>
      </w:r>
    </w:p>
    <w:p w14:paraId="7DEB15EF">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（3）委托代理人与法定代表人授权委托书中的代理人不符的。</w:t>
      </w:r>
    </w:p>
    <w:p w14:paraId="0EAF04F0">
      <w:pPr>
        <w:snapToGrid w:val="0"/>
        <w:spacing w:line="340" w:lineRule="exact"/>
        <w:ind w:right="-330" w:rightChars="-157" w:firstLine="472" w:firstLineChars="196"/>
        <w:rPr>
          <w:rFonts w:ascii="仿宋_GB2312" w:eastAsia="仿宋_GB2312"/>
          <w:b/>
          <w:bCs/>
          <w:kern w:val="0"/>
          <w:sz w:val="24"/>
        </w:rPr>
      </w:pPr>
      <w:r>
        <w:rPr>
          <w:rFonts w:hint="eastAsia" w:ascii="仿宋_GB2312" w:eastAsia="仿宋_GB2312"/>
          <w:b/>
          <w:bCs/>
          <w:kern w:val="0"/>
          <w:sz w:val="24"/>
        </w:rPr>
        <w:t>20.1.3在符合性评审时，如发现下列情形之一的，投标文件将被视为无效：</w:t>
      </w:r>
    </w:p>
    <w:p w14:paraId="6C8CBD6A">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（1）投标有效期、服务期限、付款方式等商务条款不能满足招标文件要求的；</w:t>
      </w:r>
    </w:p>
    <w:p w14:paraId="72E42C4B">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（2）投标人就采购需求中标记 “★”符号的实质性响应内容发生负偏离一项以上的；</w:t>
      </w:r>
    </w:p>
    <w:p w14:paraId="0423B36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（3）投标技术方案不明确，存在一个或一个以上备选（替代）投标方案的；</w:t>
      </w:r>
    </w:p>
    <w:p w14:paraId="0F7279BC">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（4）未采用人民币报价或者未按照招标文件标明的币种报价的；</w:t>
      </w:r>
    </w:p>
    <w:p w14:paraId="3837BF32">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（5）报价超出最高限价，或者超出采购预算金额的；</w:t>
      </w:r>
    </w:p>
    <w:p w14:paraId="15BD03CF">
      <w:pPr>
        <w:tabs>
          <w:tab w:val="left" w:pos="3870"/>
          <w:tab w:val="left" w:pos="4085"/>
        </w:tabs>
        <w:snapToGrid w:val="0"/>
        <w:spacing w:line="360" w:lineRule="exact"/>
        <w:ind w:right="-330" w:rightChars="-157" w:firstLine="480" w:firstLineChars="200"/>
        <w:jc w:val="left"/>
        <w:rPr>
          <w:rFonts w:ascii="仿宋_GB2312" w:hAnsi="宋体" w:eastAsia="仿宋_GB2312" w:cs="Courier New"/>
          <w:sz w:val="24"/>
        </w:rPr>
      </w:pPr>
      <w:r>
        <w:rPr>
          <w:rFonts w:ascii="仿宋_GB2312" w:eastAsia="仿宋_GB2312"/>
          <w:sz w:val="24"/>
        </w:rPr>
        <w:t>（6）投标报价具有选择性，或者开标价格与投标文件承诺的优惠（折扣）价格不一致的；</w:t>
      </w:r>
    </w:p>
    <w:p w14:paraId="490FB94C">
      <w:pPr>
        <w:tabs>
          <w:tab w:val="left" w:pos="3870"/>
          <w:tab w:val="left" w:pos="4085"/>
        </w:tabs>
        <w:snapToGrid w:val="0"/>
        <w:spacing w:line="360" w:lineRule="exact"/>
        <w:ind w:right="-330" w:rightChars="-157" w:firstLine="480" w:firstLineChars="200"/>
        <w:jc w:val="left"/>
        <w:rPr>
          <w:rFonts w:hint="eastAsia" w:ascii="仿宋_GB2312" w:hAnsi="宋体" w:eastAsia="仿宋_GB2312" w:cs="Courier New"/>
          <w:sz w:val="24"/>
        </w:rPr>
      </w:pPr>
      <w:r>
        <w:rPr>
          <w:rFonts w:ascii="仿宋_GB2312" w:eastAsia="仿宋_GB2312"/>
          <w:sz w:val="24"/>
        </w:rPr>
        <w:t>（7）评标委员会认为投标人的报价明显低于其他通过符合性审查投标人的报价，有可能影响产品质量或者不能诚信履约的，应当通过广西政府采购云平台发起询标函，要求其在评标现场合理的时间内通过广西政府采购云平台提供书面说明，必要时提交相关证明材料；投标人不能证明其报价合理性的，评标委员会应当将其作为无效投标处理。</w:t>
      </w:r>
    </w:p>
    <w:p w14:paraId="5DA4A888">
      <w:pPr>
        <w:snapToGrid w:val="0"/>
        <w:spacing w:line="400" w:lineRule="exact"/>
        <w:ind w:firstLine="472" w:firstLineChars="196"/>
        <w:rPr>
          <w:rFonts w:ascii="仿宋_GB2312" w:eastAsia="仿宋_GB2312"/>
          <w:b/>
          <w:sz w:val="24"/>
        </w:rPr>
      </w:pPr>
      <w:r>
        <w:rPr>
          <w:rFonts w:hint="eastAsia" w:ascii="仿宋_GB2312" w:eastAsia="仿宋_GB2312"/>
          <w:b/>
          <w:sz w:val="24"/>
        </w:rPr>
        <w:t>20.1.4在评审时有下列情形之一的视为投标人相互串通投标，投标文件将被视为无效：</w:t>
      </w:r>
    </w:p>
    <w:p w14:paraId="1BA14F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（1）不同投标人的投标文件由同一单位或者个人编制；或不同投标人报名（获取文件）的IP地址一致的；</w:t>
      </w:r>
    </w:p>
    <w:p w14:paraId="2A432B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（2）不同投标人委托同一单位或者个人办理投标事宜；</w:t>
      </w:r>
    </w:p>
    <w:p w14:paraId="5C72A75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（3）不同的投标人的投标文件载明的项目管理成员或者联系人员为同一个人；</w:t>
      </w:r>
    </w:p>
    <w:p w14:paraId="2184A66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（4）不同投标人的投标文件异常一致或投标报价呈规律性差异；</w:t>
      </w:r>
    </w:p>
    <w:p w14:paraId="6B888BC4">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（5）不同投标人的投标文件相互混装。</w:t>
      </w:r>
    </w:p>
    <w:p w14:paraId="59BB2F90">
      <w:pPr>
        <w:snapToGrid w:val="0"/>
        <w:spacing w:line="400" w:lineRule="exact"/>
        <w:ind w:firstLine="472" w:firstLineChars="196"/>
        <w:rPr>
          <w:rFonts w:ascii="仿宋_GB2312" w:eastAsia="仿宋_GB2312"/>
          <w:b/>
          <w:sz w:val="24"/>
        </w:rPr>
      </w:pPr>
      <w:r>
        <w:rPr>
          <w:rFonts w:hint="eastAsia" w:ascii="仿宋_GB2312" w:eastAsia="仿宋_GB2312"/>
          <w:b/>
          <w:sz w:val="24"/>
        </w:rPr>
        <w:t>20.1.5被拒绝的投标文件为无效。</w:t>
      </w:r>
    </w:p>
    <w:p w14:paraId="4F2A5881">
      <w:pPr>
        <w:spacing w:line="460" w:lineRule="exact"/>
        <w:ind w:firstLine="482" w:firstLineChars="200"/>
        <w:rPr>
          <w:rFonts w:ascii="仿宋_GB2312" w:eastAsia="仿宋_GB2312"/>
          <w:b/>
          <w:sz w:val="24"/>
        </w:rPr>
      </w:pPr>
      <w:r>
        <w:rPr>
          <w:rFonts w:hint="eastAsia" w:ascii="仿宋_GB2312" w:eastAsia="仿宋_GB2312"/>
          <w:b/>
          <w:sz w:val="24"/>
        </w:rPr>
        <w:t>20.2特别说明</w:t>
      </w:r>
    </w:p>
    <w:p w14:paraId="1BC4414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20.2.1广西政府采购云平台如对电子化开评标程序有调整的，按调整后的程序操作。</w:t>
      </w:r>
    </w:p>
    <w:p w14:paraId="3443572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20.2.2评审在严格保密的情况下进行，任何一方不得透露与评审有关的其他投标人的技术资料、价格和其他信息。</w:t>
      </w:r>
    </w:p>
    <w:p w14:paraId="2D1700A2">
      <w:pPr>
        <w:spacing w:line="460" w:lineRule="exact"/>
        <w:ind w:firstLine="482" w:firstLineChars="200"/>
        <w:rPr>
          <w:rFonts w:ascii="仿宋_GB2312" w:eastAsia="仿宋_GB2312"/>
          <w:b/>
          <w:bCs/>
          <w:sz w:val="24"/>
        </w:rPr>
      </w:pPr>
      <w:r>
        <w:rPr>
          <w:rFonts w:hint="eastAsia" w:ascii="仿宋_GB2312" w:eastAsia="仿宋_GB2312"/>
          <w:b/>
          <w:bCs/>
          <w:sz w:val="24"/>
        </w:rPr>
        <w:t>20.3可中止电子交易活动的情形</w:t>
      </w:r>
    </w:p>
    <w:p w14:paraId="061E8AF2">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采购过程中出现以下情形，导致广西政府采购云平台无法正常运行，或者无法保证电子交易的公平、公正和安全时，采购代理机构可中止电子交易活动：</w:t>
      </w:r>
    </w:p>
    <w:p w14:paraId="0E1BE6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20.3.1广西政府采购云平台发生故障而无法登录访问的；</w:t>
      </w:r>
    </w:p>
    <w:p w14:paraId="3A2D3376">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20.3.2广西政府采购云平台应用或数据库出现错误，不能进行正常操作的；</w:t>
      </w:r>
    </w:p>
    <w:p w14:paraId="2F33227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20.3.3广西政府采购云平台发现严重安全漏洞，有潜在泄密危险的；</w:t>
      </w:r>
    </w:p>
    <w:p w14:paraId="28379DA9">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20.3.4病毒发作导致不能进行正常操作的；</w:t>
      </w:r>
    </w:p>
    <w:p w14:paraId="21100907">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20.3.5其他无法保证电子交易的公平、公正和安全的情况。</w:t>
      </w:r>
    </w:p>
    <w:p w14:paraId="7D351E4F">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293F302F">
      <w:pPr>
        <w:snapToGrid w:val="0"/>
        <w:spacing w:line="400" w:lineRule="exact"/>
        <w:ind w:firstLine="472" w:firstLineChars="196"/>
        <w:rPr>
          <w:rFonts w:ascii="仿宋_GB2312" w:eastAsia="仿宋_GB2312" w:cs="Courier New"/>
          <w:b/>
          <w:sz w:val="24"/>
        </w:rPr>
      </w:pPr>
      <w:r>
        <w:rPr>
          <w:rFonts w:hint="eastAsia" w:ascii="仿宋_GB2312" w:eastAsia="仿宋_GB2312" w:cs="Courier New"/>
          <w:b/>
          <w:sz w:val="24"/>
        </w:rPr>
        <w:t>四、开标</w:t>
      </w:r>
    </w:p>
    <w:p w14:paraId="31F8A0ED">
      <w:pPr>
        <w:pStyle w:val="26"/>
        <w:snapToGrid w:val="0"/>
        <w:spacing w:line="40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21.开标准备</w:t>
      </w:r>
    </w:p>
    <w:p w14:paraId="205CC4DD">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21.1采购代理机构按公开招标文件规定的时间、地点通过“广西政府采购云平台”组织开标、开启解密电子投标文件，所有投标人均应当准时在线出席开标会。投标人因未在线参加开标而导致电子投标文件无法按时解密等一切后果由投标人自行承担。</w:t>
      </w:r>
    </w:p>
    <w:p w14:paraId="10CC18D2">
      <w:pPr>
        <w:pStyle w:val="26"/>
        <w:snapToGrid w:val="0"/>
        <w:spacing w:line="400" w:lineRule="exact"/>
        <w:ind w:firstLine="482" w:firstLineChars="200"/>
        <w:rPr>
          <w:rFonts w:hint="eastAsia" w:ascii="仿宋_GB2312" w:hAnsi="宋体" w:eastAsia="仿宋_GB2312"/>
          <w:b/>
          <w:sz w:val="24"/>
          <w:szCs w:val="24"/>
        </w:rPr>
      </w:pPr>
      <w:r>
        <w:rPr>
          <w:rFonts w:hint="eastAsia" w:ascii="仿宋_GB2312" w:hAnsi="宋体" w:eastAsia="仿宋_GB2312"/>
          <w:b/>
          <w:sz w:val="24"/>
          <w:szCs w:val="24"/>
        </w:rPr>
        <w:t>22.开标程序</w:t>
      </w:r>
    </w:p>
    <w:p w14:paraId="27C3A4C8">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22.1开标会由采购代理机构主持；</w:t>
      </w:r>
    </w:p>
    <w:p w14:paraId="7F724054">
      <w:pPr>
        <w:snapToGrid w:val="0"/>
        <w:spacing w:line="400" w:lineRule="exact"/>
        <w:ind w:firstLine="420"/>
        <w:jc w:val="left"/>
        <w:rPr>
          <w:rFonts w:hint="eastAsia" w:ascii="仿宋_GB2312" w:hAnsi="宋体" w:eastAsia="仿宋_GB2312"/>
          <w:sz w:val="24"/>
        </w:rPr>
      </w:pPr>
      <w:r>
        <w:rPr>
          <w:rFonts w:hint="eastAsia" w:ascii="仿宋_GB2312" w:eastAsia="仿宋_GB2312" w:cs="Courier New"/>
          <w:sz w:val="24"/>
        </w:rPr>
        <w:t>22.2</w:t>
      </w:r>
      <w:r>
        <w:rPr>
          <w:rFonts w:hint="eastAsia" w:ascii="仿宋_GB2312" w:hAnsi="宋体" w:eastAsia="仿宋_GB2312"/>
          <w:sz w:val="24"/>
        </w:rPr>
        <w:t>截标后，广西政府采购云平台电子交易平台自动提取所有投标人的电子投标文件，采购代理机构向各投标人发出解密通知，投标人须在采购代理机构开启解密标书后30分钟内对上传广西政府采购云平台的投标文件进行解密。非广西政府采购云平台技术原因造成的投标人超过解密时限未完成解密的，或投标文件无法解密或解密失败，视为投标人放弃投标，投标无效。</w:t>
      </w:r>
    </w:p>
    <w:p w14:paraId="0869BA3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22.3电子投标文件解密结束，开启报价要求文件。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3405E8C5">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22.4公开报价；</w:t>
      </w:r>
    </w:p>
    <w:p w14:paraId="1D7E4FE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22.5报价确认：采购代理机构开启签字时段，投标人应及时通过CA证书对报价记录表进行确认。未在规定时间内确认的，视同认可开标结果；</w:t>
      </w:r>
    </w:p>
    <w:p w14:paraId="343ED1D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22.6开标会结束。</w:t>
      </w:r>
    </w:p>
    <w:p w14:paraId="0F4A2061">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五、资格性审查</w:t>
      </w:r>
    </w:p>
    <w:p w14:paraId="00E274F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23.采购人应当依法对投标人的资格进行审查。</w:t>
      </w:r>
    </w:p>
    <w:p w14:paraId="09C30E6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24.合格投标人不足三家的，不得评标。</w:t>
      </w:r>
    </w:p>
    <w:p w14:paraId="764B2A81">
      <w:pPr>
        <w:pStyle w:val="26"/>
        <w:snapToGrid w:val="0"/>
        <w:spacing w:line="370" w:lineRule="exact"/>
        <w:ind w:firstLine="472" w:firstLineChars="196"/>
        <w:rPr>
          <w:rFonts w:hint="eastAsia" w:ascii="仿宋_GB2312" w:hAnsi="宋体" w:eastAsia="仿宋_GB2312"/>
          <w:b/>
          <w:sz w:val="24"/>
          <w:szCs w:val="24"/>
        </w:rPr>
      </w:pPr>
      <w:bookmarkStart w:id="61" w:name="_Toc254970686"/>
      <w:bookmarkStart w:id="62" w:name="_Toc254970545"/>
      <w:r>
        <w:rPr>
          <w:rFonts w:hint="eastAsia" w:ascii="仿宋_GB2312" w:hAnsi="宋体" w:eastAsia="仿宋_GB2312"/>
          <w:b/>
          <w:sz w:val="24"/>
          <w:szCs w:val="24"/>
        </w:rPr>
        <w:t>六、评标</w:t>
      </w:r>
      <w:bookmarkEnd w:id="61"/>
      <w:bookmarkEnd w:id="62"/>
    </w:p>
    <w:p w14:paraId="3F9F2E86">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25.组建评标委员会</w:t>
      </w:r>
    </w:p>
    <w:p w14:paraId="7A07E03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25.1本项目评标委员会由采购人代表和评审专家组成。</w:t>
      </w:r>
    </w:p>
    <w:p w14:paraId="63514998">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26.评标的方式</w:t>
      </w:r>
    </w:p>
    <w:p w14:paraId="742BF0D3">
      <w:pPr>
        <w:snapToGrid w:val="0"/>
        <w:spacing w:line="370" w:lineRule="exact"/>
        <w:ind w:firstLine="420"/>
        <w:jc w:val="left"/>
        <w:rPr>
          <w:rFonts w:ascii="仿宋_GB2312" w:eastAsia="仿宋_GB2312"/>
          <w:sz w:val="24"/>
        </w:rPr>
      </w:pPr>
      <w:r>
        <w:rPr>
          <w:rFonts w:hint="eastAsia" w:ascii="仿宋_GB2312" w:eastAsia="仿宋_GB2312" w:cs="Courier New"/>
          <w:sz w:val="24"/>
        </w:rPr>
        <w:t>26.1本项目采用不公开方式评标，评标的依据为招标文件和投标文件。</w:t>
      </w:r>
    </w:p>
    <w:p w14:paraId="5B93BB15">
      <w:pPr>
        <w:pStyle w:val="26"/>
        <w:snapToGrid w:val="0"/>
        <w:spacing w:line="370" w:lineRule="exact"/>
        <w:ind w:left="720" w:leftChars="228" w:hanging="241" w:hangingChars="100"/>
        <w:rPr>
          <w:rFonts w:hint="eastAsia" w:ascii="仿宋_GB2312" w:hAnsi="宋体" w:eastAsia="仿宋_GB2312"/>
          <w:b/>
          <w:sz w:val="24"/>
          <w:szCs w:val="24"/>
        </w:rPr>
      </w:pPr>
      <w:r>
        <w:rPr>
          <w:rFonts w:hint="eastAsia" w:ascii="仿宋_GB2312" w:hAnsi="宋体" w:eastAsia="仿宋_GB2312"/>
          <w:b/>
          <w:sz w:val="24"/>
          <w:szCs w:val="24"/>
        </w:rPr>
        <w:t>27.</w:t>
      </w:r>
      <w:r>
        <w:rPr>
          <w:rFonts w:hint="eastAsia" w:ascii="仿宋_GB2312" w:hAnsi="宋体" w:eastAsia="仿宋_GB2312"/>
          <w:b/>
          <w:bCs/>
          <w:sz w:val="24"/>
          <w:szCs w:val="24"/>
        </w:rPr>
        <w:t>评标程序</w:t>
      </w:r>
    </w:p>
    <w:p w14:paraId="1EC9F87A">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27.1符合性审查</w:t>
      </w:r>
    </w:p>
    <w:p w14:paraId="0077206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（1）评标委员会审查、评价投标文件是否符合招标文件的商务、技术等实质性要求。</w:t>
      </w:r>
    </w:p>
    <w:p w14:paraId="3A8A29D2">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（2）评标委员会将根据投标人的投标文件进行审查、核对，如有疑问，评标委员会将通过广西政府采购云平台，以询标函的方式要求投标人在线对相关问题进行澄清或者说明。</w:t>
      </w:r>
    </w:p>
    <w:p w14:paraId="0032C6F9">
      <w:pPr>
        <w:snapToGrid w:val="0"/>
        <w:spacing w:line="370" w:lineRule="exact"/>
        <w:ind w:firstLine="472" w:firstLineChars="196"/>
        <w:rPr>
          <w:rFonts w:ascii="仿宋_GB2312" w:eastAsia="仿宋_GB2312"/>
          <w:b/>
          <w:bCs/>
          <w:kern w:val="0"/>
          <w:sz w:val="24"/>
        </w:rPr>
      </w:pPr>
      <w:r>
        <w:rPr>
          <w:rFonts w:hint="eastAsia" w:ascii="仿宋_GB2312" w:eastAsia="仿宋_GB2312"/>
          <w:b/>
          <w:bCs/>
          <w:kern w:val="0"/>
          <w:sz w:val="24"/>
        </w:rPr>
        <w:t>27.2投标文件的比较和评价</w:t>
      </w:r>
    </w:p>
    <w:p w14:paraId="1EADD244">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（1）各投标人的技术得分为所有评委的有效评分的算术平均数。</w:t>
      </w:r>
    </w:p>
    <w:p w14:paraId="45B976B7">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（2）评标委员会完成评标后，评委对各部分得分汇总，计算出本项目最终得分等。评标委员会按评标标准推荐中标候选人同时起草评标报告。</w:t>
      </w:r>
    </w:p>
    <w:p w14:paraId="4D283392">
      <w:pPr>
        <w:snapToGrid w:val="0"/>
        <w:spacing w:line="370" w:lineRule="exact"/>
        <w:ind w:firstLine="482" w:firstLineChars="200"/>
        <w:rPr>
          <w:rFonts w:ascii="仿宋_GB2312" w:eastAsia="仿宋_GB2312"/>
          <w:b/>
          <w:sz w:val="24"/>
        </w:rPr>
      </w:pPr>
      <w:r>
        <w:rPr>
          <w:rFonts w:hint="eastAsia" w:ascii="仿宋_GB2312" w:eastAsia="仿宋_GB2312"/>
          <w:b/>
          <w:sz w:val="24"/>
        </w:rPr>
        <w:t>28.澄清问题的形式</w:t>
      </w:r>
    </w:p>
    <w:p w14:paraId="2924418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28.1对于投标文件中含义不明确、同类问题表述不一致或者有明显文字和计算错误的内容，评标委员会应当通过广西政府采购云平台发起电子询标函，以书面形式要求投标人在规定的时间内作出必要的澄清、说明或者补正。</w:t>
      </w:r>
    </w:p>
    <w:p w14:paraId="0D9A56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28.2投标人应当在规定时间内通过广西政府采购云平台进行澄清、说明或者补正，并加盖投标人CA电子签章。投标人的澄清、说明或者补正不得超出投标文件的范围或者改变投标文件的实质性内容。</w:t>
      </w:r>
    </w:p>
    <w:p w14:paraId="68B49B05">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28.3投标人超过规定时间或者拒绝澄清或者澄清的内容改变了投标文件的实质性内容的，评标委员会有权视该投标文件无效。</w:t>
      </w:r>
    </w:p>
    <w:p w14:paraId="1244D708">
      <w:pPr>
        <w:snapToGrid w:val="0"/>
        <w:spacing w:line="370" w:lineRule="exact"/>
        <w:ind w:firstLine="482" w:firstLineChars="200"/>
        <w:rPr>
          <w:rFonts w:ascii="仿宋_GB2312" w:eastAsia="仿宋_GB2312"/>
          <w:b/>
          <w:sz w:val="24"/>
        </w:rPr>
      </w:pPr>
      <w:r>
        <w:rPr>
          <w:rFonts w:hint="eastAsia" w:ascii="仿宋_GB2312" w:eastAsia="仿宋_GB2312"/>
          <w:b/>
          <w:sz w:val="24"/>
        </w:rPr>
        <w:t>29.错误修正</w:t>
      </w:r>
    </w:p>
    <w:p w14:paraId="751D46E3">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29.1投标文件报价出现前后不一致的，除招标文件另有规定外，按照下列规定修正：</w:t>
      </w:r>
    </w:p>
    <w:p w14:paraId="1D9CA0A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（1）投标文件中开标一览表（报价表）内容与投标文件中相应内容不一致的，以开标一览表（报价表）为准；</w:t>
      </w:r>
    </w:p>
    <w:p w14:paraId="7C18BC2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（2）大写金额和小写金额不一致的，以大写金额为准；</w:t>
      </w:r>
    </w:p>
    <w:p w14:paraId="5D4BDC9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（3）单价金额小数点或者百分比有明显错位的，以开标一览表的总价为准，并修改单价；</w:t>
      </w:r>
    </w:p>
    <w:p w14:paraId="6727A528">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（4）总价金额与按单价汇总金额不一致的，以单价金额计算结果为准。</w:t>
      </w:r>
    </w:p>
    <w:p w14:paraId="1793E7AB">
      <w:pPr>
        <w:snapToGrid w:val="0"/>
        <w:spacing w:line="370" w:lineRule="exact"/>
        <w:ind w:firstLine="420"/>
        <w:jc w:val="left"/>
        <w:rPr>
          <w:rFonts w:ascii="仿宋_GB2312" w:eastAsia="仿宋_GB2312" w:cs="Courier New"/>
          <w:b/>
          <w:sz w:val="24"/>
        </w:rPr>
      </w:pPr>
      <w:r>
        <w:rPr>
          <w:rFonts w:hint="eastAsia" w:ascii="仿宋_GB2312" w:eastAsia="仿宋_GB2312" w:cs="Courier New"/>
          <w:b/>
          <w:sz w:val="24"/>
        </w:rPr>
        <w:t>同时出现两种以上不一致的，按照前款规定的顺序修正。评标委员会通过广西政府采购云平台发起询标函，投标人在规定时间内通过广西政府采购云平台确认，投标人的确认应当加盖投标人CA电子签章。修正后的报价按照87号令第五十一条第二款的规定经投标人确认后产生约束力，投标人不确认的，其投标无效。</w:t>
      </w:r>
    </w:p>
    <w:p w14:paraId="0CC531FE">
      <w:pPr>
        <w:pStyle w:val="26"/>
        <w:tabs>
          <w:tab w:val="left" w:pos="630"/>
        </w:tabs>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30.评标原则和评标方法</w:t>
      </w:r>
    </w:p>
    <w:p w14:paraId="009FAC1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46F8FD4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30.2本项目评标方法是综合评分法，具体评标内容及评标标准等详见第四章：评标方法及评标标准。</w:t>
      </w:r>
    </w:p>
    <w:p w14:paraId="3CF707CB">
      <w:pPr>
        <w:pStyle w:val="26"/>
        <w:snapToGrid w:val="0"/>
        <w:spacing w:line="370" w:lineRule="exact"/>
        <w:ind w:firstLine="472" w:firstLineChars="196"/>
        <w:rPr>
          <w:rFonts w:hint="eastAsia" w:ascii="仿宋_GB2312" w:hAnsi="宋体" w:eastAsia="仿宋_GB2312"/>
          <w:b/>
          <w:sz w:val="24"/>
          <w:szCs w:val="24"/>
        </w:rPr>
      </w:pPr>
      <w:r>
        <w:rPr>
          <w:rFonts w:hint="eastAsia" w:ascii="仿宋_GB2312" w:hAnsi="宋体" w:eastAsia="仿宋_GB2312"/>
          <w:b/>
          <w:sz w:val="24"/>
          <w:szCs w:val="24"/>
        </w:rPr>
        <w:t>31.评标过程的监控</w:t>
      </w:r>
    </w:p>
    <w:p w14:paraId="2A9CCFDC">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31.1本项目评标过程实行全程录音、录像监控（或政府采购监督管理部门工作人员进行现场监督），投标人在评标过程中所进行的试图影响评标结果的不公正活动，可能导致其投标被拒绝。</w:t>
      </w:r>
    </w:p>
    <w:p w14:paraId="79B8260B">
      <w:pPr>
        <w:pStyle w:val="26"/>
        <w:snapToGrid w:val="0"/>
        <w:spacing w:line="370" w:lineRule="exact"/>
        <w:ind w:firstLine="482" w:firstLineChars="200"/>
        <w:rPr>
          <w:rFonts w:hint="eastAsia" w:ascii="仿宋_GB2312" w:hAnsi="宋体" w:eastAsia="仿宋_GB2312"/>
          <w:sz w:val="24"/>
          <w:szCs w:val="24"/>
        </w:rPr>
      </w:pPr>
      <w:r>
        <w:rPr>
          <w:rFonts w:hint="eastAsia" w:ascii="仿宋_GB2312" w:hAnsi="宋体" w:eastAsia="仿宋_GB2312"/>
          <w:b/>
          <w:sz w:val="24"/>
          <w:szCs w:val="24"/>
        </w:rPr>
        <w:t>七、评标结果</w:t>
      </w:r>
    </w:p>
    <w:p w14:paraId="65DB4EEE">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32.采购人或者采购代理机构核对评标结果。</w:t>
      </w:r>
    </w:p>
    <w:p w14:paraId="6665CEF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33.采购人或者采购代理机构在公告中标结果的同时，对未通过资格审查的投标人，应当告知其未通过的原因；采用综合评分法评审的，还应当告知未中标人本人的评审得分与排序。</w:t>
      </w:r>
    </w:p>
    <w:p w14:paraId="222DCCD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34.采购人或者采购代理机构在评标结束后2个工作日内将评标报告送采购人，采购人在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02E0FA6B">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35.采购人或采购代理机构应当自中标人确定之日起2个工作日内，在中国政府采购网、广西壮族自治区政府采购网、柳州市政府采购网发布中标公告。在发布中标公告的同时，向中标人发出中标通知书。</w:t>
      </w:r>
    </w:p>
    <w:p w14:paraId="56A86A4A">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36.在中标通知书发出前，采购人或采购代理机构应当对中标人信用进行查询，并按照信用信息使用规则处理。</w:t>
      </w:r>
    </w:p>
    <w:p w14:paraId="5DEF0089">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37.投标人对中标公告有异议的，应当在中标公告</w:t>
      </w:r>
      <w:r>
        <w:rPr>
          <w:rFonts w:hint="eastAsia" w:ascii="仿宋_GB2312" w:hAnsi="宋体" w:eastAsia="仿宋_GB2312"/>
          <w:bCs/>
          <w:sz w:val="24"/>
        </w:rPr>
        <w:t>期限届满</w:t>
      </w:r>
      <w:r>
        <w:rPr>
          <w:rFonts w:hint="eastAsia" w:ascii="仿宋_GB2312" w:eastAsia="仿宋_GB2312" w:cs="Courier New"/>
          <w:sz w:val="24"/>
        </w:rPr>
        <w:t>之日起七个工作日内，以书面形式向采购人或采购代理机构提出质疑，并及时索要书面回执。</w:t>
      </w:r>
    </w:p>
    <w:p w14:paraId="1CAE4836">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38.采购人或采购代理机构（采购代理机构应当按照有关规定就采购人委托授权范围内的事项）在收到投标人的书面质疑后七个工作日内作出答复，但答复的内容不得涉及商业秘密。</w:t>
      </w:r>
    </w:p>
    <w:p w14:paraId="08A60BE5">
      <w:pPr>
        <w:pStyle w:val="26"/>
        <w:snapToGrid w:val="0"/>
        <w:spacing w:line="370" w:lineRule="exact"/>
        <w:ind w:firstLine="472" w:firstLineChars="196"/>
        <w:rPr>
          <w:rFonts w:hint="eastAsia" w:ascii="仿宋_GB2312" w:hAnsi="宋体" w:eastAsia="仿宋_GB2312"/>
          <w:b/>
          <w:sz w:val="24"/>
          <w:szCs w:val="24"/>
        </w:rPr>
      </w:pPr>
      <w:bookmarkStart w:id="63" w:name="_Toc254970688"/>
      <w:bookmarkStart w:id="64" w:name="_Toc254970547"/>
      <w:r>
        <w:rPr>
          <w:rFonts w:hint="eastAsia" w:ascii="仿宋_GB2312" w:hAnsi="宋体" w:eastAsia="仿宋_GB2312"/>
          <w:b/>
          <w:sz w:val="24"/>
          <w:szCs w:val="24"/>
        </w:rPr>
        <w:t>八、</w:t>
      </w:r>
      <w:bookmarkEnd w:id="63"/>
      <w:bookmarkEnd w:id="64"/>
      <w:r>
        <w:rPr>
          <w:rFonts w:hint="eastAsia" w:ascii="仿宋_GB2312" w:hAnsi="宋体" w:eastAsia="仿宋_GB2312"/>
          <w:b/>
          <w:sz w:val="24"/>
          <w:szCs w:val="24"/>
        </w:rPr>
        <w:t>签订合同</w:t>
      </w:r>
    </w:p>
    <w:p w14:paraId="68099952">
      <w:pPr>
        <w:pStyle w:val="26"/>
        <w:snapToGrid w:val="0"/>
        <w:spacing w:line="370" w:lineRule="exact"/>
        <w:ind w:firstLine="472" w:firstLineChars="196"/>
        <w:rPr>
          <w:rFonts w:hint="eastAsia" w:ascii="仿宋_GB2312" w:hAnsi="宋体" w:eastAsia="仿宋_GB2312"/>
          <w:b/>
          <w:bCs/>
          <w:sz w:val="24"/>
          <w:szCs w:val="24"/>
        </w:rPr>
      </w:pPr>
      <w:r>
        <w:rPr>
          <w:rFonts w:hint="eastAsia" w:ascii="仿宋_GB2312" w:hAnsi="宋体" w:eastAsia="仿宋_GB2312"/>
          <w:b/>
          <w:sz w:val="24"/>
          <w:szCs w:val="24"/>
        </w:rPr>
        <w:t>39.合同授予标准</w:t>
      </w:r>
    </w:p>
    <w:p w14:paraId="300162A1">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39.1合同将授予被确定实质上响应招标文件要求，具备履行合同能力，综合评分排名第一的投标人。</w:t>
      </w:r>
    </w:p>
    <w:p w14:paraId="174E08B5">
      <w:pPr>
        <w:snapToGrid w:val="0"/>
        <w:spacing w:line="370" w:lineRule="exact"/>
        <w:ind w:firstLine="420"/>
        <w:jc w:val="left"/>
        <w:rPr>
          <w:rFonts w:ascii="仿宋_GB2312" w:eastAsia="仿宋_GB2312" w:cs="Courier New"/>
          <w:b/>
          <w:bCs/>
          <w:sz w:val="24"/>
        </w:rPr>
      </w:pPr>
      <w:r>
        <w:rPr>
          <w:rFonts w:hint="eastAsia" w:ascii="仿宋_GB2312" w:eastAsia="仿宋_GB2312" w:cs="Courier New"/>
          <w:b/>
          <w:bCs/>
          <w:sz w:val="24"/>
        </w:rPr>
        <w:t>40.签订合同</w:t>
      </w:r>
    </w:p>
    <w:p w14:paraId="43C9EB0F">
      <w:pPr>
        <w:snapToGrid w:val="0"/>
        <w:spacing w:line="370" w:lineRule="exact"/>
        <w:ind w:firstLine="420"/>
        <w:jc w:val="left"/>
        <w:rPr>
          <w:rFonts w:ascii="仿宋_GB2312" w:eastAsia="仿宋_GB2312" w:cs="Courier New"/>
          <w:sz w:val="24"/>
        </w:rPr>
      </w:pPr>
      <w:r>
        <w:rPr>
          <w:rFonts w:hint="eastAsia" w:ascii="仿宋_GB2312" w:eastAsia="仿宋_GB2312" w:cs="Courier New"/>
          <w:sz w:val="24"/>
        </w:rPr>
        <w:t>40.1中标人接到中标通知书后，应按有关规定与采购人签订合同。</w:t>
      </w:r>
    </w:p>
    <w:p w14:paraId="4EC61FE1">
      <w:pPr>
        <w:snapToGrid w:val="0"/>
        <w:spacing w:line="360" w:lineRule="exact"/>
        <w:ind w:right="-470" w:rightChars="-224" w:firstLine="420"/>
        <w:jc w:val="left"/>
        <w:rPr>
          <w:rFonts w:ascii="仿宋_GB2312" w:eastAsia="仿宋_GB2312" w:cs="Courier New"/>
          <w:sz w:val="24"/>
        </w:rPr>
        <w:sectPr>
          <w:pgSz w:w="11906" w:h="16838"/>
          <w:pgMar w:top="1440" w:right="1440" w:bottom="1440" w:left="1440" w:header="851" w:footer="992" w:gutter="0"/>
          <w:cols w:space="720" w:num="1"/>
          <w:docGrid w:linePitch="312" w:charSpace="0"/>
        </w:sectPr>
      </w:pPr>
      <w:r>
        <w:rPr>
          <w:rFonts w:hint="eastAsia" w:ascii="仿宋_GB2312" w:eastAsia="仿宋_GB2312" w:cs="Courier New"/>
          <w:sz w:val="24"/>
        </w:rPr>
        <w:t>40.2中标人因不可抗力或者自身原因不能履行采购合同的，采购人或采购代理机构应将该情况报政府采购监督管理部门，从合格的中标候选人中另行确定中标人或重新开展政府采购活动</w:t>
      </w:r>
      <w:bookmarkEnd w:id="46"/>
      <w:r>
        <w:rPr>
          <w:rFonts w:hint="eastAsia" w:ascii="仿宋_GB2312" w:eastAsia="仿宋_GB2312" w:cs="Courier New"/>
          <w:sz w:val="24"/>
        </w:rPr>
        <w:t>。</w:t>
      </w:r>
      <w:bookmarkStart w:id="65" w:name="_Toc254970548"/>
      <w:bookmarkStart w:id="66" w:name="_Toc254970689"/>
      <w:bookmarkStart w:id="67" w:name="_Toc497578452"/>
    </w:p>
    <w:p w14:paraId="54EFB970"/>
    <w:p w14:paraId="05D27302"/>
    <w:p w14:paraId="4B22F45B"/>
    <w:p w14:paraId="15381361"/>
    <w:p w14:paraId="157F449D"/>
    <w:p w14:paraId="35E6CB74"/>
    <w:p w14:paraId="1D0E0138"/>
    <w:p w14:paraId="06950E74"/>
    <w:p w14:paraId="4DF6CA32"/>
    <w:p w14:paraId="6B73060D"/>
    <w:p w14:paraId="4E1D1E31"/>
    <w:p w14:paraId="6B731C81"/>
    <w:p w14:paraId="1295F3E8"/>
    <w:p w14:paraId="2295EEDF"/>
    <w:p w14:paraId="298DC3BE"/>
    <w:p w14:paraId="58401FE0"/>
    <w:p w14:paraId="4485D9C4"/>
    <w:p w14:paraId="270F5A5E">
      <w:pPr>
        <w:pStyle w:val="4"/>
        <w:jc w:val="center"/>
        <w:rPr>
          <w:sz w:val="30"/>
          <w:szCs w:val="30"/>
        </w:rPr>
      </w:pPr>
      <w:bookmarkStart w:id="68" w:name="_Toc27328"/>
      <w:r>
        <w:rPr>
          <w:rFonts w:hint="eastAsia"/>
          <w:sz w:val="30"/>
          <w:szCs w:val="30"/>
        </w:rPr>
        <w:t xml:space="preserve">第四章 </w:t>
      </w:r>
      <w:bookmarkEnd w:id="65"/>
      <w:bookmarkEnd w:id="66"/>
      <w:r>
        <w:rPr>
          <w:rFonts w:hint="eastAsia"/>
          <w:sz w:val="30"/>
          <w:szCs w:val="30"/>
        </w:rPr>
        <w:t>评标方法及评标标准</w:t>
      </w:r>
      <w:bookmarkEnd w:id="67"/>
      <w:bookmarkEnd w:id="68"/>
      <w:r>
        <w:tab/>
      </w:r>
    </w:p>
    <w:p w14:paraId="796D3E1C">
      <w:pPr>
        <w:tabs>
          <w:tab w:val="left" w:pos="3055"/>
        </w:tabs>
        <w:jc w:val="center"/>
        <w:rPr>
          <w:b/>
          <w:sz w:val="30"/>
          <w:szCs w:val="30"/>
        </w:rPr>
      </w:pPr>
      <w:r>
        <w:br w:type="page"/>
      </w:r>
      <w:r>
        <w:rPr>
          <w:rFonts w:hint="eastAsia" w:ascii="宋体" w:hAnsi="宋体" w:cs="Courier New"/>
          <w:b/>
          <w:bCs/>
          <w:color w:val="000000"/>
          <w:sz w:val="32"/>
          <w:szCs w:val="32"/>
        </w:rPr>
        <w:t>评标方法及评标标准</w:t>
      </w:r>
    </w:p>
    <w:p w14:paraId="49DBC7B4">
      <w:pPr>
        <w:spacing w:line="390" w:lineRule="exact"/>
        <w:ind w:right="-168" w:rightChars="-80" w:firstLine="482" w:firstLineChars="200"/>
        <w:rPr>
          <w:rFonts w:ascii="仿宋_GB2312" w:eastAsia="仿宋_GB2312"/>
          <w:b/>
          <w:bCs/>
          <w:sz w:val="24"/>
        </w:rPr>
      </w:pPr>
      <w:r>
        <w:rPr>
          <w:rFonts w:hint="eastAsia" w:ascii="仿宋_GB2312" w:eastAsia="仿宋_GB2312"/>
          <w:b/>
          <w:bCs/>
          <w:sz w:val="24"/>
        </w:rPr>
        <w:t>一、评标原则</w:t>
      </w:r>
    </w:p>
    <w:p w14:paraId="371DFCB4">
      <w:pPr>
        <w:spacing w:line="390" w:lineRule="exact"/>
        <w:ind w:right="-168" w:rightChars="-80"/>
        <w:rPr>
          <w:rFonts w:ascii="仿宋_GB2312" w:eastAsia="仿宋_GB2312"/>
          <w:sz w:val="24"/>
        </w:rPr>
      </w:pPr>
      <w:r>
        <w:rPr>
          <w:rFonts w:hint="eastAsia" w:ascii="仿宋_GB2312" w:eastAsia="仿宋_GB2312"/>
          <w:sz w:val="24"/>
        </w:rPr>
        <w:t xml:space="preserve">    （一）评委构成：本招标采购项目的评委分别由依法组成的评审专家、采购人代表共五人或以上单数构成，其中专家人数不少于评标委员会成员总数的三分之二。</w:t>
      </w:r>
    </w:p>
    <w:p w14:paraId="26694E9D">
      <w:pPr>
        <w:spacing w:line="390" w:lineRule="exact"/>
        <w:ind w:right="-168" w:rightChars="-80" w:firstLine="435"/>
        <w:rPr>
          <w:rFonts w:ascii="仿宋_GB2312" w:eastAsia="仿宋_GB2312"/>
          <w:b/>
          <w:sz w:val="24"/>
        </w:rPr>
      </w:pPr>
      <w:r>
        <w:rPr>
          <w:rFonts w:hint="eastAsia" w:ascii="仿宋_GB2312" w:eastAsia="仿宋_GB2312"/>
          <w:b/>
          <w:sz w:val="24"/>
        </w:rPr>
        <w:t>（二）评标依据：评委将以招投标文件为评标依据，对投标人的价格、服务方案、信誉、业绩等方面按百分制打分。</w:t>
      </w:r>
    </w:p>
    <w:p w14:paraId="3CB93192">
      <w:pPr>
        <w:spacing w:line="390" w:lineRule="exact"/>
        <w:ind w:right="-168" w:rightChars="-80" w:firstLine="435"/>
        <w:rPr>
          <w:rFonts w:ascii="仿宋_GB2312" w:eastAsia="仿宋_GB2312"/>
          <w:sz w:val="24"/>
        </w:rPr>
      </w:pPr>
      <w:r>
        <w:rPr>
          <w:rFonts w:hint="eastAsia" w:ascii="仿宋_GB2312" w:eastAsia="仿宋_GB2312"/>
          <w:sz w:val="24"/>
        </w:rPr>
        <w:t>（三）评标方式：以封闭方式进行。</w:t>
      </w:r>
    </w:p>
    <w:p w14:paraId="1A806D67">
      <w:pPr>
        <w:spacing w:line="390" w:lineRule="exact"/>
        <w:ind w:right="-168" w:rightChars="-80" w:firstLine="435"/>
        <w:rPr>
          <w:rFonts w:ascii="仿宋_GB2312" w:eastAsia="仿宋_GB2312"/>
          <w:sz w:val="24"/>
        </w:rPr>
      </w:pPr>
      <w:r>
        <w:rPr>
          <w:rFonts w:hint="eastAsia" w:ascii="仿宋_GB2312" w:eastAsia="仿宋_GB2312"/>
          <w:sz w:val="24"/>
        </w:rPr>
        <w:t>（四）评标委员会认为投标人的报价明显低于其他通过符合性审查投标人的报价，有可能影响产品质量或者不能诚信履约的，</w:t>
      </w:r>
      <w:r>
        <w:rPr>
          <w:rFonts w:hint="eastAsia" w:ascii="仿宋_GB2312" w:eastAsia="仿宋_GB2312" w:cs="Courier New"/>
          <w:sz w:val="24"/>
        </w:rPr>
        <w:t>应当通过广西政府采购云平台发起询标函，要求其在评标现场合理的时间内通过广西政府采购云平台提供书面说明</w:t>
      </w:r>
      <w:r>
        <w:rPr>
          <w:rFonts w:hint="eastAsia" w:ascii="仿宋_GB2312" w:eastAsia="仿宋_GB2312"/>
          <w:sz w:val="24"/>
        </w:rPr>
        <w:t xml:space="preserve">，必要时提交相关证明材料；投标人不能证明其报价合理性的，评标委员会应当将其作为无效投标处理。     </w:t>
      </w:r>
    </w:p>
    <w:p w14:paraId="00043A7D">
      <w:pPr>
        <w:spacing w:line="390" w:lineRule="exact"/>
        <w:ind w:right="-168" w:rightChars="-80" w:firstLine="435"/>
        <w:rPr>
          <w:rFonts w:ascii="仿宋_GB2312" w:eastAsia="仿宋_GB2312"/>
          <w:b/>
          <w:bCs/>
          <w:sz w:val="24"/>
        </w:rPr>
      </w:pPr>
      <w:r>
        <w:rPr>
          <w:rFonts w:hint="eastAsia" w:ascii="仿宋_GB2312" w:eastAsia="仿宋_GB2312"/>
          <w:b/>
          <w:bCs/>
          <w:sz w:val="24"/>
        </w:rPr>
        <w:t>二、评标方法</w:t>
      </w:r>
      <w:r>
        <w:rPr>
          <w:rFonts w:ascii="仿宋_GB2312" w:eastAsia="仿宋_GB2312"/>
          <w:b/>
          <w:bCs/>
          <w:sz w:val="24"/>
        </w:rPr>
        <w:tab/>
      </w:r>
    </w:p>
    <w:p w14:paraId="1AC9F906">
      <w:pPr>
        <w:spacing w:line="390" w:lineRule="exact"/>
        <w:ind w:right="-168" w:rightChars="-80" w:firstLine="435"/>
        <w:rPr>
          <w:rFonts w:ascii="仿宋_GB2312" w:eastAsia="仿宋_GB2312"/>
          <w:sz w:val="24"/>
        </w:rPr>
      </w:pPr>
      <w:r>
        <w:rPr>
          <w:rFonts w:hint="eastAsia" w:ascii="仿宋_GB2312" w:eastAsia="仿宋_GB2312"/>
          <w:sz w:val="24"/>
        </w:rPr>
        <w:t>（一）对进入详评的，采用百分制综合评分法。</w:t>
      </w:r>
    </w:p>
    <w:p w14:paraId="0D3C02F1">
      <w:pPr>
        <w:spacing w:line="400" w:lineRule="atLeast"/>
        <w:ind w:firstLine="480" w:firstLineChars="200"/>
        <w:jc w:val="left"/>
        <w:rPr>
          <w:rFonts w:hint="eastAsia" w:ascii="仿宋_GB2312" w:hAnsi="宋体" w:eastAsia="仿宋_GB2312"/>
          <w:color w:val="000000"/>
          <w:sz w:val="24"/>
        </w:rPr>
      </w:pPr>
      <w:r>
        <w:rPr>
          <w:rFonts w:hint="eastAsia" w:ascii="仿宋_GB2312" w:eastAsia="仿宋_GB2312"/>
          <w:sz w:val="24"/>
        </w:rPr>
        <w:t>（二）计分办法（分值计算保留小数点后两位，第三位四舍五入）</w:t>
      </w:r>
      <w:r>
        <w:rPr>
          <w:rFonts w:hint="eastAsia" w:ascii="仿宋_GB2312" w:hAnsi="宋体" w:eastAsia="仿宋_GB2312"/>
          <w:color w:val="000000"/>
          <w:sz w:val="24"/>
        </w:rPr>
        <w:t>：</w:t>
      </w:r>
    </w:p>
    <w:tbl>
      <w:tblPr>
        <w:tblStyle w:val="7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3"/>
        <w:gridCol w:w="1048"/>
        <w:gridCol w:w="5480"/>
        <w:gridCol w:w="660"/>
        <w:gridCol w:w="1307"/>
      </w:tblGrid>
      <w:tr w14:paraId="2768A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9448" w:type="dxa"/>
            <w:gridSpan w:val="5"/>
            <w:shd w:val="clear" w:color="auto" w:fill="D7D7D7"/>
            <w:noWrap w:val="0"/>
            <w:vAlign w:val="center"/>
          </w:tcPr>
          <w:p w14:paraId="15D6B5DE">
            <w:pPr>
              <w:spacing w:line="390" w:lineRule="exact"/>
              <w:ind w:right="-168" w:rightChars="-80"/>
              <w:jc w:val="center"/>
              <w:rPr>
                <w:rFonts w:hint="eastAsia" w:ascii="仿宋_GB2312" w:hAnsi="仿宋_GB2312" w:eastAsia="仿宋_GB2312" w:cs="仿宋_GB2312"/>
                <w:b/>
                <w:sz w:val="24"/>
              </w:rPr>
            </w:pPr>
            <w:r>
              <w:rPr>
                <w:rFonts w:hint="eastAsia" w:ascii="仿宋_GB2312" w:hAnsi="仿宋_GB2312" w:eastAsia="仿宋_GB2312" w:cs="仿宋_GB2312"/>
                <w:b/>
                <w:sz w:val="32"/>
              </w:rPr>
              <w:t>客观分</w:t>
            </w:r>
          </w:p>
        </w:tc>
      </w:tr>
      <w:tr w14:paraId="66579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3B4013C9">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评分项</w:t>
            </w:r>
          </w:p>
        </w:tc>
        <w:tc>
          <w:tcPr>
            <w:tcW w:w="1048" w:type="dxa"/>
            <w:noWrap w:val="0"/>
            <w:vAlign w:val="center"/>
          </w:tcPr>
          <w:p w14:paraId="23A047BA">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评审因素</w:t>
            </w:r>
          </w:p>
        </w:tc>
        <w:tc>
          <w:tcPr>
            <w:tcW w:w="5480" w:type="dxa"/>
            <w:noWrap w:val="0"/>
            <w:vAlign w:val="center"/>
          </w:tcPr>
          <w:p w14:paraId="0F3B45F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评分标准说明</w:t>
            </w:r>
          </w:p>
        </w:tc>
        <w:tc>
          <w:tcPr>
            <w:tcW w:w="660" w:type="dxa"/>
            <w:noWrap w:val="0"/>
            <w:vAlign w:val="center"/>
          </w:tcPr>
          <w:p w14:paraId="385D734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分值</w:t>
            </w:r>
          </w:p>
        </w:tc>
        <w:tc>
          <w:tcPr>
            <w:tcW w:w="1307" w:type="dxa"/>
            <w:noWrap w:val="0"/>
            <w:vAlign w:val="center"/>
          </w:tcPr>
          <w:p w14:paraId="07D5847C">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对应的响应文件格式</w:t>
            </w:r>
          </w:p>
        </w:tc>
      </w:tr>
      <w:tr w14:paraId="438C0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7519D10D">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价格分</w:t>
            </w:r>
          </w:p>
        </w:tc>
        <w:tc>
          <w:tcPr>
            <w:tcW w:w="1048" w:type="dxa"/>
            <w:noWrap w:val="0"/>
            <w:vAlign w:val="center"/>
          </w:tcPr>
          <w:p w14:paraId="0D4913C4">
            <w:pPr>
              <w:spacing w:line="360" w:lineRule="exact"/>
              <w:jc w:val="center"/>
              <w:rPr>
                <w:rFonts w:hint="eastAsia" w:ascii="仿宋_GB2312" w:hAnsi="仿宋_GB2312" w:eastAsia="仿宋_GB2312" w:cs="仿宋_GB2312"/>
                <w:b/>
              </w:rPr>
            </w:pPr>
            <w:r>
              <w:rPr>
                <w:rFonts w:hint="eastAsia" w:ascii="仿宋_GB2312" w:hAnsi="仿宋_GB2312" w:eastAsia="仿宋_GB2312" w:cs="仿宋_GB2312"/>
                <w:b/>
              </w:rPr>
              <w:t>价格</w:t>
            </w:r>
          </w:p>
        </w:tc>
        <w:tc>
          <w:tcPr>
            <w:tcW w:w="5480" w:type="dxa"/>
            <w:noWrap w:val="0"/>
            <w:vAlign w:val="center"/>
          </w:tcPr>
          <w:p w14:paraId="383B9A24">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1.满足招标文件要求且投标价格最低的投标报价为评标基准价，其投标人的报价分为最高分</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0分；</w:t>
            </w:r>
          </w:p>
          <w:p w14:paraId="677FE889">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2.其他投标人的报价得分按以下公式计算：</w:t>
            </w:r>
          </w:p>
          <w:p w14:paraId="121E6A62">
            <w:pPr>
              <w:spacing w:line="440" w:lineRule="exact"/>
              <w:ind w:firstLine="420" w:firstLineChars="200"/>
              <w:jc w:val="left"/>
              <w:rPr>
                <w:rFonts w:ascii="仿宋_GB2312" w:hAnsi="仿宋_GB2312" w:eastAsia="仿宋_GB2312" w:cs="仿宋_GB2312"/>
                <w:color w:val="000000"/>
              </w:rPr>
            </w:pPr>
            <w:r>
              <w:rPr>
                <w:rFonts w:hint="eastAsia" w:ascii="仿宋_GB2312" w:hAnsi="仿宋_GB2312" w:eastAsia="仿宋_GB2312" w:cs="仿宋_GB2312"/>
                <w:color w:val="000000"/>
              </w:rPr>
              <w:t>报价得分=（评标基准价／某投标人投标报价）×</w:t>
            </w:r>
            <w:r>
              <w:rPr>
                <w:rFonts w:hint="eastAsia" w:ascii="仿宋_GB2312" w:hAnsi="仿宋_GB2312" w:eastAsia="仿宋_GB2312" w:cs="仿宋_GB2312"/>
                <w:color w:val="000000"/>
                <w:lang w:val="en-US" w:eastAsia="zh-CN"/>
              </w:rPr>
              <w:t>2</w:t>
            </w:r>
            <w:r>
              <w:rPr>
                <w:rFonts w:hint="eastAsia" w:ascii="仿宋_GB2312" w:hAnsi="仿宋_GB2312" w:eastAsia="仿宋_GB2312" w:cs="仿宋_GB2312"/>
                <w:color w:val="000000"/>
              </w:rPr>
              <w:t>0分；</w:t>
            </w:r>
          </w:p>
          <w:p w14:paraId="61C6FCEA">
            <w:pPr>
              <w:spacing w:line="400" w:lineRule="exact"/>
              <w:ind w:firstLine="422" w:firstLineChars="200"/>
              <w:jc w:val="left"/>
              <w:rPr>
                <w:rFonts w:hint="eastAsia" w:ascii="仿宋_GB2312" w:hAnsi="仿宋_GB2312" w:eastAsia="仿宋_GB2312" w:cs="仿宋_GB2312"/>
                <w:b/>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val="en-US" w:eastAsia="zh-CN"/>
              </w:rPr>
              <w:t>中</w:t>
            </w:r>
            <w:r>
              <w:rPr>
                <w:rFonts w:hint="eastAsia" w:ascii="仿宋_GB2312" w:hAnsi="仿宋_GB2312" w:eastAsia="仿宋_GB2312" w:cs="仿宋_GB2312"/>
                <w:b/>
                <w:bCs/>
              </w:rPr>
              <w:t>小企业采购的项目或者采购包，不再执行价格评审优惠的扶持政策。</w:t>
            </w:r>
          </w:p>
        </w:tc>
        <w:tc>
          <w:tcPr>
            <w:tcW w:w="660" w:type="dxa"/>
            <w:noWrap w:val="0"/>
            <w:vAlign w:val="center"/>
          </w:tcPr>
          <w:p w14:paraId="1D294787">
            <w:pPr>
              <w:spacing w:line="360" w:lineRule="exact"/>
              <w:jc w:val="center"/>
              <w:rPr>
                <w:rFonts w:hint="default" w:ascii="仿宋_GB2312" w:hAnsi="仿宋_GB2312" w:eastAsia="仿宋_GB2312" w:cs="仿宋_GB2312"/>
                <w:b/>
                <w:lang w:val="en-US" w:eastAsia="zh-CN"/>
              </w:rPr>
            </w:pPr>
            <w:r>
              <w:rPr>
                <w:rFonts w:hint="eastAsia" w:ascii="仿宋_GB2312" w:hAnsi="仿宋_GB2312" w:eastAsia="仿宋_GB2312" w:cs="仿宋_GB2312"/>
                <w:b/>
                <w:bCs/>
                <w:lang w:val="en-US" w:eastAsia="zh-CN"/>
              </w:rPr>
              <w:t>20</w:t>
            </w:r>
          </w:p>
        </w:tc>
        <w:tc>
          <w:tcPr>
            <w:tcW w:w="1307" w:type="dxa"/>
            <w:noWrap w:val="0"/>
            <w:vAlign w:val="center"/>
          </w:tcPr>
          <w:p w14:paraId="4742E3A2">
            <w:pPr>
              <w:spacing w:line="360" w:lineRule="exact"/>
              <w:jc w:val="center"/>
              <w:rPr>
                <w:rFonts w:hint="eastAsia" w:ascii="仿宋_GB2312" w:hAnsi="仿宋_GB2312" w:eastAsia="仿宋_GB2312" w:cs="仿宋_GB2312"/>
                <w:b/>
                <w:bCs/>
              </w:rPr>
            </w:pPr>
          </w:p>
        </w:tc>
      </w:tr>
      <w:tr w14:paraId="0C88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restart"/>
            <w:noWrap w:val="0"/>
            <w:vAlign w:val="bottom"/>
          </w:tcPr>
          <w:p w14:paraId="1607E3EF">
            <w:pPr>
              <w:spacing w:line="360" w:lineRule="exact"/>
              <w:jc w:val="center"/>
              <w:rPr>
                <w:rFonts w:hint="eastAsia" w:ascii="仿宋_GB2312" w:hAnsi="仿宋_GB2312" w:eastAsia="仿宋_GB2312" w:cs="仿宋_GB2312"/>
                <w:b/>
                <w:color w:val="auto"/>
                <w:highlight w:val="none"/>
              </w:rPr>
            </w:pPr>
          </w:p>
          <w:p w14:paraId="011A6BE6">
            <w:pPr>
              <w:spacing w:line="360" w:lineRule="exact"/>
              <w:jc w:val="center"/>
              <w:rPr>
                <w:rFonts w:hint="eastAsia" w:ascii="仿宋_GB2312" w:hAnsi="仿宋_GB2312" w:eastAsia="仿宋_GB2312" w:cs="仿宋_GB2312"/>
                <w:b/>
                <w:color w:val="auto"/>
                <w:highlight w:val="none"/>
              </w:rPr>
            </w:pPr>
          </w:p>
          <w:p w14:paraId="1811547A">
            <w:pPr>
              <w:spacing w:line="360" w:lineRule="exact"/>
              <w:jc w:val="center"/>
              <w:rPr>
                <w:rFonts w:hint="eastAsia" w:ascii="仿宋_GB2312" w:hAnsi="仿宋_GB2312" w:eastAsia="仿宋_GB2312" w:cs="仿宋_GB2312"/>
                <w:b/>
                <w:color w:val="auto"/>
                <w:highlight w:val="none"/>
              </w:rPr>
            </w:pPr>
          </w:p>
          <w:p w14:paraId="78949BD7">
            <w:pPr>
              <w:spacing w:line="360" w:lineRule="exact"/>
              <w:jc w:val="center"/>
              <w:rPr>
                <w:rFonts w:hint="eastAsia" w:ascii="仿宋_GB2312" w:hAnsi="仿宋_GB2312" w:eastAsia="仿宋_GB2312" w:cs="仿宋_GB2312"/>
                <w:b/>
                <w:color w:val="auto"/>
                <w:highlight w:val="none"/>
              </w:rPr>
            </w:pPr>
          </w:p>
          <w:p w14:paraId="25F67312">
            <w:pPr>
              <w:spacing w:line="360" w:lineRule="exact"/>
              <w:jc w:val="center"/>
              <w:rPr>
                <w:rFonts w:hint="eastAsia" w:ascii="仿宋_GB2312" w:hAnsi="仿宋_GB2312" w:eastAsia="仿宋_GB2312" w:cs="仿宋_GB2312"/>
                <w:b/>
                <w:color w:val="auto"/>
                <w:highlight w:val="none"/>
              </w:rPr>
            </w:pPr>
          </w:p>
          <w:p w14:paraId="7A6ED253">
            <w:pPr>
              <w:spacing w:line="360" w:lineRule="exact"/>
              <w:jc w:val="center"/>
              <w:rPr>
                <w:rFonts w:hint="eastAsia" w:ascii="仿宋_GB2312" w:hAnsi="仿宋_GB2312" w:eastAsia="仿宋_GB2312" w:cs="仿宋_GB2312"/>
                <w:b/>
                <w:color w:val="auto"/>
                <w:highlight w:val="none"/>
              </w:rPr>
            </w:pPr>
          </w:p>
          <w:p w14:paraId="1FFCE937">
            <w:pPr>
              <w:spacing w:line="360" w:lineRule="exact"/>
              <w:jc w:val="center"/>
              <w:rPr>
                <w:rFonts w:hint="eastAsia" w:ascii="仿宋_GB2312" w:hAnsi="仿宋_GB2312" w:eastAsia="仿宋_GB2312" w:cs="仿宋_GB2312"/>
                <w:b/>
                <w:color w:val="auto"/>
                <w:highlight w:val="none"/>
              </w:rPr>
            </w:pPr>
          </w:p>
          <w:p w14:paraId="136E9AD2">
            <w:pPr>
              <w:spacing w:line="360" w:lineRule="exact"/>
              <w:jc w:val="center"/>
              <w:rPr>
                <w:rFonts w:hint="eastAsia" w:ascii="仿宋_GB2312" w:hAnsi="仿宋_GB2312" w:eastAsia="仿宋_GB2312" w:cs="仿宋_GB2312"/>
                <w:b/>
                <w:color w:val="auto"/>
                <w:highlight w:val="none"/>
              </w:rPr>
            </w:pPr>
          </w:p>
          <w:p w14:paraId="6086A33B">
            <w:pPr>
              <w:spacing w:line="360" w:lineRule="exact"/>
              <w:jc w:val="center"/>
              <w:rPr>
                <w:rFonts w:hint="eastAsia" w:ascii="仿宋_GB2312" w:hAnsi="仿宋_GB2312" w:eastAsia="仿宋_GB2312" w:cs="仿宋_GB2312"/>
                <w:b/>
                <w:color w:val="auto"/>
                <w:highlight w:val="none"/>
              </w:rPr>
            </w:pPr>
          </w:p>
          <w:p w14:paraId="7A9CB1D1">
            <w:pPr>
              <w:spacing w:line="360" w:lineRule="exact"/>
              <w:jc w:val="center"/>
              <w:rPr>
                <w:rFonts w:hint="eastAsia" w:ascii="仿宋_GB2312" w:hAnsi="仿宋_GB2312" w:eastAsia="仿宋_GB2312" w:cs="仿宋_GB2312"/>
                <w:b/>
                <w:color w:val="auto"/>
                <w:highlight w:val="none"/>
              </w:rPr>
            </w:pPr>
          </w:p>
          <w:p w14:paraId="6EE08390">
            <w:pPr>
              <w:spacing w:line="360" w:lineRule="exact"/>
              <w:jc w:val="center"/>
              <w:rPr>
                <w:rFonts w:hint="eastAsia" w:ascii="仿宋_GB2312" w:hAnsi="仿宋_GB2312" w:eastAsia="仿宋_GB2312" w:cs="仿宋_GB2312"/>
                <w:b/>
                <w:color w:val="auto"/>
                <w:highlight w:val="none"/>
              </w:rPr>
            </w:pPr>
          </w:p>
          <w:p w14:paraId="31B5ECA0">
            <w:pPr>
              <w:spacing w:line="360" w:lineRule="exact"/>
              <w:jc w:val="center"/>
              <w:rPr>
                <w:rFonts w:hint="eastAsia" w:ascii="仿宋_GB2312" w:hAnsi="仿宋_GB2312" w:eastAsia="仿宋_GB2312" w:cs="仿宋_GB2312"/>
                <w:b/>
                <w:color w:val="auto"/>
                <w:highlight w:val="none"/>
              </w:rPr>
            </w:pPr>
          </w:p>
          <w:p w14:paraId="798C5995">
            <w:pPr>
              <w:spacing w:line="360" w:lineRule="exact"/>
              <w:jc w:val="center"/>
              <w:rPr>
                <w:rFonts w:hint="eastAsia" w:ascii="仿宋_GB2312" w:hAnsi="仿宋_GB2312" w:eastAsia="仿宋_GB2312" w:cs="仿宋_GB2312"/>
                <w:b/>
                <w:color w:val="auto"/>
                <w:highlight w:val="none"/>
              </w:rPr>
            </w:pPr>
          </w:p>
          <w:p w14:paraId="65E5B734">
            <w:pPr>
              <w:spacing w:line="360" w:lineRule="exact"/>
              <w:jc w:val="center"/>
              <w:rPr>
                <w:rFonts w:hint="eastAsia" w:ascii="仿宋_GB2312" w:hAnsi="仿宋_GB2312" w:eastAsia="仿宋_GB2312" w:cs="仿宋_GB2312"/>
                <w:b/>
                <w:color w:val="auto"/>
                <w:highlight w:val="none"/>
              </w:rPr>
            </w:pPr>
          </w:p>
          <w:p w14:paraId="398F58F9">
            <w:pPr>
              <w:spacing w:line="360" w:lineRule="exact"/>
              <w:jc w:val="center"/>
              <w:rPr>
                <w:rFonts w:hint="eastAsia" w:ascii="仿宋_GB2312" w:hAnsi="仿宋_GB2312" w:eastAsia="仿宋_GB2312" w:cs="仿宋_GB2312"/>
                <w:b/>
                <w:color w:val="auto"/>
                <w:highlight w:val="none"/>
              </w:rPr>
            </w:pPr>
          </w:p>
          <w:p w14:paraId="0D67BD1D">
            <w:pPr>
              <w:spacing w:line="360" w:lineRule="exact"/>
              <w:jc w:val="center"/>
              <w:rPr>
                <w:rFonts w:hint="eastAsia" w:ascii="仿宋_GB2312" w:hAnsi="仿宋_GB2312" w:eastAsia="仿宋_GB2312" w:cs="仿宋_GB2312"/>
                <w:b/>
                <w:color w:val="auto"/>
                <w:highlight w:val="none"/>
              </w:rPr>
            </w:pPr>
          </w:p>
          <w:p w14:paraId="05F0F991">
            <w:pPr>
              <w:spacing w:line="360" w:lineRule="exact"/>
              <w:jc w:val="center"/>
              <w:rPr>
                <w:rFonts w:hint="eastAsia" w:ascii="仿宋_GB2312" w:hAnsi="仿宋_GB2312" w:eastAsia="仿宋_GB2312" w:cs="仿宋_GB2312"/>
                <w:b/>
                <w:color w:val="auto"/>
                <w:highlight w:val="none"/>
              </w:rPr>
            </w:pPr>
          </w:p>
          <w:p w14:paraId="441AC262">
            <w:pPr>
              <w:spacing w:line="360" w:lineRule="exact"/>
              <w:jc w:val="center"/>
              <w:rPr>
                <w:rFonts w:hint="eastAsia" w:ascii="仿宋_GB2312" w:hAnsi="仿宋_GB2312" w:eastAsia="仿宋_GB2312" w:cs="仿宋_GB2312"/>
                <w:b/>
                <w:color w:val="auto"/>
                <w:highlight w:val="none"/>
              </w:rPr>
            </w:pPr>
          </w:p>
          <w:p w14:paraId="4D79184B">
            <w:pPr>
              <w:spacing w:line="360" w:lineRule="exact"/>
              <w:jc w:val="center"/>
              <w:rPr>
                <w:rFonts w:hint="eastAsia"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rPr>
              <w:t>人员配置方案</w:t>
            </w:r>
            <w:r>
              <w:rPr>
                <w:rFonts w:hint="eastAsia" w:ascii="仿宋_GB2312" w:hAnsi="仿宋_GB2312" w:eastAsia="仿宋_GB2312" w:cs="仿宋_GB2312"/>
                <w:b/>
                <w:color w:val="auto"/>
                <w:highlight w:val="none"/>
                <w:lang w:val="en-US" w:eastAsia="zh-CN"/>
              </w:rPr>
              <w:t>分</w:t>
            </w:r>
          </w:p>
        </w:tc>
        <w:tc>
          <w:tcPr>
            <w:tcW w:w="1048" w:type="dxa"/>
            <w:noWrap w:val="0"/>
            <w:vAlign w:val="center"/>
          </w:tcPr>
          <w:p w14:paraId="4D260909">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项目负责人</w:t>
            </w:r>
          </w:p>
        </w:tc>
        <w:tc>
          <w:tcPr>
            <w:tcW w:w="5480" w:type="dxa"/>
            <w:noWrap w:val="0"/>
            <w:vAlign w:val="center"/>
          </w:tcPr>
          <w:p w14:paraId="1BAE18CA">
            <w:pPr>
              <w:spacing w:line="400" w:lineRule="exact"/>
              <w:ind w:firstLine="42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1.具有大专</w:t>
            </w:r>
            <w:r>
              <w:rPr>
                <w:rFonts w:hint="eastAsia" w:ascii="仿宋_GB2312" w:hAnsi="仿宋_GB2312" w:eastAsia="仿宋_GB2312" w:cs="仿宋_GB2312"/>
                <w:color w:val="auto"/>
                <w:highlight w:val="none"/>
                <w:lang w:eastAsia="zh-CN"/>
              </w:rPr>
              <w:t>及以上</w:t>
            </w:r>
            <w:r>
              <w:rPr>
                <w:rFonts w:hint="eastAsia" w:ascii="仿宋_GB2312" w:hAnsi="仿宋_GB2312" w:eastAsia="仿宋_GB2312" w:cs="仿宋_GB2312"/>
                <w:color w:val="auto"/>
                <w:highlight w:val="none"/>
              </w:rPr>
              <w:t>学历得1分，满分</w:t>
            </w:r>
            <w:r>
              <w:rPr>
                <w:rFonts w:hint="eastAsia" w:ascii="仿宋_GB2312" w:hAnsi="仿宋_GB2312" w:eastAsia="仿宋_GB2312" w:cs="仿宋_GB2312"/>
                <w:color w:val="auto"/>
                <w:highlight w:val="none"/>
                <w:lang w:val="en-US" w:eastAsia="zh-CN"/>
              </w:rPr>
              <w:t>1</w:t>
            </w:r>
            <w:r>
              <w:rPr>
                <w:rFonts w:hint="eastAsia" w:ascii="仿宋_GB2312" w:hAnsi="仿宋_GB2312" w:eastAsia="仿宋_GB2312" w:cs="仿宋_GB2312"/>
                <w:color w:val="auto"/>
                <w:highlight w:val="none"/>
              </w:rPr>
              <w:t>分；</w:t>
            </w:r>
          </w:p>
          <w:p w14:paraId="0056EC60">
            <w:pPr>
              <w:spacing w:line="380" w:lineRule="exact"/>
              <w:ind w:firstLine="420" w:firstLineChars="200"/>
              <w:jc w:val="left"/>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2.学历</w:t>
            </w:r>
            <w:r>
              <w:rPr>
                <w:rFonts w:hint="eastAsia" w:ascii="仿宋_GB2312" w:hAnsi="仿宋_GB2312" w:eastAsia="仿宋_GB2312" w:cs="仿宋_GB2312"/>
                <w:szCs w:val="21"/>
              </w:rPr>
              <w:t>专业为电力类（强电）专业（含电力系统继电保护技术、输配电工程技术、电气工程及其自动化、电气工程、电力系统及其自动化、高电压与绝缘技术等）</w:t>
            </w:r>
            <w:r>
              <w:rPr>
                <w:rFonts w:hint="eastAsia" w:ascii="仿宋_GB2312" w:hAnsi="仿宋_GB2312" w:eastAsia="仿宋_GB2312" w:cs="仿宋_GB2312"/>
              </w:rPr>
              <w:t>得1分，满分1分；</w:t>
            </w:r>
          </w:p>
          <w:p w14:paraId="62C72E2D">
            <w:pPr>
              <w:spacing w:line="380" w:lineRule="exact"/>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bCs/>
                <w:kern w:val="0"/>
                <w:szCs w:val="21"/>
              </w:rPr>
              <w:t>3.</w:t>
            </w:r>
            <w:r>
              <w:rPr>
                <w:rFonts w:hint="eastAsia" w:ascii="仿宋_GB2312" w:hAnsi="仿宋_GB2312" w:eastAsia="仿宋_GB2312" w:cs="仿宋_GB2312"/>
              </w:rPr>
              <w:t>具有电力</w:t>
            </w:r>
            <w:r>
              <w:rPr>
                <w:rFonts w:hint="eastAsia" w:ascii="仿宋_GB2312" w:hAnsi="仿宋_GB2312" w:eastAsia="仿宋_GB2312" w:cs="仿宋_GB2312"/>
                <w:szCs w:val="21"/>
              </w:rPr>
              <w:t>类（强电）</w:t>
            </w:r>
            <w:r>
              <w:rPr>
                <w:rFonts w:hint="eastAsia" w:ascii="仿宋_GB2312" w:hAnsi="仿宋_GB2312" w:eastAsia="仿宋_GB2312" w:cs="仿宋_GB2312"/>
              </w:rPr>
              <w:t>相关工程系列中级职称证书（含输配电及用电工程、电力系统及其自动化、电气工程等）或高级工职业技能（电工）等级得1分；具有电力</w:t>
            </w:r>
            <w:r>
              <w:rPr>
                <w:rFonts w:hint="eastAsia" w:ascii="仿宋_GB2312" w:hAnsi="仿宋_GB2312" w:eastAsia="仿宋_GB2312" w:cs="仿宋_GB2312"/>
                <w:szCs w:val="21"/>
              </w:rPr>
              <w:t>（强电）</w:t>
            </w:r>
            <w:r>
              <w:rPr>
                <w:rFonts w:hint="eastAsia" w:ascii="仿宋_GB2312" w:hAnsi="仿宋_GB2312" w:eastAsia="仿宋_GB2312" w:cs="仿宋_GB2312"/>
              </w:rPr>
              <w:t>相关高级以上职称证书（含输配电及用电工程、电力系统及其自动化、电气工程等）或技师以上职业技能等级（电工）得2分，满分2分；</w:t>
            </w:r>
          </w:p>
          <w:p w14:paraId="653CBEF9">
            <w:pPr>
              <w:spacing w:line="38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bCs/>
                <w:kern w:val="0"/>
                <w:szCs w:val="21"/>
              </w:rPr>
              <w:t>4.具有累计6年以上高低压维保相关管理工作经验得1分，满分1分</w:t>
            </w:r>
            <w:r>
              <w:rPr>
                <w:rFonts w:hint="eastAsia" w:ascii="仿宋_GB2312" w:hAnsi="仿宋_GB2312" w:eastAsia="仿宋_GB2312" w:cs="仿宋_GB2312"/>
              </w:rPr>
              <w:t>。</w:t>
            </w:r>
          </w:p>
          <w:p w14:paraId="19DAA3E6">
            <w:pPr>
              <w:spacing w:line="38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须提供项目负责人为本公司正式员工的相关证明材料（如劳动合同、协议），否则该人员不予计分；</w:t>
            </w:r>
          </w:p>
          <w:p w14:paraId="0588F0D7">
            <w:pPr>
              <w:spacing w:line="400" w:lineRule="exact"/>
              <w:ind w:firstLine="42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rPr>
              <w:t>2.项目负责人相关学历、证书、工作经验证明材料未提供的，对应加分项不予计分。</w:t>
            </w:r>
          </w:p>
        </w:tc>
        <w:tc>
          <w:tcPr>
            <w:tcW w:w="660" w:type="dxa"/>
            <w:noWrap w:val="0"/>
            <w:vAlign w:val="center"/>
          </w:tcPr>
          <w:p w14:paraId="49003F0E">
            <w:pPr>
              <w:spacing w:line="36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b/>
                <w:bCs/>
                <w:lang w:val="en-US" w:eastAsia="zh-CN"/>
              </w:rPr>
              <w:t>5</w:t>
            </w:r>
          </w:p>
        </w:tc>
        <w:tc>
          <w:tcPr>
            <w:tcW w:w="1307" w:type="dxa"/>
            <w:noWrap w:val="0"/>
            <w:vAlign w:val="center"/>
          </w:tcPr>
          <w:p w14:paraId="2CB8644C">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拟投入服务团队一览表</w:t>
            </w:r>
          </w:p>
        </w:tc>
      </w:tr>
      <w:tr w14:paraId="1534F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jc w:val="center"/>
        </w:trPr>
        <w:tc>
          <w:tcPr>
            <w:tcW w:w="953" w:type="dxa"/>
            <w:vMerge w:val="continue"/>
            <w:noWrap w:val="0"/>
            <w:vAlign w:val="center"/>
          </w:tcPr>
          <w:p w14:paraId="5B9716E9">
            <w:pPr>
              <w:spacing w:line="360" w:lineRule="exact"/>
              <w:jc w:val="center"/>
              <w:rPr>
                <w:rFonts w:hint="eastAsia" w:ascii="仿宋_GB2312" w:hAnsi="仿宋_GB2312" w:eastAsia="仿宋_GB2312" w:cs="仿宋_GB2312"/>
                <w:b/>
                <w:color w:val="auto"/>
                <w:highlight w:val="none"/>
              </w:rPr>
            </w:pPr>
          </w:p>
        </w:tc>
        <w:tc>
          <w:tcPr>
            <w:tcW w:w="1048" w:type="dxa"/>
            <w:noWrap w:val="0"/>
            <w:vAlign w:val="center"/>
          </w:tcPr>
          <w:p w14:paraId="4ADC5796">
            <w:pPr>
              <w:widowControl/>
              <w:spacing w:line="360" w:lineRule="exact"/>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专业技术维保人员</w:t>
            </w:r>
            <w:r>
              <w:rPr>
                <w:rFonts w:hint="eastAsia" w:ascii="仿宋_GB2312" w:hAnsi="仿宋_GB2312" w:eastAsia="仿宋_GB2312" w:cs="仿宋_GB2312"/>
                <w:b/>
                <w:bCs/>
                <w:strike w:val="0"/>
                <w:dstrike w:val="0"/>
                <w:color w:val="auto"/>
                <w:highlight w:val="none"/>
              </w:rPr>
              <w:t>（</w:t>
            </w:r>
            <w:r>
              <w:rPr>
                <w:rFonts w:hint="eastAsia" w:ascii="仿宋_GB2312" w:hAnsi="仿宋_GB2312" w:eastAsia="仿宋_GB2312" w:cs="仿宋_GB2312"/>
                <w:b/>
                <w:bCs/>
                <w:strike w:val="0"/>
                <w:dstrike w:val="0"/>
                <w:color w:val="auto"/>
                <w:highlight w:val="none"/>
                <w:lang w:eastAsia="zh-CN"/>
              </w:rPr>
              <w:t>不含</w:t>
            </w:r>
            <w:r>
              <w:rPr>
                <w:rFonts w:hint="eastAsia" w:ascii="仿宋_GB2312" w:hAnsi="仿宋_GB2312" w:eastAsia="仿宋_GB2312" w:cs="仿宋_GB2312"/>
                <w:b/>
                <w:bCs/>
                <w:strike w:val="0"/>
                <w:dstrike w:val="0"/>
                <w:color w:val="auto"/>
                <w:highlight w:val="none"/>
              </w:rPr>
              <w:t>项目负责人）</w:t>
            </w:r>
          </w:p>
        </w:tc>
        <w:tc>
          <w:tcPr>
            <w:tcW w:w="5480" w:type="dxa"/>
            <w:noWrap w:val="0"/>
            <w:vAlign w:val="center"/>
          </w:tcPr>
          <w:p w14:paraId="1D3FAC9F">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1.每有一名专业技术维保人员</w:t>
            </w:r>
            <w:r>
              <w:rPr>
                <w:rFonts w:hint="eastAsia" w:ascii="仿宋_GB2312" w:hAnsi="仿宋_GB2312" w:eastAsia="仿宋_GB2312" w:cs="仿宋_GB2312"/>
                <w:lang w:val="en-US" w:eastAsia="zh-CN"/>
              </w:rPr>
              <w:t>具有</w:t>
            </w:r>
            <w:r>
              <w:rPr>
                <w:rFonts w:hint="eastAsia" w:ascii="仿宋_GB2312" w:hAnsi="仿宋_GB2312" w:eastAsia="仿宋_GB2312" w:cs="仿宋_GB2312"/>
              </w:rPr>
              <w:t>电力（强电）相关中级职称证书（含输配电及用电工程、电力系统及其自动化、电气工程等）或高级工职业技能等级（电工）得1分，具有电力（强电）相关高级以上职称证书（含输配电及用电工程、电力系统及其自动化、电气工程等）或技师以上职业技能等级（电工）得2分，满分4分。</w:t>
            </w:r>
            <w:r>
              <w:rPr>
                <w:rFonts w:hint="eastAsia" w:ascii="仿宋_GB2312" w:hAnsi="仿宋_GB2312" w:eastAsia="仿宋_GB2312" w:cs="仿宋_GB2312"/>
                <w:szCs w:val="21"/>
              </w:rPr>
              <w:t>（同一人不重复计分）</w:t>
            </w:r>
          </w:p>
          <w:p w14:paraId="27D04D6B">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2.每有一名专业技术维保人员具有</w:t>
            </w:r>
            <w:r>
              <w:rPr>
                <w:rFonts w:hint="eastAsia" w:ascii="仿宋_GB2312" w:hAnsi="仿宋_GB2312" w:eastAsia="仿宋_GB2312" w:cs="仿宋_GB2312"/>
                <w:lang w:val="en-US" w:eastAsia="zh-CN"/>
              </w:rPr>
              <w:t>累计</w:t>
            </w:r>
            <w:r>
              <w:rPr>
                <w:rFonts w:hint="eastAsia" w:ascii="仿宋_GB2312" w:hAnsi="仿宋_GB2312" w:eastAsia="仿宋_GB2312" w:cs="仿宋_GB2312"/>
              </w:rPr>
              <w:t>5年以上高低压配电系统维保相关工作经验得1分，满分3分。</w:t>
            </w:r>
          </w:p>
          <w:p w14:paraId="22AD8F02">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3.每有一名专业技术维保人员为电力类（强电）专业</w:t>
            </w:r>
            <w:r>
              <w:rPr>
                <w:rFonts w:hint="eastAsia" w:ascii="仿宋_GB2312" w:hAnsi="仿宋_GB2312" w:eastAsia="仿宋_GB2312" w:cs="仿宋_GB2312"/>
                <w:szCs w:val="21"/>
              </w:rPr>
              <w:t>（含电力系统继电保护技术、输配电工程技术、电气工程及其自动化、电气工程、电力系统及其自动化,高电压与绝缘技术等）</w:t>
            </w:r>
            <w:r>
              <w:rPr>
                <w:rFonts w:hint="eastAsia" w:ascii="仿宋_GB2312" w:hAnsi="仿宋_GB2312" w:eastAsia="仿宋_GB2312" w:cs="仿宋_GB2312"/>
              </w:rPr>
              <w:t>得2分，满分2分。</w:t>
            </w:r>
          </w:p>
          <w:p w14:paraId="4F43EECA">
            <w:pPr>
              <w:spacing w:line="360" w:lineRule="exact"/>
              <w:ind w:firstLine="422" w:firstLineChars="200"/>
              <w:rPr>
                <w:rFonts w:hint="eastAsia" w:ascii="仿宋_GB2312" w:hAnsi="仿宋_GB2312" w:eastAsia="仿宋_GB2312" w:cs="仿宋_GB2312"/>
                <w:color w:val="auto"/>
                <w:lang w:eastAsia="zh-CN"/>
              </w:rPr>
            </w:pPr>
            <w:r>
              <w:rPr>
                <w:rFonts w:hint="eastAsia" w:ascii="仿宋_GB2312" w:hAnsi="仿宋_GB2312" w:eastAsia="仿宋_GB2312" w:cs="仿宋_GB2312"/>
                <w:b/>
                <w:bCs/>
                <w:sz w:val="21"/>
                <w:szCs w:val="24"/>
              </w:rPr>
              <w:t>注:投标人须提供以上专业技术维保人员的相关证书、工作经验证明材料，未提供的，对应加分项不予计分。</w:t>
            </w:r>
          </w:p>
        </w:tc>
        <w:tc>
          <w:tcPr>
            <w:tcW w:w="660" w:type="dxa"/>
            <w:noWrap w:val="0"/>
            <w:vAlign w:val="center"/>
          </w:tcPr>
          <w:p w14:paraId="15AC3D21">
            <w:pPr>
              <w:widowControl/>
              <w:spacing w:line="36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b/>
                <w:bCs/>
                <w:lang w:val="en-US" w:eastAsia="zh-CN"/>
              </w:rPr>
              <w:t>9</w:t>
            </w:r>
          </w:p>
        </w:tc>
        <w:tc>
          <w:tcPr>
            <w:tcW w:w="1307" w:type="dxa"/>
            <w:noWrap w:val="0"/>
            <w:vAlign w:val="center"/>
          </w:tcPr>
          <w:p w14:paraId="03B122AF">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拟投入服务团队一览表</w:t>
            </w:r>
          </w:p>
        </w:tc>
      </w:tr>
      <w:tr w14:paraId="17E86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vMerge w:val="continue"/>
            <w:noWrap w:val="0"/>
            <w:vAlign w:val="center"/>
          </w:tcPr>
          <w:p w14:paraId="16EBB34A">
            <w:pPr>
              <w:spacing w:line="360" w:lineRule="exact"/>
              <w:jc w:val="center"/>
              <w:rPr>
                <w:rFonts w:hint="eastAsia" w:ascii="仿宋_GB2312" w:hAnsi="仿宋_GB2312" w:eastAsia="仿宋_GB2312" w:cs="仿宋_GB2312"/>
                <w:b/>
                <w:color w:val="auto"/>
              </w:rPr>
            </w:pPr>
            <w:r>
              <w:rPr>
                <w:rFonts w:hint="eastAsia"/>
                <w:lang w:eastAsia="zh-CN"/>
              </w:rPr>
              <w:t>”</w:t>
            </w:r>
          </w:p>
        </w:tc>
        <w:tc>
          <w:tcPr>
            <w:tcW w:w="1048" w:type="dxa"/>
            <w:noWrap w:val="0"/>
            <w:vAlign w:val="center"/>
          </w:tcPr>
          <w:p w14:paraId="28A39B33">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color w:val="auto"/>
              </w:rPr>
              <w:t>体系认证</w:t>
            </w:r>
          </w:p>
        </w:tc>
        <w:tc>
          <w:tcPr>
            <w:tcW w:w="5480" w:type="dxa"/>
            <w:noWrap w:val="0"/>
            <w:vAlign w:val="center"/>
          </w:tcPr>
          <w:p w14:paraId="63907DB4">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具备有效的质量管理体系认证证书得1分，满分1分；</w:t>
            </w:r>
          </w:p>
          <w:p w14:paraId="453D74EC">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具备有效的职业健康安全管理体系认证证书得1分，满分1分；</w:t>
            </w:r>
          </w:p>
          <w:p w14:paraId="37271374">
            <w:pPr>
              <w:spacing w:line="360" w:lineRule="exact"/>
              <w:ind w:firstLine="420" w:firstLineChars="200"/>
              <w:rPr>
                <w:rFonts w:hint="eastAsia"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lang w:eastAsia="zh-CN"/>
              </w:rPr>
              <w:t>投标人</w:t>
            </w:r>
            <w:r>
              <w:rPr>
                <w:rFonts w:hint="eastAsia" w:ascii="仿宋_GB2312" w:hAnsi="仿宋_GB2312" w:eastAsia="仿宋_GB2312" w:cs="仿宋_GB2312"/>
              </w:rPr>
              <w:t>具备有效的环境管理体系认证证书得1分，满分1分。</w:t>
            </w:r>
          </w:p>
          <w:p w14:paraId="1EC85412">
            <w:pPr>
              <w:spacing w:line="36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rPr>
              <w:t>注：</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提供上述证书材料并加盖</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rPr>
              <w:t>CA电子签章，否则不予计分。</w:t>
            </w:r>
          </w:p>
        </w:tc>
        <w:tc>
          <w:tcPr>
            <w:tcW w:w="660" w:type="dxa"/>
            <w:noWrap w:val="0"/>
            <w:vAlign w:val="center"/>
          </w:tcPr>
          <w:p w14:paraId="77A88A15">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3</w:t>
            </w:r>
          </w:p>
        </w:tc>
        <w:tc>
          <w:tcPr>
            <w:tcW w:w="1307" w:type="dxa"/>
            <w:noWrap w:val="0"/>
            <w:vAlign w:val="center"/>
          </w:tcPr>
          <w:p w14:paraId="617E2794">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rPr>
              <w:t>相关认证证书材料</w:t>
            </w:r>
          </w:p>
        </w:tc>
      </w:tr>
      <w:tr w14:paraId="3E4521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3" w:type="dxa"/>
            <w:noWrap w:val="0"/>
            <w:vAlign w:val="center"/>
          </w:tcPr>
          <w:p w14:paraId="7DF0D0ED">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rPr>
              <w:t>业绩分</w:t>
            </w:r>
          </w:p>
        </w:tc>
        <w:tc>
          <w:tcPr>
            <w:tcW w:w="1048" w:type="dxa"/>
            <w:noWrap w:val="0"/>
            <w:vAlign w:val="center"/>
          </w:tcPr>
          <w:p w14:paraId="02BCC756">
            <w:pPr>
              <w:spacing w:line="360" w:lineRule="exact"/>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rPr>
              <w:t>同类项目经验</w:t>
            </w:r>
          </w:p>
        </w:tc>
        <w:tc>
          <w:tcPr>
            <w:tcW w:w="5480" w:type="dxa"/>
            <w:noWrap w:val="0"/>
            <w:vAlign w:val="center"/>
          </w:tcPr>
          <w:p w14:paraId="4B7604FA">
            <w:pPr>
              <w:spacing w:line="360" w:lineRule="exact"/>
              <w:ind w:firstLine="420" w:firstLineChars="200"/>
              <w:jc w:val="left"/>
              <w:rPr>
                <w:rFonts w:hint="eastAsia" w:ascii="仿宋_GB2312" w:hAnsi="仿宋_GB2312" w:eastAsia="仿宋_GB2312" w:cs="仿宋_GB2312"/>
                <w:color w:val="auto"/>
              </w:rPr>
            </w:pPr>
            <w:r>
              <w:rPr>
                <w:rFonts w:hint="eastAsia" w:ascii="仿宋_GB2312" w:hAnsi="仿宋_GB2312" w:eastAsia="仿宋_GB2312" w:cs="仿宋_GB2312"/>
                <w:color w:val="auto"/>
              </w:rPr>
              <w:t>投标人20</w:t>
            </w:r>
            <w:r>
              <w:rPr>
                <w:rFonts w:hint="eastAsia" w:ascii="仿宋_GB2312" w:hAnsi="仿宋_GB2312" w:eastAsia="仿宋_GB2312" w:cs="仿宋_GB2312"/>
                <w:color w:val="auto"/>
                <w:lang w:val="en-US" w:eastAsia="zh-CN"/>
              </w:rPr>
              <w:t>21</w:t>
            </w:r>
            <w:r>
              <w:rPr>
                <w:rFonts w:hint="eastAsia" w:ascii="仿宋_GB2312" w:hAnsi="仿宋_GB2312" w:eastAsia="仿宋_GB2312" w:cs="仿宋_GB2312"/>
                <w:color w:val="auto"/>
              </w:rPr>
              <w:t>年1月1日起至今承接的</w:t>
            </w:r>
            <w:r>
              <w:rPr>
                <w:rFonts w:hint="eastAsia" w:ascii="仿宋_GB2312" w:hAnsi="仿宋_GB2312" w:eastAsia="仿宋_GB2312" w:cs="仿宋_GB2312"/>
                <w:color w:val="auto"/>
                <w:lang w:eastAsia="zh-CN"/>
              </w:rPr>
              <w:t>高低压配电系统</w:t>
            </w:r>
            <w:r>
              <w:rPr>
                <w:rFonts w:hint="eastAsia" w:ascii="仿宋_GB2312" w:hAnsi="仿宋_GB2312" w:eastAsia="仿宋_GB2312" w:cs="仿宋_GB2312"/>
                <w:color w:val="auto"/>
                <w:lang w:val="en-US" w:eastAsia="zh-CN"/>
              </w:rPr>
              <w:t>维保</w:t>
            </w:r>
            <w:r>
              <w:rPr>
                <w:rFonts w:hint="eastAsia" w:ascii="仿宋_GB2312" w:hAnsi="仿宋_GB2312" w:eastAsia="仿宋_GB2312" w:cs="仿宋_GB2312"/>
                <w:color w:val="auto"/>
              </w:rPr>
              <w:t>服务项目，每有一项得1分，满分4分。</w:t>
            </w:r>
          </w:p>
          <w:p w14:paraId="289BDE96">
            <w:pPr>
              <w:spacing w:line="360" w:lineRule="exact"/>
              <w:ind w:firstLine="422" w:firstLineChars="200"/>
              <w:rPr>
                <w:rFonts w:hint="eastAsia" w:ascii="仿宋_GB2312" w:hAnsi="仿宋_GB2312" w:eastAsia="仿宋_GB2312" w:cs="仿宋_GB2312"/>
                <w:color w:val="auto"/>
              </w:rPr>
            </w:pPr>
            <w:r>
              <w:rPr>
                <w:rFonts w:hint="eastAsia" w:ascii="仿宋_GB2312" w:hAnsi="仿宋_GB2312" w:eastAsia="仿宋_GB2312" w:cs="仿宋_GB2312"/>
                <w:b/>
                <w:bCs/>
                <w:color w:val="auto"/>
              </w:rPr>
              <w:t>注：1.承接时间以合同签订时间为准；</w:t>
            </w:r>
          </w:p>
          <w:p w14:paraId="4FDA98F2">
            <w:pPr>
              <w:spacing w:line="360" w:lineRule="exact"/>
              <w:ind w:firstLine="422" w:firstLineChars="200"/>
              <w:rPr>
                <w:rFonts w:hint="eastAsia" w:ascii="仿宋_GB2312" w:hAnsi="仿宋_GB2312" w:eastAsia="仿宋_GB2312" w:cs="仿宋_GB2312"/>
                <w:b/>
                <w:bCs/>
                <w:color w:val="auto"/>
              </w:rPr>
            </w:pPr>
            <w:r>
              <w:rPr>
                <w:rFonts w:hint="eastAsia" w:ascii="仿宋_GB2312" w:hAnsi="仿宋_GB2312" w:eastAsia="仿宋_GB2312" w:cs="仿宋_GB2312"/>
                <w:b/>
                <w:bCs/>
                <w:color w:val="auto"/>
                <w:lang w:val="en-US" w:eastAsia="zh-CN"/>
              </w:rPr>
              <w:t>2</w:t>
            </w:r>
            <w:r>
              <w:rPr>
                <w:rFonts w:hint="eastAsia" w:ascii="仿宋_GB2312" w:hAnsi="仿宋_GB2312" w:eastAsia="仿宋_GB2312" w:cs="仿宋_GB2312"/>
                <w:b/>
                <w:bCs/>
                <w:color w:val="auto"/>
              </w:rPr>
              <w:t>.投标人提供上述合同材料并加盖</w:t>
            </w:r>
            <w:r>
              <w:rPr>
                <w:rFonts w:hint="eastAsia" w:ascii="仿宋_GB2312" w:hAnsi="仿宋_GB2312" w:eastAsia="仿宋_GB2312" w:cs="仿宋_GB2312"/>
                <w:b/>
                <w:bCs/>
                <w:color w:val="auto"/>
                <w:lang w:val="en-US" w:eastAsia="zh-CN"/>
              </w:rPr>
              <w:t>投标人</w:t>
            </w:r>
            <w:r>
              <w:rPr>
                <w:rFonts w:hint="eastAsia" w:ascii="仿宋_GB2312" w:hAnsi="仿宋_GB2312" w:eastAsia="仿宋_GB2312" w:cs="仿宋_GB2312"/>
                <w:b/>
                <w:bCs/>
                <w:color w:val="auto"/>
              </w:rPr>
              <w:t>CA电子签章，否则不予计分。</w:t>
            </w:r>
          </w:p>
        </w:tc>
        <w:tc>
          <w:tcPr>
            <w:tcW w:w="660" w:type="dxa"/>
            <w:noWrap w:val="0"/>
            <w:vAlign w:val="center"/>
          </w:tcPr>
          <w:p w14:paraId="4C0A47B3">
            <w:pPr>
              <w:spacing w:line="360" w:lineRule="exact"/>
              <w:jc w:val="center"/>
              <w:rPr>
                <w:rFonts w:hint="eastAsia" w:ascii="仿宋_GB2312" w:hAnsi="仿宋_GB2312" w:eastAsia="仿宋_GB2312" w:cs="仿宋_GB2312"/>
                <w:b/>
                <w:bCs/>
              </w:rPr>
            </w:pPr>
            <w:r>
              <w:rPr>
                <w:rFonts w:hint="eastAsia" w:ascii="仿宋_GB2312" w:hAnsi="仿宋_GB2312" w:eastAsia="仿宋_GB2312" w:cs="仿宋_GB2312"/>
                <w:b/>
                <w:bCs/>
              </w:rPr>
              <w:t>4</w:t>
            </w:r>
          </w:p>
        </w:tc>
        <w:tc>
          <w:tcPr>
            <w:tcW w:w="1307" w:type="dxa"/>
            <w:noWrap w:val="0"/>
            <w:vAlign w:val="center"/>
          </w:tcPr>
          <w:p w14:paraId="70E57C36">
            <w:pPr>
              <w:spacing w:line="360" w:lineRule="exact"/>
              <w:jc w:val="center"/>
              <w:rPr>
                <w:rFonts w:hint="eastAsia" w:ascii="仿宋_GB2312" w:hAnsi="仿宋_GB2312" w:eastAsia="仿宋_GB2312" w:cs="仿宋_GB2312"/>
              </w:rPr>
            </w:pPr>
            <w:r>
              <w:rPr>
                <w:rFonts w:hint="eastAsia" w:ascii="仿宋_GB2312" w:hAnsi="仿宋_GB2312" w:eastAsia="仿宋_GB2312" w:cs="仿宋_GB2312"/>
              </w:rPr>
              <w:t>投标人同类项目经验一览表</w:t>
            </w:r>
          </w:p>
        </w:tc>
      </w:tr>
      <w:tr w14:paraId="4A7D1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81" w:type="dxa"/>
            <w:gridSpan w:val="3"/>
            <w:noWrap w:val="0"/>
            <w:vAlign w:val="center"/>
          </w:tcPr>
          <w:p w14:paraId="44CFE951">
            <w:pPr>
              <w:spacing w:line="440" w:lineRule="exact"/>
              <w:ind w:firstLine="422" w:firstLineChars="200"/>
              <w:jc w:val="center"/>
              <w:rPr>
                <w:rFonts w:hint="eastAsia" w:ascii="仿宋_GB2312" w:hAnsi="仿宋_GB2312" w:eastAsia="仿宋_GB2312" w:cs="仿宋_GB2312"/>
                <w:b/>
                <w:bCs/>
              </w:rPr>
            </w:pPr>
            <w:r>
              <w:rPr>
                <w:rFonts w:hint="eastAsia" w:ascii="仿宋_GB2312" w:hAnsi="仿宋_GB2312" w:eastAsia="仿宋_GB2312" w:cs="仿宋_GB2312"/>
                <w:b/>
                <w:bCs/>
              </w:rPr>
              <w:t>客观分总分</w:t>
            </w:r>
          </w:p>
        </w:tc>
        <w:tc>
          <w:tcPr>
            <w:tcW w:w="660" w:type="dxa"/>
            <w:noWrap w:val="0"/>
            <w:vAlign w:val="center"/>
          </w:tcPr>
          <w:p w14:paraId="502F5CCC">
            <w:pPr>
              <w:spacing w:line="360" w:lineRule="exact"/>
              <w:jc w:val="center"/>
              <w:rPr>
                <w:rFonts w:hint="default"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41</w:t>
            </w:r>
          </w:p>
        </w:tc>
        <w:tc>
          <w:tcPr>
            <w:tcW w:w="1307" w:type="dxa"/>
            <w:noWrap w:val="0"/>
            <w:vAlign w:val="center"/>
          </w:tcPr>
          <w:p w14:paraId="72CDAED9">
            <w:pPr>
              <w:spacing w:line="360" w:lineRule="exact"/>
              <w:jc w:val="center"/>
              <w:rPr>
                <w:rFonts w:hint="eastAsia" w:ascii="仿宋_GB2312" w:hAnsi="仿宋_GB2312" w:eastAsia="仿宋_GB2312" w:cs="仿宋_GB2312"/>
                <w:b/>
                <w:bCs/>
              </w:rPr>
            </w:pPr>
          </w:p>
        </w:tc>
      </w:tr>
    </w:tbl>
    <w:tbl>
      <w:tblPr>
        <w:tblStyle w:val="74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4"/>
        <w:gridCol w:w="1077"/>
        <w:gridCol w:w="5305"/>
        <w:gridCol w:w="1079"/>
        <w:gridCol w:w="1263"/>
      </w:tblGrid>
      <w:tr w14:paraId="7E0BE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9648" w:type="dxa"/>
            <w:gridSpan w:val="5"/>
            <w:shd w:val="clear" w:color="auto" w:fill="D7D7D7"/>
            <w:noWrap w:val="0"/>
            <w:vAlign w:val="center"/>
          </w:tcPr>
          <w:p w14:paraId="31DD0B76">
            <w:pPr>
              <w:spacing w:line="390" w:lineRule="exact"/>
              <w:ind w:right="-168" w:rightChars="-80"/>
              <w:jc w:val="center"/>
              <w:rPr>
                <w:rFonts w:hint="eastAsia" w:ascii="仿宋_GB2312" w:hAnsi="仿宋_GB2312" w:eastAsia="仿宋_GB2312" w:cs="仿宋_GB2312"/>
                <w:b/>
                <w:color w:val="auto"/>
                <w:sz w:val="32"/>
                <w:highlight w:val="none"/>
              </w:rPr>
            </w:pPr>
            <w:r>
              <w:rPr>
                <w:rFonts w:hint="eastAsia" w:ascii="仿宋_GB2312" w:hAnsi="仿宋_GB2312" w:eastAsia="仿宋_GB2312" w:cs="仿宋_GB2312"/>
                <w:b/>
                <w:color w:val="auto"/>
                <w:sz w:val="32"/>
                <w:highlight w:val="none"/>
              </w:rPr>
              <w:t>主观分</w:t>
            </w:r>
          </w:p>
        </w:tc>
      </w:tr>
      <w:tr w14:paraId="2AC23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47375010">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评分项</w:t>
            </w:r>
          </w:p>
        </w:tc>
        <w:tc>
          <w:tcPr>
            <w:tcW w:w="1077" w:type="dxa"/>
            <w:noWrap w:val="0"/>
            <w:vAlign w:val="center"/>
          </w:tcPr>
          <w:p w14:paraId="3B034757">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评审因素</w:t>
            </w:r>
          </w:p>
        </w:tc>
        <w:tc>
          <w:tcPr>
            <w:tcW w:w="5305" w:type="dxa"/>
            <w:noWrap w:val="0"/>
            <w:vAlign w:val="center"/>
          </w:tcPr>
          <w:p w14:paraId="468E0A23">
            <w:pPr>
              <w:spacing w:line="34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评分标准说明</w:t>
            </w:r>
          </w:p>
        </w:tc>
        <w:tc>
          <w:tcPr>
            <w:tcW w:w="1079" w:type="dxa"/>
            <w:noWrap w:val="0"/>
            <w:vAlign w:val="center"/>
          </w:tcPr>
          <w:p w14:paraId="617F4586">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分值</w:t>
            </w:r>
          </w:p>
        </w:tc>
        <w:tc>
          <w:tcPr>
            <w:tcW w:w="1263" w:type="dxa"/>
            <w:noWrap w:val="0"/>
            <w:vAlign w:val="center"/>
          </w:tcPr>
          <w:p w14:paraId="1CFEFA34">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highlight w:val="none"/>
              </w:rPr>
              <w:t>对应的</w:t>
            </w:r>
            <w:r>
              <w:rPr>
                <w:rFonts w:hint="eastAsia" w:ascii="仿宋_GB2312" w:hAnsi="仿宋_GB2312" w:eastAsia="仿宋_GB2312" w:cs="仿宋_GB2312"/>
                <w:b/>
                <w:color w:val="auto"/>
                <w:highlight w:val="none"/>
                <w:lang w:eastAsia="zh-CN"/>
              </w:rPr>
              <w:t>响应</w:t>
            </w:r>
            <w:r>
              <w:rPr>
                <w:rFonts w:hint="eastAsia" w:ascii="仿宋_GB2312" w:hAnsi="仿宋_GB2312" w:eastAsia="仿宋_GB2312" w:cs="仿宋_GB2312"/>
                <w:b/>
                <w:color w:val="auto"/>
                <w:highlight w:val="none"/>
              </w:rPr>
              <w:t>文件格式</w:t>
            </w:r>
          </w:p>
        </w:tc>
      </w:tr>
      <w:tr w14:paraId="7F67D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60FE80CA">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5D98BB31">
            <w:pPr>
              <w:spacing w:line="400" w:lineRule="exact"/>
              <w:jc w:val="center"/>
              <w:rPr>
                <w:rFonts w:hint="eastAsia" w:ascii="仿宋_GB2312" w:hAnsi="仿宋_GB2312" w:eastAsia="仿宋_GB2312" w:cs="仿宋_GB2312"/>
                <w:b/>
                <w:bCs/>
                <w:color w:val="auto"/>
                <w:highlight w:val="none"/>
                <w:lang w:eastAsia="zh-CN"/>
              </w:rPr>
            </w:pPr>
          </w:p>
          <w:p w14:paraId="20EE0209">
            <w:pPr>
              <w:spacing w:line="400" w:lineRule="exact"/>
              <w:jc w:val="both"/>
              <w:rPr>
                <w:rFonts w:hint="eastAsia" w:ascii="仿宋_GB2312" w:hAnsi="仿宋_GB2312" w:eastAsia="仿宋_GB2312" w:cs="仿宋_GB2312"/>
                <w:b/>
                <w:bCs/>
                <w:color w:val="auto"/>
                <w:highlight w:val="none"/>
                <w:lang w:eastAsia="zh-CN"/>
              </w:rPr>
            </w:pPr>
          </w:p>
          <w:p w14:paraId="0EF86EED">
            <w:pPr>
              <w:spacing w:line="40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highlight w:val="none"/>
              </w:rPr>
              <w:t>针对本项目的理解分析和工作方案</w:t>
            </w:r>
          </w:p>
          <w:p w14:paraId="267D273D">
            <w:pPr>
              <w:spacing w:line="400" w:lineRule="exact"/>
              <w:jc w:val="center"/>
              <w:rPr>
                <w:rFonts w:hint="eastAsia" w:ascii="仿宋_GB2312" w:hAnsi="仿宋_GB2312" w:eastAsia="仿宋_GB2312" w:cs="仿宋_GB2312"/>
                <w:color w:val="auto"/>
                <w:kern w:val="2"/>
                <w:sz w:val="21"/>
                <w:szCs w:val="24"/>
                <w:highlight w:val="none"/>
                <w:lang w:val="en-US" w:eastAsia="zh-CN" w:bidi="ar-SA"/>
              </w:rPr>
            </w:pPr>
          </w:p>
        </w:tc>
        <w:tc>
          <w:tcPr>
            <w:tcW w:w="5305" w:type="dxa"/>
            <w:noWrap w:val="0"/>
            <w:vAlign w:val="center"/>
          </w:tcPr>
          <w:p w14:paraId="47A772E5">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对项目需求理解透彻，方案针对需求，难点定位准确、分析合理，措施得力，内容严谨、详细、有明显优势；</w:t>
            </w:r>
          </w:p>
          <w:p w14:paraId="55909FE1">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需求理解到位，方案基本满足采购需求，难点分析较合理；解决措施可行、较详细；</w:t>
            </w:r>
          </w:p>
          <w:p w14:paraId="76B10D29">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需求理解不够到位，方案和解决措施可行性和合理性基本可行。</w:t>
            </w:r>
          </w:p>
          <w:p w14:paraId="46D57617">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2B4AEADD">
            <w:pPr>
              <w:widowControl/>
              <w:spacing w:line="40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42A6512B">
            <w:pPr>
              <w:spacing w:line="400" w:lineRule="exact"/>
              <w:jc w:val="both"/>
              <w:rPr>
                <w:rFonts w:hint="eastAsia" w:ascii="仿宋_GB2312" w:hAnsi="仿宋_GB2312" w:eastAsia="仿宋_GB2312" w:cs="仿宋_GB2312"/>
                <w:b/>
                <w:bCs/>
                <w:color w:val="auto"/>
                <w:highlight w:val="none"/>
                <w:lang w:val="en-US" w:eastAsia="zh-CN"/>
              </w:rPr>
            </w:pPr>
          </w:p>
          <w:p w14:paraId="38A1088E">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14:paraId="72A6C197">
            <w:pPr>
              <w:spacing w:line="400" w:lineRule="exact"/>
              <w:jc w:val="both"/>
              <w:rPr>
                <w:rFonts w:hint="eastAsia" w:ascii="仿宋_GB2312" w:hAnsi="仿宋_GB2312" w:eastAsia="仿宋_GB2312" w:cs="仿宋_GB2312"/>
                <w:highlight w:val="none"/>
              </w:rPr>
            </w:pPr>
          </w:p>
          <w:p w14:paraId="073BF7DF">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highlight w:val="none"/>
              </w:rPr>
              <w:t>针对本项目的理解分析和工作方案</w:t>
            </w:r>
          </w:p>
        </w:tc>
      </w:tr>
      <w:tr w14:paraId="28A199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noWrap w:val="0"/>
            <w:vAlign w:val="center"/>
          </w:tcPr>
          <w:p w14:paraId="767258B2">
            <w:pPr>
              <w:spacing w:line="360" w:lineRule="exact"/>
              <w:jc w:val="center"/>
              <w:rPr>
                <w:rFonts w:hint="eastAsia" w:ascii="仿宋_GB2312" w:hAnsi="仿宋_GB2312" w:eastAsia="仿宋_GB2312" w:cs="仿宋_GB2312"/>
                <w:b/>
                <w:color w:val="auto"/>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58A99F59">
            <w:pPr>
              <w:widowControl/>
              <w:spacing w:line="40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color w:val="auto"/>
                <w:highlight w:val="none"/>
              </w:rPr>
              <w:t>针对本项目的管理模式和管理机制</w:t>
            </w:r>
          </w:p>
        </w:tc>
        <w:tc>
          <w:tcPr>
            <w:tcW w:w="5305" w:type="dxa"/>
            <w:noWrap w:val="0"/>
            <w:vAlign w:val="center"/>
          </w:tcPr>
          <w:p w14:paraId="5678A69A">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一档（12分）：</w:t>
            </w:r>
            <w:r>
              <w:rPr>
                <w:rFonts w:hint="eastAsia" w:ascii="仿宋_GB2312" w:hAnsi="仿宋_GB2312" w:eastAsia="仿宋_GB2312" w:cs="仿宋_GB2312"/>
              </w:rPr>
              <w:t>方案针对需求，切合实际，科学合理，岗位责任制度在采购需求的基础上进一步细化，各项管理制度完善、详细、可行；</w:t>
            </w:r>
          </w:p>
          <w:p w14:paraId="58CA57FC">
            <w:pPr>
              <w:widowControl/>
              <w:tabs>
                <w:tab w:val="left" w:pos="312"/>
              </w:tabs>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二档（8分）：</w:t>
            </w:r>
            <w:r>
              <w:rPr>
                <w:rFonts w:hint="eastAsia" w:ascii="仿宋_GB2312" w:hAnsi="仿宋_GB2312" w:eastAsia="仿宋_GB2312" w:cs="仿宋_GB2312"/>
              </w:rPr>
              <w:t>方案能较好满足采购需求，具有一定的科学合理性，各项管理制度较完善、详细，服务沟通机制能及时发现并解决问题；</w:t>
            </w:r>
          </w:p>
          <w:p w14:paraId="6481207E">
            <w:pPr>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基本满足采购需求，管理制度内容简单，操作基本可行。</w:t>
            </w:r>
          </w:p>
          <w:p w14:paraId="772F58E8">
            <w:pPr>
              <w:widowControl/>
              <w:spacing w:line="40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注：1.该方案内容可以包括：（1）岗位责任制度；（2）服务沟通机制；（3）工作记录及档案管理（包括交接验收资料、巡视记录、档案管理、投诉与处理记录、其它管理与服务活动记录等）。</w:t>
            </w:r>
          </w:p>
          <w:p w14:paraId="704FDFEC">
            <w:pPr>
              <w:widowControl/>
              <w:spacing w:line="40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2B4D06E6">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12</w:t>
            </w:r>
          </w:p>
        </w:tc>
        <w:tc>
          <w:tcPr>
            <w:tcW w:w="1263" w:type="dxa"/>
            <w:noWrap w:val="0"/>
            <w:vAlign w:val="center"/>
          </w:tcPr>
          <w:p w14:paraId="50ACAFB8">
            <w:pPr>
              <w:spacing w:line="40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color w:val="auto"/>
                <w:highlight w:val="none"/>
              </w:rPr>
              <w:t>针对本项目的管理模式和管理机制</w:t>
            </w:r>
          </w:p>
        </w:tc>
      </w:tr>
      <w:tr w14:paraId="15A2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center"/>
          </w:tcPr>
          <w:p w14:paraId="1B897A4C">
            <w:pPr>
              <w:spacing w:line="390" w:lineRule="exact"/>
              <w:ind w:right="-168" w:rightChars="-80"/>
              <w:jc w:val="both"/>
              <w:rPr>
                <w:rFonts w:hint="eastAsia" w:ascii="仿宋_GB2312" w:hAnsi="仿宋_GB2312" w:eastAsia="仿宋_GB2312" w:cs="仿宋_GB2312"/>
                <w:b/>
                <w:color w:val="auto"/>
                <w:sz w:val="24"/>
                <w:highlight w:val="none"/>
              </w:rPr>
            </w:pPr>
          </w:p>
          <w:p w14:paraId="311261CA">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1149DC0F">
            <w:pPr>
              <w:widowControl/>
              <w:spacing w:line="390" w:lineRule="exact"/>
              <w:jc w:val="center"/>
              <w:rPr>
                <w:rFonts w:hint="eastAsia" w:ascii="仿宋_GB2312" w:hAnsi="仿宋_GB2312" w:eastAsia="仿宋_GB2312" w:cs="仿宋_GB2312"/>
                <w:b/>
                <w:color w:val="auto"/>
                <w:kern w:val="2"/>
                <w:sz w:val="21"/>
                <w:szCs w:val="24"/>
                <w:highlight w:val="none"/>
                <w:lang w:val="en-US" w:eastAsia="zh-CN" w:bidi="ar-SA"/>
              </w:rPr>
            </w:pPr>
            <w:r>
              <w:rPr>
                <w:rFonts w:hint="eastAsia" w:ascii="仿宋_GB2312" w:hAnsi="仿宋_GB2312" w:eastAsia="仿宋_GB2312" w:cs="仿宋_GB2312"/>
                <w:b/>
                <w:color w:val="auto"/>
                <w:highlight w:val="none"/>
                <w:lang w:eastAsia="zh-CN"/>
              </w:rPr>
              <w:t>维保</w:t>
            </w:r>
            <w:r>
              <w:rPr>
                <w:rFonts w:hint="eastAsia" w:ascii="仿宋_GB2312" w:hAnsi="仿宋_GB2312" w:eastAsia="仿宋_GB2312" w:cs="仿宋_GB2312"/>
                <w:b/>
                <w:color w:val="auto"/>
                <w:highlight w:val="none"/>
              </w:rPr>
              <w:t>服务方案</w:t>
            </w:r>
          </w:p>
        </w:tc>
        <w:tc>
          <w:tcPr>
            <w:tcW w:w="5305" w:type="dxa"/>
            <w:noWrap w:val="0"/>
            <w:vAlign w:val="center"/>
          </w:tcPr>
          <w:p w14:paraId="5E4EE49F">
            <w:pPr>
              <w:pStyle w:val="525"/>
              <w:spacing w:line="4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一档（15分）：</w:t>
            </w:r>
            <w:r>
              <w:rPr>
                <w:rFonts w:hint="eastAsia" w:ascii="仿宋_GB2312" w:hAnsi="仿宋_GB2312" w:eastAsia="仿宋_GB2312" w:cs="仿宋_GB2312"/>
              </w:rPr>
              <w:t>方案完全符合采购需求，切合实际，科学合理，内容严谨全面且描述准确；有明确、规范的高低压配电系统日常维修保养措施，</w:t>
            </w:r>
            <w:r>
              <w:rPr>
                <w:rFonts w:hint="eastAsia" w:ascii="仿宋_GB2312" w:hAnsi="仿宋_GB2312" w:eastAsia="仿宋_GB2312" w:cs="仿宋_GB2312"/>
                <w:szCs w:val="24"/>
              </w:rPr>
              <w:t>故障解决时间、抢修时间优于采购需求；</w:t>
            </w:r>
            <w:r>
              <w:rPr>
                <w:rFonts w:hint="eastAsia" w:ascii="仿宋_GB2312" w:hAnsi="仿宋_GB2312" w:eastAsia="仿宋_GB2312" w:cs="仿宋_GB2312"/>
              </w:rPr>
              <w:t>对技术人员工作安排合理，工作时间衔接严谨；</w:t>
            </w:r>
          </w:p>
          <w:p w14:paraId="188DDF62">
            <w:pPr>
              <w:widowControl/>
              <w:tabs>
                <w:tab w:val="left" w:pos="312"/>
              </w:tabs>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二档（10分）：</w:t>
            </w:r>
            <w:r>
              <w:rPr>
                <w:rFonts w:hint="eastAsia" w:ascii="仿宋_GB2312" w:hAnsi="仿宋_GB2312" w:eastAsia="仿宋_GB2312" w:cs="仿宋_GB2312"/>
              </w:rPr>
              <w:t>方案能较好满足采购需求，日常维修保养要求符合实际，具有一定的合理性，对技术人员工作安排较合理，</w:t>
            </w:r>
            <w:r>
              <w:rPr>
                <w:rFonts w:hint="eastAsia" w:ascii="仿宋_GB2312" w:hAnsi="仿宋_GB2312" w:eastAsia="仿宋_GB2312" w:cs="仿宋_GB2312"/>
                <w:kern w:val="0"/>
              </w:rPr>
              <w:t>安全措施及解决方案</w:t>
            </w:r>
            <w:r>
              <w:rPr>
                <w:rFonts w:hint="eastAsia" w:ascii="仿宋_GB2312" w:hAnsi="仿宋_GB2312" w:eastAsia="仿宋_GB2312" w:cs="仿宋_GB2312"/>
              </w:rPr>
              <w:t>针对性、可操作性较强；</w:t>
            </w:r>
          </w:p>
          <w:p w14:paraId="357F3A3B">
            <w:pPr>
              <w:widowControl/>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方案满足采购需求，科学合理性较弱，方案一般、简单，基本能操作。</w:t>
            </w:r>
          </w:p>
          <w:p w14:paraId="19B66EE9">
            <w:pPr>
              <w:pStyle w:val="525"/>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 xml:space="preserve">（1）综合维保服务方案；（2）进场、退场交接方案；（3）提供本项目的针对性服务方案。 </w:t>
            </w:r>
          </w:p>
          <w:p w14:paraId="14C6B082">
            <w:pPr>
              <w:pStyle w:val="525"/>
              <w:spacing w:line="490" w:lineRule="exact"/>
              <w:ind w:firstLine="422" w:firstLineChars="200"/>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71F3494A">
            <w:pPr>
              <w:spacing w:line="360" w:lineRule="exact"/>
              <w:jc w:val="center"/>
              <w:rPr>
                <w:rFonts w:hint="eastAsia" w:ascii="仿宋_GB2312" w:hAnsi="仿宋_GB2312" w:eastAsia="仿宋_GB2312" w:cs="仿宋_GB2312"/>
                <w:b/>
                <w:bCs/>
                <w:color w:val="auto"/>
                <w:kern w:val="2"/>
                <w:sz w:val="21"/>
                <w:szCs w:val="24"/>
                <w:highlight w:val="none"/>
                <w:lang w:val="en-US" w:eastAsia="zh-CN" w:bidi="ar-SA"/>
              </w:rPr>
            </w:pPr>
            <w:r>
              <w:rPr>
                <w:rFonts w:hint="eastAsia" w:ascii="仿宋_GB2312" w:hAnsi="仿宋_GB2312" w:eastAsia="仿宋_GB2312" w:cs="仿宋_GB2312"/>
                <w:b/>
                <w:bCs/>
                <w:color w:val="auto"/>
                <w:highlight w:val="none"/>
                <w:lang w:val="en-US" w:eastAsia="zh-CN"/>
              </w:rPr>
              <w:t>15</w:t>
            </w:r>
          </w:p>
        </w:tc>
        <w:tc>
          <w:tcPr>
            <w:tcW w:w="1263" w:type="dxa"/>
            <w:noWrap w:val="0"/>
            <w:vAlign w:val="center"/>
          </w:tcPr>
          <w:p w14:paraId="4B836D2D">
            <w:pPr>
              <w:spacing w:line="360" w:lineRule="exact"/>
              <w:jc w:val="center"/>
              <w:rPr>
                <w:rFonts w:hint="eastAsia" w:ascii="仿宋_GB2312" w:hAnsi="仿宋_GB2312" w:eastAsia="仿宋_GB2312" w:cs="仿宋_GB2312"/>
                <w:color w:val="auto"/>
                <w:kern w:val="2"/>
                <w:sz w:val="21"/>
                <w:szCs w:val="24"/>
                <w:highlight w:val="none"/>
                <w:lang w:val="en-US" w:eastAsia="zh-CN" w:bidi="ar-SA"/>
              </w:rPr>
            </w:pPr>
            <w:r>
              <w:rPr>
                <w:rFonts w:hint="eastAsia" w:ascii="仿宋_GB2312" w:hAnsi="仿宋_GB2312" w:eastAsia="仿宋_GB2312" w:cs="仿宋_GB2312"/>
                <w:color w:val="auto"/>
                <w:highlight w:val="none"/>
                <w:lang w:eastAsia="zh-CN"/>
              </w:rPr>
              <w:t>维保</w:t>
            </w:r>
            <w:r>
              <w:rPr>
                <w:rFonts w:hint="eastAsia" w:ascii="仿宋_GB2312" w:hAnsi="仿宋_GB2312" w:eastAsia="仿宋_GB2312" w:cs="仿宋_GB2312"/>
                <w:color w:val="auto"/>
                <w:highlight w:val="none"/>
              </w:rPr>
              <w:t>服务方案</w:t>
            </w:r>
          </w:p>
        </w:tc>
      </w:tr>
      <w:tr w14:paraId="06989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restart"/>
            <w:noWrap w:val="0"/>
            <w:vAlign w:val="center"/>
          </w:tcPr>
          <w:p w14:paraId="38B3B83F">
            <w:pPr>
              <w:spacing w:line="390" w:lineRule="exact"/>
              <w:ind w:right="-168" w:rightChars="-80"/>
              <w:jc w:val="center"/>
              <w:rPr>
                <w:rFonts w:hint="eastAsia" w:ascii="仿宋_GB2312" w:hAnsi="仿宋_GB2312" w:eastAsia="仿宋_GB2312" w:cs="仿宋_GB2312"/>
                <w:b/>
                <w:color w:val="auto"/>
                <w:sz w:val="24"/>
                <w:highlight w:val="none"/>
              </w:rPr>
            </w:pPr>
          </w:p>
          <w:p w14:paraId="36A0B5AC">
            <w:pPr>
              <w:spacing w:line="390" w:lineRule="exact"/>
              <w:ind w:right="-168" w:rightChars="-80"/>
              <w:jc w:val="center"/>
              <w:rPr>
                <w:rFonts w:hint="eastAsia" w:ascii="仿宋_GB2312" w:hAnsi="仿宋_GB2312" w:eastAsia="仿宋_GB2312" w:cs="仿宋_GB2312"/>
                <w:b/>
                <w:color w:val="auto"/>
                <w:sz w:val="24"/>
                <w:highlight w:val="none"/>
              </w:rPr>
            </w:pPr>
          </w:p>
          <w:p w14:paraId="6575269A">
            <w:pPr>
              <w:spacing w:line="390" w:lineRule="exact"/>
              <w:ind w:right="-168" w:rightChars="-80"/>
              <w:jc w:val="center"/>
              <w:rPr>
                <w:rFonts w:hint="eastAsia" w:ascii="仿宋_GB2312" w:hAnsi="仿宋_GB2312" w:eastAsia="仿宋_GB2312" w:cs="仿宋_GB2312"/>
                <w:b/>
                <w:color w:val="auto"/>
                <w:sz w:val="24"/>
                <w:highlight w:val="none"/>
              </w:rPr>
            </w:pPr>
          </w:p>
          <w:p w14:paraId="1EB30F59">
            <w:pPr>
              <w:spacing w:line="390" w:lineRule="exact"/>
              <w:ind w:right="-168" w:rightChars="-80"/>
              <w:jc w:val="center"/>
              <w:rPr>
                <w:rFonts w:hint="eastAsia" w:ascii="仿宋_GB2312" w:hAnsi="仿宋_GB2312" w:eastAsia="仿宋_GB2312" w:cs="仿宋_GB2312"/>
                <w:b/>
                <w:color w:val="auto"/>
                <w:sz w:val="24"/>
                <w:highlight w:val="none"/>
              </w:rPr>
            </w:pPr>
          </w:p>
          <w:p w14:paraId="3E0D04AA">
            <w:pPr>
              <w:spacing w:line="390" w:lineRule="exact"/>
              <w:ind w:right="-168" w:rightChars="-80"/>
              <w:jc w:val="center"/>
              <w:rPr>
                <w:rFonts w:hint="eastAsia" w:ascii="仿宋_GB2312" w:hAnsi="仿宋_GB2312" w:eastAsia="仿宋_GB2312" w:cs="仿宋_GB2312"/>
                <w:b/>
                <w:color w:val="auto"/>
                <w:sz w:val="24"/>
                <w:highlight w:val="none"/>
              </w:rPr>
            </w:pPr>
          </w:p>
          <w:p w14:paraId="533706F7">
            <w:pPr>
              <w:spacing w:line="390" w:lineRule="exact"/>
              <w:ind w:right="-168" w:rightChars="-80"/>
              <w:jc w:val="center"/>
              <w:rPr>
                <w:rFonts w:hint="eastAsia" w:ascii="仿宋_GB2312" w:hAnsi="仿宋_GB2312" w:eastAsia="仿宋_GB2312" w:cs="仿宋_GB2312"/>
                <w:b/>
                <w:color w:val="auto"/>
                <w:sz w:val="24"/>
                <w:highlight w:val="none"/>
              </w:rPr>
            </w:pPr>
          </w:p>
          <w:p w14:paraId="76EC4198">
            <w:pPr>
              <w:spacing w:line="390" w:lineRule="exact"/>
              <w:ind w:right="-168" w:rightChars="-80"/>
              <w:jc w:val="center"/>
              <w:rPr>
                <w:rFonts w:hint="eastAsia" w:ascii="仿宋_GB2312" w:hAnsi="仿宋_GB2312" w:eastAsia="仿宋_GB2312" w:cs="仿宋_GB2312"/>
                <w:b/>
                <w:color w:val="auto"/>
                <w:sz w:val="24"/>
                <w:highlight w:val="none"/>
              </w:rPr>
            </w:pPr>
          </w:p>
          <w:p w14:paraId="0230BBAD">
            <w:pPr>
              <w:spacing w:line="390" w:lineRule="exact"/>
              <w:ind w:right="-168" w:rightChars="-80"/>
              <w:jc w:val="center"/>
              <w:rPr>
                <w:rFonts w:hint="eastAsia" w:ascii="仿宋_GB2312" w:hAnsi="仿宋_GB2312" w:eastAsia="仿宋_GB2312" w:cs="仿宋_GB2312"/>
                <w:b/>
                <w:color w:val="auto"/>
                <w:sz w:val="24"/>
                <w:highlight w:val="none"/>
              </w:rPr>
            </w:pPr>
          </w:p>
          <w:p w14:paraId="2AD47373">
            <w:pPr>
              <w:spacing w:line="390" w:lineRule="exact"/>
              <w:ind w:right="-168" w:rightChars="-80"/>
              <w:jc w:val="center"/>
              <w:rPr>
                <w:rFonts w:hint="eastAsia" w:ascii="仿宋_GB2312" w:hAnsi="仿宋_GB2312" w:eastAsia="仿宋_GB2312" w:cs="仿宋_GB2312"/>
                <w:b/>
                <w:color w:val="auto"/>
                <w:sz w:val="24"/>
                <w:highlight w:val="none"/>
              </w:rPr>
            </w:pPr>
          </w:p>
          <w:p w14:paraId="59F4D804">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p w14:paraId="3EBB8D81">
            <w:pPr>
              <w:spacing w:line="390" w:lineRule="exact"/>
              <w:ind w:right="-168" w:rightChars="-80"/>
              <w:jc w:val="center"/>
              <w:rPr>
                <w:rFonts w:hint="eastAsia" w:ascii="仿宋_GB2312" w:hAnsi="仿宋_GB2312" w:eastAsia="仿宋_GB2312" w:cs="仿宋_GB2312"/>
                <w:b/>
                <w:color w:val="auto"/>
                <w:sz w:val="24"/>
                <w:highlight w:val="none"/>
              </w:rPr>
            </w:pPr>
          </w:p>
          <w:p w14:paraId="343DD90E">
            <w:pPr>
              <w:spacing w:line="390" w:lineRule="exact"/>
              <w:ind w:right="-168" w:rightChars="-80"/>
              <w:jc w:val="center"/>
              <w:rPr>
                <w:rFonts w:hint="eastAsia" w:ascii="仿宋_GB2312" w:hAnsi="仿宋_GB2312" w:eastAsia="仿宋_GB2312" w:cs="仿宋_GB2312"/>
                <w:b/>
                <w:color w:val="auto"/>
                <w:sz w:val="24"/>
                <w:highlight w:val="none"/>
              </w:rPr>
            </w:pPr>
          </w:p>
          <w:p w14:paraId="799B5B9C">
            <w:pPr>
              <w:spacing w:line="390" w:lineRule="exact"/>
              <w:ind w:right="-168" w:rightChars="-80"/>
              <w:jc w:val="center"/>
              <w:rPr>
                <w:rFonts w:hint="eastAsia" w:ascii="仿宋_GB2312" w:hAnsi="仿宋_GB2312" w:eastAsia="仿宋_GB2312" w:cs="仿宋_GB2312"/>
                <w:b/>
                <w:color w:val="auto"/>
                <w:sz w:val="24"/>
                <w:highlight w:val="none"/>
              </w:rPr>
            </w:pPr>
          </w:p>
          <w:p w14:paraId="4DA09689">
            <w:pPr>
              <w:spacing w:line="390" w:lineRule="exact"/>
              <w:ind w:right="-168" w:rightChars="-80"/>
              <w:jc w:val="center"/>
              <w:rPr>
                <w:rFonts w:hint="eastAsia" w:ascii="仿宋_GB2312" w:hAnsi="仿宋_GB2312" w:eastAsia="仿宋_GB2312" w:cs="仿宋_GB2312"/>
                <w:b/>
                <w:color w:val="auto"/>
                <w:sz w:val="24"/>
                <w:highlight w:val="none"/>
              </w:rPr>
            </w:pPr>
          </w:p>
          <w:p w14:paraId="11831573">
            <w:pPr>
              <w:spacing w:line="390" w:lineRule="exact"/>
              <w:ind w:right="-168" w:rightChars="-80"/>
              <w:jc w:val="center"/>
              <w:rPr>
                <w:rFonts w:hint="eastAsia" w:ascii="仿宋_GB2312" w:hAnsi="仿宋_GB2312" w:eastAsia="仿宋_GB2312" w:cs="仿宋_GB2312"/>
                <w:b/>
                <w:color w:val="auto"/>
                <w:sz w:val="24"/>
                <w:highlight w:val="none"/>
              </w:rPr>
            </w:pPr>
          </w:p>
          <w:p w14:paraId="38420034">
            <w:pPr>
              <w:spacing w:line="390" w:lineRule="exact"/>
              <w:ind w:right="-168" w:rightChars="-80"/>
              <w:jc w:val="center"/>
              <w:rPr>
                <w:rFonts w:hint="eastAsia" w:ascii="仿宋_GB2312" w:hAnsi="仿宋_GB2312" w:eastAsia="仿宋_GB2312" w:cs="仿宋_GB2312"/>
                <w:b/>
                <w:color w:val="auto"/>
                <w:sz w:val="24"/>
                <w:highlight w:val="none"/>
              </w:rPr>
            </w:pPr>
          </w:p>
          <w:p w14:paraId="22FAC196">
            <w:pPr>
              <w:spacing w:line="390" w:lineRule="exact"/>
              <w:ind w:right="-168" w:rightChars="-80"/>
              <w:jc w:val="center"/>
              <w:rPr>
                <w:rFonts w:hint="eastAsia" w:ascii="仿宋_GB2312" w:hAnsi="仿宋_GB2312" w:eastAsia="仿宋_GB2312" w:cs="仿宋_GB2312"/>
                <w:b/>
                <w:color w:val="auto"/>
                <w:sz w:val="24"/>
                <w:highlight w:val="none"/>
              </w:rPr>
            </w:pPr>
          </w:p>
          <w:p w14:paraId="5B772DAD">
            <w:pPr>
              <w:spacing w:line="390" w:lineRule="exact"/>
              <w:ind w:right="-168" w:rightChars="-80"/>
              <w:jc w:val="center"/>
              <w:rPr>
                <w:rFonts w:hint="eastAsia" w:ascii="仿宋_GB2312" w:hAnsi="仿宋_GB2312" w:eastAsia="仿宋_GB2312" w:cs="仿宋_GB2312"/>
                <w:b/>
                <w:color w:val="auto"/>
                <w:sz w:val="24"/>
                <w:highlight w:val="none"/>
              </w:rPr>
            </w:pPr>
          </w:p>
          <w:p w14:paraId="193BE800">
            <w:pPr>
              <w:spacing w:line="390" w:lineRule="exact"/>
              <w:ind w:right="-168" w:rightChars="-80"/>
              <w:jc w:val="center"/>
              <w:rPr>
                <w:rFonts w:hint="eastAsia" w:ascii="仿宋_GB2312" w:hAnsi="仿宋_GB2312" w:eastAsia="仿宋_GB2312" w:cs="仿宋_GB2312"/>
                <w:b/>
                <w:color w:val="auto"/>
                <w:sz w:val="24"/>
                <w:highlight w:val="none"/>
              </w:rPr>
            </w:pPr>
          </w:p>
          <w:p w14:paraId="06DACD91">
            <w:pPr>
              <w:spacing w:line="390" w:lineRule="exact"/>
              <w:ind w:right="-168" w:rightChars="-80"/>
              <w:jc w:val="center"/>
              <w:rPr>
                <w:rFonts w:hint="eastAsia" w:ascii="仿宋_GB2312" w:hAnsi="仿宋_GB2312" w:eastAsia="仿宋_GB2312" w:cs="仿宋_GB2312"/>
                <w:b/>
                <w:color w:val="auto"/>
                <w:sz w:val="24"/>
                <w:highlight w:val="none"/>
              </w:rPr>
            </w:pPr>
          </w:p>
          <w:p w14:paraId="439196E1">
            <w:pPr>
              <w:spacing w:line="390" w:lineRule="exact"/>
              <w:ind w:right="-168" w:rightChars="-80"/>
              <w:jc w:val="center"/>
              <w:rPr>
                <w:rFonts w:hint="eastAsia" w:ascii="仿宋_GB2312" w:hAnsi="仿宋_GB2312" w:eastAsia="仿宋_GB2312" w:cs="仿宋_GB2312"/>
                <w:b/>
                <w:color w:val="auto"/>
                <w:sz w:val="24"/>
                <w:highlight w:val="none"/>
              </w:rPr>
            </w:pPr>
          </w:p>
          <w:p w14:paraId="384D01FA">
            <w:pPr>
              <w:spacing w:line="390" w:lineRule="exact"/>
              <w:ind w:right="-168" w:rightChars="-80"/>
              <w:jc w:val="center"/>
              <w:rPr>
                <w:rFonts w:hint="eastAsia" w:ascii="仿宋_GB2312" w:hAnsi="仿宋_GB2312" w:eastAsia="仿宋_GB2312" w:cs="仿宋_GB2312"/>
                <w:b/>
                <w:color w:val="auto"/>
                <w:sz w:val="24"/>
                <w:highlight w:val="none"/>
              </w:rPr>
            </w:pPr>
          </w:p>
          <w:p w14:paraId="294F9DD6">
            <w:pPr>
              <w:spacing w:line="390" w:lineRule="exact"/>
              <w:ind w:right="-168" w:rightChars="-80"/>
              <w:jc w:val="center"/>
              <w:rPr>
                <w:rFonts w:hint="eastAsia" w:ascii="仿宋_GB2312" w:hAnsi="仿宋_GB2312" w:eastAsia="仿宋_GB2312" w:cs="仿宋_GB2312"/>
                <w:b/>
                <w:color w:val="auto"/>
                <w:sz w:val="24"/>
                <w:highlight w:val="none"/>
              </w:rPr>
            </w:pPr>
          </w:p>
          <w:p w14:paraId="48661E46">
            <w:pPr>
              <w:spacing w:line="390" w:lineRule="exact"/>
              <w:ind w:right="-168" w:rightChars="-80"/>
              <w:jc w:val="center"/>
              <w:rPr>
                <w:rFonts w:hint="eastAsia" w:ascii="仿宋_GB2312" w:hAnsi="仿宋_GB2312" w:eastAsia="仿宋_GB2312" w:cs="仿宋_GB2312"/>
                <w:b/>
                <w:color w:val="auto"/>
                <w:sz w:val="24"/>
                <w:highlight w:val="none"/>
              </w:rPr>
            </w:pPr>
          </w:p>
          <w:p w14:paraId="184F8F14">
            <w:pPr>
              <w:spacing w:line="390" w:lineRule="exact"/>
              <w:ind w:right="-168" w:rightChars="-80"/>
              <w:jc w:val="center"/>
              <w:rPr>
                <w:rFonts w:hint="eastAsia" w:ascii="仿宋_GB2312" w:hAnsi="仿宋_GB2312" w:eastAsia="仿宋_GB2312" w:cs="仿宋_GB2312"/>
                <w:b/>
                <w:color w:val="auto"/>
                <w:sz w:val="24"/>
                <w:highlight w:val="none"/>
              </w:rPr>
            </w:pPr>
          </w:p>
          <w:p w14:paraId="6A0739FD">
            <w:pPr>
              <w:spacing w:line="390" w:lineRule="exact"/>
              <w:ind w:right="-168" w:rightChars="-80"/>
              <w:jc w:val="center"/>
              <w:rPr>
                <w:rFonts w:hint="eastAsia" w:ascii="仿宋_GB2312" w:hAnsi="仿宋_GB2312" w:eastAsia="仿宋_GB2312" w:cs="仿宋_GB2312"/>
                <w:b/>
                <w:color w:val="auto"/>
                <w:sz w:val="24"/>
                <w:highlight w:val="none"/>
              </w:rPr>
            </w:pPr>
          </w:p>
          <w:p w14:paraId="175724F3">
            <w:pPr>
              <w:spacing w:line="390" w:lineRule="exact"/>
              <w:ind w:right="-168" w:rightChars="-80"/>
              <w:jc w:val="center"/>
              <w:rPr>
                <w:rFonts w:hint="eastAsia" w:ascii="仿宋_GB2312" w:hAnsi="仿宋_GB2312" w:eastAsia="仿宋_GB2312" w:cs="仿宋_GB2312"/>
                <w:b/>
                <w:color w:val="auto"/>
                <w:sz w:val="24"/>
                <w:highlight w:val="none"/>
              </w:rPr>
            </w:pPr>
          </w:p>
          <w:p w14:paraId="01F195B3">
            <w:pPr>
              <w:spacing w:line="390" w:lineRule="exact"/>
              <w:ind w:right="-168" w:rightChars="-80"/>
              <w:jc w:val="center"/>
              <w:rPr>
                <w:rFonts w:hint="eastAsia" w:ascii="仿宋_GB2312" w:hAnsi="仿宋_GB2312" w:eastAsia="仿宋_GB2312" w:cs="仿宋_GB2312"/>
                <w:b/>
                <w:color w:val="auto"/>
                <w:sz w:val="24"/>
                <w:highlight w:val="none"/>
              </w:rPr>
            </w:pPr>
          </w:p>
          <w:p w14:paraId="104410C9">
            <w:pPr>
              <w:spacing w:line="390" w:lineRule="exact"/>
              <w:ind w:right="-168" w:rightChars="-80"/>
              <w:jc w:val="center"/>
              <w:rPr>
                <w:rFonts w:hint="eastAsia" w:ascii="仿宋_GB2312" w:hAnsi="仿宋_GB2312" w:eastAsia="仿宋_GB2312" w:cs="仿宋_GB2312"/>
                <w:b/>
                <w:color w:val="auto"/>
                <w:sz w:val="24"/>
                <w:highlight w:val="none"/>
              </w:rPr>
            </w:pPr>
          </w:p>
          <w:p w14:paraId="07FF5556">
            <w:pPr>
              <w:spacing w:line="390" w:lineRule="exact"/>
              <w:ind w:right="-168" w:rightChars="-80"/>
              <w:jc w:val="center"/>
              <w:rPr>
                <w:rFonts w:hint="eastAsia" w:ascii="仿宋_GB2312" w:hAnsi="仿宋_GB2312" w:eastAsia="仿宋_GB2312" w:cs="仿宋_GB2312"/>
                <w:b/>
                <w:color w:val="auto"/>
                <w:sz w:val="24"/>
                <w:highlight w:val="none"/>
              </w:rPr>
            </w:pPr>
          </w:p>
          <w:p w14:paraId="11B66054">
            <w:pPr>
              <w:spacing w:line="390" w:lineRule="exact"/>
              <w:ind w:right="-168" w:rightChars="-80"/>
              <w:jc w:val="center"/>
              <w:rPr>
                <w:rFonts w:hint="eastAsia" w:ascii="仿宋_GB2312" w:hAnsi="仿宋_GB2312" w:eastAsia="仿宋_GB2312" w:cs="仿宋_GB2312"/>
                <w:b/>
                <w:color w:val="auto"/>
                <w:sz w:val="24"/>
                <w:highlight w:val="none"/>
              </w:rPr>
            </w:pPr>
          </w:p>
          <w:p w14:paraId="604610AE">
            <w:pPr>
              <w:spacing w:line="390" w:lineRule="exact"/>
              <w:ind w:right="-168" w:rightChars="-80"/>
              <w:jc w:val="center"/>
              <w:rPr>
                <w:rFonts w:hint="eastAsia" w:ascii="仿宋_GB2312" w:hAnsi="仿宋_GB2312" w:eastAsia="仿宋_GB2312" w:cs="仿宋_GB2312"/>
                <w:b/>
                <w:color w:val="auto"/>
                <w:sz w:val="24"/>
                <w:highlight w:val="none"/>
              </w:rPr>
            </w:pPr>
          </w:p>
          <w:p w14:paraId="1DB7DA97">
            <w:pPr>
              <w:spacing w:line="390" w:lineRule="exact"/>
              <w:ind w:right="-168" w:rightChars="-80"/>
              <w:jc w:val="center"/>
              <w:rPr>
                <w:rFonts w:hint="eastAsia" w:ascii="仿宋_GB2312" w:hAnsi="仿宋_GB2312" w:eastAsia="仿宋_GB2312" w:cs="仿宋_GB2312"/>
                <w:b/>
                <w:color w:val="auto"/>
                <w:sz w:val="24"/>
                <w:highlight w:val="none"/>
              </w:rPr>
            </w:pPr>
          </w:p>
          <w:p w14:paraId="03D38BD9">
            <w:pPr>
              <w:spacing w:line="390" w:lineRule="exact"/>
              <w:ind w:right="-168" w:rightChars="-80"/>
              <w:jc w:val="center"/>
              <w:rPr>
                <w:rFonts w:hint="eastAsia" w:ascii="仿宋_GB2312" w:hAnsi="仿宋_GB2312" w:eastAsia="仿宋_GB2312" w:cs="仿宋_GB2312"/>
                <w:b/>
                <w:color w:val="auto"/>
                <w:sz w:val="24"/>
                <w:highlight w:val="none"/>
              </w:rPr>
            </w:pPr>
          </w:p>
          <w:p w14:paraId="3275EC8E">
            <w:pPr>
              <w:spacing w:line="390" w:lineRule="exact"/>
              <w:ind w:right="-168" w:rightChars="-80"/>
              <w:jc w:val="center"/>
              <w:rPr>
                <w:rFonts w:hint="eastAsia" w:ascii="仿宋_GB2312" w:hAnsi="仿宋_GB2312" w:eastAsia="仿宋_GB2312" w:cs="仿宋_GB2312"/>
                <w:b/>
                <w:color w:val="auto"/>
                <w:sz w:val="24"/>
                <w:highlight w:val="none"/>
              </w:rPr>
            </w:pPr>
          </w:p>
          <w:p w14:paraId="0D8C13D8">
            <w:pPr>
              <w:spacing w:line="390" w:lineRule="exact"/>
              <w:ind w:right="-168" w:rightChars="-80"/>
              <w:jc w:val="both"/>
              <w:rPr>
                <w:rFonts w:hint="eastAsia" w:ascii="仿宋_GB2312" w:hAnsi="仿宋_GB2312" w:eastAsia="仿宋_GB2312" w:cs="仿宋_GB2312"/>
                <w:b/>
                <w:color w:val="auto"/>
                <w:sz w:val="24"/>
                <w:highlight w:val="none"/>
              </w:rPr>
            </w:pPr>
          </w:p>
          <w:p w14:paraId="096CE05E">
            <w:pPr>
              <w:spacing w:line="390" w:lineRule="exact"/>
              <w:ind w:right="-168" w:rightChars="-80"/>
              <w:jc w:val="center"/>
              <w:rPr>
                <w:rFonts w:hint="eastAsia" w:ascii="仿宋_GB2312" w:hAnsi="仿宋_GB2312" w:eastAsia="仿宋_GB2312" w:cs="仿宋_GB2312"/>
                <w:b/>
                <w:color w:val="auto"/>
                <w:sz w:val="24"/>
                <w:highlight w:val="none"/>
              </w:rPr>
            </w:pPr>
          </w:p>
          <w:p w14:paraId="7AF57CA8">
            <w:pPr>
              <w:spacing w:line="390" w:lineRule="exact"/>
              <w:ind w:right="-168" w:rightChars="-80"/>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服务方案</w:t>
            </w:r>
          </w:p>
        </w:tc>
        <w:tc>
          <w:tcPr>
            <w:tcW w:w="1077" w:type="dxa"/>
            <w:noWrap w:val="0"/>
            <w:vAlign w:val="center"/>
          </w:tcPr>
          <w:p w14:paraId="72E33BAB">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color w:val="auto"/>
                <w:highlight w:val="none"/>
              </w:rPr>
              <w:t>应急预案和应急配合方案</w:t>
            </w:r>
          </w:p>
        </w:tc>
        <w:tc>
          <w:tcPr>
            <w:tcW w:w="5305" w:type="dxa"/>
            <w:noWrap w:val="0"/>
            <w:vAlign w:val="center"/>
          </w:tcPr>
          <w:p w14:paraId="6C3A10CC">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一档（5分）：</w:t>
            </w:r>
            <w:r>
              <w:rPr>
                <w:rFonts w:hint="eastAsia" w:ascii="仿宋_GB2312" w:hAnsi="仿宋_GB2312" w:eastAsia="仿宋_GB2312" w:cs="仿宋_GB2312"/>
                <w:szCs w:val="24"/>
              </w:rPr>
              <w:t>方案的突发事件应急小组、报告程序，处理措施、注意事项及相关记录科学合理、可操作性强；</w:t>
            </w:r>
          </w:p>
          <w:p w14:paraId="583AB216">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二档（3分）：</w:t>
            </w:r>
            <w:r>
              <w:rPr>
                <w:rFonts w:hint="eastAsia" w:ascii="仿宋_GB2312" w:hAnsi="仿宋_GB2312" w:eastAsia="仿宋_GB2312" w:cs="仿宋_GB2312"/>
                <w:szCs w:val="24"/>
              </w:rPr>
              <w:t>方案具有一定的科学性、可操作性较强；</w:t>
            </w:r>
          </w:p>
          <w:p w14:paraId="22E8E5FA">
            <w:pPr>
              <w:pStyle w:val="525"/>
              <w:spacing w:line="390" w:lineRule="exact"/>
              <w:ind w:firstLine="422" w:firstLineChars="200"/>
              <w:rPr>
                <w:rFonts w:hint="eastAsia" w:ascii="仿宋_GB2312" w:hAnsi="仿宋_GB2312" w:eastAsia="仿宋_GB2312" w:cs="仿宋_GB2312"/>
                <w:szCs w:val="24"/>
              </w:rPr>
            </w:pPr>
            <w:r>
              <w:rPr>
                <w:rFonts w:hint="eastAsia" w:ascii="仿宋_GB2312" w:hAnsi="仿宋_GB2312" w:eastAsia="仿宋_GB2312" w:cs="仿宋_GB2312"/>
                <w:b/>
                <w:bCs/>
              </w:rPr>
              <w:t>三档（1分）：</w:t>
            </w:r>
            <w:r>
              <w:rPr>
                <w:rFonts w:hint="eastAsia" w:ascii="仿宋_GB2312" w:hAnsi="仿宋_GB2312" w:eastAsia="仿宋_GB2312" w:cs="仿宋_GB2312"/>
                <w:szCs w:val="24"/>
              </w:rPr>
              <w:t>方案科学性、可操作性一般。</w:t>
            </w:r>
          </w:p>
          <w:p w14:paraId="69DF5974">
            <w:pPr>
              <w:spacing w:line="49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14:paraId="22A903AF">
            <w:pPr>
              <w:pStyle w:val="52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5F46CB82">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2A476C1B">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color w:val="auto"/>
                <w:highlight w:val="none"/>
              </w:rPr>
              <w:t>应急预案和应急配合方案</w:t>
            </w:r>
          </w:p>
        </w:tc>
      </w:tr>
      <w:tr w14:paraId="6B1F6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14:paraId="6100BE18">
            <w:pPr>
              <w:spacing w:line="390" w:lineRule="exact"/>
              <w:ind w:right="-168" w:rightChars="-80"/>
              <w:jc w:val="center"/>
              <w:rPr>
                <w:rFonts w:hint="eastAsia" w:ascii="仿宋_GB2312" w:hAnsi="仿宋_GB2312" w:eastAsia="仿宋_GB2312" w:cs="仿宋_GB2312"/>
                <w:color w:val="auto"/>
                <w:sz w:val="24"/>
                <w:highlight w:val="none"/>
              </w:rPr>
            </w:pPr>
          </w:p>
        </w:tc>
        <w:tc>
          <w:tcPr>
            <w:tcW w:w="1077" w:type="dxa"/>
            <w:noWrap w:val="0"/>
            <w:vAlign w:val="center"/>
          </w:tcPr>
          <w:p w14:paraId="6A41519F">
            <w:pPr>
              <w:spacing w:line="360" w:lineRule="exact"/>
              <w:jc w:val="center"/>
              <w:rPr>
                <w:rFonts w:hint="eastAsia" w:ascii="仿宋_GB2312" w:hAnsi="仿宋_GB2312" w:eastAsia="仿宋_GB2312" w:cs="仿宋_GB2312"/>
                <w:b/>
                <w:color w:val="auto"/>
                <w:highlight w:val="none"/>
                <w:lang w:eastAsia="zh-CN"/>
              </w:rPr>
            </w:pPr>
            <w:r>
              <w:rPr>
                <w:rFonts w:hint="eastAsia" w:ascii="仿宋_GB2312" w:hAnsi="仿宋_GB2312" w:eastAsia="仿宋_GB2312" w:cs="仿宋_GB2312"/>
                <w:b/>
                <w:color w:val="auto"/>
                <w:highlight w:val="none"/>
                <w:lang w:eastAsia="zh-CN"/>
              </w:rPr>
              <w:t>特色服务方案</w:t>
            </w:r>
          </w:p>
        </w:tc>
        <w:tc>
          <w:tcPr>
            <w:tcW w:w="5305" w:type="dxa"/>
            <w:noWrap w:val="0"/>
            <w:vAlign w:val="center"/>
          </w:tcPr>
          <w:p w14:paraId="63CB9536">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一档（5分）</w:t>
            </w:r>
            <w:r>
              <w:rPr>
                <w:rFonts w:hint="eastAsia" w:ascii="仿宋_GB2312" w:hAnsi="仿宋_GB2312" w:eastAsia="仿宋_GB2312" w:cs="仿宋_GB2312"/>
              </w:rPr>
              <w:t xml:space="preserve">：方案完全符合采购需求，切合实际，制定可行的节能降耗、零部件出入库管理、旧件回收管控实施方案，对保密措施和保密承诺有详细的阐述，内容完善可行、针对性强； </w:t>
            </w:r>
          </w:p>
          <w:p w14:paraId="37484BF2">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二档（3分）：</w:t>
            </w:r>
            <w:r>
              <w:rPr>
                <w:rFonts w:hint="eastAsia" w:ascii="仿宋_GB2312" w:hAnsi="仿宋_GB2312" w:eastAsia="仿宋_GB2312" w:cs="仿宋_GB2312"/>
              </w:rPr>
              <w:t xml:space="preserve">方案能较好满足采购需求，符合实际，节能减排措施较得当，保密方案和疫情防控方案具有一定的合理性，内容较详细，针对性、可操作性较强； </w:t>
            </w:r>
          </w:p>
          <w:p w14:paraId="75E4DF35">
            <w:pPr>
              <w:widowControl/>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三档（1分）</w:t>
            </w:r>
            <w:r>
              <w:rPr>
                <w:rFonts w:hint="eastAsia" w:ascii="仿宋_GB2312" w:hAnsi="仿宋_GB2312" w:eastAsia="仿宋_GB2312" w:cs="仿宋_GB2312"/>
              </w:rPr>
              <w:t>：方案满足采购需求，科学合理性较弱，方案一般、简单，基本能操作。</w:t>
            </w:r>
          </w:p>
          <w:p w14:paraId="2CDF75A8">
            <w:pPr>
              <w:pStyle w:val="698"/>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注：1.该方案内容可以包括（1）提供针对本项目的节能方案；（2）提供针对本项目的保密方案；（3）</w:t>
            </w:r>
            <w:r>
              <w:rPr>
                <w:rFonts w:hint="eastAsia" w:ascii="仿宋_GB2312" w:hAnsi="仿宋_GB2312" w:eastAsia="仿宋_GB2312" w:cs="仿宋_GB2312"/>
                <w:b/>
                <w:bCs/>
                <w:szCs w:val="24"/>
              </w:rPr>
              <w:t>零部件出入库管理、旧件回收管控方案</w:t>
            </w:r>
            <w:r>
              <w:rPr>
                <w:rFonts w:hint="eastAsia" w:ascii="仿宋_GB2312" w:hAnsi="仿宋_GB2312" w:eastAsia="仿宋_GB2312" w:cs="仿宋_GB2312"/>
                <w:b/>
                <w:bCs/>
              </w:rPr>
              <w:t>。</w:t>
            </w:r>
          </w:p>
          <w:p w14:paraId="4DEC15F0">
            <w:pPr>
              <w:pStyle w:val="525"/>
              <w:spacing w:line="39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781F29A8">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646F4B63">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lang w:eastAsia="zh-CN"/>
              </w:rPr>
              <w:t>特色服务方案</w:t>
            </w:r>
          </w:p>
        </w:tc>
      </w:tr>
      <w:tr w14:paraId="65CF4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top"/>
          </w:tcPr>
          <w:p w14:paraId="717AFFE8">
            <w:pPr>
              <w:spacing w:line="390" w:lineRule="exact"/>
              <w:ind w:right="-168" w:rightChars="-80"/>
              <w:jc w:val="center"/>
              <w:rPr>
                <w:rFonts w:hint="eastAsia" w:ascii="仿宋_GB2312" w:hAnsi="仿宋_GB2312" w:eastAsia="仿宋_GB2312" w:cs="仿宋_GB2312"/>
                <w:b/>
                <w:color w:val="auto"/>
                <w:sz w:val="24"/>
                <w:highlight w:val="none"/>
              </w:rPr>
            </w:pPr>
          </w:p>
        </w:tc>
        <w:tc>
          <w:tcPr>
            <w:tcW w:w="1077" w:type="dxa"/>
            <w:noWrap w:val="0"/>
            <w:vAlign w:val="center"/>
          </w:tcPr>
          <w:p w14:paraId="2F7A00ED">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rPr>
              <w:t>物资配备</w:t>
            </w:r>
          </w:p>
        </w:tc>
        <w:tc>
          <w:tcPr>
            <w:tcW w:w="5305" w:type="dxa"/>
            <w:noWrap w:val="0"/>
            <w:vAlign w:val="center"/>
          </w:tcPr>
          <w:p w14:paraId="2EC34584">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一档（5分）</w:t>
            </w:r>
            <w:r>
              <w:rPr>
                <w:rFonts w:hint="eastAsia" w:ascii="仿宋_GB2312" w:hAnsi="仿宋_GB2312" w:eastAsia="仿宋_GB2312" w:cs="仿宋_GB2312"/>
              </w:rPr>
              <w:t xml:space="preserve">：拟投入本项目的材料、备品备件、工具和其他设备数量优于采购需求，品类齐全、性能优越，针对性强，利于本项目服务； </w:t>
            </w:r>
          </w:p>
          <w:p w14:paraId="39A0E5C0">
            <w:pPr>
              <w:spacing w:line="44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二档（3分）</w:t>
            </w:r>
            <w:r>
              <w:rPr>
                <w:rFonts w:hint="eastAsia" w:ascii="仿宋_GB2312" w:hAnsi="仿宋_GB2312" w:eastAsia="仿宋_GB2312" w:cs="仿宋_GB2312"/>
              </w:rPr>
              <w:t xml:space="preserve">：拟投入本项目的材料、备品备件、工具和其他设备品类、性能、新旧程度一般，针对性、可操作性较强； </w:t>
            </w:r>
          </w:p>
          <w:p w14:paraId="4E11B64D">
            <w:pPr>
              <w:pStyle w:val="525"/>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bCs/>
              </w:rPr>
              <w:t>三档（1分）</w:t>
            </w:r>
            <w:r>
              <w:rPr>
                <w:rFonts w:hint="eastAsia" w:ascii="仿宋_GB2312" w:hAnsi="仿宋_GB2312" w:eastAsia="仿宋_GB2312" w:cs="仿宋_GB2312"/>
              </w:rPr>
              <w:t>：拟投入本项目的材料、</w:t>
            </w:r>
            <w:r>
              <w:rPr>
                <w:rFonts w:hint="eastAsia" w:ascii="仿宋_GB2312" w:hAnsi="仿宋_GB2312" w:eastAsia="仿宋_GB2312" w:cs="仿宋_GB2312"/>
                <w:szCs w:val="24"/>
              </w:rPr>
              <w:t>备品备件、</w:t>
            </w:r>
            <w:r>
              <w:rPr>
                <w:rFonts w:hint="eastAsia" w:ascii="仿宋_GB2312" w:hAnsi="仿宋_GB2312" w:eastAsia="仿宋_GB2312" w:cs="仿宋_GB2312"/>
              </w:rPr>
              <w:t xml:space="preserve">工具和其他设备品类较少，设备性能一般，设备较陈旧，针对性较弱。 </w:t>
            </w:r>
          </w:p>
          <w:p w14:paraId="4C8B4EDE">
            <w:pPr>
              <w:pStyle w:val="698"/>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注：1.</w:t>
            </w:r>
            <w:r>
              <w:rPr>
                <w:rFonts w:hint="eastAsia" w:ascii="仿宋_GB2312" w:hAnsi="仿宋_GB2312" w:eastAsia="仿宋_GB2312" w:cs="仿宋_GB2312"/>
                <w:b/>
                <w:bCs/>
                <w:lang w:eastAsia="zh-CN"/>
              </w:rPr>
              <w:t>投标人</w:t>
            </w:r>
            <w:r>
              <w:rPr>
                <w:rFonts w:hint="eastAsia" w:ascii="仿宋_GB2312" w:hAnsi="仿宋_GB2312" w:eastAsia="仿宋_GB2312" w:cs="仿宋_GB2312"/>
                <w:b/>
                <w:bCs/>
                <w:color w:val="000000"/>
              </w:rPr>
              <w:t>可以在方案中提供产品说明书、发票等可体现购买日期，产品性能等信息的材料；</w:t>
            </w:r>
          </w:p>
          <w:p w14:paraId="4A60BD76">
            <w:pPr>
              <w:spacing w:line="440" w:lineRule="exact"/>
              <w:ind w:firstLine="422" w:firstLineChars="200"/>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26A1BA0F">
            <w:pPr>
              <w:spacing w:line="440" w:lineRule="exact"/>
              <w:jc w:val="both"/>
              <w:rPr>
                <w:rFonts w:hint="eastAsia" w:ascii="仿宋_GB2312" w:hAnsi="仿宋_GB2312" w:eastAsia="仿宋_GB2312" w:cs="仿宋_GB2312"/>
                <w:b/>
                <w:bCs/>
                <w:color w:val="auto"/>
                <w:highlight w:val="none"/>
                <w:lang w:val="en-US" w:eastAsia="zh-CN"/>
              </w:rPr>
            </w:pPr>
          </w:p>
          <w:p w14:paraId="2EF5BD1F">
            <w:pPr>
              <w:spacing w:line="440" w:lineRule="exact"/>
              <w:jc w:val="center"/>
              <w:rPr>
                <w:rFonts w:hint="eastAsia" w:ascii="仿宋_GB2312" w:hAnsi="仿宋_GB2312" w:eastAsia="仿宋_GB2312" w:cs="仿宋_GB2312"/>
                <w:b/>
                <w:bCs/>
                <w:color w:val="auto"/>
                <w:highlight w:val="none"/>
                <w:lang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07D69BF2">
            <w:pPr>
              <w:spacing w:line="440" w:lineRule="exact"/>
              <w:jc w:val="both"/>
              <w:rPr>
                <w:rFonts w:hint="eastAsia" w:ascii="仿宋_GB2312" w:hAnsi="仿宋_GB2312" w:eastAsia="仿宋_GB2312" w:cs="仿宋_GB2312"/>
                <w:color w:val="auto"/>
                <w:highlight w:val="none"/>
              </w:rPr>
            </w:pPr>
          </w:p>
          <w:p w14:paraId="41BFBCD6">
            <w:pPr>
              <w:spacing w:line="440" w:lineRule="exact"/>
              <w:jc w:val="center"/>
              <w:rPr>
                <w:rFonts w:hint="eastAsia" w:ascii="仿宋_GB2312" w:hAnsi="仿宋_GB2312" w:eastAsia="仿宋_GB2312" w:cs="仿宋_GB2312"/>
                <w:bCs/>
                <w:color w:val="auto"/>
                <w:highlight w:val="none"/>
                <w:lang w:eastAsia="zh-CN"/>
              </w:rPr>
            </w:pPr>
            <w:r>
              <w:rPr>
                <w:rFonts w:hint="eastAsia" w:ascii="仿宋_GB2312" w:hAnsi="仿宋_GB2312" w:eastAsia="仿宋_GB2312" w:cs="仿宋_GB2312"/>
                <w:color w:val="auto"/>
                <w:highlight w:val="none"/>
              </w:rPr>
              <w:t>物资配备</w:t>
            </w:r>
            <w:r>
              <w:rPr>
                <w:rFonts w:hint="eastAsia" w:ascii="仿宋_GB2312" w:hAnsi="仿宋_GB2312" w:eastAsia="仿宋_GB2312" w:cs="仿宋_GB2312"/>
                <w:color w:val="auto"/>
                <w:highlight w:val="none"/>
                <w:lang w:val="en-US" w:eastAsia="zh-CN"/>
              </w:rPr>
              <w:t>方案</w:t>
            </w:r>
          </w:p>
        </w:tc>
      </w:tr>
      <w:tr w14:paraId="11EDB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4" w:type="dxa"/>
            <w:vMerge w:val="continue"/>
            <w:noWrap w:val="0"/>
            <w:vAlign w:val="center"/>
          </w:tcPr>
          <w:p w14:paraId="28335D64">
            <w:pPr>
              <w:spacing w:line="390" w:lineRule="exact"/>
              <w:ind w:right="-168" w:rightChars="-80"/>
              <w:jc w:val="center"/>
              <w:rPr>
                <w:rFonts w:hint="eastAsia" w:ascii="仿宋_GB2312" w:hAnsi="仿宋_GB2312" w:eastAsia="仿宋_GB2312" w:cs="仿宋_GB2312"/>
                <w:b/>
                <w:color w:val="auto"/>
                <w:sz w:val="24"/>
                <w:highlight w:val="none"/>
              </w:rPr>
            </w:pPr>
          </w:p>
        </w:tc>
        <w:tc>
          <w:tcPr>
            <w:tcW w:w="1077" w:type="dxa"/>
            <w:noWrap w:val="0"/>
            <w:vAlign w:val="center"/>
          </w:tcPr>
          <w:p w14:paraId="47858434">
            <w:pPr>
              <w:spacing w:line="360" w:lineRule="exact"/>
              <w:jc w:val="center"/>
              <w:rPr>
                <w:rFonts w:hint="eastAsia"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人员稳定性</w:t>
            </w:r>
            <w:r>
              <w:rPr>
                <w:rFonts w:hint="eastAsia" w:ascii="仿宋_GB2312" w:hAnsi="仿宋_GB2312" w:eastAsia="仿宋_GB2312" w:cs="仿宋_GB2312"/>
                <w:b/>
                <w:bCs/>
                <w:highlight w:val="none"/>
              </w:rPr>
              <w:t>及管理方案</w:t>
            </w:r>
          </w:p>
        </w:tc>
        <w:tc>
          <w:tcPr>
            <w:tcW w:w="5305" w:type="dxa"/>
            <w:noWrap w:val="0"/>
            <w:vAlign w:val="center"/>
          </w:tcPr>
          <w:p w14:paraId="6A350E86">
            <w:pPr>
              <w:pStyle w:val="698"/>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一档（5分）</w:t>
            </w:r>
            <w:r>
              <w:rPr>
                <w:rFonts w:hint="eastAsia" w:ascii="仿宋_GB2312" w:hAnsi="仿宋_GB2312" w:eastAsia="仿宋_GB2312" w:cs="仿宋_GB2312"/>
              </w:rPr>
              <w:t xml:space="preserve">：服务团队组建方案科学合理，切合实际，稳定性、针对性强，方案详细、全面、可行； 各项管理制度完善、详细；人员考核制度与奖惩制度相配，制度能有效激励服务人员积极工作，有人员考勤管理措施等； </w:t>
            </w:r>
          </w:p>
          <w:p w14:paraId="32396232">
            <w:pPr>
              <w:pStyle w:val="525"/>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二档（3分）</w:t>
            </w:r>
            <w:r>
              <w:rPr>
                <w:rFonts w:hint="eastAsia" w:ascii="仿宋_GB2312" w:hAnsi="仿宋_GB2312" w:eastAsia="仿宋_GB2312" w:cs="仿宋_GB2312"/>
              </w:rPr>
              <w:t>：服务团队组建方案具有一定的合理性稳定性、针对性较强，方案较详细、可行；各项管理制度完善、详细、可行；有针对本项目的职前培训方案；</w:t>
            </w:r>
          </w:p>
          <w:p w14:paraId="6311A3B3">
            <w:pPr>
              <w:pStyle w:val="525"/>
              <w:widowControl/>
              <w:spacing w:line="400" w:lineRule="exact"/>
              <w:ind w:firstLine="422" w:firstLineChars="200"/>
              <w:rPr>
                <w:rFonts w:hint="eastAsia" w:ascii="仿宋_GB2312" w:hAnsi="仿宋_GB2312" w:eastAsia="仿宋_GB2312" w:cs="仿宋_GB2312"/>
              </w:rPr>
            </w:pPr>
            <w:r>
              <w:rPr>
                <w:rFonts w:hint="eastAsia" w:ascii="仿宋_GB2312" w:hAnsi="仿宋_GB2312" w:eastAsia="仿宋_GB2312" w:cs="仿宋_GB2312"/>
                <w:b/>
              </w:rPr>
              <w:t>三档（1分）：</w:t>
            </w:r>
            <w:r>
              <w:rPr>
                <w:rFonts w:hint="eastAsia" w:ascii="仿宋_GB2312" w:hAnsi="仿宋_GB2312" w:eastAsia="仿宋_GB2312" w:cs="仿宋_GB2312"/>
              </w:rPr>
              <w:t>服务团队组建方案一般，满足项目服务要求，管理制度内容简单，操作基本可行。</w:t>
            </w:r>
          </w:p>
          <w:p w14:paraId="74D78ABA">
            <w:pPr>
              <w:widowControl/>
              <w:spacing w:line="440" w:lineRule="exact"/>
              <w:ind w:firstLine="422" w:firstLineChars="200"/>
              <w:rPr>
                <w:rFonts w:hint="eastAsia" w:ascii="仿宋_GB2312" w:hAnsi="仿宋_GB2312" w:eastAsia="仿宋_GB2312" w:cs="仿宋_GB2312"/>
                <w:b/>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rPr>
              <w:t>（1）提供服务团队组建方案；（2）人员稳定性方案及承诺；（3）人员考核制度；（4）培训制度；（5）奖惩制度；（6）考勤管理措施。</w:t>
            </w:r>
          </w:p>
          <w:p w14:paraId="1267B512">
            <w:pPr>
              <w:pStyle w:val="525"/>
              <w:spacing w:line="400" w:lineRule="exact"/>
              <w:ind w:firstLine="422" w:firstLineChars="200"/>
              <w:rPr>
                <w:rFonts w:hint="eastAsia" w:ascii="仿宋_GB2312" w:hAnsi="仿宋_GB2312" w:eastAsia="仿宋_GB2312" w:cs="仿宋_GB2312"/>
                <w:color w:val="auto"/>
                <w:szCs w:val="24"/>
                <w:highlight w:val="none"/>
              </w:rPr>
            </w:pPr>
            <w:r>
              <w:rPr>
                <w:rFonts w:hint="eastAsia" w:ascii="仿宋_GB2312" w:hAnsi="仿宋_GB2312" w:eastAsia="仿宋_GB2312" w:cs="仿宋_GB2312"/>
                <w:b/>
                <w:bCs/>
              </w:rPr>
              <w:t>2.未提供方案或提供的内容与本项目无关的得0分。</w:t>
            </w:r>
          </w:p>
        </w:tc>
        <w:tc>
          <w:tcPr>
            <w:tcW w:w="1079" w:type="dxa"/>
            <w:noWrap w:val="0"/>
            <w:vAlign w:val="center"/>
          </w:tcPr>
          <w:p w14:paraId="06E45592">
            <w:pPr>
              <w:spacing w:line="360" w:lineRule="exact"/>
              <w:jc w:val="center"/>
              <w:rPr>
                <w:rFonts w:hint="eastAsia"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w:t>
            </w:r>
          </w:p>
        </w:tc>
        <w:tc>
          <w:tcPr>
            <w:tcW w:w="1263" w:type="dxa"/>
            <w:noWrap w:val="0"/>
            <w:vAlign w:val="center"/>
          </w:tcPr>
          <w:p w14:paraId="0ACAD80A">
            <w:pPr>
              <w:spacing w:line="360" w:lineRule="exact"/>
              <w:jc w:val="center"/>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人员稳定性及管理方案</w:t>
            </w:r>
          </w:p>
        </w:tc>
      </w:tr>
      <w:tr w14:paraId="6C766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306" w:type="dxa"/>
            <w:gridSpan w:val="3"/>
            <w:noWrap w:val="0"/>
            <w:vAlign w:val="top"/>
          </w:tcPr>
          <w:p w14:paraId="5A7FED04">
            <w:pPr>
              <w:pStyle w:val="525"/>
              <w:tabs>
                <w:tab w:val="left" w:pos="312"/>
              </w:tabs>
              <w:spacing w:line="400" w:lineRule="exact"/>
              <w:ind w:firstLine="422" w:firstLineChars="200"/>
              <w:jc w:val="center"/>
              <w:rPr>
                <w:rFonts w:hint="eastAsia" w:ascii="仿宋_GB2312" w:hAnsi="仿宋_GB2312" w:eastAsia="仿宋_GB2312" w:cs="仿宋_GB2312"/>
                <w:b/>
                <w:color w:val="auto"/>
                <w:szCs w:val="24"/>
                <w:highlight w:val="none"/>
              </w:rPr>
            </w:pPr>
            <w:r>
              <w:rPr>
                <w:rFonts w:hint="eastAsia" w:ascii="仿宋_GB2312" w:hAnsi="仿宋_GB2312" w:eastAsia="仿宋_GB2312" w:cs="仿宋_GB2312"/>
                <w:b/>
                <w:color w:val="auto"/>
                <w:szCs w:val="24"/>
                <w:highlight w:val="none"/>
              </w:rPr>
              <w:t>主观分总分</w:t>
            </w:r>
          </w:p>
        </w:tc>
        <w:tc>
          <w:tcPr>
            <w:tcW w:w="1079" w:type="dxa"/>
            <w:noWrap w:val="0"/>
            <w:vAlign w:val="center"/>
          </w:tcPr>
          <w:p w14:paraId="4BFC7510">
            <w:pPr>
              <w:spacing w:line="360" w:lineRule="exact"/>
              <w:jc w:val="center"/>
              <w:rPr>
                <w:rFonts w:hint="default" w:ascii="仿宋_GB2312" w:hAnsi="仿宋_GB2312" w:eastAsia="仿宋_GB2312" w:cs="仿宋_GB2312"/>
                <w:b/>
                <w:bCs/>
                <w:color w:val="auto"/>
                <w:highlight w:val="none"/>
                <w:lang w:val="en-US" w:eastAsia="zh-CN"/>
              </w:rPr>
            </w:pPr>
            <w:r>
              <w:rPr>
                <w:rFonts w:hint="eastAsia" w:ascii="仿宋_GB2312" w:hAnsi="仿宋_GB2312" w:eastAsia="仿宋_GB2312" w:cs="仿宋_GB2312"/>
                <w:b/>
                <w:bCs/>
                <w:color w:val="auto"/>
                <w:highlight w:val="none"/>
                <w:lang w:val="en-US" w:eastAsia="zh-CN"/>
              </w:rPr>
              <w:t>59</w:t>
            </w:r>
          </w:p>
        </w:tc>
        <w:tc>
          <w:tcPr>
            <w:tcW w:w="1263" w:type="dxa"/>
            <w:noWrap w:val="0"/>
            <w:vAlign w:val="center"/>
          </w:tcPr>
          <w:p w14:paraId="5D50229B">
            <w:pPr>
              <w:spacing w:line="360" w:lineRule="exact"/>
              <w:jc w:val="center"/>
              <w:rPr>
                <w:rFonts w:hint="eastAsia" w:ascii="仿宋_GB2312" w:hAnsi="仿宋_GB2312" w:eastAsia="仿宋_GB2312" w:cs="仿宋_GB2312"/>
                <w:color w:val="auto"/>
                <w:highlight w:val="none"/>
              </w:rPr>
            </w:pPr>
          </w:p>
        </w:tc>
      </w:tr>
    </w:tbl>
    <w:p w14:paraId="46E9159B">
      <w:pPr>
        <w:widowControl/>
        <w:adjustRightInd w:val="0"/>
        <w:spacing w:line="440" w:lineRule="exact"/>
        <w:ind w:right="-1" w:firstLine="141" w:firstLineChars="59"/>
        <w:textAlignment w:val="baseline"/>
        <w:rPr>
          <w:rFonts w:ascii="仿宋_GB2312" w:eastAsia="仿宋_GB2312"/>
          <w:bCs/>
          <w:sz w:val="24"/>
        </w:rPr>
      </w:pPr>
    </w:p>
    <w:p w14:paraId="327462F6">
      <w:pPr>
        <w:spacing w:line="390" w:lineRule="exact"/>
        <w:ind w:right="-168" w:rightChars="-80" w:firstLine="236" w:firstLineChars="98"/>
        <w:rPr>
          <w:rFonts w:ascii="仿宋_GB2312" w:eastAsia="仿宋_GB2312"/>
          <w:b/>
          <w:sz w:val="24"/>
        </w:rPr>
      </w:pPr>
      <w:r>
        <w:rPr>
          <w:rFonts w:hint="eastAsia" w:ascii="仿宋_GB2312" w:eastAsia="仿宋_GB2312"/>
          <w:b/>
          <w:sz w:val="24"/>
        </w:rPr>
        <w:t>（三）总得分=客观分+主观分</w:t>
      </w:r>
    </w:p>
    <w:p w14:paraId="2C6DFE17">
      <w:pPr>
        <w:adjustRightInd w:val="0"/>
        <w:spacing w:line="400" w:lineRule="exact"/>
        <w:ind w:firstLine="482" w:firstLineChars="200"/>
        <w:jc w:val="left"/>
        <w:textAlignment w:val="baseline"/>
        <w:rPr>
          <w:rFonts w:ascii="仿宋_GB2312" w:hAnsi="宋体" w:eastAsia="仿宋_GB2312"/>
          <w:b/>
          <w:kern w:val="0"/>
          <w:sz w:val="24"/>
        </w:rPr>
      </w:pPr>
      <w:bookmarkStart w:id="69" w:name="gxebd_pack_1_EvalFactorScoreEnd"/>
      <w:bookmarkEnd w:id="69"/>
      <w:r>
        <w:rPr>
          <w:rFonts w:hint="eastAsia" w:ascii="仿宋_GB2312" w:hAnsi="宋体" w:eastAsia="仿宋_GB2312"/>
          <w:b/>
          <w:kern w:val="0"/>
          <w:sz w:val="24"/>
        </w:rPr>
        <w:t>三、中标标准及中标候选人推荐原则</w:t>
      </w:r>
    </w:p>
    <w:p w14:paraId="501FDAB3">
      <w:pPr>
        <w:adjustRightInd w:val="0"/>
        <w:spacing w:line="400" w:lineRule="exact"/>
        <w:ind w:firstLine="482" w:firstLineChars="200"/>
        <w:jc w:val="left"/>
        <w:textAlignment w:val="baseline"/>
        <w:rPr>
          <w:rFonts w:ascii="仿宋_GB2312" w:hAnsi="宋体" w:eastAsia="仿宋_GB2312"/>
          <w:b/>
          <w:kern w:val="0"/>
          <w:sz w:val="24"/>
        </w:rPr>
      </w:pPr>
      <w:r>
        <w:rPr>
          <w:rFonts w:hint="eastAsia" w:ascii="仿宋_GB2312" w:hAnsi="宋体" w:eastAsia="仿宋_GB2312"/>
          <w:b/>
          <w:kern w:val="0"/>
          <w:sz w:val="24"/>
        </w:rPr>
        <w:t>评标委员会将根据综合得分由高到低排列次序（得分相同时，以投标报价由低到高顺序排列；得分相同且投标报价相同的，按技术指标优劣顺序排列）并推荐综合得分前三名为中标候选人。采购人应当确定评审委员会推荐排名第一的中标候选人为中标人。排名第一的中标候选人放弃中标、因不可抗力提出不能履行合同的，采购人或采购代理机构应将该情况报政府采购监督管理部门，从合格的中标候选人中另行确定中标人或重新开展政府采购活动。</w:t>
      </w:r>
    </w:p>
    <w:p w14:paraId="153BE068">
      <w:pPr>
        <w:adjustRightInd w:val="0"/>
        <w:spacing w:line="400" w:lineRule="exact"/>
        <w:ind w:firstLine="482" w:firstLineChars="200"/>
        <w:jc w:val="left"/>
        <w:textAlignment w:val="baseline"/>
        <w:rPr>
          <w:rFonts w:hint="eastAsia" w:ascii="仿宋_GB2312" w:hAnsi="宋体" w:eastAsia="仿宋_GB2312"/>
          <w:b/>
          <w:kern w:val="0"/>
          <w:sz w:val="24"/>
        </w:rPr>
        <w:sectPr>
          <w:pgSz w:w="11906" w:h="16838"/>
          <w:pgMar w:top="1440" w:right="566" w:bottom="1440" w:left="851" w:header="851" w:footer="992" w:gutter="0"/>
          <w:cols w:space="720" w:num="1"/>
          <w:docGrid w:linePitch="312" w:charSpace="0"/>
        </w:sectPr>
      </w:pPr>
      <w:r>
        <w:rPr>
          <w:rFonts w:hint="eastAsia" w:ascii="仿宋_GB2312" w:hAnsi="宋体" w:eastAsia="仿宋_GB2312"/>
          <w:b/>
          <w:kern w:val="0"/>
          <w:sz w:val="24"/>
        </w:rPr>
        <w:t>在中标通知书发出前，采购人或采购代理机构应当对中标人信用进行查询，并按照信用信息使用规则处理。当中标人属于信用信息使用规则中应被拒绝参与政府采购活动的情形时，采购人或采购代理机构应将该情况报政府采购监督管理部门，从合格的中标候选人中另行确定中标人或重新开展政府采购活动。</w:t>
      </w:r>
    </w:p>
    <w:p w14:paraId="0CB37A76">
      <w:pPr>
        <w:rPr>
          <w:b/>
          <w:sz w:val="24"/>
        </w:rPr>
      </w:pPr>
    </w:p>
    <w:p w14:paraId="4302204A">
      <w:pPr>
        <w:rPr>
          <w:b/>
          <w:sz w:val="24"/>
        </w:rPr>
      </w:pPr>
    </w:p>
    <w:p w14:paraId="1D61A2AB">
      <w:pPr>
        <w:rPr>
          <w:b/>
          <w:sz w:val="24"/>
        </w:rPr>
      </w:pPr>
    </w:p>
    <w:p w14:paraId="32B42E3C">
      <w:pPr>
        <w:rPr>
          <w:b/>
          <w:sz w:val="24"/>
        </w:rPr>
      </w:pPr>
    </w:p>
    <w:p w14:paraId="29780230">
      <w:pPr>
        <w:rPr>
          <w:b/>
          <w:sz w:val="24"/>
        </w:rPr>
      </w:pPr>
    </w:p>
    <w:p w14:paraId="6FF47AFA">
      <w:pPr>
        <w:rPr>
          <w:b/>
          <w:sz w:val="24"/>
        </w:rPr>
      </w:pPr>
    </w:p>
    <w:p w14:paraId="77AED2D3">
      <w:pPr>
        <w:rPr>
          <w:b/>
          <w:sz w:val="24"/>
        </w:rPr>
      </w:pPr>
    </w:p>
    <w:p w14:paraId="4808E679">
      <w:pPr>
        <w:rPr>
          <w:b/>
          <w:sz w:val="24"/>
        </w:rPr>
      </w:pPr>
    </w:p>
    <w:p w14:paraId="3D37FBBD">
      <w:pPr>
        <w:rPr>
          <w:b/>
          <w:sz w:val="24"/>
        </w:rPr>
      </w:pPr>
    </w:p>
    <w:p w14:paraId="2878B877">
      <w:pPr>
        <w:rPr>
          <w:b/>
          <w:sz w:val="24"/>
        </w:rPr>
      </w:pPr>
    </w:p>
    <w:p w14:paraId="39EE405C">
      <w:pPr>
        <w:rPr>
          <w:b/>
          <w:sz w:val="24"/>
        </w:rPr>
      </w:pPr>
    </w:p>
    <w:p w14:paraId="0EF079AD">
      <w:pPr>
        <w:rPr>
          <w:b/>
          <w:sz w:val="24"/>
        </w:rPr>
      </w:pPr>
    </w:p>
    <w:p w14:paraId="1F51B4E4">
      <w:pPr>
        <w:rPr>
          <w:b/>
          <w:sz w:val="24"/>
        </w:rPr>
      </w:pPr>
    </w:p>
    <w:p w14:paraId="52D0D0F5">
      <w:pPr>
        <w:rPr>
          <w:b/>
          <w:sz w:val="24"/>
        </w:rPr>
      </w:pPr>
    </w:p>
    <w:p w14:paraId="6B3D9184">
      <w:pPr>
        <w:rPr>
          <w:b/>
          <w:sz w:val="24"/>
        </w:rPr>
      </w:pPr>
    </w:p>
    <w:p w14:paraId="1ADCB758">
      <w:pPr>
        <w:rPr>
          <w:b/>
          <w:sz w:val="24"/>
        </w:rPr>
      </w:pPr>
    </w:p>
    <w:p w14:paraId="26BBB98A">
      <w:pPr>
        <w:rPr>
          <w:b/>
          <w:sz w:val="24"/>
        </w:rPr>
      </w:pPr>
    </w:p>
    <w:p w14:paraId="3F2A513B">
      <w:pPr>
        <w:rPr>
          <w:b/>
          <w:sz w:val="24"/>
        </w:rPr>
      </w:pPr>
    </w:p>
    <w:p w14:paraId="069A892D">
      <w:pPr>
        <w:rPr>
          <w:b/>
          <w:sz w:val="24"/>
        </w:rPr>
      </w:pPr>
    </w:p>
    <w:p w14:paraId="7218AF05">
      <w:pPr>
        <w:rPr>
          <w:b/>
          <w:sz w:val="24"/>
        </w:rPr>
      </w:pPr>
    </w:p>
    <w:p w14:paraId="79C0557B">
      <w:pPr>
        <w:pStyle w:val="4"/>
        <w:jc w:val="center"/>
        <w:rPr>
          <w:rFonts w:ascii="仿宋_GB2312" w:eastAsia="仿宋_GB2312"/>
          <w:b w:val="0"/>
          <w:bCs w:val="0"/>
          <w:sz w:val="32"/>
          <w:szCs w:val="32"/>
        </w:rPr>
      </w:pPr>
      <w:bookmarkStart w:id="70" w:name="_Toc497578453"/>
      <w:bookmarkStart w:id="71" w:name="_Toc21458"/>
      <w:r>
        <w:rPr>
          <w:rFonts w:hint="eastAsia"/>
          <w:sz w:val="30"/>
          <w:szCs w:val="30"/>
        </w:rPr>
        <w:t>第五章 合同主要条款格式及广西壮族自治区政府采购项目合同验收书格式</w:t>
      </w:r>
      <w:bookmarkEnd w:id="70"/>
      <w:bookmarkEnd w:id="71"/>
    </w:p>
    <w:p w14:paraId="6DCEDAAB">
      <w:pPr>
        <w:snapToGrid w:val="0"/>
        <w:jc w:val="center"/>
        <w:rPr>
          <w:rFonts w:hint="eastAsia" w:ascii="仿宋_GB2312" w:hAnsi="华文中宋" w:eastAsia="仿宋_GB2312"/>
          <w:bCs/>
          <w:sz w:val="32"/>
          <w:szCs w:val="32"/>
        </w:rPr>
      </w:pPr>
    </w:p>
    <w:p w14:paraId="3CA89831">
      <w:pPr>
        <w:snapToGrid w:val="0"/>
        <w:jc w:val="center"/>
        <w:rPr>
          <w:rFonts w:hint="eastAsia" w:ascii="仿宋_GB2312" w:hAnsi="华文中宋" w:eastAsia="仿宋_GB2312"/>
          <w:bCs/>
          <w:sz w:val="32"/>
          <w:szCs w:val="32"/>
        </w:rPr>
      </w:pPr>
    </w:p>
    <w:p w14:paraId="04AF493D">
      <w:pPr>
        <w:snapToGrid w:val="0"/>
        <w:jc w:val="center"/>
        <w:rPr>
          <w:rFonts w:hint="eastAsia" w:ascii="仿宋_GB2312" w:hAnsi="华文中宋" w:eastAsia="仿宋_GB2312"/>
          <w:bCs/>
          <w:sz w:val="32"/>
          <w:szCs w:val="32"/>
        </w:rPr>
      </w:pPr>
    </w:p>
    <w:p w14:paraId="3E87C10D">
      <w:pPr>
        <w:snapToGrid w:val="0"/>
        <w:jc w:val="center"/>
        <w:rPr>
          <w:rFonts w:hint="eastAsia" w:ascii="仿宋_GB2312" w:hAnsi="华文中宋" w:eastAsia="仿宋_GB2312"/>
          <w:bCs/>
          <w:sz w:val="32"/>
          <w:szCs w:val="32"/>
        </w:rPr>
      </w:pPr>
    </w:p>
    <w:p w14:paraId="5113284A">
      <w:pPr>
        <w:snapToGrid w:val="0"/>
        <w:jc w:val="center"/>
        <w:rPr>
          <w:rFonts w:hint="eastAsia" w:ascii="仿宋_GB2312" w:hAnsi="华文中宋" w:eastAsia="仿宋_GB2312"/>
          <w:bCs/>
          <w:sz w:val="32"/>
          <w:szCs w:val="32"/>
        </w:rPr>
      </w:pPr>
    </w:p>
    <w:p w14:paraId="4C93F4A7">
      <w:pPr>
        <w:snapToGrid w:val="0"/>
        <w:jc w:val="center"/>
        <w:rPr>
          <w:rFonts w:hint="eastAsia" w:ascii="仿宋_GB2312" w:hAnsi="华文中宋" w:eastAsia="仿宋_GB2312"/>
          <w:bCs/>
          <w:sz w:val="32"/>
          <w:szCs w:val="32"/>
        </w:rPr>
      </w:pPr>
    </w:p>
    <w:p w14:paraId="3018639D">
      <w:pPr>
        <w:snapToGrid w:val="0"/>
        <w:jc w:val="center"/>
        <w:rPr>
          <w:rFonts w:hint="eastAsia" w:ascii="仿宋_GB2312" w:hAnsi="华文中宋" w:eastAsia="仿宋_GB2312"/>
          <w:bCs/>
          <w:sz w:val="32"/>
          <w:szCs w:val="32"/>
        </w:rPr>
      </w:pPr>
    </w:p>
    <w:p w14:paraId="59CF40B9">
      <w:pPr>
        <w:snapToGrid w:val="0"/>
        <w:rPr>
          <w:rFonts w:hint="eastAsia" w:ascii="仿宋_GB2312" w:hAnsi="华文中宋" w:eastAsia="仿宋_GB2312"/>
          <w:bCs/>
          <w:sz w:val="32"/>
          <w:szCs w:val="32"/>
        </w:rPr>
      </w:pPr>
    </w:p>
    <w:p w14:paraId="7DD03D38">
      <w:pPr>
        <w:snapToGrid w:val="0"/>
        <w:rPr>
          <w:rFonts w:hint="eastAsia" w:ascii="仿宋_GB2312" w:hAnsi="华文中宋" w:eastAsia="仿宋_GB2312"/>
          <w:bCs/>
          <w:sz w:val="32"/>
          <w:szCs w:val="32"/>
        </w:rPr>
      </w:pPr>
    </w:p>
    <w:p w14:paraId="6205139B">
      <w:pPr>
        <w:snapToGrid w:val="0"/>
        <w:jc w:val="left"/>
        <w:rPr>
          <w:rFonts w:ascii="仿宋_GB2312" w:eastAsia="仿宋_GB2312"/>
          <w:b/>
          <w:sz w:val="24"/>
        </w:rPr>
      </w:pPr>
      <w:r>
        <w:rPr>
          <w:rFonts w:hint="eastAsia" w:ascii="仿宋_GB2312" w:eastAsia="仿宋_GB2312"/>
          <w:b/>
          <w:sz w:val="24"/>
        </w:rPr>
        <w:br w:type="page"/>
      </w:r>
      <w:r>
        <w:rPr>
          <w:rFonts w:hint="eastAsia" w:ascii="仿宋_GB2312" w:hAnsi="华文中宋" w:eastAsia="仿宋_GB2312"/>
          <w:bCs/>
          <w:sz w:val="32"/>
          <w:szCs w:val="32"/>
        </w:rPr>
        <w:t xml:space="preserve">  </w:t>
      </w: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》等法律、法规规定，按照招标文件规定条款和中标人投标文件及其承诺，甲乙双方签订本合同。</w:t>
      </w:r>
    </w:p>
    <w:p w14:paraId="0A220E7C">
      <w:pPr>
        <w:snapToGrid w:val="0"/>
        <w:ind w:firstLine="482" w:firstLineChars="200"/>
        <w:jc w:val="left"/>
        <w:rPr>
          <w:rFonts w:ascii="仿宋_GB2312" w:eastAsia="仿宋_GB2312"/>
          <w:b/>
          <w:sz w:val="24"/>
        </w:rPr>
      </w:pPr>
      <w:r>
        <w:rPr>
          <w:rFonts w:hint="eastAsia" w:ascii="仿宋_GB2312" w:eastAsia="仿宋_GB2312"/>
          <w:b/>
          <w:sz w:val="24"/>
        </w:rPr>
        <w:t>2.本合同</w:t>
      </w:r>
      <w:bookmarkStart w:id="72" w:name="_Hlk102729543"/>
      <w:r>
        <w:rPr>
          <w:rFonts w:ascii="仿宋_GB2312" w:eastAsia="仿宋_GB2312"/>
          <w:b/>
          <w:sz w:val="24"/>
        </w:rPr>
        <w:t>为中小</w:t>
      </w:r>
      <w:r>
        <w:rPr>
          <w:rFonts w:ascii="仿宋_GB2312" w:eastAsia="仿宋_GB2312"/>
          <w:b/>
          <w:color w:val="000000"/>
          <w:sz w:val="24"/>
        </w:rPr>
        <w:t>企业</w:t>
      </w:r>
      <w:bookmarkEnd w:id="72"/>
      <w:r>
        <w:rPr>
          <w:rFonts w:hint="eastAsia" w:ascii="仿宋_GB2312" w:eastAsia="仿宋_GB2312"/>
          <w:b/>
          <w:color w:val="000000"/>
          <w:sz w:val="24"/>
        </w:rPr>
        <w:t>预留合同</w:t>
      </w:r>
      <w:r>
        <w:rPr>
          <w:rFonts w:hint="eastAsia" w:ascii="仿宋_GB2312" w:eastAsia="仿宋_GB2312"/>
          <w:b/>
          <w:sz w:val="24"/>
        </w:rPr>
        <w:t>。</w:t>
      </w:r>
    </w:p>
    <w:p w14:paraId="1EECB858">
      <w:pPr>
        <w:pStyle w:val="26"/>
        <w:spacing w:line="400" w:lineRule="exact"/>
        <w:jc w:val="left"/>
        <w:rPr>
          <w:b/>
          <w:sz w:val="32"/>
        </w:rPr>
      </w:pPr>
    </w:p>
    <w:p w14:paraId="179D4491">
      <w:pPr>
        <w:spacing w:line="400" w:lineRule="exact"/>
        <w:jc w:val="center"/>
        <w:rPr>
          <w:rFonts w:cs="Courier New"/>
          <w:b/>
          <w:bCs/>
          <w:sz w:val="32"/>
          <w:szCs w:val="32"/>
        </w:rPr>
      </w:pPr>
      <w:r>
        <w:rPr>
          <w:rFonts w:hint="eastAsia" w:hAnsi="Courier New" w:cs="Courier New"/>
          <w:b/>
          <w:sz w:val="32"/>
          <w:szCs w:val="21"/>
        </w:rPr>
        <w:t xml:space="preserve">合同书 </w:t>
      </w:r>
    </w:p>
    <w:p w14:paraId="445C7C43">
      <w:pPr>
        <w:snapToGrid w:val="0"/>
        <w:spacing w:line="400" w:lineRule="exact"/>
        <w:ind w:right="480" w:firstLine="6600" w:firstLineChars="2750"/>
        <w:rPr>
          <w:rFonts w:ascii="仿宋_GB2312" w:eastAsia="仿宋_GB2312"/>
          <w:bCs/>
          <w:sz w:val="24"/>
          <w:u w:val="single"/>
        </w:rPr>
      </w:pPr>
      <w:r>
        <w:rPr>
          <w:rFonts w:hint="eastAsia" w:ascii="仿宋_GB2312" w:eastAsia="仿宋_GB2312"/>
          <w:bCs/>
          <w:sz w:val="24"/>
        </w:rPr>
        <w:t>合同编号：XXXX</w:t>
      </w:r>
    </w:p>
    <w:p w14:paraId="78FFFE2E">
      <w:pPr>
        <w:snapToGrid w:val="0"/>
        <w:spacing w:line="400" w:lineRule="exact"/>
        <w:rPr>
          <w:rFonts w:ascii="仿宋_GB2312" w:eastAsia="仿宋_GB2312"/>
          <w:sz w:val="24"/>
          <w:u w:val="single"/>
        </w:rPr>
      </w:pPr>
      <w:r>
        <w:rPr>
          <w:rFonts w:hint="eastAsia" w:ascii="仿宋_GB2312" w:eastAsia="仿宋_GB2312"/>
          <w:sz w:val="24"/>
        </w:rPr>
        <w:t>采购单位（甲方）</w:t>
      </w:r>
      <w:r>
        <w:rPr>
          <w:rFonts w:hint="eastAsia" w:ascii="仿宋_GB2312" w:eastAsia="仿宋_GB2312"/>
          <w:sz w:val="24"/>
          <w:u w:val="single"/>
        </w:rPr>
        <w:t xml:space="preserve">                          </w:t>
      </w:r>
      <w:r>
        <w:rPr>
          <w:rFonts w:hint="eastAsia" w:ascii="仿宋_GB2312" w:eastAsia="仿宋_GB2312"/>
          <w:sz w:val="24"/>
        </w:rPr>
        <w:t xml:space="preserve">  </w:t>
      </w:r>
      <w:r>
        <w:rPr>
          <w:rFonts w:hint="eastAsia" w:ascii="仿宋_GB2312" w:eastAsia="仿宋_GB2312"/>
          <w:spacing w:val="-20"/>
          <w:sz w:val="24"/>
        </w:rPr>
        <w:t>采 购 计 划 表 编 号：</w:t>
      </w:r>
      <w:r>
        <w:rPr>
          <w:rFonts w:hint="eastAsia" w:ascii="仿宋_GB2312" w:eastAsia="仿宋_GB2312"/>
          <w:sz w:val="24"/>
          <w:u w:val="single"/>
        </w:rPr>
        <w:t xml:space="preserve">             </w:t>
      </w:r>
    </w:p>
    <w:p w14:paraId="29135E97">
      <w:pPr>
        <w:snapToGrid w:val="0"/>
        <w:spacing w:line="400" w:lineRule="exact"/>
        <w:rPr>
          <w:rFonts w:ascii="仿宋_GB2312" w:eastAsia="仿宋_GB2312"/>
          <w:spacing w:val="-20"/>
          <w:sz w:val="24"/>
        </w:rPr>
      </w:pPr>
      <w:r>
        <w:rPr>
          <w:rFonts w:hint="eastAsia" w:ascii="仿宋_GB2312" w:eastAsia="仿宋_GB2312"/>
          <w:sz w:val="24"/>
        </w:rPr>
        <w:t>供 应 商（乙方）</w:t>
      </w:r>
      <w:r>
        <w:rPr>
          <w:rFonts w:hint="eastAsia" w:ascii="仿宋_GB2312" w:eastAsia="仿宋_GB2312"/>
          <w:sz w:val="24"/>
          <w:u w:val="single"/>
        </w:rPr>
        <w:t xml:space="preserve">                          </w:t>
      </w:r>
      <w:r>
        <w:rPr>
          <w:rFonts w:hint="eastAsia" w:ascii="仿宋_GB2312" w:eastAsia="仿宋_GB2312"/>
          <w:sz w:val="24"/>
        </w:rPr>
        <w:t xml:space="preserve">  </w:t>
      </w:r>
    </w:p>
    <w:p w14:paraId="4B59ACF8">
      <w:pPr>
        <w:snapToGrid w:val="0"/>
        <w:spacing w:line="400" w:lineRule="exact"/>
        <w:rPr>
          <w:rFonts w:ascii="仿宋_GB2312" w:eastAsia="仿宋_GB2312"/>
          <w:sz w:val="24"/>
          <w:u w:val="single"/>
        </w:rPr>
      </w:pPr>
      <w:r>
        <w:rPr>
          <w:rFonts w:hint="eastAsia" w:ascii="仿宋_GB2312" w:eastAsia="仿宋_GB2312"/>
          <w:sz w:val="24"/>
        </w:rPr>
        <w:t>项目名称及编号：</w:t>
      </w:r>
      <w:r>
        <w:rPr>
          <w:rFonts w:hint="eastAsia" w:ascii="仿宋_GB2312" w:eastAsia="仿宋_GB2312"/>
          <w:sz w:val="24"/>
          <w:u w:val="single"/>
        </w:rPr>
        <w:t xml:space="preserve">                          </w:t>
      </w:r>
      <w:r>
        <w:rPr>
          <w:rFonts w:hint="eastAsia" w:ascii="仿宋_GB2312" w:eastAsia="仿宋_GB2312"/>
          <w:sz w:val="24"/>
        </w:rPr>
        <w:t xml:space="preserve">    </w:t>
      </w:r>
    </w:p>
    <w:p w14:paraId="55A98A73">
      <w:pPr>
        <w:snapToGrid w:val="0"/>
        <w:spacing w:line="400" w:lineRule="exact"/>
        <w:rPr>
          <w:rFonts w:ascii="仿宋_GB2312" w:eastAsia="仿宋_GB2312"/>
          <w:sz w:val="24"/>
          <w:u w:val="single"/>
        </w:rPr>
      </w:pPr>
      <w:r>
        <w:rPr>
          <w:rFonts w:hint="eastAsia" w:ascii="仿宋_GB2312" w:eastAsia="仿宋_GB2312"/>
          <w:sz w:val="24"/>
        </w:rPr>
        <w:t>签  订  地  点：</w:t>
      </w:r>
      <w:r>
        <w:rPr>
          <w:rFonts w:hint="eastAsia" w:ascii="仿宋_GB2312" w:eastAsia="仿宋_GB2312"/>
          <w:sz w:val="24"/>
          <w:u w:val="single"/>
        </w:rPr>
        <w:t xml:space="preserve">                          </w:t>
      </w:r>
      <w:r>
        <w:rPr>
          <w:rFonts w:hint="eastAsia" w:ascii="仿宋_GB2312" w:eastAsia="仿宋_GB2312"/>
          <w:sz w:val="24"/>
        </w:rPr>
        <w:t xml:space="preserve">  签 订 时 间：</w:t>
      </w:r>
      <w:r>
        <w:rPr>
          <w:rFonts w:hint="eastAsia" w:ascii="仿宋_GB2312" w:eastAsia="仿宋_GB2312"/>
          <w:sz w:val="24"/>
          <w:u w:val="single"/>
        </w:rPr>
        <w:t xml:space="preserve">     年    月   日   </w:t>
      </w:r>
    </w:p>
    <w:p w14:paraId="1BAD2D9A">
      <w:pPr>
        <w:spacing w:line="400" w:lineRule="exact"/>
        <w:ind w:firstLine="480" w:firstLineChars="200"/>
        <w:jc w:val="left"/>
        <w:rPr>
          <w:rFonts w:ascii="仿宋_GB2312" w:eastAsia="仿宋_GB2312"/>
          <w:sz w:val="24"/>
        </w:rPr>
      </w:pPr>
      <w:r>
        <w:rPr>
          <w:rFonts w:hint="eastAsia" w:ascii="仿宋_GB2312" w:eastAsia="仿宋_GB2312"/>
          <w:sz w:val="24"/>
        </w:rPr>
        <w:t>根据《中华人民共和国政府采购法》、《中华人民共和国民法典》等法律、法规规定，按照招投标文件规定条款和中标供应商承诺，就甲方委托乙方提供</w:t>
      </w:r>
      <w:r>
        <w:rPr>
          <w:rFonts w:ascii="仿宋_GB2312" w:hAnsi="宋体" w:eastAsia="仿宋_GB2312"/>
          <w:sz w:val="24"/>
          <w:u w:val="single"/>
        </w:rPr>
        <w:t>办公区高低压配电系统维保服务采购</w:t>
      </w:r>
      <w:r>
        <w:rPr>
          <w:rFonts w:hint="eastAsia" w:ascii="仿宋_GB2312" w:eastAsia="仿宋_GB2312"/>
          <w:sz w:val="24"/>
        </w:rPr>
        <w:t>之相关事宜，达成以下协议，并承诺共同遵守。</w:t>
      </w:r>
    </w:p>
    <w:p w14:paraId="2EEA37B9">
      <w:pPr>
        <w:numPr>
          <w:ilvl w:val="0"/>
          <w:numId w:val="4"/>
        </w:numPr>
        <w:adjustRightInd w:val="0"/>
        <w:spacing w:line="400" w:lineRule="exact"/>
        <w:jc w:val="left"/>
        <w:textAlignment w:val="baseline"/>
        <w:rPr>
          <w:rFonts w:ascii="仿宋_GB2312" w:eastAsia="仿宋_GB2312"/>
          <w:b/>
          <w:sz w:val="24"/>
        </w:rPr>
      </w:pPr>
      <w:r>
        <w:rPr>
          <w:rFonts w:hint="eastAsia" w:ascii="仿宋_GB2312"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207"/>
      </w:tblGrid>
      <w:tr w14:paraId="3C56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noWrap w:val="0"/>
            <w:vAlign w:val="center"/>
          </w:tcPr>
          <w:p w14:paraId="0D7FFA2A">
            <w:pPr>
              <w:snapToGrid w:val="0"/>
              <w:spacing w:line="400" w:lineRule="exact"/>
              <w:jc w:val="center"/>
              <w:rPr>
                <w:rFonts w:ascii="仿宋_GB2312" w:eastAsia="仿宋_GB2312"/>
                <w:sz w:val="24"/>
              </w:rPr>
            </w:pPr>
            <w:r>
              <w:rPr>
                <w:rFonts w:hint="eastAsia" w:ascii="仿宋_GB2312" w:eastAsia="仿宋_GB2312"/>
                <w:sz w:val="24"/>
              </w:rPr>
              <w:t>序号</w:t>
            </w:r>
          </w:p>
        </w:tc>
        <w:tc>
          <w:tcPr>
            <w:tcW w:w="1201" w:type="dxa"/>
            <w:noWrap w:val="0"/>
            <w:vAlign w:val="center"/>
          </w:tcPr>
          <w:p w14:paraId="72766D25">
            <w:pPr>
              <w:snapToGrid w:val="0"/>
              <w:spacing w:line="400" w:lineRule="exact"/>
              <w:jc w:val="center"/>
              <w:rPr>
                <w:rFonts w:ascii="仿宋_GB2312" w:eastAsia="仿宋_GB2312"/>
                <w:sz w:val="24"/>
              </w:rPr>
            </w:pPr>
            <w:r>
              <w:rPr>
                <w:rFonts w:hint="eastAsia" w:ascii="仿宋_GB2312" w:eastAsia="仿宋_GB2312"/>
                <w:sz w:val="24"/>
              </w:rPr>
              <w:t>服务名称</w:t>
            </w:r>
          </w:p>
        </w:tc>
        <w:tc>
          <w:tcPr>
            <w:tcW w:w="3803" w:type="dxa"/>
            <w:noWrap w:val="0"/>
            <w:vAlign w:val="center"/>
          </w:tcPr>
          <w:p w14:paraId="5961ACE3">
            <w:pPr>
              <w:snapToGrid w:val="0"/>
              <w:spacing w:line="400" w:lineRule="exact"/>
              <w:jc w:val="center"/>
              <w:rPr>
                <w:rFonts w:ascii="仿宋_GB2312" w:eastAsia="仿宋_GB2312"/>
                <w:sz w:val="24"/>
              </w:rPr>
            </w:pPr>
            <w:r>
              <w:rPr>
                <w:rFonts w:hint="eastAsia" w:ascii="仿宋_GB2312" w:eastAsia="仿宋_GB2312"/>
                <w:sz w:val="24"/>
              </w:rPr>
              <w:t>服务内容</w:t>
            </w:r>
          </w:p>
        </w:tc>
        <w:tc>
          <w:tcPr>
            <w:tcW w:w="589" w:type="dxa"/>
            <w:noWrap w:val="0"/>
            <w:vAlign w:val="center"/>
          </w:tcPr>
          <w:p w14:paraId="46D70C05">
            <w:pPr>
              <w:snapToGrid w:val="0"/>
              <w:spacing w:line="400" w:lineRule="exact"/>
              <w:jc w:val="center"/>
              <w:rPr>
                <w:rFonts w:ascii="仿宋_GB2312" w:eastAsia="仿宋_GB2312"/>
                <w:sz w:val="24"/>
              </w:rPr>
            </w:pPr>
            <w:r>
              <w:rPr>
                <w:rFonts w:hint="eastAsia" w:ascii="仿宋_GB2312" w:eastAsia="仿宋_GB2312"/>
                <w:sz w:val="24"/>
              </w:rPr>
              <w:t>数量</w:t>
            </w:r>
          </w:p>
        </w:tc>
        <w:tc>
          <w:tcPr>
            <w:tcW w:w="648" w:type="dxa"/>
            <w:noWrap w:val="0"/>
            <w:vAlign w:val="center"/>
          </w:tcPr>
          <w:p w14:paraId="4DBA899F">
            <w:pPr>
              <w:snapToGrid w:val="0"/>
              <w:spacing w:line="400" w:lineRule="exact"/>
              <w:jc w:val="center"/>
              <w:rPr>
                <w:rFonts w:ascii="仿宋_GB2312" w:eastAsia="仿宋_GB2312"/>
                <w:sz w:val="24"/>
              </w:rPr>
            </w:pPr>
            <w:r>
              <w:rPr>
                <w:rFonts w:hint="eastAsia" w:ascii="仿宋_GB2312" w:eastAsia="仿宋_GB2312"/>
                <w:sz w:val="24"/>
              </w:rPr>
              <w:t>单位</w:t>
            </w:r>
          </w:p>
        </w:tc>
        <w:tc>
          <w:tcPr>
            <w:tcW w:w="1206" w:type="dxa"/>
            <w:noWrap w:val="0"/>
            <w:vAlign w:val="center"/>
          </w:tcPr>
          <w:p w14:paraId="17F55BBB">
            <w:pPr>
              <w:snapToGrid w:val="0"/>
              <w:spacing w:line="400" w:lineRule="exact"/>
              <w:jc w:val="center"/>
              <w:rPr>
                <w:rFonts w:ascii="仿宋_GB2312" w:eastAsia="仿宋_GB2312"/>
                <w:sz w:val="24"/>
              </w:rPr>
            </w:pPr>
            <w:r>
              <w:rPr>
                <w:rFonts w:hint="eastAsia" w:ascii="仿宋_GB2312" w:eastAsia="仿宋_GB2312"/>
                <w:sz w:val="24"/>
              </w:rPr>
              <w:t>单价（元）</w:t>
            </w:r>
          </w:p>
        </w:tc>
        <w:tc>
          <w:tcPr>
            <w:tcW w:w="1207" w:type="dxa"/>
            <w:noWrap w:val="0"/>
            <w:vAlign w:val="center"/>
          </w:tcPr>
          <w:p w14:paraId="51EE6473">
            <w:pPr>
              <w:snapToGrid w:val="0"/>
              <w:spacing w:line="400" w:lineRule="exact"/>
              <w:jc w:val="center"/>
              <w:rPr>
                <w:rFonts w:ascii="仿宋_GB2312" w:eastAsia="仿宋_GB2312"/>
                <w:sz w:val="24"/>
              </w:rPr>
            </w:pPr>
            <w:r>
              <w:rPr>
                <w:rFonts w:hint="eastAsia" w:ascii="仿宋_GB2312" w:eastAsia="仿宋_GB2312"/>
                <w:sz w:val="24"/>
              </w:rPr>
              <w:t>金额（元）</w:t>
            </w:r>
          </w:p>
        </w:tc>
      </w:tr>
      <w:tr w14:paraId="66D6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noWrap w:val="0"/>
            <w:vAlign w:val="center"/>
          </w:tcPr>
          <w:p w14:paraId="3E92C1CF">
            <w:pPr>
              <w:snapToGrid w:val="0"/>
              <w:spacing w:line="400" w:lineRule="exact"/>
              <w:jc w:val="center"/>
              <w:rPr>
                <w:rFonts w:ascii="仿宋_GB2312" w:eastAsia="仿宋_GB2312"/>
                <w:sz w:val="24"/>
              </w:rPr>
            </w:pPr>
            <w:r>
              <w:rPr>
                <w:rFonts w:hint="eastAsia" w:ascii="仿宋_GB2312" w:eastAsia="仿宋_GB2312"/>
                <w:sz w:val="24"/>
              </w:rPr>
              <w:t>1</w:t>
            </w:r>
          </w:p>
        </w:tc>
        <w:tc>
          <w:tcPr>
            <w:tcW w:w="1201" w:type="dxa"/>
            <w:noWrap w:val="0"/>
            <w:vAlign w:val="center"/>
          </w:tcPr>
          <w:p w14:paraId="151AA6C1">
            <w:pPr>
              <w:snapToGrid w:val="0"/>
              <w:spacing w:line="400" w:lineRule="exact"/>
              <w:jc w:val="center"/>
              <w:rPr>
                <w:rFonts w:ascii="仿宋_GB2312" w:eastAsia="仿宋_GB2312"/>
                <w:sz w:val="24"/>
              </w:rPr>
            </w:pPr>
          </w:p>
        </w:tc>
        <w:tc>
          <w:tcPr>
            <w:tcW w:w="3803" w:type="dxa"/>
            <w:noWrap w:val="0"/>
            <w:vAlign w:val="center"/>
          </w:tcPr>
          <w:p w14:paraId="42DF3931">
            <w:pPr>
              <w:snapToGrid w:val="0"/>
              <w:spacing w:line="400" w:lineRule="exact"/>
              <w:jc w:val="center"/>
              <w:rPr>
                <w:rFonts w:ascii="仿宋_GB2312" w:eastAsia="仿宋_GB2312"/>
                <w:kern w:val="0"/>
                <w:sz w:val="24"/>
              </w:rPr>
            </w:pPr>
          </w:p>
        </w:tc>
        <w:tc>
          <w:tcPr>
            <w:tcW w:w="589" w:type="dxa"/>
            <w:noWrap w:val="0"/>
            <w:vAlign w:val="center"/>
          </w:tcPr>
          <w:p w14:paraId="2E430016">
            <w:pPr>
              <w:snapToGrid w:val="0"/>
              <w:spacing w:line="400" w:lineRule="exact"/>
              <w:jc w:val="center"/>
              <w:rPr>
                <w:rFonts w:ascii="仿宋_GB2312" w:eastAsia="仿宋_GB2312"/>
                <w:sz w:val="24"/>
              </w:rPr>
            </w:pPr>
          </w:p>
        </w:tc>
        <w:tc>
          <w:tcPr>
            <w:tcW w:w="648" w:type="dxa"/>
            <w:noWrap w:val="0"/>
            <w:vAlign w:val="center"/>
          </w:tcPr>
          <w:p w14:paraId="415D91FB">
            <w:pPr>
              <w:snapToGrid w:val="0"/>
              <w:spacing w:line="400" w:lineRule="exact"/>
              <w:jc w:val="center"/>
              <w:rPr>
                <w:rFonts w:ascii="仿宋_GB2312" w:eastAsia="仿宋_GB2312"/>
                <w:sz w:val="24"/>
              </w:rPr>
            </w:pPr>
          </w:p>
        </w:tc>
        <w:tc>
          <w:tcPr>
            <w:tcW w:w="1206" w:type="dxa"/>
            <w:noWrap w:val="0"/>
            <w:vAlign w:val="center"/>
          </w:tcPr>
          <w:p w14:paraId="3908A8E6">
            <w:pPr>
              <w:snapToGrid w:val="0"/>
              <w:spacing w:line="400" w:lineRule="exact"/>
              <w:jc w:val="center"/>
              <w:rPr>
                <w:rFonts w:ascii="仿宋_GB2312" w:eastAsia="仿宋_GB2312"/>
                <w:sz w:val="24"/>
              </w:rPr>
            </w:pPr>
          </w:p>
        </w:tc>
        <w:tc>
          <w:tcPr>
            <w:tcW w:w="1207" w:type="dxa"/>
            <w:noWrap w:val="0"/>
            <w:vAlign w:val="center"/>
          </w:tcPr>
          <w:p w14:paraId="5CA56D2D">
            <w:pPr>
              <w:snapToGrid w:val="0"/>
              <w:spacing w:line="400" w:lineRule="exact"/>
              <w:jc w:val="center"/>
              <w:rPr>
                <w:rFonts w:ascii="仿宋_GB2312" w:eastAsia="仿宋_GB2312"/>
                <w:sz w:val="24"/>
              </w:rPr>
            </w:pPr>
          </w:p>
        </w:tc>
      </w:tr>
      <w:tr w14:paraId="48A13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noWrap w:val="0"/>
            <w:vAlign w:val="center"/>
          </w:tcPr>
          <w:p w14:paraId="03DA494E">
            <w:pPr>
              <w:snapToGrid w:val="0"/>
              <w:spacing w:line="400" w:lineRule="exact"/>
              <w:jc w:val="left"/>
              <w:rPr>
                <w:rFonts w:ascii="仿宋_GB2312" w:eastAsia="仿宋_GB2312"/>
                <w:sz w:val="24"/>
                <w:u w:val="single"/>
              </w:rPr>
            </w:pPr>
            <w:r>
              <w:rPr>
                <w:rFonts w:hint="eastAsia" w:ascii="仿宋_GB2312" w:eastAsia="仿宋_GB2312"/>
                <w:sz w:val="24"/>
              </w:rPr>
              <w:t>人民币合计金额（大写）                          （小写）¥</w:t>
            </w:r>
            <w:r>
              <w:rPr>
                <w:rFonts w:hint="eastAsia" w:ascii="仿宋_GB2312" w:eastAsia="仿宋_GB2312"/>
                <w:sz w:val="24"/>
                <w:u w:val="single"/>
              </w:rPr>
              <w:t xml:space="preserve">                </w:t>
            </w:r>
          </w:p>
        </w:tc>
      </w:tr>
      <w:tr w14:paraId="534D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264" w:type="dxa"/>
            <w:gridSpan w:val="7"/>
            <w:noWrap w:val="0"/>
            <w:vAlign w:val="center"/>
          </w:tcPr>
          <w:p w14:paraId="08063014">
            <w:pPr>
              <w:snapToGrid w:val="0"/>
              <w:spacing w:line="400" w:lineRule="exact"/>
              <w:jc w:val="left"/>
              <w:rPr>
                <w:rFonts w:ascii="仿宋_GB2312" w:eastAsia="仿宋_GB2312"/>
                <w:sz w:val="24"/>
              </w:rPr>
            </w:pPr>
            <w:r>
              <w:rPr>
                <w:rFonts w:hint="eastAsia" w:ascii="仿宋_GB2312" w:eastAsia="仿宋_GB2312"/>
                <w:sz w:val="24"/>
              </w:rPr>
              <w:t>服务交接时间：自合同约定提供服务之日起</w:t>
            </w:r>
            <w:r>
              <w:rPr>
                <w:rFonts w:hint="eastAsia" w:ascii="仿宋_GB2312" w:eastAsia="仿宋_GB2312"/>
                <w:sz w:val="24"/>
                <w:u w:val="single"/>
              </w:rPr>
              <w:t xml:space="preserve">  </w:t>
            </w:r>
            <w:r>
              <w:rPr>
                <w:rFonts w:hint="eastAsia" w:ascii="仿宋_GB2312" w:eastAsia="仿宋_GB2312"/>
                <w:sz w:val="24"/>
              </w:rPr>
              <w:t>日内办理完服务交接手续。</w:t>
            </w:r>
          </w:p>
        </w:tc>
      </w:tr>
    </w:tbl>
    <w:p w14:paraId="31DA07A0">
      <w:pPr>
        <w:tabs>
          <w:tab w:val="left" w:pos="851"/>
          <w:tab w:val="left" w:pos="993"/>
          <w:tab w:val="left" w:pos="1134"/>
        </w:tabs>
        <w:spacing w:line="400" w:lineRule="exact"/>
        <w:ind w:firstLine="480" w:firstLineChars="200"/>
        <w:jc w:val="left"/>
        <w:rPr>
          <w:rFonts w:ascii="仿宋_GB2312" w:eastAsia="仿宋_GB2312"/>
          <w:sz w:val="24"/>
        </w:rPr>
      </w:pPr>
      <w:r>
        <w:rPr>
          <w:rFonts w:hint="eastAsia" w:ascii="仿宋_GB2312" w:eastAsia="仿宋_GB2312"/>
          <w:sz w:val="24"/>
        </w:rPr>
        <w:t>合同合计金额包括为了实施和完成服务所需的各种费用及合同包含的所有风险、责任等各项应有的费用。如招投标文件对其另有规定的，从其规定。</w:t>
      </w:r>
    </w:p>
    <w:p w14:paraId="080541FA">
      <w:pPr>
        <w:spacing w:line="400" w:lineRule="exact"/>
        <w:ind w:firstLine="590" w:firstLineChars="245"/>
        <w:jc w:val="left"/>
        <w:rPr>
          <w:rFonts w:ascii="仿宋_GB2312" w:eastAsia="仿宋_GB2312"/>
          <w:b/>
          <w:sz w:val="24"/>
        </w:rPr>
      </w:pPr>
      <w:r>
        <w:rPr>
          <w:rFonts w:hint="eastAsia" w:ascii="仿宋_GB2312" w:eastAsia="仿宋_GB2312"/>
          <w:b/>
          <w:sz w:val="24"/>
        </w:rPr>
        <w:t>第二条  服务基本情况：</w:t>
      </w:r>
    </w:p>
    <w:p w14:paraId="6B3986A6">
      <w:pPr>
        <w:spacing w:line="400" w:lineRule="exact"/>
        <w:ind w:firstLine="588" w:firstLineChars="245"/>
        <w:jc w:val="left"/>
        <w:rPr>
          <w:rFonts w:ascii="仿宋_GB2312" w:eastAsia="仿宋_GB2312"/>
          <w:sz w:val="24"/>
        </w:rPr>
      </w:pPr>
      <w:r>
        <w:rPr>
          <w:rFonts w:hint="eastAsia" w:ascii="仿宋_GB2312" w:eastAsia="仿宋_GB2312"/>
          <w:sz w:val="24"/>
        </w:rPr>
        <w:t>（一）具体管理范围及构成详见本项目采购文件中第二章《采购需求》的相关内容。</w:t>
      </w:r>
    </w:p>
    <w:p w14:paraId="41C3AB6F">
      <w:pPr>
        <w:spacing w:line="400" w:lineRule="exact"/>
        <w:ind w:firstLine="590" w:firstLineChars="245"/>
        <w:jc w:val="left"/>
        <w:rPr>
          <w:rFonts w:ascii="仿宋_GB2312" w:eastAsia="仿宋_GB2312"/>
          <w:b/>
          <w:sz w:val="24"/>
        </w:rPr>
      </w:pPr>
      <w:r>
        <w:rPr>
          <w:rFonts w:hint="eastAsia" w:ascii="仿宋_GB2312" w:eastAsia="仿宋_GB2312"/>
          <w:b/>
          <w:sz w:val="24"/>
        </w:rPr>
        <w:t>（二）乙方提供的管理服务包括以下内容：</w:t>
      </w:r>
    </w:p>
    <w:p w14:paraId="761DCC85">
      <w:pPr>
        <w:spacing w:line="400" w:lineRule="exact"/>
        <w:ind w:firstLine="588" w:firstLineChars="245"/>
        <w:jc w:val="left"/>
        <w:rPr>
          <w:rFonts w:ascii="仿宋_GB2312" w:eastAsia="仿宋_GB2312"/>
          <w:sz w:val="24"/>
          <w:u w:val="single"/>
        </w:rPr>
      </w:pPr>
      <w:r>
        <w:rPr>
          <w:rFonts w:hint="eastAsia" w:ascii="仿宋_GB2312" w:eastAsia="仿宋_GB2312"/>
          <w:sz w:val="24"/>
        </w:rPr>
        <w:t>1.</w:t>
      </w:r>
      <w:r>
        <w:rPr>
          <w:rFonts w:hint="eastAsia" w:ascii="仿宋_GB2312" w:eastAsia="仿宋_GB2312"/>
          <w:sz w:val="24"/>
          <w:u w:val="single"/>
        </w:rPr>
        <w:t>具体服务内容包含乙方投标文件承诺服务内容。</w:t>
      </w:r>
      <w:r>
        <w:rPr>
          <w:rFonts w:hint="eastAsia" w:ascii="仿宋_GB2312" w:eastAsia="仿宋_GB2312"/>
          <w:sz w:val="24"/>
        </w:rPr>
        <w:t xml:space="preserve">                           </w:t>
      </w:r>
    </w:p>
    <w:p w14:paraId="00226695">
      <w:pPr>
        <w:spacing w:line="400" w:lineRule="exact"/>
        <w:ind w:firstLine="588" w:firstLineChars="245"/>
        <w:jc w:val="left"/>
        <w:rPr>
          <w:rFonts w:ascii="仿宋_GB2312" w:eastAsia="仿宋_GB2312"/>
          <w:sz w:val="24"/>
          <w:u w:val="single"/>
        </w:rPr>
      </w:pPr>
      <w:r>
        <w:rPr>
          <w:rFonts w:hint="eastAsia" w:ascii="仿宋_GB2312" w:eastAsia="仿宋_GB2312"/>
          <w:sz w:val="24"/>
        </w:rPr>
        <w:t>2.</w:t>
      </w:r>
      <w:r>
        <w:rPr>
          <w:rFonts w:hint="eastAsia" w:ascii="仿宋_GB2312" w:eastAsia="仿宋_GB2312"/>
          <w:sz w:val="24"/>
          <w:u w:val="single"/>
        </w:rPr>
        <w:t xml:space="preserve">                                          </w:t>
      </w:r>
      <w:r>
        <w:rPr>
          <w:rFonts w:hint="eastAsia" w:ascii="仿宋_GB2312" w:eastAsia="仿宋_GB2312"/>
          <w:sz w:val="24"/>
        </w:rPr>
        <w:t xml:space="preserve">                          </w:t>
      </w:r>
    </w:p>
    <w:p w14:paraId="50465D4B">
      <w:pPr>
        <w:spacing w:line="400" w:lineRule="exact"/>
        <w:ind w:firstLine="588" w:firstLineChars="245"/>
        <w:jc w:val="left"/>
        <w:rPr>
          <w:rFonts w:ascii="仿宋_GB2312" w:eastAsia="仿宋_GB2312"/>
          <w:sz w:val="24"/>
          <w:u w:val="single"/>
        </w:rPr>
      </w:pPr>
      <w:r>
        <w:rPr>
          <w:rFonts w:hint="eastAsia" w:ascii="仿宋_GB2312" w:eastAsia="仿宋_GB2312"/>
          <w:sz w:val="24"/>
        </w:rPr>
        <w:t>3.</w:t>
      </w:r>
      <w:r>
        <w:rPr>
          <w:rFonts w:hint="eastAsia" w:ascii="仿宋_GB2312" w:eastAsia="仿宋_GB2312"/>
          <w:sz w:val="24"/>
          <w:u w:val="single"/>
        </w:rPr>
        <w:t xml:space="preserve">                                          </w:t>
      </w:r>
      <w:r>
        <w:rPr>
          <w:rFonts w:hint="eastAsia" w:ascii="仿宋_GB2312" w:eastAsia="仿宋_GB2312"/>
          <w:sz w:val="24"/>
        </w:rPr>
        <w:t xml:space="preserve"> </w:t>
      </w:r>
    </w:p>
    <w:p w14:paraId="188FDC32">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b/>
          <w:bCs/>
          <w:kern w:val="0"/>
          <w:sz w:val="24"/>
        </w:rPr>
        <w:t xml:space="preserve">第三条  </w:t>
      </w:r>
      <w:r>
        <w:rPr>
          <w:rFonts w:hint="eastAsia" w:ascii="仿宋_GB2312" w:eastAsia="仿宋_GB2312"/>
          <w:b/>
          <w:sz w:val="24"/>
        </w:rPr>
        <w:t>服务期限、服务人数及工作时间</w:t>
      </w:r>
    </w:p>
    <w:p w14:paraId="014B0C62">
      <w:pPr>
        <w:tabs>
          <w:tab w:val="left" w:pos="851"/>
          <w:tab w:val="left" w:pos="993"/>
          <w:tab w:val="left" w:pos="1134"/>
        </w:tabs>
        <w:spacing w:line="400" w:lineRule="exact"/>
        <w:ind w:left="481" w:leftChars="229" w:firstLine="120" w:firstLineChars="50"/>
        <w:jc w:val="left"/>
        <w:rPr>
          <w:rFonts w:ascii="仿宋_GB2312" w:eastAsia="仿宋_GB2312"/>
          <w:sz w:val="24"/>
        </w:rPr>
      </w:pPr>
      <w:r>
        <w:rPr>
          <w:rFonts w:hint="eastAsia" w:ascii="仿宋_GB2312" w:eastAsia="仿宋_GB2312"/>
          <w:sz w:val="24"/>
        </w:rPr>
        <w:t>（一）服务期限：</w:t>
      </w:r>
      <w:r>
        <w:rPr>
          <w:rFonts w:hint="eastAsia" w:ascii="仿宋_GB2312" w:eastAsia="仿宋_GB2312"/>
          <w:sz w:val="24"/>
          <w:u w:val="single"/>
        </w:rPr>
        <w:t>自   年   月  日起至     年  月   日止，共     年</w:t>
      </w:r>
      <w:r>
        <w:rPr>
          <w:rFonts w:hint="eastAsia" w:ascii="仿宋_GB2312" w:eastAsia="仿宋_GB2312"/>
          <w:sz w:val="24"/>
        </w:rPr>
        <w:t>。</w:t>
      </w:r>
    </w:p>
    <w:p w14:paraId="5FCF834A">
      <w:pPr>
        <w:snapToGrid w:val="0"/>
        <w:spacing w:line="400" w:lineRule="exact"/>
        <w:ind w:firstLine="600" w:firstLineChars="250"/>
        <w:jc w:val="left"/>
        <w:rPr>
          <w:rFonts w:ascii="仿宋_GB2312" w:eastAsia="仿宋_GB2312" w:cs="Arial"/>
          <w:bCs/>
          <w:sz w:val="24"/>
          <w:szCs w:val="21"/>
        </w:rPr>
      </w:pPr>
      <w:r>
        <w:rPr>
          <w:rFonts w:hint="eastAsia" w:ascii="仿宋_GB2312" w:eastAsia="仿宋_GB2312" w:cs="Courier New"/>
          <w:sz w:val="24"/>
          <w:szCs w:val="21"/>
        </w:rPr>
        <w:t>（二）服务人数：乙方向甲方派服务</w:t>
      </w:r>
      <w:r>
        <w:rPr>
          <w:rFonts w:hint="eastAsia" w:ascii="仿宋_GB2312" w:eastAsia="仿宋_GB2312" w:cs="Arial"/>
          <w:bCs/>
          <w:sz w:val="24"/>
          <w:szCs w:val="21"/>
        </w:rPr>
        <w:t>人员</w:t>
      </w:r>
      <w:r>
        <w:rPr>
          <w:rFonts w:hint="eastAsia" w:ascii="仿宋_GB2312" w:eastAsia="仿宋_GB2312" w:cs="Courier New"/>
          <w:sz w:val="24"/>
          <w:szCs w:val="21"/>
          <w:u w:val="single"/>
        </w:rPr>
        <w:t xml:space="preserve">    </w:t>
      </w:r>
      <w:r>
        <w:rPr>
          <w:rFonts w:hint="eastAsia" w:ascii="仿宋_GB2312" w:eastAsia="仿宋_GB2312" w:cs="Courier New"/>
          <w:sz w:val="24"/>
          <w:szCs w:val="21"/>
        </w:rPr>
        <w:t>名。</w:t>
      </w:r>
    </w:p>
    <w:p w14:paraId="1786D7F2">
      <w:pPr>
        <w:tabs>
          <w:tab w:val="left" w:pos="851"/>
          <w:tab w:val="left" w:pos="993"/>
          <w:tab w:val="left" w:pos="1134"/>
        </w:tabs>
        <w:spacing w:line="400" w:lineRule="exact"/>
        <w:ind w:left="481" w:leftChars="229" w:firstLine="120" w:firstLineChars="50"/>
        <w:jc w:val="left"/>
        <w:rPr>
          <w:rFonts w:ascii="仿宋_GB2312" w:eastAsia="仿宋_GB2312"/>
          <w:b/>
          <w:bCs/>
          <w:kern w:val="0"/>
          <w:sz w:val="24"/>
        </w:rPr>
      </w:pPr>
      <w:r>
        <w:rPr>
          <w:rFonts w:hint="eastAsia" w:ascii="仿宋_GB2312" w:eastAsia="仿宋_GB2312"/>
          <w:b/>
          <w:bCs/>
          <w:kern w:val="0"/>
          <w:sz w:val="24"/>
        </w:rPr>
        <w:t>第四条  质量保证</w:t>
      </w:r>
    </w:p>
    <w:p w14:paraId="3083178D">
      <w:pPr>
        <w:tabs>
          <w:tab w:val="left" w:pos="851"/>
          <w:tab w:val="left" w:pos="993"/>
          <w:tab w:val="left" w:pos="1134"/>
        </w:tabs>
        <w:spacing w:line="400" w:lineRule="exact"/>
        <w:ind w:firstLine="470" w:firstLineChars="196"/>
        <w:jc w:val="left"/>
        <w:rPr>
          <w:rFonts w:ascii="仿宋_GB2312" w:eastAsia="仿宋_GB2312"/>
          <w:bCs/>
          <w:kern w:val="0"/>
          <w:sz w:val="24"/>
        </w:rPr>
      </w:pPr>
      <w:r>
        <w:rPr>
          <w:rFonts w:hint="eastAsia" w:ascii="仿宋_GB2312" w:eastAsia="仿宋_GB2312"/>
          <w:bCs/>
          <w:kern w:val="0"/>
          <w:sz w:val="24"/>
        </w:rPr>
        <w:t>乙方提供的服务质量标准按国家和地方政府的规定和本合同约定的服务质量要求及乙方在投标文件中的承诺执行。</w:t>
      </w:r>
    </w:p>
    <w:p w14:paraId="2D69EC4E">
      <w:pPr>
        <w:spacing w:line="400" w:lineRule="exact"/>
        <w:ind w:firstLine="590" w:firstLineChars="245"/>
        <w:jc w:val="left"/>
        <w:rPr>
          <w:rFonts w:ascii="仿宋_GB2312" w:eastAsia="仿宋_GB2312"/>
          <w:b/>
          <w:sz w:val="24"/>
        </w:rPr>
      </w:pPr>
      <w:r>
        <w:rPr>
          <w:rFonts w:hint="eastAsia" w:ascii="仿宋_GB2312" w:eastAsia="仿宋_GB2312"/>
          <w:b/>
          <w:sz w:val="24"/>
        </w:rPr>
        <w:t>第五条  服务费及支付</w:t>
      </w:r>
    </w:p>
    <w:p w14:paraId="68428B73">
      <w:pPr>
        <w:snapToGrid w:val="0"/>
        <w:spacing w:line="400" w:lineRule="exact"/>
        <w:ind w:firstLine="600" w:firstLineChars="250"/>
        <w:jc w:val="left"/>
        <w:rPr>
          <w:rFonts w:ascii="仿宋_GB2312" w:eastAsia="仿宋_GB2312"/>
          <w:sz w:val="24"/>
        </w:rPr>
      </w:pPr>
      <w:r>
        <w:rPr>
          <w:rFonts w:hint="eastAsia" w:ascii="仿宋_GB2312" w:eastAsia="仿宋_GB2312"/>
          <w:sz w:val="24"/>
        </w:rPr>
        <w:t>（一）资金性质：</w:t>
      </w:r>
      <w:r>
        <w:rPr>
          <w:rFonts w:hint="eastAsia" w:ascii="仿宋_GB2312" w:eastAsia="仿宋_GB2312"/>
          <w:sz w:val="24"/>
          <w:u w:val="single"/>
        </w:rPr>
        <w:t xml:space="preserve">                </w:t>
      </w:r>
      <w:r>
        <w:rPr>
          <w:rFonts w:hint="eastAsia" w:ascii="仿宋_GB2312" w:eastAsia="仿宋_GB2312"/>
          <w:sz w:val="24"/>
        </w:rPr>
        <w:t>。</w:t>
      </w:r>
    </w:p>
    <w:p w14:paraId="47ADFDAD">
      <w:pPr>
        <w:snapToGrid w:val="0"/>
        <w:spacing w:line="400" w:lineRule="exact"/>
        <w:ind w:firstLine="600" w:firstLineChars="250"/>
        <w:jc w:val="left"/>
        <w:rPr>
          <w:rFonts w:ascii="仿宋_GB2312" w:eastAsia="仿宋_GB2312"/>
          <w:sz w:val="24"/>
        </w:rPr>
      </w:pPr>
      <w:r>
        <w:rPr>
          <w:rFonts w:hint="eastAsia" w:ascii="仿宋_GB2312" w:eastAsia="仿宋_GB2312"/>
          <w:sz w:val="24"/>
        </w:rPr>
        <w:t>（二）合同总金额：（大写）</w:t>
      </w:r>
      <w:r>
        <w:rPr>
          <w:rFonts w:hint="eastAsia" w:ascii="仿宋_GB2312" w:eastAsia="仿宋_GB2312"/>
          <w:sz w:val="24"/>
          <w:u w:val="single"/>
        </w:rPr>
        <w:t xml:space="preserve">            </w:t>
      </w: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w:t>
      </w:r>
    </w:p>
    <w:p w14:paraId="7531482E">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（三）支付办法：</w:t>
      </w:r>
    </w:p>
    <w:p w14:paraId="33B8DA49">
      <w:pPr>
        <w:spacing w:line="400" w:lineRule="exact"/>
        <w:ind w:firstLine="588" w:firstLineChars="245"/>
        <w:jc w:val="left"/>
        <w:rPr>
          <w:rFonts w:ascii="仿宋_GB2312" w:eastAsia="仿宋_GB2312"/>
          <w:sz w:val="24"/>
        </w:rPr>
      </w:pPr>
      <w:r>
        <w:rPr>
          <w:rFonts w:hint="eastAsia" w:ascii="仿宋_GB2312" w:eastAsia="仿宋_GB2312" w:cs="Arial"/>
          <w:bCs/>
          <w:sz w:val="24"/>
        </w:rPr>
        <w:t>本项目合同正式生效之日起，甲方按</w:t>
      </w:r>
      <w:r>
        <w:rPr>
          <w:rFonts w:hint="eastAsia" w:ascii="仿宋_GB2312" w:eastAsia="仿宋_GB2312" w:cs="Arial"/>
          <w:bCs/>
          <w:sz w:val="24"/>
          <w:u w:val="single"/>
        </w:rPr>
        <w:t xml:space="preserve">      </w:t>
      </w:r>
      <w:r>
        <w:rPr>
          <w:rFonts w:hint="eastAsia" w:ascii="仿宋_GB2312" w:eastAsia="仿宋_GB2312" w:cs="Arial"/>
          <w:bCs/>
          <w:sz w:val="24"/>
        </w:rPr>
        <w:t>向</w:t>
      </w:r>
      <w:r>
        <w:rPr>
          <w:rFonts w:hint="eastAsia" w:ascii="仿宋_GB2312" w:eastAsia="仿宋_GB2312" w:cs="Arial"/>
          <w:bCs/>
          <w:sz w:val="24"/>
          <w:lang w:val="en-US" w:eastAsia="zh-CN"/>
        </w:rPr>
        <w:t>乙方</w:t>
      </w:r>
      <w:r>
        <w:rPr>
          <w:rFonts w:hint="eastAsia" w:ascii="仿宋_GB2312" w:eastAsia="仿宋_GB2312" w:cs="Arial"/>
          <w:bCs/>
          <w:sz w:val="24"/>
        </w:rPr>
        <w:t>支付服务费。</w:t>
      </w:r>
      <w:r>
        <w:rPr>
          <w:rFonts w:hint="eastAsia" w:ascii="仿宋_GB2312" w:eastAsia="仿宋_GB2312"/>
          <w:sz w:val="24"/>
        </w:rPr>
        <w:t>具体支付约定见本项目采购文件中第二章《采购需求》的相关内容。</w:t>
      </w:r>
    </w:p>
    <w:p w14:paraId="3BA2D6DB">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（四）支付方式：转账或电汇形式</w:t>
      </w:r>
    </w:p>
    <w:p w14:paraId="09110BF3">
      <w:pPr>
        <w:tabs>
          <w:tab w:val="left" w:pos="851"/>
          <w:tab w:val="left" w:pos="993"/>
          <w:tab w:val="left" w:pos="1134"/>
        </w:tabs>
        <w:spacing w:line="400" w:lineRule="exact"/>
        <w:ind w:firstLine="600" w:firstLineChars="250"/>
        <w:jc w:val="left"/>
        <w:rPr>
          <w:rFonts w:ascii="仿宋_GB2312" w:eastAsia="仿宋_GB2312"/>
          <w:sz w:val="24"/>
        </w:rPr>
      </w:pPr>
      <w:r>
        <w:rPr>
          <w:rFonts w:hint="eastAsia" w:ascii="仿宋_GB2312" w:eastAsia="仿宋_GB2312"/>
          <w:sz w:val="24"/>
        </w:rPr>
        <w:t>（五）甲方将服务费付至乙方指定的以下银行账号：</w:t>
      </w:r>
    </w:p>
    <w:p w14:paraId="4ADF5A6E">
      <w:pPr>
        <w:spacing w:line="400" w:lineRule="exact"/>
        <w:ind w:left="480" w:firstLine="200"/>
        <w:jc w:val="left"/>
        <w:rPr>
          <w:rFonts w:ascii="仿宋_GB2312" w:eastAsia="仿宋_GB2312"/>
          <w:sz w:val="24"/>
          <w:u w:val="single"/>
        </w:rPr>
      </w:pPr>
      <w:r>
        <w:rPr>
          <w:rFonts w:hint="eastAsia" w:ascii="仿宋_GB2312" w:eastAsia="仿宋_GB2312"/>
          <w:sz w:val="24"/>
        </w:rPr>
        <w:t>开户名：</w:t>
      </w:r>
      <w:r>
        <w:rPr>
          <w:rFonts w:hint="eastAsia" w:ascii="仿宋_GB2312" w:eastAsia="仿宋_GB2312"/>
          <w:sz w:val="24"/>
          <w:u w:val="single"/>
        </w:rPr>
        <w:t xml:space="preserve">                                   </w:t>
      </w:r>
    </w:p>
    <w:p w14:paraId="0645548A">
      <w:pPr>
        <w:spacing w:line="400" w:lineRule="exact"/>
        <w:ind w:left="480" w:firstLine="200"/>
        <w:jc w:val="left"/>
        <w:rPr>
          <w:rFonts w:ascii="仿宋_GB2312" w:eastAsia="仿宋_GB2312"/>
          <w:sz w:val="24"/>
        </w:rPr>
      </w:pPr>
      <w:r>
        <w:rPr>
          <w:rFonts w:hint="eastAsia" w:ascii="仿宋_GB2312" w:eastAsia="仿宋_GB2312"/>
          <w:sz w:val="24"/>
        </w:rPr>
        <w:t>开户银行：</w:t>
      </w:r>
      <w:r>
        <w:rPr>
          <w:rFonts w:hint="eastAsia" w:ascii="仿宋_GB2312" w:eastAsia="仿宋_GB2312"/>
          <w:sz w:val="24"/>
          <w:u w:val="single"/>
        </w:rPr>
        <w:t xml:space="preserve">                                 </w:t>
      </w:r>
    </w:p>
    <w:p w14:paraId="48C83070">
      <w:pPr>
        <w:spacing w:line="400" w:lineRule="exact"/>
        <w:ind w:left="480" w:firstLine="200"/>
        <w:jc w:val="left"/>
        <w:rPr>
          <w:rFonts w:ascii="仿宋_GB2312" w:eastAsia="仿宋_GB2312"/>
          <w:sz w:val="24"/>
          <w:u w:val="single"/>
        </w:rPr>
      </w:pPr>
      <w:r>
        <w:rPr>
          <w:rFonts w:hint="eastAsia" w:ascii="仿宋_GB2312" w:eastAsia="仿宋_GB2312"/>
          <w:sz w:val="24"/>
        </w:rPr>
        <w:t>账号：</w:t>
      </w:r>
      <w:r>
        <w:rPr>
          <w:rFonts w:hint="eastAsia" w:ascii="仿宋_GB2312" w:eastAsia="仿宋_GB2312"/>
          <w:sz w:val="24"/>
          <w:u w:val="single"/>
        </w:rPr>
        <w:t xml:space="preserve">                                     </w:t>
      </w:r>
    </w:p>
    <w:p w14:paraId="77F0A345">
      <w:pPr>
        <w:spacing w:line="400" w:lineRule="exact"/>
        <w:ind w:firstLine="472" w:firstLineChars="196"/>
        <w:jc w:val="left"/>
        <w:rPr>
          <w:rFonts w:ascii="仿宋_GB2312" w:eastAsia="仿宋_GB2312"/>
          <w:b/>
          <w:sz w:val="24"/>
        </w:rPr>
      </w:pPr>
      <w:r>
        <w:rPr>
          <w:rFonts w:hint="eastAsia" w:ascii="仿宋_GB2312" w:eastAsia="仿宋_GB2312"/>
          <w:b/>
          <w:sz w:val="24"/>
        </w:rPr>
        <w:t>第六条  税费</w:t>
      </w:r>
    </w:p>
    <w:p w14:paraId="5D003E89">
      <w:pPr>
        <w:spacing w:line="400" w:lineRule="exact"/>
        <w:ind w:firstLine="588" w:firstLineChars="245"/>
        <w:jc w:val="left"/>
        <w:rPr>
          <w:rFonts w:ascii="仿宋_GB2312" w:eastAsia="仿宋_GB2312"/>
          <w:sz w:val="24"/>
        </w:rPr>
      </w:pPr>
      <w:r>
        <w:rPr>
          <w:rFonts w:hint="eastAsia" w:ascii="仿宋_GB2312" w:eastAsia="仿宋_GB2312"/>
          <w:sz w:val="24"/>
        </w:rPr>
        <w:t>本合同执行中相关的一切税费均由乙方负担。</w:t>
      </w:r>
    </w:p>
    <w:p w14:paraId="19C1E773">
      <w:pPr>
        <w:spacing w:line="400" w:lineRule="exact"/>
        <w:ind w:firstLine="472" w:firstLineChars="196"/>
        <w:jc w:val="left"/>
        <w:rPr>
          <w:rFonts w:ascii="仿宋_GB2312" w:eastAsia="仿宋_GB2312"/>
          <w:b/>
          <w:sz w:val="24"/>
        </w:rPr>
      </w:pPr>
      <w:r>
        <w:rPr>
          <w:rFonts w:hint="eastAsia" w:ascii="仿宋_GB2312" w:eastAsia="仿宋_GB2312"/>
          <w:b/>
          <w:sz w:val="24"/>
        </w:rPr>
        <w:t>第七条  甲方的权利和义务</w:t>
      </w:r>
    </w:p>
    <w:p w14:paraId="15FAC294">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包含招标文件的第二章《采购需求》中约定的甲方的权利和义务。</w:t>
      </w:r>
      <w:r>
        <w:rPr>
          <w:rFonts w:hint="eastAsia" w:ascii="仿宋_GB2312" w:eastAsia="仿宋_GB2312"/>
          <w:sz w:val="24"/>
        </w:rPr>
        <w:t xml:space="preserve">           </w:t>
      </w:r>
    </w:p>
    <w:p w14:paraId="07FFF5DE">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44D1265A">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3E5D92C2">
      <w:pPr>
        <w:spacing w:line="400" w:lineRule="exact"/>
        <w:ind w:firstLine="472" w:firstLineChars="196"/>
        <w:jc w:val="left"/>
        <w:rPr>
          <w:rFonts w:ascii="仿宋_GB2312" w:eastAsia="仿宋_GB2312"/>
          <w:b/>
          <w:sz w:val="24"/>
        </w:rPr>
      </w:pPr>
      <w:r>
        <w:rPr>
          <w:rFonts w:hint="eastAsia" w:ascii="仿宋_GB2312" w:eastAsia="仿宋_GB2312"/>
          <w:b/>
          <w:sz w:val="24"/>
        </w:rPr>
        <w:t>第八条  乙方的权利和义务</w:t>
      </w:r>
    </w:p>
    <w:p w14:paraId="5A45176A">
      <w:pPr>
        <w:spacing w:line="400" w:lineRule="exact"/>
        <w:ind w:firstLine="480" w:firstLineChars="200"/>
        <w:jc w:val="left"/>
        <w:rPr>
          <w:rFonts w:ascii="仿宋_GB2312" w:eastAsia="仿宋_GB2312"/>
          <w:sz w:val="24"/>
          <w:u w:val="single"/>
        </w:rPr>
      </w:pPr>
      <w:r>
        <w:rPr>
          <w:rFonts w:hint="eastAsia" w:ascii="仿宋_GB2312" w:eastAsia="仿宋_GB2312"/>
          <w:sz w:val="24"/>
        </w:rPr>
        <w:t>（一）</w:t>
      </w:r>
      <w:r>
        <w:rPr>
          <w:rFonts w:hint="eastAsia" w:ascii="仿宋_GB2312" w:eastAsia="仿宋_GB2312"/>
          <w:sz w:val="24"/>
          <w:u w:val="single"/>
        </w:rPr>
        <w:t>包含招标文件的第二章《采购需求》中约定的乙方的权利和义务。</w:t>
      </w:r>
      <w:r>
        <w:rPr>
          <w:rFonts w:hint="eastAsia" w:ascii="仿宋_GB2312" w:eastAsia="仿宋_GB2312"/>
          <w:sz w:val="24"/>
        </w:rPr>
        <w:t xml:space="preserve">           </w:t>
      </w:r>
    </w:p>
    <w:p w14:paraId="3AB34D07">
      <w:pPr>
        <w:spacing w:line="400" w:lineRule="exact"/>
        <w:ind w:firstLine="480" w:firstLineChars="200"/>
        <w:jc w:val="left"/>
        <w:rPr>
          <w:rFonts w:ascii="仿宋_GB2312" w:eastAsia="仿宋_GB2312"/>
          <w:sz w:val="24"/>
          <w:u w:val="single"/>
        </w:rPr>
      </w:pPr>
      <w:r>
        <w:rPr>
          <w:rFonts w:hint="eastAsia" w:ascii="仿宋_GB2312" w:eastAsia="仿宋_GB2312"/>
          <w:sz w:val="24"/>
        </w:rPr>
        <w:t>（二）</w:t>
      </w:r>
      <w:r>
        <w:rPr>
          <w:rFonts w:hint="eastAsia" w:ascii="仿宋_GB2312" w:eastAsia="仿宋_GB2312"/>
          <w:sz w:val="24"/>
          <w:u w:val="single"/>
        </w:rPr>
        <w:t xml:space="preserve">                                                          </w:t>
      </w:r>
      <w:r>
        <w:rPr>
          <w:rFonts w:hint="eastAsia" w:ascii="仿宋_GB2312" w:eastAsia="仿宋_GB2312"/>
          <w:sz w:val="24"/>
        </w:rPr>
        <w:t xml:space="preserve">           </w:t>
      </w:r>
    </w:p>
    <w:p w14:paraId="11AA18B8">
      <w:pPr>
        <w:spacing w:line="400" w:lineRule="exact"/>
        <w:ind w:firstLine="480" w:firstLineChars="200"/>
        <w:jc w:val="left"/>
        <w:rPr>
          <w:rFonts w:ascii="仿宋_GB2312" w:eastAsia="仿宋_GB2312"/>
          <w:sz w:val="24"/>
          <w:u w:val="single"/>
        </w:rPr>
      </w:pPr>
      <w:r>
        <w:rPr>
          <w:rFonts w:hint="eastAsia" w:ascii="仿宋_GB2312" w:eastAsia="仿宋_GB2312"/>
          <w:sz w:val="24"/>
        </w:rPr>
        <w:t>（三）</w:t>
      </w:r>
      <w:r>
        <w:rPr>
          <w:rFonts w:hint="eastAsia" w:ascii="仿宋_GB2312" w:eastAsia="仿宋_GB2312"/>
          <w:sz w:val="24"/>
          <w:u w:val="single"/>
        </w:rPr>
        <w:t xml:space="preserve">                                                          </w:t>
      </w:r>
      <w:r>
        <w:rPr>
          <w:rFonts w:hint="eastAsia" w:ascii="仿宋_GB2312" w:eastAsia="仿宋_GB2312"/>
          <w:sz w:val="24"/>
        </w:rPr>
        <w:t xml:space="preserve">           </w:t>
      </w:r>
    </w:p>
    <w:p w14:paraId="649CFCB5">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第九条  违约责任</w:t>
      </w:r>
    </w:p>
    <w:p w14:paraId="43F8D40D">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（一）合同双方均应按约定履行，如存在逾期提供服务或逾期付款的，每逾期一日应按逾期提供服务所对应的款项或逾期应付款的</w:t>
      </w:r>
      <w:r>
        <w:rPr>
          <w:rFonts w:hint="eastAsia" w:ascii="仿宋_GB2312" w:eastAsia="仿宋_GB2312"/>
          <w:sz w:val="24"/>
          <w:u w:val="single"/>
        </w:rPr>
        <w:t xml:space="preserve">   </w:t>
      </w:r>
      <w:r>
        <w:rPr>
          <w:rFonts w:hint="eastAsia" w:ascii="仿宋_GB2312" w:eastAsia="仿宋_GB2312"/>
          <w:sz w:val="24"/>
        </w:rPr>
        <w:t>‰支付违约金；逾期超过</w:t>
      </w:r>
      <w:r>
        <w:rPr>
          <w:rFonts w:hint="eastAsia" w:ascii="仿宋_GB2312" w:eastAsia="仿宋_GB2312"/>
          <w:sz w:val="24"/>
          <w:u w:val="single"/>
        </w:rPr>
        <w:t xml:space="preserve">    </w:t>
      </w:r>
      <w:r>
        <w:rPr>
          <w:rFonts w:hint="eastAsia" w:ascii="仿宋_GB2312" w:eastAsia="仿宋_GB2312"/>
          <w:sz w:val="24"/>
        </w:rPr>
        <w:t>日的，守约方有权解除合同，并要求违约方按合同总价款的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352EA27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乙方未按合同约定全面提供服务的，对于未完成部分，甲方有权不予付款，并要求乙方按未完成部分价款的</w:t>
      </w:r>
      <w:r>
        <w:rPr>
          <w:rFonts w:hint="eastAsia" w:ascii="仿宋_GB2312" w:eastAsia="仿宋_GB2312"/>
          <w:sz w:val="24"/>
          <w:u w:val="single"/>
        </w:rPr>
        <w:t xml:space="preserve">   </w:t>
      </w:r>
      <w:r>
        <w:rPr>
          <w:rFonts w:hint="eastAsia" w:ascii="仿宋_GB2312"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w:t>
      </w:r>
    </w:p>
    <w:p w14:paraId="70770B3F">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1.如乙方提供的服务不符合合同约定，甲方有权解除合同，并要求乙方按合同总价款的</w:t>
      </w:r>
      <w:r>
        <w:rPr>
          <w:rFonts w:hint="eastAsia" w:ascii="仿宋_GB2312" w:eastAsia="仿宋_GB2312"/>
          <w:sz w:val="24"/>
          <w:u w:val="single"/>
        </w:rPr>
        <w:t xml:space="preserve">   </w:t>
      </w:r>
      <w:r>
        <w:rPr>
          <w:rFonts w:hint="eastAsia" w:ascii="仿宋_GB2312" w:eastAsia="仿宋_GB2312"/>
          <w:sz w:val="24"/>
        </w:rPr>
        <w:t>%支付违约金。2.如甲方同意由乙方继续履行合同或重新提供符合合同约定服务的，乙方除继续履行外，仍需按合同总价款的</w:t>
      </w:r>
      <w:r>
        <w:rPr>
          <w:rFonts w:hint="eastAsia" w:ascii="仿宋_GB2312" w:eastAsia="仿宋_GB2312"/>
          <w:sz w:val="24"/>
          <w:u w:val="single"/>
        </w:rPr>
        <w:t xml:space="preserve">   </w:t>
      </w:r>
      <w:r>
        <w:rPr>
          <w:rFonts w:hint="eastAsia" w:ascii="仿宋_GB2312" w:eastAsia="仿宋_GB2312"/>
          <w:sz w:val="24"/>
        </w:rPr>
        <w:t>%支付违约金（此项违约金的设置比例不得高于前款所约定的违约金比例）；</w:t>
      </w:r>
    </w:p>
    <w:p w14:paraId="38952417">
      <w:pPr>
        <w:tabs>
          <w:tab w:val="left" w:pos="567"/>
        </w:tabs>
        <w:spacing w:line="400" w:lineRule="exact"/>
        <w:ind w:firstLine="480" w:firstLineChars="200"/>
        <w:jc w:val="left"/>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若乙方违约，造成甲方的损失超过违约金额的，乙方应赔偿甲方超出违约金部分的损失；</w:t>
      </w:r>
    </w:p>
    <w:p w14:paraId="7173A9B3">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（五）合同一方违约，另一方为主张权利而支付的费用（该包括但不限于诉讼费、律师费、公告费等），由违约方承担。</w:t>
      </w:r>
    </w:p>
    <w:p w14:paraId="1C5F2EBF">
      <w:pPr>
        <w:tabs>
          <w:tab w:val="left" w:pos="567"/>
        </w:tabs>
        <w:spacing w:line="400" w:lineRule="exact"/>
        <w:ind w:firstLine="480" w:firstLineChars="200"/>
        <w:jc w:val="left"/>
        <w:rPr>
          <w:rFonts w:ascii="仿宋_GB2312" w:eastAsia="仿宋_GB2312"/>
          <w:sz w:val="24"/>
        </w:rPr>
      </w:pPr>
      <w:r>
        <w:rPr>
          <w:rFonts w:hint="eastAsia" w:ascii="仿宋_GB2312" w:eastAsia="仿宋_GB2312"/>
          <w:sz w:val="24"/>
        </w:rPr>
        <w:t>（六）违约金的约定支付比例按相关法律法规规定自行约定。</w:t>
      </w:r>
    </w:p>
    <w:p w14:paraId="454FE044">
      <w:pPr>
        <w:spacing w:line="400" w:lineRule="exact"/>
        <w:ind w:firstLine="354" w:firstLineChars="147"/>
        <w:jc w:val="left"/>
        <w:rPr>
          <w:rFonts w:ascii="仿宋_GB2312" w:eastAsia="仿宋_GB2312"/>
          <w:b/>
          <w:sz w:val="24"/>
        </w:rPr>
      </w:pPr>
      <w:r>
        <w:rPr>
          <w:rFonts w:hint="eastAsia" w:ascii="仿宋_GB2312" w:eastAsia="仿宋_GB2312"/>
          <w:b/>
          <w:sz w:val="24"/>
        </w:rPr>
        <w:t>第十条  不可抗力事件处理</w:t>
      </w:r>
    </w:p>
    <w:p w14:paraId="3A30F0D7">
      <w:pPr>
        <w:snapToGrid w:val="0"/>
        <w:spacing w:line="400" w:lineRule="exact"/>
        <w:ind w:firstLine="480" w:firstLineChars="200"/>
        <w:rPr>
          <w:rFonts w:ascii="仿宋_GB2312" w:eastAsia="仿宋_GB2312" w:cs="Courier New"/>
          <w:sz w:val="24"/>
          <w:szCs w:val="21"/>
        </w:rPr>
      </w:pPr>
      <w:r>
        <w:rPr>
          <w:rFonts w:hint="eastAsia" w:ascii="仿宋_GB2312" w:eastAsia="仿宋_GB2312"/>
          <w:sz w:val="24"/>
        </w:rPr>
        <w:t>（一）</w:t>
      </w:r>
      <w:r>
        <w:rPr>
          <w:rFonts w:hint="eastAsia" w:ascii="仿宋_GB2312" w:eastAsia="仿宋_GB2312" w:cs="Courier New"/>
          <w:sz w:val="24"/>
          <w:szCs w:val="21"/>
        </w:rPr>
        <w:t>在合同有效期内，任何一方因不可抗力事件导致不能履行合同，则合同履行期可延长，其延长期与不可抗力影响期相同。</w:t>
      </w:r>
    </w:p>
    <w:p w14:paraId="396B75E4">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（二）不可抗力事件发生后，应立即通知对方，并寄送有关权威机构出具的证明。</w:t>
      </w:r>
    </w:p>
    <w:p w14:paraId="2FF1B4FB">
      <w:pPr>
        <w:snapToGrid w:val="0"/>
        <w:spacing w:line="400" w:lineRule="exact"/>
        <w:ind w:firstLine="480" w:firstLineChars="200"/>
        <w:rPr>
          <w:rFonts w:ascii="仿宋_GB2312" w:eastAsia="仿宋_GB2312" w:cs="Courier New"/>
          <w:sz w:val="24"/>
          <w:szCs w:val="21"/>
        </w:rPr>
      </w:pPr>
      <w:r>
        <w:rPr>
          <w:rFonts w:hint="eastAsia" w:ascii="仿宋_GB2312" w:eastAsia="仿宋_GB2312" w:cs="Courier New"/>
          <w:sz w:val="24"/>
          <w:szCs w:val="21"/>
        </w:rPr>
        <w:t>（三）不可抗力事件延续30天以上，双方应通过友好协商，确定是否继续履行合同。</w:t>
      </w:r>
    </w:p>
    <w:p w14:paraId="4A174AFB">
      <w:pPr>
        <w:spacing w:line="400" w:lineRule="exact"/>
        <w:ind w:firstLine="472" w:firstLineChars="196"/>
        <w:jc w:val="left"/>
        <w:rPr>
          <w:rFonts w:ascii="仿宋_GB2312" w:eastAsia="仿宋_GB2312"/>
          <w:b/>
          <w:sz w:val="24"/>
        </w:rPr>
      </w:pPr>
      <w:r>
        <w:rPr>
          <w:rFonts w:hint="eastAsia" w:ascii="仿宋_GB2312" w:eastAsia="仿宋_GB2312"/>
          <w:b/>
          <w:sz w:val="24"/>
        </w:rPr>
        <w:t>第十一条  争议解决</w:t>
      </w:r>
    </w:p>
    <w:p w14:paraId="764EA78A">
      <w:pPr>
        <w:spacing w:line="400" w:lineRule="exact"/>
        <w:ind w:firstLine="480" w:firstLineChars="200"/>
        <w:jc w:val="left"/>
        <w:rPr>
          <w:rFonts w:ascii="仿宋_GB2312" w:eastAsia="仿宋_GB2312"/>
          <w:sz w:val="24"/>
        </w:rPr>
      </w:pPr>
      <w:r>
        <w:rPr>
          <w:rFonts w:hint="eastAsia" w:ascii="仿宋_GB2312" w:eastAsia="仿宋_GB2312"/>
          <w:sz w:val="24"/>
        </w:rPr>
        <w:t>（一）因履行本合同引起的或与本合同有关的争议，甲乙双方应首先通过友好协商解决，如果协商不能解决，可向甲方住所地的人民法院提起诉讼。</w:t>
      </w:r>
    </w:p>
    <w:p w14:paraId="7776974E">
      <w:pPr>
        <w:spacing w:line="400" w:lineRule="exact"/>
        <w:ind w:firstLine="480" w:firstLineChars="200"/>
        <w:jc w:val="left"/>
        <w:rPr>
          <w:rFonts w:ascii="仿宋_GB2312" w:eastAsia="仿宋_GB2312"/>
          <w:sz w:val="24"/>
        </w:rPr>
      </w:pPr>
      <w:r>
        <w:rPr>
          <w:rFonts w:hint="eastAsia" w:ascii="仿宋_GB2312" w:eastAsia="仿宋_GB2312"/>
          <w:sz w:val="24"/>
        </w:rPr>
        <w:t>（二）诉讼期间，本合同继续履行</w:t>
      </w:r>
    </w:p>
    <w:p w14:paraId="7628105D">
      <w:pPr>
        <w:spacing w:line="400" w:lineRule="exact"/>
        <w:ind w:firstLine="472" w:firstLineChars="196"/>
        <w:jc w:val="left"/>
        <w:rPr>
          <w:rFonts w:ascii="仿宋_GB2312" w:eastAsia="仿宋_GB2312"/>
          <w:b/>
          <w:sz w:val="24"/>
        </w:rPr>
      </w:pPr>
      <w:r>
        <w:rPr>
          <w:rFonts w:hint="eastAsia" w:ascii="仿宋_GB2312" w:eastAsia="仿宋_GB2312"/>
          <w:b/>
          <w:sz w:val="24"/>
        </w:rPr>
        <w:t>第十二条  合同生效及其它</w:t>
      </w:r>
    </w:p>
    <w:p w14:paraId="36E3B17F">
      <w:pPr>
        <w:snapToGrid w:val="0"/>
        <w:spacing w:line="400" w:lineRule="exact"/>
        <w:ind w:firstLine="480" w:firstLineChars="200"/>
        <w:rPr>
          <w:rFonts w:ascii="仿宋_GB2312" w:eastAsia="仿宋_GB2312"/>
          <w:sz w:val="24"/>
        </w:rPr>
      </w:pPr>
      <w:r>
        <w:rPr>
          <w:rFonts w:hint="eastAsia" w:ascii="仿宋_GB2312" w:eastAsia="仿宋_GB2312"/>
          <w:sz w:val="24"/>
        </w:rPr>
        <w:t>（一）合同经双方法定代表人或授权代表签字并加盖单位公章后生效。</w:t>
      </w:r>
    </w:p>
    <w:p w14:paraId="6E13929A">
      <w:pPr>
        <w:snapToGrid w:val="0"/>
        <w:spacing w:line="400" w:lineRule="exact"/>
        <w:ind w:firstLine="480" w:firstLineChars="200"/>
        <w:rPr>
          <w:rFonts w:ascii="仿宋_GB2312" w:eastAsia="仿宋_GB2312"/>
          <w:sz w:val="24"/>
        </w:rPr>
      </w:pPr>
      <w:r>
        <w:rPr>
          <w:rFonts w:hint="eastAsia" w:ascii="仿宋_GB2312" w:eastAsia="仿宋_GB2312"/>
          <w:sz w:val="24"/>
        </w:rPr>
        <w:t>（二）合同执行中涉及采购资金和采购内容修改或补充的，须经财政监督管理部门审批，并签书面补充协议报财政监督管理部门备案，方可作为主合同不可分割的一部分。</w:t>
      </w:r>
    </w:p>
    <w:p w14:paraId="478F142E">
      <w:pPr>
        <w:snapToGrid w:val="0"/>
        <w:spacing w:line="400" w:lineRule="exact"/>
        <w:ind w:firstLine="470" w:firstLineChars="196"/>
        <w:jc w:val="left"/>
        <w:rPr>
          <w:rFonts w:ascii="仿宋_GB2312" w:eastAsia="仿宋_GB2312"/>
          <w:sz w:val="24"/>
        </w:rPr>
      </w:pPr>
      <w:r>
        <w:rPr>
          <w:rFonts w:hint="eastAsia" w:ascii="仿宋_GB2312" w:eastAsia="仿宋_GB2312"/>
          <w:sz w:val="24"/>
        </w:rPr>
        <w:t>（三）本合同未尽事宜，遵照《中华人民共和国民法典》有关条文执行。</w:t>
      </w:r>
    </w:p>
    <w:p w14:paraId="0F07611C">
      <w:pPr>
        <w:snapToGrid w:val="0"/>
        <w:spacing w:line="400" w:lineRule="exact"/>
        <w:ind w:firstLine="472" w:firstLineChars="196"/>
        <w:jc w:val="left"/>
        <w:rPr>
          <w:rFonts w:ascii="仿宋_GB2312" w:eastAsia="仿宋_GB2312"/>
          <w:b/>
          <w:sz w:val="24"/>
        </w:rPr>
      </w:pPr>
      <w:r>
        <w:rPr>
          <w:rFonts w:hint="eastAsia" w:ascii="仿宋_GB2312" w:eastAsia="仿宋_GB2312"/>
          <w:b/>
          <w:sz w:val="24"/>
        </w:rPr>
        <w:t>第十三条  合同的变更、终止与转让</w:t>
      </w:r>
    </w:p>
    <w:p w14:paraId="4539608A">
      <w:pPr>
        <w:spacing w:line="400" w:lineRule="exact"/>
        <w:ind w:firstLine="480" w:firstLineChars="200"/>
        <w:jc w:val="left"/>
        <w:rPr>
          <w:rFonts w:ascii="仿宋_GB2312" w:eastAsia="仿宋_GB2312"/>
          <w:sz w:val="24"/>
        </w:rPr>
      </w:pPr>
      <w:r>
        <w:rPr>
          <w:rFonts w:hint="eastAsia" w:ascii="仿宋_GB2312" w:eastAsia="仿宋_GB2312"/>
          <w:sz w:val="24"/>
        </w:rPr>
        <w:t>（一）除《中华人民共和国政府采购法》第五十条规定的情形外，本合同一经签订，甲乙双方不得擅自变更、中止或终止。</w:t>
      </w:r>
    </w:p>
    <w:p w14:paraId="6F0A177F">
      <w:pPr>
        <w:spacing w:line="400" w:lineRule="exact"/>
        <w:ind w:firstLine="480" w:firstLineChars="200"/>
        <w:jc w:val="left"/>
        <w:rPr>
          <w:rFonts w:ascii="仿宋_GB2312" w:eastAsia="仿宋_GB2312"/>
          <w:sz w:val="24"/>
        </w:rPr>
      </w:pPr>
      <w:r>
        <w:rPr>
          <w:rFonts w:hint="eastAsia" w:ascii="仿宋_GB2312" w:eastAsia="仿宋_GB2312"/>
          <w:sz w:val="24"/>
        </w:rPr>
        <w:t>（二）乙方不得擅自转让其应履行的合同义务。</w:t>
      </w:r>
    </w:p>
    <w:p w14:paraId="000C05AA">
      <w:pPr>
        <w:snapToGrid w:val="0"/>
        <w:spacing w:line="400" w:lineRule="exact"/>
        <w:ind w:firstLine="482" w:firstLineChars="200"/>
        <w:jc w:val="left"/>
        <w:rPr>
          <w:rFonts w:ascii="仿宋_GB2312" w:eastAsia="仿宋_GB2312"/>
          <w:b/>
          <w:sz w:val="24"/>
        </w:rPr>
      </w:pPr>
      <w:r>
        <w:rPr>
          <w:rFonts w:hint="eastAsia" w:ascii="仿宋_GB2312" w:eastAsia="仿宋_GB2312"/>
          <w:b/>
          <w:sz w:val="24"/>
        </w:rPr>
        <w:t>第十四条  签订本合同依据</w:t>
      </w:r>
    </w:p>
    <w:p w14:paraId="6ABAB91F">
      <w:pPr>
        <w:snapToGrid w:val="0"/>
        <w:spacing w:line="400" w:lineRule="exact"/>
        <w:ind w:firstLine="480" w:firstLineChars="200"/>
        <w:rPr>
          <w:rFonts w:ascii="仿宋_GB2312" w:eastAsia="仿宋_GB2312"/>
          <w:sz w:val="24"/>
        </w:rPr>
      </w:pPr>
      <w:r>
        <w:rPr>
          <w:rFonts w:hint="eastAsia" w:ascii="仿宋_GB2312" w:eastAsia="仿宋_GB2312"/>
          <w:kern w:val="0"/>
          <w:sz w:val="24"/>
        </w:rPr>
        <w:t>（一）</w:t>
      </w:r>
      <w:r>
        <w:rPr>
          <w:rFonts w:hint="eastAsia" w:ascii="仿宋_GB2312" w:eastAsia="仿宋_GB2312"/>
          <w:sz w:val="24"/>
        </w:rPr>
        <w:t>政府采购招标文件；</w:t>
      </w:r>
    </w:p>
    <w:p w14:paraId="76AE0D6F">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乙方提供的采购投标（或应答）文件；</w:t>
      </w:r>
    </w:p>
    <w:p w14:paraId="2516AC24">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投标承诺书；</w:t>
      </w:r>
    </w:p>
    <w:p w14:paraId="5D0827A0">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中标或成交通知书。</w:t>
      </w:r>
    </w:p>
    <w:p w14:paraId="1D473F72">
      <w:pPr>
        <w:snapToGrid w:val="0"/>
        <w:spacing w:line="400" w:lineRule="exact"/>
        <w:ind w:firstLine="482" w:firstLineChars="200"/>
        <w:rPr>
          <w:rFonts w:ascii="仿宋_GB2312" w:eastAsia="仿宋_GB2312"/>
          <w:b/>
          <w:sz w:val="24"/>
        </w:rPr>
      </w:pPr>
      <w:r>
        <w:rPr>
          <w:rFonts w:hint="eastAsia" w:ascii="仿宋_GB2312" w:eastAsia="仿宋_GB2312"/>
          <w:b/>
          <w:sz w:val="24"/>
        </w:rPr>
        <w:t>第十五条  合同组成部分及解释顺序</w:t>
      </w:r>
    </w:p>
    <w:p w14:paraId="38DA3BB3">
      <w:pPr>
        <w:snapToGrid w:val="0"/>
        <w:spacing w:line="400" w:lineRule="exact"/>
        <w:ind w:firstLine="480" w:firstLineChars="200"/>
        <w:rPr>
          <w:rFonts w:ascii="仿宋_GB2312" w:eastAsia="仿宋_GB2312"/>
          <w:sz w:val="24"/>
        </w:rPr>
      </w:pPr>
      <w:r>
        <w:rPr>
          <w:rFonts w:hint="eastAsia" w:ascii="仿宋_GB2312" w:eastAsia="仿宋_GB2312"/>
          <w:sz w:val="24"/>
        </w:rPr>
        <w:t>下列文件作为合同的组成部分，互为补充和解释，如有不清楚或相互矛盾之处，以下面所列顺序在前的为准。</w:t>
      </w:r>
    </w:p>
    <w:p w14:paraId="7C632FD5">
      <w:pPr>
        <w:snapToGrid w:val="0"/>
        <w:spacing w:line="400" w:lineRule="exact"/>
        <w:ind w:firstLine="480" w:firstLineChars="200"/>
        <w:rPr>
          <w:rFonts w:ascii="仿宋_GB2312" w:eastAsia="仿宋_GB2312"/>
          <w:sz w:val="24"/>
        </w:rPr>
      </w:pPr>
      <w:r>
        <w:rPr>
          <w:rFonts w:hint="eastAsia" w:ascii="仿宋_GB2312" w:eastAsia="仿宋_GB2312"/>
          <w:sz w:val="24"/>
        </w:rPr>
        <w:t>（一）双方签订的补充协议、双方协商同意的变更、纪要、协议；</w:t>
      </w:r>
    </w:p>
    <w:p w14:paraId="34E133E0">
      <w:pPr>
        <w:snapToGrid w:val="0"/>
        <w:spacing w:line="400" w:lineRule="exact"/>
        <w:ind w:firstLine="480" w:firstLineChars="200"/>
        <w:rPr>
          <w:rFonts w:ascii="仿宋_GB2312" w:eastAsia="仿宋_GB2312"/>
          <w:sz w:val="24"/>
        </w:rPr>
      </w:pPr>
      <w:r>
        <w:rPr>
          <w:rFonts w:hint="eastAsia" w:ascii="仿宋_GB2312" w:eastAsia="仿宋_GB2312"/>
          <w:kern w:val="0"/>
          <w:sz w:val="24"/>
        </w:rPr>
        <w:t>（二）</w:t>
      </w:r>
      <w:r>
        <w:rPr>
          <w:rFonts w:hint="eastAsia" w:ascii="仿宋_GB2312" w:eastAsia="仿宋_GB2312"/>
          <w:sz w:val="24"/>
        </w:rPr>
        <w:t>本合同书；</w:t>
      </w:r>
    </w:p>
    <w:p w14:paraId="03683ACE">
      <w:pPr>
        <w:snapToGrid w:val="0"/>
        <w:spacing w:line="400" w:lineRule="exact"/>
        <w:ind w:firstLine="480" w:firstLineChars="200"/>
        <w:rPr>
          <w:rFonts w:ascii="仿宋_GB2312" w:eastAsia="仿宋_GB2312"/>
          <w:sz w:val="24"/>
        </w:rPr>
      </w:pPr>
      <w:r>
        <w:rPr>
          <w:rFonts w:hint="eastAsia" w:ascii="仿宋_GB2312" w:eastAsia="仿宋_GB2312"/>
          <w:kern w:val="0"/>
          <w:sz w:val="24"/>
        </w:rPr>
        <w:t>（三）</w:t>
      </w:r>
      <w:r>
        <w:rPr>
          <w:rFonts w:hint="eastAsia" w:ascii="仿宋_GB2312" w:eastAsia="仿宋_GB2312"/>
          <w:sz w:val="24"/>
        </w:rPr>
        <w:t>中标或成交通知书；</w:t>
      </w:r>
    </w:p>
    <w:p w14:paraId="5C81E2AE">
      <w:pPr>
        <w:snapToGrid w:val="0"/>
        <w:spacing w:line="400" w:lineRule="exact"/>
        <w:ind w:firstLine="480" w:firstLineChars="200"/>
        <w:rPr>
          <w:rFonts w:ascii="仿宋_GB2312" w:eastAsia="仿宋_GB2312"/>
          <w:sz w:val="24"/>
        </w:rPr>
      </w:pPr>
      <w:r>
        <w:rPr>
          <w:rFonts w:hint="eastAsia" w:ascii="仿宋_GB2312" w:eastAsia="仿宋_GB2312"/>
          <w:kern w:val="0"/>
          <w:sz w:val="24"/>
        </w:rPr>
        <w:t>（四）</w:t>
      </w:r>
      <w:r>
        <w:rPr>
          <w:rFonts w:hint="eastAsia" w:ascii="仿宋_GB2312" w:eastAsia="仿宋_GB2312"/>
          <w:sz w:val="24"/>
        </w:rPr>
        <w:t>投标文件及承诺。</w:t>
      </w:r>
    </w:p>
    <w:p w14:paraId="4551815A">
      <w:pPr>
        <w:spacing w:line="400" w:lineRule="exact"/>
        <w:ind w:firstLine="472" w:firstLineChars="196"/>
        <w:rPr>
          <w:rFonts w:ascii="仿宋_GB2312" w:eastAsia="仿宋_GB2312"/>
          <w:sz w:val="24"/>
        </w:rPr>
      </w:pPr>
      <w:r>
        <w:rPr>
          <w:rFonts w:hint="eastAsia" w:ascii="仿宋_GB2312" w:eastAsia="仿宋_GB2312"/>
          <w:b/>
          <w:sz w:val="24"/>
        </w:rPr>
        <w:t>第十六条</w:t>
      </w:r>
      <w:r>
        <w:rPr>
          <w:rFonts w:hint="eastAsia" w:ascii="仿宋_GB2312" w:eastAsia="仿宋_GB2312"/>
          <w:sz w:val="24"/>
        </w:rPr>
        <w:t xml:space="preserve">  本合同一式</w:t>
      </w:r>
      <w:r>
        <w:rPr>
          <w:rFonts w:hint="eastAsia" w:ascii="仿宋_GB2312" w:hAnsi="宋体" w:eastAsia="仿宋_GB2312"/>
          <w:sz w:val="24"/>
          <w:u w:val="single"/>
        </w:rPr>
        <w:t xml:space="preserve">   </w:t>
      </w:r>
      <w:r>
        <w:rPr>
          <w:rFonts w:hint="eastAsia" w:ascii="仿宋_GB2312" w:eastAsia="仿宋_GB2312"/>
          <w:sz w:val="24"/>
        </w:rPr>
        <w:t>份，具有同等法律效力，采购代理机构</w:t>
      </w:r>
      <w:r>
        <w:rPr>
          <w:rFonts w:hint="eastAsia" w:ascii="仿宋_GB2312" w:eastAsia="仿宋_GB2312"/>
          <w:sz w:val="24"/>
          <w:u w:val="single"/>
        </w:rPr>
        <w:t xml:space="preserve">    </w:t>
      </w:r>
      <w:r>
        <w:rPr>
          <w:rFonts w:hint="eastAsia" w:ascii="仿宋_GB2312" w:eastAsia="仿宋_GB2312"/>
          <w:sz w:val="24"/>
        </w:rPr>
        <w:t>份，</w:t>
      </w:r>
      <w:r>
        <w:rPr>
          <w:rFonts w:hint="eastAsia" w:ascii="仿宋_GB2312" w:hAnsi="宋体" w:eastAsia="仿宋_GB2312"/>
          <w:sz w:val="24"/>
        </w:rPr>
        <w:t>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w:t>
      </w:r>
      <w:r>
        <w:rPr>
          <w:rFonts w:hint="eastAsia" w:ascii="仿宋_GB2312" w:hAnsi="宋体" w:eastAsia="仿宋_GB2312"/>
          <w:sz w:val="24"/>
        </w:rPr>
        <w:t>份</w:t>
      </w:r>
      <w:r>
        <w:rPr>
          <w:rFonts w:hint="eastAsia" w:ascii="仿宋_GB2312" w:eastAsia="仿宋_GB2312"/>
          <w:sz w:val="24"/>
        </w:rPr>
        <w:t>（可根据需要另增加）。</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2"/>
        <w:gridCol w:w="4690"/>
      </w:tblGrid>
      <w:tr w14:paraId="407C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552" w:type="dxa"/>
            <w:noWrap w:val="0"/>
            <w:vAlign w:val="center"/>
          </w:tcPr>
          <w:p w14:paraId="0710BB76">
            <w:pPr>
              <w:snapToGrid w:val="0"/>
              <w:spacing w:line="320" w:lineRule="exact"/>
              <w:rPr>
                <w:rFonts w:ascii="仿宋_GB2312" w:eastAsia="仿宋_GB2312"/>
                <w:sz w:val="24"/>
              </w:rPr>
            </w:pPr>
            <w:r>
              <w:rPr>
                <w:rFonts w:hint="eastAsia" w:ascii="仿宋_GB2312" w:eastAsia="仿宋_GB2312"/>
                <w:sz w:val="24"/>
              </w:rPr>
              <w:t xml:space="preserve">甲方（章）           </w:t>
            </w:r>
          </w:p>
          <w:p w14:paraId="705A58FF">
            <w:pPr>
              <w:snapToGrid w:val="0"/>
              <w:spacing w:line="320" w:lineRule="exact"/>
              <w:ind w:firstLine="480" w:firstLineChars="200"/>
              <w:rPr>
                <w:rFonts w:ascii="仿宋_GB2312" w:eastAsia="仿宋_GB2312"/>
                <w:sz w:val="24"/>
              </w:rPr>
            </w:pPr>
          </w:p>
          <w:p w14:paraId="2C25B051">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c>
          <w:tcPr>
            <w:tcW w:w="4690" w:type="dxa"/>
            <w:noWrap w:val="0"/>
            <w:vAlign w:val="center"/>
          </w:tcPr>
          <w:p w14:paraId="0E3966E5">
            <w:pPr>
              <w:snapToGrid w:val="0"/>
              <w:spacing w:line="320" w:lineRule="exact"/>
              <w:rPr>
                <w:rFonts w:ascii="仿宋_GB2312" w:eastAsia="仿宋_GB2312"/>
                <w:sz w:val="24"/>
              </w:rPr>
            </w:pPr>
            <w:r>
              <w:rPr>
                <w:rFonts w:hint="eastAsia" w:ascii="仿宋_GB2312" w:eastAsia="仿宋_GB2312"/>
                <w:sz w:val="24"/>
              </w:rPr>
              <w:t xml:space="preserve">乙方（章）              </w:t>
            </w:r>
          </w:p>
          <w:p w14:paraId="236F73E0">
            <w:pPr>
              <w:snapToGrid w:val="0"/>
              <w:spacing w:line="320" w:lineRule="exact"/>
              <w:ind w:firstLine="480" w:firstLineChars="200"/>
              <w:rPr>
                <w:rFonts w:ascii="仿宋_GB2312" w:eastAsia="仿宋_GB2312"/>
                <w:sz w:val="24"/>
              </w:rPr>
            </w:pPr>
          </w:p>
          <w:p w14:paraId="4C128E8D">
            <w:pPr>
              <w:snapToGrid w:val="0"/>
              <w:spacing w:line="320" w:lineRule="exact"/>
              <w:ind w:firstLine="480" w:firstLineChars="200"/>
              <w:jc w:val="right"/>
              <w:rPr>
                <w:rFonts w:ascii="仿宋_GB2312" w:eastAsia="仿宋_GB2312"/>
                <w:sz w:val="24"/>
              </w:rPr>
            </w:pPr>
            <w:r>
              <w:rPr>
                <w:rFonts w:hint="eastAsia" w:ascii="仿宋_GB2312" w:eastAsia="仿宋_GB2312"/>
                <w:sz w:val="24"/>
              </w:rPr>
              <w:t xml:space="preserve"> 年   月   日</w:t>
            </w:r>
          </w:p>
        </w:tc>
      </w:tr>
      <w:tr w14:paraId="550D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552" w:type="dxa"/>
            <w:noWrap w:val="0"/>
            <w:vAlign w:val="center"/>
          </w:tcPr>
          <w:p w14:paraId="2B5B13D1">
            <w:pPr>
              <w:snapToGrid w:val="0"/>
              <w:spacing w:line="320" w:lineRule="exact"/>
              <w:rPr>
                <w:rFonts w:ascii="仿宋_GB2312" w:eastAsia="仿宋_GB2312"/>
                <w:sz w:val="24"/>
              </w:rPr>
            </w:pPr>
            <w:r>
              <w:rPr>
                <w:rFonts w:hint="eastAsia" w:ascii="仿宋_GB2312" w:eastAsia="仿宋_GB2312"/>
                <w:sz w:val="24"/>
              </w:rPr>
              <w:t>单位地址：</w:t>
            </w:r>
          </w:p>
        </w:tc>
        <w:tc>
          <w:tcPr>
            <w:tcW w:w="4690" w:type="dxa"/>
            <w:noWrap w:val="0"/>
            <w:vAlign w:val="center"/>
          </w:tcPr>
          <w:p w14:paraId="5E4CE718">
            <w:pPr>
              <w:snapToGrid w:val="0"/>
              <w:spacing w:line="320" w:lineRule="exact"/>
              <w:rPr>
                <w:rFonts w:ascii="仿宋_GB2312" w:eastAsia="仿宋_GB2312"/>
                <w:sz w:val="24"/>
              </w:rPr>
            </w:pPr>
            <w:r>
              <w:rPr>
                <w:rFonts w:hint="eastAsia" w:ascii="仿宋_GB2312" w:eastAsia="仿宋_GB2312"/>
                <w:sz w:val="24"/>
              </w:rPr>
              <w:t>单位地址：</w:t>
            </w:r>
          </w:p>
        </w:tc>
      </w:tr>
      <w:tr w14:paraId="24C4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552" w:type="dxa"/>
            <w:noWrap w:val="0"/>
            <w:vAlign w:val="center"/>
          </w:tcPr>
          <w:p w14:paraId="628A886D">
            <w:pPr>
              <w:snapToGrid w:val="0"/>
              <w:spacing w:line="320" w:lineRule="exact"/>
              <w:rPr>
                <w:rFonts w:ascii="仿宋_GB2312" w:eastAsia="仿宋_GB2312"/>
                <w:sz w:val="24"/>
              </w:rPr>
            </w:pPr>
            <w:r>
              <w:rPr>
                <w:rFonts w:hint="eastAsia" w:ascii="仿宋_GB2312" w:eastAsia="仿宋_GB2312"/>
                <w:sz w:val="24"/>
              </w:rPr>
              <w:t>法定代表人：</w:t>
            </w:r>
          </w:p>
        </w:tc>
        <w:tc>
          <w:tcPr>
            <w:tcW w:w="4690" w:type="dxa"/>
            <w:noWrap w:val="0"/>
            <w:vAlign w:val="center"/>
          </w:tcPr>
          <w:p w14:paraId="286C04E0">
            <w:pPr>
              <w:snapToGrid w:val="0"/>
              <w:spacing w:line="320" w:lineRule="exact"/>
              <w:rPr>
                <w:rFonts w:ascii="仿宋_GB2312" w:eastAsia="仿宋_GB2312"/>
                <w:sz w:val="24"/>
              </w:rPr>
            </w:pPr>
            <w:r>
              <w:rPr>
                <w:rFonts w:hint="eastAsia" w:ascii="仿宋_GB2312" w:eastAsia="仿宋_GB2312"/>
                <w:sz w:val="24"/>
              </w:rPr>
              <w:t>法定代表人：</w:t>
            </w:r>
          </w:p>
        </w:tc>
      </w:tr>
      <w:tr w14:paraId="1C85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552" w:type="dxa"/>
            <w:noWrap w:val="0"/>
            <w:vAlign w:val="center"/>
          </w:tcPr>
          <w:p w14:paraId="57BA2667">
            <w:pPr>
              <w:snapToGrid w:val="0"/>
              <w:spacing w:line="320" w:lineRule="exact"/>
              <w:rPr>
                <w:rFonts w:ascii="仿宋_GB2312" w:eastAsia="仿宋_GB2312"/>
                <w:sz w:val="24"/>
              </w:rPr>
            </w:pPr>
            <w:r>
              <w:rPr>
                <w:rFonts w:hint="eastAsia" w:ascii="仿宋_GB2312" w:eastAsia="仿宋_GB2312"/>
                <w:sz w:val="24"/>
              </w:rPr>
              <w:t>委托代理人：</w:t>
            </w:r>
          </w:p>
        </w:tc>
        <w:tc>
          <w:tcPr>
            <w:tcW w:w="4690" w:type="dxa"/>
            <w:noWrap w:val="0"/>
            <w:vAlign w:val="center"/>
          </w:tcPr>
          <w:p w14:paraId="78057D60">
            <w:pPr>
              <w:snapToGrid w:val="0"/>
              <w:spacing w:line="320" w:lineRule="exact"/>
              <w:rPr>
                <w:rFonts w:ascii="仿宋_GB2312" w:eastAsia="仿宋_GB2312"/>
                <w:sz w:val="24"/>
              </w:rPr>
            </w:pPr>
            <w:r>
              <w:rPr>
                <w:rFonts w:hint="eastAsia" w:ascii="仿宋_GB2312" w:eastAsia="仿宋_GB2312"/>
                <w:sz w:val="24"/>
              </w:rPr>
              <w:t>委托代理人：</w:t>
            </w:r>
          </w:p>
        </w:tc>
      </w:tr>
      <w:tr w14:paraId="0CB7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552" w:type="dxa"/>
            <w:noWrap w:val="0"/>
            <w:vAlign w:val="center"/>
          </w:tcPr>
          <w:p w14:paraId="7743B088">
            <w:pPr>
              <w:snapToGrid w:val="0"/>
              <w:spacing w:line="320" w:lineRule="exact"/>
              <w:rPr>
                <w:rFonts w:ascii="仿宋_GB2312" w:eastAsia="仿宋_GB2312"/>
                <w:sz w:val="24"/>
              </w:rPr>
            </w:pPr>
            <w:r>
              <w:rPr>
                <w:rFonts w:hint="eastAsia" w:ascii="仿宋_GB2312" w:eastAsia="仿宋_GB2312"/>
                <w:sz w:val="24"/>
              </w:rPr>
              <w:t>电    话：</w:t>
            </w:r>
          </w:p>
        </w:tc>
        <w:tc>
          <w:tcPr>
            <w:tcW w:w="4690" w:type="dxa"/>
            <w:noWrap w:val="0"/>
            <w:vAlign w:val="center"/>
          </w:tcPr>
          <w:p w14:paraId="7E43957D">
            <w:pPr>
              <w:snapToGrid w:val="0"/>
              <w:spacing w:line="320" w:lineRule="exact"/>
              <w:rPr>
                <w:rFonts w:ascii="仿宋_GB2312" w:eastAsia="仿宋_GB2312"/>
                <w:sz w:val="24"/>
              </w:rPr>
            </w:pPr>
            <w:r>
              <w:rPr>
                <w:rFonts w:hint="eastAsia" w:ascii="仿宋_GB2312" w:eastAsia="仿宋_GB2312"/>
                <w:sz w:val="24"/>
              </w:rPr>
              <w:t>电    话：</w:t>
            </w:r>
          </w:p>
        </w:tc>
      </w:tr>
      <w:tr w14:paraId="1CB18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552" w:type="dxa"/>
            <w:noWrap w:val="0"/>
            <w:vAlign w:val="center"/>
          </w:tcPr>
          <w:p w14:paraId="6308A43D">
            <w:pPr>
              <w:snapToGrid w:val="0"/>
              <w:spacing w:line="320" w:lineRule="exact"/>
              <w:rPr>
                <w:rFonts w:ascii="仿宋_GB2312" w:eastAsia="仿宋_GB2312"/>
                <w:sz w:val="24"/>
              </w:rPr>
            </w:pPr>
            <w:r>
              <w:rPr>
                <w:rFonts w:hint="eastAsia" w:ascii="仿宋_GB2312" w:eastAsia="仿宋_GB2312"/>
                <w:sz w:val="24"/>
              </w:rPr>
              <w:t>电子邮箱：</w:t>
            </w:r>
          </w:p>
        </w:tc>
        <w:tc>
          <w:tcPr>
            <w:tcW w:w="4690" w:type="dxa"/>
            <w:noWrap w:val="0"/>
            <w:vAlign w:val="center"/>
          </w:tcPr>
          <w:p w14:paraId="4148F2A7">
            <w:pPr>
              <w:snapToGrid w:val="0"/>
              <w:spacing w:line="320" w:lineRule="exact"/>
              <w:rPr>
                <w:rFonts w:ascii="仿宋_GB2312" w:eastAsia="仿宋_GB2312"/>
                <w:sz w:val="24"/>
              </w:rPr>
            </w:pPr>
            <w:r>
              <w:rPr>
                <w:rFonts w:hint="eastAsia" w:ascii="仿宋_GB2312" w:eastAsia="仿宋_GB2312"/>
                <w:sz w:val="24"/>
              </w:rPr>
              <w:t>电子邮箱：</w:t>
            </w:r>
          </w:p>
        </w:tc>
      </w:tr>
      <w:tr w14:paraId="0DA65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552" w:type="dxa"/>
            <w:noWrap w:val="0"/>
            <w:vAlign w:val="center"/>
          </w:tcPr>
          <w:p w14:paraId="5F371B7E">
            <w:pPr>
              <w:snapToGrid w:val="0"/>
              <w:spacing w:line="320" w:lineRule="exact"/>
              <w:rPr>
                <w:rFonts w:ascii="仿宋_GB2312" w:eastAsia="仿宋_GB2312"/>
                <w:sz w:val="24"/>
              </w:rPr>
            </w:pPr>
            <w:r>
              <w:rPr>
                <w:rFonts w:hint="eastAsia" w:ascii="仿宋_GB2312" w:eastAsia="仿宋_GB2312"/>
                <w:sz w:val="24"/>
              </w:rPr>
              <w:t>开户银行：</w:t>
            </w:r>
          </w:p>
        </w:tc>
        <w:tc>
          <w:tcPr>
            <w:tcW w:w="4690" w:type="dxa"/>
            <w:noWrap w:val="0"/>
            <w:vAlign w:val="center"/>
          </w:tcPr>
          <w:p w14:paraId="6A73D879">
            <w:pPr>
              <w:snapToGrid w:val="0"/>
              <w:spacing w:line="320" w:lineRule="exact"/>
              <w:rPr>
                <w:rFonts w:ascii="仿宋_GB2312" w:eastAsia="仿宋_GB2312"/>
                <w:sz w:val="24"/>
              </w:rPr>
            </w:pPr>
            <w:r>
              <w:rPr>
                <w:rFonts w:hint="eastAsia" w:ascii="仿宋_GB2312" w:eastAsia="仿宋_GB2312"/>
                <w:sz w:val="24"/>
              </w:rPr>
              <w:t>开户银行：</w:t>
            </w:r>
          </w:p>
        </w:tc>
      </w:tr>
      <w:tr w14:paraId="1054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552" w:type="dxa"/>
            <w:noWrap w:val="0"/>
            <w:vAlign w:val="center"/>
          </w:tcPr>
          <w:p w14:paraId="25830496">
            <w:pPr>
              <w:snapToGrid w:val="0"/>
              <w:spacing w:line="320" w:lineRule="exact"/>
              <w:rPr>
                <w:rFonts w:ascii="仿宋_GB2312" w:eastAsia="仿宋_GB2312"/>
                <w:sz w:val="24"/>
              </w:rPr>
            </w:pPr>
            <w:r>
              <w:rPr>
                <w:rFonts w:hint="eastAsia" w:ascii="仿宋_GB2312" w:eastAsia="仿宋_GB2312"/>
                <w:sz w:val="24"/>
              </w:rPr>
              <w:t>账    号：</w:t>
            </w:r>
          </w:p>
        </w:tc>
        <w:tc>
          <w:tcPr>
            <w:tcW w:w="4690" w:type="dxa"/>
            <w:noWrap w:val="0"/>
            <w:vAlign w:val="center"/>
          </w:tcPr>
          <w:p w14:paraId="2BCE8D82">
            <w:pPr>
              <w:snapToGrid w:val="0"/>
              <w:spacing w:line="320" w:lineRule="exact"/>
              <w:rPr>
                <w:rFonts w:ascii="仿宋_GB2312" w:eastAsia="仿宋_GB2312"/>
                <w:sz w:val="24"/>
              </w:rPr>
            </w:pPr>
            <w:r>
              <w:rPr>
                <w:rFonts w:hint="eastAsia" w:ascii="仿宋_GB2312" w:eastAsia="仿宋_GB2312"/>
                <w:sz w:val="24"/>
              </w:rPr>
              <w:t>账    号：</w:t>
            </w:r>
          </w:p>
        </w:tc>
      </w:tr>
      <w:tr w14:paraId="30D08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552" w:type="dxa"/>
            <w:noWrap w:val="0"/>
            <w:vAlign w:val="center"/>
          </w:tcPr>
          <w:p w14:paraId="2514DE5B">
            <w:pPr>
              <w:snapToGrid w:val="0"/>
              <w:spacing w:line="320" w:lineRule="exact"/>
              <w:rPr>
                <w:rFonts w:ascii="仿宋_GB2312" w:eastAsia="仿宋_GB2312"/>
                <w:sz w:val="24"/>
              </w:rPr>
            </w:pPr>
            <w:r>
              <w:rPr>
                <w:rFonts w:hint="eastAsia" w:ascii="仿宋_GB2312" w:eastAsia="仿宋_GB2312"/>
                <w:sz w:val="24"/>
              </w:rPr>
              <w:t>邮政编码：</w:t>
            </w:r>
          </w:p>
        </w:tc>
        <w:tc>
          <w:tcPr>
            <w:tcW w:w="4690" w:type="dxa"/>
            <w:noWrap w:val="0"/>
            <w:vAlign w:val="center"/>
          </w:tcPr>
          <w:p w14:paraId="35DAFECD">
            <w:pPr>
              <w:snapToGrid w:val="0"/>
              <w:spacing w:line="320" w:lineRule="exact"/>
              <w:rPr>
                <w:rFonts w:ascii="仿宋_GB2312" w:eastAsia="仿宋_GB2312"/>
                <w:sz w:val="24"/>
              </w:rPr>
            </w:pPr>
            <w:r>
              <w:rPr>
                <w:rFonts w:hint="eastAsia" w:ascii="仿宋_GB2312" w:eastAsia="仿宋_GB2312"/>
                <w:sz w:val="24"/>
              </w:rPr>
              <w:t>邮政编码：</w:t>
            </w:r>
          </w:p>
        </w:tc>
      </w:tr>
      <w:tr w14:paraId="633A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242" w:type="dxa"/>
            <w:gridSpan w:val="2"/>
            <w:noWrap w:val="0"/>
            <w:vAlign w:val="top"/>
          </w:tcPr>
          <w:p w14:paraId="5B696367">
            <w:pPr>
              <w:snapToGrid w:val="0"/>
              <w:spacing w:line="320" w:lineRule="exact"/>
              <w:rPr>
                <w:rFonts w:ascii="仿宋_GB2312" w:eastAsia="仿宋_GB2312"/>
                <w:sz w:val="24"/>
              </w:rPr>
            </w:pPr>
            <w:r>
              <w:rPr>
                <w:rFonts w:hint="eastAsia" w:ascii="仿宋_GB2312" w:eastAsia="仿宋_GB2312"/>
                <w:sz w:val="24"/>
              </w:rPr>
              <w:t>经办人：</w:t>
            </w:r>
          </w:p>
          <w:p w14:paraId="11B4198A">
            <w:pPr>
              <w:snapToGrid w:val="0"/>
              <w:spacing w:line="320" w:lineRule="exact"/>
              <w:ind w:firstLine="480" w:firstLineChars="200"/>
              <w:jc w:val="right"/>
              <w:rPr>
                <w:rFonts w:ascii="仿宋_GB2312" w:eastAsia="仿宋_GB2312"/>
                <w:sz w:val="24"/>
              </w:rPr>
            </w:pPr>
            <w:r>
              <w:rPr>
                <w:rFonts w:hint="eastAsia" w:ascii="仿宋_GB2312" w:eastAsia="仿宋_GB2312"/>
                <w:sz w:val="24"/>
              </w:rPr>
              <w:t>年    月    日</w:t>
            </w:r>
          </w:p>
        </w:tc>
      </w:tr>
    </w:tbl>
    <w:p w14:paraId="42106BFF">
      <w:pPr>
        <w:spacing w:line="360" w:lineRule="exact"/>
        <w:ind w:left="420" w:leftChars="200" w:firstLine="360" w:firstLineChars="150"/>
        <w:jc w:val="left"/>
        <w:rPr>
          <w:rFonts w:ascii="仿宋_GB2312" w:eastAsia="仿宋_GB2312"/>
          <w:sz w:val="24"/>
        </w:rPr>
      </w:pPr>
    </w:p>
    <w:p w14:paraId="4CCF918D">
      <w:pPr>
        <w:snapToGrid w:val="0"/>
        <w:rPr>
          <w:rFonts w:ascii="仿宋_GB2312" w:eastAsia="仿宋_GB2312"/>
          <w:b/>
          <w:bCs/>
          <w:sz w:val="24"/>
        </w:rPr>
      </w:pPr>
    </w:p>
    <w:p w14:paraId="3BE865A3">
      <w:pPr>
        <w:widowControl/>
        <w:jc w:val="left"/>
        <w:rPr>
          <w:rFonts w:hint="eastAsia" w:ascii="仿宋_GB2312" w:hAnsi="华文中宋" w:eastAsia="仿宋_GB2312"/>
          <w:bCs/>
          <w:sz w:val="32"/>
          <w:szCs w:val="32"/>
        </w:rPr>
      </w:pPr>
    </w:p>
    <w:p w14:paraId="1C6D3912">
      <w:pPr>
        <w:spacing w:line="276" w:lineRule="auto"/>
        <w:rPr>
          <w:rFonts w:hint="eastAsia" w:ascii="仿宋_GB2312" w:hAnsi="华文中宋" w:eastAsia="仿宋_GB2312"/>
          <w:bCs/>
          <w:sz w:val="32"/>
          <w:szCs w:val="32"/>
        </w:rPr>
      </w:pPr>
    </w:p>
    <w:p w14:paraId="50BC1C93">
      <w:pPr>
        <w:spacing w:line="276" w:lineRule="auto"/>
        <w:jc w:val="center"/>
        <w:rPr>
          <w:rFonts w:ascii="仿宋_GB2312" w:eastAsia="仿宋_GB2312"/>
          <w:b/>
          <w:sz w:val="44"/>
          <w:szCs w:val="44"/>
        </w:rPr>
      </w:pPr>
      <w:r>
        <w:rPr>
          <w:rFonts w:ascii="仿宋_GB2312" w:eastAsia="仿宋_GB2312"/>
          <w:b/>
          <w:sz w:val="44"/>
          <w:szCs w:val="44"/>
        </w:rPr>
        <w:br w:type="page"/>
      </w:r>
      <w:r>
        <w:rPr>
          <w:rFonts w:hint="eastAsia" w:ascii="仿宋_GB2312" w:eastAsia="仿宋_GB2312"/>
          <w:b/>
          <w:sz w:val="44"/>
          <w:szCs w:val="44"/>
        </w:rPr>
        <w:t>合 同 附 件</w:t>
      </w:r>
    </w:p>
    <w:p w14:paraId="57495540">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0" w:type="dxa"/>
        <w:tblLayout w:type="fixed"/>
        <w:tblCellMar>
          <w:top w:w="0" w:type="dxa"/>
          <w:left w:w="108" w:type="dxa"/>
          <w:bottom w:w="0" w:type="dxa"/>
          <w:right w:w="108" w:type="dxa"/>
        </w:tblCellMar>
      </w:tblPr>
      <w:tblGrid>
        <w:gridCol w:w="4766"/>
        <w:gridCol w:w="4476"/>
      </w:tblGrid>
      <w:tr w14:paraId="24AC36ED">
        <w:tblPrEx>
          <w:tblCellMar>
            <w:top w:w="0" w:type="dxa"/>
            <w:left w:w="108" w:type="dxa"/>
            <w:bottom w:w="0" w:type="dxa"/>
            <w:right w:w="108" w:type="dxa"/>
          </w:tblCellMar>
        </w:tblPrEx>
        <w:trPr>
          <w:trHeight w:val="2072" w:hRule="atLeast"/>
        </w:trPr>
        <w:tc>
          <w:tcPr>
            <w:tcW w:w="9242" w:type="dxa"/>
            <w:gridSpan w:val="2"/>
            <w:tcBorders>
              <w:top w:val="single" w:color="auto" w:sz="4" w:space="0"/>
              <w:left w:val="single" w:color="auto" w:sz="4" w:space="0"/>
              <w:bottom w:val="nil"/>
              <w:right w:val="single" w:color="auto" w:sz="4" w:space="0"/>
            </w:tcBorders>
            <w:noWrap w:val="0"/>
            <w:vAlign w:val="top"/>
          </w:tcPr>
          <w:p w14:paraId="6176B58D">
            <w:pPr>
              <w:snapToGrid w:val="0"/>
              <w:spacing w:line="276" w:lineRule="auto"/>
              <w:rPr>
                <w:rFonts w:ascii="仿宋_GB2312" w:eastAsia="仿宋_GB2312"/>
                <w:sz w:val="24"/>
              </w:rPr>
            </w:pPr>
            <w:r>
              <w:rPr>
                <w:rFonts w:hint="eastAsia" w:ascii="仿宋_GB2312" w:eastAsia="仿宋_GB2312"/>
                <w:sz w:val="24"/>
              </w:rPr>
              <w:t>1.供应商承诺具体事项：</w:t>
            </w:r>
          </w:p>
          <w:p w14:paraId="52466286">
            <w:pPr>
              <w:snapToGrid w:val="0"/>
              <w:spacing w:line="276" w:lineRule="auto"/>
              <w:rPr>
                <w:rFonts w:ascii="仿宋_GB2312" w:eastAsia="仿宋_GB2312"/>
                <w:sz w:val="24"/>
              </w:rPr>
            </w:pPr>
            <w:r>
              <w:rPr>
                <w:rFonts w:hint="eastAsia" w:ascii="仿宋_GB2312" w:eastAsia="仿宋_GB2312"/>
                <w:sz w:val="24"/>
              </w:rPr>
              <w:t xml:space="preserve">    </w:t>
            </w:r>
          </w:p>
        </w:tc>
      </w:tr>
      <w:tr w14:paraId="33F306B4">
        <w:tblPrEx>
          <w:tblCellMar>
            <w:top w:w="0" w:type="dxa"/>
            <w:left w:w="108" w:type="dxa"/>
            <w:bottom w:w="0" w:type="dxa"/>
            <w:right w:w="108" w:type="dxa"/>
          </w:tblCellMar>
        </w:tblPrEx>
        <w:trPr>
          <w:trHeight w:val="2133" w:hRule="atLeast"/>
        </w:trPr>
        <w:tc>
          <w:tcPr>
            <w:tcW w:w="9242" w:type="dxa"/>
            <w:gridSpan w:val="2"/>
            <w:tcBorders>
              <w:top w:val="single" w:color="auto" w:sz="4" w:space="0"/>
              <w:left w:val="single" w:color="auto" w:sz="4" w:space="0"/>
              <w:bottom w:val="nil"/>
              <w:right w:val="single" w:color="auto" w:sz="4" w:space="0"/>
            </w:tcBorders>
            <w:noWrap w:val="0"/>
            <w:vAlign w:val="top"/>
          </w:tcPr>
          <w:p w14:paraId="4E20EE9D">
            <w:pPr>
              <w:snapToGrid w:val="0"/>
              <w:spacing w:line="276" w:lineRule="auto"/>
              <w:rPr>
                <w:rFonts w:ascii="仿宋_GB2312" w:eastAsia="仿宋_GB2312"/>
                <w:sz w:val="24"/>
              </w:rPr>
            </w:pPr>
            <w:r>
              <w:rPr>
                <w:rFonts w:hint="eastAsia" w:ascii="仿宋_GB2312" w:eastAsia="仿宋_GB2312"/>
                <w:sz w:val="24"/>
              </w:rPr>
              <w:t>2.服务期责任：</w:t>
            </w:r>
          </w:p>
          <w:p w14:paraId="125653A8">
            <w:pPr>
              <w:snapToGrid w:val="0"/>
              <w:spacing w:line="276" w:lineRule="auto"/>
              <w:rPr>
                <w:rFonts w:ascii="仿宋_GB2312" w:eastAsia="仿宋_GB2312"/>
                <w:sz w:val="24"/>
              </w:rPr>
            </w:pPr>
            <w:r>
              <w:rPr>
                <w:rFonts w:hint="eastAsia" w:ascii="仿宋_GB2312" w:eastAsia="仿宋_GB2312"/>
                <w:sz w:val="24"/>
              </w:rPr>
              <w:t xml:space="preserve">    </w:t>
            </w:r>
          </w:p>
        </w:tc>
      </w:tr>
      <w:tr w14:paraId="58A47344">
        <w:tblPrEx>
          <w:tblCellMar>
            <w:top w:w="0" w:type="dxa"/>
            <w:left w:w="108" w:type="dxa"/>
            <w:bottom w:w="0" w:type="dxa"/>
            <w:right w:w="108" w:type="dxa"/>
          </w:tblCellMar>
        </w:tblPrEx>
        <w:trPr>
          <w:trHeight w:val="2702" w:hRule="atLeast"/>
        </w:trPr>
        <w:tc>
          <w:tcPr>
            <w:tcW w:w="9242" w:type="dxa"/>
            <w:gridSpan w:val="2"/>
            <w:tcBorders>
              <w:top w:val="single" w:color="auto" w:sz="4" w:space="0"/>
              <w:left w:val="single" w:color="auto" w:sz="4" w:space="0"/>
              <w:bottom w:val="nil"/>
              <w:right w:val="single" w:color="auto" w:sz="4" w:space="0"/>
            </w:tcBorders>
            <w:noWrap w:val="0"/>
            <w:vAlign w:val="top"/>
          </w:tcPr>
          <w:p w14:paraId="4ADCF488">
            <w:pPr>
              <w:snapToGrid w:val="0"/>
              <w:spacing w:line="276" w:lineRule="auto"/>
              <w:rPr>
                <w:rFonts w:ascii="仿宋_GB2312" w:eastAsia="仿宋_GB2312"/>
                <w:sz w:val="24"/>
              </w:rPr>
            </w:pPr>
            <w:r>
              <w:rPr>
                <w:rFonts w:hint="eastAsia" w:ascii="仿宋_GB2312" w:eastAsia="仿宋_GB2312"/>
                <w:sz w:val="24"/>
              </w:rPr>
              <w:t>3.其他具体事项：</w:t>
            </w:r>
          </w:p>
          <w:p w14:paraId="1EF4A4F2">
            <w:pPr>
              <w:snapToGrid w:val="0"/>
              <w:spacing w:line="276" w:lineRule="auto"/>
              <w:rPr>
                <w:rFonts w:ascii="仿宋_GB2312" w:eastAsia="仿宋_GB2312"/>
                <w:sz w:val="24"/>
              </w:rPr>
            </w:pPr>
            <w:r>
              <w:rPr>
                <w:rFonts w:hint="eastAsia" w:ascii="仿宋_GB2312" w:eastAsia="仿宋_GB2312"/>
                <w:sz w:val="24"/>
              </w:rPr>
              <w:t xml:space="preserve">    </w:t>
            </w:r>
          </w:p>
        </w:tc>
      </w:tr>
      <w:tr w14:paraId="29931194">
        <w:tblPrEx>
          <w:tblCellMar>
            <w:top w:w="0" w:type="dxa"/>
            <w:left w:w="108" w:type="dxa"/>
            <w:bottom w:w="0" w:type="dxa"/>
            <w:right w:w="108" w:type="dxa"/>
          </w:tblCellMar>
        </w:tblPrEx>
        <w:trPr>
          <w:trHeight w:val="2577" w:hRule="atLeast"/>
        </w:trPr>
        <w:tc>
          <w:tcPr>
            <w:tcW w:w="4766" w:type="dxa"/>
            <w:tcBorders>
              <w:top w:val="single" w:color="auto" w:sz="4" w:space="0"/>
              <w:left w:val="single" w:color="auto" w:sz="4" w:space="0"/>
              <w:bottom w:val="single" w:color="auto" w:sz="4" w:space="0"/>
              <w:right w:val="single" w:color="auto" w:sz="4" w:space="0"/>
            </w:tcBorders>
            <w:noWrap w:val="0"/>
            <w:vAlign w:val="center"/>
          </w:tcPr>
          <w:p w14:paraId="75EAAC4F">
            <w:pPr>
              <w:snapToGrid w:val="0"/>
              <w:spacing w:line="276" w:lineRule="auto"/>
              <w:rPr>
                <w:rFonts w:ascii="仿宋_GB2312" w:eastAsia="仿宋_GB2312"/>
                <w:sz w:val="24"/>
              </w:rPr>
            </w:pPr>
            <w:r>
              <w:rPr>
                <w:rFonts w:hint="eastAsia" w:ascii="仿宋_GB2312" w:eastAsia="仿宋_GB2312"/>
                <w:sz w:val="24"/>
              </w:rPr>
              <w:t>甲方（章）</w:t>
            </w:r>
          </w:p>
          <w:p w14:paraId="364FA6FC">
            <w:pPr>
              <w:snapToGrid w:val="0"/>
              <w:spacing w:line="276" w:lineRule="auto"/>
              <w:ind w:firstLine="480" w:firstLineChars="200"/>
              <w:rPr>
                <w:rFonts w:ascii="仿宋_GB2312" w:eastAsia="仿宋_GB2312"/>
                <w:sz w:val="24"/>
              </w:rPr>
            </w:pPr>
          </w:p>
          <w:p w14:paraId="3322AAF6">
            <w:pPr>
              <w:snapToGrid w:val="0"/>
              <w:spacing w:line="276" w:lineRule="auto"/>
              <w:ind w:firstLine="480" w:firstLineChars="200"/>
              <w:rPr>
                <w:rFonts w:ascii="仿宋_GB2312" w:eastAsia="仿宋_GB2312"/>
                <w:sz w:val="24"/>
              </w:rPr>
            </w:pPr>
          </w:p>
          <w:p w14:paraId="4ACE7158">
            <w:pPr>
              <w:snapToGrid w:val="0"/>
              <w:spacing w:line="276" w:lineRule="auto"/>
              <w:ind w:firstLine="480" w:firstLineChars="200"/>
              <w:rPr>
                <w:rFonts w:ascii="仿宋_GB2312" w:eastAsia="仿宋_GB2312"/>
                <w:sz w:val="24"/>
              </w:rPr>
            </w:pPr>
          </w:p>
          <w:p w14:paraId="6BDF66A2">
            <w:pPr>
              <w:snapToGrid w:val="0"/>
              <w:spacing w:line="276" w:lineRule="auto"/>
              <w:ind w:firstLine="480" w:firstLineChars="200"/>
              <w:rPr>
                <w:rFonts w:ascii="仿宋_GB2312" w:eastAsia="仿宋_GB2312"/>
                <w:sz w:val="24"/>
              </w:rPr>
            </w:pPr>
          </w:p>
          <w:p w14:paraId="7AEC6A4A">
            <w:pPr>
              <w:snapToGrid w:val="0"/>
              <w:spacing w:line="276" w:lineRule="auto"/>
              <w:ind w:firstLine="480" w:firstLineChars="200"/>
              <w:rPr>
                <w:rFonts w:ascii="仿宋_GB2312" w:eastAsia="仿宋_GB2312"/>
                <w:sz w:val="24"/>
              </w:rPr>
            </w:pPr>
          </w:p>
          <w:p w14:paraId="44DABF6B">
            <w:pPr>
              <w:snapToGrid w:val="0"/>
              <w:spacing w:line="276" w:lineRule="auto"/>
              <w:ind w:firstLine="480" w:firstLineChars="200"/>
              <w:rPr>
                <w:rFonts w:ascii="仿宋_GB2312" w:eastAsia="仿宋_GB2312"/>
                <w:sz w:val="24"/>
              </w:rPr>
            </w:pPr>
          </w:p>
          <w:p w14:paraId="2C388B9A">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476" w:type="dxa"/>
            <w:tcBorders>
              <w:top w:val="single" w:color="auto" w:sz="4" w:space="0"/>
              <w:left w:val="single" w:color="auto" w:sz="4" w:space="0"/>
              <w:bottom w:val="single" w:color="auto" w:sz="4" w:space="0"/>
              <w:right w:val="single" w:color="auto" w:sz="4" w:space="0"/>
            </w:tcBorders>
            <w:noWrap w:val="0"/>
            <w:vAlign w:val="center"/>
          </w:tcPr>
          <w:p w14:paraId="1CF1240B">
            <w:pPr>
              <w:snapToGrid w:val="0"/>
              <w:spacing w:line="276" w:lineRule="auto"/>
              <w:rPr>
                <w:rFonts w:ascii="仿宋_GB2312" w:eastAsia="仿宋_GB2312"/>
                <w:sz w:val="24"/>
              </w:rPr>
            </w:pPr>
            <w:r>
              <w:rPr>
                <w:rFonts w:hint="eastAsia" w:ascii="仿宋_GB2312" w:eastAsia="仿宋_GB2312"/>
                <w:sz w:val="24"/>
              </w:rPr>
              <w:t>乙方（章）</w:t>
            </w:r>
          </w:p>
          <w:p w14:paraId="7566E78E">
            <w:pPr>
              <w:snapToGrid w:val="0"/>
              <w:spacing w:line="276" w:lineRule="auto"/>
              <w:ind w:firstLine="480" w:firstLineChars="200"/>
              <w:rPr>
                <w:rFonts w:ascii="仿宋_GB2312" w:eastAsia="仿宋_GB2312"/>
                <w:sz w:val="24"/>
              </w:rPr>
            </w:pPr>
          </w:p>
          <w:p w14:paraId="392DE50D">
            <w:pPr>
              <w:snapToGrid w:val="0"/>
              <w:spacing w:line="276" w:lineRule="auto"/>
              <w:ind w:firstLine="480" w:firstLineChars="200"/>
              <w:rPr>
                <w:rFonts w:ascii="仿宋_GB2312" w:eastAsia="仿宋_GB2312"/>
                <w:sz w:val="24"/>
              </w:rPr>
            </w:pPr>
          </w:p>
          <w:p w14:paraId="7468C676">
            <w:pPr>
              <w:snapToGrid w:val="0"/>
              <w:spacing w:line="276" w:lineRule="auto"/>
              <w:ind w:firstLine="480" w:firstLineChars="200"/>
              <w:rPr>
                <w:rFonts w:ascii="仿宋_GB2312" w:eastAsia="仿宋_GB2312"/>
                <w:sz w:val="24"/>
              </w:rPr>
            </w:pPr>
          </w:p>
          <w:p w14:paraId="357BABE2">
            <w:pPr>
              <w:snapToGrid w:val="0"/>
              <w:spacing w:line="276" w:lineRule="auto"/>
              <w:ind w:firstLine="480" w:firstLineChars="200"/>
              <w:rPr>
                <w:rFonts w:ascii="仿宋_GB2312" w:eastAsia="仿宋_GB2312"/>
                <w:sz w:val="24"/>
              </w:rPr>
            </w:pPr>
          </w:p>
          <w:p w14:paraId="36F8B541">
            <w:pPr>
              <w:snapToGrid w:val="0"/>
              <w:spacing w:line="276" w:lineRule="auto"/>
              <w:ind w:firstLine="480" w:firstLineChars="200"/>
              <w:rPr>
                <w:rFonts w:ascii="仿宋_GB2312" w:eastAsia="仿宋_GB2312"/>
                <w:sz w:val="24"/>
              </w:rPr>
            </w:pPr>
          </w:p>
          <w:p w14:paraId="2E6782DF">
            <w:pPr>
              <w:snapToGrid w:val="0"/>
              <w:spacing w:line="276" w:lineRule="auto"/>
              <w:ind w:firstLine="480" w:firstLineChars="200"/>
              <w:rPr>
                <w:rFonts w:ascii="仿宋_GB2312" w:eastAsia="仿宋_GB2312"/>
                <w:sz w:val="24"/>
              </w:rPr>
            </w:pPr>
          </w:p>
          <w:p w14:paraId="07CC04F6">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5E36F83F">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172CF31C">
      <w:pPr>
        <w:spacing w:line="276" w:lineRule="auto"/>
        <w:jc w:val="center"/>
        <w:rPr>
          <w:rFonts w:hint="eastAsia" w:ascii="仿宋_GB2312" w:hAnsi="华文中宋" w:eastAsia="仿宋_GB2312"/>
          <w:bCs/>
          <w:sz w:val="32"/>
          <w:szCs w:val="32"/>
        </w:rPr>
      </w:pPr>
    </w:p>
    <w:p w14:paraId="082774AF">
      <w:pPr>
        <w:spacing w:line="276" w:lineRule="auto"/>
        <w:jc w:val="center"/>
        <w:rPr>
          <w:rFonts w:hint="eastAsia" w:ascii="仿宋_GB2312" w:hAnsi="华文中宋" w:eastAsia="仿宋_GB2312"/>
          <w:bCs/>
          <w:sz w:val="32"/>
          <w:szCs w:val="32"/>
        </w:rPr>
      </w:pPr>
    </w:p>
    <w:p w14:paraId="0A2A19DC">
      <w:pPr>
        <w:spacing w:line="276" w:lineRule="auto"/>
        <w:jc w:val="center"/>
        <w:rPr>
          <w:rFonts w:hint="eastAsia" w:ascii="仿宋_GB2312" w:hAnsi="华文中宋" w:eastAsia="仿宋_GB2312"/>
          <w:bCs/>
          <w:sz w:val="32"/>
          <w:szCs w:val="32"/>
        </w:rPr>
      </w:pPr>
    </w:p>
    <w:p w14:paraId="532CFAF5">
      <w:pPr>
        <w:spacing w:line="276" w:lineRule="auto"/>
        <w:jc w:val="center"/>
        <w:rPr>
          <w:rFonts w:hint="eastAsia" w:ascii="仿宋_GB2312" w:hAnsi="华文中宋" w:eastAsia="仿宋_GB2312"/>
          <w:bCs/>
          <w:sz w:val="32"/>
          <w:szCs w:val="32"/>
        </w:rPr>
      </w:pPr>
    </w:p>
    <w:p w14:paraId="1DEF3370">
      <w:pPr>
        <w:spacing w:before="120" w:beforeLines="50" w:after="480" w:afterLines="200" w:line="340" w:lineRule="exact"/>
        <w:jc w:val="center"/>
        <w:rPr>
          <w:b/>
          <w:kern w:val="0"/>
          <w:sz w:val="32"/>
          <w:szCs w:val="32"/>
        </w:rPr>
      </w:pPr>
      <w:r>
        <w:rPr>
          <w:rFonts w:ascii="仿宋_GB2312" w:hAnsi="华文中宋" w:eastAsia="仿宋_GB2312"/>
          <w:bCs/>
          <w:sz w:val="32"/>
          <w:szCs w:val="32"/>
        </w:rPr>
        <w:br w:type="page"/>
      </w:r>
      <w:r>
        <w:rPr>
          <w:rFonts w:hint="eastAsia"/>
          <w:b/>
          <w:bCs/>
          <w:kern w:val="0"/>
          <w:sz w:val="32"/>
          <w:szCs w:val="32"/>
        </w:rPr>
        <w:t>广西壮族自治区政府采购项目</w:t>
      </w:r>
      <w:r>
        <w:rPr>
          <w:rFonts w:hint="eastAsia"/>
          <w:b/>
          <w:kern w:val="0"/>
          <w:sz w:val="32"/>
          <w:szCs w:val="32"/>
        </w:rPr>
        <w:t>合同验收书（格式）</w:t>
      </w:r>
    </w:p>
    <w:p w14:paraId="4704A426">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政府采购项目中标供应商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715"/>
        <w:gridCol w:w="409"/>
        <w:gridCol w:w="2449"/>
        <w:gridCol w:w="94"/>
        <w:gridCol w:w="1493"/>
        <w:gridCol w:w="1428"/>
      </w:tblGrid>
      <w:tr w14:paraId="6AC7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gridSpan w:val="2"/>
            <w:noWrap w:val="0"/>
            <w:vAlign w:val="top"/>
          </w:tcPr>
          <w:p w14:paraId="18DEFE15">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5873" w:type="dxa"/>
            <w:gridSpan w:val="5"/>
            <w:noWrap w:val="0"/>
            <w:vAlign w:val="top"/>
          </w:tcPr>
          <w:p w14:paraId="609EFEB3">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186DA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23081B24">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715" w:type="dxa"/>
            <w:noWrap w:val="0"/>
            <w:vAlign w:val="center"/>
          </w:tcPr>
          <w:p w14:paraId="3BEB413A">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952" w:type="dxa"/>
            <w:gridSpan w:val="3"/>
            <w:noWrap w:val="0"/>
            <w:vAlign w:val="center"/>
          </w:tcPr>
          <w:p w14:paraId="1FCA5811">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493" w:type="dxa"/>
            <w:noWrap w:val="0"/>
            <w:vAlign w:val="center"/>
          </w:tcPr>
          <w:p w14:paraId="320089F7">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428" w:type="dxa"/>
            <w:noWrap w:val="0"/>
            <w:vAlign w:val="center"/>
          </w:tcPr>
          <w:p w14:paraId="020F13B8">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1C6F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1BBBDC0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5C10430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420C2FB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63DC4636">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47D3B6D7">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B6C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5CD8CBE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2C2EE45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1307A65A">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21C58205">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52BE9E1F">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8D22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noWrap w:val="0"/>
            <w:vAlign w:val="center"/>
          </w:tcPr>
          <w:p w14:paraId="37F22D46">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715" w:type="dxa"/>
            <w:noWrap w:val="0"/>
            <w:vAlign w:val="center"/>
          </w:tcPr>
          <w:p w14:paraId="06994FC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952" w:type="dxa"/>
            <w:gridSpan w:val="3"/>
            <w:noWrap w:val="0"/>
            <w:vAlign w:val="center"/>
          </w:tcPr>
          <w:p w14:paraId="24C3B28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493" w:type="dxa"/>
            <w:noWrap w:val="0"/>
            <w:vAlign w:val="center"/>
          </w:tcPr>
          <w:p w14:paraId="7534893D">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1E85F689">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82F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5"/>
            <w:noWrap w:val="0"/>
            <w:vAlign w:val="center"/>
          </w:tcPr>
          <w:p w14:paraId="163BB2F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493" w:type="dxa"/>
            <w:noWrap w:val="0"/>
            <w:vAlign w:val="center"/>
          </w:tcPr>
          <w:p w14:paraId="48BCE7EB">
            <w:pPr>
              <w:widowControl/>
              <w:snapToGrid w:val="0"/>
              <w:spacing w:before="100" w:beforeAutospacing="1" w:after="100" w:afterAutospacing="1" w:line="320" w:lineRule="atLeast"/>
              <w:jc w:val="center"/>
              <w:rPr>
                <w:rFonts w:ascii="仿宋_GB2312" w:eastAsia="仿宋_GB2312"/>
                <w:kern w:val="0"/>
                <w:szCs w:val="21"/>
              </w:rPr>
            </w:pPr>
          </w:p>
        </w:tc>
        <w:tc>
          <w:tcPr>
            <w:tcW w:w="1428" w:type="dxa"/>
            <w:noWrap w:val="0"/>
            <w:vAlign w:val="center"/>
          </w:tcPr>
          <w:p w14:paraId="5E93D6D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093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4E31200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3F66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4" w:type="dxa"/>
            <w:noWrap w:val="0"/>
            <w:vAlign w:val="center"/>
          </w:tcPr>
          <w:p w14:paraId="148C4536">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2124" w:type="dxa"/>
            <w:gridSpan w:val="2"/>
            <w:noWrap w:val="0"/>
            <w:vAlign w:val="center"/>
          </w:tcPr>
          <w:p w14:paraId="7CF33D09">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449" w:type="dxa"/>
            <w:noWrap w:val="0"/>
            <w:vAlign w:val="center"/>
          </w:tcPr>
          <w:p w14:paraId="606C5AE0">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015" w:type="dxa"/>
            <w:gridSpan w:val="3"/>
            <w:noWrap w:val="0"/>
            <w:vAlign w:val="center"/>
          </w:tcPr>
          <w:p w14:paraId="7AAA6F8A">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B6A2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654" w:type="dxa"/>
            <w:noWrap w:val="0"/>
            <w:vAlign w:val="center"/>
          </w:tcPr>
          <w:p w14:paraId="457B2E64">
            <w:pPr>
              <w:widowControl/>
              <w:snapToGrid w:val="0"/>
              <w:spacing w:before="100" w:beforeAutospacing="1" w:after="100" w:afterAutospacing="1" w:line="320" w:lineRule="atLeast"/>
              <w:ind w:firstLine="2"/>
              <w:jc w:val="left"/>
              <w:rPr>
                <w:rFonts w:ascii="仿宋_GB2312" w:eastAsia="仿宋_GB2312"/>
                <w:kern w:val="0"/>
                <w:szCs w:val="21"/>
              </w:rPr>
            </w:pPr>
          </w:p>
        </w:tc>
        <w:tc>
          <w:tcPr>
            <w:tcW w:w="2124" w:type="dxa"/>
            <w:gridSpan w:val="2"/>
            <w:noWrap w:val="0"/>
            <w:vAlign w:val="center"/>
          </w:tcPr>
          <w:p w14:paraId="4036626E">
            <w:pPr>
              <w:widowControl/>
              <w:snapToGrid w:val="0"/>
              <w:spacing w:before="100" w:beforeAutospacing="1" w:after="100" w:afterAutospacing="1" w:line="320" w:lineRule="atLeast"/>
              <w:ind w:firstLine="2"/>
              <w:jc w:val="left"/>
              <w:rPr>
                <w:rFonts w:ascii="仿宋_GB2312" w:eastAsia="仿宋_GB2312"/>
                <w:kern w:val="0"/>
                <w:szCs w:val="21"/>
              </w:rPr>
            </w:pPr>
          </w:p>
        </w:tc>
        <w:tc>
          <w:tcPr>
            <w:tcW w:w="2449" w:type="dxa"/>
            <w:noWrap w:val="0"/>
            <w:vAlign w:val="center"/>
          </w:tcPr>
          <w:p w14:paraId="2430B3FC">
            <w:pPr>
              <w:widowControl/>
              <w:snapToGrid w:val="0"/>
              <w:spacing w:before="100" w:beforeAutospacing="1" w:after="100" w:afterAutospacing="1" w:line="320" w:lineRule="atLeast"/>
              <w:ind w:firstLine="2"/>
              <w:jc w:val="left"/>
              <w:rPr>
                <w:rFonts w:ascii="仿宋_GB2312" w:eastAsia="仿宋_GB2312"/>
                <w:kern w:val="0"/>
                <w:szCs w:val="21"/>
              </w:rPr>
            </w:pPr>
          </w:p>
        </w:tc>
        <w:tc>
          <w:tcPr>
            <w:tcW w:w="3015" w:type="dxa"/>
            <w:gridSpan w:val="3"/>
            <w:noWrap w:val="0"/>
            <w:vAlign w:val="center"/>
          </w:tcPr>
          <w:p w14:paraId="19C0A393">
            <w:pPr>
              <w:widowControl/>
              <w:snapToGrid w:val="0"/>
              <w:spacing w:before="100" w:beforeAutospacing="1" w:after="100" w:afterAutospacing="1" w:line="320" w:lineRule="atLeast"/>
              <w:ind w:firstLine="2"/>
              <w:jc w:val="left"/>
              <w:rPr>
                <w:rFonts w:ascii="仿宋_GB2312" w:eastAsia="仿宋_GB2312"/>
                <w:kern w:val="0"/>
                <w:szCs w:val="21"/>
              </w:rPr>
            </w:pPr>
          </w:p>
        </w:tc>
      </w:tr>
      <w:tr w14:paraId="08814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654" w:type="dxa"/>
            <w:noWrap w:val="0"/>
            <w:vAlign w:val="center"/>
          </w:tcPr>
          <w:p w14:paraId="76EDEA3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7588" w:type="dxa"/>
            <w:gridSpan w:val="6"/>
            <w:noWrap w:val="0"/>
            <w:vAlign w:val="center"/>
          </w:tcPr>
          <w:p w14:paraId="6F6882BF">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（应按采购合同、采购文件、投标响应文件及验收方案等进行验收；并核对中标供应商配备的服务人员数量、人员素质、服务规范要求等方面是否达到合同约定。可附件）</w:t>
            </w:r>
          </w:p>
        </w:tc>
      </w:tr>
      <w:tr w14:paraId="34BA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654" w:type="dxa"/>
            <w:vMerge w:val="restart"/>
            <w:noWrap w:val="0"/>
            <w:vAlign w:val="center"/>
          </w:tcPr>
          <w:p w14:paraId="49BCF4E1">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7588" w:type="dxa"/>
            <w:gridSpan w:val="6"/>
            <w:noWrap w:val="0"/>
            <w:vAlign w:val="center"/>
          </w:tcPr>
          <w:p w14:paraId="756B3E0B">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50750BFB">
            <w:pPr>
              <w:widowControl/>
              <w:snapToGrid w:val="0"/>
              <w:spacing w:before="100" w:beforeAutospacing="1" w:after="100" w:afterAutospacing="1" w:line="320" w:lineRule="atLeast"/>
              <w:jc w:val="left"/>
              <w:rPr>
                <w:rFonts w:ascii="仿宋_GB2312" w:eastAsia="仿宋_GB2312"/>
                <w:kern w:val="0"/>
                <w:szCs w:val="21"/>
              </w:rPr>
            </w:pPr>
          </w:p>
        </w:tc>
      </w:tr>
      <w:tr w14:paraId="489B4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dxa"/>
            <w:vMerge w:val="continue"/>
            <w:noWrap w:val="0"/>
            <w:vAlign w:val="center"/>
          </w:tcPr>
          <w:p w14:paraId="169CF5FF">
            <w:pPr>
              <w:widowControl/>
              <w:snapToGrid w:val="0"/>
              <w:spacing w:before="100" w:beforeAutospacing="1" w:after="100" w:afterAutospacing="1" w:line="320" w:lineRule="atLeast"/>
              <w:ind w:firstLine="2"/>
              <w:jc w:val="left"/>
              <w:rPr>
                <w:rFonts w:ascii="仿宋_GB2312" w:eastAsia="仿宋_GB2312"/>
                <w:kern w:val="0"/>
                <w:szCs w:val="21"/>
              </w:rPr>
            </w:pPr>
          </w:p>
        </w:tc>
        <w:tc>
          <w:tcPr>
            <w:tcW w:w="7588" w:type="dxa"/>
            <w:gridSpan w:val="6"/>
            <w:noWrap w:val="0"/>
            <w:vAlign w:val="center"/>
          </w:tcPr>
          <w:p w14:paraId="3C4DB362">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082669C9">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A68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9242" w:type="dxa"/>
            <w:gridSpan w:val="7"/>
            <w:noWrap w:val="0"/>
            <w:vAlign w:val="center"/>
          </w:tcPr>
          <w:p w14:paraId="3CA20E2E">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22CC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459690A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696311A0">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4530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gridSpan w:val="7"/>
            <w:noWrap w:val="0"/>
            <w:vAlign w:val="center"/>
          </w:tcPr>
          <w:p w14:paraId="777ECF8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中标供应商负责人签字或者盖章：     采购人或受托机构的意见（盖章）：</w:t>
            </w:r>
          </w:p>
          <w:p w14:paraId="313084E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36BCF6D5">
      <w:pPr>
        <w:spacing w:line="276" w:lineRule="auto"/>
        <w:jc w:val="left"/>
        <w:rPr>
          <w:rFonts w:hint="eastAsia" w:ascii="仿宋_GB2312" w:hAnsi="华文中宋" w:eastAsia="仿宋_GB2312"/>
          <w:bCs/>
          <w:szCs w:val="21"/>
        </w:rPr>
      </w:pPr>
    </w:p>
    <w:p w14:paraId="3962E0C5">
      <w:pPr>
        <w:spacing w:line="276" w:lineRule="auto"/>
        <w:jc w:val="left"/>
        <w:rPr>
          <w:rFonts w:hint="eastAsia" w:ascii="仿宋_GB2312" w:hAnsi="华文中宋" w:eastAsia="仿宋_GB2312"/>
          <w:b/>
          <w:bCs/>
          <w:szCs w:val="21"/>
        </w:rPr>
      </w:pPr>
      <w:r>
        <w:rPr>
          <w:rFonts w:hint="eastAsia" w:ascii="仿宋_GB2312" w:hAnsi="华文中宋" w:eastAsia="仿宋_GB2312"/>
          <w:b/>
          <w:bCs/>
          <w:szCs w:val="21"/>
        </w:rPr>
        <w:t>备注：本验收书一式三份（采购人一份、中标人一份、采购代理机构一份）</w:t>
      </w:r>
    </w:p>
    <w:p w14:paraId="475C09C1">
      <w:pPr>
        <w:snapToGrid w:val="0"/>
        <w:jc w:val="left"/>
        <w:rPr>
          <w:rFonts w:hint="eastAsia" w:ascii="仿宋_GB2312" w:hAnsi="华文中宋" w:eastAsia="仿宋_GB2312"/>
          <w:b/>
          <w:szCs w:val="21"/>
        </w:rPr>
        <w:sectPr>
          <w:footerReference r:id="rId10" w:type="default"/>
          <w:pgSz w:w="11906" w:h="16838"/>
          <w:pgMar w:top="1440" w:right="1440" w:bottom="1440" w:left="1440" w:header="851" w:footer="992" w:gutter="0"/>
          <w:cols w:space="720" w:num="1"/>
          <w:docGrid w:linePitch="312" w:charSpace="0"/>
        </w:sectPr>
      </w:pPr>
    </w:p>
    <w:p w14:paraId="654488DC">
      <w:pPr>
        <w:spacing w:line="276" w:lineRule="auto"/>
        <w:jc w:val="both"/>
        <w:rPr>
          <w:rFonts w:hint="eastAsia" w:ascii="仿宋_GB2312" w:hAnsi="华文中宋" w:eastAsia="仿宋_GB2312"/>
          <w:bCs/>
          <w:sz w:val="32"/>
          <w:szCs w:val="32"/>
        </w:rPr>
      </w:pPr>
    </w:p>
    <w:p w14:paraId="245E90AE">
      <w:pPr>
        <w:spacing w:line="276" w:lineRule="auto"/>
        <w:jc w:val="both"/>
        <w:rPr>
          <w:rFonts w:hint="eastAsia" w:ascii="仿宋_GB2312" w:hAnsi="华文中宋" w:eastAsia="仿宋_GB2312"/>
          <w:bCs/>
          <w:sz w:val="32"/>
          <w:szCs w:val="32"/>
        </w:rPr>
      </w:pPr>
    </w:p>
    <w:p w14:paraId="0ACB1B5A">
      <w:pPr>
        <w:spacing w:line="276" w:lineRule="auto"/>
        <w:jc w:val="center"/>
        <w:rPr>
          <w:rFonts w:hint="eastAsia" w:ascii="仿宋_GB2312" w:hAnsi="华文中宋" w:eastAsia="仿宋_GB2312"/>
          <w:bCs/>
          <w:sz w:val="32"/>
          <w:szCs w:val="32"/>
        </w:rPr>
      </w:pPr>
    </w:p>
    <w:p w14:paraId="1F932176">
      <w:pPr>
        <w:spacing w:line="276" w:lineRule="auto"/>
        <w:jc w:val="center"/>
        <w:rPr>
          <w:rFonts w:hint="eastAsia" w:ascii="仿宋_GB2312" w:hAnsi="华文中宋" w:eastAsia="仿宋_GB2312"/>
          <w:bCs/>
          <w:sz w:val="32"/>
          <w:szCs w:val="32"/>
        </w:rPr>
      </w:pPr>
    </w:p>
    <w:p w14:paraId="410AECE1">
      <w:pPr>
        <w:spacing w:line="276" w:lineRule="auto"/>
        <w:jc w:val="center"/>
        <w:rPr>
          <w:rFonts w:hint="eastAsia" w:ascii="仿宋_GB2312" w:hAnsi="华文中宋" w:eastAsia="仿宋_GB2312"/>
          <w:bCs/>
          <w:sz w:val="32"/>
          <w:szCs w:val="32"/>
        </w:rPr>
      </w:pPr>
    </w:p>
    <w:p w14:paraId="588AB310">
      <w:pPr>
        <w:spacing w:line="276" w:lineRule="auto"/>
        <w:rPr>
          <w:rFonts w:ascii="仿宋_GB2312" w:eastAsia="仿宋_GB2312"/>
          <w:b/>
          <w:bCs/>
          <w:sz w:val="32"/>
          <w:szCs w:val="32"/>
        </w:rPr>
      </w:pPr>
    </w:p>
    <w:sectPr>
      <w:footerReference r:id="rId11" w:type="default"/>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7C4AC">
    <w:pPr>
      <w:pStyle w:val="31"/>
      <w:framePr w:wrap="around" w:vAnchor="text" w:hAnchor="margin" w:xAlign="center" w:y="1"/>
      <w:rPr>
        <w:rStyle w:val="54"/>
      </w:rPr>
    </w:pPr>
    <w:r>
      <w:fldChar w:fldCharType="begin"/>
    </w:r>
    <w:r>
      <w:rPr>
        <w:rStyle w:val="54"/>
      </w:rPr>
      <w:instrText xml:space="preserve">PAGE  </w:instrText>
    </w:r>
    <w:r>
      <w:fldChar w:fldCharType="end"/>
    </w:r>
  </w:p>
  <w:p w14:paraId="3EE4E883">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3A7D">
    <w:pPr>
      <w:pStyle w:val="31"/>
      <w:tabs>
        <w:tab w:val="left" w:pos="6787"/>
        <w:tab w:val="center" w:pos="6979"/>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1A9F6">
    <w:pPr>
      <w:pStyle w:val="31"/>
      <w:tabs>
        <w:tab w:val="left" w:pos="6787"/>
        <w:tab w:val="center" w:pos="6979"/>
      </w:tabs>
      <w:jc w:val="cente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p w14:paraId="4079AF7B"/>
  <w:p w14:paraId="2AFC84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1D260C">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BBD727">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8BBD727">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C9755">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1CE52B">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41CE52B">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2FBDE">
    <w:pPr>
      <w:pStyle w:val="31"/>
      <w:jc w:val="center"/>
    </w:pPr>
    <w:r>
      <w:fldChar w:fldCharType="begin"/>
    </w:r>
    <w:r>
      <w:instrText xml:space="preserve">PAGE   \* MERGEFORMAT</w:instrText>
    </w:r>
    <w:r>
      <w:fldChar w:fldCharType="separate"/>
    </w:r>
    <w:r>
      <w:rPr>
        <w:lang w:val="zh-CN"/>
      </w:rPr>
      <w:t>18</w:t>
    </w:r>
    <w:r>
      <w:fldChar w:fldCharType="end"/>
    </w:r>
  </w:p>
  <w:p w14:paraId="5F58C8B3">
    <w:pPr>
      <w:pStyle w:val="31"/>
      <w:tabs>
        <w:tab w:val="left" w:pos="6787"/>
        <w:tab w:val="center" w:pos="6979"/>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0A7DB">
    <w:pPr>
      <w:pStyle w:val="31"/>
      <w:jc w:val="center"/>
    </w:pPr>
    <w:r>
      <w:rPr>
        <w:rFonts w:hint="eastAsia"/>
      </w:rPr>
      <w:fldChar w:fldCharType="begin"/>
    </w:r>
    <w:r>
      <w:rPr>
        <w:rFonts w:hint="eastAsia"/>
      </w:rPr>
      <w:instrText xml:space="preserve"> PAGE  \* MERGEFORMAT </w:instrText>
    </w:r>
    <w:r>
      <w:rPr>
        <w:rFonts w:hint="eastAsia"/>
      </w:rPr>
      <w:fldChar w:fldCharType="separate"/>
    </w:r>
    <w:r>
      <w:t>43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0D767">
    <w:pPr>
      <w:pStyle w:val="32"/>
    </w:pPr>
    <w:r>
      <w:rPr>
        <w:rFonts w:hint="eastAsia"/>
        <w:b/>
      </w:rPr>
      <w:t xml:space="preserve">柳州市政府集中采购中心  </w:t>
    </w:r>
    <w:r>
      <w:rPr>
        <w:rFonts w:hint="eastAsia"/>
        <w:b/>
        <w:i/>
      </w:rPr>
      <w:t xml:space="preserve">                            柳州市政府集中采购综合管理系统开发服务采购</w:t>
    </w:r>
    <w:r>
      <w:rPr>
        <w:rFonts w:hint="eastAsia"/>
        <w:b/>
        <w:color w:val="000000"/>
      </w:rPr>
      <w:t>（LZG18-945）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BC0E7">
    <w:pPr>
      <w:pStyle w:val="32"/>
      <w:jc w:val="right"/>
      <w:rPr>
        <w:b/>
        <w:color w:val="000000"/>
      </w:rPr>
    </w:pPr>
    <w:r>
      <w:rPr>
        <w:b/>
      </w:rPr>
      <w:t>办公区高低压配电系统维保服务采购</w:t>
    </w:r>
    <w:r>
      <w:rPr>
        <w:rFonts w:hint="eastAsia"/>
        <w:b/>
      </w:rPr>
      <w:t>（</w:t>
    </w:r>
    <w:r>
      <w:rPr>
        <w:rFonts w:hint="eastAsia"/>
        <w:b/>
        <w:lang w:eastAsia="zh-CN"/>
      </w:rPr>
      <w:t>LZZC2025-G3-990171-LZSZ</w:t>
    </w:r>
    <w:r>
      <w:rPr>
        <w:rFonts w:hint="eastAsia"/>
        <w:b/>
      </w:rPr>
      <w:t xml:space="preserve">）   </w:t>
    </w:r>
    <w:r>
      <w:rPr>
        <w:rFonts w:hint="eastAsia"/>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3CDFE"/>
    <w:multiLevelType w:val="multilevel"/>
    <w:tmpl w:val="D713CDFE"/>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08FD0A51"/>
    <w:multiLevelType w:val="multilevel"/>
    <w:tmpl w:val="08FD0A51"/>
    <w:lvl w:ilvl="0" w:tentative="0">
      <w:start w:val="1"/>
      <w:numFmt w:val="decimal"/>
      <w:suff w:val="nothing"/>
      <w:lvlText w:val="（%1）"/>
      <w:lvlJc w:val="left"/>
      <w:pPr>
        <w:ind w:left="0" w:firstLine="430"/>
      </w:pPr>
      <w:rPr>
        <w:rFonts w:hint="eastAsia"/>
      </w:rPr>
    </w:lvl>
    <w:lvl w:ilvl="1" w:tentative="0">
      <w:start w:val="1"/>
      <w:numFmt w:val="lowerLetter"/>
      <w:lvlText w:val="%2)"/>
      <w:lvlJc w:val="left"/>
      <w:pPr>
        <w:tabs>
          <w:tab w:val="left" w:pos="1470"/>
        </w:tabs>
        <w:ind w:left="1470" w:hanging="420"/>
      </w:pPr>
      <w:rPr>
        <w:rFonts w:hint="eastAsia"/>
      </w:rPr>
    </w:lvl>
    <w:lvl w:ilvl="2" w:tentative="0">
      <w:start w:val="1"/>
      <w:numFmt w:val="lowerRoman"/>
      <w:lvlText w:val="%3."/>
      <w:lvlJc w:val="right"/>
      <w:pPr>
        <w:tabs>
          <w:tab w:val="left" w:pos="1890"/>
        </w:tabs>
        <w:ind w:left="1890" w:hanging="420"/>
      </w:pPr>
      <w:rPr>
        <w:rFonts w:hint="eastAsia"/>
      </w:rPr>
    </w:lvl>
    <w:lvl w:ilvl="3" w:tentative="0">
      <w:start w:val="1"/>
      <w:numFmt w:val="decimal"/>
      <w:lvlText w:val="%4."/>
      <w:lvlJc w:val="left"/>
      <w:pPr>
        <w:tabs>
          <w:tab w:val="left" w:pos="2310"/>
        </w:tabs>
        <w:ind w:left="2310" w:hanging="420"/>
      </w:pPr>
      <w:rPr>
        <w:rFonts w:hint="eastAsia"/>
      </w:rPr>
    </w:lvl>
    <w:lvl w:ilvl="4" w:tentative="0">
      <w:start w:val="1"/>
      <w:numFmt w:val="lowerLetter"/>
      <w:lvlText w:val="%5)"/>
      <w:lvlJc w:val="left"/>
      <w:pPr>
        <w:tabs>
          <w:tab w:val="left" w:pos="2730"/>
        </w:tabs>
        <w:ind w:left="2730" w:hanging="420"/>
      </w:pPr>
      <w:rPr>
        <w:rFonts w:hint="eastAsia"/>
      </w:rPr>
    </w:lvl>
    <w:lvl w:ilvl="5" w:tentative="0">
      <w:start w:val="1"/>
      <w:numFmt w:val="lowerRoman"/>
      <w:lvlText w:val="%6."/>
      <w:lvlJc w:val="right"/>
      <w:pPr>
        <w:tabs>
          <w:tab w:val="left" w:pos="3150"/>
        </w:tabs>
        <w:ind w:left="3150" w:hanging="420"/>
      </w:pPr>
      <w:rPr>
        <w:rFonts w:hint="eastAsia"/>
      </w:rPr>
    </w:lvl>
    <w:lvl w:ilvl="6" w:tentative="0">
      <w:start w:val="1"/>
      <w:numFmt w:val="decimal"/>
      <w:lvlText w:val="%7."/>
      <w:lvlJc w:val="left"/>
      <w:pPr>
        <w:tabs>
          <w:tab w:val="left" w:pos="3570"/>
        </w:tabs>
        <w:ind w:left="3570" w:hanging="420"/>
      </w:pPr>
      <w:rPr>
        <w:rFonts w:hint="eastAsia"/>
      </w:rPr>
    </w:lvl>
    <w:lvl w:ilvl="7" w:tentative="0">
      <w:start w:val="1"/>
      <w:numFmt w:val="lowerLetter"/>
      <w:lvlText w:val="%8)"/>
      <w:lvlJc w:val="left"/>
      <w:pPr>
        <w:tabs>
          <w:tab w:val="left" w:pos="3990"/>
        </w:tabs>
        <w:ind w:left="3990" w:hanging="420"/>
      </w:pPr>
      <w:rPr>
        <w:rFonts w:hint="eastAsia"/>
      </w:rPr>
    </w:lvl>
    <w:lvl w:ilvl="8" w:tentative="0">
      <w:start w:val="1"/>
      <w:numFmt w:val="lowerRoman"/>
      <w:lvlText w:val="%9."/>
      <w:lvlJc w:val="right"/>
      <w:pPr>
        <w:tabs>
          <w:tab w:val="left" w:pos="4410"/>
        </w:tabs>
        <w:ind w:left="4410" w:hanging="420"/>
      </w:pPr>
      <w:rPr>
        <w:rFonts w:hint="eastAsia"/>
      </w:rPr>
    </w:lvl>
  </w:abstractNum>
  <w:abstractNum w:abstractNumId="2">
    <w:nsid w:val="09256FDA"/>
    <w:multiLevelType w:val="multilevel"/>
    <w:tmpl w:val="09256FDA"/>
    <w:lvl w:ilvl="0" w:tentative="0">
      <w:start w:val="1"/>
      <w:numFmt w:val="chineseCountingThousand"/>
      <w:pStyle w:val="1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8"/>
      <w:lvlText w:val="%5)"/>
      <w:lvlJc w:val="left"/>
      <w:pPr>
        <w:ind w:left="2580" w:hanging="420"/>
      </w:pPr>
    </w:lvl>
    <w:lvl w:ilvl="5" w:tentative="0">
      <w:start w:val="1"/>
      <w:numFmt w:val="lowerRoman"/>
      <w:pStyle w:val="10"/>
      <w:lvlText w:val="%6."/>
      <w:lvlJc w:val="right"/>
      <w:pPr>
        <w:ind w:left="3000" w:hanging="420"/>
      </w:pPr>
    </w:lvl>
    <w:lvl w:ilvl="6" w:tentative="0">
      <w:start w:val="1"/>
      <w:numFmt w:val="decimal"/>
      <w:pStyle w:val="11"/>
      <w:lvlText w:val="%7."/>
      <w:lvlJc w:val="left"/>
      <w:pPr>
        <w:ind w:left="3420" w:hanging="420"/>
      </w:pPr>
    </w:lvl>
    <w:lvl w:ilvl="7" w:tentative="0">
      <w:start w:val="1"/>
      <w:numFmt w:val="lowerLetter"/>
      <w:pStyle w:val="12"/>
      <w:lvlText w:val="%8)"/>
      <w:lvlJc w:val="left"/>
      <w:pPr>
        <w:ind w:left="3840" w:hanging="420"/>
      </w:pPr>
    </w:lvl>
    <w:lvl w:ilvl="8" w:tentative="0">
      <w:start w:val="1"/>
      <w:numFmt w:val="lowerRoman"/>
      <w:pStyle w:val="13"/>
      <w:lvlText w:val="%9."/>
      <w:lvlJc w:val="right"/>
      <w:pPr>
        <w:ind w:left="4260" w:hanging="420"/>
      </w:pPr>
    </w:lvl>
  </w:abstractNum>
  <w:abstractNum w:abstractNumId="3">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98"/>
    <w:rsid w:val="00000235"/>
    <w:rsid w:val="00000BE6"/>
    <w:rsid w:val="00000EA6"/>
    <w:rsid w:val="00000F70"/>
    <w:rsid w:val="00001419"/>
    <w:rsid w:val="00001E3D"/>
    <w:rsid w:val="0000234F"/>
    <w:rsid w:val="000031DB"/>
    <w:rsid w:val="0000367B"/>
    <w:rsid w:val="000043C7"/>
    <w:rsid w:val="00004F6D"/>
    <w:rsid w:val="00006D60"/>
    <w:rsid w:val="00007042"/>
    <w:rsid w:val="000070F9"/>
    <w:rsid w:val="00007A45"/>
    <w:rsid w:val="00007B12"/>
    <w:rsid w:val="00007FF7"/>
    <w:rsid w:val="0001002C"/>
    <w:rsid w:val="00010AB6"/>
    <w:rsid w:val="00011112"/>
    <w:rsid w:val="000115B7"/>
    <w:rsid w:val="00011DB7"/>
    <w:rsid w:val="000120AA"/>
    <w:rsid w:val="000124DA"/>
    <w:rsid w:val="00012763"/>
    <w:rsid w:val="00014960"/>
    <w:rsid w:val="000157B1"/>
    <w:rsid w:val="00015FB9"/>
    <w:rsid w:val="00016048"/>
    <w:rsid w:val="00016E1D"/>
    <w:rsid w:val="00016E4A"/>
    <w:rsid w:val="00017814"/>
    <w:rsid w:val="00017B02"/>
    <w:rsid w:val="00017C23"/>
    <w:rsid w:val="000210A2"/>
    <w:rsid w:val="000219E7"/>
    <w:rsid w:val="00022A08"/>
    <w:rsid w:val="0002382C"/>
    <w:rsid w:val="000239AF"/>
    <w:rsid w:val="00023AD3"/>
    <w:rsid w:val="00024119"/>
    <w:rsid w:val="0002412E"/>
    <w:rsid w:val="0002485B"/>
    <w:rsid w:val="00024AEC"/>
    <w:rsid w:val="000252EF"/>
    <w:rsid w:val="0002533B"/>
    <w:rsid w:val="000257AA"/>
    <w:rsid w:val="00026874"/>
    <w:rsid w:val="000269D2"/>
    <w:rsid w:val="00026A4B"/>
    <w:rsid w:val="00026E44"/>
    <w:rsid w:val="0002705C"/>
    <w:rsid w:val="0002739D"/>
    <w:rsid w:val="000275A8"/>
    <w:rsid w:val="00030068"/>
    <w:rsid w:val="000303E1"/>
    <w:rsid w:val="00031417"/>
    <w:rsid w:val="000317C1"/>
    <w:rsid w:val="00031C8D"/>
    <w:rsid w:val="00033587"/>
    <w:rsid w:val="00033A5E"/>
    <w:rsid w:val="00033B87"/>
    <w:rsid w:val="000345B3"/>
    <w:rsid w:val="0003560F"/>
    <w:rsid w:val="00035DE8"/>
    <w:rsid w:val="00036947"/>
    <w:rsid w:val="00036A92"/>
    <w:rsid w:val="00036DAE"/>
    <w:rsid w:val="00036F4B"/>
    <w:rsid w:val="000374B1"/>
    <w:rsid w:val="00037959"/>
    <w:rsid w:val="00040330"/>
    <w:rsid w:val="00041165"/>
    <w:rsid w:val="000413E7"/>
    <w:rsid w:val="0004189A"/>
    <w:rsid w:val="00041B52"/>
    <w:rsid w:val="000420F5"/>
    <w:rsid w:val="000424E0"/>
    <w:rsid w:val="00043441"/>
    <w:rsid w:val="00043DAB"/>
    <w:rsid w:val="000442D2"/>
    <w:rsid w:val="000448D9"/>
    <w:rsid w:val="00045374"/>
    <w:rsid w:val="00045718"/>
    <w:rsid w:val="00045B7B"/>
    <w:rsid w:val="00045D55"/>
    <w:rsid w:val="00045D9F"/>
    <w:rsid w:val="00045ED7"/>
    <w:rsid w:val="000466B9"/>
    <w:rsid w:val="00046CD4"/>
    <w:rsid w:val="00046F87"/>
    <w:rsid w:val="00047D7E"/>
    <w:rsid w:val="000514DD"/>
    <w:rsid w:val="00051A31"/>
    <w:rsid w:val="000525BC"/>
    <w:rsid w:val="0005300B"/>
    <w:rsid w:val="0005314B"/>
    <w:rsid w:val="000532B5"/>
    <w:rsid w:val="00053BE0"/>
    <w:rsid w:val="00053ECC"/>
    <w:rsid w:val="000542B6"/>
    <w:rsid w:val="00054E25"/>
    <w:rsid w:val="0005591B"/>
    <w:rsid w:val="00056A5C"/>
    <w:rsid w:val="00056AC9"/>
    <w:rsid w:val="00057806"/>
    <w:rsid w:val="00057D70"/>
    <w:rsid w:val="00057E18"/>
    <w:rsid w:val="00057E4E"/>
    <w:rsid w:val="000606E0"/>
    <w:rsid w:val="000614CE"/>
    <w:rsid w:val="00061AB0"/>
    <w:rsid w:val="00061CC0"/>
    <w:rsid w:val="00062121"/>
    <w:rsid w:val="000623FE"/>
    <w:rsid w:val="00062573"/>
    <w:rsid w:val="00062808"/>
    <w:rsid w:val="000630CD"/>
    <w:rsid w:val="00063149"/>
    <w:rsid w:val="00063816"/>
    <w:rsid w:val="0006471C"/>
    <w:rsid w:val="00066221"/>
    <w:rsid w:val="0006731E"/>
    <w:rsid w:val="00070B46"/>
    <w:rsid w:val="00071A83"/>
    <w:rsid w:val="00072BCC"/>
    <w:rsid w:val="00073315"/>
    <w:rsid w:val="000733DE"/>
    <w:rsid w:val="00074052"/>
    <w:rsid w:val="00074393"/>
    <w:rsid w:val="00075F03"/>
    <w:rsid w:val="0007640E"/>
    <w:rsid w:val="000805E3"/>
    <w:rsid w:val="00080A21"/>
    <w:rsid w:val="00080C67"/>
    <w:rsid w:val="00080EB2"/>
    <w:rsid w:val="00080F5E"/>
    <w:rsid w:val="00083B58"/>
    <w:rsid w:val="000847DA"/>
    <w:rsid w:val="0008491C"/>
    <w:rsid w:val="00084BE6"/>
    <w:rsid w:val="00084CBA"/>
    <w:rsid w:val="00085CB2"/>
    <w:rsid w:val="00086CCF"/>
    <w:rsid w:val="00087839"/>
    <w:rsid w:val="00090591"/>
    <w:rsid w:val="000915D8"/>
    <w:rsid w:val="0009163A"/>
    <w:rsid w:val="00091A5B"/>
    <w:rsid w:val="00092194"/>
    <w:rsid w:val="00093209"/>
    <w:rsid w:val="00093BF6"/>
    <w:rsid w:val="00093F42"/>
    <w:rsid w:val="00094599"/>
    <w:rsid w:val="000947E3"/>
    <w:rsid w:val="00095545"/>
    <w:rsid w:val="00095686"/>
    <w:rsid w:val="0009631E"/>
    <w:rsid w:val="00096585"/>
    <w:rsid w:val="0009699D"/>
    <w:rsid w:val="000969C2"/>
    <w:rsid w:val="00096E5F"/>
    <w:rsid w:val="00097575"/>
    <w:rsid w:val="00097FF1"/>
    <w:rsid w:val="000A0086"/>
    <w:rsid w:val="000A05BD"/>
    <w:rsid w:val="000A0C46"/>
    <w:rsid w:val="000A1982"/>
    <w:rsid w:val="000A2591"/>
    <w:rsid w:val="000A2813"/>
    <w:rsid w:val="000A2980"/>
    <w:rsid w:val="000A3B7B"/>
    <w:rsid w:val="000A3D56"/>
    <w:rsid w:val="000A4485"/>
    <w:rsid w:val="000A4CF3"/>
    <w:rsid w:val="000A4D42"/>
    <w:rsid w:val="000A5208"/>
    <w:rsid w:val="000A5BAA"/>
    <w:rsid w:val="000A5CA2"/>
    <w:rsid w:val="000A649C"/>
    <w:rsid w:val="000A65CD"/>
    <w:rsid w:val="000A71DC"/>
    <w:rsid w:val="000A74C1"/>
    <w:rsid w:val="000A757D"/>
    <w:rsid w:val="000A77C2"/>
    <w:rsid w:val="000B0168"/>
    <w:rsid w:val="000B0C44"/>
    <w:rsid w:val="000B1306"/>
    <w:rsid w:val="000B32EE"/>
    <w:rsid w:val="000B360E"/>
    <w:rsid w:val="000B3B37"/>
    <w:rsid w:val="000B3B9E"/>
    <w:rsid w:val="000B3C9E"/>
    <w:rsid w:val="000B3F01"/>
    <w:rsid w:val="000B4453"/>
    <w:rsid w:val="000B4A85"/>
    <w:rsid w:val="000B5598"/>
    <w:rsid w:val="000B5644"/>
    <w:rsid w:val="000B5B1A"/>
    <w:rsid w:val="000B5B38"/>
    <w:rsid w:val="000B5D37"/>
    <w:rsid w:val="000B6530"/>
    <w:rsid w:val="000B6BF8"/>
    <w:rsid w:val="000C0059"/>
    <w:rsid w:val="000C0454"/>
    <w:rsid w:val="000C09EA"/>
    <w:rsid w:val="000C1070"/>
    <w:rsid w:val="000C12B4"/>
    <w:rsid w:val="000C1CA4"/>
    <w:rsid w:val="000C2FE2"/>
    <w:rsid w:val="000C363F"/>
    <w:rsid w:val="000C53F9"/>
    <w:rsid w:val="000C5F9A"/>
    <w:rsid w:val="000C65E7"/>
    <w:rsid w:val="000C679A"/>
    <w:rsid w:val="000D0DBD"/>
    <w:rsid w:val="000D19B9"/>
    <w:rsid w:val="000D1B36"/>
    <w:rsid w:val="000D24E6"/>
    <w:rsid w:val="000D266C"/>
    <w:rsid w:val="000D27B9"/>
    <w:rsid w:val="000D2A7C"/>
    <w:rsid w:val="000D2ED8"/>
    <w:rsid w:val="000D4981"/>
    <w:rsid w:val="000D4D01"/>
    <w:rsid w:val="000D589B"/>
    <w:rsid w:val="000D5E63"/>
    <w:rsid w:val="000D6747"/>
    <w:rsid w:val="000D6DAD"/>
    <w:rsid w:val="000D75FD"/>
    <w:rsid w:val="000D78A2"/>
    <w:rsid w:val="000D78E1"/>
    <w:rsid w:val="000D7E20"/>
    <w:rsid w:val="000E0700"/>
    <w:rsid w:val="000E179D"/>
    <w:rsid w:val="000E2962"/>
    <w:rsid w:val="000E2C47"/>
    <w:rsid w:val="000E2DED"/>
    <w:rsid w:val="000E31BF"/>
    <w:rsid w:val="000E321F"/>
    <w:rsid w:val="000E37F4"/>
    <w:rsid w:val="000E383E"/>
    <w:rsid w:val="000E3948"/>
    <w:rsid w:val="000E41F0"/>
    <w:rsid w:val="000E4595"/>
    <w:rsid w:val="000E45B8"/>
    <w:rsid w:val="000E478A"/>
    <w:rsid w:val="000E4E7E"/>
    <w:rsid w:val="000E54B2"/>
    <w:rsid w:val="000E55C0"/>
    <w:rsid w:val="000E6995"/>
    <w:rsid w:val="000F0043"/>
    <w:rsid w:val="000F1028"/>
    <w:rsid w:val="000F32BC"/>
    <w:rsid w:val="000F397F"/>
    <w:rsid w:val="000F3B93"/>
    <w:rsid w:val="000F40BA"/>
    <w:rsid w:val="000F43EB"/>
    <w:rsid w:val="000F4885"/>
    <w:rsid w:val="000F53BD"/>
    <w:rsid w:val="000F5D4C"/>
    <w:rsid w:val="000F6A30"/>
    <w:rsid w:val="000F7931"/>
    <w:rsid w:val="000F7C55"/>
    <w:rsid w:val="00100233"/>
    <w:rsid w:val="00100C36"/>
    <w:rsid w:val="00101727"/>
    <w:rsid w:val="00101B32"/>
    <w:rsid w:val="0010269D"/>
    <w:rsid w:val="00102711"/>
    <w:rsid w:val="00102B16"/>
    <w:rsid w:val="00102B75"/>
    <w:rsid w:val="0010348F"/>
    <w:rsid w:val="001034A6"/>
    <w:rsid w:val="0010388D"/>
    <w:rsid w:val="00103D5A"/>
    <w:rsid w:val="00104C63"/>
    <w:rsid w:val="0010686F"/>
    <w:rsid w:val="0010717F"/>
    <w:rsid w:val="00107881"/>
    <w:rsid w:val="00107944"/>
    <w:rsid w:val="001106E1"/>
    <w:rsid w:val="0011175F"/>
    <w:rsid w:val="00111A85"/>
    <w:rsid w:val="0011312C"/>
    <w:rsid w:val="001139F7"/>
    <w:rsid w:val="00114253"/>
    <w:rsid w:val="00114844"/>
    <w:rsid w:val="00114E59"/>
    <w:rsid w:val="0011544C"/>
    <w:rsid w:val="00115C23"/>
    <w:rsid w:val="00115EA5"/>
    <w:rsid w:val="00116042"/>
    <w:rsid w:val="001161C6"/>
    <w:rsid w:val="00116772"/>
    <w:rsid w:val="00116AC0"/>
    <w:rsid w:val="00117558"/>
    <w:rsid w:val="0011780D"/>
    <w:rsid w:val="00117BB9"/>
    <w:rsid w:val="0012009A"/>
    <w:rsid w:val="001204FE"/>
    <w:rsid w:val="0012087C"/>
    <w:rsid w:val="00120B9F"/>
    <w:rsid w:val="00120E6A"/>
    <w:rsid w:val="0012216B"/>
    <w:rsid w:val="001223E2"/>
    <w:rsid w:val="0012259A"/>
    <w:rsid w:val="0012444B"/>
    <w:rsid w:val="00125976"/>
    <w:rsid w:val="00126A2C"/>
    <w:rsid w:val="00131D50"/>
    <w:rsid w:val="00131E0E"/>
    <w:rsid w:val="00132238"/>
    <w:rsid w:val="00132937"/>
    <w:rsid w:val="00133A8C"/>
    <w:rsid w:val="00133E96"/>
    <w:rsid w:val="00133F75"/>
    <w:rsid w:val="00134C03"/>
    <w:rsid w:val="001353A6"/>
    <w:rsid w:val="001361A9"/>
    <w:rsid w:val="00136235"/>
    <w:rsid w:val="00136A54"/>
    <w:rsid w:val="00136AE6"/>
    <w:rsid w:val="0014052A"/>
    <w:rsid w:val="00140691"/>
    <w:rsid w:val="00140BE5"/>
    <w:rsid w:val="0014127E"/>
    <w:rsid w:val="001421C2"/>
    <w:rsid w:val="001423AB"/>
    <w:rsid w:val="0014380F"/>
    <w:rsid w:val="00143C68"/>
    <w:rsid w:val="00143D98"/>
    <w:rsid w:val="00143E53"/>
    <w:rsid w:val="00145440"/>
    <w:rsid w:val="00145754"/>
    <w:rsid w:val="00145F94"/>
    <w:rsid w:val="00145FFF"/>
    <w:rsid w:val="0014656A"/>
    <w:rsid w:val="00146586"/>
    <w:rsid w:val="00147305"/>
    <w:rsid w:val="00147975"/>
    <w:rsid w:val="0015026F"/>
    <w:rsid w:val="00150892"/>
    <w:rsid w:val="0015124C"/>
    <w:rsid w:val="00151300"/>
    <w:rsid w:val="00151D0E"/>
    <w:rsid w:val="00152305"/>
    <w:rsid w:val="001525EC"/>
    <w:rsid w:val="001531A9"/>
    <w:rsid w:val="00153202"/>
    <w:rsid w:val="00153516"/>
    <w:rsid w:val="00153C46"/>
    <w:rsid w:val="001543A4"/>
    <w:rsid w:val="00155647"/>
    <w:rsid w:val="00155704"/>
    <w:rsid w:val="00155CB2"/>
    <w:rsid w:val="001568F0"/>
    <w:rsid w:val="00156C77"/>
    <w:rsid w:val="00157122"/>
    <w:rsid w:val="001571BF"/>
    <w:rsid w:val="001572C3"/>
    <w:rsid w:val="00157C3C"/>
    <w:rsid w:val="00160102"/>
    <w:rsid w:val="001601B3"/>
    <w:rsid w:val="00160649"/>
    <w:rsid w:val="0016070E"/>
    <w:rsid w:val="0016124F"/>
    <w:rsid w:val="00161436"/>
    <w:rsid w:val="001617A1"/>
    <w:rsid w:val="00161BB0"/>
    <w:rsid w:val="0016213C"/>
    <w:rsid w:val="00162310"/>
    <w:rsid w:val="001633E2"/>
    <w:rsid w:val="001642FC"/>
    <w:rsid w:val="00164ACB"/>
    <w:rsid w:val="00164B24"/>
    <w:rsid w:val="00164B39"/>
    <w:rsid w:val="00164C55"/>
    <w:rsid w:val="00164D37"/>
    <w:rsid w:val="00164F73"/>
    <w:rsid w:val="00165209"/>
    <w:rsid w:val="00165437"/>
    <w:rsid w:val="00165A0E"/>
    <w:rsid w:val="0016645A"/>
    <w:rsid w:val="00167185"/>
    <w:rsid w:val="00167E04"/>
    <w:rsid w:val="00167EB1"/>
    <w:rsid w:val="0017048B"/>
    <w:rsid w:val="00170FE6"/>
    <w:rsid w:val="001716C5"/>
    <w:rsid w:val="0017196C"/>
    <w:rsid w:val="00171C8D"/>
    <w:rsid w:val="00171F94"/>
    <w:rsid w:val="001720B1"/>
    <w:rsid w:val="00172A27"/>
    <w:rsid w:val="00173927"/>
    <w:rsid w:val="00173BC2"/>
    <w:rsid w:val="00174215"/>
    <w:rsid w:val="00174827"/>
    <w:rsid w:val="0017492B"/>
    <w:rsid w:val="00175156"/>
    <w:rsid w:val="00175800"/>
    <w:rsid w:val="001762C2"/>
    <w:rsid w:val="0017656B"/>
    <w:rsid w:val="00176F1C"/>
    <w:rsid w:val="0017768B"/>
    <w:rsid w:val="00180483"/>
    <w:rsid w:val="00180DC0"/>
    <w:rsid w:val="001816F7"/>
    <w:rsid w:val="00181C17"/>
    <w:rsid w:val="00182090"/>
    <w:rsid w:val="00182986"/>
    <w:rsid w:val="00182C2B"/>
    <w:rsid w:val="001834E5"/>
    <w:rsid w:val="00183B9A"/>
    <w:rsid w:val="00183E42"/>
    <w:rsid w:val="00183EFC"/>
    <w:rsid w:val="00184962"/>
    <w:rsid w:val="00186E9E"/>
    <w:rsid w:val="00187998"/>
    <w:rsid w:val="00187C13"/>
    <w:rsid w:val="00187D3D"/>
    <w:rsid w:val="00191153"/>
    <w:rsid w:val="00191B8A"/>
    <w:rsid w:val="00192F2B"/>
    <w:rsid w:val="0019303A"/>
    <w:rsid w:val="00193238"/>
    <w:rsid w:val="0019436B"/>
    <w:rsid w:val="001946B0"/>
    <w:rsid w:val="00194D99"/>
    <w:rsid w:val="00195327"/>
    <w:rsid w:val="00195BB9"/>
    <w:rsid w:val="00195F1C"/>
    <w:rsid w:val="00196050"/>
    <w:rsid w:val="00196479"/>
    <w:rsid w:val="00196F4A"/>
    <w:rsid w:val="001975C8"/>
    <w:rsid w:val="001978B8"/>
    <w:rsid w:val="001A00C0"/>
    <w:rsid w:val="001A0933"/>
    <w:rsid w:val="001A16D8"/>
    <w:rsid w:val="001A1907"/>
    <w:rsid w:val="001A1A8D"/>
    <w:rsid w:val="001A2AC9"/>
    <w:rsid w:val="001A3177"/>
    <w:rsid w:val="001A385A"/>
    <w:rsid w:val="001A3F47"/>
    <w:rsid w:val="001A4709"/>
    <w:rsid w:val="001A5246"/>
    <w:rsid w:val="001A54C0"/>
    <w:rsid w:val="001A55F5"/>
    <w:rsid w:val="001A565F"/>
    <w:rsid w:val="001A5EA4"/>
    <w:rsid w:val="001A6204"/>
    <w:rsid w:val="001A67DD"/>
    <w:rsid w:val="001A6E38"/>
    <w:rsid w:val="001A721C"/>
    <w:rsid w:val="001A73A5"/>
    <w:rsid w:val="001B0078"/>
    <w:rsid w:val="001B08C2"/>
    <w:rsid w:val="001B0A0D"/>
    <w:rsid w:val="001B135E"/>
    <w:rsid w:val="001B1E8E"/>
    <w:rsid w:val="001B2988"/>
    <w:rsid w:val="001B2B8F"/>
    <w:rsid w:val="001B5498"/>
    <w:rsid w:val="001B73EF"/>
    <w:rsid w:val="001B7435"/>
    <w:rsid w:val="001B754B"/>
    <w:rsid w:val="001B7A9A"/>
    <w:rsid w:val="001C126D"/>
    <w:rsid w:val="001C20C2"/>
    <w:rsid w:val="001C2180"/>
    <w:rsid w:val="001C28DD"/>
    <w:rsid w:val="001C2D8A"/>
    <w:rsid w:val="001C30A8"/>
    <w:rsid w:val="001C3889"/>
    <w:rsid w:val="001C39E2"/>
    <w:rsid w:val="001C45A6"/>
    <w:rsid w:val="001C4A21"/>
    <w:rsid w:val="001C4FCF"/>
    <w:rsid w:val="001C5B7F"/>
    <w:rsid w:val="001C5E29"/>
    <w:rsid w:val="001C66F0"/>
    <w:rsid w:val="001D00FF"/>
    <w:rsid w:val="001D07EE"/>
    <w:rsid w:val="001D1126"/>
    <w:rsid w:val="001D1635"/>
    <w:rsid w:val="001D1B5F"/>
    <w:rsid w:val="001D257B"/>
    <w:rsid w:val="001D280A"/>
    <w:rsid w:val="001D2EA7"/>
    <w:rsid w:val="001D33CB"/>
    <w:rsid w:val="001D3E7E"/>
    <w:rsid w:val="001D4ED3"/>
    <w:rsid w:val="001D6104"/>
    <w:rsid w:val="001D7F37"/>
    <w:rsid w:val="001E0888"/>
    <w:rsid w:val="001E08AC"/>
    <w:rsid w:val="001E2E15"/>
    <w:rsid w:val="001E3547"/>
    <w:rsid w:val="001E4177"/>
    <w:rsid w:val="001E41D3"/>
    <w:rsid w:val="001E424E"/>
    <w:rsid w:val="001E4491"/>
    <w:rsid w:val="001E46AC"/>
    <w:rsid w:val="001E59AD"/>
    <w:rsid w:val="001E70E4"/>
    <w:rsid w:val="001E764E"/>
    <w:rsid w:val="001F0973"/>
    <w:rsid w:val="001F18BC"/>
    <w:rsid w:val="001F2518"/>
    <w:rsid w:val="001F25C4"/>
    <w:rsid w:val="001F2B35"/>
    <w:rsid w:val="001F3AC3"/>
    <w:rsid w:val="001F3F32"/>
    <w:rsid w:val="001F4C8B"/>
    <w:rsid w:val="001F502E"/>
    <w:rsid w:val="001F5596"/>
    <w:rsid w:val="001F56B5"/>
    <w:rsid w:val="001F5AA5"/>
    <w:rsid w:val="001F5D09"/>
    <w:rsid w:val="001F611B"/>
    <w:rsid w:val="001F6DD6"/>
    <w:rsid w:val="001F777F"/>
    <w:rsid w:val="0020068B"/>
    <w:rsid w:val="00201E57"/>
    <w:rsid w:val="00203125"/>
    <w:rsid w:val="002034CD"/>
    <w:rsid w:val="0020361C"/>
    <w:rsid w:val="00203B3F"/>
    <w:rsid w:val="00204053"/>
    <w:rsid w:val="0020446D"/>
    <w:rsid w:val="002050AB"/>
    <w:rsid w:val="0020543A"/>
    <w:rsid w:val="002056BA"/>
    <w:rsid w:val="00206512"/>
    <w:rsid w:val="002072CF"/>
    <w:rsid w:val="002075C3"/>
    <w:rsid w:val="00207A15"/>
    <w:rsid w:val="00210778"/>
    <w:rsid w:val="002111E3"/>
    <w:rsid w:val="002113D1"/>
    <w:rsid w:val="002123FA"/>
    <w:rsid w:val="00212C1C"/>
    <w:rsid w:val="00213F98"/>
    <w:rsid w:val="002140BD"/>
    <w:rsid w:val="00214416"/>
    <w:rsid w:val="0021554B"/>
    <w:rsid w:val="00215FF9"/>
    <w:rsid w:val="002161A1"/>
    <w:rsid w:val="00216F6F"/>
    <w:rsid w:val="00217658"/>
    <w:rsid w:val="0022104E"/>
    <w:rsid w:val="00221498"/>
    <w:rsid w:val="00221529"/>
    <w:rsid w:val="00221D6D"/>
    <w:rsid w:val="00222671"/>
    <w:rsid w:val="00223947"/>
    <w:rsid w:val="00223CC6"/>
    <w:rsid w:val="00223DF4"/>
    <w:rsid w:val="002246F4"/>
    <w:rsid w:val="0022555F"/>
    <w:rsid w:val="002255EB"/>
    <w:rsid w:val="00225E4E"/>
    <w:rsid w:val="0022650F"/>
    <w:rsid w:val="00226800"/>
    <w:rsid w:val="0023284D"/>
    <w:rsid w:val="00232D72"/>
    <w:rsid w:val="0023383D"/>
    <w:rsid w:val="00233DB3"/>
    <w:rsid w:val="00233F41"/>
    <w:rsid w:val="00233F99"/>
    <w:rsid w:val="002341AB"/>
    <w:rsid w:val="00234F6F"/>
    <w:rsid w:val="00236BE8"/>
    <w:rsid w:val="00236E28"/>
    <w:rsid w:val="00237627"/>
    <w:rsid w:val="0023779B"/>
    <w:rsid w:val="00240A82"/>
    <w:rsid w:val="00240AFA"/>
    <w:rsid w:val="00240E70"/>
    <w:rsid w:val="0024301B"/>
    <w:rsid w:val="002436C0"/>
    <w:rsid w:val="00244697"/>
    <w:rsid w:val="00244A63"/>
    <w:rsid w:val="0024527E"/>
    <w:rsid w:val="0024550D"/>
    <w:rsid w:val="00245AFC"/>
    <w:rsid w:val="00245E5C"/>
    <w:rsid w:val="00245FB5"/>
    <w:rsid w:val="00246548"/>
    <w:rsid w:val="00246D33"/>
    <w:rsid w:val="00247100"/>
    <w:rsid w:val="00247A2E"/>
    <w:rsid w:val="00247C61"/>
    <w:rsid w:val="00247DF3"/>
    <w:rsid w:val="0025069C"/>
    <w:rsid w:val="00250889"/>
    <w:rsid w:val="00251BD0"/>
    <w:rsid w:val="00252C91"/>
    <w:rsid w:val="00252F53"/>
    <w:rsid w:val="00253110"/>
    <w:rsid w:val="00254E9E"/>
    <w:rsid w:val="0025622D"/>
    <w:rsid w:val="002575BB"/>
    <w:rsid w:val="00257967"/>
    <w:rsid w:val="00257FB5"/>
    <w:rsid w:val="00260A57"/>
    <w:rsid w:val="002611C7"/>
    <w:rsid w:val="00261536"/>
    <w:rsid w:val="002621B7"/>
    <w:rsid w:val="00262474"/>
    <w:rsid w:val="0026287B"/>
    <w:rsid w:val="00262FAF"/>
    <w:rsid w:val="002638A0"/>
    <w:rsid w:val="0026494F"/>
    <w:rsid w:val="0026552A"/>
    <w:rsid w:val="00265F0B"/>
    <w:rsid w:val="002702BB"/>
    <w:rsid w:val="00270A0D"/>
    <w:rsid w:val="00270B92"/>
    <w:rsid w:val="00271866"/>
    <w:rsid w:val="002730C4"/>
    <w:rsid w:val="00273525"/>
    <w:rsid w:val="002743CA"/>
    <w:rsid w:val="0027468C"/>
    <w:rsid w:val="002746F5"/>
    <w:rsid w:val="00274BB8"/>
    <w:rsid w:val="002752FA"/>
    <w:rsid w:val="002758C9"/>
    <w:rsid w:val="002759E7"/>
    <w:rsid w:val="002763BA"/>
    <w:rsid w:val="002765AC"/>
    <w:rsid w:val="0027678C"/>
    <w:rsid w:val="002767FA"/>
    <w:rsid w:val="00276BFB"/>
    <w:rsid w:val="002771A4"/>
    <w:rsid w:val="002774C6"/>
    <w:rsid w:val="00277D29"/>
    <w:rsid w:val="00281682"/>
    <w:rsid w:val="00281FD2"/>
    <w:rsid w:val="002825D0"/>
    <w:rsid w:val="00282812"/>
    <w:rsid w:val="00282913"/>
    <w:rsid w:val="00283D06"/>
    <w:rsid w:val="00284152"/>
    <w:rsid w:val="002855CF"/>
    <w:rsid w:val="00285661"/>
    <w:rsid w:val="00285AA7"/>
    <w:rsid w:val="00286A92"/>
    <w:rsid w:val="002877F4"/>
    <w:rsid w:val="00287C65"/>
    <w:rsid w:val="002918DC"/>
    <w:rsid w:val="00291996"/>
    <w:rsid w:val="00291D56"/>
    <w:rsid w:val="00291D83"/>
    <w:rsid w:val="00292030"/>
    <w:rsid w:val="002921DD"/>
    <w:rsid w:val="00292512"/>
    <w:rsid w:val="002928A1"/>
    <w:rsid w:val="0029297B"/>
    <w:rsid w:val="00292A18"/>
    <w:rsid w:val="00292DBA"/>
    <w:rsid w:val="0029364C"/>
    <w:rsid w:val="00293655"/>
    <w:rsid w:val="00293841"/>
    <w:rsid w:val="002943B6"/>
    <w:rsid w:val="002956ED"/>
    <w:rsid w:val="00295D3C"/>
    <w:rsid w:val="00295E73"/>
    <w:rsid w:val="0029600D"/>
    <w:rsid w:val="002962B2"/>
    <w:rsid w:val="00297224"/>
    <w:rsid w:val="002976D1"/>
    <w:rsid w:val="00297F5F"/>
    <w:rsid w:val="002A0AF6"/>
    <w:rsid w:val="002A15B5"/>
    <w:rsid w:val="002A1C3D"/>
    <w:rsid w:val="002A3246"/>
    <w:rsid w:val="002A37F6"/>
    <w:rsid w:val="002A3B3F"/>
    <w:rsid w:val="002A3DEA"/>
    <w:rsid w:val="002A45BD"/>
    <w:rsid w:val="002A4F1D"/>
    <w:rsid w:val="002A5A5E"/>
    <w:rsid w:val="002A5CB2"/>
    <w:rsid w:val="002A6021"/>
    <w:rsid w:val="002A6BAC"/>
    <w:rsid w:val="002A7E3E"/>
    <w:rsid w:val="002B1420"/>
    <w:rsid w:val="002B171E"/>
    <w:rsid w:val="002B2986"/>
    <w:rsid w:val="002B2C59"/>
    <w:rsid w:val="002B2F84"/>
    <w:rsid w:val="002B4296"/>
    <w:rsid w:val="002B4306"/>
    <w:rsid w:val="002B463E"/>
    <w:rsid w:val="002B464A"/>
    <w:rsid w:val="002B4721"/>
    <w:rsid w:val="002B4DDD"/>
    <w:rsid w:val="002B50A0"/>
    <w:rsid w:val="002B5C96"/>
    <w:rsid w:val="002B5E09"/>
    <w:rsid w:val="002B6A63"/>
    <w:rsid w:val="002B786D"/>
    <w:rsid w:val="002B7CFF"/>
    <w:rsid w:val="002C0572"/>
    <w:rsid w:val="002C1485"/>
    <w:rsid w:val="002C1AFF"/>
    <w:rsid w:val="002C269C"/>
    <w:rsid w:val="002C28DE"/>
    <w:rsid w:val="002C34AA"/>
    <w:rsid w:val="002C3562"/>
    <w:rsid w:val="002C4488"/>
    <w:rsid w:val="002C493F"/>
    <w:rsid w:val="002C51D1"/>
    <w:rsid w:val="002C5495"/>
    <w:rsid w:val="002C6097"/>
    <w:rsid w:val="002C6158"/>
    <w:rsid w:val="002C6BA9"/>
    <w:rsid w:val="002C7665"/>
    <w:rsid w:val="002C7F86"/>
    <w:rsid w:val="002D06C7"/>
    <w:rsid w:val="002D0B49"/>
    <w:rsid w:val="002D0FDA"/>
    <w:rsid w:val="002D1825"/>
    <w:rsid w:val="002D1C41"/>
    <w:rsid w:val="002D1F2F"/>
    <w:rsid w:val="002D32FB"/>
    <w:rsid w:val="002D3368"/>
    <w:rsid w:val="002D3671"/>
    <w:rsid w:val="002D3EB1"/>
    <w:rsid w:val="002D407F"/>
    <w:rsid w:val="002D494D"/>
    <w:rsid w:val="002D654B"/>
    <w:rsid w:val="002D670D"/>
    <w:rsid w:val="002E010F"/>
    <w:rsid w:val="002E03B2"/>
    <w:rsid w:val="002E051E"/>
    <w:rsid w:val="002E11E5"/>
    <w:rsid w:val="002E156A"/>
    <w:rsid w:val="002E158C"/>
    <w:rsid w:val="002E18A0"/>
    <w:rsid w:val="002E1B50"/>
    <w:rsid w:val="002E2C23"/>
    <w:rsid w:val="002E3044"/>
    <w:rsid w:val="002E352C"/>
    <w:rsid w:val="002E3FCE"/>
    <w:rsid w:val="002E5478"/>
    <w:rsid w:val="002E5DB2"/>
    <w:rsid w:val="002E6620"/>
    <w:rsid w:val="002E69C7"/>
    <w:rsid w:val="002E6AA9"/>
    <w:rsid w:val="002E6AF0"/>
    <w:rsid w:val="002E7110"/>
    <w:rsid w:val="002E73C7"/>
    <w:rsid w:val="002E74DC"/>
    <w:rsid w:val="002E7A79"/>
    <w:rsid w:val="002E7F24"/>
    <w:rsid w:val="002F0193"/>
    <w:rsid w:val="002F0A2F"/>
    <w:rsid w:val="002F0EBA"/>
    <w:rsid w:val="002F1045"/>
    <w:rsid w:val="002F123E"/>
    <w:rsid w:val="002F15FC"/>
    <w:rsid w:val="002F1B94"/>
    <w:rsid w:val="002F2A27"/>
    <w:rsid w:val="002F2C1A"/>
    <w:rsid w:val="002F3454"/>
    <w:rsid w:val="002F446C"/>
    <w:rsid w:val="002F48F1"/>
    <w:rsid w:val="002F525A"/>
    <w:rsid w:val="002F63F7"/>
    <w:rsid w:val="002F673E"/>
    <w:rsid w:val="002F6A83"/>
    <w:rsid w:val="002F6C21"/>
    <w:rsid w:val="002F77CC"/>
    <w:rsid w:val="002F784D"/>
    <w:rsid w:val="002F79BD"/>
    <w:rsid w:val="002F7AE1"/>
    <w:rsid w:val="00300AFD"/>
    <w:rsid w:val="00300DB7"/>
    <w:rsid w:val="0030136E"/>
    <w:rsid w:val="00301CB4"/>
    <w:rsid w:val="00302DFC"/>
    <w:rsid w:val="00303698"/>
    <w:rsid w:val="00303ADC"/>
    <w:rsid w:val="00304059"/>
    <w:rsid w:val="00304365"/>
    <w:rsid w:val="003057E9"/>
    <w:rsid w:val="003060EE"/>
    <w:rsid w:val="00306620"/>
    <w:rsid w:val="0030793E"/>
    <w:rsid w:val="00307A8B"/>
    <w:rsid w:val="00307EA1"/>
    <w:rsid w:val="003117F4"/>
    <w:rsid w:val="00312163"/>
    <w:rsid w:val="003139BB"/>
    <w:rsid w:val="00313E9A"/>
    <w:rsid w:val="0031504C"/>
    <w:rsid w:val="00315844"/>
    <w:rsid w:val="00315F6E"/>
    <w:rsid w:val="00316239"/>
    <w:rsid w:val="00316254"/>
    <w:rsid w:val="00316417"/>
    <w:rsid w:val="00316447"/>
    <w:rsid w:val="00317CAD"/>
    <w:rsid w:val="00320CF1"/>
    <w:rsid w:val="00320F73"/>
    <w:rsid w:val="00321191"/>
    <w:rsid w:val="00321801"/>
    <w:rsid w:val="003218C7"/>
    <w:rsid w:val="00321998"/>
    <w:rsid w:val="00321DED"/>
    <w:rsid w:val="003223D7"/>
    <w:rsid w:val="00323321"/>
    <w:rsid w:val="00323A38"/>
    <w:rsid w:val="003247E0"/>
    <w:rsid w:val="0032632F"/>
    <w:rsid w:val="0032639C"/>
    <w:rsid w:val="00326773"/>
    <w:rsid w:val="00326B01"/>
    <w:rsid w:val="00326F15"/>
    <w:rsid w:val="0032712C"/>
    <w:rsid w:val="003279A9"/>
    <w:rsid w:val="003302F6"/>
    <w:rsid w:val="003304BD"/>
    <w:rsid w:val="0033150C"/>
    <w:rsid w:val="00332572"/>
    <w:rsid w:val="0033258E"/>
    <w:rsid w:val="003333BA"/>
    <w:rsid w:val="0033380F"/>
    <w:rsid w:val="00333D73"/>
    <w:rsid w:val="00333E84"/>
    <w:rsid w:val="00333EE8"/>
    <w:rsid w:val="003341F3"/>
    <w:rsid w:val="00334986"/>
    <w:rsid w:val="003358B1"/>
    <w:rsid w:val="00335ECB"/>
    <w:rsid w:val="00336829"/>
    <w:rsid w:val="00336F8D"/>
    <w:rsid w:val="003371DE"/>
    <w:rsid w:val="00337571"/>
    <w:rsid w:val="003407A5"/>
    <w:rsid w:val="00340972"/>
    <w:rsid w:val="003409E6"/>
    <w:rsid w:val="003417A7"/>
    <w:rsid w:val="00342562"/>
    <w:rsid w:val="003426EC"/>
    <w:rsid w:val="00342EDC"/>
    <w:rsid w:val="0034355C"/>
    <w:rsid w:val="00343B56"/>
    <w:rsid w:val="00344356"/>
    <w:rsid w:val="00344E1D"/>
    <w:rsid w:val="00345FA2"/>
    <w:rsid w:val="003463BF"/>
    <w:rsid w:val="00346517"/>
    <w:rsid w:val="00346F75"/>
    <w:rsid w:val="00347049"/>
    <w:rsid w:val="0035036B"/>
    <w:rsid w:val="003509DD"/>
    <w:rsid w:val="00350E65"/>
    <w:rsid w:val="00350FE4"/>
    <w:rsid w:val="003510D1"/>
    <w:rsid w:val="00351CD1"/>
    <w:rsid w:val="003521C6"/>
    <w:rsid w:val="00352531"/>
    <w:rsid w:val="00352883"/>
    <w:rsid w:val="003529B9"/>
    <w:rsid w:val="00352A74"/>
    <w:rsid w:val="003530DD"/>
    <w:rsid w:val="0035340B"/>
    <w:rsid w:val="00353A39"/>
    <w:rsid w:val="00353C2C"/>
    <w:rsid w:val="00354F72"/>
    <w:rsid w:val="00355668"/>
    <w:rsid w:val="003559F7"/>
    <w:rsid w:val="00355B0A"/>
    <w:rsid w:val="00356D6E"/>
    <w:rsid w:val="0035760F"/>
    <w:rsid w:val="003578FC"/>
    <w:rsid w:val="00357A5C"/>
    <w:rsid w:val="00360F24"/>
    <w:rsid w:val="00362003"/>
    <w:rsid w:val="00362619"/>
    <w:rsid w:val="003629EA"/>
    <w:rsid w:val="00362A11"/>
    <w:rsid w:val="00363365"/>
    <w:rsid w:val="00364DB5"/>
    <w:rsid w:val="003654D9"/>
    <w:rsid w:val="00366044"/>
    <w:rsid w:val="00366B82"/>
    <w:rsid w:val="003707BD"/>
    <w:rsid w:val="0037262E"/>
    <w:rsid w:val="00372C39"/>
    <w:rsid w:val="00373D22"/>
    <w:rsid w:val="00374B60"/>
    <w:rsid w:val="00380066"/>
    <w:rsid w:val="00380744"/>
    <w:rsid w:val="00380E79"/>
    <w:rsid w:val="003810C1"/>
    <w:rsid w:val="00382074"/>
    <w:rsid w:val="0038216B"/>
    <w:rsid w:val="00382B18"/>
    <w:rsid w:val="003834EA"/>
    <w:rsid w:val="00383C28"/>
    <w:rsid w:val="00384D20"/>
    <w:rsid w:val="00384DD1"/>
    <w:rsid w:val="003879C8"/>
    <w:rsid w:val="003902CF"/>
    <w:rsid w:val="00390B43"/>
    <w:rsid w:val="00390C7B"/>
    <w:rsid w:val="003930BA"/>
    <w:rsid w:val="003937F5"/>
    <w:rsid w:val="0039419A"/>
    <w:rsid w:val="00394206"/>
    <w:rsid w:val="003942B5"/>
    <w:rsid w:val="00394975"/>
    <w:rsid w:val="0039737E"/>
    <w:rsid w:val="003A0373"/>
    <w:rsid w:val="003A21B5"/>
    <w:rsid w:val="003A225A"/>
    <w:rsid w:val="003A2C1E"/>
    <w:rsid w:val="003A34E1"/>
    <w:rsid w:val="003A3B0B"/>
    <w:rsid w:val="003A3B16"/>
    <w:rsid w:val="003A3B82"/>
    <w:rsid w:val="003A5007"/>
    <w:rsid w:val="003A50C9"/>
    <w:rsid w:val="003A52A2"/>
    <w:rsid w:val="003A564B"/>
    <w:rsid w:val="003A5D47"/>
    <w:rsid w:val="003A6B21"/>
    <w:rsid w:val="003A6FBC"/>
    <w:rsid w:val="003A7116"/>
    <w:rsid w:val="003B02C4"/>
    <w:rsid w:val="003B0497"/>
    <w:rsid w:val="003B0BD3"/>
    <w:rsid w:val="003B1B30"/>
    <w:rsid w:val="003B1CE5"/>
    <w:rsid w:val="003B25B3"/>
    <w:rsid w:val="003B304E"/>
    <w:rsid w:val="003B309A"/>
    <w:rsid w:val="003B3FDC"/>
    <w:rsid w:val="003B4132"/>
    <w:rsid w:val="003B459C"/>
    <w:rsid w:val="003B476F"/>
    <w:rsid w:val="003B4CEC"/>
    <w:rsid w:val="003B4E14"/>
    <w:rsid w:val="003B53FF"/>
    <w:rsid w:val="003B5631"/>
    <w:rsid w:val="003B5990"/>
    <w:rsid w:val="003B6EC7"/>
    <w:rsid w:val="003C02BF"/>
    <w:rsid w:val="003C0EDC"/>
    <w:rsid w:val="003C0F2F"/>
    <w:rsid w:val="003C175C"/>
    <w:rsid w:val="003C2105"/>
    <w:rsid w:val="003C2149"/>
    <w:rsid w:val="003C225E"/>
    <w:rsid w:val="003C2C23"/>
    <w:rsid w:val="003C3065"/>
    <w:rsid w:val="003C337C"/>
    <w:rsid w:val="003C37FB"/>
    <w:rsid w:val="003C4227"/>
    <w:rsid w:val="003C447F"/>
    <w:rsid w:val="003C5DFF"/>
    <w:rsid w:val="003C7001"/>
    <w:rsid w:val="003C7D07"/>
    <w:rsid w:val="003C7D98"/>
    <w:rsid w:val="003C7EA7"/>
    <w:rsid w:val="003D0C20"/>
    <w:rsid w:val="003D0D9B"/>
    <w:rsid w:val="003D179A"/>
    <w:rsid w:val="003D1935"/>
    <w:rsid w:val="003D3566"/>
    <w:rsid w:val="003D3B13"/>
    <w:rsid w:val="003D3D79"/>
    <w:rsid w:val="003D4381"/>
    <w:rsid w:val="003D4423"/>
    <w:rsid w:val="003D4A54"/>
    <w:rsid w:val="003D4ADC"/>
    <w:rsid w:val="003D4D59"/>
    <w:rsid w:val="003D4E77"/>
    <w:rsid w:val="003D4FDC"/>
    <w:rsid w:val="003E00AD"/>
    <w:rsid w:val="003E107B"/>
    <w:rsid w:val="003E10AB"/>
    <w:rsid w:val="003E248D"/>
    <w:rsid w:val="003E24F5"/>
    <w:rsid w:val="003E3EA4"/>
    <w:rsid w:val="003E4B1F"/>
    <w:rsid w:val="003E4E9A"/>
    <w:rsid w:val="003E4FB4"/>
    <w:rsid w:val="003E5FB0"/>
    <w:rsid w:val="003E7092"/>
    <w:rsid w:val="003E7A0A"/>
    <w:rsid w:val="003E7C9F"/>
    <w:rsid w:val="003F2075"/>
    <w:rsid w:val="003F253D"/>
    <w:rsid w:val="003F290B"/>
    <w:rsid w:val="003F2F8C"/>
    <w:rsid w:val="003F47D6"/>
    <w:rsid w:val="003F4C1A"/>
    <w:rsid w:val="003F5CCB"/>
    <w:rsid w:val="003F7E2A"/>
    <w:rsid w:val="00400211"/>
    <w:rsid w:val="00400F46"/>
    <w:rsid w:val="00402154"/>
    <w:rsid w:val="00403825"/>
    <w:rsid w:val="0040439F"/>
    <w:rsid w:val="004055CC"/>
    <w:rsid w:val="00405CEC"/>
    <w:rsid w:val="0040682B"/>
    <w:rsid w:val="00406958"/>
    <w:rsid w:val="00406FD0"/>
    <w:rsid w:val="004100E0"/>
    <w:rsid w:val="00410627"/>
    <w:rsid w:val="0041072A"/>
    <w:rsid w:val="00410A55"/>
    <w:rsid w:val="0041116D"/>
    <w:rsid w:val="004112D2"/>
    <w:rsid w:val="004112E7"/>
    <w:rsid w:val="00411430"/>
    <w:rsid w:val="00412073"/>
    <w:rsid w:val="00413275"/>
    <w:rsid w:val="00413F82"/>
    <w:rsid w:val="00414275"/>
    <w:rsid w:val="004142F0"/>
    <w:rsid w:val="0041431F"/>
    <w:rsid w:val="004143D9"/>
    <w:rsid w:val="004144DB"/>
    <w:rsid w:val="004145E7"/>
    <w:rsid w:val="00415091"/>
    <w:rsid w:val="00416173"/>
    <w:rsid w:val="00416259"/>
    <w:rsid w:val="00416531"/>
    <w:rsid w:val="00417FE6"/>
    <w:rsid w:val="0042086E"/>
    <w:rsid w:val="00420890"/>
    <w:rsid w:val="00420A26"/>
    <w:rsid w:val="004217B4"/>
    <w:rsid w:val="00421A9E"/>
    <w:rsid w:val="004225E5"/>
    <w:rsid w:val="00422864"/>
    <w:rsid w:val="00422B70"/>
    <w:rsid w:val="004235F0"/>
    <w:rsid w:val="00423E53"/>
    <w:rsid w:val="0042484B"/>
    <w:rsid w:val="00424B34"/>
    <w:rsid w:val="004252D9"/>
    <w:rsid w:val="00425B9E"/>
    <w:rsid w:val="00426015"/>
    <w:rsid w:val="004263B4"/>
    <w:rsid w:val="004265A9"/>
    <w:rsid w:val="00427520"/>
    <w:rsid w:val="004276EF"/>
    <w:rsid w:val="0043053B"/>
    <w:rsid w:val="00430B7B"/>
    <w:rsid w:val="00430D11"/>
    <w:rsid w:val="00432B0A"/>
    <w:rsid w:val="00432D53"/>
    <w:rsid w:val="00433631"/>
    <w:rsid w:val="00433633"/>
    <w:rsid w:val="00434340"/>
    <w:rsid w:val="0043449E"/>
    <w:rsid w:val="00434DA0"/>
    <w:rsid w:val="00435E5E"/>
    <w:rsid w:val="0043619E"/>
    <w:rsid w:val="004361E1"/>
    <w:rsid w:val="00436911"/>
    <w:rsid w:val="00436C86"/>
    <w:rsid w:val="00436E5D"/>
    <w:rsid w:val="00436E85"/>
    <w:rsid w:val="0043701D"/>
    <w:rsid w:val="004404D3"/>
    <w:rsid w:val="00440A9E"/>
    <w:rsid w:val="00440ADC"/>
    <w:rsid w:val="004417FD"/>
    <w:rsid w:val="004419FF"/>
    <w:rsid w:val="00442FD1"/>
    <w:rsid w:val="00443126"/>
    <w:rsid w:val="00443969"/>
    <w:rsid w:val="0044398C"/>
    <w:rsid w:val="00444EA9"/>
    <w:rsid w:val="00444EF7"/>
    <w:rsid w:val="00445712"/>
    <w:rsid w:val="00445946"/>
    <w:rsid w:val="00445EB6"/>
    <w:rsid w:val="00446193"/>
    <w:rsid w:val="00446D6F"/>
    <w:rsid w:val="00447543"/>
    <w:rsid w:val="004506F7"/>
    <w:rsid w:val="00450FFC"/>
    <w:rsid w:val="004514BA"/>
    <w:rsid w:val="00451C71"/>
    <w:rsid w:val="00451D18"/>
    <w:rsid w:val="004529AC"/>
    <w:rsid w:val="00452C7A"/>
    <w:rsid w:val="004541BE"/>
    <w:rsid w:val="00454438"/>
    <w:rsid w:val="00455FB8"/>
    <w:rsid w:val="004561B5"/>
    <w:rsid w:val="004566E8"/>
    <w:rsid w:val="00456DD4"/>
    <w:rsid w:val="004570C1"/>
    <w:rsid w:val="00457495"/>
    <w:rsid w:val="004574D2"/>
    <w:rsid w:val="00457893"/>
    <w:rsid w:val="00457B3C"/>
    <w:rsid w:val="00462797"/>
    <w:rsid w:val="00462BC4"/>
    <w:rsid w:val="00462CA7"/>
    <w:rsid w:val="004638AE"/>
    <w:rsid w:val="00463A20"/>
    <w:rsid w:val="004641B4"/>
    <w:rsid w:val="004643CB"/>
    <w:rsid w:val="00465A68"/>
    <w:rsid w:val="0046614A"/>
    <w:rsid w:val="00467A61"/>
    <w:rsid w:val="00467A86"/>
    <w:rsid w:val="00467D33"/>
    <w:rsid w:val="00471176"/>
    <w:rsid w:val="004711FA"/>
    <w:rsid w:val="00471355"/>
    <w:rsid w:val="0047149E"/>
    <w:rsid w:val="0047173E"/>
    <w:rsid w:val="00471DE3"/>
    <w:rsid w:val="00471F6E"/>
    <w:rsid w:val="004728E1"/>
    <w:rsid w:val="004736EF"/>
    <w:rsid w:val="00473DCB"/>
    <w:rsid w:val="0047496D"/>
    <w:rsid w:val="0047599C"/>
    <w:rsid w:val="0047652D"/>
    <w:rsid w:val="00476741"/>
    <w:rsid w:val="00476991"/>
    <w:rsid w:val="00476EAE"/>
    <w:rsid w:val="00476FFE"/>
    <w:rsid w:val="00477947"/>
    <w:rsid w:val="00477A17"/>
    <w:rsid w:val="00477B82"/>
    <w:rsid w:val="004800F9"/>
    <w:rsid w:val="0048013E"/>
    <w:rsid w:val="004805D5"/>
    <w:rsid w:val="00481259"/>
    <w:rsid w:val="00481386"/>
    <w:rsid w:val="00481E82"/>
    <w:rsid w:val="00482241"/>
    <w:rsid w:val="00482FE1"/>
    <w:rsid w:val="0048303A"/>
    <w:rsid w:val="00483C2C"/>
    <w:rsid w:val="0048445D"/>
    <w:rsid w:val="00484A78"/>
    <w:rsid w:val="004852EA"/>
    <w:rsid w:val="00485381"/>
    <w:rsid w:val="00485ED2"/>
    <w:rsid w:val="00486140"/>
    <w:rsid w:val="004866BC"/>
    <w:rsid w:val="00486B36"/>
    <w:rsid w:val="00486D60"/>
    <w:rsid w:val="00486F9A"/>
    <w:rsid w:val="00490420"/>
    <w:rsid w:val="00491180"/>
    <w:rsid w:val="00491295"/>
    <w:rsid w:val="004912A6"/>
    <w:rsid w:val="00491881"/>
    <w:rsid w:val="0049224A"/>
    <w:rsid w:val="0049261A"/>
    <w:rsid w:val="00492823"/>
    <w:rsid w:val="00492E57"/>
    <w:rsid w:val="0049376C"/>
    <w:rsid w:val="00494EEA"/>
    <w:rsid w:val="00494F25"/>
    <w:rsid w:val="0049535A"/>
    <w:rsid w:val="00496A5E"/>
    <w:rsid w:val="004975F9"/>
    <w:rsid w:val="004A27CB"/>
    <w:rsid w:val="004A2EF2"/>
    <w:rsid w:val="004A30CB"/>
    <w:rsid w:val="004A31F2"/>
    <w:rsid w:val="004A423A"/>
    <w:rsid w:val="004A4539"/>
    <w:rsid w:val="004A46C3"/>
    <w:rsid w:val="004A501E"/>
    <w:rsid w:val="004A5D26"/>
    <w:rsid w:val="004A6B76"/>
    <w:rsid w:val="004A70D0"/>
    <w:rsid w:val="004A72A3"/>
    <w:rsid w:val="004B14D7"/>
    <w:rsid w:val="004B2137"/>
    <w:rsid w:val="004B2C6C"/>
    <w:rsid w:val="004B4637"/>
    <w:rsid w:val="004B46FE"/>
    <w:rsid w:val="004B4AED"/>
    <w:rsid w:val="004B4F11"/>
    <w:rsid w:val="004B5A05"/>
    <w:rsid w:val="004B6157"/>
    <w:rsid w:val="004B61E8"/>
    <w:rsid w:val="004B6488"/>
    <w:rsid w:val="004B6E5C"/>
    <w:rsid w:val="004B708A"/>
    <w:rsid w:val="004B7659"/>
    <w:rsid w:val="004B7907"/>
    <w:rsid w:val="004B7D52"/>
    <w:rsid w:val="004B7EB0"/>
    <w:rsid w:val="004C0518"/>
    <w:rsid w:val="004C0F0C"/>
    <w:rsid w:val="004C1AD3"/>
    <w:rsid w:val="004C1C8D"/>
    <w:rsid w:val="004C2E6F"/>
    <w:rsid w:val="004C33FD"/>
    <w:rsid w:val="004C3697"/>
    <w:rsid w:val="004C3976"/>
    <w:rsid w:val="004C3AA3"/>
    <w:rsid w:val="004C4065"/>
    <w:rsid w:val="004C51F6"/>
    <w:rsid w:val="004C624C"/>
    <w:rsid w:val="004C7803"/>
    <w:rsid w:val="004C785E"/>
    <w:rsid w:val="004C797F"/>
    <w:rsid w:val="004D0CF4"/>
    <w:rsid w:val="004D166C"/>
    <w:rsid w:val="004D1843"/>
    <w:rsid w:val="004D1D65"/>
    <w:rsid w:val="004D1F00"/>
    <w:rsid w:val="004D1F1A"/>
    <w:rsid w:val="004D2864"/>
    <w:rsid w:val="004D2A94"/>
    <w:rsid w:val="004D33C3"/>
    <w:rsid w:val="004D3A5F"/>
    <w:rsid w:val="004D489D"/>
    <w:rsid w:val="004D4938"/>
    <w:rsid w:val="004D547B"/>
    <w:rsid w:val="004E003E"/>
    <w:rsid w:val="004E067F"/>
    <w:rsid w:val="004E1098"/>
    <w:rsid w:val="004E10FF"/>
    <w:rsid w:val="004E16BF"/>
    <w:rsid w:val="004E1BA7"/>
    <w:rsid w:val="004E1F19"/>
    <w:rsid w:val="004E2131"/>
    <w:rsid w:val="004E2187"/>
    <w:rsid w:val="004E28FD"/>
    <w:rsid w:val="004E2EF9"/>
    <w:rsid w:val="004E30F8"/>
    <w:rsid w:val="004E30FB"/>
    <w:rsid w:val="004E3139"/>
    <w:rsid w:val="004E3FDB"/>
    <w:rsid w:val="004E4016"/>
    <w:rsid w:val="004E4A11"/>
    <w:rsid w:val="004E5073"/>
    <w:rsid w:val="004E514C"/>
    <w:rsid w:val="004E5363"/>
    <w:rsid w:val="004E5568"/>
    <w:rsid w:val="004E5997"/>
    <w:rsid w:val="004E5D2B"/>
    <w:rsid w:val="004E5D9F"/>
    <w:rsid w:val="004E5EEC"/>
    <w:rsid w:val="004E6645"/>
    <w:rsid w:val="004E7195"/>
    <w:rsid w:val="004E753C"/>
    <w:rsid w:val="004F0624"/>
    <w:rsid w:val="004F0786"/>
    <w:rsid w:val="004F134E"/>
    <w:rsid w:val="004F2376"/>
    <w:rsid w:val="004F322F"/>
    <w:rsid w:val="004F3418"/>
    <w:rsid w:val="004F37AE"/>
    <w:rsid w:val="004F3839"/>
    <w:rsid w:val="004F4108"/>
    <w:rsid w:val="004F4414"/>
    <w:rsid w:val="004F4840"/>
    <w:rsid w:val="004F5161"/>
    <w:rsid w:val="004F518B"/>
    <w:rsid w:val="004F5251"/>
    <w:rsid w:val="004F592C"/>
    <w:rsid w:val="004F5E28"/>
    <w:rsid w:val="004F5FD9"/>
    <w:rsid w:val="004F612D"/>
    <w:rsid w:val="004F6C1D"/>
    <w:rsid w:val="004F6D33"/>
    <w:rsid w:val="004F6E42"/>
    <w:rsid w:val="004F7447"/>
    <w:rsid w:val="004F76F6"/>
    <w:rsid w:val="004F79D7"/>
    <w:rsid w:val="00500475"/>
    <w:rsid w:val="005004A5"/>
    <w:rsid w:val="005010F5"/>
    <w:rsid w:val="00501AC6"/>
    <w:rsid w:val="00501D18"/>
    <w:rsid w:val="00501DEC"/>
    <w:rsid w:val="00501E56"/>
    <w:rsid w:val="00501EA7"/>
    <w:rsid w:val="00502832"/>
    <w:rsid w:val="00502B36"/>
    <w:rsid w:val="00502FE7"/>
    <w:rsid w:val="00503752"/>
    <w:rsid w:val="00504BC4"/>
    <w:rsid w:val="0050529C"/>
    <w:rsid w:val="005054C4"/>
    <w:rsid w:val="00505E36"/>
    <w:rsid w:val="005066BE"/>
    <w:rsid w:val="00506A57"/>
    <w:rsid w:val="00507404"/>
    <w:rsid w:val="00512490"/>
    <w:rsid w:val="005124B7"/>
    <w:rsid w:val="00512B49"/>
    <w:rsid w:val="00513355"/>
    <w:rsid w:val="00513BDB"/>
    <w:rsid w:val="0051528D"/>
    <w:rsid w:val="005156A6"/>
    <w:rsid w:val="005159C3"/>
    <w:rsid w:val="00515E33"/>
    <w:rsid w:val="00516224"/>
    <w:rsid w:val="00516282"/>
    <w:rsid w:val="00516E83"/>
    <w:rsid w:val="0051727A"/>
    <w:rsid w:val="00517D0E"/>
    <w:rsid w:val="00520A6F"/>
    <w:rsid w:val="00521416"/>
    <w:rsid w:val="005234A3"/>
    <w:rsid w:val="005237B9"/>
    <w:rsid w:val="00524684"/>
    <w:rsid w:val="00524C7B"/>
    <w:rsid w:val="005269CC"/>
    <w:rsid w:val="00527FBE"/>
    <w:rsid w:val="00530BE0"/>
    <w:rsid w:val="0053132E"/>
    <w:rsid w:val="00531F15"/>
    <w:rsid w:val="0053289B"/>
    <w:rsid w:val="00532FB3"/>
    <w:rsid w:val="005336C2"/>
    <w:rsid w:val="00533922"/>
    <w:rsid w:val="00533B2C"/>
    <w:rsid w:val="00533B37"/>
    <w:rsid w:val="0053425C"/>
    <w:rsid w:val="00534B93"/>
    <w:rsid w:val="005354AF"/>
    <w:rsid w:val="0053590F"/>
    <w:rsid w:val="005368B4"/>
    <w:rsid w:val="00536D93"/>
    <w:rsid w:val="00537721"/>
    <w:rsid w:val="00540AC4"/>
    <w:rsid w:val="00541613"/>
    <w:rsid w:val="0054231D"/>
    <w:rsid w:val="0054235F"/>
    <w:rsid w:val="00543C4A"/>
    <w:rsid w:val="005453C4"/>
    <w:rsid w:val="0054587E"/>
    <w:rsid w:val="00545B71"/>
    <w:rsid w:val="00546081"/>
    <w:rsid w:val="0054668E"/>
    <w:rsid w:val="00547B3A"/>
    <w:rsid w:val="00547EB1"/>
    <w:rsid w:val="005506BF"/>
    <w:rsid w:val="00550BBE"/>
    <w:rsid w:val="0055135B"/>
    <w:rsid w:val="00551C60"/>
    <w:rsid w:val="00552338"/>
    <w:rsid w:val="00552AFF"/>
    <w:rsid w:val="00553711"/>
    <w:rsid w:val="00553A8F"/>
    <w:rsid w:val="00553AD3"/>
    <w:rsid w:val="00553C94"/>
    <w:rsid w:val="00553E70"/>
    <w:rsid w:val="00554B5A"/>
    <w:rsid w:val="00554E06"/>
    <w:rsid w:val="00555747"/>
    <w:rsid w:val="0055593A"/>
    <w:rsid w:val="005559AA"/>
    <w:rsid w:val="00555F47"/>
    <w:rsid w:val="005561B1"/>
    <w:rsid w:val="005567B6"/>
    <w:rsid w:val="00556AE0"/>
    <w:rsid w:val="00556FB7"/>
    <w:rsid w:val="005573DA"/>
    <w:rsid w:val="00557A93"/>
    <w:rsid w:val="00560067"/>
    <w:rsid w:val="00560593"/>
    <w:rsid w:val="00560F1A"/>
    <w:rsid w:val="00564EA5"/>
    <w:rsid w:val="0056589C"/>
    <w:rsid w:val="005669BD"/>
    <w:rsid w:val="005675CA"/>
    <w:rsid w:val="00567886"/>
    <w:rsid w:val="00567B95"/>
    <w:rsid w:val="00567EAB"/>
    <w:rsid w:val="00567F11"/>
    <w:rsid w:val="005702D2"/>
    <w:rsid w:val="00570581"/>
    <w:rsid w:val="0057071B"/>
    <w:rsid w:val="005709DA"/>
    <w:rsid w:val="0057134B"/>
    <w:rsid w:val="00571CD3"/>
    <w:rsid w:val="005730BB"/>
    <w:rsid w:val="0057322F"/>
    <w:rsid w:val="005748E8"/>
    <w:rsid w:val="00574D0D"/>
    <w:rsid w:val="00575D51"/>
    <w:rsid w:val="00576223"/>
    <w:rsid w:val="005769FC"/>
    <w:rsid w:val="00576B69"/>
    <w:rsid w:val="00576DC7"/>
    <w:rsid w:val="0057713D"/>
    <w:rsid w:val="00577436"/>
    <w:rsid w:val="00577538"/>
    <w:rsid w:val="00580B68"/>
    <w:rsid w:val="005811D8"/>
    <w:rsid w:val="0058133E"/>
    <w:rsid w:val="00581528"/>
    <w:rsid w:val="005818F7"/>
    <w:rsid w:val="00581972"/>
    <w:rsid w:val="0058198F"/>
    <w:rsid w:val="00581CE7"/>
    <w:rsid w:val="00581F67"/>
    <w:rsid w:val="00582F3D"/>
    <w:rsid w:val="00583E3F"/>
    <w:rsid w:val="00584E0C"/>
    <w:rsid w:val="0058522C"/>
    <w:rsid w:val="0058577A"/>
    <w:rsid w:val="005865B5"/>
    <w:rsid w:val="00586818"/>
    <w:rsid w:val="00586C82"/>
    <w:rsid w:val="00586CF4"/>
    <w:rsid w:val="0058758B"/>
    <w:rsid w:val="00587D39"/>
    <w:rsid w:val="00590078"/>
    <w:rsid w:val="00590595"/>
    <w:rsid w:val="00590766"/>
    <w:rsid w:val="00590F89"/>
    <w:rsid w:val="0059220D"/>
    <w:rsid w:val="005922A2"/>
    <w:rsid w:val="005938B3"/>
    <w:rsid w:val="00593A4B"/>
    <w:rsid w:val="00593D7E"/>
    <w:rsid w:val="0059430A"/>
    <w:rsid w:val="00594503"/>
    <w:rsid w:val="005945C4"/>
    <w:rsid w:val="00594680"/>
    <w:rsid w:val="00595102"/>
    <w:rsid w:val="005952B2"/>
    <w:rsid w:val="00595FEB"/>
    <w:rsid w:val="005960ED"/>
    <w:rsid w:val="00596857"/>
    <w:rsid w:val="00596BEA"/>
    <w:rsid w:val="00596C5A"/>
    <w:rsid w:val="005A066E"/>
    <w:rsid w:val="005A0726"/>
    <w:rsid w:val="005A1CD3"/>
    <w:rsid w:val="005A2123"/>
    <w:rsid w:val="005A2A9F"/>
    <w:rsid w:val="005A42A9"/>
    <w:rsid w:val="005A46A4"/>
    <w:rsid w:val="005A499F"/>
    <w:rsid w:val="005A58C2"/>
    <w:rsid w:val="005A58E7"/>
    <w:rsid w:val="005A6146"/>
    <w:rsid w:val="005A6499"/>
    <w:rsid w:val="005A7297"/>
    <w:rsid w:val="005B042B"/>
    <w:rsid w:val="005B0959"/>
    <w:rsid w:val="005B0A6B"/>
    <w:rsid w:val="005B0D86"/>
    <w:rsid w:val="005B13A4"/>
    <w:rsid w:val="005B1492"/>
    <w:rsid w:val="005B1C3D"/>
    <w:rsid w:val="005B29B2"/>
    <w:rsid w:val="005B34A2"/>
    <w:rsid w:val="005B35CC"/>
    <w:rsid w:val="005B36AA"/>
    <w:rsid w:val="005B4019"/>
    <w:rsid w:val="005B634D"/>
    <w:rsid w:val="005B6A02"/>
    <w:rsid w:val="005B6A11"/>
    <w:rsid w:val="005B6F02"/>
    <w:rsid w:val="005B7651"/>
    <w:rsid w:val="005B7703"/>
    <w:rsid w:val="005B78E3"/>
    <w:rsid w:val="005B7B70"/>
    <w:rsid w:val="005B7F08"/>
    <w:rsid w:val="005B7F4B"/>
    <w:rsid w:val="005C0B74"/>
    <w:rsid w:val="005C122B"/>
    <w:rsid w:val="005C2B3A"/>
    <w:rsid w:val="005C2BFA"/>
    <w:rsid w:val="005C55A9"/>
    <w:rsid w:val="005C5D14"/>
    <w:rsid w:val="005C6587"/>
    <w:rsid w:val="005C7C43"/>
    <w:rsid w:val="005D04AA"/>
    <w:rsid w:val="005D0ADC"/>
    <w:rsid w:val="005D0C07"/>
    <w:rsid w:val="005D11DB"/>
    <w:rsid w:val="005D156E"/>
    <w:rsid w:val="005D1E89"/>
    <w:rsid w:val="005D2586"/>
    <w:rsid w:val="005D2A08"/>
    <w:rsid w:val="005D3826"/>
    <w:rsid w:val="005D3B26"/>
    <w:rsid w:val="005D3B3A"/>
    <w:rsid w:val="005D488A"/>
    <w:rsid w:val="005D5566"/>
    <w:rsid w:val="005D670B"/>
    <w:rsid w:val="005D6884"/>
    <w:rsid w:val="005D7B57"/>
    <w:rsid w:val="005D7E7F"/>
    <w:rsid w:val="005E1E32"/>
    <w:rsid w:val="005E2090"/>
    <w:rsid w:val="005E2679"/>
    <w:rsid w:val="005E2D86"/>
    <w:rsid w:val="005E4429"/>
    <w:rsid w:val="005E4AA7"/>
    <w:rsid w:val="005E5292"/>
    <w:rsid w:val="005E6232"/>
    <w:rsid w:val="005E6624"/>
    <w:rsid w:val="005E69CF"/>
    <w:rsid w:val="005E7163"/>
    <w:rsid w:val="005E7598"/>
    <w:rsid w:val="005E7C1B"/>
    <w:rsid w:val="005F20DE"/>
    <w:rsid w:val="005F2B6C"/>
    <w:rsid w:val="005F382E"/>
    <w:rsid w:val="005F4115"/>
    <w:rsid w:val="005F46AA"/>
    <w:rsid w:val="005F4A00"/>
    <w:rsid w:val="005F507B"/>
    <w:rsid w:val="005F55D4"/>
    <w:rsid w:val="005F5618"/>
    <w:rsid w:val="005F5B5E"/>
    <w:rsid w:val="005F73F6"/>
    <w:rsid w:val="0060033B"/>
    <w:rsid w:val="00600485"/>
    <w:rsid w:val="006016F3"/>
    <w:rsid w:val="006018A7"/>
    <w:rsid w:val="00602042"/>
    <w:rsid w:val="00602050"/>
    <w:rsid w:val="0060225F"/>
    <w:rsid w:val="00602580"/>
    <w:rsid w:val="006028F8"/>
    <w:rsid w:val="00602A24"/>
    <w:rsid w:val="0060347B"/>
    <w:rsid w:val="0060385D"/>
    <w:rsid w:val="00603C56"/>
    <w:rsid w:val="00603F32"/>
    <w:rsid w:val="0060411C"/>
    <w:rsid w:val="006042EF"/>
    <w:rsid w:val="006044A1"/>
    <w:rsid w:val="00605885"/>
    <w:rsid w:val="00606682"/>
    <w:rsid w:val="00610400"/>
    <w:rsid w:val="00610EC4"/>
    <w:rsid w:val="00611216"/>
    <w:rsid w:val="00611235"/>
    <w:rsid w:val="006116A9"/>
    <w:rsid w:val="00611ABD"/>
    <w:rsid w:val="00611BAC"/>
    <w:rsid w:val="00611BBE"/>
    <w:rsid w:val="0061241B"/>
    <w:rsid w:val="00613075"/>
    <w:rsid w:val="00613B41"/>
    <w:rsid w:val="00613E9A"/>
    <w:rsid w:val="00613F7B"/>
    <w:rsid w:val="00614651"/>
    <w:rsid w:val="00615474"/>
    <w:rsid w:val="006155A1"/>
    <w:rsid w:val="00615C71"/>
    <w:rsid w:val="00615F24"/>
    <w:rsid w:val="006160FB"/>
    <w:rsid w:val="0061622D"/>
    <w:rsid w:val="00616C0C"/>
    <w:rsid w:val="00616C0F"/>
    <w:rsid w:val="00616F7E"/>
    <w:rsid w:val="00617FDE"/>
    <w:rsid w:val="0062005F"/>
    <w:rsid w:val="00620AD8"/>
    <w:rsid w:val="00620C8F"/>
    <w:rsid w:val="00620E48"/>
    <w:rsid w:val="00621282"/>
    <w:rsid w:val="00621822"/>
    <w:rsid w:val="00622341"/>
    <w:rsid w:val="00622E44"/>
    <w:rsid w:val="00623728"/>
    <w:rsid w:val="00623896"/>
    <w:rsid w:val="006242AD"/>
    <w:rsid w:val="006246D3"/>
    <w:rsid w:val="00624AA0"/>
    <w:rsid w:val="0062654E"/>
    <w:rsid w:val="00626F4B"/>
    <w:rsid w:val="00627632"/>
    <w:rsid w:val="0063014C"/>
    <w:rsid w:val="00631AB3"/>
    <w:rsid w:val="00631F47"/>
    <w:rsid w:val="006337D8"/>
    <w:rsid w:val="006351E1"/>
    <w:rsid w:val="0063642A"/>
    <w:rsid w:val="00636E98"/>
    <w:rsid w:val="00636F88"/>
    <w:rsid w:val="006371AF"/>
    <w:rsid w:val="006378D8"/>
    <w:rsid w:val="00637FAD"/>
    <w:rsid w:val="00640C0C"/>
    <w:rsid w:val="006428A6"/>
    <w:rsid w:val="0064310B"/>
    <w:rsid w:val="00643F9C"/>
    <w:rsid w:val="006442A2"/>
    <w:rsid w:val="00644B8C"/>
    <w:rsid w:val="0064611C"/>
    <w:rsid w:val="00646459"/>
    <w:rsid w:val="00646CC8"/>
    <w:rsid w:val="00646D32"/>
    <w:rsid w:val="00647AAF"/>
    <w:rsid w:val="00647BAE"/>
    <w:rsid w:val="00647D60"/>
    <w:rsid w:val="006500D3"/>
    <w:rsid w:val="006515AD"/>
    <w:rsid w:val="00652715"/>
    <w:rsid w:val="006528A8"/>
    <w:rsid w:val="0065292D"/>
    <w:rsid w:val="00654583"/>
    <w:rsid w:val="00654A3B"/>
    <w:rsid w:val="00655053"/>
    <w:rsid w:val="006550DB"/>
    <w:rsid w:val="00655EE2"/>
    <w:rsid w:val="00656319"/>
    <w:rsid w:val="006563EF"/>
    <w:rsid w:val="006565E1"/>
    <w:rsid w:val="00656E6F"/>
    <w:rsid w:val="00657364"/>
    <w:rsid w:val="00657D37"/>
    <w:rsid w:val="006605BD"/>
    <w:rsid w:val="00661C30"/>
    <w:rsid w:val="00661E30"/>
    <w:rsid w:val="00661F03"/>
    <w:rsid w:val="006625D6"/>
    <w:rsid w:val="00662B6C"/>
    <w:rsid w:val="00662C71"/>
    <w:rsid w:val="006637F7"/>
    <w:rsid w:val="00663A61"/>
    <w:rsid w:val="00663D31"/>
    <w:rsid w:val="0066443D"/>
    <w:rsid w:val="006650F6"/>
    <w:rsid w:val="0066536D"/>
    <w:rsid w:val="00665B35"/>
    <w:rsid w:val="00666F2A"/>
    <w:rsid w:val="0066754C"/>
    <w:rsid w:val="00667614"/>
    <w:rsid w:val="006707C7"/>
    <w:rsid w:val="00670CE1"/>
    <w:rsid w:val="00670F03"/>
    <w:rsid w:val="0067172D"/>
    <w:rsid w:val="0067177D"/>
    <w:rsid w:val="00671DD0"/>
    <w:rsid w:val="00672937"/>
    <w:rsid w:val="00673C5E"/>
    <w:rsid w:val="00674107"/>
    <w:rsid w:val="006747D9"/>
    <w:rsid w:val="00674C1F"/>
    <w:rsid w:val="00675C18"/>
    <w:rsid w:val="006765C0"/>
    <w:rsid w:val="006769DF"/>
    <w:rsid w:val="006777EE"/>
    <w:rsid w:val="0068034D"/>
    <w:rsid w:val="00680782"/>
    <w:rsid w:val="00680AEA"/>
    <w:rsid w:val="006820D0"/>
    <w:rsid w:val="006828C5"/>
    <w:rsid w:val="0068330D"/>
    <w:rsid w:val="006847A2"/>
    <w:rsid w:val="00684B17"/>
    <w:rsid w:val="00684C14"/>
    <w:rsid w:val="00684D1E"/>
    <w:rsid w:val="0068566E"/>
    <w:rsid w:val="00685753"/>
    <w:rsid w:val="00685852"/>
    <w:rsid w:val="006858BF"/>
    <w:rsid w:val="00685E71"/>
    <w:rsid w:val="0069118D"/>
    <w:rsid w:val="006915F6"/>
    <w:rsid w:val="006915FA"/>
    <w:rsid w:val="00691BFC"/>
    <w:rsid w:val="00691C3F"/>
    <w:rsid w:val="00691DEE"/>
    <w:rsid w:val="00691DF9"/>
    <w:rsid w:val="00692C84"/>
    <w:rsid w:val="006932A2"/>
    <w:rsid w:val="00693DCD"/>
    <w:rsid w:val="00694276"/>
    <w:rsid w:val="00694BD1"/>
    <w:rsid w:val="006954F9"/>
    <w:rsid w:val="00695960"/>
    <w:rsid w:val="00695BC7"/>
    <w:rsid w:val="00695C8F"/>
    <w:rsid w:val="00696ED1"/>
    <w:rsid w:val="00697327"/>
    <w:rsid w:val="006977A2"/>
    <w:rsid w:val="006A0446"/>
    <w:rsid w:val="006A0520"/>
    <w:rsid w:val="006A0AC2"/>
    <w:rsid w:val="006A181E"/>
    <w:rsid w:val="006A1F4E"/>
    <w:rsid w:val="006A22A4"/>
    <w:rsid w:val="006A2C98"/>
    <w:rsid w:val="006A2F1D"/>
    <w:rsid w:val="006A37C9"/>
    <w:rsid w:val="006A4065"/>
    <w:rsid w:val="006A4237"/>
    <w:rsid w:val="006A6263"/>
    <w:rsid w:val="006A6F19"/>
    <w:rsid w:val="006A76C9"/>
    <w:rsid w:val="006B018F"/>
    <w:rsid w:val="006B1151"/>
    <w:rsid w:val="006B19D5"/>
    <w:rsid w:val="006B2145"/>
    <w:rsid w:val="006B23E2"/>
    <w:rsid w:val="006B2921"/>
    <w:rsid w:val="006B29C9"/>
    <w:rsid w:val="006B3BE9"/>
    <w:rsid w:val="006B3E92"/>
    <w:rsid w:val="006B47BD"/>
    <w:rsid w:val="006B4C22"/>
    <w:rsid w:val="006B547C"/>
    <w:rsid w:val="006B5C01"/>
    <w:rsid w:val="006B64ED"/>
    <w:rsid w:val="006B6CAB"/>
    <w:rsid w:val="006B6E84"/>
    <w:rsid w:val="006B7023"/>
    <w:rsid w:val="006B751C"/>
    <w:rsid w:val="006B77C2"/>
    <w:rsid w:val="006C01A7"/>
    <w:rsid w:val="006C0276"/>
    <w:rsid w:val="006C043B"/>
    <w:rsid w:val="006C0CB1"/>
    <w:rsid w:val="006C0E0A"/>
    <w:rsid w:val="006C12E8"/>
    <w:rsid w:val="006C167D"/>
    <w:rsid w:val="006C1E7D"/>
    <w:rsid w:val="006C20B0"/>
    <w:rsid w:val="006C2712"/>
    <w:rsid w:val="006C29E8"/>
    <w:rsid w:val="006C2A91"/>
    <w:rsid w:val="006C2E65"/>
    <w:rsid w:val="006C31A7"/>
    <w:rsid w:val="006C4063"/>
    <w:rsid w:val="006C42C6"/>
    <w:rsid w:val="006C483A"/>
    <w:rsid w:val="006C504A"/>
    <w:rsid w:val="006C54A6"/>
    <w:rsid w:val="006C550F"/>
    <w:rsid w:val="006C6191"/>
    <w:rsid w:val="006C6C91"/>
    <w:rsid w:val="006C71AF"/>
    <w:rsid w:val="006C7C19"/>
    <w:rsid w:val="006D003F"/>
    <w:rsid w:val="006D07DD"/>
    <w:rsid w:val="006D0970"/>
    <w:rsid w:val="006D13B7"/>
    <w:rsid w:val="006D15E4"/>
    <w:rsid w:val="006D16E9"/>
    <w:rsid w:val="006D1E6E"/>
    <w:rsid w:val="006D24AC"/>
    <w:rsid w:val="006D3E35"/>
    <w:rsid w:val="006D47C4"/>
    <w:rsid w:val="006D5B34"/>
    <w:rsid w:val="006D5E0A"/>
    <w:rsid w:val="006D6530"/>
    <w:rsid w:val="006D6FB3"/>
    <w:rsid w:val="006D7CEB"/>
    <w:rsid w:val="006D7D96"/>
    <w:rsid w:val="006D7EC8"/>
    <w:rsid w:val="006E0669"/>
    <w:rsid w:val="006E0E16"/>
    <w:rsid w:val="006E1C39"/>
    <w:rsid w:val="006E1CF0"/>
    <w:rsid w:val="006E1CF7"/>
    <w:rsid w:val="006E2464"/>
    <w:rsid w:val="006E3798"/>
    <w:rsid w:val="006E47BE"/>
    <w:rsid w:val="006E55F4"/>
    <w:rsid w:val="006E5DE7"/>
    <w:rsid w:val="006E718B"/>
    <w:rsid w:val="006E7441"/>
    <w:rsid w:val="006E7672"/>
    <w:rsid w:val="006E7E95"/>
    <w:rsid w:val="006F073B"/>
    <w:rsid w:val="006F083D"/>
    <w:rsid w:val="006F0E50"/>
    <w:rsid w:val="006F1502"/>
    <w:rsid w:val="006F19E4"/>
    <w:rsid w:val="006F24C6"/>
    <w:rsid w:val="006F2B76"/>
    <w:rsid w:val="006F2F24"/>
    <w:rsid w:val="006F3CD5"/>
    <w:rsid w:val="006F48C8"/>
    <w:rsid w:val="006F5904"/>
    <w:rsid w:val="006F6851"/>
    <w:rsid w:val="006F6E71"/>
    <w:rsid w:val="006F798A"/>
    <w:rsid w:val="006F7F62"/>
    <w:rsid w:val="006F7FF7"/>
    <w:rsid w:val="007025B7"/>
    <w:rsid w:val="00702D1B"/>
    <w:rsid w:val="0070331E"/>
    <w:rsid w:val="00704F3A"/>
    <w:rsid w:val="00705ED7"/>
    <w:rsid w:val="00706013"/>
    <w:rsid w:val="007069D2"/>
    <w:rsid w:val="00706BEB"/>
    <w:rsid w:val="00710CA3"/>
    <w:rsid w:val="007111F3"/>
    <w:rsid w:val="00711D64"/>
    <w:rsid w:val="00711F51"/>
    <w:rsid w:val="007126F4"/>
    <w:rsid w:val="00712B1A"/>
    <w:rsid w:val="00712C91"/>
    <w:rsid w:val="00712ECE"/>
    <w:rsid w:val="007133FC"/>
    <w:rsid w:val="00714D44"/>
    <w:rsid w:val="00714DAA"/>
    <w:rsid w:val="00714E5E"/>
    <w:rsid w:val="00715268"/>
    <w:rsid w:val="00715302"/>
    <w:rsid w:val="00715C29"/>
    <w:rsid w:val="0071641B"/>
    <w:rsid w:val="007168E0"/>
    <w:rsid w:val="00716B6D"/>
    <w:rsid w:val="00716F01"/>
    <w:rsid w:val="0071732C"/>
    <w:rsid w:val="00717A0D"/>
    <w:rsid w:val="0072059A"/>
    <w:rsid w:val="0072083A"/>
    <w:rsid w:val="00721039"/>
    <w:rsid w:val="00721519"/>
    <w:rsid w:val="00721FF3"/>
    <w:rsid w:val="00722336"/>
    <w:rsid w:val="00722798"/>
    <w:rsid w:val="00722C6D"/>
    <w:rsid w:val="00723898"/>
    <w:rsid w:val="00723E32"/>
    <w:rsid w:val="00723F5D"/>
    <w:rsid w:val="0072427D"/>
    <w:rsid w:val="0072534A"/>
    <w:rsid w:val="00725353"/>
    <w:rsid w:val="00725802"/>
    <w:rsid w:val="00725AD7"/>
    <w:rsid w:val="00726337"/>
    <w:rsid w:val="007264D6"/>
    <w:rsid w:val="0072699D"/>
    <w:rsid w:val="00726CEB"/>
    <w:rsid w:val="00727D40"/>
    <w:rsid w:val="007302A9"/>
    <w:rsid w:val="007302F1"/>
    <w:rsid w:val="00730C28"/>
    <w:rsid w:val="0073151F"/>
    <w:rsid w:val="00731886"/>
    <w:rsid w:val="00731B42"/>
    <w:rsid w:val="00731DF1"/>
    <w:rsid w:val="007329F5"/>
    <w:rsid w:val="0073372C"/>
    <w:rsid w:val="00733CE9"/>
    <w:rsid w:val="00733EF9"/>
    <w:rsid w:val="007346CB"/>
    <w:rsid w:val="007362E9"/>
    <w:rsid w:val="00737277"/>
    <w:rsid w:val="007377D1"/>
    <w:rsid w:val="00740246"/>
    <w:rsid w:val="00740528"/>
    <w:rsid w:val="0074098B"/>
    <w:rsid w:val="00741EC5"/>
    <w:rsid w:val="00743178"/>
    <w:rsid w:val="00743837"/>
    <w:rsid w:val="007439E9"/>
    <w:rsid w:val="00744508"/>
    <w:rsid w:val="0074556C"/>
    <w:rsid w:val="007456C7"/>
    <w:rsid w:val="00745A71"/>
    <w:rsid w:val="007460B4"/>
    <w:rsid w:val="00746A4A"/>
    <w:rsid w:val="00746E25"/>
    <w:rsid w:val="00747227"/>
    <w:rsid w:val="0074746C"/>
    <w:rsid w:val="00750098"/>
    <w:rsid w:val="00750D28"/>
    <w:rsid w:val="007510DC"/>
    <w:rsid w:val="007518D2"/>
    <w:rsid w:val="00751FA4"/>
    <w:rsid w:val="0075255B"/>
    <w:rsid w:val="007533C6"/>
    <w:rsid w:val="00753E5F"/>
    <w:rsid w:val="00753FEC"/>
    <w:rsid w:val="007569F2"/>
    <w:rsid w:val="007570EC"/>
    <w:rsid w:val="007573DF"/>
    <w:rsid w:val="00760696"/>
    <w:rsid w:val="0076103F"/>
    <w:rsid w:val="0076110F"/>
    <w:rsid w:val="00761693"/>
    <w:rsid w:val="00762312"/>
    <w:rsid w:val="007627DE"/>
    <w:rsid w:val="007629F5"/>
    <w:rsid w:val="00762AF8"/>
    <w:rsid w:val="00762D79"/>
    <w:rsid w:val="00762EE5"/>
    <w:rsid w:val="00762F97"/>
    <w:rsid w:val="00763148"/>
    <w:rsid w:val="0076397D"/>
    <w:rsid w:val="00763ABA"/>
    <w:rsid w:val="00763C07"/>
    <w:rsid w:val="00766040"/>
    <w:rsid w:val="007664B3"/>
    <w:rsid w:val="00766792"/>
    <w:rsid w:val="00766F9A"/>
    <w:rsid w:val="00767759"/>
    <w:rsid w:val="00767DEB"/>
    <w:rsid w:val="00770151"/>
    <w:rsid w:val="00770159"/>
    <w:rsid w:val="007703D4"/>
    <w:rsid w:val="00770C0C"/>
    <w:rsid w:val="00770CD5"/>
    <w:rsid w:val="00771397"/>
    <w:rsid w:val="00771DEA"/>
    <w:rsid w:val="00771E21"/>
    <w:rsid w:val="00772036"/>
    <w:rsid w:val="00772B59"/>
    <w:rsid w:val="00772BD4"/>
    <w:rsid w:val="00772C3B"/>
    <w:rsid w:val="00772C47"/>
    <w:rsid w:val="00772F90"/>
    <w:rsid w:val="00773A6C"/>
    <w:rsid w:val="00773BC8"/>
    <w:rsid w:val="00774AB6"/>
    <w:rsid w:val="007754AF"/>
    <w:rsid w:val="00775586"/>
    <w:rsid w:val="0077576F"/>
    <w:rsid w:val="00775D9B"/>
    <w:rsid w:val="00777BEF"/>
    <w:rsid w:val="0078133E"/>
    <w:rsid w:val="00781D8E"/>
    <w:rsid w:val="00782494"/>
    <w:rsid w:val="007825D7"/>
    <w:rsid w:val="00782F16"/>
    <w:rsid w:val="007830C8"/>
    <w:rsid w:val="00784836"/>
    <w:rsid w:val="00784DC0"/>
    <w:rsid w:val="00785292"/>
    <w:rsid w:val="0078584E"/>
    <w:rsid w:val="007866D6"/>
    <w:rsid w:val="00786ACA"/>
    <w:rsid w:val="007870CC"/>
    <w:rsid w:val="007901A8"/>
    <w:rsid w:val="00790428"/>
    <w:rsid w:val="00791752"/>
    <w:rsid w:val="00791BC1"/>
    <w:rsid w:val="00791C9A"/>
    <w:rsid w:val="0079250A"/>
    <w:rsid w:val="007928DB"/>
    <w:rsid w:val="007937AF"/>
    <w:rsid w:val="00794FAB"/>
    <w:rsid w:val="00795080"/>
    <w:rsid w:val="007955F0"/>
    <w:rsid w:val="00796BB9"/>
    <w:rsid w:val="00796D9C"/>
    <w:rsid w:val="00797782"/>
    <w:rsid w:val="00797A43"/>
    <w:rsid w:val="00797B61"/>
    <w:rsid w:val="00797BC5"/>
    <w:rsid w:val="007A040D"/>
    <w:rsid w:val="007A0A0D"/>
    <w:rsid w:val="007A0E18"/>
    <w:rsid w:val="007A0E77"/>
    <w:rsid w:val="007A247F"/>
    <w:rsid w:val="007A4264"/>
    <w:rsid w:val="007A49D0"/>
    <w:rsid w:val="007A4D12"/>
    <w:rsid w:val="007A5D06"/>
    <w:rsid w:val="007A6304"/>
    <w:rsid w:val="007A68A8"/>
    <w:rsid w:val="007B0041"/>
    <w:rsid w:val="007B073F"/>
    <w:rsid w:val="007B0D9B"/>
    <w:rsid w:val="007B1C22"/>
    <w:rsid w:val="007B2593"/>
    <w:rsid w:val="007B397E"/>
    <w:rsid w:val="007B4B93"/>
    <w:rsid w:val="007B60E5"/>
    <w:rsid w:val="007B6410"/>
    <w:rsid w:val="007B6553"/>
    <w:rsid w:val="007B7285"/>
    <w:rsid w:val="007B7DE5"/>
    <w:rsid w:val="007B7ECD"/>
    <w:rsid w:val="007C0953"/>
    <w:rsid w:val="007C0BE7"/>
    <w:rsid w:val="007C0EA6"/>
    <w:rsid w:val="007C1077"/>
    <w:rsid w:val="007C1A0C"/>
    <w:rsid w:val="007C1BBF"/>
    <w:rsid w:val="007C28E3"/>
    <w:rsid w:val="007C294D"/>
    <w:rsid w:val="007C2B1A"/>
    <w:rsid w:val="007C37D4"/>
    <w:rsid w:val="007C401C"/>
    <w:rsid w:val="007C43A0"/>
    <w:rsid w:val="007C5A84"/>
    <w:rsid w:val="007C62E5"/>
    <w:rsid w:val="007C6402"/>
    <w:rsid w:val="007C64E5"/>
    <w:rsid w:val="007C6C62"/>
    <w:rsid w:val="007C7147"/>
    <w:rsid w:val="007C7222"/>
    <w:rsid w:val="007C74EB"/>
    <w:rsid w:val="007C7766"/>
    <w:rsid w:val="007C7F65"/>
    <w:rsid w:val="007D00B3"/>
    <w:rsid w:val="007D0FBC"/>
    <w:rsid w:val="007D2808"/>
    <w:rsid w:val="007D49B9"/>
    <w:rsid w:val="007D4C48"/>
    <w:rsid w:val="007D515D"/>
    <w:rsid w:val="007D61DD"/>
    <w:rsid w:val="007D7219"/>
    <w:rsid w:val="007D77F4"/>
    <w:rsid w:val="007D7896"/>
    <w:rsid w:val="007D7B02"/>
    <w:rsid w:val="007D7F04"/>
    <w:rsid w:val="007E017B"/>
    <w:rsid w:val="007E0649"/>
    <w:rsid w:val="007E079B"/>
    <w:rsid w:val="007E09D8"/>
    <w:rsid w:val="007E1880"/>
    <w:rsid w:val="007E2142"/>
    <w:rsid w:val="007E2223"/>
    <w:rsid w:val="007E358B"/>
    <w:rsid w:val="007E37E6"/>
    <w:rsid w:val="007E4556"/>
    <w:rsid w:val="007E45D4"/>
    <w:rsid w:val="007E4AE5"/>
    <w:rsid w:val="007E5011"/>
    <w:rsid w:val="007E53FE"/>
    <w:rsid w:val="007E5716"/>
    <w:rsid w:val="007E7BA7"/>
    <w:rsid w:val="007F0450"/>
    <w:rsid w:val="007F0534"/>
    <w:rsid w:val="007F1771"/>
    <w:rsid w:val="007F24DB"/>
    <w:rsid w:val="007F353E"/>
    <w:rsid w:val="007F48F2"/>
    <w:rsid w:val="007F5AE9"/>
    <w:rsid w:val="007F606C"/>
    <w:rsid w:val="007F61B5"/>
    <w:rsid w:val="007F7D06"/>
    <w:rsid w:val="008006FF"/>
    <w:rsid w:val="0080111D"/>
    <w:rsid w:val="0080137B"/>
    <w:rsid w:val="0080198A"/>
    <w:rsid w:val="00802118"/>
    <w:rsid w:val="0080231F"/>
    <w:rsid w:val="00802A17"/>
    <w:rsid w:val="00802A26"/>
    <w:rsid w:val="00802BCB"/>
    <w:rsid w:val="00802F77"/>
    <w:rsid w:val="00802F93"/>
    <w:rsid w:val="008039A3"/>
    <w:rsid w:val="00803F57"/>
    <w:rsid w:val="008046AA"/>
    <w:rsid w:val="00804897"/>
    <w:rsid w:val="00804C50"/>
    <w:rsid w:val="00805D39"/>
    <w:rsid w:val="00805D4A"/>
    <w:rsid w:val="00805E79"/>
    <w:rsid w:val="00806216"/>
    <w:rsid w:val="0080628C"/>
    <w:rsid w:val="008077B7"/>
    <w:rsid w:val="008077CA"/>
    <w:rsid w:val="00810669"/>
    <w:rsid w:val="008107AF"/>
    <w:rsid w:val="00811CA6"/>
    <w:rsid w:val="008128F9"/>
    <w:rsid w:val="00812DEF"/>
    <w:rsid w:val="00813478"/>
    <w:rsid w:val="008141C1"/>
    <w:rsid w:val="00815472"/>
    <w:rsid w:val="008156BB"/>
    <w:rsid w:val="00815EC1"/>
    <w:rsid w:val="0081663E"/>
    <w:rsid w:val="008170ED"/>
    <w:rsid w:val="0081774A"/>
    <w:rsid w:val="00817AC1"/>
    <w:rsid w:val="00820319"/>
    <w:rsid w:val="00821095"/>
    <w:rsid w:val="00821846"/>
    <w:rsid w:val="00821F92"/>
    <w:rsid w:val="0082447E"/>
    <w:rsid w:val="008244BF"/>
    <w:rsid w:val="00824F4C"/>
    <w:rsid w:val="00824FA1"/>
    <w:rsid w:val="00825A07"/>
    <w:rsid w:val="0083091D"/>
    <w:rsid w:val="00830A92"/>
    <w:rsid w:val="00832440"/>
    <w:rsid w:val="00832637"/>
    <w:rsid w:val="00832C2E"/>
    <w:rsid w:val="00832C70"/>
    <w:rsid w:val="00832CD9"/>
    <w:rsid w:val="00833291"/>
    <w:rsid w:val="008339FE"/>
    <w:rsid w:val="00833B7D"/>
    <w:rsid w:val="00833FA0"/>
    <w:rsid w:val="0083472A"/>
    <w:rsid w:val="00835509"/>
    <w:rsid w:val="008364D7"/>
    <w:rsid w:val="00836AD1"/>
    <w:rsid w:val="00837307"/>
    <w:rsid w:val="00840502"/>
    <w:rsid w:val="008409A3"/>
    <w:rsid w:val="00841EB7"/>
    <w:rsid w:val="00842C26"/>
    <w:rsid w:val="0084328E"/>
    <w:rsid w:val="00843F68"/>
    <w:rsid w:val="008450A4"/>
    <w:rsid w:val="00845230"/>
    <w:rsid w:val="00845748"/>
    <w:rsid w:val="00845CB0"/>
    <w:rsid w:val="008468DA"/>
    <w:rsid w:val="00847000"/>
    <w:rsid w:val="008470CB"/>
    <w:rsid w:val="008477D7"/>
    <w:rsid w:val="008503A8"/>
    <w:rsid w:val="0085134D"/>
    <w:rsid w:val="00851D36"/>
    <w:rsid w:val="00851D66"/>
    <w:rsid w:val="008524A5"/>
    <w:rsid w:val="008529D8"/>
    <w:rsid w:val="00853B17"/>
    <w:rsid w:val="00854341"/>
    <w:rsid w:val="0085434D"/>
    <w:rsid w:val="00855AC4"/>
    <w:rsid w:val="00856EED"/>
    <w:rsid w:val="00857E72"/>
    <w:rsid w:val="00860451"/>
    <w:rsid w:val="008605DA"/>
    <w:rsid w:val="008606B2"/>
    <w:rsid w:val="00861190"/>
    <w:rsid w:val="00861504"/>
    <w:rsid w:val="00861680"/>
    <w:rsid w:val="00861A20"/>
    <w:rsid w:val="00861C74"/>
    <w:rsid w:val="00861CF3"/>
    <w:rsid w:val="0086231F"/>
    <w:rsid w:val="008624B8"/>
    <w:rsid w:val="00862572"/>
    <w:rsid w:val="00862BF4"/>
    <w:rsid w:val="00863340"/>
    <w:rsid w:val="008633CD"/>
    <w:rsid w:val="008650A9"/>
    <w:rsid w:val="0086524B"/>
    <w:rsid w:val="008655A3"/>
    <w:rsid w:val="00865B4A"/>
    <w:rsid w:val="00865C08"/>
    <w:rsid w:val="00865F9F"/>
    <w:rsid w:val="00866CF3"/>
    <w:rsid w:val="00866CF6"/>
    <w:rsid w:val="00867146"/>
    <w:rsid w:val="00867257"/>
    <w:rsid w:val="00867BBA"/>
    <w:rsid w:val="0087040B"/>
    <w:rsid w:val="00870B95"/>
    <w:rsid w:val="00870E0F"/>
    <w:rsid w:val="0087141D"/>
    <w:rsid w:val="00871A89"/>
    <w:rsid w:val="00871C3D"/>
    <w:rsid w:val="00872E6C"/>
    <w:rsid w:val="00873523"/>
    <w:rsid w:val="00874145"/>
    <w:rsid w:val="00874155"/>
    <w:rsid w:val="008749C1"/>
    <w:rsid w:val="00874AD6"/>
    <w:rsid w:val="00874C38"/>
    <w:rsid w:val="00875206"/>
    <w:rsid w:val="008766A6"/>
    <w:rsid w:val="00876ED6"/>
    <w:rsid w:val="00877048"/>
    <w:rsid w:val="008775C4"/>
    <w:rsid w:val="00877814"/>
    <w:rsid w:val="008779AD"/>
    <w:rsid w:val="0088020C"/>
    <w:rsid w:val="00880D17"/>
    <w:rsid w:val="0088123D"/>
    <w:rsid w:val="0088212B"/>
    <w:rsid w:val="008822BA"/>
    <w:rsid w:val="00882B3E"/>
    <w:rsid w:val="0088349E"/>
    <w:rsid w:val="0088495B"/>
    <w:rsid w:val="00884AFF"/>
    <w:rsid w:val="00885719"/>
    <w:rsid w:val="008862AB"/>
    <w:rsid w:val="00886C02"/>
    <w:rsid w:val="00886FDE"/>
    <w:rsid w:val="008877E3"/>
    <w:rsid w:val="00887EE5"/>
    <w:rsid w:val="008904CC"/>
    <w:rsid w:val="00891656"/>
    <w:rsid w:val="00891D6A"/>
    <w:rsid w:val="00892E96"/>
    <w:rsid w:val="0089334C"/>
    <w:rsid w:val="00893A90"/>
    <w:rsid w:val="00894448"/>
    <w:rsid w:val="00895325"/>
    <w:rsid w:val="00895880"/>
    <w:rsid w:val="00896850"/>
    <w:rsid w:val="00897696"/>
    <w:rsid w:val="00897F3C"/>
    <w:rsid w:val="008A01AC"/>
    <w:rsid w:val="008A032B"/>
    <w:rsid w:val="008A0588"/>
    <w:rsid w:val="008A0675"/>
    <w:rsid w:val="008A1BD5"/>
    <w:rsid w:val="008A1C13"/>
    <w:rsid w:val="008A1C6B"/>
    <w:rsid w:val="008A2FEE"/>
    <w:rsid w:val="008A3860"/>
    <w:rsid w:val="008A4550"/>
    <w:rsid w:val="008A4A15"/>
    <w:rsid w:val="008A544C"/>
    <w:rsid w:val="008A582D"/>
    <w:rsid w:val="008A5A3E"/>
    <w:rsid w:val="008A6D98"/>
    <w:rsid w:val="008A6EC9"/>
    <w:rsid w:val="008A7351"/>
    <w:rsid w:val="008A7A56"/>
    <w:rsid w:val="008A7B69"/>
    <w:rsid w:val="008B01D4"/>
    <w:rsid w:val="008B029C"/>
    <w:rsid w:val="008B0336"/>
    <w:rsid w:val="008B0D36"/>
    <w:rsid w:val="008B1BA6"/>
    <w:rsid w:val="008B27BC"/>
    <w:rsid w:val="008B29A8"/>
    <w:rsid w:val="008B36EF"/>
    <w:rsid w:val="008B3FAB"/>
    <w:rsid w:val="008B5A61"/>
    <w:rsid w:val="008B6812"/>
    <w:rsid w:val="008B7C63"/>
    <w:rsid w:val="008B7CB8"/>
    <w:rsid w:val="008C012B"/>
    <w:rsid w:val="008C021B"/>
    <w:rsid w:val="008C02E9"/>
    <w:rsid w:val="008C067D"/>
    <w:rsid w:val="008C143F"/>
    <w:rsid w:val="008C2670"/>
    <w:rsid w:val="008C2F78"/>
    <w:rsid w:val="008C3933"/>
    <w:rsid w:val="008C3D2F"/>
    <w:rsid w:val="008C3D41"/>
    <w:rsid w:val="008C3E0C"/>
    <w:rsid w:val="008C414B"/>
    <w:rsid w:val="008C429C"/>
    <w:rsid w:val="008C4503"/>
    <w:rsid w:val="008C6827"/>
    <w:rsid w:val="008C7F51"/>
    <w:rsid w:val="008D00B8"/>
    <w:rsid w:val="008D0B93"/>
    <w:rsid w:val="008D1BB8"/>
    <w:rsid w:val="008D2442"/>
    <w:rsid w:val="008D26C6"/>
    <w:rsid w:val="008D2D5F"/>
    <w:rsid w:val="008D39F7"/>
    <w:rsid w:val="008D4780"/>
    <w:rsid w:val="008D5114"/>
    <w:rsid w:val="008D513A"/>
    <w:rsid w:val="008D543E"/>
    <w:rsid w:val="008D6332"/>
    <w:rsid w:val="008D73CB"/>
    <w:rsid w:val="008D7504"/>
    <w:rsid w:val="008D771C"/>
    <w:rsid w:val="008D78D7"/>
    <w:rsid w:val="008D7B3B"/>
    <w:rsid w:val="008D7F12"/>
    <w:rsid w:val="008E03CC"/>
    <w:rsid w:val="008E06E0"/>
    <w:rsid w:val="008E06E7"/>
    <w:rsid w:val="008E136C"/>
    <w:rsid w:val="008E1C4A"/>
    <w:rsid w:val="008E2186"/>
    <w:rsid w:val="008E3798"/>
    <w:rsid w:val="008E4E0A"/>
    <w:rsid w:val="008E5D83"/>
    <w:rsid w:val="008E6924"/>
    <w:rsid w:val="008E6D32"/>
    <w:rsid w:val="008E7005"/>
    <w:rsid w:val="008F043D"/>
    <w:rsid w:val="008F05FE"/>
    <w:rsid w:val="008F0F24"/>
    <w:rsid w:val="008F112D"/>
    <w:rsid w:val="008F1F55"/>
    <w:rsid w:val="008F21E9"/>
    <w:rsid w:val="008F273B"/>
    <w:rsid w:val="008F4046"/>
    <w:rsid w:val="008F4A7D"/>
    <w:rsid w:val="008F4DB1"/>
    <w:rsid w:val="008F506E"/>
    <w:rsid w:val="008F5361"/>
    <w:rsid w:val="008F549E"/>
    <w:rsid w:val="008F6CB4"/>
    <w:rsid w:val="009007F6"/>
    <w:rsid w:val="00901816"/>
    <w:rsid w:val="009021A6"/>
    <w:rsid w:val="00902F17"/>
    <w:rsid w:val="009032BB"/>
    <w:rsid w:val="00903757"/>
    <w:rsid w:val="009037DE"/>
    <w:rsid w:val="00903C91"/>
    <w:rsid w:val="0090405D"/>
    <w:rsid w:val="00904228"/>
    <w:rsid w:val="00904A88"/>
    <w:rsid w:val="00904D5E"/>
    <w:rsid w:val="0090522E"/>
    <w:rsid w:val="00905735"/>
    <w:rsid w:val="00906091"/>
    <w:rsid w:val="009070C5"/>
    <w:rsid w:val="0090726F"/>
    <w:rsid w:val="009113DC"/>
    <w:rsid w:val="0091236E"/>
    <w:rsid w:val="00912376"/>
    <w:rsid w:val="009125EC"/>
    <w:rsid w:val="00913029"/>
    <w:rsid w:val="009137C2"/>
    <w:rsid w:val="00913DF7"/>
    <w:rsid w:val="009140DC"/>
    <w:rsid w:val="0091442E"/>
    <w:rsid w:val="00914819"/>
    <w:rsid w:val="00914B4A"/>
    <w:rsid w:val="00914B80"/>
    <w:rsid w:val="00914C27"/>
    <w:rsid w:val="009150E1"/>
    <w:rsid w:val="00915A34"/>
    <w:rsid w:val="00917CA7"/>
    <w:rsid w:val="00920E6D"/>
    <w:rsid w:val="009216A2"/>
    <w:rsid w:val="00925BC4"/>
    <w:rsid w:val="00927DA2"/>
    <w:rsid w:val="0093027C"/>
    <w:rsid w:val="00930312"/>
    <w:rsid w:val="00930E00"/>
    <w:rsid w:val="0093186F"/>
    <w:rsid w:val="0093187D"/>
    <w:rsid w:val="00931E46"/>
    <w:rsid w:val="00932276"/>
    <w:rsid w:val="0093244B"/>
    <w:rsid w:val="00932479"/>
    <w:rsid w:val="00932B5D"/>
    <w:rsid w:val="00932D82"/>
    <w:rsid w:val="009343AE"/>
    <w:rsid w:val="00934886"/>
    <w:rsid w:val="009349FA"/>
    <w:rsid w:val="00934A14"/>
    <w:rsid w:val="00935470"/>
    <w:rsid w:val="0093547C"/>
    <w:rsid w:val="009354BD"/>
    <w:rsid w:val="00937117"/>
    <w:rsid w:val="00937732"/>
    <w:rsid w:val="009400CF"/>
    <w:rsid w:val="00940617"/>
    <w:rsid w:val="009411B2"/>
    <w:rsid w:val="0094380D"/>
    <w:rsid w:val="009442FA"/>
    <w:rsid w:val="0094439C"/>
    <w:rsid w:val="00944492"/>
    <w:rsid w:val="00945259"/>
    <w:rsid w:val="00945B83"/>
    <w:rsid w:val="009466AC"/>
    <w:rsid w:val="0094758E"/>
    <w:rsid w:val="0095016A"/>
    <w:rsid w:val="009501C4"/>
    <w:rsid w:val="00950657"/>
    <w:rsid w:val="00951399"/>
    <w:rsid w:val="009513EE"/>
    <w:rsid w:val="0095146E"/>
    <w:rsid w:val="0095162A"/>
    <w:rsid w:val="00951F21"/>
    <w:rsid w:val="0095211A"/>
    <w:rsid w:val="0095433D"/>
    <w:rsid w:val="00954499"/>
    <w:rsid w:val="00954609"/>
    <w:rsid w:val="009549CA"/>
    <w:rsid w:val="009549F9"/>
    <w:rsid w:val="00954B49"/>
    <w:rsid w:val="0095511A"/>
    <w:rsid w:val="009560C4"/>
    <w:rsid w:val="00956E69"/>
    <w:rsid w:val="00956F31"/>
    <w:rsid w:val="0095797F"/>
    <w:rsid w:val="009607A2"/>
    <w:rsid w:val="0096083F"/>
    <w:rsid w:val="00961D17"/>
    <w:rsid w:val="00962503"/>
    <w:rsid w:val="00962C4F"/>
    <w:rsid w:val="00963E6D"/>
    <w:rsid w:val="0096404F"/>
    <w:rsid w:val="009646B1"/>
    <w:rsid w:val="0096496F"/>
    <w:rsid w:val="0096549F"/>
    <w:rsid w:val="00966466"/>
    <w:rsid w:val="00966A20"/>
    <w:rsid w:val="00967E8B"/>
    <w:rsid w:val="00970AC9"/>
    <w:rsid w:val="00970AD7"/>
    <w:rsid w:val="00970E94"/>
    <w:rsid w:val="00970FC6"/>
    <w:rsid w:val="00971068"/>
    <w:rsid w:val="009712E9"/>
    <w:rsid w:val="00971377"/>
    <w:rsid w:val="00972DEC"/>
    <w:rsid w:val="0097388C"/>
    <w:rsid w:val="00973FF6"/>
    <w:rsid w:val="009749D9"/>
    <w:rsid w:val="00974E45"/>
    <w:rsid w:val="0097548C"/>
    <w:rsid w:val="009765B2"/>
    <w:rsid w:val="009770F4"/>
    <w:rsid w:val="00977E14"/>
    <w:rsid w:val="009803F5"/>
    <w:rsid w:val="00980BF9"/>
    <w:rsid w:val="0098119D"/>
    <w:rsid w:val="0098294C"/>
    <w:rsid w:val="009829B4"/>
    <w:rsid w:val="00982A60"/>
    <w:rsid w:val="00982F8D"/>
    <w:rsid w:val="0098326F"/>
    <w:rsid w:val="0098341E"/>
    <w:rsid w:val="00983910"/>
    <w:rsid w:val="00984168"/>
    <w:rsid w:val="00984255"/>
    <w:rsid w:val="00984DDC"/>
    <w:rsid w:val="00984EBF"/>
    <w:rsid w:val="009858A4"/>
    <w:rsid w:val="00985921"/>
    <w:rsid w:val="009859AA"/>
    <w:rsid w:val="00985F8B"/>
    <w:rsid w:val="0098624B"/>
    <w:rsid w:val="0098636F"/>
    <w:rsid w:val="00986B97"/>
    <w:rsid w:val="009879C4"/>
    <w:rsid w:val="009901B2"/>
    <w:rsid w:val="0099131C"/>
    <w:rsid w:val="009913ED"/>
    <w:rsid w:val="00992016"/>
    <w:rsid w:val="0099255D"/>
    <w:rsid w:val="0099256B"/>
    <w:rsid w:val="009931F7"/>
    <w:rsid w:val="0099378B"/>
    <w:rsid w:val="0099495B"/>
    <w:rsid w:val="0099588D"/>
    <w:rsid w:val="00996EEB"/>
    <w:rsid w:val="0099735D"/>
    <w:rsid w:val="00997547"/>
    <w:rsid w:val="00997703"/>
    <w:rsid w:val="00997C5E"/>
    <w:rsid w:val="009A0A8D"/>
    <w:rsid w:val="009A0FED"/>
    <w:rsid w:val="009A331B"/>
    <w:rsid w:val="009A33C9"/>
    <w:rsid w:val="009A3B85"/>
    <w:rsid w:val="009A4F28"/>
    <w:rsid w:val="009A7DF2"/>
    <w:rsid w:val="009B0106"/>
    <w:rsid w:val="009B089F"/>
    <w:rsid w:val="009B08D0"/>
    <w:rsid w:val="009B0A68"/>
    <w:rsid w:val="009B0F39"/>
    <w:rsid w:val="009B1E68"/>
    <w:rsid w:val="009B2B5E"/>
    <w:rsid w:val="009B3D41"/>
    <w:rsid w:val="009B3DB1"/>
    <w:rsid w:val="009B3E00"/>
    <w:rsid w:val="009B3EE6"/>
    <w:rsid w:val="009B457E"/>
    <w:rsid w:val="009B6C3A"/>
    <w:rsid w:val="009B7370"/>
    <w:rsid w:val="009B749E"/>
    <w:rsid w:val="009C0541"/>
    <w:rsid w:val="009C06CC"/>
    <w:rsid w:val="009C078A"/>
    <w:rsid w:val="009C0B36"/>
    <w:rsid w:val="009C1B66"/>
    <w:rsid w:val="009C2B7C"/>
    <w:rsid w:val="009C373F"/>
    <w:rsid w:val="009C40C4"/>
    <w:rsid w:val="009C422B"/>
    <w:rsid w:val="009C4A52"/>
    <w:rsid w:val="009C4C79"/>
    <w:rsid w:val="009C5CBC"/>
    <w:rsid w:val="009C7148"/>
    <w:rsid w:val="009C7307"/>
    <w:rsid w:val="009C74A9"/>
    <w:rsid w:val="009D06CD"/>
    <w:rsid w:val="009D155F"/>
    <w:rsid w:val="009D25AB"/>
    <w:rsid w:val="009D2852"/>
    <w:rsid w:val="009D301A"/>
    <w:rsid w:val="009D337A"/>
    <w:rsid w:val="009D3596"/>
    <w:rsid w:val="009D3828"/>
    <w:rsid w:val="009D4800"/>
    <w:rsid w:val="009D497D"/>
    <w:rsid w:val="009D526B"/>
    <w:rsid w:val="009D52D1"/>
    <w:rsid w:val="009D56C6"/>
    <w:rsid w:val="009D62A2"/>
    <w:rsid w:val="009D65B3"/>
    <w:rsid w:val="009D7096"/>
    <w:rsid w:val="009D7AC8"/>
    <w:rsid w:val="009E143B"/>
    <w:rsid w:val="009E198A"/>
    <w:rsid w:val="009E19DD"/>
    <w:rsid w:val="009E328E"/>
    <w:rsid w:val="009E3B83"/>
    <w:rsid w:val="009E4CEE"/>
    <w:rsid w:val="009E5417"/>
    <w:rsid w:val="009E54BF"/>
    <w:rsid w:val="009E5664"/>
    <w:rsid w:val="009E59B9"/>
    <w:rsid w:val="009E5A3D"/>
    <w:rsid w:val="009E6081"/>
    <w:rsid w:val="009E6170"/>
    <w:rsid w:val="009E6854"/>
    <w:rsid w:val="009E7001"/>
    <w:rsid w:val="009E7544"/>
    <w:rsid w:val="009E7EB3"/>
    <w:rsid w:val="009F05C3"/>
    <w:rsid w:val="009F1C93"/>
    <w:rsid w:val="009F2873"/>
    <w:rsid w:val="009F36AA"/>
    <w:rsid w:val="009F4451"/>
    <w:rsid w:val="009F4ADD"/>
    <w:rsid w:val="009F6779"/>
    <w:rsid w:val="009F6F12"/>
    <w:rsid w:val="009F73D5"/>
    <w:rsid w:val="009F7D0C"/>
    <w:rsid w:val="00A00048"/>
    <w:rsid w:val="00A008D5"/>
    <w:rsid w:val="00A00D53"/>
    <w:rsid w:val="00A0268E"/>
    <w:rsid w:val="00A05231"/>
    <w:rsid w:val="00A05824"/>
    <w:rsid w:val="00A06E54"/>
    <w:rsid w:val="00A07D41"/>
    <w:rsid w:val="00A07DCD"/>
    <w:rsid w:val="00A07E93"/>
    <w:rsid w:val="00A1008D"/>
    <w:rsid w:val="00A10245"/>
    <w:rsid w:val="00A10AF8"/>
    <w:rsid w:val="00A1120C"/>
    <w:rsid w:val="00A114CE"/>
    <w:rsid w:val="00A11F2D"/>
    <w:rsid w:val="00A122F2"/>
    <w:rsid w:val="00A12C3C"/>
    <w:rsid w:val="00A13410"/>
    <w:rsid w:val="00A14212"/>
    <w:rsid w:val="00A144EA"/>
    <w:rsid w:val="00A14B1A"/>
    <w:rsid w:val="00A15636"/>
    <w:rsid w:val="00A156B4"/>
    <w:rsid w:val="00A1644F"/>
    <w:rsid w:val="00A16ECE"/>
    <w:rsid w:val="00A17B0B"/>
    <w:rsid w:val="00A17F28"/>
    <w:rsid w:val="00A205B4"/>
    <w:rsid w:val="00A20C2D"/>
    <w:rsid w:val="00A23332"/>
    <w:rsid w:val="00A24042"/>
    <w:rsid w:val="00A2642A"/>
    <w:rsid w:val="00A27897"/>
    <w:rsid w:val="00A278BB"/>
    <w:rsid w:val="00A30D7A"/>
    <w:rsid w:val="00A30DC3"/>
    <w:rsid w:val="00A31204"/>
    <w:rsid w:val="00A31FA7"/>
    <w:rsid w:val="00A327D6"/>
    <w:rsid w:val="00A332EA"/>
    <w:rsid w:val="00A33E0A"/>
    <w:rsid w:val="00A34403"/>
    <w:rsid w:val="00A34581"/>
    <w:rsid w:val="00A34883"/>
    <w:rsid w:val="00A35421"/>
    <w:rsid w:val="00A36AC0"/>
    <w:rsid w:val="00A3736C"/>
    <w:rsid w:val="00A37A85"/>
    <w:rsid w:val="00A37C9F"/>
    <w:rsid w:val="00A406DF"/>
    <w:rsid w:val="00A410E8"/>
    <w:rsid w:val="00A41300"/>
    <w:rsid w:val="00A41D74"/>
    <w:rsid w:val="00A41E15"/>
    <w:rsid w:val="00A45132"/>
    <w:rsid w:val="00A452E5"/>
    <w:rsid w:val="00A453D1"/>
    <w:rsid w:val="00A45589"/>
    <w:rsid w:val="00A46016"/>
    <w:rsid w:val="00A4666A"/>
    <w:rsid w:val="00A46C09"/>
    <w:rsid w:val="00A46DDE"/>
    <w:rsid w:val="00A47BE2"/>
    <w:rsid w:val="00A47C00"/>
    <w:rsid w:val="00A5064A"/>
    <w:rsid w:val="00A5286C"/>
    <w:rsid w:val="00A528BE"/>
    <w:rsid w:val="00A528CD"/>
    <w:rsid w:val="00A530B5"/>
    <w:rsid w:val="00A5336A"/>
    <w:rsid w:val="00A5380C"/>
    <w:rsid w:val="00A539D5"/>
    <w:rsid w:val="00A53B20"/>
    <w:rsid w:val="00A54B23"/>
    <w:rsid w:val="00A553F5"/>
    <w:rsid w:val="00A5574B"/>
    <w:rsid w:val="00A558A3"/>
    <w:rsid w:val="00A5649F"/>
    <w:rsid w:val="00A564A1"/>
    <w:rsid w:val="00A57B74"/>
    <w:rsid w:val="00A60840"/>
    <w:rsid w:val="00A61353"/>
    <w:rsid w:val="00A613CB"/>
    <w:rsid w:val="00A61658"/>
    <w:rsid w:val="00A620BE"/>
    <w:rsid w:val="00A6223C"/>
    <w:rsid w:val="00A62C9A"/>
    <w:rsid w:val="00A63994"/>
    <w:rsid w:val="00A6416B"/>
    <w:rsid w:val="00A64209"/>
    <w:rsid w:val="00A65023"/>
    <w:rsid w:val="00A65EBC"/>
    <w:rsid w:val="00A66872"/>
    <w:rsid w:val="00A67543"/>
    <w:rsid w:val="00A67DA8"/>
    <w:rsid w:val="00A70BC9"/>
    <w:rsid w:val="00A7122E"/>
    <w:rsid w:val="00A7215B"/>
    <w:rsid w:val="00A729A2"/>
    <w:rsid w:val="00A729E9"/>
    <w:rsid w:val="00A72A66"/>
    <w:rsid w:val="00A72EAD"/>
    <w:rsid w:val="00A72ECC"/>
    <w:rsid w:val="00A72FED"/>
    <w:rsid w:val="00A73C67"/>
    <w:rsid w:val="00A74225"/>
    <w:rsid w:val="00A74710"/>
    <w:rsid w:val="00A74E8C"/>
    <w:rsid w:val="00A74E90"/>
    <w:rsid w:val="00A74FD7"/>
    <w:rsid w:val="00A75510"/>
    <w:rsid w:val="00A7593B"/>
    <w:rsid w:val="00A760E7"/>
    <w:rsid w:val="00A76103"/>
    <w:rsid w:val="00A766F4"/>
    <w:rsid w:val="00A77162"/>
    <w:rsid w:val="00A776F6"/>
    <w:rsid w:val="00A77A5A"/>
    <w:rsid w:val="00A808F0"/>
    <w:rsid w:val="00A8103F"/>
    <w:rsid w:val="00A81166"/>
    <w:rsid w:val="00A82B66"/>
    <w:rsid w:val="00A83A17"/>
    <w:rsid w:val="00A83EBA"/>
    <w:rsid w:val="00A842B4"/>
    <w:rsid w:val="00A843BD"/>
    <w:rsid w:val="00A84FF7"/>
    <w:rsid w:val="00A85064"/>
    <w:rsid w:val="00A85364"/>
    <w:rsid w:val="00A8541D"/>
    <w:rsid w:val="00A85781"/>
    <w:rsid w:val="00A85B0A"/>
    <w:rsid w:val="00A86BDB"/>
    <w:rsid w:val="00A86CE1"/>
    <w:rsid w:val="00A87468"/>
    <w:rsid w:val="00A87BE1"/>
    <w:rsid w:val="00A9082C"/>
    <w:rsid w:val="00A90838"/>
    <w:rsid w:val="00A90D68"/>
    <w:rsid w:val="00A911A4"/>
    <w:rsid w:val="00A9222E"/>
    <w:rsid w:val="00A9282E"/>
    <w:rsid w:val="00A939DC"/>
    <w:rsid w:val="00A93A4B"/>
    <w:rsid w:val="00A93D67"/>
    <w:rsid w:val="00A95567"/>
    <w:rsid w:val="00A95F43"/>
    <w:rsid w:val="00A9684A"/>
    <w:rsid w:val="00A96F7E"/>
    <w:rsid w:val="00A9731D"/>
    <w:rsid w:val="00A97C23"/>
    <w:rsid w:val="00A97FD2"/>
    <w:rsid w:val="00AA0097"/>
    <w:rsid w:val="00AA090D"/>
    <w:rsid w:val="00AA173A"/>
    <w:rsid w:val="00AA1937"/>
    <w:rsid w:val="00AA1A4F"/>
    <w:rsid w:val="00AA1C22"/>
    <w:rsid w:val="00AA1F67"/>
    <w:rsid w:val="00AA267F"/>
    <w:rsid w:val="00AA2C7E"/>
    <w:rsid w:val="00AA3353"/>
    <w:rsid w:val="00AA36F5"/>
    <w:rsid w:val="00AA3845"/>
    <w:rsid w:val="00AA4919"/>
    <w:rsid w:val="00AA5366"/>
    <w:rsid w:val="00AA541F"/>
    <w:rsid w:val="00AA59B0"/>
    <w:rsid w:val="00AA60DD"/>
    <w:rsid w:val="00AB037B"/>
    <w:rsid w:val="00AB05C2"/>
    <w:rsid w:val="00AB0EB2"/>
    <w:rsid w:val="00AB0F3A"/>
    <w:rsid w:val="00AB0F47"/>
    <w:rsid w:val="00AB0F9B"/>
    <w:rsid w:val="00AB10A2"/>
    <w:rsid w:val="00AB18A3"/>
    <w:rsid w:val="00AB2A5E"/>
    <w:rsid w:val="00AB2B6D"/>
    <w:rsid w:val="00AB3807"/>
    <w:rsid w:val="00AB3C2D"/>
    <w:rsid w:val="00AB3F1B"/>
    <w:rsid w:val="00AB4542"/>
    <w:rsid w:val="00AB4984"/>
    <w:rsid w:val="00AB4C03"/>
    <w:rsid w:val="00AB5125"/>
    <w:rsid w:val="00AB5525"/>
    <w:rsid w:val="00AB60BB"/>
    <w:rsid w:val="00AB638F"/>
    <w:rsid w:val="00AB64E3"/>
    <w:rsid w:val="00AB6657"/>
    <w:rsid w:val="00AB6A83"/>
    <w:rsid w:val="00AB6C28"/>
    <w:rsid w:val="00AB6FFE"/>
    <w:rsid w:val="00AC00A0"/>
    <w:rsid w:val="00AC153D"/>
    <w:rsid w:val="00AC1815"/>
    <w:rsid w:val="00AC1850"/>
    <w:rsid w:val="00AC1A29"/>
    <w:rsid w:val="00AC2365"/>
    <w:rsid w:val="00AC3B33"/>
    <w:rsid w:val="00AC3C32"/>
    <w:rsid w:val="00AC482D"/>
    <w:rsid w:val="00AC4B06"/>
    <w:rsid w:val="00AC4F6F"/>
    <w:rsid w:val="00AC50D3"/>
    <w:rsid w:val="00AC56C9"/>
    <w:rsid w:val="00AC5999"/>
    <w:rsid w:val="00AC5E72"/>
    <w:rsid w:val="00AC64FF"/>
    <w:rsid w:val="00AC7278"/>
    <w:rsid w:val="00AC7673"/>
    <w:rsid w:val="00AC7DF3"/>
    <w:rsid w:val="00AD09DA"/>
    <w:rsid w:val="00AD0C48"/>
    <w:rsid w:val="00AD0E4F"/>
    <w:rsid w:val="00AD1CB3"/>
    <w:rsid w:val="00AD21D3"/>
    <w:rsid w:val="00AD2983"/>
    <w:rsid w:val="00AD2CD1"/>
    <w:rsid w:val="00AD325C"/>
    <w:rsid w:val="00AD34B2"/>
    <w:rsid w:val="00AD4CEB"/>
    <w:rsid w:val="00AD50BE"/>
    <w:rsid w:val="00AD59D4"/>
    <w:rsid w:val="00AD62D1"/>
    <w:rsid w:val="00AD63BB"/>
    <w:rsid w:val="00AD73D4"/>
    <w:rsid w:val="00AE0981"/>
    <w:rsid w:val="00AE0F22"/>
    <w:rsid w:val="00AE120A"/>
    <w:rsid w:val="00AE14FB"/>
    <w:rsid w:val="00AE1A8A"/>
    <w:rsid w:val="00AE2497"/>
    <w:rsid w:val="00AE252F"/>
    <w:rsid w:val="00AE2B3D"/>
    <w:rsid w:val="00AE3593"/>
    <w:rsid w:val="00AE4105"/>
    <w:rsid w:val="00AE45B9"/>
    <w:rsid w:val="00AE51C7"/>
    <w:rsid w:val="00AE5470"/>
    <w:rsid w:val="00AE5475"/>
    <w:rsid w:val="00AE56EE"/>
    <w:rsid w:val="00AE5A63"/>
    <w:rsid w:val="00AE5D6F"/>
    <w:rsid w:val="00AE6D71"/>
    <w:rsid w:val="00AE7512"/>
    <w:rsid w:val="00AE7929"/>
    <w:rsid w:val="00AF0B43"/>
    <w:rsid w:val="00AF144C"/>
    <w:rsid w:val="00AF2B7F"/>
    <w:rsid w:val="00AF2BDF"/>
    <w:rsid w:val="00AF3736"/>
    <w:rsid w:val="00AF393B"/>
    <w:rsid w:val="00AF4504"/>
    <w:rsid w:val="00AF4674"/>
    <w:rsid w:val="00AF4914"/>
    <w:rsid w:val="00AF5B6B"/>
    <w:rsid w:val="00AF5B76"/>
    <w:rsid w:val="00AF724D"/>
    <w:rsid w:val="00AF72AA"/>
    <w:rsid w:val="00AF73EF"/>
    <w:rsid w:val="00AF775E"/>
    <w:rsid w:val="00AF7B67"/>
    <w:rsid w:val="00B00635"/>
    <w:rsid w:val="00B027C6"/>
    <w:rsid w:val="00B03802"/>
    <w:rsid w:val="00B04C47"/>
    <w:rsid w:val="00B050CB"/>
    <w:rsid w:val="00B065A4"/>
    <w:rsid w:val="00B06A3E"/>
    <w:rsid w:val="00B06E05"/>
    <w:rsid w:val="00B07131"/>
    <w:rsid w:val="00B076A2"/>
    <w:rsid w:val="00B10140"/>
    <w:rsid w:val="00B10756"/>
    <w:rsid w:val="00B11B31"/>
    <w:rsid w:val="00B12180"/>
    <w:rsid w:val="00B1234C"/>
    <w:rsid w:val="00B132BD"/>
    <w:rsid w:val="00B154DC"/>
    <w:rsid w:val="00B16DEA"/>
    <w:rsid w:val="00B16EB4"/>
    <w:rsid w:val="00B17C24"/>
    <w:rsid w:val="00B202AF"/>
    <w:rsid w:val="00B203E1"/>
    <w:rsid w:val="00B205F0"/>
    <w:rsid w:val="00B21B65"/>
    <w:rsid w:val="00B22363"/>
    <w:rsid w:val="00B22C42"/>
    <w:rsid w:val="00B2329E"/>
    <w:rsid w:val="00B23600"/>
    <w:rsid w:val="00B23A23"/>
    <w:rsid w:val="00B23B60"/>
    <w:rsid w:val="00B23E3A"/>
    <w:rsid w:val="00B24948"/>
    <w:rsid w:val="00B2498B"/>
    <w:rsid w:val="00B24DDB"/>
    <w:rsid w:val="00B25287"/>
    <w:rsid w:val="00B25E81"/>
    <w:rsid w:val="00B26649"/>
    <w:rsid w:val="00B26925"/>
    <w:rsid w:val="00B26B7F"/>
    <w:rsid w:val="00B26C46"/>
    <w:rsid w:val="00B27A1C"/>
    <w:rsid w:val="00B304E2"/>
    <w:rsid w:val="00B309B4"/>
    <w:rsid w:val="00B31AA8"/>
    <w:rsid w:val="00B31CAA"/>
    <w:rsid w:val="00B3267F"/>
    <w:rsid w:val="00B32924"/>
    <w:rsid w:val="00B337B2"/>
    <w:rsid w:val="00B33DA1"/>
    <w:rsid w:val="00B34260"/>
    <w:rsid w:val="00B3459F"/>
    <w:rsid w:val="00B35C7F"/>
    <w:rsid w:val="00B35EFE"/>
    <w:rsid w:val="00B36227"/>
    <w:rsid w:val="00B3696E"/>
    <w:rsid w:val="00B40A37"/>
    <w:rsid w:val="00B4153F"/>
    <w:rsid w:val="00B419ED"/>
    <w:rsid w:val="00B42113"/>
    <w:rsid w:val="00B42131"/>
    <w:rsid w:val="00B429C0"/>
    <w:rsid w:val="00B42BB8"/>
    <w:rsid w:val="00B43244"/>
    <w:rsid w:val="00B438DB"/>
    <w:rsid w:val="00B4446E"/>
    <w:rsid w:val="00B444EF"/>
    <w:rsid w:val="00B446E8"/>
    <w:rsid w:val="00B44C23"/>
    <w:rsid w:val="00B44D72"/>
    <w:rsid w:val="00B44EC8"/>
    <w:rsid w:val="00B45500"/>
    <w:rsid w:val="00B45C9D"/>
    <w:rsid w:val="00B4669A"/>
    <w:rsid w:val="00B46C0B"/>
    <w:rsid w:val="00B47267"/>
    <w:rsid w:val="00B50BA7"/>
    <w:rsid w:val="00B50CEE"/>
    <w:rsid w:val="00B515CA"/>
    <w:rsid w:val="00B515F1"/>
    <w:rsid w:val="00B518DF"/>
    <w:rsid w:val="00B51B35"/>
    <w:rsid w:val="00B5226E"/>
    <w:rsid w:val="00B525ED"/>
    <w:rsid w:val="00B53B3A"/>
    <w:rsid w:val="00B53E20"/>
    <w:rsid w:val="00B54214"/>
    <w:rsid w:val="00B55076"/>
    <w:rsid w:val="00B551F1"/>
    <w:rsid w:val="00B55276"/>
    <w:rsid w:val="00B578E7"/>
    <w:rsid w:val="00B60087"/>
    <w:rsid w:val="00B60A98"/>
    <w:rsid w:val="00B60CE9"/>
    <w:rsid w:val="00B60EAA"/>
    <w:rsid w:val="00B60FB9"/>
    <w:rsid w:val="00B61874"/>
    <w:rsid w:val="00B63743"/>
    <w:rsid w:val="00B63B26"/>
    <w:rsid w:val="00B64AA3"/>
    <w:rsid w:val="00B64BE5"/>
    <w:rsid w:val="00B64D94"/>
    <w:rsid w:val="00B65B2A"/>
    <w:rsid w:val="00B66D19"/>
    <w:rsid w:val="00B6706B"/>
    <w:rsid w:val="00B67A3D"/>
    <w:rsid w:val="00B67D03"/>
    <w:rsid w:val="00B70138"/>
    <w:rsid w:val="00B709DD"/>
    <w:rsid w:val="00B715A5"/>
    <w:rsid w:val="00B7239B"/>
    <w:rsid w:val="00B72FDB"/>
    <w:rsid w:val="00B76754"/>
    <w:rsid w:val="00B776B2"/>
    <w:rsid w:val="00B77E2B"/>
    <w:rsid w:val="00B803E2"/>
    <w:rsid w:val="00B81314"/>
    <w:rsid w:val="00B8153D"/>
    <w:rsid w:val="00B81BE4"/>
    <w:rsid w:val="00B81D2E"/>
    <w:rsid w:val="00B82CED"/>
    <w:rsid w:val="00B82EA6"/>
    <w:rsid w:val="00B8319D"/>
    <w:rsid w:val="00B83356"/>
    <w:rsid w:val="00B8339C"/>
    <w:rsid w:val="00B838B8"/>
    <w:rsid w:val="00B839B8"/>
    <w:rsid w:val="00B83ABA"/>
    <w:rsid w:val="00B83B34"/>
    <w:rsid w:val="00B83B7E"/>
    <w:rsid w:val="00B83E26"/>
    <w:rsid w:val="00B8412A"/>
    <w:rsid w:val="00B85388"/>
    <w:rsid w:val="00B85F90"/>
    <w:rsid w:val="00B86322"/>
    <w:rsid w:val="00B8760D"/>
    <w:rsid w:val="00B87AD9"/>
    <w:rsid w:val="00B91880"/>
    <w:rsid w:val="00B918B2"/>
    <w:rsid w:val="00B91FCE"/>
    <w:rsid w:val="00B9214C"/>
    <w:rsid w:val="00B9274B"/>
    <w:rsid w:val="00B929A3"/>
    <w:rsid w:val="00B93560"/>
    <w:rsid w:val="00B938AF"/>
    <w:rsid w:val="00B940CB"/>
    <w:rsid w:val="00B9453B"/>
    <w:rsid w:val="00B9544C"/>
    <w:rsid w:val="00B95F19"/>
    <w:rsid w:val="00B96F2A"/>
    <w:rsid w:val="00B975A7"/>
    <w:rsid w:val="00B97FE1"/>
    <w:rsid w:val="00BA02A3"/>
    <w:rsid w:val="00BA0F23"/>
    <w:rsid w:val="00BA0FC9"/>
    <w:rsid w:val="00BA163C"/>
    <w:rsid w:val="00BA2133"/>
    <w:rsid w:val="00BA22A2"/>
    <w:rsid w:val="00BA22CE"/>
    <w:rsid w:val="00BA45F5"/>
    <w:rsid w:val="00BA4BE9"/>
    <w:rsid w:val="00BA5373"/>
    <w:rsid w:val="00BA55E6"/>
    <w:rsid w:val="00BA560A"/>
    <w:rsid w:val="00BA626F"/>
    <w:rsid w:val="00BA6E15"/>
    <w:rsid w:val="00BA6E9D"/>
    <w:rsid w:val="00BA6F7A"/>
    <w:rsid w:val="00BA703C"/>
    <w:rsid w:val="00BA77A6"/>
    <w:rsid w:val="00BA78E3"/>
    <w:rsid w:val="00BA796F"/>
    <w:rsid w:val="00BA7F09"/>
    <w:rsid w:val="00BB0036"/>
    <w:rsid w:val="00BB064D"/>
    <w:rsid w:val="00BB0B29"/>
    <w:rsid w:val="00BB18CE"/>
    <w:rsid w:val="00BB1D66"/>
    <w:rsid w:val="00BB254F"/>
    <w:rsid w:val="00BB2A88"/>
    <w:rsid w:val="00BB4ADE"/>
    <w:rsid w:val="00BB5271"/>
    <w:rsid w:val="00BB52C1"/>
    <w:rsid w:val="00BB52F9"/>
    <w:rsid w:val="00BB5EC7"/>
    <w:rsid w:val="00BB67BA"/>
    <w:rsid w:val="00BB7523"/>
    <w:rsid w:val="00BC1D6D"/>
    <w:rsid w:val="00BC2650"/>
    <w:rsid w:val="00BC274B"/>
    <w:rsid w:val="00BC4076"/>
    <w:rsid w:val="00BC4853"/>
    <w:rsid w:val="00BC4857"/>
    <w:rsid w:val="00BC4984"/>
    <w:rsid w:val="00BC612D"/>
    <w:rsid w:val="00BC62A4"/>
    <w:rsid w:val="00BC69AD"/>
    <w:rsid w:val="00BC69C2"/>
    <w:rsid w:val="00BC6BEE"/>
    <w:rsid w:val="00BC6E90"/>
    <w:rsid w:val="00BC70CF"/>
    <w:rsid w:val="00BC7100"/>
    <w:rsid w:val="00BC7419"/>
    <w:rsid w:val="00BD0683"/>
    <w:rsid w:val="00BD0BBB"/>
    <w:rsid w:val="00BD0F2E"/>
    <w:rsid w:val="00BD12B5"/>
    <w:rsid w:val="00BD2B81"/>
    <w:rsid w:val="00BD36C4"/>
    <w:rsid w:val="00BD414F"/>
    <w:rsid w:val="00BD4363"/>
    <w:rsid w:val="00BD54AA"/>
    <w:rsid w:val="00BD5B1D"/>
    <w:rsid w:val="00BD5D12"/>
    <w:rsid w:val="00BD607B"/>
    <w:rsid w:val="00BD61A1"/>
    <w:rsid w:val="00BD67D2"/>
    <w:rsid w:val="00BD7C96"/>
    <w:rsid w:val="00BE00CA"/>
    <w:rsid w:val="00BE04F8"/>
    <w:rsid w:val="00BE065A"/>
    <w:rsid w:val="00BE082C"/>
    <w:rsid w:val="00BE0FBD"/>
    <w:rsid w:val="00BE271F"/>
    <w:rsid w:val="00BE2B71"/>
    <w:rsid w:val="00BE3145"/>
    <w:rsid w:val="00BE3EBE"/>
    <w:rsid w:val="00BE410C"/>
    <w:rsid w:val="00BE49CC"/>
    <w:rsid w:val="00BE4AB9"/>
    <w:rsid w:val="00BE4DDB"/>
    <w:rsid w:val="00BE5797"/>
    <w:rsid w:val="00BE59C0"/>
    <w:rsid w:val="00BE59E1"/>
    <w:rsid w:val="00BE5A59"/>
    <w:rsid w:val="00BE5AD5"/>
    <w:rsid w:val="00BE5EA6"/>
    <w:rsid w:val="00BE6BA2"/>
    <w:rsid w:val="00BE6FCE"/>
    <w:rsid w:val="00BE7828"/>
    <w:rsid w:val="00BF02E5"/>
    <w:rsid w:val="00BF038E"/>
    <w:rsid w:val="00BF08AE"/>
    <w:rsid w:val="00BF0950"/>
    <w:rsid w:val="00BF0A76"/>
    <w:rsid w:val="00BF13BD"/>
    <w:rsid w:val="00BF1E79"/>
    <w:rsid w:val="00BF1ED6"/>
    <w:rsid w:val="00BF2ED3"/>
    <w:rsid w:val="00BF3626"/>
    <w:rsid w:val="00BF3679"/>
    <w:rsid w:val="00BF377D"/>
    <w:rsid w:val="00BF3CE1"/>
    <w:rsid w:val="00BF4236"/>
    <w:rsid w:val="00BF4372"/>
    <w:rsid w:val="00BF480D"/>
    <w:rsid w:val="00BF4D04"/>
    <w:rsid w:val="00BF4F44"/>
    <w:rsid w:val="00BF54FE"/>
    <w:rsid w:val="00BF581A"/>
    <w:rsid w:val="00BF698B"/>
    <w:rsid w:val="00BF6C54"/>
    <w:rsid w:val="00BF75E7"/>
    <w:rsid w:val="00BF7833"/>
    <w:rsid w:val="00BF789E"/>
    <w:rsid w:val="00BF7BC4"/>
    <w:rsid w:val="00C00ACD"/>
    <w:rsid w:val="00C00B52"/>
    <w:rsid w:val="00C00B96"/>
    <w:rsid w:val="00C00E7F"/>
    <w:rsid w:val="00C02570"/>
    <w:rsid w:val="00C02AED"/>
    <w:rsid w:val="00C0391D"/>
    <w:rsid w:val="00C03BA3"/>
    <w:rsid w:val="00C03C81"/>
    <w:rsid w:val="00C043F8"/>
    <w:rsid w:val="00C045B5"/>
    <w:rsid w:val="00C04DBA"/>
    <w:rsid w:val="00C05F5D"/>
    <w:rsid w:val="00C06232"/>
    <w:rsid w:val="00C0627F"/>
    <w:rsid w:val="00C063E0"/>
    <w:rsid w:val="00C063EF"/>
    <w:rsid w:val="00C071C5"/>
    <w:rsid w:val="00C075D0"/>
    <w:rsid w:val="00C10AA9"/>
    <w:rsid w:val="00C1301C"/>
    <w:rsid w:val="00C13623"/>
    <w:rsid w:val="00C13C9C"/>
    <w:rsid w:val="00C147C5"/>
    <w:rsid w:val="00C15032"/>
    <w:rsid w:val="00C15337"/>
    <w:rsid w:val="00C16189"/>
    <w:rsid w:val="00C16C09"/>
    <w:rsid w:val="00C171D6"/>
    <w:rsid w:val="00C17941"/>
    <w:rsid w:val="00C17F48"/>
    <w:rsid w:val="00C17F55"/>
    <w:rsid w:val="00C201D0"/>
    <w:rsid w:val="00C209BC"/>
    <w:rsid w:val="00C20F52"/>
    <w:rsid w:val="00C2196F"/>
    <w:rsid w:val="00C21F0C"/>
    <w:rsid w:val="00C2200D"/>
    <w:rsid w:val="00C23DD4"/>
    <w:rsid w:val="00C24103"/>
    <w:rsid w:val="00C24AE7"/>
    <w:rsid w:val="00C24F15"/>
    <w:rsid w:val="00C2644B"/>
    <w:rsid w:val="00C264BE"/>
    <w:rsid w:val="00C26C0F"/>
    <w:rsid w:val="00C273D9"/>
    <w:rsid w:val="00C3043A"/>
    <w:rsid w:val="00C30D2C"/>
    <w:rsid w:val="00C313C0"/>
    <w:rsid w:val="00C32B2E"/>
    <w:rsid w:val="00C33050"/>
    <w:rsid w:val="00C33F68"/>
    <w:rsid w:val="00C3455F"/>
    <w:rsid w:val="00C34F15"/>
    <w:rsid w:val="00C3530F"/>
    <w:rsid w:val="00C35B56"/>
    <w:rsid w:val="00C36081"/>
    <w:rsid w:val="00C3618F"/>
    <w:rsid w:val="00C36354"/>
    <w:rsid w:val="00C369AC"/>
    <w:rsid w:val="00C40751"/>
    <w:rsid w:val="00C40ACA"/>
    <w:rsid w:val="00C40CF6"/>
    <w:rsid w:val="00C4136A"/>
    <w:rsid w:val="00C41E83"/>
    <w:rsid w:val="00C42595"/>
    <w:rsid w:val="00C42914"/>
    <w:rsid w:val="00C42BEA"/>
    <w:rsid w:val="00C43008"/>
    <w:rsid w:val="00C43674"/>
    <w:rsid w:val="00C44ECF"/>
    <w:rsid w:val="00C451B8"/>
    <w:rsid w:val="00C459C1"/>
    <w:rsid w:val="00C4798E"/>
    <w:rsid w:val="00C47A11"/>
    <w:rsid w:val="00C47B60"/>
    <w:rsid w:val="00C47FEA"/>
    <w:rsid w:val="00C50575"/>
    <w:rsid w:val="00C51149"/>
    <w:rsid w:val="00C513B1"/>
    <w:rsid w:val="00C517E6"/>
    <w:rsid w:val="00C51B43"/>
    <w:rsid w:val="00C51CB1"/>
    <w:rsid w:val="00C52162"/>
    <w:rsid w:val="00C53068"/>
    <w:rsid w:val="00C5313B"/>
    <w:rsid w:val="00C53A23"/>
    <w:rsid w:val="00C53B79"/>
    <w:rsid w:val="00C53E15"/>
    <w:rsid w:val="00C547B2"/>
    <w:rsid w:val="00C54A30"/>
    <w:rsid w:val="00C55606"/>
    <w:rsid w:val="00C55F1A"/>
    <w:rsid w:val="00C562E8"/>
    <w:rsid w:val="00C5665C"/>
    <w:rsid w:val="00C56ACF"/>
    <w:rsid w:val="00C56DD8"/>
    <w:rsid w:val="00C570A6"/>
    <w:rsid w:val="00C6059E"/>
    <w:rsid w:val="00C6073D"/>
    <w:rsid w:val="00C6077E"/>
    <w:rsid w:val="00C60C3B"/>
    <w:rsid w:val="00C60EA1"/>
    <w:rsid w:val="00C61758"/>
    <w:rsid w:val="00C61960"/>
    <w:rsid w:val="00C622D8"/>
    <w:rsid w:val="00C6288A"/>
    <w:rsid w:val="00C62926"/>
    <w:rsid w:val="00C62E1C"/>
    <w:rsid w:val="00C62FFA"/>
    <w:rsid w:val="00C63972"/>
    <w:rsid w:val="00C64BFE"/>
    <w:rsid w:val="00C65D07"/>
    <w:rsid w:val="00C65FDC"/>
    <w:rsid w:val="00C67EB4"/>
    <w:rsid w:val="00C7019F"/>
    <w:rsid w:val="00C704D4"/>
    <w:rsid w:val="00C70FC4"/>
    <w:rsid w:val="00C72DC8"/>
    <w:rsid w:val="00C742A6"/>
    <w:rsid w:val="00C75683"/>
    <w:rsid w:val="00C75805"/>
    <w:rsid w:val="00C75F22"/>
    <w:rsid w:val="00C765D7"/>
    <w:rsid w:val="00C76886"/>
    <w:rsid w:val="00C774C0"/>
    <w:rsid w:val="00C775E3"/>
    <w:rsid w:val="00C80C0A"/>
    <w:rsid w:val="00C816BD"/>
    <w:rsid w:val="00C819CD"/>
    <w:rsid w:val="00C81AFE"/>
    <w:rsid w:val="00C81C9C"/>
    <w:rsid w:val="00C8235E"/>
    <w:rsid w:val="00C823F0"/>
    <w:rsid w:val="00C8272D"/>
    <w:rsid w:val="00C82DA1"/>
    <w:rsid w:val="00C8309E"/>
    <w:rsid w:val="00C8348D"/>
    <w:rsid w:val="00C83BC0"/>
    <w:rsid w:val="00C83C9F"/>
    <w:rsid w:val="00C83F0C"/>
    <w:rsid w:val="00C84F2F"/>
    <w:rsid w:val="00C86095"/>
    <w:rsid w:val="00C86470"/>
    <w:rsid w:val="00C86CEF"/>
    <w:rsid w:val="00C86D8B"/>
    <w:rsid w:val="00C90058"/>
    <w:rsid w:val="00C905C2"/>
    <w:rsid w:val="00C90C1A"/>
    <w:rsid w:val="00C90F00"/>
    <w:rsid w:val="00C91374"/>
    <w:rsid w:val="00C9164F"/>
    <w:rsid w:val="00C91D10"/>
    <w:rsid w:val="00C91F7C"/>
    <w:rsid w:val="00C92D85"/>
    <w:rsid w:val="00C930A4"/>
    <w:rsid w:val="00C93134"/>
    <w:rsid w:val="00C937E3"/>
    <w:rsid w:val="00C93B86"/>
    <w:rsid w:val="00C94C3C"/>
    <w:rsid w:val="00C955A4"/>
    <w:rsid w:val="00C95647"/>
    <w:rsid w:val="00C966FA"/>
    <w:rsid w:val="00C97226"/>
    <w:rsid w:val="00C97C02"/>
    <w:rsid w:val="00C97C7E"/>
    <w:rsid w:val="00C97C8A"/>
    <w:rsid w:val="00C97E4B"/>
    <w:rsid w:val="00CA0986"/>
    <w:rsid w:val="00CA0CEA"/>
    <w:rsid w:val="00CA1D70"/>
    <w:rsid w:val="00CA2880"/>
    <w:rsid w:val="00CA336A"/>
    <w:rsid w:val="00CA3599"/>
    <w:rsid w:val="00CA362B"/>
    <w:rsid w:val="00CA365C"/>
    <w:rsid w:val="00CA3A91"/>
    <w:rsid w:val="00CA4329"/>
    <w:rsid w:val="00CA5123"/>
    <w:rsid w:val="00CA560E"/>
    <w:rsid w:val="00CA60D7"/>
    <w:rsid w:val="00CA6384"/>
    <w:rsid w:val="00CA74FD"/>
    <w:rsid w:val="00CA7A3F"/>
    <w:rsid w:val="00CB034B"/>
    <w:rsid w:val="00CB0535"/>
    <w:rsid w:val="00CB09E4"/>
    <w:rsid w:val="00CB0D13"/>
    <w:rsid w:val="00CB1ED3"/>
    <w:rsid w:val="00CB2861"/>
    <w:rsid w:val="00CB4D7B"/>
    <w:rsid w:val="00CB50AE"/>
    <w:rsid w:val="00CB63FC"/>
    <w:rsid w:val="00CB746E"/>
    <w:rsid w:val="00CB76AF"/>
    <w:rsid w:val="00CB7E88"/>
    <w:rsid w:val="00CB7F94"/>
    <w:rsid w:val="00CC028D"/>
    <w:rsid w:val="00CC1957"/>
    <w:rsid w:val="00CC2759"/>
    <w:rsid w:val="00CC29A5"/>
    <w:rsid w:val="00CC2E22"/>
    <w:rsid w:val="00CC3300"/>
    <w:rsid w:val="00CC41D2"/>
    <w:rsid w:val="00CC4F74"/>
    <w:rsid w:val="00CC50A0"/>
    <w:rsid w:val="00CC576D"/>
    <w:rsid w:val="00CC67E7"/>
    <w:rsid w:val="00CC68A3"/>
    <w:rsid w:val="00CD01BD"/>
    <w:rsid w:val="00CD08CB"/>
    <w:rsid w:val="00CD160D"/>
    <w:rsid w:val="00CD18A3"/>
    <w:rsid w:val="00CD240F"/>
    <w:rsid w:val="00CD27F5"/>
    <w:rsid w:val="00CD3056"/>
    <w:rsid w:val="00CD3706"/>
    <w:rsid w:val="00CD3952"/>
    <w:rsid w:val="00CD395C"/>
    <w:rsid w:val="00CD5306"/>
    <w:rsid w:val="00CD5875"/>
    <w:rsid w:val="00CD6E6B"/>
    <w:rsid w:val="00CE05E7"/>
    <w:rsid w:val="00CE09B9"/>
    <w:rsid w:val="00CE0CF3"/>
    <w:rsid w:val="00CE1391"/>
    <w:rsid w:val="00CE16CB"/>
    <w:rsid w:val="00CE1F2E"/>
    <w:rsid w:val="00CE2CFA"/>
    <w:rsid w:val="00CE3816"/>
    <w:rsid w:val="00CE3B8C"/>
    <w:rsid w:val="00CE4CC1"/>
    <w:rsid w:val="00CE545C"/>
    <w:rsid w:val="00CE5A77"/>
    <w:rsid w:val="00CE622E"/>
    <w:rsid w:val="00CE62AD"/>
    <w:rsid w:val="00CE636F"/>
    <w:rsid w:val="00CE63F9"/>
    <w:rsid w:val="00CE6994"/>
    <w:rsid w:val="00CE6A97"/>
    <w:rsid w:val="00CE7955"/>
    <w:rsid w:val="00CF007B"/>
    <w:rsid w:val="00CF01D8"/>
    <w:rsid w:val="00CF01EB"/>
    <w:rsid w:val="00CF0528"/>
    <w:rsid w:val="00CF0E8C"/>
    <w:rsid w:val="00CF0EEF"/>
    <w:rsid w:val="00CF107F"/>
    <w:rsid w:val="00CF111F"/>
    <w:rsid w:val="00CF16B1"/>
    <w:rsid w:val="00CF17F4"/>
    <w:rsid w:val="00CF2122"/>
    <w:rsid w:val="00CF226F"/>
    <w:rsid w:val="00CF251D"/>
    <w:rsid w:val="00CF253D"/>
    <w:rsid w:val="00CF255A"/>
    <w:rsid w:val="00CF3758"/>
    <w:rsid w:val="00CF3780"/>
    <w:rsid w:val="00CF3E55"/>
    <w:rsid w:val="00CF40E2"/>
    <w:rsid w:val="00CF50DF"/>
    <w:rsid w:val="00CF5424"/>
    <w:rsid w:val="00CF57A0"/>
    <w:rsid w:val="00CF607A"/>
    <w:rsid w:val="00CF70C1"/>
    <w:rsid w:val="00CF7EE1"/>
    <w:rsid w:val="00D000F5"/>
    <w:rsid w:val="00D012B0"/>
    <w:rsid w:val="00D01A18"/>
    <w:rsid w:val="00D02299"/>
    <w:rsid w:val="00D029C9"/>
    <w:rsid w:val="00D02A7B"/>
    <w:rsid w:val="00D0324E"/>
    <w:rsid w:val="00D03ACA"/>
    <w:rsid w:val="00D03D44"/>
    <w:rsid w:val="00D04FFD"/>
    <w:rsid w:val="00D052BB"/>
    <w:rsid w:val="00D054BE"/>
    <w:rsid w:val="00D05525"/>
    <w:rsid w:val="00D0583D"/>
    <w:rsid w:val="00D05BBF"/>
    <w:rsid w:val="00D06DAB"/>
    <w:rsid w:val="00D0729B"/>
    <w:rsid w:val="00D10D0B"/>
    <w:rsid w:val="00D113F5"/>
    <w:rsid w:val="00D12F2F"/>
    <w:rsid w:val="00D13322"/>
    <w:rsid w:val="00D13337"/>
    <w:rsid w:val="00D134F2"/>
    <w:rsid w:val="00D1383D"/>
    <w:rsid w:val="00D1429B"/>
    <w:rsid w:val="00D158FB"/>
    <w:rsid w:val="00D15A4B"/>
    <w:rsid w:val="00D15C8C"/>
    <w:rsid w:val="00D16C92"/>
    <w:rsid w:val="00D16DCF"/>
    <w:rsid w:val="00D172B0"/>
    <w:rsid w:val="00D20200"/>
    <w:rsid w:val="00D20D4B"/>
    <w:rsid w:val="00D2195E"/>
    <w:rsid w:val="00D22133"/>
    <w:rsid w:val="00D2276D"/>
    <w:rsid w:val="00D2294D"/>
    <w:rsid w:val="00D2307B"/>
    <w:rsid w:val="00D23943"/>
    <w:rsid w:val="00D23DF3"/>
    <w:rsid w:val="00D24075"/>
    <w:rsid w:val="00D243AC"/>
    <w:rsid w:val="00D24C30"/>
    <w:rsid w:val="00D25E73"/>
    <w:rsid w:val="00D25F88"/>
    <w:rsid w:val="00D26474"/>
    <w:rsid w:val="00D26E92"/>
    <w:rsid w:val="00D27963"/>
    <w:rsid w:val="00D312B0"/>
    <w:rsid w:val="00D31775"/>
    <w:rsid w:val="00D3280E"/>
    <w:rsid w:val="00D32CEB"/>
    <w:rsid w:val="00D337D5"/>
    <w:rsid w:val="00D33CB3"/>
    <w:rsid w:val="00D33D6F"/>
    <w:rsid w:val="00D3501D"/>
    <w:rsid w:val="00D35FB5"/>
    <w:rsid w:val="00D367D0"/>
    <w:rsid w:val="00D369F9"/>
    <w:rsid w:val="00D3739B"/>
    <w:rsid w:val="00D37B0B"/>
    <w:rsid w:val="00D4029B"/>
    <w:rsid w:val="00D40A40"/>
    <w:rsid w:val="00D40DAE"/>
    <w:rsid w:val="00D413E1"/>
    <w:rsid w:val="00D4184A"/>
    <w:rsid w:val="00D41C51"/>
    <w:rsid w:val="00D41E7E"/>
    <w:rsid w:val="00D41FE7"/>
    <w:rsid w:val="00D426DF"/>
    <w:rsid w:val="00D445CE"/>
    <w:rsid w:val="00D44BF7"/>
    <w:rsid w:val="00D452EB"/>
    <w:rsid w:val="00D457E9"/>
    <w:rsid w:val="00D45BF3"/>
    <w:rsid w:val="00D46A3A"/>
    <w:rsid w:val="00D46E07"/>
    <w:rsid w:val="00D47DCF"/>
    <w:rsid w:val="00D47EE6"/>
    <w:rsid w:val="00D508A4"/>
    <w:rsid w:val="00D514B2"/>
    <w:rsid w:val="00D51695"/>
    <w:rsid w:val="00D52E17"/>
    <w:rsid w:val="00D53D94"/>
    <w:rsid w:val="00D54207"/>
    <w:rsid w:val="00D54EB1"/>
    <w:rsid w:val="00D54EF2"/>
    <w:rsid w:val="00D55082"/>
    <w:rsid w:val="00D555D3"/>
    <w:rsid w:val="00D56B6F"/>
    <w:rsid w:val="00D57A95"/>
    <w:rsid w:val="00D61C5F"/>
    <w:rsid w:val="00D630DA"/>
    <w:rsid w:val="00D63FA4"/>
    <w:rsid w:val="00D64C83"/>
    <w:rsid w:val="00D64D35"/>
    <w:rsid w:val="00D65BEA"/>
    <w:rsid w:val="00D65C09"/>
    <w:rsid w:val="00D66AD7"/>
    <w:rsid w:val="00D66C60"/>
    <w:rsid w:val="00D67228"/>
    <w:rsid w:val="00D678DA"/>
    <w:rsid w:val="00D70196"/>
    <w:rsid w:val="00D72B50"/>
    <w:rsid w:val="00D732B1"/>
    <w:rsid w:val="00D73649"/>
    <w:rsid w:val="00D736F6"/>
    <w:rsid w:val="00D736F7"/>
    <w:rsid w:val="00D747CE"/>
    <w:rsid w:val="00D756F8"/>
    <w:rsid w:val="00D7642D"/>
    <w:rsid w:val="00D76605"/>
    <w:rsid w:val="00D80732"/>
    <w:rsid w:val="00D80843"/>
    <w:rsid w:val="00D80958"/>
    <w:rsid w:val="00D80D17"/>
    <w:rsid w:val="00D815D8"/>
    <w:rsid w:val="00D81844"/>
    <w:rsid w:val="00D82B70"/>
    <w:rsid w:val="00D83059"/>
    <w:rsid w:val="00D83DA4"/>
    <w:rsid w:val="00D83E5E"/>
    <w:rsid w:val="00D843C1"/>
    <w:rsid w:val="00D84477"/>
    <w:rsid w:val="00D85518"/>
    <w:rsid w:val="00D861F3"/>
    <w:rsid w:val="00D8636B"/>
    <w:rsid w:val="00D868D7"/>
    <w:rsid w:val="00D87628"/>
    <w:rsid w:val="00D87D41"/>
    <w:rsid w:val="00D87F56"/>
    <w:rsid w:val="00D87F8C"/>
    <w:rsid w:val="00D9078B"/>
    <w:rsid w:val="00D915F9"/>
    <w:rsid w:val="00D91FD2"/>
    <w:rsid w:val="00D9232D"/>
    <w:rsid w:val="00D923C5"/>
    <w:rsid w:val="00D92746"/>
    <w:rsid w:val="00D92930"/>
    <w:rsid w:val="00D92B52"/>
    <w:rsid w:val="00D933A0"/>
    <w:rsid w:val="00D93D9F"/>
    <w:rsid w:val="00D9417B"/>
    <w:rsid w:val="00D9514A"/>
    <w:rsid w:val="00D95475"/>
    <w:rsid w:val="00D95E98"/>
    <w:rsid w:val="00D97A88"/>
    <w:rsid w:val="00D97D4C"/>
    <w:rsid w:val="00D97E4B"/>
    <w:rsid w:val="00DA1C21"/>
    <w:rsid w:val="00DA3990"/>
    <w:rsid w:val="00DA3EB3"/>
    <w:rsid w:val="00DA401E"/>
    <w:rsid w:val="00DA4173"/>
    <w:rsid w:val="00DA471E"/>
    <w:rsid w:val="00DA5B7A"/>
    <w:rsid w:val="00DA6CC1"/>
    <w:rsid w:val="00DA6F8A"/>
    <w:rsid w:val="00DA743C"/>
    <w:rsid w:val="00DA7D52"/>
    <w:rsid w:val="00DB118D"/>
    <w:rsid w:val="00DB2C2F"/>
    <w:rsid w:val="00DB2E1F"/>
    <w:rsid w:val="00DB39E7"/>
    <w:rsid w:val="00DB3C8B"/>
    <w:rsid w:val="00DB3DED"/>
    <w:rsid w:val="00DB4339"/>
    <w:rsid w:val="00DB4403"/>
    <w:rsid w:val="00DB46F3"/>
    <w:rsid w:val="00DB4771"/>
    <w:rsid w:val="00DB5454"/>
    <w:rsid w:val="00DB5720"/>
    <w:rsid w:val="00DB6F0A"/>
    <w:rsid w:val="00DB71C8"/>
    <w:rsid w:val="00DB7BAA"/>
    <w:rsid w:val="00DB7E25"/>
    <w:rsid w:val="00DC1006"/>
    <w:rsid w:val="00DC21D5"/>
    <w:rsid w:val="00DC2537"/>
    <w:rsid w:val="00DC272A"/>
    <w:rsid w:val="00DC2E03"/>
    <w:rsid w:val="00DC2EFE"/>
    <w:rsid w:val="00DC3382"/>
    <w:rsid w:val="00DC3B55"/>
    <w:rsid w:val="00DC3EC4"/>
    <w:rsid w:val="00DC4DBA"/>
    <w:rsid w:val="00DC5010"/>
    <w:rsid w:val="00DC6B0C"/>
    <w:rsid w:val="00DC7432"/>
    <w:rsid w:val="00DC746B"/>
    <w:rsid w:val="00DD0AB1"/>
    <w:rsid w:val="00DD0AEC"/>
    <w:rsid w:val="00DD15C8"/>
    <w:rsid w:val="00DD4515"/>
    <w:rsid w:val="00DD567C"/>
    <w:rsid w:val="00DD579D"/>
    <w:rsid w:val="00DD5A18"/>
    <w:rsid w:val="00DD7AA5"/>
    <w:rsid w:val="00DE0067"/>
    <w:rsid w:val="00DE05FF"/>
    <w:rsid w:val="00DE063A"/>
    <w:rsid w:val="00DE06FF"/>
    <w:rsid w:val="00DE14FC"/>
    <w:rsid w:val="00DE15CE"/>
    <w:rsid w:val="00DE1C3D"/>
    <w:rsid w:val="00DE3C07"/>
    <w:rsid w:val="00DE4CC8"/>
    <w:rsid w:val="00DE659B"/>
    <w:rsid w:val="00DE7F35"/>
    <w:rsid w:val="00DF0B7A"/>
    <w:rsid w:val="00DF0E8E"/>
    <w:rsid w:val="00DF1434"/>
    <w:rsid w:val="00DF14CD"/>
    <w:rsid w:val="00DF2104"/>
    <w:rsid w:val="00DF26AE"/>
    <w:rsid w:val="00DF2DEB"/>
    <w:rsid w:val="00DF311F"/>
    <w:rsid w:val="00DF3466"/>
    <w:rsid w:val="00DF367C"/>
    <w:rsid w:val="00DF5766"/>
    <w:rsid w:val="00DF5D6B"/>
    <w:rsid w:val="00DF6228"/>
    <w:rsid w:val="00E00083"/>
    <w:rsid w:val="00E0131C"/>
    <w:rsid w:val="00E013FC"/>
    <w:rsid w:val="00E014F3"/>
    <w:rsid w:val="00E01C6E"/>
    <w:rsid w:val="00E0241A"/>
    <w:rsid w:val="00E0298E"/>
    <w:rsid w:val="00E03400"/>
    <w:rsid w:val="00E036A2"/>
    <w:rsid w:val="00E0385A"/>
    <w:rsid w:val="00E038AA"/>
    <w:rsid w:val="00E03F58"/>
    <w:rsid w:val="00E042DE"/>
    <w:rsid w:val="00E043FA"/>
    <w:rsid w:val="00E0473D"/>
    <w:rsid w:val="00E047D5"/>
    <w:rsid w:val="00E052F5"/>
    <w:rsid w:val="00E063B1"/>
    <w:rsid w:val="00E06516"/>
    <w:rsid w:val="00E067CE"/>
    <w:rsid w:val="00E06AAB"/>
    <w:rsid w:val="00E07706"/>
    <w:rsid w:val="00E07BC6"/>
    <w:rsid w:val="00E07E2D"/>
    <w:rsid w:val="00E10372"/>
    <w:rsid w:val="00E11F5D"/>
    <w:rsid w:val="00E1238A"/>
    <w:rsid w:val="00E12DBB"/>
    <w:rsid w:val="00E13A16"/>
    <w:rsid w:val="00E15826"/>
    <w:rsid w:val="00E15B8F"/>
    <w:rsid w:val="00E165D6"/>
    <w:rsid w:val="00E16B76"/>
    <w:rsid w:val="00E170EA"/>
    <w:rsid w:val="00E171AC"/>
    <w:rsid w:val="00E17662"/>
    <w:rsid w:val="00E1783A"/>
    <w:rsid w:val="00E2066A"/>
    <w:rsid w:val="00E20C40"/>
    <w:rsid w:val="00E20FCA"/>
    <w:rsid w:val="00E210BF"/>
    <w:rsid w:val="00E212A6"/>
    <w:rsid w:val="00E212B3"/>
    <w:rsid w:val="00E225EB"/>
    <w:rsid w:val="00E22C07"/>
    <w:rsid w:val="00E23580"/>
    <w:rsid w:val="00E23C7B"/>
    <w:rsid w:val="00E242FE"/>
    <w:rsid w:val="00E24522"/>
    <w:rsid w:val="00E24B68"/>
    <w:rsid w:val="00E24E2A"/>
    <w:rsid w:val="00E2562C"/>
    <w:rsid w:val="00E257FB"/>
    <w:rsid w:val="00E2628D"/>
    <w:rsid w:val="00E2731D"/>
    <w:rsid w:val="00E27791"/>
    <w:rsid w:val="00E300CF"/>
    <w:rsid w:val="00E30AB5"/>
    <w:rsid w:val="00E30E36"/>
    <w:rsid w:val="00E31250"/>
    <w:rsid w:val="00E312AB"/>
    <w:rsid w:val="00E31F36"/>
    <w:rsid w:val="00E325AD"/>
    <w:rsid w:val="00E32849"/>
    <w:rsid w:val="00E33BC7"/>
    <w:rsid w:val="00E33BFF"/>
    <w:rsid w:val="00E35025"/>
    <w:rsid w:val="00E35454"/>
    <w:rsid w:val="00E35725"/>
    <w:rsid w:val="00E35C19"/>
    <w:rsid w:val="00E35C61"/>
    <w:rsid w:val="00E378EB"/>
    <w:rsid w:val="00E37F99"/>
    <w:rsid w:val="00E401F6"/>
    <w:rsid w:val="00E40445"/>
    <w:rsid w:val="00E410E7"/>
    <w:rsid w:val="00E41133"/>
    <w:rsid w:val="00E412F1"/>
    <w:rsid w:val="00E42005"/>
    <w:rsid w:val="00E426FB"/>
    <w:rsid w:val="00E42D53"/>
    <w:rsid w:val="00E432FD"/>
    <w:rsid w:val="00E43CDE"/>
    <w:rsid w:val="00E43D4F"/>
    <w:rsid w:val="00E44C0A"/>
    <w:rsid w:val="00E45267"/>
    <w:rsid w:val="00E45497"/>
    <w:rsid w:val="00E459E5"/>
    <w:rsid w:val="00E46544"/>
    <w:rsid w:val="00E473C9"/>
    <w:rsid w:val="00E47A49"/>
    <w:rsid w:val="00E52342"/>
    <w:rsid w:val="00E52BF1"/>
    <w:rsid w:val="00E54011"/>
    <w:rsid w:val="00E5480D"/>
    <w:rsid w:val="00E54DA3"/>
    <w:rsid w:val="00E54F99"/>
    <w:rsid w:val="00E54FB8"/>
    <w:rsid w:val="00E561BB"/>
    <w:rsid w:val="00E576D5"/>
    <w:rsid w:val="00E578AD"/>
    <w:rsid w:val="00E60A23"/>
    <w:rsid w:val="00E60E7B"/>
    <w:rsid w:val="00E6198F"/>
    <w:rsid w:val="00E62375"/>
    <w:rsid w:val="00E62639"/>
    <w:rsid w:val="00E62BDD"/>
    <w:rsid w:val="00E63133"/>
    <w:rsid w:val="00E63A9B"/>
    <w:rsid w:val="00E645B5"/>
    <w:rsid w:val="00E64B5A"/>
    <w:rsid w:val="00E64BDC"/>
    <w:rsid w:val="00E65D30"/>
    <w:rsid w:val="00E6650C"/>
    <w:rsid w:val="00E66844"/>
    <w:rsid w:val="00E66B28"/>
    <w:rsid w:val="00E66EE9"/>
    <w:rsid w:val="00E67946"/>
    <w:rsid w:val="00E67C58"/>
    <w:rsid w:val="00E67E67"/>
    <w:rsid w:val="00E67F6E"/>
    <w:rsid w:val="00E67F8D"/>
    <w:rsid w:val="00E705BC"/>
    <w:rsid w:val="00E70B65"/>
    <w:rsid w:val="00E716F4"/>
    <w:rsid w:val="00E71A1F"/>
    <w:rsid w:val="00E71D82"/>
    <w:rsid w:val="00E72886"/>
    <w:rsid w:val="00E729C6"/>
    <w:rsid w:val="00E73F00"/>
    <w:rsid w:val="00E7459D"/>
    <w:rsid w:val="00E748DC"/>
    <w:rsid w:val="00E753DF"/>
    <w:rsid w:val="00E763E8"/>
    <w:rsid w:val="00E768E7"/>
    <w:rsid w:val="00E76DC6"/>
    <w:rsid w:val="00E77353"/>
    <w:rsid w:val="00E776A0"/>
    <w:rsid w:val="00E801A0"/>
    <w:rsid w:val="00E8052F"/>
    <w:rsid w:val="00E8120E"/>
    <w:rsid w:val="00E81324"/>
    <w:rsid w:val="00E8135A"/>
    <w:rsid w:val="00E81929"/>
    <w:rsid w:val="00E819A6"/>
    <w:rsid w:val="00E82980"/>
    <w:rsid w:val="00E82D8D"/>
    <w:rsid w:val="00E82ED4"/>
    <w:rsid w:val="00E83506"/>
    <w:rsid w:val="00E83808"/>
    <w:rsid w:val="00E8399A"/>
    <w:rsid w:val="00E84EF6"/>
    <w:rsid w:val="00E86766"/>
    <w:rsid w:val="00E86AB6"/>
    <w:rsid w:val="00E86C55"/>
    <w:rsid w:val="00E90AFB"/>
    <w:rsid w:val="00E91349"/>
    <w:rsid w:val="00E914B5"/>
    <w:rsid w:val="00E9301F"/>
    <w:rsid w:val="00E932D0"/>
    <w:rsid w:val="00E9371E"/>
    <w:rsid w:val="00E939E3"/>
    <w:rsid w:val="00E93B15"/>
    <w:rsid w:val="00E95C66"/>
    <w:rsid w:val="00E95E1F"/>
    <w:rsid w:val="00E9608B"/>
    <w:rsid w:val="00E96B92"/>
    <w:rsid w:val="00E96C39"/>
    <w:rsid w:val="00E97133"/>
    <w:rsid w:val="00E97A08"/>
    <w:rsid w:val="00E97B24"/>
    <w:rsid w:val="00E97B55"/>
    <w:rsid w:val="00E97C73"/>
    <w:rsid w:val="00EA19F2"/>
    <w:rsid w:val="00EA2633"/>
    <w:rsid w:val="00EA2D49"/>
    <w:rsid w:val="00EA5933"/>
    <w:rsid w:val="00EA5E12"/>
    <w:rsid w:val="00EA5F6D"/>
    <w:rsid w:val="00EA6096"/>
    <w:rsid w:val="00EA6B36"/>
    <w:rsid w:val="00EA7941"/>
    <w:rsid w:val="00EB0048"/>
    <w:rsid w:val="00EB0179"/>
    <w:rsid w:val="00EB01CC"/>
    <w:rsid w:val="00EB0C88"/>
    <w:rsid w:val="00EB0F7E"/>
    <w:rsid w:val="00EB1233"/>
    <w:rsid w:val="00EB1725"/>
    <w:rsid w:val="00EB18D4"/>
    <w:rsid w:val="00EB1A28"/>
    <w:rsid w:val="00EB1CBF"/>
    <w:rsid w:val="00EB1F6A"/>
    <w:rsid w:val="00EB2FB2"/>
    <w:rsid w:val="00EB3642"/>
    <w:rsid w:val="00EB3BE4"/>
    <w:rsid w:val="00EB3CD9"/>
    <w:rsid w:val="00EB4A41"/>
    <w:rsid w:val="00EB5F8A"/>
    <w:rsid w:val="00EB64F8"/>
    <w:rsid w:val="00EB6606"/>
    <w:rsid w:val="00EB77CC"/>
    <w:rsid w:val="00EB7E18"/>
    <w:rsid w:val="00EB7EF4"/>
    <w:rsid w:val="00EC035C"/>
    <w:rsid w:val="00EC19E3"/>
    <w:rsid w:val="00EC20D2"/>
    <w:rsid w:val="00EC26F2"/>
    <w:rsid w:val="00EC288B"/>
    <w:rsid w:val="00EC2B4A"/>
    <w:rsid w:val="00EC30C8"/>
    <w:rsid w:val="00EC3751"/>
    <w:rsid w:val="00EC4173"/>
    <w:rsid w:val="00EC4A74"/>
    <w:rsid w:val="00EC5003"/>
    <w:rsid w:val="00EC5078"/>
    <w:rsid w:val="00EC50AE"/>
    <w:rsid w:val="00EC5198"/>
    <w:rsid w:val="00EC6695"/>
    <w:rsid w:val="00EC758B"/>
    <w:rsid w:val="00EC784C"/>
    <w:rsid w:val="00ED007A"/>
    <w:rsid w:val="00ED037E"/>
    <w:rsid w:val="00ED09F8"/>
    <w:rsid w:val="00ED0A75"/>
    <w:rsid w:val="00ED101D"/>
    <w:rsid w:val="00ED114C"/>
    <w:rsid w:val="00ED2901"/>
    <w:rsid w:val="00ED2B6F"/>
    <w:rsid w:val="00ED30D8"/>
    <w:rsid w:val="00ED43EB"/>
    <w:rsid w:val="00ED52B1"/>
    <w:rsid w:val="00ED63C8"/>
    <w:rsid w:val="00ED6ED7"/>
    <w:rsid w:val="00ED7562"/>
    <w:rsid w:val="00ED76D2"/>
    <w:rsid w:val="00EE02CD"/>
    <w:rsid w:val="00EE04FC"/>
    <w:rsid w:val="00EE16F1"/>
    <w:rsid w:val="00EE1C96"/>
    <w:rsid w:val="00EE1D08"/>
    <w:rsid w:val="00EE2C75"/>
    <w:rsid w:val="00EE3327"/>
    <w:rsid w:val="00EE3F4F"/>
    <w:rsid w:val="00EE5C25"/>
    <w:rsid w:val="00EE75F6"/>
    <w:rsid w:val="00EE78C2"/>
    <w:rsid w:val="00EE79CE"/>
    <w:rsid w:val="00EE7B72"/>
    <w:rsid w:val="00EE7C2C"/>
    <w:rsid w:val="00EE7D36"/>
    <w:rsid w:val="00EF0438"/>
    <w:rsid w:val="00EF07F5"/>
    <w:rsid w:val="00EF0D5E"/>
    <w:rsid w:val="00EF1399"/>
    <w:rsid w:val="00EF1961"/>
    <w:rsid w:val="00EF3D5A"/>
    <w:rsid w:val="00EF46CC"/>
    <w:rsid w:val="00EF4955"/>
    <w:rsid w:val="00EF667D"/>
    <w:rsid w:val="00EF69E9"/>
    <w:rsid w:val="00EF7CC3"/>
    <w:rsid w:val="00F005C7"/>
    <w:rsid w:val="00F010BE"/>
    <w:rsid w:val="00F01153"/>
    <w:rsid w:val="00F01782"/>
    <w:rsid w:val="00F02377"/>
    <w:rsid w:val="00F031D7"/>
    <w:rsid w:val="00F034BE"/>
    <w:rsid w:val="00F049EE"/>
    <w:rsid w:val="00F0622C"/>
    <w:rsid w:val="00F06A93"/>
    <w:rsid w:val="00F06BF0"/>
    <w:rsid w:val="00F07765"/>
    <w:rsid w:val="00F10067"/>
    <w:rsid w:val="00F101F4"/>
    <w:rsid w:val="00F10643"/>
    <w:rsid w:val="00F10914"/>
    <w:rsid w:val="00F1159D"/>
    <w:rsid w:val="00F11680"/>
    <w:rsid w:val="00F11CFC"/>
    <w:rsid w:val="00F12DB6"/>
    <w:rsid w:val="00F12EFE"/>
    <w:rsid w:val="00F130B1"/>
    <w:rsid w:val="00F147E1"/>
    <w:rsid w:val="00F153B4"/>
    <w:rsid w:val="00F1583D"/>
    <w:rsid w:val="00F166A2"/>
    <w:rsid w:val="00F169A2"/>
    <w:rsid w:val="00F1760E"/>
    <w:rsid w:val="00F212DE"/>
    <w:rsid w:val="00F21E4A"/>
    <w:rsid w:val="00F2232E"/>
    <w:rsid w:val="00F2285B"/>
    <w:rsid w:val="00F2315D"/>
    <w:rsid w:val="00F2356C"/>
    <w:rsid w:val="00F23BBF"/>
    <w:rsid w:val="00F2415B"/>
    <w:rsid w:val="00F250F1"/>
    <w:rsid w:val="00F254E7"/>
    <w:rsid w:val="00F25FD1"/>
    <w:rsid w:val="00F2619F"/>
    <w:rsid w:val="00F261DB"/>
    <w:rsid w:val="00F2693C"/>
    <w:rsid w:val="00F272E8"/>
    <w:rsid w:val="00F30546"/>
    <w:rsid w:val="00F31AA7"/>
    <w:rsid w:val="00F323BA"/>
    <w:rsid w:val="00F32A9F"/>
    <w:rsid w:val="00F32E91"/>
    <w:rsid w:val="00F32F8E"/>
    <w:rsid w:val="00F334B3"/>
    <w:rsid w:val="00F3396F"/>
    <w:rsid w:val="00F34180"/>
    <w:rsid w:val="00F3485A"/>
    <w:rsid w:val="00F35CFA"/>
    <w:rsid w:val="00F35DDE"/>
    <w:rsid w:val="00F37225"/>
    <w:rsid w:val="00F37507"/>
    <w:rsid w:val="00F375C1"/>
    <w:rsid w:val="00F377D2"/>
    <w:rsid w:val="00F40579"/>
    <w:rsid w:val="00F40D35"/>
    <w:rsid w:val="00F40DF0"/>
    <w:rsid w:val="00F416DB"/>
    <w:rsid w:val="00F4294B"/>
    <w:rsid w:val="00F42AC7"/>
    <w:rsid w:val="00F439F9"/>
    <w:rsid w:val="00F43A1D"/>
    <w:rsid w:val="00F43FDE"/>
    <w:rsid w:val="00F44464"/>
    <w:rsid w:val="00F44D7F"/>
    <w:rsid w:val="00F45366"/>
    <w:rsid w:val="00F45957"/>
    <w:rsid w:val="00F46254"/>
    <w:rsid w:val="00F463F2"/>
    <w:rsid w:val="00F46FE8"/>
    <w:rsid w:val="00F472AD"/>
    <w:rsid w:val="00F50CB8"/>
    <w:rsid w:val="00F51438"/>
    <w:rsid w:val="00F520F2"/>
    <w:rsid w:val="00F529AC"/>
    <w:rsid w:val="00F52E24"/>
    <w:rsid w:val="00F5349F"/>
    <w:rsid w:val="00F5491A"/>
    <w:rsid w:val="00F54E80"/>
    <w:rsid w:val="00F54FE5"/>
    <w:rsid w:val="00F55192"/>
    <w:rsid w:val="00F5548D"/>
    <w:rsid w:val="00F55B92"/>
    <w:rsid w:val="00F55F2B"/>
    <w:rsid w:val="00F5602F"/>
    <w:rsid w:val="00F5618F"/>
    <w:rsid w:val="00F56467"/>
    <w:rsid w:val="00F56617"/>
    <w:rsid w:val="00F567E9"/>
    <w:rsid w:val="00F56D52"/>
    <w:rsid w:val="00F573CE"/>
    <w:rsid w:val="00F5795C"/>
    <w:rsid w:val="00F57DD5"/>
    <w:rsid w:val="00F600A7"/>
    <w:rsid w:val="00F60102"/>
    <w:rsid w:val="00F61663"/>
    <w:rsid w:val="00F617CE"/>
    <w:rsid w:val="00F62482"/>
    <w:rsid w:val="00F62D9E"/>
    <w:rsid w:val="00F6324B"/>
    <w:rsid w:val="00F63CA9"/>
    <w:rsid w:val="00F65044"/>
    <w:rsid w:val="00F6537E"/>
    <w:rsid w:val="00F67028"/>
    <w:rsid w:val="00F670A3"/>
    <w:rsid w:val="00F719A6"/>
    <w:rsid w:val="00F724CB"/>
    <w:rsid w:val="00F74B38"/>
    <w:rsid w:val="00F75DD7"/>
    <w:rsid w:val="00F765B0"/>
    <w:rsid w:val="00F768AF"/>
    <w:rsid w:val="00F76B8D"/>
    <w:rsid w:val="00F76F9D"/>
    <w:rsid w:val="00F7716B"/>
    <w:rsid w:val="00F774D0"/>
    <w:rsid w:val="00F803A1"/>
    <w:rsid w:val="00F8059D"/>
    <w:rsid w:val="00F805D8"/>
    <w:rsid w:val="00F80EF0"/>
    <w:rsid w:val="00F81C9C"/>
    <w:rsid w:val="00F820B5"/>
    <w:rsid w:val="00F8306F"/>
    <w:rsid w:val="00F83D28"/>
    <w:rsid w:val="00F84312"/>
    <w:rsid w:val="00F849E9"/>
    <w:rsid w:val="00F85236"/>
    <w:rsid w:val="00F86D2C"/>
    <w:rsid w:val="00F87804"/>
    <w:rsid w:val="00F87B87"/>
    <w:rsid w:val="00F9134C"/>
    <w:rsid w:val="00F91BBD"/>
    <w:rsid w:val="00F91EC5"/>
    <w:rsid w:val="00F9238D"/>
    <w:rsid w:val="00F92F6D"/>
    <w:rsid w:val="00F93243"/>
    <w:rsid w:val="00F93822"/>
    <w:rsid w:val="00F93A0D"/>
    <w:rsid w:val="00F947D5"/>
    <w:rsid w:val="00F94A49"/>
    <w:rsid w:val="00F95275"/>
    <w:rsid w:val="00F9670A"/>
    <w:rsid w:val="00F96D24"/>
    <w:rsid w:val="00F96D8C"/>
    <w:rsid w:val="00F96F7F"/>
    <w:rsid w:val="00F9780A"/>
    <w:rsid w:val="00F97B01"/>
    <w:rsid w:val="00F97F77"/>
    <w:rsid w:val="00FA0669"/>
    <w:rsid w:val="00FA0DA4"/>
    <w:rsid w:val="00FA0FC8"/>
    <w:rsid w:val="00FA1D2B"/>
    <w:rsid w:val="00FA2A35"/>
    <w:rsid w:val="00FA2BA7"/>
    <w:rsid w:val="00FA355E"/>
    <w:rsid w:val="00FA467C"/>
    <w:rsid w:val="00FA5436"/>
    <w:rsid w:val="00FA54AB"/>
    <w:rsid w:val="00FA583E"/>
    <w:rsid w:val="00FA6818"/>
    <w:rsid w:val="00FA77B6"/>
    <w:rsid w:val="00FB03C5"/>
    <w:rsid w:val="00FB06E5"/>
    <w:rsid w:val="00FB0BA3"/>
    <w:rsid w:val="00FB12E4"/>
    <w:rsid w:val="00FB26BE"/>
    <w:rsid w:val="00FB2FEF"/>
    <w:rsid w:val="00FB3088"/>
    <w:rsid w:val="00FB3F6E"/>
    <w:rsid w:val="00FB4447"/>
    <w:rsid w:val="00FB5493"/>
    <w:rsid w:val="00FB5DE9"/>
    <w:rsid w:val="00FB6133"/>
    <w:rsid w:val="00FB63A1"/>
    <w:rsid w:val="00FB68BA"/>
    <w:rsid w:val="00FB6F22"/>
    <w:rsid w:val="00FB78FB"/>
    <w:rsid w:val="00FB7B84"/>
    <w:rsid w:val="00FB7D8E"/>
    <w:rsid w:val="00FC04B5"/>
    <w:rsid w:val="00FC05B9"/>
    <w:rsid w:val="00FC08B8"/>
    <w:rsid w:val="00FC0F00"/>
    <w:rsid w:val="00FC0F41"/>
    <w:rsid w:val="00FC106D"/>
    <w:rsid w:val="00FC125A"/>
    <w:rsid w:val="00FC1CB0"/>
    <w:rsid w:val="00FC2138"/>
    <w:rsid w:val="00FC23D2"/>
    <w:rsid w:val="00FC2F5B"/>
    <w:rsid w:val="00FC3B4A"/>
    <w:rsid w:val="00FC4273"/>
    <w:rsid w:val="00FC4889"/>
    <w:rsid w:val="00FC4F48"/>
    <w:rsid w:val="00FC5B5B"/>
    <w:rsid w:val="00FC66B5"/>
    <w:rsid w:val="00FC6842"/>
    <w:rsid w:val="00FC73B8"/>
    <w:rsid w:val="00FC7575"/>
    <w:rsid w:val="00FC7F1E"/>
    <w:rsid w:val="00FD0CE5"/>
    <w:rsid w:val="00FD0DEF"/>
    <w:rsid w:val="00FD0EC5"/>
    <w:rsid w:val="00FD270A"/>
    <w:rsid w:val="00FD37C1"/>
    <w:rsid w:val="00FD472E"/>
    <w:rsid w:val="00FD4CE1"/>
    <w:rsid w:val="00FD5D35"/>
    <w:rsid w:val="00FD6183"/>
    <w:rsid w:val="00FE19EC"/>
    <w:rsid w:val="00FE1C43"/>
    <w:rsid w:val="00FE26F3"/>
    <w:rsid w:val="00FE2A42"/>
    <w:rsid w:val="00FE3D8C"/>
    <w:rsid w:val="00FE430E"/>
    <w:rsid w:val="00FE4642"/>
    <w:rsid w:val="00FE65BC"/>
    <w:rsid w:val="00FE6FDE"/>
    <w:rsid w:val="00FE7DC9"/>
    <w:rsid w:val="00FF0198"/>
    <w:rsid w:val="00FF0C52"/>
    <w:rsid w:val="00FF0DED"/>
    <w:rsid w:val="00FF1926"/>
    <w:rsid w:val="00FF2915"/>
    <w:rsid w:val="00FF330C"/>
    <w:rsid w:val="00FF5DBA"/>
    <w:rsid w:val="00FF6696"/>
    <w:rsid w:val="00FF7ADC"/>
    <w:rsid w:val="00FF7B2C"/>
    <w:rsid w:val="01230692"/>
    <w:rsid w:val="016247FA"/>
    <w:rsid w:val="01745EE6"/>
    <w:rsid w:val="018326A3"/>
    <w:rsid w:val="01A06A8F"/>
    <w:rsid w:val="01C6622B"/>
    <w:rsid w:val="01E07CD8"/>
    <w:rsid w:val="01EA671C"/>
    <w:rsid w:val="021673DB"/>
    <w:rsid w:val="022353B4"/>
    <w:rsid w:val="022A3557"/>
    <w:rsid w:val="024A56F5"/>
    <w:rsid w:val="026E0F2B"/>
    <w:rsid w:val="027A2F04"/>
    <w:rsid w:val="02845B9C"/>
    <w:rsid w:val="02B1196D"/>
    <w:rsid w:val="02DD55DA"/>
    <w:rsid w:val="032A676A"/>
    <w:rsid w:val="032D7D27"/>
    <w:rsid w:val="03415224"/>
    <w:rsid w:val="03E32C2B"/>
    <w:rsid w:val="03E45FEA"/>
    <w:rsid w:val="03F375BC"/>
    <w:rsid w:val="040941A5"/>
    <w:rsid w:val="044C3505"/>
    <w:rsid w:val="04551879"/>
    <w:rsid w:val="04704D33"/>
    <w:rsid w:val="047713FB"/>
    <w:rsid w:val="04C65B16"/>
    <w:rsid w:val="05184748"/>
    <w:rsid w:val="053A77BB"/>
    <w:rsid w:val="055B55D2"/>
    <w:rsid w:val="05DD7507"/>
    <w:rsid w:val="05FE680E"/>
    <w:rsid w:val="060824FF"/>
    <w:rsid w:val="063F11B9"/>
    <w:rsid w:val="065C49C0"/>
    <w:rsid w:val="06B12657"/>
    <w:rsid w:val="070C0CAE"/>
    <w:rsid w:val="072C420B"/>
    <w:rsid w:val="07725961"/>
    <w:rsid w:val="07C33431"/>
    <w:rsid w:val="07E04069"/>
    <w:rsid w:val="08101121"/>
    <w:rsid w:val="08146B4C"/>
    <w:rsid w:val="083945D9"/>
    <w:rsid w:val="08A14F57"/>
    <w:rsid w:val="08EE742E"/>
    <w:rsid w:val="09275B42"/>
    <w:rsid w:val="09385C0D"/>
    <w:rsid w:val="09547520"/>
    <w:rsid w:val="09697C1D"/>
    <w:rsid w:val="09CA6EA6"/>
    <w:rsid w:val="0A2B7D2A"/>
    <w:rsid w:val="0A57260B"/>
    <w:rsid w:val="0ACC1410"/>
    <w:rsid w:val="0B083D6B"/>
    <w:rsid w:val="0B141F1A"/>
    <w:rsid w:val="0B6573F2"/>
    <w:rsid w:val="0BB958B8"/>
    <w:rsid w:val="0BC663BC"/>
    <w:rsid w:val="0BD537C3"/>
    <w:rsid w:val="0BD92474"/>
    <w:rsid w:val="0C600AAB"/>
    <w:rsid w:val="0C650670"/>
    <w:rsid w:val="0D5A60C0"/>
    <w:rsid w:val="0DCA115E"/>
    <w:rsid w:val="0E115C8A"/>
    <w:rsid w:val="0EA30700"/>
    <w:rsid w:val="0EB31142"/>
    <w:rsid w:val="0F063FE7"/>
    <w:rsid w:val="0F095504"/>
    <w:rsid w:val="0F3B2473"/>
    <w:rsid w:val="0FBA74F6"/>
    <w:rsid w:val="0FC3085C"/>
    <w:rsid w:val="0FE20946"/>
    <w:rsid w:val="10111F7C"/>
    <w:rsid w:val="1023263D"/>
    <w:rsid w:val="104F1744"/>
    <w:rsid w:val="106016F3"/>
    <w:rsid w:val="10861BA8"/>
    <w:rsid w:val="1094132B"/>
    <w:rsid w:val="10A52D12"/>
    <w:rsid w:val="10A56E7C"/>
    <w:rsid w:val="11203590"/>
    <w:rsid w:val="11402F73"/>
    <w:rsid w:val="11454713"/>
    <w:rsid w:val="114F5A4E"/>
    <w:rsid w:val="11612A9E"/>
    <w:rsid w:val="119A3B84"/>
    <w:rsid w:val="12671F77"/>
    <w:rsid w:val="127A0FCA"/>
    <w:rsid w:val="127E4ECB"/>
    <w:rsid w:val="12BD152A"/>
    <w:rsid w:val="12EF1953"/>
    <w:rsid w:val="12F67447"/>
    <w:rsid w:val="13177D05"/>
    <w:rsid w:val="131A0221"/>
    <w:rsid w:val="1335429C"/>
    <w:rsid w:val="13540009"/>
    <w:rsid w:val="141D2C0B"/>
    <w:rsid w:val="14957781"/>
    <w:rsid w:val="1593631A"/>
    <w:rsid w:val="15C76713"/>
    <w:rsid w:val="16103820"/>
    <w:rsid w:val="161B6B1A"/>
    <w:rsid w:val="16263110"/>
    <w:rsid w:val="16704340"/>
    <w:rsid w:val="16B761A1"/>
    <w:rsid w:val="1711684A"/>
    <w:rsid w:val="171306BA"/>
    <w:rsid w:val="173516EA"/>
    <w:rsid w:val="173D7D0F"/>
    <w:rsid w:val="17965F21"/>
    <w:rsid w:val="17D404BB"/>
    <w:rsid w:val="17EC4251"/>
    <w:rsid w:val="17F13463"/>
    <w:rsid w:val="18020F10"/>
    <w:rsid w:val="187E553C"/>
    <w:rsid w:val="18E427C8"/>
    <w:rsid w:val="18E52B69"/>
    <w:rsid w:val="192223EF"/>
    <w:rsid w:val="19523A78"/>
    <w:rsid w:val="196F2052"/>
    <w:rsid w:val="197449B0"/>
    <w:rsid w:val="19AE7F28"/>
    <w:rsid w:val="19B6113F"/>
    <w:rsid w:val="19CA0989"/>
    <w:rsid w:val="19F40797"/>
    <w:rsid w:val="1A213ABD"/>
    <w:rsid w:val="1A617FFD"/>
    <w:rsid w:val="1AF71523"/>
    <w:rsid w:val="1B1A4A1C"/>
    <w:rsid w:val="1B38030C"/>
    <w:rsid w:val="1B3C1C8E"/>
    <w:rsid w:val="1B674AC7"/>
    <w:rsid w:val="1B695F6C"/>
    <w:rsid w:val="1B746B39"/>
    <w:rsid w:val="1B80541E"/>
    <w:rsid w:val="1BC50187"/>
    <w:rsid w:val="1BCA7842"/>
    <w:rsid w:val="1C42696B"/>
    <w:rsid w:val="1C427144"/>
    <w:rsid w:val="1C4409AC"/>
    <w:rsid w:val="1C530BD0"/>
    <w:rsid w:val="1C8F133C"/>
    <w:rsid w:val="1CC90CBC"/>
    <w:rsid w:val="1D094F9C"/>
    <w:rsid w:val="1D0E23E7"/>
    <w:rsid w:val="1D491EF1"/>
    <w:rsid w:val="1D8C2345"/>
    <w:rsid w:val="1D8D7A52"/>
    <w:rsid w:val="1DAE65F0"/>
    <w:rsid w:val="1DEF5D9F"/>
    <w:rsid w:val="1E111767"/>
    <w:rsid w:val="1E117A37"/>
    <w:rsid w:val="1E720322"/>
    <w:rsid w:val="1E8B4AEE"/>
    <w:rsid w:val="1EB142DF"/>
    <w:rsid w:val="1F035E51"/>
    <w:rsid w:val="1F656BFD"/>
    <w:rsid w:val="1F9E565E"/>
    <w:rsid w:val="1FA2333B"/>
    <w:rsid w:val="2023550C"/>
    <w:rsid w:val="203B4DB3"/>
    <w:rsid w:val="208E77B9"/>
    <w:rsid w:val="20F64BEA"/>
    <w:rsid w:val="20F75FD5"/>
    <w:rsid w:val="20FB6AEC"/>
    <w:rsid w:val="2105481C"/>
    <w:rsid w:val="210E4642"/>
    <w:rsid w:val="213011D5"/>
    <w:rsid w:val="21B45DF5"/>
    <w:rsid w:val="21E15853"/>
    <w:rsid w:val="21E8722C"/>
    <w:rsid w:val="22211C9D"/>
    <w:rsid w:val="224332AE"/>
    <w:rsid w:val="22581B32"/>
    <w:rsid w:val="22605689"/>
    <w:rsid w:val="228377FC"/>
    <w:rsid w:val="22AD589A"/>
    <w:rsid w:val="22FB72D8"/>
    <w:rsid w:val="23245B22"/>
    <w:rsid w:val="23314333"/>
    <w:rsid w:val="23360FD0"/>
    <w:rsid w:val="23C2673F"/>
    <w:rsid w:val="23CC6C6C"/>
    <w:rsid w:val="24105B34"/>
    <w:rsid w:val="24777F0B"/>
    <w:rsid w:val="24975E97"/>
    <w:rsid w:val="24D17B32"/>
    <w:rsid w:val="24FD13D3"/>
    <w:rsid w:val="253C2765"/>
    <w:rsid w:val="256652B4"/>
    <w:rsid w:val="256D377B"/>
    <w:rsid w:val="256F5ACC"/>
    <w:rsid w:val="2581184D"/>
    <w:rsid w:val="25965F7C"/>
    <w:rsid w:val="25A517EF"/>
    <w:rsid w:val="25AE084C"/>
    <w:rsid w:val="26713644"/>
    <w:rsid w:val="2674362D"/>
    <w:rsid w:val="268F20C6"/>
    <w:rsid w:val="26C72B6F"/>
    <w:rsid w:val="26CA0E91"/>
    <w:rsid w:val="26DA605D"/>
    <w:rsid w:val="26EC6985"/>
    <w:rsid w:val="270C62B7"/>
    <w:rsid w:val="273A63A3"/>
    <w:rsid w:val="2749444C"/>
    <w:rsid w:val="28197154"/>
    <w:rsid w:val="28B65382"/>
    <w:rsid w:val="28DE02D2"/>
    <w:rsid w:val="28F84B93"/>
    <w:rsid w:val="29077D29"/>
    <w:rsid w:val="2918419C"/>
    <w:rsid w:val="294616FD"/>
    <w:rsid w:val="29AB330F"/>
    <w:rsid w:val="29AC5FBF"/>
    <w:rsid w:val="29F8157A"/>
    <w:rsid w:val="2A1E335D"/>
    <w:rsid w:val="2A524FDF"/>
    <w:rsid w:val="2A753158"/>
    <w:rsid w:val="2A965B0A"/>
    <w:rsid w:val="2AAC37FB"/>
    <w:rsid w:val="2ADB2BD5"/>
    <w:rsid w:val="2BA519D8"/>
    <w:rsid w:val="2C250B14"/>
    <w:rsid w:val="2C3B5405"/>
    <w:rsid w:val="2C4B2FA5"/>
    <w:rsid w:val="2C59031C"/>
    <w:rsid w:val="2C5907E9"/>
    <w:rsid w:val="2C650E64"/>
    <w:rsid w:val="2C6579B8"/>
    <w:rsid w:val="2CD56F5D"/>
    <w:rsid w:val="2CF00EAC"/>
    <w:rsid w:val="2DAC19F5"/>
    <w:rsid w:val="2DCA6ECC"/>
    <w:rsid w:val="2DE03CE6"/>
    <w:rsid w:val="2E0470F3"/>
    <w:rsid w:val="2E0D253C"/>
    <w:rsid w:val="2E486DD2"/>
    <w:rsid w:val="2E57306B"/>
    <w:rsid w:val="2E9372BE"/>
    <w:rsid w:val="2E992581"/>
    <w:rsid w:val="2F1B7500"/>
    <w:rsid w:val="2F4C544D"/>
    <w:rsid w:val="2F7067E6"/>
    <w:rsid w:val="2F757199"/>
    <w:rsid w:val="2F885A73"/>
    <w:rsid w:val="2F8922A1"/>
    <w:rsid w:val="2FDF791C"/>
    <w:rsid w:val="2FE34720"/>
    <w:rsid w:val="2FE9521D"/>
    <w:rsid w:val="2FEA60CD"/>
    <w:rsid w:val="30341FA2"/>
    <w:rsid w:val="303E25B2"/>
    <w:rsid w:val="307E7C38"/>
    <w:rsid w:val="3106378E"/>
    <w:rsid w:val="312E2219"/>
    <w:rsid w:val="31EF1640"/>
    <w:rsid w:val="321C5403"/>
    <w:rsid w:val="321F5EE6"/>
    <w:rsid w:val="32E22E40"/>
    <w:rsid w:val="33280090"/>
    <w:rsid w:val="334249CD"/>
    <w:rsid w:val="33982369"/>
    <w:rsid w:val="33A201DA"/>
    <w:rsid w:val="33A32A64"/>
    <w:rsid w:val="33D1015A"/>
    <w:rsid w:val="33D25DFC"/>
    <w:rsid w:val="342B3CB6"/>
    <w:rsid w:val="346B5F4A"/>
    <w:rsid w:val="346D28AC"/>
    <w:rsid w:val="34986757"/>
    <w:rsid w:val="34C834CB"/>
    <w:rsid w:val="34DF211F"/>
    <w:rsid w:val="35154E98"/>
    <w:rsid w:val="35186016"/>
    <w:rsid w:val="35245E9E"/>
    <w:rsid w:val="35AD62B7"/>
    <w:rsid w:val="35B01E4A"/>
    <w:rsid w:val="361E2AC3"/>
    <w:rsid w:val="36496066"/>
    <w:rsid w:val="36C2714B"/>
    <w:rsid w:val="36EA2872"/>
    <w:rsid w:val="37021DBA"/>
    <w:rsid w:val="37905BEB"/>
    <w:rsid w:val="37B55A13"/>
    <w:rsid w:val="37D44F73"/>
    <w:rsid w:val="383A7EEE"/>
    <w:rsid w:val="38556DEE"/>
    <w:rsid w:val="388E70B3"/>
    <w:rsid w:val="38CF612C"/>
    <w:rsid w:val="38E5008F"/>
    <w:rsid w:val="3A2D21AE"/>
    <w:rsid w:val="3A41153E"/>
    <w:rsid w:val="3A476958"/>
    <w:rsid w:val="3A5E004A"/>
    <w:rsid w:val="3A6409FF"/>
    <w:rsid w:val="3A883217"/>
    <w:rsid w:val="3A9D283C"/>
    <w:rsid w:val="3AA24F6A"/>
    <w:rsid w:val="3AED0349"/>
    <w:rsid w:val="3B027B15"/>
    <w:rsid w:val="3B146EA0"/>
    <w:rsid w:val="3B1C7208"/>
    <w:rsid w:val="3B26064F"/>
    <w:rsid w:val="3B586258"/>
    <w:rsid w:val="3BB47D76"/>
    <w:rsid w:val="3BCA3D2B"/>
    <w:rsid w:val="3BDD3D31"/>
    <w:rsid w:val="3C0C24D0"/>
    <w:rsid w:val="3C2329DE"/>
    <w:rsid w:val="3C387C13"/>
    <w:rsid w:val="3C3C148C"/>
    <w:rsid w:val="3C566D4D"/>
    <w:rsid w:val="3CF51FB8"/>
    <w:rsid w:val="3D1F45F0"/>
    <w:rsid w:val="3D676C4F"/>
    <w:rsid w:val="3D6D42D8"/>
    <w:rsid w:val="3D82706F"/>
    <w:rsid w:val="3D9764AF"/>
    <w:rsid w:val="3DA0122B"/>
    <w:rsid w:val="3DCD5673"/>
    <w:rsid w:val="3DDC6D05"/>
    <w:rsid w:val="3DEB3817"/>
    <w:rsid w:val="3E01510C"/>
    <w:rsid w:val="3E6E6B8D"/>
    <w:rsid w:val="3ECD1262"/>
    <w:rsid w:val="3F216D3E"/>
    <w:rsid w:val="3F69603F"/>
    <w:rsid w:val="3F9952E4"/>
    <w:rsid w:val="3FD95300"/>
    <w:rsid w:val="3FE8458F"/>
    <w:rsid w:val="3FE93DFA"/>
    <w:rsid w:val="406A7E41"/>
    <w:rsid w:val="407767B1"/>
    <w:rsid w:val="40DC1DD0"/>
    <w:rsid w:val="40EB305C"/>
    <w:rsid w:val="40FA2DBD"/>
    <w:rsid w:val="4137798B"/>
    <w:rsid w:val="413C07FF"/>
    <w:rsid w:val="414423C4"/>
    <w:rsid w:val="41755597"/>
    <w:rsid w:val="418878EA"/>
    <w:rsid w:val="41A30C6B"/>
    <w:rsid w:val="41BF5814"/>
    <w:rsid w:val="42247208"/>
    <w:rsid w:val="425B616B"/>
    <w:rsid w:val="42815EC9"/>
    <w:rsid w:val="42B34FB0"/>
    <w:rsid w:val="42F47F65"/>
    <w:rsid w:val="43256988"/>
    <w:rsid w:val="433444B4"/>
    <w:rsid w:val="433E181F"/>
    <w:rsid w:val="434F194C"/>
    <w:rsid w:val="437D5F38"/>
    <w:rsid w:val="43F63A9A"/>
    <w:rsid w:val="440D168C"/>
    <w:rsid w:val="441A5719"/>
    <w:rsid w:val="44454911"/>
    <w:rsid w:val="444570D7"/>
    <w:rsid w:val="44687A88"/>
    <w:rsid w:val="44693328"/>
    <w:rsid w:val="44B741BA"/>
    <w:rsid w:val="451106FD"/>
    <w:rsid w:val="454F554E"/>
    <w:rsid w:val="45966907"/>
    <w:rsid w:val="459906E4"/>
    <w:rsid w:val="45A76D4B"/>
    <w:rsid w:val="45BA501A"/>
    <w:rsid w:val="45F22775"/>
    <w:rsid w:val="462D281F"/>
    <w:rsid w:val="46386346"/>
    <w:rsid w:val="46857774"/>
    <w:rsid w:val="46C45A77"/>
    <w:rsid w:val="46E20A9A"/>
    <w:rsid w:val="473258A5"/>
    <w:rsid w:val="47993A99"/>
    <w:rsid w:val="47A130F5"/>
    <w:rsid w:val="47A42777"/>
    <w:rsid w:val="47AA6410"/>
    <w:rsid w:val="47E8192D"/>
    <w:rsid w:val="47F05DD2"/>
    <w:rsid w:val="47FA1031"/>
    <w:rsid w:val="481E0C0D"/>
    <w:rsid w:val="48403B96"/>
    <w:rsid w:val="485754EA"/>
    <w:rsid w:val="487C3FC9"/>
    <w:rsid w:val="487F367A"/>
    <w:rsid w:val="48BB4C17"/>
    <w:rsid w:val="48DD7E3B"/>
    <w:rsid w:val="492C319F"/>
    <w:rsid w:val="496F4763"/>
    <w:rsid w:val="49963007"/>
    <w:rsid w:val="49B10DCB"/>
    <w:rsid w:val="49F112D9"/>
    <w:rsid w:val="4AE43E3C"/>
    <w:rsid w:val="4B2D7D1E"/>
    <w:rsid w:val="4B323E0F"/>
    <w:rsid w:val="4B64236F"/>
    <w:rsid w:val="4B977869"/>
    <w:rsid w:val="4BA86EA2"/>
    <w:rsid w:val="4BB369F5"/>
    <w:rsid w:val="4BC87E09"/>
    <w:rsid w:val="4BED7415"/>
    <w:rsid w:val="4BF80A23"/>
    <w:rsid w:val="4C28492A"/>
    <w:rsid w:val="4C56200A"/>
    <w:rsid w:val="4C8D360A"/>
    <w:rsid w:val="4CA14229"/>
    <w:rsid w:val="4CC35913"/>
    <w:rsid w:val="4CD16286"/>
    <w:rsid w:val="4CEA78A8"/>
    <w:rsid w:val="4D0C3224"/>
    <w:rsid w:val="4D221CD7"/>
    <w:rsid w:val="4D6C41D0"/>
    <w:rsid w:val="4D6F32C7"/>
    <w:rsid w:val="4D8656DA"/>
    <w:rsid w:val="4DA40E96"/>
    <w:rsid w:val="4DAF0F0C"/>
    <w:rsid w:val="4DDC7AE7"/>
    <w:rsid w:val="4DED05FC"/>
    <w:rsid w:val="4DF36CCF"/>
    <w:rsid w:val="4E1A38B1"/>
    <w:rsid w:val="4E3852C6"/>
    <w:rsid w:val="4E7B0446"/>
    <w:rsid w:val="4EBC7A0C"/>
    <w:rsid w:val="4F236AC7"/>
    <w:rsid w:val="4F2D6FE8"/>
    <w:rsid w:val="4F5370C0"/>
    <w:rsid w:val="4F5438DD"/>
    <w:rsid w:val="4F581010"/>
    <w:rsid w:val="4F5B3392"/>
    <w:rsid w:val="4F726AC9"/>
    <w:rsid w:val="4F804C4C"/>
    <w:rsid w:val="50045AC3"/>
    <w:rsid w:val="50244C57"/>
    <w:rsid w:val="50AB3096"/>
    <w:rsid w:val="50AD2C9D"/>
    <w:rsid w:val="50DD18E2"/>
    <w:rsid w:val="50F02B8B"/>
    <w:rsid w:val="517664CF"/>
    <w:rsid w:val="517717CD"/>
    <w:rsid w:val="52030F03"/>
    <w:rsid w:val="52091678"/>
    <w:rsid w:val="520C2419"/>
    <w:rsid w:val="5212572E"/>
    <w:rsid w:val="521469DC"/>
    <w:rsid w:val="522C74B0"/>
    <w:rsid w:val="527B7A70"/>
    <w:rsid w:val="528662F8"/>
    <w:rsid w:val="52FA6F7C"/>
    <w:rsid w:val="53130BF7"/>
    <w:rsid w:val="531B1423"/>
    <w:rsid w:val="5322600D"/>
    <w:rsid w:val="533E1D0F"/>
    <w:rsid w:val="534479FE"/>
    <w:rsid w:val="5363180D"/>
    <w:rsid w:val="53B35F17"/>
    <w:rsid w:val="540D783D"/>
    <w:rsid w:val="541B65F4"/>
    <w:rsid w:val="549D73AB"/>
    <w:rsid w:val="54A02E19"/>
    <w:rsid w:val="54A414C7"/>
    <w:rsid w:val="54A746AA"/>
    <w:rsid w:val="54D0545F"/>
    <w:rsid w:val="5552691D"/>
    <w:rsid w:val="55566A4B"/>
    <w:rsid w:val="55A44BCF"/>
    <w:rsid w:val="55A60A43"/>
    <w:rsid w:val="55E23B6E"/>
    <w:rsid w:val="55E8379E"/>
    <w:rsid w:val="55FC278C"/>
    <w:rsid w:val="56011DF0"/>
    <w:rsid w:val="56180A5E"/>
    <w:rsid w:val="56E6151A"/>
    <w:rsid w:val="575F25C1"/>
    <w:rsid w:val="57A03881"/>
    <w:rsid w:val="57B66DF8"/>
    <w:rsid w:val="57E2605D"/>
    <w:rsid w:val="57E86DFE"/>
    <w:rsid w:val="57FD1792"/>
    <w:rsid w:val="583B339B"/>
    <w:rsid w:val="58415193"/>
    <w:rsid w:val="58481CE4"/>
    <w:rsid w:val="5898636D"/>
    <w:rsid w:val="58B73B3C"/>
    <w:rsid w:val="58BA34DE"/>
    <w:rsid w:val="58BC5859"/>
    <w:rsid w:val="58C953BB"/>
    <w:rsid w:val="59186786"/>
    <w:rsid w:val="5926651D"/>
    <w:rsid w:val="593D497F"/>
    <w:rsid w:val="59830BF8"/>
    <w:rsid w:val="59D5057A"/>
    <w:rsid w:val="5A024091"/>
    <w:rsid w:val="5A513C29"/>
    <w:rsid w:val="5A8A6DE2"/>
    <w:rsid w:val="5AFC5479"/>
    <w:rsid w:val="5B3A4EE7"/>
    <w:rsid w:val="5B40336D"/>
    <w:rsid w:val="5B4E4486"/>
    <w:rsid w:val="5B8C5D73"/>
    <w:rsid w:val="5B9F1E05"/>
    <w:rsid w:val="5BEE65FC"/>
    <w:rsid w:val="5BFA36D3"/>
    <w:rsid w:val="5BFD58A1"/>
    <w:rsid w:val="5C084732"/>
    <w:rsid w:val="5C125816"/>
    <w:rsid w:val="5C13465C"/>
    <w:rsid w:val="5C2115FE"/>
    <w:rsid w:val="5C566B5C"/>
    <w:rsid w:val="5CE16196"/>
    <w:rsid w:val="5D720F98"/>
    <w:rsid w:val="5DCE0AA9"/>
    <w:rsid w:val="5DD07523"/>
    <w:rsid w:val="5DDA0FE2"/>
    <w:rsid w:val="5DE73D28"/>
    <w:rsid w:val="5E527C50"/>
    <w:rsid w:val="5EC703E6"/>
    <w:rsid w:val="5ECB0068"/>
    <w:rsid w:val="5EDB4F20"/>
    <w:rsid w:val="5F284E40"/>
    <w:rsid w:val="5F3A0878"/>
    <w:rsid w:val="5F5641FA"/>
    <w:rsid w:val="5F754BEE"/>
    <w:rsid w:val="5F89287F"/>
    <w:rsid w:val="602148BA"/>
    <w:rsid w:val="606317CC"/>
    <w:rsid w:val="607625F6"/>
    <w:rsid w:val="60A832D2"/>
    <w:rsid w:val="60CD3245"/>
    <w:rsid w:val="60EA14E8"/>
    <w:rsid w:val="61145E0F"/>
    <w:rsid w:val="61624FEF"/>
    <w:rsid w:val="61684759"/>
    <w:rsid w:val="61997B21"/>
    <w:rsid w:val="61BB2F63"/>
    <w:rsid w:val="61E25761"/>
    <w:rsid w:val="62030D09"/>
    <w:rsid w:val="622D4EEC"/>
    <w:rsid w:val="623D546B"/>
    <w:rsid w:val="626271F8"/>
    <w:rsid w:val="62746729"/>
    <w:rsid w:val="629275AC"/>
    <w:rsid w:val="62B46A9A"/>
    <w:rsid w:val="62B603BE"/>
    <w:rsid w:val="62B836E7"/>
    <w:rsid w:val="62CD3163"/>
    <w:rsid w:val="62F55F13"/>
    <w:rsid w:val="636E3A96"/>
    <w:rsid w:val="63951267"/>
    <w:rsid w:val="63BE1A11"/>
    <w:rsid w:val="64224B50"/>
    <w:rsid w:val="642E62DB"/>
    <w:rsid w:val="646F4906"/>
    <w:rsid w:val="64EF1EE4"/>
    <w:rsid w:val="654A3F98"/>
    <w:rsid w:val="655167DB"/>
    <w:rsid w:val="65611DD3"/>
    <w:rsid w:val="658F1C8B"/>
    <w:rsid w:val="659A53D5"/>
    <w:rsid w:val="661C031E"/>
    <w:rsid w:val="665D1497"/>
    <w:rsid w:val="66EC609B"/>
    <w:rsid w:val="67054BC5"/>
    <w:rsid w:val="67072FFE"/>
    <w:rsid w:val="671477D7"/>
    <w:rsid w:val="672958C3"/>
    <w:rsid w:val="67302657"/>
    <w:rsid w:val="674928AC"/>
    <w:rsid w:val="67DF2416"/>
    <w:rsid w:val="67F61CED"/>
    <w:rsid w:val="683449CB"/>
    <w:rsid w:val="6887014C"/>
    <w:rsid w:val="688A62C1"/>
    <w:rsid w:val="68A7765D"/>
    <w:rsid w:val="68B61ACB"/>
    <w:rsid w:val="68D61FD5"/>
    <w:rsid w:val="690F3D82"/>
    <w:rsid w:val="694834FE"/>
    <w:rsid w:val="695745BC"/>
    <w:rsid w:val="69AB4CF2"/>
    <w:rsid w:val="69C94CCC"/>
    <w:rsid w:val="69D96939"/>
    <w:rsid w:val="69F53BBD"/>
    <w:rsid w:val="69F86402"/>
    <w:rsid w:val="6A476AE4"/>
    <w:rsid w:val="6A517BC2"/>
    <w:rsid w:val="6A65224D"/>
    <w:rsid w:val="6A707ABF"/>
    <w:rsid w:val="6A924512"/>
    <w:rsid w:val="6AD03CA4"/>
    <w:rsid w:val="6B015F03"/>
    <w:rsid w:val="6B730D8D"/>
    <w:rsid w:val="6B7A5E67"/>
    <w:rsid w:val="6BC45011"/>
    <w:rsid w:val="6C4F0A89"/>
    <w:rsid w:val="6C9735EF"/>
    <w:rsid w:val="6C9B33DD"/>
    <w:rsid w:val="6CC1445E"/>
    <w:rsid w:val="6CFB6AE7"/>
    <w:rsid w:val="6D3C62EF"/>
    <w:rsid w:val="6D3E020C"/>
    <w:rsid w:val="6D5B7C22"/>
    <w:rsid w:val="6D6D47E3"/>
    <w:rsid w:val="6D7F34AE"/>
    <w:rsid w:val="6D96073B"/>
    <w:rsid w:val="6D9F6F97"/>
    <w:rsid w:val="6DD803C3"/>
    <w:rsid w:val="6E2A03E1"/>
    <w:rsid w:val="6E3217E2"/>
    <w:rsid w:val="6E46523A"/>
    <w:rsid w:val="6E4E02CB"/>
    <w:rsid w:val="6F0F37DA"/>
    <w:rsid w:val="6F345DED"/>
    <w:rsid w:val="6F4A4CF9"/>
    <w:rsid w:val="6F4E6D96"/>
    <w:rsid w:val="6F647671"/>
    <w:rsid w:val="6F713328"/>
    <w:rsid w:val="6FD553A6"/>
    <w:rsid w:val="702173D8"/>
    <w:rsid w:val="705F6AE0"/>
    <w:rsid w:val="70C31947"/>
    <w:rsid w:val="70DA5CBA"/>
    <w:rsid w:val="71B04CB7"/>
    <w:rsid w:val="71E6401D"/>
    <w:rsid w:val="71EC6C57"/>
    <w:rsid w:val="720A1AEC"/>
    <w:rsid w:val="72377A68"/>
    <w:rsid w:val="724F6160"/>
    <w:rsid w:val="72AA2522"/>
    <w:rsid w:val="72C23555"/>
    <w:rsid w:val="72D0311E"/>
    <w:rsid w:val="72E15C27"/>
    <w:rsid w:val="733D3771"/>
    <w:rsid w:val="73470CFE"/>
    <w:rsid w:val="73D3670A"/>
    <w:rsid w:val="73EC4408"/>
    <w:rsid w:val="74006B47"/>
    <w:rsid w:val="741E7F6E"/>
    <w:rsid w:val="744C66E2"/>
    <w:rsid w:val="74613231"/>
    <w:rsid w:val="749850D8"/>
    <w:rsid w:val="74C81B3F"/>
    <w:rsid w:val="74EC3944"/>
    <w:rsid w:val="75076AED"/>
    <w:rsid w:val="752D39CB"/>
    <w:rsid w:val="759B20C5"/>
    <w:rsid w:val="75C62F7B"/>
    <w:rsid w:val="762073F4"/>
    <w:rsid w:val="76565CF8"/>
    <w:rsid w:val="765D6AD9"/>
    <w:rsid w:val="768C18A5"/>
    <w:rsid w:val="771C2B72"/>
    <w:rsid w:val="773D399C"/>
    <w:rsid w:val="774653D3"/>
    <w:rsid w:val="776E2CBE"/>
    <w:rsid w:val="778B4C48"/>
    <w:rsid w:val="77AE64E8"/>
    <w:rsid w:val="77B072BC"/>
    <w:rsid w:val="77F80F61"/>
    <w:rsid w:val="78031D58"/>
    <w:rsid w:val="78207259"/>
    <w:rsid w:val="7832110C"/>
    <w:rsid w:val="78546EFA"/>
    <w:rsid w:val="78627FD0"/>
    <w:rsid w:val="787F6E1F"/>
    <w:rsid w:val="78E32DDE"/>
    <w:rsid w:val="78EF05F9"/>
    <w:rsid w:val="792A77D2"/>
    <w:rsid w:val="793F27C8"/>
    <w:rsid w:val="79597C24"/>
    <w:rsid w:val="79645141"/>
    <w:rsid w:val="79661EFB"/>
    <w:rsid w:val="796A7017"/>
    <w:rsid w:val="796C2017"/>
    <w:rsid w:val="797125E2"/>
    <w:rsid w:val="799D2830"/>
    <w:rsid w:val="79A37060"/>
    <w:rsid w:val="79DF25E2"/>
    <w:rsid w:val="7A591AD6"/>
    <w:rsid w:val="7A5E1396"/>
    <w:rsid w:val="7AEB20F3"/>
    <w:rsid w:val="7B097CF6"/>
    <w:rsid w:val="7B1D7B50"/>
    <w:rsid w:val="7B2A639A"/>
    <w:rsid w:val="7B8D25BC"/>
    <w:rsid w:val="7BBF0C53"/>
    <w:rsid w:val="7C344213"/>
    <w:rsid w:val="7C5F1B5A"/>
    <w:rsid w:val="7C6712B6"/>
    <w:rsid w:val="7C754C18"/>
    <w:rsid w:val="7CC806D1"/>
    <w:rsid w:val="7CFA0158"/>
    <w:rsid w:val="7CFF1633"/>
    <w:rsid w:val="7D1F2AE3"/>
    <w:rsid w:val="7D247F5F"/>
    <w:rsid w:val="7D2E4F75"/>
    <w:rsid w:val="7D322D1E"/>
    <w:rsid w:val="7D362C5F"/>
    <w:rsid w:val="7D4C467F"/>
    <w:rsid w:val="7DE63809"/>
    <w:rsid w:val="7E723B52"/>
    <w:rsid w:val="7E782E0A"/>
    <w:rsid w:val="7EBB7B93"/>
    <w:rsid w:val="7EC729C6"/>
    <w:rsid w:val="7EE80CA9"/>
    <w:rsid w:val="7F3B0A52"/>
    <w:rsid w:val="7FDD41FA"/>
    <w:rsid w:val="7FE51643"/>
    <w:rsid w:val="7FFF13B5"/>
    <w:rsid w:val="BAF7DE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65"/>
    <w:qFormat/>
    <w:uiPriority w:val="0"/>
    <w:pPr>
      <w:keepNext/>
      <w:adjustRightInd w:val="0"/>
      <w:spacing w:before="120" w:line="360" w:lineRule="auto"/>
      <w:jc w:val="center"/>
      <w:outlineLvl w:val="1"/>
    </w:pPr>
    <w:rPr>
      <w:rFonts w:eastAsia="隶书"/>
      <w:b/>
      <w:kern w:val="0"/>
      <w:sz w:val="44"/>
      <w:szCs w:val="20"/>
    </w:rPr>
  </w:style>
  <w:style w:type="paragraph" w:styleId="6">
    <w:name w:val="heading 3"/>
    <w:basedOn w:val="1"/>
    <w:next w:val="1"/>
    <w:link w:val="366"/>
    <w:qFormat/>
    <w:uiPriority w:val="0"/>
    <w:pPr>
      <w:keepNext/>
      <w:keepLines/>
      <w:spacing w:before="260" w:after="260" w:line="416" w:lineRule="auto"/>
      <w:outlineLvl w:val="2"/>
    </w:pPr>
    <w:rPr>
      <w:b/>
      <w:bCs/>
      <w:sz w:val="32"/>
      <w:szCs w:val="32"/>
    </w:rPr>
  </w:style>
  <w:style w:type="paragraph" w:styleId="7">
    <w:name w:val="heading 4"/>
    <w:basedOn w:val="1"/>
    <w:next w:val="1"/>
    <w:link w:val="362"/>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367"/>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link w:val="368"/>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link w:val="131"/>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link w:val="98"/>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link w:val="73"/>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unhideWhenUsed/>
    <w:qFormat/>
    <w:uiPriority w:val="1"/>
  </w:style>
  <w:style w:type="table" w:default="1" w:styleId="48">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39"/>
    <w:pPr>
      <w:ind w:left="420"/>
      <w:jc w:val="left"/>
    </w:pPr>
    <w:rPr>
      <w:rFonts w:ascii="Calibri" w:hAnsi="Calibri"/>
      <w:i/>
      <w:iCs/>
      <w:sz w:val="20"/>
      <w:szCs w:val="20"/>
    </w:rPr>
  </w:style>
  <w:style w:type="paragraph" w:styleId="3">
    <w:name w:val="macro"/>
    <w:link w:val="145"/>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9">
    <w:name w:val="Normal Indent"/>
    <w:basedOn w:val="1"/>
    <w:link w:val="128"/>
    <w:qFormat/>
    <w:uiPriority w:val="0"/>
    <w:pPr>
      <w:spacing w:line="240" w:lineRule="atLeast"/>
      <w:ind w:left="900" w:hanging="900"/>
      <w:jc w:val="left"/>
    </w:pPr>
    <w:rPr>
      <w:rFonts w:ascii="宋体"/>
      <w:snapToGrid w:val="0"/>
      <w:kern w:val="0"/>
      <w:sz w:val="20"/>
      <w:szCs w:val="20"/>
    </w:rPr>
  </w:style>
  <w:style w:type="paragraph" w:styleId="14">
    <w:name w:val="toc 7"/>
    <w:basedOn w:val="1"/>
    <w:next w:val="1"/>
    <w:qFormat/>
    <w:uiPriority w:val="39"/>
    <w:pPr>
      <w:ind w:left="1260"/>
      <w:jc w:val="left"/>
    </w:pPr>
    <w:rPr>
      <w:rFonts w:ascii="Calibri" w:hAnsi="Calibri"/>
      <w:sz w:val="18"/>
      <w:szCs w:val="18"/>
    </w:rPr>
  </w:style>
  <w:style w:type="paragraph" w:styleId="15">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6">
    <w:name w:val="caption"/>
    <w:basedOn w:val="1"/>
    <w:next w:val="1"/>
    <w:link w:val="76"/>
    <w:qFormat/>
    <w:uiPriority w:val="0"/>
    <w:pPr>
      <w:spacing w:before="152" w:after="160"/>
    </w:pPr>
    <w:rPr>
      <w:rFonts w:ascii="Arial" w:hAnsi="Arial" w:eastAsia="黑体"/>
      <w:sz w:val="20"/>
      <w:szCs w:val="20"/>
    </w:rPr>
  </w:style>
  <w:style w:type="paragraph" w:styleId="17">
    <w:name w:val="Document Map"/>
    <w:basedOn w:val="1"/>
    <w:link w:val="87"/>
    <w:qFormat/>
    <w:uiPriority w:val="0"/>
    <w:pPr>
      <w:shd w:val="clear" w:color="auto" w:fill="000080"/>
    </w:pPr>
  </w:style>
  <w:style w:type="paragraph" w:styleId="18">
    <w:name w:val="annotation text"/>
    <w:basedOn w:val="1"/>
    <w:link w:val="174"/>
    <w:unhideWhenUsed/>
    <w:qFormat/>
    <w:uiPriority w:val="99"/>
    <w:pPr>
      <w:jc w:val="left"/>
    </w:pPr>
  </w:style>
  <w:style w:type="paragraph" w:styleId="19">
    <w:name w:val="Body Text 3"/>
    <w:basedOn w:val="1"/>
    <w:link w:val="122"/>
    <w:qFormat/>
    <w:uiPriority w:val="0"/>
    <w:pPr>
      <w:spacing w:line="500" w:lineRule="exact"/>
    </w:pPr>
    <w:rPr>
      <w:b/>
      <w:bCs/>
      <w:kern w:val="0"/>
      <w:sz w:val="24"/>
    </w:rPr>
  </w:style>
  <w:style w:type="paragraph" w:styleId="20">
    <w:name w:val="Body Text"/>
    <w:basedOn w:val="1"/>
    <w:link w:val="195"/>
    <w:qFormat/>
    <w:uiPriority w:val="0"/>
    <w:pPr>
      <w:spacing w:line="420" w:lineRule="exact"/>
    </w:pPr>
    <w:rPr>
      <w:sz w:val="24"/>
    </w:rPr>
  </w:style>
  <w:style w:type="paragraph" w:styleId="21">
    <w:name w:val="Body Text Indent"/>
    <w:basedOn w:val="1"/>
    <w:link w:val="80"/>
    <w:qFormat/>
    <w:uiPriority w:val="0"/>
    <w:pPr>
      <w:spacing w:after="120"/>
      <w:ind w:left="420" w:leftChars="200"/>
    </w:pPr>
  </w:style>
  <w:style w:type="paragraph" w:styleId="22">
    <w:name w:val="List Number 3"/>
    <w:basedOn w:val="1"/>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Plain Text"/>
    <w:basedOn w:val="1"/>
    <w:link w:val="91"/>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152"/>
    <w:qFormat/>
    <w:uiPriority w:val="0"/>
    <w:pPr>
      <w:ind w:left="100" w:leftChars="2500"/>
    </w:pPr>
    <w:rPr>
      <w:sz w:val="24"/>
    </w:rPr>
  </w:style>
  <w:style w:type="paragraph" w:styleId="29">
    <w:name w:val="Body Text Indent 2"/>
    <w:basedOn w:val="1"/>
    <w:link w:val="106"/>
    <w:qFormat/>
    <w:uiPriority w:val="0"/>
    <w:pPr>
      <w:spacing w:after="120" w:line="480" w:lineRule="auto"/>
      <w:ind w:left="420" w:leftChars="200"/>
    </w:pPr>
  </w:style>
  <w:style w:type="paragraph" w:styleId="30">
    <w:name w:val="Balloon Text"/>
    <w:basedOn w:val="1"/>
    <w:link w:val="110"/>
    <w:qFormat/>
    <w:uiPriority w:val="0"/>
    <w:rPr>
      <w:sz w:val="18"/>
      <w:szCs w:val="18"/>
    </w:rPr>
  </w:style>
  <w:style w:type="paragraph" w:styleId="31">
    <w:name w:val="footer"/>
    <w:basedOn w:val="1"/>
    <w:link w:val="94"/>
    <w:qFormat/>
    <w:uiPriority w:val="99"/>
    <w:pPr>
      <w:tabs>
        <w:tab w:val="center" w:pos="4153"/>
        <w:tab w:val="right" w:pos="8306"/>
      </w:tabs>
      <w:snapToGrid w:val="0"/>
      <w:jc w:val="left"/>
    </w:pPr>
    <w:rPr>
      <w:sz w:val="18"/>
      <w:szCs w:val="18"/>
    </w:rPr>
  </w:style>
  <w:style w:type="paragraph" w:styleId="32">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168"/>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161"/>
    <w:qFormat/>
    <w:uiPriority w:val="0"/>
    <w:pPr>
      <w:spacing w:after="120" w:line="480" w:lineRule="auto"/>
    </w:pPr>
    <w:rPr>
      <w:kern w:val="0"/>
      <w:sz w:val="20"/>
    </w:rPr>
  </w:style>
  <w:style w:type="paragraph" w:styleId="42">
    <w:name w:val="HTML Preformatted"/>
    <w:basedOn w:val="1"/>
    <w:link w:val="18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qFormat/>
    <w:uiPriority w:val="0"/>
    <w:pPr>
      <w:jc w:val="center"/>
    </w:pPr>
    <w:rPr>
      <w:rFonts w:ascii="宋体"/>
      <w:b/>
      <w:snapToGrid w:val="0"/>
      <w:kern w:val="0"/>
      <w:sz w:val="36"/>
      <w:szCs w:val="20"/>
    </w:rPr>
  </w:style>
  <w:style w:type="paragraph" w:styleId="46">
    <w:name w:val="annotation subject"/>
    <w:basedOn w:val="18"/>
    <w:next w:val="18"/>
    <w:link w:val="199"/>
    <w:unhideWhenUsed/>
    <w:qFormat/>
    <w:uiPriority w:val="0"/>
    <w:rPr>
      <w:b/>
      <w:bCs/>
    </w:rPr>
  </w:style>
  <w:style w:type="paragraph" w:styleId="47">
    <w:name w:val="Body Text First Indent 2"/>
    <w:basedOn w:val="21"/>
    <w:link w:val="79"/>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Balloon Text_file_3194"/>
    <w:basedOn w:val="53"/>
    <w:link w:val="51"/>
    <w:unhideWhenUsed/>
    <w:qFormat/>
    <w:uiPriority w:val="99"/>
    <w:rPr>
      <w:sz w:val="18"/>
      <w:szCs w:val="18"/>
    </w:rPr>
  </w:style>
  <w:style w:type="paragraph" w:customStyle="1" w:styleId="53">
    <w:name w:val="Normal_file_3194"/>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800080"/>
      <w:u w:val="single"/>
    </w:rPr>
  </w:style>
  <w:style w:type="paragraph" w:customStyle="1" w:styleId="56">
    <w:name w:val="header_file_3194"/>
    <w:basedOn w:val="53"/>
    <w:link w:val="55"/>
    <w:unhideWhenUsed/>
    <w:qFormat/>
    <w:uiPriority w:val="99"/>
    <w:pPr>
      <w:pBdr>
        <w:bottom w:val="single" w:color="auto" w:sz="6" w:space="1"/>
      </w:pBdr>
      <w:tabs>
        <w:tab w:val="center" w:pos="4153"/>
        <w:tab w:val="right" w:pos="8306"/>
      </w:tabs>
      <w:snapToGrid w:val="0"/>
      <w:jc w:val="center"/>
    </w:pPr>
    <w:rPr>
      <w:sz w:val="18"/>
      <w:szCs w:val="18"/>
    </w:rPr>
  </w:style>
  <w:style w:type="character" w:styleId="57">
    <w:name w:val="Emphasis"/>
    <w:qFormat/>
    <w:uiPriority w:val="0"/>
    <w:rPr>
      <w:color w:val="CC0000"/>
    </w:rPr>
  </w:style>
  <w:style w:type="character" w:styleId="58">
    <w:name w:val="Hyperlink"/>
    <w:link w:val="59"/>
    <w:qFormat/>
    <w:uiPriority w:val="99"/>
    <w:rPr>
      <w:color w:val="0000FF"/>
      <w:u w:val="single"/>
    </w:rPr>
  </w:style>
  <w:style w:type="paragraph" w:customStyle="1" w:styleId="59">
    <w:name w:val="Plain Text_file_3194"/>
    <w:basedOn w:val="53"/>
    <w:link w:val="58"/>
    <w:qFormat/>
    <w:uiPriority w:val="0"/>
    <w:rPr>
      <w:rFonts w:ascii="宋体" w:hAnsi="Courier New" w:eastAsia="宋体" w:cs="Courier New"/>
      <w:szCs w:val="21"/>
    </w:rPr>
  </w:style>
  <w:style w:type="character" w:styleId="60">
    <w:name w:val="annotation reference"/>
    <w:unhideWhenUsed/>
    <w:qFormat/>
    <w:uiPriority w:val="99"/>
    <w:rPr>
      <w:sz w:val="21"/>
      <w:szCs w:val="21"/>
    </w:rPr>
  </w:style>
  <w:style w:type="character" w:customStyle="1" w:styleId="61">
    <w:name w:val="font51"/>
    <w:qFormat/>
    <w:uiPriority w:val="0"/>
    <w:rPr>
      <w:rFonts w:hint="eastAsia" w:ascii="宋体" w:hAnsi="宋体" w:eastAsia="宋体" w:cs="宋体"/>
      <w:color w:val="000000"/>
      <w:sz w:val="20"/>
      <w:szCs w:val="20"/>
      <w:u w:val="none"/>
    </w:rPr>
  </w:style>
  <w:style w:type="character" w:customStyle="1" w:styleId="62">
    <w:name w:val="正文文本缩进 2 Char2"/>
    <w:semiHidden/>
    <w:qFormat/>
    <w:uiPriority w:val="99"/>
    <w:rPr>
      <w:kern w:val="2"/>
      <w:sz w:val="21"/>
      <w:szCs w:val="24"/>
    </w:rPr>
  </w:style>
  <w:style w:type="character" w:customStyle="1" w:styleId="63">
    <w:name w:val="A15"/>
    <w:qFormat/>
    <w:uiPriority w:val="0"/>
    <w:rPr>
      <w:rFonts w:ascii="Times New Roman" w:hAnsi="Times New Roman"/>
      <w:color w:val="000000"/>
      <w:sz w:val="14"/>
      <w:szCs w:val="14"/>
    </w:rPr>
  </w:style>
  <w:style w:type="character" w:customStyle="1" w:styleId="64">
    <w:name w:val="样式2"/>
    <w:qFormat/>
    <w:uiPriority w:val="0"/>
    <w:rPr>
      <w:rFonts w:ascii="宋体" w:hAnsi="宋体"/>
      <w:b/>
      <w:szCs w:val="21"/>
    </w:rPr>
  </w:style>
  <w:style w:type="character" w:customStyle="1" w:styleId="65">
    <w:name w:val="宏文本 Char1"/>
    <w:qFormat/>
    <w:uiPriority w:val="99"/>
    <w:rPr>
      <w:rFonts w:ascii="Courier New" w:hAnsi="Courier New" w:cs="Courier New"/>
      <w:kern w:val="2"/>
      <w:sz w:val="24"/>
      <w:szCs w:val="24"/>
    </w:rPr>
  </w:style>
  <w:style w:type="character" w:customStyle="1" w:styleId="66">
    <w:name w:val="标题 5 Char_file_3204"/>
    <w:basedOn w:val="67"/>
    <w:link w:val="8"/>
    <w:semiHidden/>
    <w:qFormat/>
    <w:uiPriority w:val="9"/>
    <w:rPr>
      <w:rFonts w:ascii="宋体" w:hAnsi="宋体" w:eastAsia="宋体" w:cs="宋体"/>
      <w:b/>
      <w:bCs/>
      <w:sz w:val="28"/>
      <w:szCs w:val="28"/>
    </w:rPr>
  </w:style>
  <w:style w:type="character" w:customStyle="1" w:styleId="67">
    <w:name w:val="Default Paragraph Font_file_3204"/>
    <w:unhideWhenUsed/>
    <w:qFormat/>
    <w:uiPriority w:val="1"/>
  </w:style>
  <w:style w:type="character" w:customStyle="1" w:styleId="68">
    <w:name w:val="正文文本缩进 2 Char1"/>
    <w:semiHidden/>
    <w:qFormat/>
    <w:uiPriority w:val="99"/>
    <w:rPr>
      <w:rFonts w:ascii="Times New Roman" w:hAnsi="Times New Roman" w:eastAsia="宋体" w:cs="Times New Roman"/>
      <w:szCs w:val="24"/>
    </w:rPr>
  </w:style>
  <w:style w:type="character" w:customStyle="1" w:styleId="69">
    <w:name w:val="apple-converted-space"/>
    <w:basedOn w:val="50"/>
    <w:qFormat/>
    <w:uiPriority w:val="0"/>
  </w:style>
  <w:style w:type="character" w:customStyle="1" w:styleId="70">
    <w:name w:val="标题 5 Char_file_3196"/>
    <w:basedOn w:val="71"/>
    <w:link w:val="8"/>
    <w:semiHidden/>
    <w:qFormat/>
    <w:uiPriority w:val="9"/>
    <w:rPr>
      <w:rFonts w:ascii="宋体" w:hAnsi="宋体" w:eastAsia="宋体" w:cs="宋体"/>
      <w:b/>
      <w:bCs/>
      <w:sz w:val="28"/>
      <w:szCs w:val="28"/>
    </w:rPr>
  </w:style>
  <w:style w:type="character" w:customStyle="1" w:styleId="71">
    <w:name w:val="Default Paragraph Font_file_3196"/>
    <w:unhideWhenUsed/>
    <w:qFormat/>
    <w:uiPriority w:val="1"/>
  </w:style>
  <w:style w:type="character" w:customStyle="1" w:styleId="72">
    <w:name w:val="标题 6 字符"/>
    <w:link w:val="10"/>
    <w:qFormat/>
    <w:uiPriority w:val="0"/>
    <w:rPr>
      <w:rFonts w:ascii="Arial" w:hAnsi="Arial" w:eastAsia="黑体"/>
      <w:b/>
      <w:kern w:val="2"/>
      <w:sz w:val="24"/>
      <w:szCs w:val="24"/>
    </w:rPr>
  </w:style>
  <w:style w:type="character" w:customStyle="1" w:styleId="73">
    <w:name w:val="标题 9 字符"/>
    <w:link w:val="13"/>
    <w:qFormat/>
    <w:uiPriority w:val="0"/>
    <w:rPr>
      <w:rFonts w:ascii="Arial" w:hAnsi="Arial" w:eastAsia="黑体"/>
      <w:kern w:val="2"/>
      <w:sz w:val="21"/>
      <w:szCs w:val="24"/>
    </w:rPr>
  </w:style>
  <w:style w:type="character" w:customStyle="1" w:styleId="74">
    <w:name w:val="标题 6 Char_file_3196"/>
    <w:basedOn w:val="71"/>
    <w:link w:val="10"/>
    <w:semiHidden/>
    <w:qFormat/>
    <w:uiPriority w:val="9"/>
    <w:rPr>
      <w:rFonts w:ascii="等线 Light" w:hAnsi="等线 Light" w:eastAsia="等线 Light" w:cs="Times New Roman"/>
      <w:b/>
      <w:bCs/>
      <w:sz w:val="24"/>
      <w:szCs w:val="24"/>
    </w:rPr>
  </w:style>
  <w:style w:type="character" w:customStyle="1" w:styleId="75">
    <w:name w:val="文档结构图 Char1"/>
    <w:qFormat/>
    <w:uiPriority w:val="99"/>
    <w:rPr>
      <w:rFonts w:ascii="宋体"/>
      <w:kern w:val="2"/>
      <w:sz w:val="18"/>
      <w:szCs w:val="18"/>
    </w:rPr>
  </w:style>
  <w:style w:type="character" w:customStyle="1" w:styleId="76">
    <w:name w:val="题注 字符"/>
    <w:link w:val="16"/>
    <w:qFormat/>
    <w:uiPriority w:val="0"/>
    <w:rPr>
      <w:rFonts w:ascii="Arial" w:hAnsi="Arial" w:eastAsia="黑体" w:cs="Arial"/>
      <w:kern w:val="2"/>
    </w:rPr>
  </w:style>
  <w:style w:type="character" w:customStyle="1" w:styleId="77">
    <w:name w:val="正文文本 Char1"/>
    <w:semiHidden/>
    <w:qFormat/>
    <w:uiPriority w:val="99"/>
    <w:rPr>
      <w:rFonts w:ascii="Times New Roman" w:hAnsi="Times New Roman" w:eastAsia="宋体" w:cs="Times New Roman"/>
      <w:szCs w:val="24"/>
    </w:rPr>
  </w:style>
  <w:style w:type="character" w:customStyle="1" w:styleId="78">
    <w:name w:val="标题 5 字符"/>
    <w:link w:val="8"/>
    <w:qFormat/>
    <w:uiPriority w:val="0"/>
    <w:rPr>
      <w:b/>
      <w:kern w:val="2"/>
      <w:sz w:val="28"/>
      <w:szCs w:val="24"/>
    </w:rPr>
  </w:style>
  <w:style w:type="character" w:customStyle="1" w:styleId="79">
    <w:name w:val="正文文本首行缩进 2 字符"/>
    <w:basedOn w:val="80"/>
    <w:link w:val="47"/>
    <w:semiHidden/>
    <w:qFormat/>
    <w:uiPriority w:val="0"/>
    <w:rPr>
      <w:kern w:val="2"/>
      <w:sz w:val="21"/>
      <w:szCs w:val="24"/>
    </w:rPr>
  </w:style>
  <w:style w:type="character" w:customStyle="1" w:styleId="80">
    <w:name w:val="正文文本缩进 字符"/>
    <w:link w:val="21"/>
    <w:qFormat/>
    <w:uiPriority w:val="0"/>
    <w:rPr>
      <w:kern w:val="2"/>
      <w:sz w:val="21"/>
      <w:szCs w:val="24"/>
    </w:rPr>
  </w:style>
  <w:style w:type="character" w:customStyle="1" w:styleId="81">
    <w:name w:val="页眉 字符"/>
    <w:link w:val="32"/>
    <w:qFormat/>
    <w:uiPriority w:val="0"/>
    <w:rPr>
      <w:kern w:val="2"/>
      <w:sz w:val="18"/>
      <w:szCs w:val="18"/>
    </w:rPr>
  </w:style>
  <w:style w:type="character" w:customStyle="1" w:styleId="82">
    <w:name w:val="正文文本 3 Char1"/>
    <w:qFormat/>
    <w:uiPriority w:val="99"/>
    <w:rPr>
      <w:kern w:val="2"/>
      <w:sz w:val="16"/>
      <w:szCs w:val="16"/>
    </w:rPr>
  </w:style>
  <w:style w:type="character" w:customStyle="1" w:styleId="83">
    <w:name w:val="正文文本缩进 Char1"/>
    <w:semiHidden/>
    <w:qFormat/>
    <w:uiPriority w:val="99"/>
    <w:rPr>
      <w:kern w:val="2"/>
      <w:sz w:val="21"/>
      <w:szCs w:val="24"/>
    </w:rPr>
  </w:style>
  <w:style w:type="character" w:customStyle="1" w:styleId="84">
    <w:name w:val="标题 3 字符"/>
    <w:link w:val="6"/>
    <w:qFormat/>
    <w:uiPriority w:val="0"/>
    <w:rPr>
      <w:b/>
      <w:bCs/>
      <w:kern w:val="2"/>
      <w:sz w:val="32"/>
      <w:szCs w:val="32"/>
    </w:rPr>
  </w:style>
  <w:style w:type="character" w:customStyle="1" w:styleId="85">
    <w:name w:val="正文文本 2 Char1"/>
    <w:semiHidden/>
    <w:qFormat/>
    <w:uiPriority w:val="99"/>
    <w:rPr>
      <w:rFonts w:ascii="Times New Roman" w:hAnsi="Times New Roman" w:eastAsia="宋体" w:cs="Times New Roman"/>
      <w:szCs w:val="24"/>
    </w:rPr>
  </w:style>
  <w:style w:type="character" w:customStyle="1" w:styleId="86">
    <w:name w:val="样式1"/>
    <w:qFormat/>
    <w:uiPriority w:val="0"/>
    <w:rPr>
      <w:rFonts w:ascii="宋体" w:hAnsi="宋体"/>
      <w:szCs w:val="21"/>
    </w:rPr>
  </w:style>
  <w:style w:type="character" w:customStyle="1" w:styleId="87">
    <w:name w:val="文档结构图 字符"/>
    <w:link w:val="17"/>
    <w:qFormat/>
    <w:uiPriority w:val="0"/>
    <w:rPr>
      <w:kern w:val="2"/>
      <w:sz w:val="21"/>
      <w:szCs w:val="24"/>
      <w:shd w:val="clear" w:color="auto" w:fill="000080"/>
    </w:rPr>
  </w:style>
  <w:style w:type="character" w:customStyle="1" w:styleId="88">
    <w:name w:val="标题 2 字符"/>
    <w:link w:val="5"/>
    <w:qFormat/>
    <w:uiPriority w:val="0"/>
    <w:rPr>
      <w:rFonts w:eastAsia="隶书"/>
      <w:b/>
      <w:sz w:val="44"/>
    </w:rPr>
  </w:style>
  <w:style w:type="character" w:customStyle="1" w:styleId="89">
    <w:name w:val="批注框文本 字符_file_3194"/>
    <w:basedOn w:val="90"/>
    <w:semiHidden/>
    <w:qFormat/>
    <w:uiPriority w:val="99"/>
    <w:rPr>
      <w:sz w:val="18"/>
      <w:szCs w:val="18"/>
    </w:rPr>
  </w:style>
  <w:style w:type="character" w:customStyle="1" w:styleId="90">
    <w:name w:val="Default Paragraph Font_file_3194"/>
    <w:unhideWhenUsed/>
    <w:qFormat/>
    <w:uiPriority w:val="1"/>
  </w:style>
  <w:style w:type="character" w:customStyle="1" w:styleId="91">
    <w:name w:val="纯文本 字符"/>
    <w:link w:val="26"/>
    <w:qFormat/>
    <w:uiPriority w:val="0"/>
    <w:rPr>
      <w:rFonts w:ascii="宋体" w:hAnsi="Courier New" w:eastAsia="宋体" w:cs="Courier New"/>
      <w:kern w:val="2"/>
      <w:sz w:val="21"/>
      <w:szCs w:val="21"/>
      <w:lang w:val="en-US" w:eastAsia="zh-CN" w:bidi="ar-SA"/>
    </w:rPr>
  </w:style>
  <w:style w:type="character" w:customStyle="1" w:styleId="92">
    <w:name w:val="apple-style-span"/>
    <w:qFormat/>
    <w:uiPriority w:val="0"/>
  </w:style>
  <w:style w:type="character" w:customStyle="1" w:styleId="93">
    <w:name w:val="页脚 Char2"/>
    <w:semiHidden/>
    <w:qFormat/>
    <w:uiPriority w:val="99"/>
    <w:rPr>
      <w:kern w:val="2"/>
      <w:sz w:val="18"/>
      <w:szCs w:val="18"/>
    </w:rPr>
  </w:style>
  <w:style w:type="character" w:customStyle="1" w:styleId="94">
    <w:name w:val="页脚 字符"/>
    <w:link w:val="31"/>
    <w:qFormat/>
    <w:uiPriority w:val="99"/>
    <w:rPr>
      <w:kern w:val="2"/>
      <w:sz w:val="18"/>
      <w:szCs w:val="18"/>
    </w:rPr>
  </w:style>
  <w:style w:type="character" w:customStyle="1" w:styleId="95">
    <w:name w:val="列表段落 字符"/>
    <w:link w:val="96"/>
    <w:qFormat/>
    <w:locked/>
    <w:uiPriority w:val="34"/>
    <w:rPr>
      <w:rFonts w:ascii="Calibri" w:hAnsi="Calibri"/>
      <w:kern w:val="2"/>
      <w:sz w:val="21"/>
      <w:szCs w:val="22"/>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纯文本 字符1_file_3194"/>
    <w:basedOn w:val="90"/>
    <w:semiHidden/>
    <w:qFormat/>
    <w:uiPriority w:val="99"/>
    <w:rPr>
      <w:rFonts w:ascii="等线" w:hAnsi="Courier New" w:cs="Courier New"/>
    </w:rPr>
  </w:style>
  <w:style w:type="character" w:customStyle="1" w:styleId="98">
    <w:name w:val="标题 8 字符"/>
    <w:link w:val="12"/>
    <w:qFormat/>
    <w:uiPriority w:val="0"/>
    <w:rPr>
      <w:rFonts w:ascii="Arial" w:hAnsi="Arial" w:eastAsia="黑体"/>
      <w:kern w:val="2"/>
      <w:sz w:val="24"/>
      <w:szCs w:val="24"/>
    </w:rPr>
  </w:style>
  <w:style w:type="character" w:customStyle="1" w:styleId="99">
    <w:name w:val="gray"/>
    <w:qFormat/>
    <w:uiPriority w:val="0"/>
    <w:rPr>
      <w:rFonts w:ascii="Tahoma" w:hAnsi="Tahoma" w:eastAsia="宋体"/>
      <w:kern w:val="2"/>
      <w:sz w:val="24"/>
      <w:szCs w:val="24"/>
      <w:lang w:val="en-US" w:eastAsia="zh-CN" w:bidi="ar-SA"/>
    </w:rPr>
  </w:style>
  <w:style w:type="character" w:customStyle="1" w:styleId="100">
    <w:name w:val="HTML 预设格式 Char1"/>
    <w:qFormat/>
    <w:uiPriority w:val="99"/>
    <w:rPr>
      <w:rFonts w:ascii="Courier New" w:hAnsi="Courier New" w:cs="Courier New"/>
      <w:kern w:val="2"/>
    </w:rPr>
  </w:style>
  <w:style w:type="character" w:customStyle="1" w:styleId="101">
    <w:name w:val="mark"/>
    <w:basedOn w:val="50"/>
    <w:qFormat/>
    <w:uiPriority w:val="0"/>
  </w:style>
  <w:style w:type="character" w:customStyle="1" w:styleId="102">
    <w:name w:val="Hyperlink_file_3195"/>
    <w:basedOn w:val="103"/>
    <w:unhideWhenUsed/>
    <w:qFormat/>
    <w:uiPriority w:val="99"/>
    <w:rPr>
      <w:color w:val="0782C1"/>
      <w:u w:val="single"/>
    </w:rPr>
  </w:style>
  <w:style w:type="character" w:customStyle="1" w:styleId="103">
    <w:name w:val="Default Paragraph Font_file_3195"/>
    <w:unhideWhenUsed/>
    <w:qFormat/>
    <w:uiPriority w:val="1"/>
  </w:style>
  <w:style w:type="character" w:customStyle="1" w:styleId="104">
    <w:name w:val="日期 Char1"/>
    <w:semiHidden/>
    <w:qFormat/>
    <w:uiPriority w:val="99"/>
    <w:rPr>
      <w:rFonts w:ascii="Times New Roman" w:hAnsi="Times New Roman" w:eastAsia="宋体" w:cs="Times New Roman"/>
      <w:szCs w:val="24"/>
    </w:rPr>
  </w:style>
  <w:style w:type="character" w:customStyle="1" w:styleId="105">
    <w:name w:val="标题 1 Char_file_3195"/>
    <w:basedOn w:val="103"/>
    <w:link w:val="4"/>
    <w:qFormat/>
    <w:uiPriority w:val="9"/>
    <w:rPr>
      <w:rFonts w:ascii="宋体" w:hAnsi="宋体" w:eastAsia="宋体" w:cs="宋体"/>
      <w:b/>
      <w:bCs/>
      <w:kern w:val="44"/>
      <w:sz w:val="44"/>
      <w:szCs w:val="44"/>
    </w:rPr>
  </w:style>
  <w:style w:type="character" w:customStyle="1" w:styleId="106">
    <w:name w:val="正文文本缩进 2 字符"/>
    <w:link w:val="29"/>
    <w:qFormat/>
    <w:uiPriority w:val="0"/>
    <w:rPr>
      <w:kern w:val="2"/>
      <w:sz w:val="21"/>
      <w:szCs w:val="24"/>
    </w:rPr>
  </w:style>
  <w:style w:type="character" w:customStyle="1" w:styleId="107">
    <w:name w:val="引用 字符"/>
    <w:link w:val="108"/>
    <w:qFormat/>
    <w:uiPriority w:val="29"/>
    <w:rPr>
      <w:i/>
      <w:iCs/>
      <w:color w:val="404040"/>
      <w:kern w:val="2"/>
      <w:sz w:val="21"/>
      <w:szCs w:val="24"/>
    </w:rPr>
  </w:style>
  <w:style w:type="paragraph" w:styleId="108">
    <w:name w:val="Quote"/>
    <w:basedOn w:val="1"/>
    <w:next w:val="1"/>
    <w:link w:val="107"/>
    <w:qFormat/>
    <w:uiPriority w:val="29"/>
    <w:pPr>
      <w:spacing w:before="200" w:after="160"/>
      <w:ind w:left="864" w:right="864"/>
      <w:jc w:val="center"/>
    </w:pPr>
    <w:rPr>
      <w:i/>
      <w:iCs/>
      <w:color w:val="404040"/>
    </w:rPr>
  </w:style>
  <w:style w:type="character" w:customStyle="1" w:styleId="109">
    <w:name w:val="FollowedHyperlink_file_3195"/>
    <w:basedOn w:val="103"/>
    <w:unhideWhenUsed/>
    <w:qFormat/>
    <w:uiPriority w:val="99"/>
    <w:rPr>
      <w:color w:val="0782C1"/>
      <w:u w:val="single"/>
    </w:rPr>
  </w:style>
  <w:style w:type="character" w:customStyle="1" w:styleId="110">
    <w:name w:val="批注框文本 字符"/>
    <w:link w:val="30"/>
    <w:qFormat/>
    <w:uiPriority w:val="0"/>
    <w:rPr>
      <w:kern w:val="2"/>
      <w:sz w:val="18"/>
      <w:szCs w:val="18"/>
    </w:rPr>
  </w:style>
  <w:style w:type="character" w:customStyle="1" w:styleId="111">
    <w:name w:val="标题 2 Char_file_3195"/>
    <w:basedOn w:val="103"/>
    <w:link w:val="5"/>
    <w:semiHidden/>
    <w:qFormat/>
    <w:uiPriority w:val="9"/>
    <w:rPr>
      <w:rFonts w:ascii="等线 Light" w:hAnsi="等线 Light" w:eastAsia="等线 Light" w:cs="Times New Roman"/>
      <w:b/>
      <w:bCs/>
      <w:sz w:val="32"/>
      <w:szCs w:val="32"/>
    </w:rPr>
  </w:style>
  <w:style w:type="character" w:customStyle="1" w:styleId="112">
    <w:name w:val="超链接2"/>
    <w:qFormat/>
    <w:uiPriority w:val="0"/>
    <w:rPr>
      <w:rFonts w:hint="eastAsia" w:ascii="宋体" w:hAnsi="宋体" w:eastAsia="宋体"/>
      <w:color w:val="FFFFFF"/>
      <w:sz w:val="18"/>
      <w:szCs w:val="18"/>
      <w:u w:val="none"/>
    </w:rPr>
  </w:style>
  <w:style w:type="character" w:customStyle="1" w:styleId="113">
    <w:name w:val="标题 3 Char_file_3195"/>
    <w:basedOn w:val="103"/>
    <w:link w:val="6"/>
    <w:semiHidden/>
    <w:qFormat/>
    <w:uiPriority w:val="9"/>
    <w:rPr>
      <w:rFonts w:ascii="宋体" w:hAnsi="宋体" w:eastAsia="宋体" w:cs="宋体"/>
      <w:b/>
      <w:bCs/>
      <w:sz w:val="32"/>
      <w:szCs w:val="32"/>
    </w:rPr>
  </w:style>
  <w:style w:type="character" w:customStyle="1" w:styleId="114">
    <w:name w:val="ca-2"/>
    <w:basedOn w:val="50"/>
    <w:qFormat/>
    <w:uiPriority w:val="0"/>
  </w:style>
  <w:style w:type="character" w:customStyle="1" w:styleId="115">
    <w:name w:val="标题 4 Char_file_3195"/>
    <w:basedOn w:val="103"/>
    <w:link w:val="7"/>
    <w:semiHidden/>
    <w:qFormat/>
    <w:uiPriority w:val="9"/>
    <w:rPr>
      <w:rFonts w:ascii="等线 Light" w:hAnsi="等线 Light" w:eastAsia="等线 Light" w:cs="Times New Roman"/>
      <w:b/>
      <w:bCs/>
      <w:sz w:val="28"/>
      <w:szCs w:val="28"/>
    </w:rPr>
  </w:style>
  <w:style w:type="character" w:customStyle="1" w:styleId="116">
    <w:name w:val="纯文本 字符_file_3194"/>
    <w:qFormat/>
    <w:uiPriority w:val="0"/>
    <w:rPr>
      <w:rFonts w:ascii="宋体" w:hAnsi="Courier New" w:eastAsia="宋体" w:cs="Courier New"/>
      <w:szCs w:val="21"/>
    </w:rPr>
  </w:style>
  <w:style w:type="character" w:customStyle="1" w:styleId="117">
    <w:name w:val="纯文本 Char2"/>
    <w:qFormat/>
    <w:uiPriority w:val="0"/>
    <w:rPr>
      <w:rFonts w:ascii="宋体" w:hAnsi="Courier New" w:eastAsia="宋体" w:cs="Courier New"/>
      <w:kern w:val="2"/>
      <w:sz w:val="21"/>
      <w:szCs w:val="21"/>
      <w:lang w:val="en-US" w:eastAsia="zh-CN" w:bidi="ar-SA"/>
    </w:rPr>
  </w:style>
  <w:style w:type="character" w:customStyle="1" w:styleId="118">
    <w:name w:val="页脚 Char1"/>
    <w:semiHidden/>
    <w:qFormat/>
    <w:uiPriority w:val="99"/>
    <w:rPr>
      <w:rFonts w:ascii="Times New Roman" w:hAnsi="Times New Roman" w:eastAsia="宋体" w:cs="Times New Roman"/>
      <w:sz w:val="18"/>
      <w:szCs w:val="18"/>
    </w:rPr>
  </w:style>
  <w:style w:type="character" w:customStyle="1" w:styleId="119">
    <w:name w:val="标题 5 Char_file_3195"/>
    <w:basedOn w:val="103"/>
    <w:link w:val="8"/>
    <w:semiHidden/>
    <w:qFormat/>
    <w:uiPriority w:val="9"/>
    <w:rPr>
      <w:rFonts w:ascii="宋体" w:hAnsi="宋体" w:eastAsia="宋体" w:cs="宋体"/>
      <w:b/>
      <w:bCs/>
      <w:sz w:val="28"/>
      <w:szCs w:val="28"/>
    </w:rPr>
  </w:style>
  <w:style w:type="character" w:customStyle="1" w:styleId="120">
    <w:name w:val="Default Paragraph Font_file_3193"/>
    <w:unhideWhenUsed/>
    <w:qFormat/>
    <w:uiPriority w:val="1"/>
  </w:style>
  <w:style w:type="character" w:customStyle="1" w:styleId="121">
    <w:name w:val="font91"/>
    <w:qFormat/>
    <w:uiPriority w:val="0"/>
    <w:rPr>
      <w:rFonts w:hint="default" w:ascii="Times New Roman" w:hAnsi="Times New Roman" w:cs="Times New Roman"/>
      <w:color w:val="000000"/>
      <w:sz w:val="20"/>
      <w:szCs w:val="20"/>
      <w:u w:val="none"/>
    </w:rPr>
  </w:style>
  <w:style w:type="character" w:customStyle="1" w:styleId="122">
    <w:name w:val="正文文本 3 字符"/>
    <w:link w:val="19"/>
    <w:qFormat/>
    <w:uiPriority w:val="0"/>
    <w:rPr>
      <w:b/>
      <w:bCs/>
      <w:sz w:val="24"/>
      <w:szCs w:val="24"/>
    </w:rPr>
  </w:style>
  <w:style w:type="character" w:customStyle="1" w:styleId="123">
    <w:name w:val="标题 6 Char_file_3195"/>
    <w:basedOn w:val="103"/>
    <w:link w:val="10"/>
    <w:semiHidden/>
    <w:qFormat/>
    <w:uiPriority w:val="9"/>
    <w:rPr>
      <w:rFonts w:ascii="等线 Light" w:hAnsi="等线 Light" w:eastAsia="等线 Light" w:cs="Times New Roman"/>
      <w:b/>
      <w:bCs/>
      <w:sz w:val="24"/>
      <w:szCs w:val="24"/>
    </w:rPr>
  </w:style>
  <w:style w:type="character" w:customStyle="1" w:styleId="124">
    <w:name w:val="062"/>
    <w:qFormat/>
    <w:uiPriority w:val="0"/>
    <w:rPr>
      <w:rFonts w:ascii="宋体" w:hAnsi="宋体"/>
      <w:b/>
      <w:bCs/>
      <w:sz w:val="32"/>
    </w:rPr>
  </w:style>
  <w:style w:type="character" w:customStyle="1" w:styleId="125">
    <w:name w:val="引用 Char1"/>
    <w:qFormat/>
    <w:uiPriority w:val="99"/>
    <w:rPr>
      <w:rFonts w:ascii="Times New Roman" w:hAnsi="Times New Roman"/>
      <w:i/>
      <w:iCs/>
      <w:color w:val="000000"/>
      <w:kern w:val="2"/>
      <w:sz w:val="21"/>
      <w:szCs w:val="24"/>
    </w:rPr>
  </w:style>
  <w:style w:type="character" w:customStyle="1" w:styleId="126">
    <w:name w:val="批注文字 字符_file_3194"/>
    <w:qFormat/>
    <w:uiPriority w:val="99"/>
    <w:rPr>
      <w:szCs w:val="24"/>
    </w:rPr>
  </w:style>
  <w:style w:type="character" w:customStyle="1" w:styleId="127">
    <w:name w:val="纯文本 Char3"/>
    <w:qFormat/>
    <w:uiPriority w:val="0"/>
    <w:rPr>
      <w:rFonts w:ascii="宋体" w:hAnsi="Courier New" w:eastAsia="宋体" w:cs="Courier New"/>
      <w:szCs w:val="21"/>
    </w:rPr>
  </w:style>
  <w:style w:type="character" w:customStyle="1" w:styleId="128">
    <w:name w:val="正文缩进 字符"/>
    <w:link w:val="9"/>
    <w:qFormat/>
    <w:uiPriority w:val="0"/>
    <w:rPr>
      <w:rFonts w:ascii="宋体"/>
      <w:snapToGrid w:val="0"/>
    </w:rPr>
  </w:style>
  <w:style w:type="character" w:customStyle="1" w:styleId="129">
    <w:name w:val="Hyperlink_file_3193"/>
    <w:basedOn w:val="120"/>
    <w:unhideWhenUsed/>
    <w:qFormat/>
    <w:uiPriority w:val="99"/>
    <w:rPr>
      <w:color w:val="0782C1"/>
      <w:u w:val="single"/>
    </w:rPr>
  </w:style>
  <w:style w:type="character" w:customStyle="1" w:styleId="130">
    <w:name w:val="正文文本 Char2"/>
    <w:semiHidden/>
    <w:qFormat/>
    <w:uiPriority w:val="99"/>
    <w:rPr>
      <w:kern w:val="2"/>
      <w:sz w:val="21"/>
      <w:szCs w:val="24"/>
    </w:rPr>
  </w:style>
  <w:style w:type="character" w:customStyle="1" w:styleId="131">
    <w:name w:val="标题 7 字符"/>
    <w:link w:val="11"/>
    <w:qFormat/>
    <w:uiPriority w:val="0"/>
    <w:rPr>
      <w:b/>
      <w:kern w:val="2"/>
      <w:sz w:val="24"/>
      <w:szCs w:val="24"/>
    </w:rPr>
  </w:style>
  <w:style w:type="character" w:customStyle="1" w:styleId="132">
    <w:name w:val="标题 1 Char_file_3193"/>
    <w:basedOn w:val="120"/>
    <w:link w:val="4"/>
    <w:qFormat/>
    <w:uiPriority w:val="9"/>
    <w:rPr>
      <w:rFonts w:ascii="宋体" w:hAnsi="宋体" w:eastAsia="宋体" w:cs="宋体"/>
      <w:b/>
      <w:bCs/>
      <w:kern w:val="44"/>
      <w:sz w:val="44"/>
      <w:szCs w:val="44"/>
    </w:rPr>
  </w:style>
  <w:style w:type="character" w:customStyle="1" w:styleId="133">
    <w:name w:val="纯文本 Char1"/>
    <w:qFormat/>
    <w:uiPriority w:val="0"/>
    <w:rPr>
      <w:rFonts w:ascii="宋体" w:hAnsi="Courier New" w:eastAsia="宋体" w:cs="Courier New"/>
      <w:szCs w:val="21"/>
    </w:rPr>
  </w:style>
  <w:style w:type="character" w:customStyle="1" w:styleId="134">
    <w:name w:val="style21"/>
    <w:qFormat/>
    <w:uiPriority w:val="0"/>
    <w:rPr>
      <w:sz w:val="22"/>
      <w:szCs w:val="22"/>
    </w:rPr>
  </w:style>
  <w:style w:type="character" w:customStyle="1" w:styleId="135">
    <w:name w:val="FollowedHyperlink_file_3193"/>
    <w:basedOn w:val="120"/>
    <w:unhideWhenUsed/>
    <w:qFormat/>
    <w:uiPriority w:val="99"/>
    <w:rPr>
      <w:color w:val="0782C1"/>
      <w:u w:val="single"/>
    </w:rPr>
  </w:style>
  <w:style w:type="character" w:customStyle="1" w:styleId="136">
    <w:name w:val="Char Char1"/>
    <w:qFormat/>
    <w:uiPriority w:val="0"/>
    <w:rPr>
      <w:rFonts w:eastAsia="宋体"/>
      <w:kern w:val="2"/>
      <w:sz w:val="21"/>
      <w:szCs w:val="24"/>
      <w:lang w:bidi="ar-SA"/>
    </w:rPr>
  </w:style>
  <w:style w:type="character" w:customStyle="1" w:styleId="137">
    <w:name w:val="A4"/>
    <w:qFormat/>
    <w:uiPriority w:val="0"/>
    <w:rPr>
      <w:rFonts w:ascii="新宋体" w:eastAsia="新宋体" w:cs="新宋体"/>
      <w:color w:val="000000"/>
      <w:lang w:bidi="ar-SA"/>
    </w:rPr>
  </w:style>
  <w:style w:type="character" w:customStyle="1" w:styleId="138">
    <w:name w:val="1ji Char"/>
    <w:link w:val="139"/>
    <w:qFormat/>
    <w:uiPriority w:val="0"/>
    <w:rPr>
      <w:rFonts w:ascii="宋体" w:hAnsi="宋体"/>
      <w:b/>
      <w:bCs/>
      <w:kern w:val="44"/>
      <w:sz w:val="36"/>
      <w:szCs w:val="44"/>
    </w:rPr>
  </w:style>
  <w:style w:type="paragraph" w:customStyle="1" w:styleId="139">
    <w:name w:val="1ji"/>
    <w:basedOn w:val="4"/>
    <w:link w:val="138"/>
    <w:qFormat/>
    <w:uiPriority w:val="0"/>
    <w:pPr>
      <w:keepLines w:val="0"/>
      <w:widowControl/>
      <w:spacing w:before="0" w:after="0" w:line="240" w:lineRule="auto"/>
      <w:jc w:val="center"/>
    </w:pPr>
    <w:rPr>
      <w:rFonts w:ascii="宋体" w:hAnsi="宋体"/>
      <w:sz w:val="36"/>
    </w:rPr>
  </w:style>
  <w:style w:type="character" w:customStyle="1" w:styleId="140">
    <w:name w:val="纯文本 字符1"/>
    <w:qFormat/>
    <w:uiPriority w:val="0"/>
    <w:rPr>
      <w:rFonts w:ascii="宋体" w:hAnsi="Courier New" w:eastAsia="宋体" w:cs="Courier New"/>
      <w:szCs w:val="21"/>
    </w:rPr>
  </w:style>
  <w:style w:type="character" w:customStyle="1" w:styleId="141">
    <w:name w:val="Default Paragraph Font_file_3197"/>
    <w:unhideWhenUsed/>
    <w:qFormat/>
    <w:uiPriority w:val="1"/>
  </w:style>
  <w:style w:type="character" w:customStyle="1" w:styleId="142">
    <w:name w:val="标题 2 Char_file_3193"/>
    <w:basedOn w:val="120"/>
    <w:link w:val="5"/>
    <w:semiHidden/>
    <w:qFormat/>
    <w:uiPriority w:val="9"/>
    <w:rPr>
      <w:rFonts w:ascii="等线 Light" w:hAnsi="等线 Light" w:eastAsia="等线 Light" w:cs="Times New Roman"/>
      <w:b/>
      <w:bCs/>
      <w:sz w:val="32"/>
      <w:szCs w:val="32"/>
    </w:rPr>
  </w:style>
  <w:style w:type="character" w:customStyle="1" w:styleId="143">
    <w:name w:val="Subtle Emphasis"/>
    <w:qFormat/>
    <w:uiPriority w:val="19"/>
    <w:rPr>
      <w:i/>
      <w:iCs/>
      <w:color w:val="808080"/>
    </w:rPr>
  </w:style>
  <w:style w:type="character" w:customStyle="1" w:styleId="144">
    <w:name w:val="标题 3 Char_file_3193"/>
    <w:basedOn w:val="120"/>
    <w:link w:val="6"/>
    <w:semiHidden/>
    <w:qFormat/>
    <w:uiPriority w:val="9"/>
    <w:rPr>
      <w:rFonts w:ascii="宋体" w:hAnsi="宋体" w:eastAsia="宋体" w:cs="宋体"/>
      <w:b/>
      <w:bCs/>
      <w:sz w:val="32"/>
      <w:szCs w:val="32"/>
    </w:rPr>
  </w:style>
  <w:style w:type="character" w:customStyle="1" w:styleId="145">
    <w:name w:val="宏文本 字符"/>
    <w:link w:val="3"/>
    <w:qFormat/>
    <w:uiPriority w:val="99"/>
    <w:rPr>
      <w:rFonts w:ascii="Courier New" w:hAnsi="Courier New"/>
      <w:kern w:val="2"/>
      <w:sz w:val="24"/>
      <w:szCs w:val="24"/>
      <w:lang w:val="en-US" w:eastAsia="zh-CN" w:bidi="ar-SA"/>
    </w:rPr>
  </w:style>
  <w:style w:type="character" w:customStyle="1" w:styleId="146">
    <w:name w:val="Strong_file_3195"/>
    <w:basedOn w:val="103"/>
    <w:qFormat/>
    <w:uiPriority w:val="22"/>
    <w:rPr>
      <w:b/>
      <w:bCs/>
    </w:rPr>
  </w:style>
  <w:style w:type="character" w:customStyle="1" w:styleId="147">
    <w:name w:val="标题 4 Char_file_3193"/>
    <w:basedOn w:val="120"/>
    <w:link w:val="7"/>
    <w:semiHidden/>
    <w:qFormat/>
    <w:uiPriority w:val="9"/>
    <w:rPr>
      <w:rFonts w:ascii="等线 Light" w:hAnsi="等线 Light" w:eastAsia="等线 Light" w:cs="Times New Roman"/>
      <w:b/>
      <w:bCs/>
      <w:sz w:val="28"/>
      <w:szCs w:val="28"/>
    </w:rPr>
  </w:style>
  <w:style w:type="character" w:customStyle="1" w:styleId="148">
    <w:name w:val="正文文本缩进 3 Char2"/>
    <w:semiHidden/>
    <w:qFormat/>
    <w:uiPriority w:val="99"/>
    <w:rPr>
      <w:kern w:val="2"/>
      <w:sz w:val="16"/>
      <w:szCs w:val="16"/>
    </w:rPr>
  </w:style>
  <w:style w:type="character" w:customStyle="1" w:styleId="149">
    <w:name w:val="Hyperlink_file_3197"/>
    <w:basedOn w:val="141"/>
    <w:unhideWhenUsed/>
    <w:qFormat/>
    <w:uiPriority w:val="99"/>
    <w:rPr>
      <w:color w:val="0782C1"/>
      <w:u w:val="single"/>
    </w:rPr>
  </w:style>
  <w:style w:type="character" w:customStyle="1" w:styleId="150">
    <w:name w:val="页脚 字符_file_3194"/>
    <w:basedOn w:val="90"/>
    <w:qFormat/>
    <w:uiPriority w:val="99"/>
    <w:rPr>
      <w:sz w:val="18"/>
      <w:szCs w:val="18"/>
    </w:rPr>
  </w:style>
  <w:style w:type="character" w:customStyle="1" w:styleId="151">
    <w:name w:val="标题 5 Char_file_3193"/>
    <w:basedOn w:val="120"/>
    <w:link w:val="8"/>
    <w:semiHidden/>
    <w:qFormat/>
    <w:uiPriority w:val="9"/>
    <w:rPr>
      <w:rFonts w:ascii="宋体" w:hAnsi="宋体" w:eastAsia="宋体" w:cs="宋体"/>
      <w:b/>
      <w:bCs/>
      <w:sz w:val="28"/>
      <w:szCs w:val="28"/>
    </w:rPr>
  </w:style>
  <w:style w:type="character" w:customStyle="1" w:styleId="152">
    <w:name w:val="日期 字符"/>
    <w:link w:val="28"/>
    <w:qFormat/>
    <w:uiPriority w:val="0"/>
    <w:rPr>
      <w:kern w:val="2"/>
      <w:sz w:val="24"/>
      <w:szCs w:val="24"/>
    </w:rPr>
  </w:style>
  <w:style w:type="character" w:customStyle="1" w:styleId="153">
    <w:name w:val="标题 1 Char_file_3197"/>
    <w:basedOn w:val="141"/>
    <w:link w:val="4"/>
    <w:qFormat/>
    <w:uiPriority w:val="9"/>
    <w:rPr>
      <w:rFonts w:ascii="宋体" w:hAnsi="宋体" w:eastAsia="宋体" w:cs="宋体"/>
      <w:b/>
      <w:bCs/>
      <w:kern w:val="44"/>
      <w:sz w:val="44"/>
      <w:szCs w:val="44"/>
    </w:rPr>
  </w:style>
  <w:style w:type="character" w:customStyle="1" w:styleId="154">
    <w:name w:val="标题 6 Char_file_3193"/>
    <w:basedOn w:val="120"/>
    <w:link w:val="10"/>
    <w:semiHidden/>
    <w:qFormat/>
    <w:uiPriority w:val="9"/>
    <w:rPr>
      <w:rFonts w:ascii="等线 Light" w:hAnsi="等线 Light" w:eastAsia="等线 Light" w:cs="Times New Roman"/>
      <w:b/>
      <w:bCs/>
      <w:sz w:val="24"/>
      <w:szCs w:val="24"/>
    </w:rPr>
  </w:style>
  <w:style w:type="character" w:customStyle="1" w:styleId="155">
    <w:name w:val="正文文本缩进 3 Char1"/>
    <w:semiHidden/>
    <w:qFormat/>
    <w:uiPriority w:val="99"/>
    <w:rPr>
      <w:rFonts w:ascii="Times New Roman" w:hAnsi="Times New Roman" w:eastAsia="宋体" w:cs="Times New Roman"/>
      <w:sz w:val="16"/>
      <w:szCs w:val="16"/>
    </w:rPr>
  </w:style>
  <w:style w:type="character" w:customStyle="1" w:styleId="156">
    <w:name w:val="FollowedHyperlink_file_3197"/>
    <w:basedOn w:val="141"/>
    <w:unhideWhenUsed/>
    <w:qFormat/>
    <w:uiPriority w:val="99"/>
    <w:rPr>
      <w:color w:val="0782C1"/>
      <w:u w:val="single"/>
    </w:rPr>
  </w:style>
  <w:style w:type="character" w:customStyle="1" w:styleId="157">
    <w:name w:val="普通文字 Char Char4"/>
    <w:qFormat/>
    <w:uiPriority w:val="0"/>
    <w:rPr>
      <w:rFonts w:ascii="宋体" w:hAnsi="Courier New" w:eastAsia="宋体" w:cs="Courier New"/>
      <w:szCs w:val="21"/>
    </w:rPr>
  </w:style>
  <w:style w:type="character" w:customStyle="1" w:styleId="158">
    <w:name w:val="批注框文本 Char1"/>
    <w:semiHidden/>
    <w:qFormat/>
    <w:uiPriority w:val="99"/>
    <w:rPr>
      <w:kern w:val="2"/>
      <w:sz w:val="18"/>
      <w:szCs w:val="18"/>
    </w:rPr>
  </w:style>
  <w:style w:type="character" w:customStyle="1" w:styleId="159">
    <w:name w:val="text1"/>
    <w:basedOn w:val="50"/>
    <w:qFormat/>
    <w:uiPriority w:val="0"/>
  </w:style>
  <w:style w:type="character" w:customStyle="1" w:styleId="160">
    <w:name w:val="标题 2 Char_file_3197"/>
    <w:basedOn w:val="141"/>
    <w:link w:val="5"/>
    <w:semiHidden/>
    <w:qFormat/>
    <w:uiPriority w:val="9"/>
    <w:rPr>
      <w:rFonts w:ascii="等线 Light" w:hAnsi="等线 Light" w:eastAsia="等线 Light" w:cs="Times New Roman"/>
      <w:b/>
      <w:bCs/>
      <w:sz w:val="32"/>
      <w:szCs w:val="32"/>
    </w:rPr>
  </w:style>
  <w:style w:type="character" w:customStyle="1" w:styleId="161">
    <w:name w:val="正文文本 2 字符"/>
    <w:link w:val="41"/>
    <w:qFormat/>
    <w:uiPriority w:val="0"/>
    <w:rPr>
      <w:szCs w:val="24"/>
    </w:rPr>
  </w:style>
  <w:style w:type="character" w:customStyle="1" w:styleId="162">
    <w:name w:val="表正文 Char2"/>
    <w:qFormat/>
    <w:uiPriority w:val="0"/>
    <w:rPr>
      <w:rFonts w:ascii="Times New Roman" w:hAnsi="Times New Roman"/>
      <w:kern w:val="2"/>
      <w:sz w:val="21"/>
    </w:rPr>
  </w:style>
  <w:style w:type="character" w:customStyle="1" w:styleId="163">
    <w:name w:val="标题 3 Char_file_3197"/>
    <w:basedOn w:val="141"/>
    <w:link w:val="6"/>
    <w:semiHidden/>
    <w:qFormat/>
    <w:uiPriority w:val="9"/>
    <w:rPr>
      <w:rFonts w:ascii="宋体" w:hAnsi="宋体" w:eastAsia="宋体" w:cs="宋体"/>
      <w:b/>
      <w:bCs/>
      <w:sz w:val="32"/>
      <w:szCs w:val="32"/>
    </w:rPr>
  </w:style>
  <w:style w:type="character" w:customStyle="1" w:styleId="164">
    <w:name w:val="引用 Char2"/>
    <w:qFormat/>
    <w:uiPriority w:val="29"/>
    <w:rPr>
      <w:i/>
      <w:iCs/>
      <w:color w:val="000000"/>
      <w:kern w:val="2"/>
      <w:sz w:val="21"/>
      <w:szCs w:val="24"/>
    </w:rPr>
  </w:style>
  <w:style w:type="character" w:customStyle="1" w:styleId="165">
    <w:name w:val="项目排列 Char Char"/>
    <w:link w:val="166"/>
    <w:qFormat/>
    <w:uiPriority w:val="0"/>
    <w:rPr>
      <w:kern w:val="2"/>
      <w:sz w:val="24"/>
      <w:szCs w:val="24"/>
    </w:rPr>
  </w:style>
  <w:style w:type="paragraph" w:customStyle="1" w:styleId="166">
    <w:name w:val="项目排列"/>
    <w:basedOn w:val="1"/>
    <w:link w:val="165"/>
    <w:qFormat/>
    <w:uiPriority w:val="0"/>
    <w:pPr>
      <w:numPr>
        <w:ilvl w:val="0"/>
        <w:numId w:val="1"/>
      </w:numPr>
      <w:tabs>
        <w:tab w:val="left" w:pos="1200"/>
      </w:tabs>
      <w:spacing w:before="156" w:beforeLines="50" w:after="156" w:afterLines="50" w:line="300" w:lineRule="auto"/>
    </w:pPr>
    <w:rPr>
      <w:sz w:val="24"/>
    </w:rPr>
  </w:style>
  <w:style w:type="character" w:customStyle="1" w:styleId="167">
    <w:name w:val="标题 4 Char_file_3197"/>
    <w:basedOn w:val="141"/>
    <w:link w:val="7"/>
    <w:semiHidden/>
    <w:qFormat/>
    <w:uiPriority w:val="9"/>
    <w:rPr>
      <w:rFonts w:ascii="等线 Light" w:hAnsi="等线 Light" w:eastAsia="等线 Light" w:cs="Times New Roman"/>
      <w:b/>
      <w:bCs/>
      <w:sz w:val="28"/>
      <w:szCs w:val="28"/>
    </w:rPr>
  </w:style>
  <w:style w:type="character" w:customStyle="1" w:styleId="168">
    <w:name w:val="正文文本缩进 3 字符"/>
    <w:link w:val="38"/>
    <w:qFormat/>
    <w:uiPriority w:val="0"/>
    <w:rPr>
      <w:kern w:val="2"/>
      <w:sz w:val="16"/>
      <w:szCs w:val="16"/>
    </w:rPr>
  </w:style>
  <w:style w:type="character" w:customStyle="1" w:styleId="169">
    <w:name w:val="无间隔 字符"/>
    <w:link w:val="170"/>
    <w:qFormat/>
    <w:uiPriority w:val="1"/>
    <w:rPr>
      <w:rFonts w:hAnsi="Courier New"/>
      <w:kern w:val="2"/>
      <w:sz w:val="21"/>
      <w:lang w:val="en-US" w:eastAsia="zh-CN" w:bidi="ar-SA"/>
    </w:rPr>
  </w:style>
  <w:style w:type="paragraph" w:styleId="170">
    <w:name w:val="No Spacing"/>
    <w:link w:val="169"/>
    <w:qFormat/>
    <w:uiPriority w:val="1"/>
    <w:pPr>
      <w:widowControl w:val="0"/>
      <w:jc w:val="both"/>
    </w:pPr>
    <w:rPr>
      <w:rFonts w:ascii="Times New Roman" w:hAnsi="Courier New" w:eastAsia="宋体" w:cs="Times New Roman"/>
      <w:kern w:val="2"/>
      <w:sz w:val="21"/>
      <w:lang w:val="en-US" w:eastAsia="zh-CN" w:bidi="ar-SA"/>
    </w:rPr>
  </w:style>
  <w:style w:type="character" w:customStyle="1" w:styleId="171">
    <w:name w:val="text11"/>
    <w:qFormat/>
    <w:uiPriority w:val="0"/>
    <w:rPr>
      <w:rFonts w:hint="default" w:ascii="Verdana" w:hAnsi="Verdana"/>
      <w:color w:val="4E4E4E"/>
      <w:sz w:val="18"/>
      <w:szCs w:val="18"/>
    </w:rPr>
  </w:style>
  <w:style w:type="character" w:customStyle="1" w:styleId="172">
    <w:name w:val="批注文字 字符1_file_3194"/>
    <w:basedOn w:val="90"/>
    <w:semiHidden/>
    <w:qFormat/>
    <w:uiPriority w:val="99"/>
  </w:style>
  <w:style w:type="character" w:customStyle="1" w:styleId="173">
    <w:name w:val="ca-41"/>
    <w:qFormat/>
    <w:uiPriority w:val="0"/>
    <w:rPr>
      <w:rFonts w:hint="eastAsia" w:ascii="宋体" w:hAnsi="宋体" w:eastAsia="宋体"/>
      <w:color w:val="FF0000"/>
      <w:sz w:val="21"/>
      <w:szCs w:val="21"/>
    </w:rPr>
  </w:style>
  <w:style w:type="character" w:customStyle="1" w:styleId="174">
    <w:name w:val="批注文字 字符"/>
    <w:link w:val="18"/>
    <w:qFormat/>
    <w:uiPriority w:val="99"/>
    <w:rPr>
      <w:kern w:val="2"/>
      <w:sz w:val="21"/>
      <w:szCs w:val="24"/>
    </w:rPr>
  </w:style>
  <w:style w:type="character" w:customStyle="1" w:styleId="175">
    <w:name w:val="Plain Text Char"/>
    <w:qFormat/>
    <w:locked/>
    <w:uiPriority w:val="0"/>
    <w:rPr>
      <w:rFonts w:ascii="宋体" w:hAnsi="Courier New" w:eastAsia="宋体"/>
    </w:rPr>
  </w:style>
  <w:style w:type="character" w:customStyle="1" w:styleId="176">
    <w:name w:val="lmain1"/>
    <w:qFormat/>
    <w:uiPriority w:val="0"/>
    <w:rPr>
      <w:color w:val="407AAB"/>
      <w:sz w:val="30"/>
      <w:szCs w:val="30"/>
    </w:rPr>
  </w:style>
  <w:style w:type="character" w:customStyle="1" w:styleId="177">
    <w:name w:val="case31"/>
    <w:qFormat/>
    <w:uiPriority w:val="0"/>
    <w:rPr>
      <w:rFonts w:hint="default"/>
      <w:sz w:val="21"/>
      <w:szCs w:val="21"/>
    </w:rPr>
  </w:style>
  <w:style w:type="character" w:customStyle="1" w:styleId="178">
    <w:name w:val="ca-11"/>
    <w:qFormat/>
    <w:uiPriority w:val="0"/>
    <w:rPr>
      <w:rFonts w:hint="eastAsia" w:ascii="宋体" w:hAnsi="宋体" w:eastAsia="宋体"/>
      <w:b/>
      <w:bCs/>
      <w:spacing w:val="-20"/>
      <w:sz w:val="21"/>
      <w:szCs w:val="21"/>
    </w:rPr>
  </w:style>
  <w:style w:type="character" w:customStyle="1" w:styleId="179">
    <w:name w:val="f161"/>
    <w:qFormat/>
    <w:uiPriority w:val="0"/>
    <w:rPr>
      <w:b/>
      <w:bCs/>
      <w:sz w:val="24"/>
      <w:szCs w:val="24"/>
    </w:rPr>
  </w:style>
  <w:style w:type="character" w:customStyle="1" w:styleId="180">
    <w:name w:val="标题 4 字符"/>
    <w:link w:val="7"/>
    <w:qFormat/>
    <w:uiPriority w:val="0"/>
    <w:rPr>
      <w:rFonts w:ascii="Arial" w:hAnsi="Arial" w:eastAsia="黑体"/>
      <w:b/>
      <w:bCs/>
      <w:kern w:val="2"/>
      <w:sz w:val="28"/>
      <w:szCs w:val="28"/>
    </w:rPr>
  </w:style>
  <w:style w:type="character" w:customStyle="1" w:styleId="181">
    <w:name w:val="正文文本 2 Char2"/>
    <w:qFormat/>
    <w:uiPriority w:val="99"/>
    <w:rPr>
      <w:kern w:val="2"/>
      <w:sz w:val="21"/>
      <w:szCs w:val="24"/>
    </w:rPr>
  </w:style>
  <w:style w:type="character" w:customStyle="1" w:styleId="182">
    <w:name w:val="style1"/>
    <w:basedOn w:val="50"/>
    <w:qFormat/>
    <w:uiPriority w:val="0"/>
  </w:style>
  <w:style w:type="character" w:customStyle="1" w:styleId="183">
    <w:name w:val="ca-21"/>
    <w:qFormat/>
    <w:uiPriority w:val="0"/>
    <w:rPr>
      <w:rFonts w:hint="eastAsia" w:ascii="宋体" w:hAnsi="宋体" w:eastAsia="宋体"/>
      <w:sz w:val="21"/>
      <w:szCs w:val="21"/>
    </w:rPr>
  </w:style>
  <w:style w:type="character" w:customStyle="1" w:styleId="184">
    <w:name w:val="HTML 预设格式 字符"/>
    <w:link w:val="42"/>
    <w:qFormat/>
    <w:uiPriority w:val="99"/>
    <w:rPr>
      <w:rFonts w:ascii="宋体" w:hAnsi="宋体" w:cs="宋体"/>
      <w:sz w:val="24"/>
      <w:szCs w:val="24"/>
    </w:rPr>
  </w:style>
  <w:style w:type="character" w:customStyle="1" w:styleId="185">
    <w:name w:val="Char Char11"/>
    <w:qFormat/>
    <w:uiPriority w:val="0"/>
    <w:rPr>
      <w:rFonts w:ascii="宋体" w:hAnsi="Courier New" w:eastAsia="宋体" w:cs="Courier New"/>
      <w:szCs w:val="21"/>
    </w:rPr>
  </w:style>
  <w:style w:type="character" w:customStyle="1" w:styleId="186">
    <w:name w:val="日期 Char2"/>
    <w:semiHidden/>
    <w:qFormat/>
    <w:uiPriority w:val="99"/>
    <w:rPr>
      <w:kern w:val="2"/>
      <w:sz w:val="21"/>
      <w:szCs w:val="24"/>
    </w:rPr>
  </w:style>
  <w:style w:type="character" w:customStyle="1" w:styleId="187">
    <w:name w:val="hei16b"/>
    <w:basedOn w:val="50"/>
    <w:qFormat/>
    <w:uiPriority w:val="0"/>
  </w:style>
  <w:style w:type="character" w:customStyle="1" w:styleId="188">
    <w:name w:val="标题 1 字符"/>
    <w:link w:val="4"/>
    <w:qFormat/>
    <w:uiPriority w:val="0"/>
    <w:rPr>
      <w:b/>
      <w:bCs/>
      <w:kern w:val="44"/>
      <w:sz w:val="44"/>
      <w:szCs w:val="44"/>
    </w:rPr>
  </w:style>
  <w:style w:type="character" w:customStyle="1" w:styleId="189">
    <w:name w:val="Hyperlink_file_3196"/>
    <w:basedOn w:val="71"/>
    <w:unhideWhenUsed/>
    <w:qFormat/>
    <w:uiPriority w:val="99"/>
    <w:rPr>
      <w:color w:val="0782C1"/>
      <w:u w:val="single"/>
    </w:rPr>
  </w:style>
  <w:style w:type="character" w:customStyle="1" w:styleId="190">
    <w:name w:val="页眉 Char1"/>
    <w:semiHidden/>
    <w:qFormat/>
    <w:uiPriority w:val="99"/>
    <w:rPr>
      <w:kern w:val="2"/>
      <w:sz w:val="18"/>
      <w:szCs w:val="18"/>
    </w:rPr>
  </w:style>
  <w:style w:type="character" w:customStyle="1" w:styleId="191">
    <w:name w:val="标题 1 Char_file_3196"/>
    <w:basedOn w:val="71"/>
    <w:link w:val="4"/>
    <w:qFormat/>
    <w:uiPriority w:val="9"/>
    <w:rPr>
      <w:rFonts w:ascii="宋体" w:hAnsi="宋体" w:eastAsia="宋体" w:cs="宋体"/>
      <w:b/>
      <w:bCs/>
      <w:kern w:val="44"/>
      <w:sz w:val="44"/>
      <w:szCs w:val="44"/>
    </w:rPr>
  </w:style>
  <w:style w:type="character" w:customStyle="1" w:styleId="192">
    <w:name w:val="正文缩进 Char1"/>
    <w:qFormat/>
    <w:uiPriority w:val="0"/>
    <w:rPr>
      <w:rFonts w:ascii="Times New Roman" w:hAnsi="Times New Roman"/>
      <w:kern w:val="2"/>
      <w:sz w:val="21"/>
    </w:rPr>
  </w:style>
  <w:style w:type="character" w:customStyle="1" w:styleId="193">
    <w:name w:val="FollowedHyperlink_file_3196"/>
    <w:basedOn w:val="71"/>
    <w:unhideWhenUsed/>
    <w:qFormat/>
    <w:uiPriority w:val="99"/>
    <w:rPr>
      <w:color w:val="0782C1"/>
      <w:u w:val="single"/>
    </w:rPr>
  </w:style>
  <w:style w:type="character" w:customStyle="1" w:styleId="194">
    <w:name w:val="font12-blue-bold1"/>
    <w:qFormat/>
    <w:uiPriority w:val="0"/>
    <w:rPr>
      <w:b/>
      <w:bCs/>
      <w:color w:val="0249A5"/>
      <w:sz w:val="14"/>
      <w:szCs w:val="14"/>
      <w:u w:val="none"/>
    </w:rPr>
  </w:style>
  <w:style w:type="character" w:customStyle="1" w:styleId="195">
    <w:name w:val="正文文本 字符"/>
    <w:link w:val="20"/>
    <w:qFormat/>
    <w:uiPriority w:val="0"/>
    <w:rPr>
      <w:kern w:val="2"/>
      <w:sz w:val="24"/>
      <w:szCs w:val="24"/>
    </w:rPr>
  </w:style>
  <w:style w:type="character" w:customStyle="1" w:styleId="196">
    <w:name w:val="标题 2 Char_file_3196"/>
    <w:basedOn w:val="71"/>
    <w:link w:val="5"/>
    <w:semiHidden/>
    <w:qFormat/>
    <w:uiPriority w:val="9"/>
    <w:rPr>
      <w:rFonts w:ascii="等线 Light" w:hAnsi="等线 Light" w:eastAsia="等线 Light" w:cs="Times New Roman"/>
      <w:b/>
      <w:bCs/>
      <w:sz w:val="32"/>
      <w:szCs w:val="32"/>
    </w:rPr>
  </w:style>
  <w:style w:type="character" w:customStyle="1" w:styleId="197">
    <w:name w:val="Body Text Indent 3 Char"/>
    <w:qFormat/>
    <w:locked/>
    <w:uiPriority w:val="99"/>
    <w:rPr>
      <w:rFonts w:eastAsia="宋体"/>
      <w:sz w:val="16"/>
    </w:rPr>
  </w:style>
  <w:style w:type="character" w:customStyle="1" w:styleId="198">
    <w:name w:val="标题 3 Char_file_3196"/>
    <w:basedOn w:val="71"/>
    <w:link w:val="6"/>
    <w:semiHidden/>
    <w:qFormat/>
    <w:uiPriority w:val="9"/>
    <w:rPr>
      <w:rFonts w:ascii="宋体" w:hAnsi="宋体" w:eastAsia="宋体" w:cs="宋体"/>
      <w:b/>
      <w:bCs/>
      <w:sz w:val="32"/>
      <w:szCs w:val="32"/>
    </w:rPr>
  </w:style>
  <w:style w:type="character" w:customStyle="1" w:styleId="199">
    <w:name w:val="批注主题 字符"/>
    <w:link w:val="46"/>
    <w:qFormat/>
    <w:uiPriority w:val="0"/>
    <w:rPr>
      <w:b/>
      <w:bCs/>
      <w:kern w:val="2"/>
      <w:sz w:val="21"/>
      <w:szCs w:val="24"/>
    </w:rPr>
  </w:style>
  <w:style w:type="character" w:customStyle="1" w:styleId="200">
    <w:name w:val="标题 4 Char_file_3196"/>
    <w:basedOn w:val="71"/>
    <w:link w:val="7"/>
    <w:semiHidden/>
    <w:qFormat/>
    <w:uiPriority w:val="9"/>
    <w:rPr>
      <w:rFonts w:ascii="等线 Light" w:hAnsi="等线 Light" w:eastAsia="等线 Light" w:cs="Times New Roman"/>
      <w:b/>
      <w:bCs/>
      <w:sz w:val="28"/>
      <w:szCs w:val="28"/>
    </w:rPr>
  </w:style>
  <w:style w:type="character" w:customStyle="1" w:styleId="201">
    <w:name w:val="bold1"/>
    <w:qFormat/>
    <w:uiPriority w:val="0"/>
    <w:rPr>
      <w:rFonts w:hint="default"/>
      <w:b/>
      <w:bCs/>
      <w:color w:val="000000"/>
      <w:sz w:val="18"/>
      <w:szCs w:val="18"/>
    </w:rPr>
  </w:style>
  <w:style w:type="character" w:customStyle="1" w:styleId="202">
    <w:name w:val="Char Char4"/>
    <w:semiHidden/>
    <w:qFormat/>
    <w:uiPriority w:val="0"/>
    <w:rPr>
      <w:rFonts w:ascii="Times New Roman" w:hAnsi="Times New Roman" w:eastAsia="宋体" w:cs="Times New Roman"/>
      <w:sz w:val="16"/>
      <w:szCs w:val="16"/>
    </w:rPr>
  </w:style>
  <w:style w:type="character" w:customStyle="1" w:styleId="203">
    <w:name w:val="文档正文 Char Char"/>
    <w:link w:val="204"/>
    <w:qFormat/>
    <w:locked/>
    <w:uiPriority w:val="0"/>
    <w:rPr>
      <w:rFonts w:ascii="华文细黑" w:hAnsi="华文细黑" w:eastAsia="华文细黑"/>
      <w:color w:val="000000"/>
      <w:sz w:val="24"/>
    </w:rPr>
  </w:style>
  <w:style w:type="paragraph" w:customStyle="1" w:styleId="204">
    <w:name w:val="文档正文"/>
    <w:basedOn w:val="1"/>
    <w:link w:val="203"/>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205">
    <w:name w:val="批注主题 Char1"/>
    <w:qFormat/>
    <w:uiPriority w:val="99"/>
    <w:rPr>
      <w:b/>
      <w:bCs/>
      <w:kern w:val="2"/>
      <w:sz w:val="21"/>
      <w:szCs w:val="24"/>
    </w:rPr>
  </w:style>
  <w:style w:type="character" w:customStyle="1" w:styleId="206">
    <w:name w:val="页眉 字符_file_3194"/>
    <w:basedOn w:val="90"/>
    <w:qFormat/>
    <w:uiPriority w:val="99"/>
    <w:rPr>
      <w:sz w:val="18"/>
      <w:szCs w:val="18"/>
    </w:rPr>
  </w:style>
  <w:style w:type="character" w:customStyle="1" w:styleId="207">
    <w:name w:val="标题3 Char Char"/>
    <w:link w:val="208"/>
    <w:qFormat/>
    <w:uiPriority w:val="0"/>
    <w:rPr>
      <w:rFonts w:eastAsia="仿宋_GB2312"/>
      <w:bCs/>
      <w:kern w:val="2"/>
      <w:sz w:val="30"/>
      <w:szCs w:val="32"/>
    </w:rPr>
  </w:style>
  <w:style w:type="paragraph" w:customStyle="1" w:styleId="208">
    <w:name w:val="标题3"/>
    <w:basedOn w:val="6"/>
    <w:link w:val="207"/>
    <w:qFormat/>
    <w:uiPriority w:val="0"/>
    <w:pPr>
      <w:keepNext w:val="0"/>
      <w:keepLines w:val="0"/>
      <w:spacing w:before="0" w:after="0" w:line="360" w:lineRule="auto"/>
    </w:pPr>
    <w:rPr>
      <w:rFonts w:eastAsia="仿宋_GB2312"/>
      <w:b w:val="0"/>
      <w:sz w:val="30"/>
    </w:rPr>
  </w:style>
  <w:style w:type="character" w:customStyle="1" w:styleId="209">
    <w:name w:val="Emphasis_file_3193"/>
    <w:basedOn w:val="120"/>
    <w:qFormat/>
    <w:uiPriority w:val="20"/>
    <w:rPr>
      <w:i/>
      <w:iCs/>
    </w:rPr>
  </w:style>
  <w:style w:type="character" w:customStyle="1" w:styleId="210">
    <w:name w:val="标题 6 Char_file_3197"/>
    <w:basedOn w:val="141"/>
    <w:link w:val="10"/>
    <w:semiHidden/>
    <w:qFormat/>
    <w:uiPriority w:val="9"/>
    <w:rPr>
      <w:rFonts w:ascii="等线 Light" w:hAnsi="等线 Light" w:eastAsia="等线 Light" w:cs="Times New Roman"/>
      <w:b/>
      <w:bCs/>
      <w:sz w:val="24"/>
      <w:szCs w:val="24"/>
    </w:rPr>
  </w:style>
  <w:style w:type="character" w:customStyle="1" w:styleId="211">
    <w:name w:val="标题 5 Char_file_3197"/>
    <w:basedOn w:val="141"/>
    <w:link w:val="8"/>
    <w:semiHidden/>
    <w:qFormat/>
    <w:uiPriority w:val="9"/>
    <w:rPr>
      <w:rFonts w:ascii="宋体" w:hAnsi="宋体" w:eastAsia="宋体" w:cs="宋体"/>
      <w:b/>
      <w:bCs/>
      <w:sz w:val="28"/>
      <w:szCs w:val="28"/>
    </w:rPr>
  </w:style>
  <w:style w:type="character" w:customStyle="1" w:styleId="212">
    <w:name w:val="Default Paragraph Font_file_339"/>
    <w:semiHidden/>
    <w:qFormat/>
    <w:uiPriority w:val="0"/>
  </w:style>
  <w:style w:type="character" w:customStyle="1" w:styleId="213">
    <w:name w:val="标题 6 Char_file_3201"/>
    <w:basedOn w:val="214"/>
    <w:link w:val="10"/>
    <w:semiHidden/>
    <w:qFormat/>
    <w:uiPriority w:val="9"/>
    <w:rPr>
      <w:rFonts w:ascii="等线 Light" w:hAnsi="等线 Light" w:eastAsia="等线 Light" w:cs="Times New Roman"/>
      <w:b/>
      <w:bCs/>
      <w:sz w:val="24"/>
      <w:szCs w:val="24"/>
    </w:rPr>
  </w:style>
  <w:style w:type="character" w:customStyle="1" w:styleId="214">
    <w:name w:val="Default Paragraph Font_file_3201"/>
    <w:unhideWhenUsed/>
    <w:qFormat/>
    <w:uiPriority w:val="1"/>
  </w:style>
  <w:style w:type="character" w:customStyle="1" w:styleId="215">
    <w:name w:val="Default Paragraph Font_file_3198"/>
    <w:unhideWhenUsed/>
    <w:qFormat/>
    <w:uiPriority w:val="1"/>
  </w:style>
  <w:style w:type="character" w:customStyle="1" w:styleId="216">
    <w:name w:val="Hyperlink_file_3198"/>
    <w:basedOn w:val="215"/>
    <w:unhideWhenUsed/>
    <w:qFormat/>
    <w:uiPriority w:val="99"/>
    <w:rPr>
      <w:color w:val="0782C1"/>
      <w:u w:val="single"/>
    </w:rPr>
  </w:style>
  <w:style w:type="character" w:customStyle="1" w:styleId="217">
    <w:name w:val="标题 4 Char_file_3206"/>
    <w:basedOn w:val="218"/>
    <w:link w:val="7"/>
    <w:semiHidden/>
    <w:qFormat/>
    <w:uiPriority w:val="9"/>
    <w:rPr>
      <w:rFonts w:ascii="等线 Light" w:hAnsi="等线 Light" w:eastAsia="等线 Light" w:cs="Times New Roman"/>
      <w:b/>
      <w:bCs/>
      <w:sz w:val="28"/>
      <w:szCs w:val="28"/>
    </w:rPr>
  </w:style>
  <w:style w:type="character" w:customStyle="1" w:styleId="218">
    <w:name w:val="Default Paragraph Font_file_3206"/>
    <w:unhideWhenUsed/>
    <w:qFormat/>
    <w:uiPriority w:val="1"/>
  </w:style>
  <w:style w:type="character" w:customStyle="1" w:styleId="219">
    <w:name w:val="Default Paragraph Font_file_3203"/>
    <w:unhideWhenUsed/>
    <w:qFormat/>
    <w:uiPriority w:val="1"/>
  </w:style>
  <w:style w:type="character" w:customStyle="1" w:styleId="220">
    <w:name w:val="FollowedHyperlink_file_3198"/>
    <w:basedOn w:val="215"/>
    <w:unhideWhenUsed/>
    <w:qFormat/>
    <w:uiPriority w:val="99"/>
    <w:rPr>
      <w:color w:val="0782C1"/>
      <w:u w:val="single"/>
    </w:rPr>
  </w:style>
  <w:style w:type="character" w:customStyle="1" w:styleId="221">
    <w:name w:val="标题 1 Char_file_3198"/>
    <w:basedOn w:val="215"/>
    <w:link w:val="4"/>
    <w:qFormat/>
    <w:uiPriority w:val="9"/>
    <w:rPr>
      <w:rFonts w:ascii="宋体" w:hAnsi="宋体" w:eastAsia="宋体" w:cs="宋体"/>
      <w:b/>
      <w:bCs/>
      <w:kern w:val="44"/>
      <w:sz w:val="44"/>
      <w:szCs w:val="44"/>
    </w:rPr>
  </w:style>
  <w:style w:type="character" w:customStyle="1" w:styleId="222">
    <w:name w:val="标题 6 Char_file_3209"/>
    <w:basedOn w:val="223"/>
    <w:link w:val="10"/>
    <w:semiHidden/>
    <w:qFormat/>
    <w:uiPriority w:val="9"/>
    <w:rPr>
      <w:rFonts w:ascii="等线 Light" w:hAnsi="等线 Light" w:eastAsia="等线 Light" w:cs="Times New Roman"/>
      <w:b/>
      <w:bCs/>
      <w:sz w:val="24"/>
      <w:szCs w:val="24"/>
    </w:rPr>
  </w:style>
  <w:style w:type="character" w:customStyle="1" w:styleId="223">
    <w:name w:val="Default Paragraph Font_file_3209"/>
    <w:unhideWhenUsed/>
    <w:qFormat/>
    <w:uiPriority w:val="1"/>
  </w:style>
  <w:style w:type="character" w:customStyle="1" w:styleId="224">
    <w:name w:val="标题 2 Char_file_3198"/>
    <w:basedOn w:val="215"/>
    <w:link w:val="5"/>
    <w:semiHidden/>
    <w:qFormat/>
    <w:uiPriority w:val="9"/>
    <w:rPr>
      <w:rFonts w:ascii="等线 Light" w:hAnsi="等线 Light" w:eastAsia="等线 Light" w:cs="Times New Roman"/>
      <w:b/>
      <w:bCs/>
      <w:sz w:val="32"/>
      <w:szCs w:val="32"/>
    </w:rPr>
  </w:style>
  <w:style w:type="character" w:customStyle="1" w:styleId="225">
    <w:name w:val="标题 3 Char_file_3206"/>
    <w:basedOn w:val="218"/>
    <w:link w:val="6"/>
    <w:semiHidden/>
    <w:qFormat/>
    <w:uiPriority w:val="9"/>
    <w:rPr>
      <w:rFonts w:ascii="宋体" w:hAnsi="宋体" w:eastAsia="宋体" w:cs="宋体"/>
      <w:b/>
      <w:bCs/>
      <w:sz w:val="32"/>
      <w:szCs w:val="32"/>
    </w:rPr>
  </w:style>
  <w:style w:type="character" w:customStyle="1" w:styleId="226">
    <w:name w:val="Hyperlink_file_3203"/>
    <w:basedOn w:val="219"/>
    <w:unhideWhenUsed/>
    <w:qFormat/>
    <w:uiPriority w:val="99"/>
    <w:rPr>
      <w:color w:val="0782C1"/>
      <w:u w:val="single"/>
    </w:rPr>
  </w:style>
  <w:style w:type="character" w:customStyle="1" w:styleId="227">
    <w:name w:val="标题 3 Char_file_3198"/>
    <w:basedOn w:val="215"/>
    <w:link w:val="6"/>
    <w:semiHidden/>
    <w:qFormat/>
    <w:uiPriority w:val="9"/>
    <w:rPr>
      <w:rFonts w:ascii="宋体" w:hAnsi="宋体" w:eastAsia="宋体" w:cs="宋体"/>
      <w:b/>
      <w:bCs/>
      <w:sz w:val="32"/>
      <w:szCs w:val="32"/>
    </w:rPr>
  </w:style>
  <w:style w:type="character" w:customStyle="1" w:styleId="228">
    <w:name w:val="标题 1 Char_file_3203"/>
    <w:basedOn w:val="219"/>
    <w:link w:val="4"/>
    <w:qFormat/>
    <w:uiPriority w:val="9"/>
    <w:rPr>
      <w:rFonts w:ascii="宋体" w:hAnsi="宋体" w:eastAsia="宋体" w:cs="宋体"/>
      <w:b/>
      <w:bCs/>
      <w:kern w:val="44"/>
      <w:sz w:val="44"/>
      <w:szCs w:val="44"/>
    </w:rPr>
  </w:style>
  <w:style w:type="character" w:customStyle="1" w:styleId="229">
    <w:name w:val="标题 4 Char_file_3198"/>
    <w:basedOn w:val="215"/>
    <w:link w:val="7"/>
    <w:semiHidden/>
    <w:qFormat/>
    <w:uiPriority w:val="9"/>
    <w:rPr>
      <w:rFonts w:ascii="等线 Light" w:hAnsi="等线 Light" w:eastAsia="等线 Light" w:cs="Times New Roman"/>
      <w:b/>
      <w:bCs/>
      <w:sz w:val="28"/>
      <w:szCs w:val="28"/>
    </w:rPr>
  </w:style>
  <w:style w:type="character" w:customStyle="1" w:styleId="230">
    <w:name w:val="FollowedHyperlink_file_3203"/>
    <w:basedOn w:val="219"/>
    <w:unhideWhenUsed/>
    <w:qFormat/>
    <w:uiPriority w:val="99"/>
    <w:rPr>
      <w:color w:val="0782C1"/>
      <w:u w:val="single"/>
    </w:rPr>
  </w:style>
  <w:style w:type="character" w:customStyle="1" w:styleId="231">
    <w:name w:val="标题 5 Char_file_3198"/>
    <w:basedOn w:val="215"/>
    <w:link w:val="8"/>
    <w:semiHidden/>
    <w:qFormat/>
    <w:uiPriority w:val="9"/>
    <w:rPr>
      <w:rFonts w:ascii="宋体" w:hAnsi="宋体" w:eastAsia="宋体" w:cs="宋体"/>
      <w:b/>
      <w:bCs/>
      <w:sz w:val="28"/>
      <w:szCs w:val="28"/>
    </w:rPr>
  </w:style>
  <w:style w:type="character" w:customStyle="1" w:styleId="232">
    <w:name w:val="标题 2 Char_file_3206"/>
    <w:basedOn w:val="218"/>
    <w:link w:val="5"/>
    <w:semiHidden/>
    <w:qFormat/>
    <w:uiPriority w:val="9"/>
    <w:rPr>
      <w:rFonts w:ascii="等线 Light" w:hAnsi="等线 Light" w:eastAsia="等线 Light" w:cs="Times New Roman"/>
      <w:b/>
      <w:bCs/>
      <w:sz w:val="32"/>
      <w:szCs w:val="32"/>
    </w:rPr>
  </w:style>
  <w:style w:type="character" w:customStyle="1" w:styleId="233">
    <w:name w:val="标题 5 Char_file_3205"/>
    <w:basedOn w:val="234"/>
    <w:link w:val="8"/>
    <w:semiHidden/>
    <w:qFormat/>
    <w:uiPriority w:val="9"/>
    <w:rPr>
      <w:rFonts w:ascii="宋体" w:hAnsi="宋体" w:eastAsia="宋体" w:cs="宋体"/>
      <w:b/>
      <w:bCs/>
      <w:sz w:val="28"/>
      <w:szCs w:val="28"/>
    </w:rPr>
  </w:style>
  <w:style w:type="character" w:customStyle="1" w:styleId="234">
    <w:name w:val="Default Paragraph Font_file_3205"/>
    <w:unhideWhenUsed/>
    <w:qFormat/>
    <w:uiPriority w:val="1"/>
  </w:style>
  <w:style w:type="character" w:customStyle="1" w:styleId="235">
    <w:name w:val="标题 6 Char_file_3198"/>
    <w:basedOn w:val="215"/>
    <w:link w:val="10"/>
    <w:semiHidden/>
    <w:qFormat/>
    <w:uiPriority w:val="9"/>
    <w:rPr>
      <w:rFonts w:ascii="等线 Light" w:hAnsi="等线 Light" w:eastAsia="等线 Light" w:cs="Times New Roman"/>
      <w:b/>
      <w:bCs/>
      <w:sz w:val="24"/>
      <w:szCs w:val="24"/>
    </w:rPr>
  </w:style>
  <w:style w:type="character" w:customStyle="1" w:styleId="236">
    <w:name w:val="标题 2 Char_file_3203"/>
    <w:basedOn w:val="219"/>
    <w:link w:val="5"/>
    <w:semiHidden/>
    <w:qFormat/>
    <w:uiPriority w:val="9"/>
    <w:rPr>
      <w:rFonts w:ascii="等线 Light" w:hAnsi="等线 Light" w:eastAsia="等线 Light" w:cs="Times New Roman"/>
      <w:b/>
      <w:bCs/>
      <w:sz w:val="32"/>
      <w:szCs w:val="32"/>
    </w:rPr>
  </w:style>
  <w:style w:type="character" w:customStyle="1" w:styleId="237">
    <w:name w:val="Default Paragraph Font_file_3200"/>
    <w:unhideWhenUsed/>
    <w:qFormat/>
    <w:uiPriority w:val="1"/>
  </w:style>
  <w:style w:type="character" w:customStyle="1" w:styleId="238">
    <w:name w:val="标题 3 Char_file_3203"/>
    <w:basedOn w:val="219"/>
    <w:link w:val="6"/>
    <w:semiHidden/>
    <w:qFormat/>
    <w:uiPriority w:val="9"/>
    <w:rPr>
      <w:rFonts w:ascii="宋体" w:hAnsi="宋体" w:eastAsia="宋体" w:cs="宋体"/>
      <w:b/>
      <w:bCs/>
      <w:sz w:val="32"/>
      <w:szCs w:val="32"/>
    </w:rPr>
  </w:style>
  <w:style w:type="character" w:customStyle="1" w:styleId="239">
    <w:name w:val="标题 6 Char_file_3203"/>
    <w:basedOn w:val="219"/>
    <w:link w:val="10"/>
    <w:semiHidden/>
    <w:qFormat/>
    <w:uiPriority w:val="9"/>
    <w:rPr>
      <w:rFonts w:ascii="等线 Light" w:hAnsi="等线 Light" w:eastAsia="等线 Light" w:cs="Times New Roman"/>
      <w:b/>
      <w:bCs/>
      <w:sz w:val="24"/>
      <w:szCs w:val="24"/>
    </w:rPr>
  </w:style>
  <w:style w:type="character" w:customStyle="1" w:styleId="240">
    <w:name w:val="标题 1 Char_file_3200"/>
    <w:basedOn w:val="237"/>
    <w:link w:val="4"/>
    <w:qFormat/>
    <w:uiPriority w:val="9"/>
    <w:rPr>
      <w:rFonts w:ascii="宋体" w:hAnsi="宋体" w:eastAsia="宋体" w:cs="宋体"/>
      <w:b/>
      <w:bCs/>
      <w:kern w:val="44"/>
      <w:sz w:val="44"/>
      <w:szCs w:val="44"/>
    </w:rPr>
  </w:style>
  <w:style w:type="character" w:customStyle="1" w:styleId="241">
    <w:name w:val="ca-21_file_338"/>
    <w:basedOn w:val="242"/>
    <w:qFormat/>
    <w:uiPriority w:val="0"/>
    <w:rPr>
      <w:rFonts w:ascii="宋体" w:hAnsi="宋体" w:eastAsia="宋体"/>
      <w:w w:val="100"/>
      <w:sz w:val="21"/>
      <w:szCs w:val="21"/>
      <w:shd w:val="clear" w:color="auto" w:fill="auto"/>
    </w:rPr>
  </w:style>
  <w:style w:type="character" w:customStyle="1" w:styleId="242">
    <w:name w:val="Default Paragraph Font_file_338"/>
    <w:semiHidden/>
    <w:qFormat/>
    <w:uiPriority w:val="0"/>
  </w:style>
  <w:style w:type="character" w:customStyle="1" w:styleId="243">
    <w:name w:val="标题 2 Char_file_3200"/>
    <w:basedOn w:val="237"/>
    <w:link w:val="5"/>
    <w:semiHidden/>
    <w:qFormat/>
    <w:uiPriority w:val="9"/>
    <w:rPr>
      <w:rFonts w:ascii="等线 Light" w:hAnsi="等线 Light" w:eastAsia="等线 Light" w:cs="Times New Roman"/>
      <w:b/>
      <w:bCs/>
      <w:sz w:val="32"/>
      <w:szCs w:val="32"/>
    </w:rPr>
  </w:style>
  <w:style w:type="character" w:customStyle="1" w:styleId="244">
    <w:name w:val="标题 5 Char_file_3200"/>
    <w:basedOn w:val="237"/>
    <w:link w:val="8"/>
    <w:semiHidden/>
    <w:qFormat/>
    <w:uiPriority w:val="9"/>
    <w:rPr>
      <w:rFonts w:ascii="宋体" w:hAnsi="宋体" w:eastAsia="宋体" w:cs="宋体"/>
      <w:b/>
      <w:bCs/>
      <w:sz w:val="28"/>
      <w:szCs w:val="28"/>
    </w:rPr>
  </w:style>
  <w:style w:type="character" w:customStyle="1" w:styleId="245">
    <w:name w:val="标题 1 Char_file_3205"/>
    <w:basedOn w:val="234"/>
    <w:link w:val="4"/>
    <w:qFormat/>
    <w:uiPriority w:val="9"/>
    <w:rPr>
      <w:rFonts w:ascii="宋体" w:hAnsi="宋体" w:eastAsia="宋体" w:cs="宋体"/>
      <w:b/>
      <w:bCs/>
      <w:kern w:val="44"/>
      <w:sz w:val="44"/>
      <w:szCs w:val="44"/>
    </w:rPr>
  </w:style>
  <w:style w:type="character" w:customStyle="1" w:styleId="246">
    <w:name w:val="标题 2 Char_file_3205"/>
    <w:basedOn w:val="234"/>
    <w:link w:val="5"/>
    <w:semiHidden/>
    <w:qFormat/>
    <w:uiPriority w:val="9"/>
    <w:rPr>
      <w:rFonts w:ascii="等线 Light" w:hAnsi="等线 Light" w:eastAsia="等线 Light" w:cs="Times New Roman"/>
      <w:b/>
      <w:bCs/>
      <w:sz w:val="32"/>
      <w:szCs w:val="32"/>
    </w:rPr>
  </w:style>
  <w:style w:type="character" w:customStyle="1" w:styleId="247">
    <w:name w:val="Strong_file_3200"/>
    <w:basedOn w:val="237"/>
    <w:qFormat/>
    <w:uiPriority w:val="22"/>
    <w:rPr>
      <w:b/>
      <w:bCs/>
    </w:rPr>
  </w:style>
  <w:style w:type="character" w:customStyle="1" w:styleId="248">
    <w:name w:val="FollowedHyperlink_file_3202"/>
    <w:basedOn w:val="249"/>
    <w:unhideWhenUsed/>
    <w:qFormat/>
    <w:uiPriority w:val="99"/>
    <w:rPr>
      <w:color w:val="0782C1"/>
      <w:u w:val="single"/>
    </w:rPr>
  </w:style>
  <w:style w:type="character" w:customStyle="1" w:styleId="249">
    <w:name w:val="Default Paragraph Font_file_3202"/>
    <w:unhideWhenUsed/>
    <w:qFormat/>
    <w:uiPriority w:val="1"/>
  </w:style>
  <w:style w:type="character" w:customStyle="1" w:styleId="250">
    <w:name w:val="Strong_file_333"/>
    <w:basedOn w:val="251"/>
    <w:qFormat/>
    <w:uiPriority w:val="22"/>
    <w:rPr>
      <w:b/>
      <w:bCs/>
    </w:rPr>
  </w:style>
  <w:style w:type="character" w:customStyle="1" w:styleId="251">
    <w:name w:val="Default Paragraph Font_file_333"/>
    <w:unhideWhenUsed/>
    <w:qFormat/>
    <w:uiPriority w:val="1"/>
  </w:style>
  <w:style w:type="character" w:customStyle="1" w:styleId="252">
    <w:name w:val="标题 4 Char_file_3200"/>
    <w:basedOn w:val="237"/>
    <w:link w:val="7"/>
    <w:semiHidden/>
    <w:qFormat/>
    <w:uiPriority w:val="9"/>
    <w:rPr>
      <w:rFonts w:ascii="等线 Light" w:hAnsi="等线 Light" w:eastAsia="等线 Light" w:cs="Times New Roman"/>
      <w:b/>
      <w:bCs/>
      <w:sz w:val="28"/>
      <w:szCs w:val="28"/>
    </w:rPr>
  </w:style>
  <w:style w:type="character" w:customStyle="1" w:styleId="253">
    <w:name w:val="Default Paragraph Font_file_3199"/>
    <w:unhideWhenUsed/>
    <w:qFormat/>
    <w:uiPriority w:val="1"/>
  </w:style>
  <w:style w:type="character" w:customStyle="1" w:styleId="254">
    <w:name w:val="标题 5 Char_file_3206"/>
    <w:basedOn w:val="218"/>
    <w:link w:val="8"/>
    <w:semiHidden/>
    <w:qFormat/>
    <w:uiPriority w:val="9"/>
    <w:rPr>
      <w:rFonts w:ascii="宋体" w:hAnsi="宋体" w:eastAsia="宋体" w:cs="宋体"/>
      <w:b/>
      <w:bCs/>
      <w:sz w:val="28"/>
      <w:szCs w:val="28"/>
    </w:rPr>
  </w:style>
  <w:style w:type="character" w:customStyle="1" w:styleId="255">
    <w:name w:val="Hyperlink_file_3199"/>
    <w:basedOn w:val="253"/>
    <w:unhideWhenUsed/>
    <w:qFormat/>
    <w:uiPriority w:val="99"/>
    <w:rPr>
      <w:color w:val="0782C1"/>
      <w:u w:val="single"/>
    </w:rPr>
  </w:style>
  <w:style w:type="character" w:customStyle="1" w:styleId="256">
    <w:name w:val="标题 6 Char_file_3202"/>
    <w:basedOn w:val="249"/>
    <w:link w:val="10"/>
    <w:semiHidden/>
    <w:qFormat/>
    <w:uiPriority w:val="9"/>
    <w:rPr>
      <w:rFonts w:ascii="等线 Light" w:hAnsi="等线 Light" w:eastAsia="等线 Light" w:cs="Times New Roman"/>
      <w:b/>
      <w:bCs/>
      <w:sz w:val="24"/>
      <w:szCs w:val="24"/>
    </w:rPr>
  </w:style>
  <w:style w:type="character" w:customStyle="1" w:styleId="257">
    <w:name w:val="FollowedHyperlink_file_3199"/>
    <w:basedOn w:val="253"/>
    <w:unhideWhenUsed/>
    <w:qFormat/>
    <w:uiPriority w:val="99"/>
    <w:rPr>
      <w:color w:val="0782C1"/>
      <w:u w:val="single"/>
    </w:rPr>
  </w:style>
  <w:style w:type="character" w:customStyle="1" w:styleId="258">
    <w:name w:val="标题 5 Char_file_3202"/>
    <w:basedOn w:val="249"/>
    <w:link w:val="8"/>
    <w:semiHidden/>
    <w:qFormat/>
    <w:uiPriority w:val="9"/>
    <w:rPr>
      <w:rFonts w:ascii="宋体" w:hAnsi="宋体" w:eastAsia="宋体" w:cs="宋体"/>
      <w:b/>
      <w:bCs/>
      <w:sz w:val="28"/>
      <w:szCs w:val="28"/>
    </w:rPr>
  </w:style>
  <w:style w:type="character" w:customStyle="1" w:styleId="259">
    <w:name w:val="标题 1 Char_file_3199"/>
    <w:basedOn w:val="253"/>
    <w:link w:val="4"/>
    <w:qFormat/>
    <w:uiPriority w:val="9"/>
    <w:rPr>
      <w:rFonts w:ascii="宋体" w:hAnsi="宋体" w:eastAsia="宋体" w:cs="宋体"/>
      <w:b/>
      <w:bCs/>
      <w:kern w:val="44"/>
      <w:sz w:val="44"/>
      <w:szCs w:val="44"/>
    </w:rPr>
  </w:style>
  <w:style w:type="character" w:customStyle="1" w:styleId="260">
    <w:name w:val="Strong_file_3835"/>
    <w:basedOn w:val="261"/>
    <w:qFormat/>
    <w:uiPriority w:val="22"/>
    <w:rPr>
      <w:b/>
      <w:bCs/>
    </w:rPr>
  </w:style>
  <w:style w:type="character" w:customStyle="1" w:styleId="261">
    <w:name w:val="Default Paragraph Font_file_3835"/>
    <w:unhideWhenUsed/>
    <w:qFormat/>
    <w:uiPriority w:val="1"/>
  </w:style>
  <w:style w:type="character" w:customStyle="1" w:styleId="262">
    <w:name w:val="标题 2 Char_file_3199"/>
    <w:basedOn w:val="253"/>
    <w:link w:val="5"/>
    <w:semiHidden/>
    <w:qFormat/>
    <w:uiPriority w:val="9"/>
    <w:rPr>
      <w:rFonts w:ascii="等线 Light" w:hAnsi="等线 Light" w:eastAsia="等线 Light" w:cs="Times New Roman"/>
      <w:b/>
      <w:bCs/>
      <w:sz w:val="32"/>
      <w:szCs w:val="32"/>
    </w:rPr>
  </w:style>
  <w:style w:type="character" w:customStyle="1" w:styleId="263">
    <w:name w:val="标题 3 Char_file_3199"/>
    <w:basedOn w:val="253"/>
    <w:link w:val="6"/>
    <w:semiHidden/>
    <w:qFormat/>
    <w:uiPriority w:val="9"/>
    <w:rPr>
      <w:rFonts w:ascii="宋体" w:hAnsi="宋体" w:eastAsia="宋体" w:cs="宋体"/>
      <w:b/>
      <w:bCs/>
      <w:sz w:val="32"/>
      <w:szCs w:val="32"/>
    </w:rPr>
  </w:style>
  <w:style w:type="character" w:customStyle="1" w:styleId="264">
    <w:name w:val="标题 4 Char_file_3199"/>
    <w:basedOn w:val="253"/>
    <w:link w:val="7"/>
    <w:semiHidden/>
    <w:qFormat/>
    <w:uiPriority w:val="9"/>
    <w:rPr>
      <w:rFonts w:ascii="等线 Light" w:hAnsi="等线 Light" w:eastAsia="等线 Light" w:cs="Times New Roman"/>
      <w:b/>
      <w:bCs/>
      <w:sz w:val="28"/>
      <w:szCs w:val="28"/>
    </w:rPr>
  </w:style>
  <w:style w:type="character" w:customStyle="1" w:styleId="265">
    <w:name w:val="标题 5 Char_file_3199"/>
    <w:basedOn w:val="253"/>
    <w:link w:val="8"/>
    <w:semiHidden/>
    <w:qFormat/>
    <w:uiPriority w:val="9"/>
    <w:rPr>
      <w:rFonts w:ascii="宋体" w:hAnsi="宋体" w:eastAsia="宋体" w:cs="宋体"/>
      <w:b/>
      <w:bCs/>
      <w:sz w:val="28"/>
      <w:szCs w:val="28"/>
    </w:rPr>
  </w:style>
  <w:style w:type="character" w:customStyle="1" w:styleId="266">
    <w:name w:val="标题 6 Char_file_3199"/>
    <w:basedOn w:val="253"/>
    <w:link w:val="10"/>
    <w:semiHidden/>
    <w:qFormat/>
    <w:uiPriority w:val="9"/>
    <w:rPr>
      <w:rFonts w:ascii="等线 Light" w:hAnsi="等线 Light" w:eastAsia="等线 Light" w:cs="Times New Roman"/>
      <w:b/>
      <w:bCs/>
      <w:sz w:val="24"/>
      <w:szCs w:val="24"/>
    </w:rPr>
  </w:style>
  <w:style w:type="character" w:customStyle="1" w:styleId="267">
    <w:name w:val="Hyperlink_file_3204"/>
    <w:basedOn w:val="67"/>
    <w:unhideWhenUsed/>
    <w:qFormat/>
    <w:uiPriority w:val="99"/>
    <w:rPr>
      <w:color w:val="0782C1"/>
      <w:u w:val="single"/>
    </w:rPr>
  </w:style>
  <w:style w:type="character" w:customStyle="1" w:styleId="268">
    <w:name w:val="标题 4 Char_file_3205"/>
    <w:basedOn w:val="234"/>
    <w:link w:val="7"/>
    <w:semiHidden/>
    <w:qFormat/>
    <w:uiPriority w:val="9"/>
    <w:rPr>
      <w:rFonts w:ascii="等线 Light" w:hAnsi="等线 Light" w:eastAsia="等线 Light" w:cs="Times New Roman"/>
      <w:b/>
      <w:bCs/>
      <w:sz w:val="28"/>
      <w:szCs w:val="28"/>
    </w:rPr>
  </w:style>
  <w:style w:type="character" w:customStyle="1" w:styleId="269">
    <w:name w:val="标题 4 Char_file_3204"/>
    <w:basedOn w:val="67"/>
    <w:link w:val="7"/>
    <w:semiHidden/>
    <w:qFormat/>
    <w:uiPriority w:val="9"/>
    <w:rPr>
      <w:rFonts w:ascii="等线 Light" w:hAnsi="等线 Light" w:eastAsia="等线 Light" w:cs="Times New Roman"/>
      <w:b/>
      <w:bCs/>
      <w:sz w:val="28"/>
      <w:szCs w:val="28"/>
    </w:rPr>
  </w:style>
  <w:style w:type="character" w:customStyle="1" w:styleId="270">
    <w:name w:val="Strong_file_3199"/>
    <w:basedOn w:val="253"/>
    <w:qFormat/>
    <w:uiPriority w:val="22"/>
    <w:rPr>
      <w:b/>
      <w:bCs/>
    </w:rPr>
  </w:style>
  <w:style w:type="character" w:customStyle="1" w:styleId="271">
    <w:name w:val="标题 1 Char_file_3201"/>
    <w:basedOn w:val="214"/>
    <w:link w:val="4"/>
    <w:qFormat/>
    <w:uiPriority w:val="9"/>
    <w:rPr>
      <w:rFonts w:ascii="宋体" w:hAnsi="宋体" w:eastAsia="宋体" w:cs="宋体"/>
      <w:b/>
      <w:bCs/>
      <w:kern w:val="44"/>
      <w:sz w:val="44"/>
      <w:szCs w:val="44"/>
    </w:rPr>
  </w:style>
  <w:style w:type="character" w:customStyle="1" w:styleId="272">
    <w:name w:val="FollowedHyperlink_file_3212"/>
    <w:basedOn w:val="273"/>
    <w:unhideWhenUsed/>
    <w:qFormat/>
    <w:uiPriority w:val="99"/>
    <w:rPr>
      <w:color w:val="0782C1"/>
      <w:u w:val="single"/>
    </w:rPr>
  </w:style>
  <w:style w:type="character" w:customStyle="1" w:styleId="273">
    <w:name w:val="Default Paragraph Font_file_3212"/>
    <w:unhideWhenUsed/>
    <w:qFormat/>
    <w:uiPriority w:val="1"/>
  </w:style>
  <w:style w:type="character" w:customStyle="1" w:styleId="274">
    <w:name w:val="FollowedHyperlink_file_3201"/>
    <w:basedOn w:val="214"/>
    <w:unhideWhenUsed/>
    <w:qFormat/>
    <w:uiPriority w:val="99"/>
    <w:rPr>
      <w:color w:val="0782C1"/>
      <w:u w:val="single"/>
    </w:rPr>
  </w:style>
  <w:style w:type="character" w:customStyle="1" w:styleId="275">
    <w:name w:val="ca-21_file_339"/>
    <w:basedOn w:val="212"/>
    <w:qFormat/>
    <w:uiPriority w:val="0"/>
    <w:rPr>
      <w:rFonts w:hint="eastAsia" w:ascii="宋体" w:hAnsi="宋体" w:eastAsia="宋体"/>
      <w:sz w:val="21"/>
      <w:szCs w:val="21"/>
    </w:rPr>
  </w:style>
  <w:style w:type="character" w:customStyle="1" w:styleId="276">
    <w:name w:val="标题 3 Char_file_3201"/>
    <w:basedOn w:val="214"/>
    <w:link w:val="6"/>
    <w:semiHidden/>
    <w:qFormat/>
    <w:uiPriority w:val="9"/>
    <w:rPr>
      <w:rFonts w:ascii="宋体" w:hAnsi="宋体" w:eastAsia="宋体" w:cs="宋体"/>
      <w:b/>
      <w:bCs/>
      <w:sz w:val="32"/>
      <w:szCs w:val="32"/>
    </w:rPr>
  </w:style>
  <w:style w:type="character" w:customStyle="1" w:styleId="277">
    <w:name w:val="标题 4 Char_file_3212"/>
    <w:basedOn w:val="273"/>
    <w:link w:val="7"/>
    <w:semiHidden/>
    <w:qFormat/>
    <w:uiPriority w:val="9"/>
    <w:rPr>
      <w:rFonts w:ascii="等线 Light" w:hAnsi="等线 Light" w:eastAsia="等线 Light" w:cs="Times New Roman"/>
      <w:b/>
      <w:bCs/>
      <w:sz w:val="28"/>
      <w:szCs w:val="28"/>
    </w:rPr>
  </w:style>
  <w:style w:type="character" w:customStyle="1" w:styleId="278">
    <w:name w:val="标题 5 Char_file_3203"/>
    <w:basedOn w:val="219"/>
    <w:link w:val="8"/>
    <w:semiHidden/>
    <w:qFormat/>
    <w:uiPriority w:val="9"/>
    <w:rPr>
      <w:rFonts w:ascii="宋体" w:hAnsi="宋体" w:eastAsia="宋体" w:cs="宋体"/>
      <w:b/>
      <w:bCs/>
      <w:sz w:val="28"/>
      <w:szCs w:val="28"/>
    </w:rPr>
  </w:style>
  <w:style w:type="character" w:customStyle="1" w:styleId="279">
    <w:name w:val="Hyperlink_file_3200"/>
    <w:basedOn w:val="237"/>
    <w:unhideWhenUsed/>
    <w:qFormat/>
    <w:uiPriority w:val="99"/>
    <w:rPr>
      <w:color w:val="0782C1"/>
      <w:u w:val="single"/>
    </w:rPr>
  </w:style>
  <w:style w:type="character" w:customStyle="1" w:styleId="280">
    <w:name w:val="FollowedHyperlink_file_3206"/>
    <w:basedOn w:val="218"/>
    <w:unhideWhenUsed/>
    <w:qFormat/>
    <w:uiPriority w:val="99"/>
    <w:rPr>
      <w:color w:val="0782C1"/>
      <w:u w:val="single"/>
    </w:rPr>
  </w:style>
  <w:style w:type="character" w:customStyle="1" w:styleId="281">
    <w:name w:val="FollowedHyperlink_file_3200"/>
    <w:basedOn w:val="237"/>
    <w:unhideWhenUsed/>
    <w:qFormat/>
    <w:uiPriority w:val="99"/>
    <w:rPr>
      <w:color w:val="0782C1"/>
      <w:u w:val="single"/>
    </w:rPr>
  </w:style>
  <w:style w:type="character" w:customStyle="1" w:styleId="282">
    <w:name w:val="标题 1 Char_file_3206"/>
    <w:basedOn w:val="218"/>
    <w:link w:val="4"/>
    <w:qFormat/>
    <w:uiPriority w:val="9"/>
    <w:rPr>
      <w:rFonts w:ascii="宋体" w:hAnsi="宋体" w:eastAsia="宋体" w:cs="宋体"/>
      <w:b/>
      <w:bCs/>
      <w:kern w:val="44"/>
      <w:sz w:val="44"/>
      <w:szCs w:val="44"/>
    </w:rPr>
  </w:style>
  <w:style w:type="character" w:customStyle="1" w:styleId="283">
    <w:name w:val="标题 3 Char_file_3200"/>
    <w:basedOn w:val="237"/>
    <w:link w:val="6"/>
    <w:semiHidden/>
    <w:qFormat/>
    <w:uiPriority w:val="9"/>
    <w:rPr>
      <w:rFonts w:ascii="宋体" w:hAnsi="宋体" w:eastAsia="宋体" w:cs="宋体"/>
      <w:b/>
      <w:bCs/>
      <w:sz w:val="32"/>
      <w:szCs w:val="32"/>
    </w:rPr>
  </w:style>
  <w:style w:type="character" w:customStyle="1" w:styleId="284">
    <w:name w:val="Hyperlink_file_3206"/>
    <w:basedOn w:val="218"/>
    <w:unhideWhenUsed/>
    <w:qFormat/>
    <w:uiPriority w:val="99"/>
    <w:rPr>
      <w:color w:val="0782C1"/>
      <w:u w:val="single"/>
    </w:rPr>
  </w:style>
  <w:style w:type="character" w:customStyle="1" w:styleId="285">
    <w:name w:val="标题 6 Char_file_3200"/>
    <w:basedOn w:val="237"/>
    <w:link w:val="10"/>
    <w:semiHidden/>
    <w:qFormat/>
    <w:uiPriority w:val="9"/>
    <w:rPr>
      <w:rFonts w:ascii="等线 Light" w:hAnsi="等线 Light" w:eastAsia="等线 Light" w:cs="Times New Roman"/>
      <w:b/>
      <w:bCs/>
      <w:sz w:val="24"/>
      <w:szCs w:val="24"/>
    </w:rPr>
  </w:style>
  <w:style w:type="character" w:customStyle="1" w:styleId="286">
    <w:name w:val="Hyperlink_file_3205"/>
    <w:basedOn w:val="234"/>
    <w:unhideWhenUsed/>
    <w:qFormat/>
    <w:uiPriority w:val="99"/>
    <w:rPr>
      <w:color w:val="0782C1"/>
      <w:u w:val="single"/>
    </w:rPr>
  </w:style>
  <w:style w:type="character" w:customStyle="1" w:styleId="287">
    <w:name w:val="标题 6 Char_file_3205"/>
    <w:basedOn w:val="234"/>
    <w:link w:val="10"/>
    <w:semiHidden/>
    <w:qFormat/>
    <w:uiPriority w:val="9"/>
    <w:rPr>
      <w:rFonts w:ascii="等线 Light" w:hAnsi="等线 Light" w:eastAsia="等线 Light" w:cs="Times New Roman"/>
      <w:b/>
      <w:bCs/>
      <w:sz w:val="24"/>
      <w:szCs w:val="24"/>
    </w:rPr>
  </w:style>
  <w:style w:type="character" w:customStyle="1" w:styleId="288">
    <w:name w:val="Strong_file_105"/>
    <w:basedOn w:val="289"/>
    <w:qFormat/>
    <w:uiPriority w:val="22"/>
    <w:rPr>
      <w:b/>
      <w:bCs/>
    </w:rPr>
  </w:style>
  <w:style w:type="character" w:customStyle="1" w:styleId="289">
    <w:name w:val="Default Paragraph Font_file_105"/>
    <w:unhideWhenUsed/>
    <w:qFormat/>
    <w:uiPriority w:val="1"/>
  </w:style>
  <w:style w:type="character" w:customStyle="1" w:styleId="290">
    <w:name w:val="标题 4 Char_file_3202"/>
    <w:basedOn w:val="249"/>
    <w:link w:val="7"/>
    <w:semiHidden/>
    <w:qFormat/>
    <w:uiPriority w:val="9"/>
    <w:rPr>
      <w:rFonts w:ascii="等线 Light" w:hAnsi="等线 Light" w:eastAsia="等线 Light" w:cs="Times New Roman"/>
      <w:b/>
      <w:bCs/>
      <w:sz w:val="28"/>
      <w:szCs w:val="28"/>
    </w:rPr>
  </w:style>
  <w:style w:type="character" w:customStyle="1" w:styleId="291">
    <w:name w:val="Default Paragraph Font_file_2670"/>
    <w:unhideWhenUsed/>
    <w:qFormat/>
    <w:uiPriority w:val="1"/>
  </w:style>
  <w:style w:type="character" w:customStyle="1" w:styleId="292">
    <w:name w:val="FollowedHyperlink_file_3204"/>
    <w:basedOn w:val="67"/>
    <w:unhideWhenUsed/>
    <w:qFormat/>
    <w:uiPriority w:val="99"/>
    <w:rPr>
      <w:color w:val="0782C1"/>
      <w:u w:val="single"/>
    </w:rPr>
  </w:style>
  <w:style w:type="character" w:customStyle="1" w:styleId="293">
    <w:name w:val="Emphasis_file_2670"/>
    <w:basedOn w:val="291"/>
    <w:qFormat/>
    <w:uiPriority w:val="20"/>
    <w:rPr>
      <w:i/>
      <w:iCs/>
    </w:rPr>
  </w:style>
  <w:style w:type="character" w:customStyle="1" w:styleId="294">
    <w:name w:val="标题 3 Char_file_3204"/>
    <w:basedOn w:val="67"/>
    <w:link w:val="6"/>
    <w:semiHidden/>
    <w:qFormat/>
    <w:uiPriority w:val="9"/>
    <w:rPr>
      <w:rFonts w:ascii="宋体" w:hAnsi="宋体" w:eastAsia="宋体" w:cs="宋体"/>
      <w:b/>
      <w:bCs/>
      <w:sz w:val="32"/>
      <w:szCs w:val="32"/>
    </w:rPr>
  </w:style>
  <w:style w:type="character" w:customStyle="1" w:styleId="295">
    <w:name w:val="标题 6 Char_file_3204"/>
    <w:basedOn w:val="67"/>
    <w:link w:val="10"/>
    <w:semiHidden/>
    <w:qFormat/>
    <w:uiPriority w:val="9"/>
    <w:rPr>
      <w:rFonts w:ascii="等线 Light" w:hAnsi="等线 Light" w:eastAsia="等线 Light" w:cs="Times New Roman"/>
      <w:b/>
      <w:bCs/>
      <w:sz w:val="24"/>
      <w:szCs w:val="24"/>
    </w:rPr>
  </w:style>
  <w:style w:type="character" w:customStyle="1" w:styleId="296">
    <w:name w:val="Hyperlink_file_3201"/>
    <w:basedOn w:val="214"/>
    <w:unhideWhenUsed/>
    <w:qFormat/>
    <w:uiPriority w:val="99"/>
    <w:rPr>
      <w:color w:val="0782C1"/>
      <w:u w:val="single"/>
    </w:rPr>
  </w:style>
  <w:style w:type="character" w:customStyle="1" w:styleId="297">
    <w:name w:val="Default Paragraph Font_file_740_file_546"/>
    <w:unhideWhenUsed/>
    <w:qFormat/>
    <w:uiPriority w:val="1"/>
  </w:style>
  <w:style w:type="character" w:customStyle="1" w:styleId="298">
    <w:name w:val="标题 2 Char_file_3201"/>
    <w:basedOn w:val="214"/>
    <w:link w:val="5"/>
    <w:semiHidden/>
    <w:qFormat/>
    <w:uiPriority w:val="9"/>
    <w:rPr>
      <w:rFonts w:ascii="等线 Light" w:hAnsi="等线 Light" w:eastAsia="等线 Light" w:cs="Times New Roman"/>
      <w:b/>
      <w:bCs/>
      <w:sz w:val="32"/>
      <w:szCs w:val="32"/>
    </w:rPr>
  </w:style>
  <w:style w:type="character" w:customStyle="1" w:styleId="299">
    <w:name w:val="标题 4 Char_file_3201"/>
    <w:basedOn w:val="214"/>
    <w:link w:val="7"/>
    <w:semiHidden/>
    <w:qFormat/>
    <w:uiPriority w:val="9"/>
    <w:rPr>
      <w:rFonts w:ascii="等线 Light" w:hAnsi="等线 Light" w:eastAsia="等线 Light" w:cs="Times New Roman"/>
      <w:b/>
      <w:bCs/>
      <w:sz w:val="28"/>
      <w:szCs w:val="28"/>
    </w:rPr>
  </w:style>
  <w:style w:type="character" w:customStyle="1" w:styleId="300">
    <w:name w:val="标题 6 Char_file_3206"/>
    <w:basedOn w:val="218"/>
    <w:link w:val="10"/>
    <w:semiHidden/>
    <w:qFormat/>
    <w:uiPriority w:val="9"/>
    <w:rPr>
      <w:rFonts w:ascii="等线 Light" w:hAnsi="等线 Light" w:eastAsia="等线 Light" w:cs="Times New Roman"/>
      <w:b/>
      <w:bCs/>
      <w:sz w:val="24"/>
      <w:szCs w:val="24"/>
    </w:rPr>
  </w:style>
  <w:style w:type="character" w:customStyle="1" w:styleId="301">
    <w:name w:val="标题 5 Char_file_3201"/>
    <w:basedOn w:val="214"/>
    <w:link w:val="8"/>
    <w:semiHidden/>
    <w:qFormat/>
    <w:uiPriority w:val="9"/>
    <w:rPr>
      <w:rFonts w:ascii="宋体" w:hAnsi="宋体" w:eastAsia="宋体" w:cs="宋体"/>
      <w:b/>
      <w:bCs/>
      <w:sz w:val="28"/>
      <w:szCs w:val="28"/>
    </w:rPr>
  </w:style>
  <w:style w:type="character" w:customStyle="1" w:styleId="302">
    <w:name w:val="标题 4 Char_file_3203"/>
    <w:basedOn w:val="219"/>
    <w:link w:val="7"/>
    <w:semiHidden/>
    <w:qFormat/>
    <w:uiPriority w:val="9"/>
    <w:rPr>
      <w:rFonts w:ascii="等线 Light" w:hAnsi="等线 Light" w:eastAsia="等线 Light" w:cs="Times New Roman"/>
      <w:b/>
      <w:bCs/>
      <w:sz w:val="28"/>
      <w:szCs w:val="28"/>
    </w:rPr>
  </w:style>
  <w:style w:type="character" w:customStyle="1" w:styleId="303">
    <w:name w:val="FollowedHyperlink_file_3205"/>
    <w:basedOn w:val="234"/>
    <w:unhideWhenUsed/>
    <w:qFormat/>
    <w:uiPriority w:val="99"/>
    <w:rPr>
      <w:color w:val="0782C1"/>
      <w:u w:val="single"/>
    </w:rPr>
  </w:style>
  <w:style w:type="character" w:customStyle="1" w:styleId="304">
    <w:name w:val="Strong_file_3206"/>
    <w:basedOn w:val="218"/>
    <w:qFormat/>
    <w:uiPriority w:val="22"/>
    <w:rPr>
      <w:b/>
      <w:bCs/>
    </w:rPr>
  </w:style>
  <w:style w:type="character" w:customStyle="1" w:styleId="305">
    <w:name w:val="Hyperlink_file_3202"/>
    <w:basedOn w:val="249"/>
    <w:unhideWhenUsed/>
    <w:qFormat/>
    <w:uiPriority w:val="99"/>
    <w:rPr>
      <w:color w:val="0782C1"/>
      <w:u w:val="single"/>
    </w:rPr>
  </w:style>
  <w:style w:type="character" w:customStyle="1" w:styleId="306">
    <w:name w:val="标题 1 Char_file_3202"/>
    <w:basedOn w:val="249"/>
    <w:link w:val="4"/>
    <w:qFormat/>
    <w:uiPriority w:val="9"/>
    <w:rPr>
      <w:rFonts w:ascii="宋体" w:hAnsi="宋体" w:eastAsia="宋体" w:cs="宋体"/>
      <w:b/>
      <w:bCs/>
      <w:kern w:val="44"/>
      <w:sz w:val="44"/>
      <w:szCs w:val="44"/>
    </w:rPr>
  </w:style>
  <w:style w:type="character" w:customStyle="1" w:styleId="307">
    <w:name w:val="标题 2 Char_file_3202"/>
    <w:basedOn w:val="249"/>
    <w:link w:val="5"/>
    <w:semiHidden/>
    <w:qFormat/>
    <w:uiPriority w:val="9"/>
    <w:rPr>
      <w:rFonts w:ascii="等线 Light" w:hAnsi="等线 Light" w:eastAsia="等线 Light" w:cs="Times New Roman"/>
      <w:b/>
      <w:bCs/>
      <w:sz w:val="32"/>
      <w:szCs w:val="32"/>
    </w:rPr>
  </w:style>
  <w:style w:type="character" w:customStyle="1" w:styleId="308">
    <w:name w:val="标题 3 Char_file_3202"/>
    <w:basedOn w:val="249"/>
    <w:link w:val="6"/>
    <w:semiHidden/>
    <w:qFormat/>
    <w:uiPriority w:val="9"/>
    <w:rPr>
      <w:rFonts w:ascii="宋体" w:hAnsi="宋体" w:eastAsia="宋体" w:cs="宋体"/>
      <w:b/>
      <w:bCs/>
      <w:sz w:val="32"/>
      <w:szCs w:val="32"/>
    </w:rPr>
  </w:style>
  <w:style w:type="character" w:customStyle="1" w:styleId="309">
    <w:name w:val="标题 3 Char_file_3205"/>
    <w:basedOn w:val="234"/>
    <w:link w:val="6"/>
    <w:semiHidden/>
    <w:qFormat/>
    <w:uiPriority w:val="9"/>
    <w:rPr>
      <w:rFonts w:ascii="宋体" w:hAnsi="宋体" w:eastAsia="宋体" w:cs="宋体"/>
      <w:b/>
      <w:bCs/>
      <w:sz w:val="32"/>
      <w:szCs w:val="32"/>
    </w:rPr>
  </w:style>
  <w:style w:type="character" w:customStyle="1" w:styleId="310">
    <w:name w:val="标题 1 Char_file_3204"/>
    <w:basedOn w:val="67"/>
    <w:link w:val="4"/>
    <w:qFormat/>
    <w:uiPriority w:val="9"/>
    <w:rPr>
      <w:rFonts w:ascii="宋体" w:hAnsi="宋体" w:eastAsia="宋体" w:cs="宋体"/>
      <w:b/>
      <w:bCs/>
      <w:kern w:val="44"/>
      <w:sz w:val="44"/>
      <w:szCs w:val="44"/>
    </w:rPr>
  </w:style>
  <w:style w:type="character" w:customStyle="1" w:styleId="311">
    <w:name w:val="标题 2 Char_file_3204"/>
    <w:basedOn w:val="67"/>
    <w:link w:val="5"/>
    <w:semiHidden/>
    <w:qFormat/>
    <w:uiPriority w:val="9"/>
    <w:rPr>
      <w:rFonts w:ascii="等线 Light" w:hAnsi="等线 Light" w:eastAsia="等线 Light" w:cs="Times New Roman"/>
      <w:b/>
      <w:bCs/>
      <w:sz w:val="32"/>
      <w:szCs w:val="32"/>
    </w:rPr>
  </w:style>
  <w:style w:type="character" w:customStyle="1" w:styleId="312">
    <w:name w:val="Strong_file_1812"/>
    <w:qFormat/>
    <w:uiPriority w:val="22"/>
    <w:rPr>
      <w:b/>
      <w:bCs/>
    </w:rPr>
  </w:style>
  <w:style w:type="character" w:customStyle="1" w:styleId="313">
    <w:name w:val="Default Paragraph Font_file_3207"/>
    <w:unhideWhenUsed/>
    <w:qFormat/>
    <w:uiPriority w:val="1"/>
  </w:style>
  <w:style w:type="character" w:customStyle="1" w:styleId="314">
    <w:name w:val="Hyperlink_file_3207"/>
    <w:basedOn w:val="313"/>
    <w:unhideWhenUsed/>
    <w:qFormat/>
    <w:uiPriority w:val="99"/>
    <w:rPr>
      <w:color w:val="0782C1"/>
      <w:u w:val="single"/>
    </w:rPr>
  </w:style>
  <w:style w:type="character" w:customStyle="1" w:styleId="315">
    <w:name w:val="FollowedHyperlink_file_3207"/>
    <w:basedOn w:val="313"/>
    <w:unhideWhenUsed/>
    <w:qFormat/>
    <w:uiPriority w:val="99"/>
    <w:rPr>
      <w:color w:val="0782C1"/>
      <w:u w:val="single"/>
    </w:rPr>
  </w:style>
  <w:style w:type="character" w:customStyle="1" w:styleId="316">
    <w:name w:val="标题 1 Char_file_3207"/>
    <w:basedOn w:val="313"/>
    <w:link w:val="4"/>
    <w:qFormat/>
    <w:uiPriority w:val="9"/>
    <w:rPr>
      <w:rFonts w:ascii="宋体" w:hAnsi="宋体" w:eastAsia="宋体" w:cs="宋体"/>
      <w:b/>
      <w:bCs/>
      <w:kern w:val="44"/>
      <w:sz w:val="44"/>
      <w:szCs w:val="44"/>
    </w:rPr>
  </w:style>
  <w:style w:type="character" w:customStyle="1" w:styleId="317">
    <w:name w:val="标题 2 Char_file_3207"/>
    <w:basedOn w:val="313"/>
    <w:link w:val="5"/>
    <w:semiHidden/>
    <w:qFormat/>
    <w:uiPriority w:val="9"/>
    <w:rPr>
      <w:rFonts w:ascii="等线 Light" w:hAnsi="等线 Light" w:eastAsia="等线 Light" w:cs="Times New Roman"/>
      <w:b/>
      <w:bCs/>
      <w:sz w:val="32"/>
      <w:szCs w:val="32"/>
    </w:rPr>
  </w:style>
  <w:style w:type="character" w:customStyle="1" w:styleId="318">
    <w:name w:val="标题 3 Char_file_3207"/>
    <w:basedOn w:val="313"/>
    <w:link w:val="6"/>
    <w:semiHidden/>
    <w:qFormat/>
    <w:uiPriority w:val="9"/>
    <w:rPr>
      <w:rFonts w:ascii="宋体" w:hAnsi="宋体" w:eastAsia="宋体" w:cs="宋体"/>
      <w:b/>
      <w:bCs/>
      <w:sz w:val="32"/>
      <w:szCs w:val="32"/>
    </w:rPr>
  </w:style>
  <w:style w:type="character" w:customStyle="1" w:styleId="319">
    <w:name w:val="标题 4 Char_file_3207"/>
    <w:basedOn w:val="313"/>
    <w:link w:val="7"/>
    <w:semiHidden/>
    <w:qFormat/>
    <w:uiPriority w:val="9"/>
    <w:rPr>
      <w:rFonts w:ascii="等线 Light" w:hAnsi="等线 Light" w:eastAsia="等线 Light" w:cs="Times New Roman"/>
      <w:b/>
      <w:bCs/>
      <w:sz w:val="28"/>
      <w:szCs w:val="28"/>
    </w:rPr>
  </w:style>
  <w:style w:type="character" w:customStyle="1" w:styleId="320">
    <w:name w:val="标题 5 Char_file_3207"/>
    <w:basedOn w:val="313"/>
    <w:link w:val="8"/>
    <w:semiHidden/>
    <w:qFormat/>
    <w:uiPriority w:val="9"/>
    <w:rPr>
      <w:rFonts w:ascii="宋体" w:hAnsi="宋体" w:eastAsia="宋体" w:cs="宋体"/>
      <w:b/>
      <w:bCs/>
      <w:sz w:val="28"/>
      <w:szCs w:val="28"/>
    </w:rPr>
  </w:style>
  <w:style w:type="character" w:customStyle="1" w:styleId="321">
    <w:name w:val="标题 6 Char_file_3207"/>
    <w:basedOn w:val="313"/>
    <w:link w:val="10"/>
    <w:semiHidden/>
    <w:qFormat/>
    <w:uiPriority w:val="9"/>
    <w:rPr>
      <w:rFonts w:ascii="等线 Light" w:hAnsi="等线 Light" w:eastAsia="等线 Light" w:cs="Times New Roman"/>
      <w:b/>
      <w:bCs/>
      <w:sz w:val="24"/>
      <w:szCs w:val="24"/>
    </w:rPr>
  </w:style>
  <w:style w:type="character" w:customStyle="1" w:styleId="322">
    <w:name w:val="ca-21_file_702_file_1396_file_678_file_338"/>
    <w:qFormat/>
    <w:uiPriority w:val="0"/>
    <w:rPr>
      <w:rFonts w:hint="eastAsia" w:ascii="宋体" w:hAnsi="宋体" w:eastAsia="宋体"/>
      <w:sz w:val="21"/>
      <w:szCs w:val="21"/>
    </w:rPr>
  </w:style>
  <w:style w:type="character" w:customStyle="1" w:styleId="323">
    <w:name w:val="标题 1 Char_file_3212"/>
    <w:basedOn w:val="273"/>
    <w:link w:val="4"/>
    <w:qFormat/>
    <w:uiPriority w:val="9"/>
    <w:rPr>
      <w:rFonts w:ascii="宋体" w:hAnsi="宋体" w:eastAsia="宋体" w:cs="宋体"/>
      <w:b/>
      <w:bCs/>
      <w:kern w:val="44"/>
      <w:sz w:val="44"/>
      <w:szCs w:val="44"/>
    </w:rPr>
  </w:style>
  <w:style w:type="character" w:customStyle="1" w:styleId="324">
    <w:name w:val="Strong_file_3207"/>
    <w:basedOn w:val="313"/>
    <w:qFormat/>
    <w:uiPriority w:val="22"/>
    <w:rPr>
      <w:b/>
      <w:bCs/>
    </w:rPr>
  </w:style>
  <w:style w:type="character" w:customStyle="1" w:styleId="325">
    <w:name w:val="标题 5 Char_file_3211"/>
    <w:basedOn w:val="326"/>
    <w:link w:val="8"/>
    <w:semiHidden/>
    <w:qFormat/>
    <w:uiPriority w:val="9"/>
    <w:rPr>
      <w:rFonts w:ascii="宋体" w:hAnsi="宋体" w:eastAsia="宋体" w:cs="宋体"/>
      <w:b/>
      <w:bCs/>
      <w:sz w:val="28"/>
      <w:szCs w:val="28"/>
    </w:rPr>
  </w:style>
  <w:style w:type="character" w:customStyle="1" w:styleId="326">
    <w:name w:val="Default Paragraph Font_file_3211"/>
    <w:unhideWhenUsed/>
    <w:qFormat/>
    <w:uiPriority w:val="1"/>
  </w:style>
  <w:style w:type="character" w:customStyle="1" w:styleId="327">
    <w:name w:val="Default Paragraph Font_file_3208"/>
    <w:unhideWhenUsed/>
    <w:qFormat/>
    <w:uiPriority w:val="1"/>
  </w:style>
  <w:style w:type="character" w:customStyle="1" w:styleId="328">
    <w:name w:val="标题 2 Char_file_3211"/>
    <w:basedOn w:val="326"/>
    <w:link w:val="5"/>
    <w:semiHidden/>
    <w:qFormat/>
    <w:uiPriority w:val="9"/>
    <w:rPr>
      <w:rFonts w:ascii="等线 Light" w:hAnsi="等线 Light" w:eastAsia="等线 Light" w:cs="Times New Roman"/>
      <w:b/>
      <w:bCs/>
      <w:sz w:val="32"/>
      <w:szCs w:val="32"/>
    </w:rPr>
  </w:style>
  <w:style w:type="character" w:customStyle="1" w:styleId="329">
    <w:name w:val="Hyperlink_file_3208"/>
    <w:basedOn w:val="327"/>
    <w:unhideWhenUsed/>
    <w:qFormat/>
    <w:uiPriority w:val="99"/>
    <w:rPr>
      <w:color w:val="0782C1"/>
      <w:u w:val="single"/>
    </w:rPr>
  </w:style>
  <w:style w:type="character" w:customStyle="1" w:styleId="330">
    <w:name w:val="FollowedHyperlink_file_3211"/>
    <w:basedOn w:val="326"/>
    <w:unhideWhenUsed/>
    <w:qFormat/>
    <w:uiPriority w:val="99"/>
    <w:rPr>
      <w:color w:val="0782C1"/>
      <w:u w:val="single"/>
    </w:rPr>
  </w:style>
  <w:style w:type="character" w:customStyle="1" w:styleId="331">
    <w:name w:val="FollowedHyperlink_file_3208"/>
    <w:basedOn w:val="327"/>
    <w:unhideWhenUsed/>
    <w:qFormat/>
    <w:uiPriority w:val="99"/>
    <w:rPr>
      <w:color w:val="0782C1"/>
      <w:u w:val="single"/>
    </w:rPr>
  </w:style>
  <w:style w:type="character" w:customStyle="1" w:styleId="332">
    <w:name w:val="标题 1 Char_file_3208"/>
    <w:basedOn w:val="327"/>
    <w:link w:val="4"/>
    <w:qFormat/>
    <w:uiPriority w:val="9"/>
    <w:rPr>
      <w:rFonts w:ascii="宋体" w:hAnsi="宋体" w:eastAsia="宋体" w:cs="宋体"/>
      <w:b/>
      <w:bCs/>
      <w:kern w:val="44"/>
      <w:sz w:val="44"/>
      <w:szCs w:val="44"/>
    </w:rPr>
  </w:style>
  <w:style w:type="character" w:customStyle="1" w:styleId="333">
    <w:name w:val="Hyperlink_file_3211"/>
    <w:basedOn w:val="326"/>
    <w:unhideWhenUsed/>
    <w:qFormat/>
    <w:uiPriority w:val="99"/>
    <w:rPr>
      <w:color w:val="0782C1"/>
      <w:u w:val="single"/>
    </w:rPr>
  </w:style>
  <w:style w:type="character" w:customStyle="1" w:styleId="334">
    <w:name w:val="标题 2 Char_file_3208"/>
    <w:basedOn w:val="327"/>
    <w:link w:val="5"/>
    <w:semiHidden/>
    <w:qFormat/>
    <w:uiPriority w:val="9"/>
    <w:rPr>
      <w:rFonts w:ascii="等线 Light" w:hAnsi="等线 Light" w:eastAsia="等线 Light" w:cs="Times New Roman"/>
      <w:b/>
      <w:bCs/>
      <w:sz w:val="32"/>
      <w:szCs w:val="32"/>
    </w:rPr>
  </w:style>
  <w:style w:type="character" w:customStyle="1" w:styleId="335">
    <w:name w:val="标题 3 Char_file_3208"/>
    <w:basedOn w:val="327"/>
    <w:link w:val="6"/>
    <w:semiHidden/>
    <w:qFormat/>
    <w:uiPriority w:val="9"/>
    <w:rPr>
      <w:rFonts w:ascii="宋体" w:hAnsi="宋体" w:eastAsia="宋体" w:cs="宋体"/>
      <w:b/>
      <w:bCs/>
      <w:sz w:val="32"/>
      <w:szCs w:val="32"/>
    </w:rPr>
  </w:style>
  <w:style w:type="character" w:customStyle="1" w:styleId="336">
    <w:name w:val="标题 4 Char_file_3208"/>
    <w:basedOn w:val="327"/>
    <w:link w:val="7"/>
    <w:semiHidden/>
    <w:qFormat/>
    <w:uiPriority w:val="9"/>
    <w:rPr>
      <w:rFonts w:ascii="等线 Light" w:hAnsi="等线 Light" w:eastAsia="等线 Light" w:cs="Times New Roman"/>
      <w:b/>
      <w:bCs/>
      <w:sz w:val="28"/>
      <w:szCs w:val="28"/>
    </w:rPr>
  </w:style>
  <w:style w:type="character" w:customStyle="1" w:styleId="337">
    <w:name w:val="标题 5 Char_file_3208"/>
    <w:basedOn w:val="327"/>
    <w:link w:val="8"/>
    <w:semiHidden/>
    <w:qFormat/>
    <w:uiPriority w:val="9"/>
    <w:rPr>
      <w:rFonts w:ascii="宋体" w:hAnsi="宋体" w:eastAsia="宋体" w:cs="宋体"/>
      <w:b/>
      <w:bCs/>
      <w:sz w:val="28"/>
      <w:szCs w:val="28"/>
    </w:rPr>
  </w:style>
  <w:style w:type="character" w:customStyle="1" w:styleId="338">
    <w:name w:val="标题 6 Char_file_3208"/>
    <w:basedOn w:val="327"/>
    <w:link w:val="10"/>
    <w:semiHidden/>
    <w:qFormat/>
    <w:uiPriority w:val="9"/>
    <w:rPr>
      <w:rFonts w:ascii="等线 Light" w:hAnsi="等线 Light" w:eastAsia="等线 Light" w:cs="Times New Roman"/>
      <w:b/>
      <w:bCs/>
      <w:sz w:val="24"/>
      <w:szCs w:val="24"/>
    </w:rPr>
  </w:style>
  <w:style w:type="character" w:customStyle="1" w:styleId="339">
    <w:name w:val="Strong_file_3208"/>
    <w:basedOn w:val="327"/>
    <w:qFormat/>
    <w:uiPriority w:val="22"/>
    <w:rPr>
      <w:b/>
      <w:bCs/>
    </w:rPr>
  </w:style>
  <w:style w:type="character" w:customStyle="1" w:styleId="340">
    <w:name w:val="标题 4 Char_file_3210"/>
    <w:basedOn w:val="341"/>
    <w:link w:val="7"/>
    <w:semiHidden/>
    <w:qFormat/>
    <w:uiPriority w:val="9"/>
    <w:rPr>
      <w:rFonts w:ascii="等线 Light" w:hAnsi="等线 Light" w:eastAsia="等线 Light" w:cs="Times New Roman"/>
      <w:b/>
      <w:bCs/>
      <w:sz w:val="28"/>
      <w:szCs w:val="28"/>
    </w:rPr>
  </w:style>
  <w:style w:type="character" w:customStyle="1" w:styleId="341">
    <w:name w:val="Default Paragraph Font_file_3210"/>
    <w:unhideWhenUsed/>
    <w:qFormat/>
    <w:uiPriority w:val="1"/>
  </w:style>
  <w:style w:type="character" w:customStyle="1" w:styleId="342">
    <w:name w:val="Hyperlink_file_3209"/>
    <w:basedOn w:val="223"/>
    <w:unhideWhenUsed/>
    <w:qFormat/>
    <w:uiPriority w:val="99"/>
    <w:rPr>
      <w:color w:val="0782C1"/>
      <w:u w:val="single"/>
    </w:rPr>
  </w:style>
  <w:style w:type="character" w:customStyle="1" w:styleId="343">
    <w:name w:val="标题 1 Char_file_3210"/>
    <w:basedOn w:val="341"/>
    <w:link w:val="4"/>
    <w:qFormat/>
    <w:uiPriority w:val="9"/>
    <w:rPr>
      <w:rFonts w:ascii="宋体" w:hAnsi="宋体" w:eastAsia="宋体" w:cs="宋体"/>
      <w:b/>
      <w:bCs/>
      <w:kern w:val="44"/>
      <w:sz w:val="44"/>
      <w:szCs w:val="44"/>
    </w:rPr>
  </w:style>
  <w:style w:type="character" w:customStyle="1" w:styleId="344">
    <w:name w:val="FollowedHyperlink_file_3209"/>
    <w:basedOn w:val="223"/>
    <w:unhideWhenUsed/>
    <w:qFormat/>
    <w:uiPriority w:val="99"/>
    <w:rPr>
      <w:color w:val="0782C1"/>
      <w:u w:val="single"/>
    </w:rPr>
  </w:style>
  <w:style w:type="character" w:customStyle="1" w:styleId="345">
    <w:name w:val="FollowedHyperlink_file_3210"/>
    <w:basedOn w:val="341"/>
    <w:unhideWhenUsed/>
    <w:qFormat/>
    <w:uiPriority w:val="99"/>
    <w:rPr>
      <w:color w:val="0782C1"/>
      <w:u w:val="single"/>
    </w:rPr>
  </w:style>
  <w:style w:type="character" w:customStyle="1" w:styleId="346">
    <w:name w:val="标题 1 Char_file_3209"/>
    <w:basedOn w:val="223"/>
    <w:link w:val="4"/>
    <w:qFormat/>
    <w:uiPriority w:val="9"/>
    <w:rPr>
      <w:rFonts w:ascii="宋体" w:hAnsi="宋体" w:eastAsia="宋体" w:cs="宋体"/>
      <w:b/>
      <w:bCs/>
      <w:kern w:val="44"/>
      <w:sz w:val="44"/>
      <w:szCs w:val="44"/>
    </w:rPr>
  </w:style>
  <w:style w:type="character" w:customStyle="1" w:styleId="347">
    <w:name w:val="标题 2 Char_file_3209"/>
    <w:basedOn w:val="223"/>
    <w:link w:val="5"/>
    <w:semiHidden/>
    <w:qFormat/>
    <w:uiPriority w:val="9"/>
    <w:rPr>
      <w:rFonts w:ascii="等线 Light" w:hAnsi="等线 Light" w:eastAsia="等线 Light" w:cs="Times New Roman"/>
      <w:b/>
      <w:bCs/>
      <w:sz w:val="32"/>
      <w:szCs w:val="32"/>
    </w:rPr>
  </w:style>
  <w:style w:type="character" w:customStyle="1" w:styleId="348">
    <w:name w:val="标题 3 Char_file_3209"/>
    <w:basedOn w:val="223"/>
    <w:link w:val="6"/>
    <w:semiHidden/>
    <w:qFormat/>
    <w:uiPriority w:val="9"/>
    <w:rPr>
      <w:rFonts w:ascii="宋体" w:hAnsi="宋体" w:eastAsia="宋体" w:cs="宋体"/>
      <w:b/>
      <w:bCs/>
      <w:sz w:val="32"/>
      <w:szCs w:val="32"/>
    </w:rPr>
  </w:style>
  <w:style w:type="character" w:customStyle="1" w:styleId="349">
    <w:name w:val="标题 4 Char_file_3209"/>
    <w:basedOn w:val="223"/>
    <w:link w:val="7"/>
    <w:semiHidden/>
    <w:qFormat/>
    <w:uiPriority w:val="9"/>
    <w:rPr>
      <w:rFonts w:ascii="等线 Light" w:hAnsi="等线 Light" w:eastAsia="等线 Light" w:cs="Times New Roman"/>
      <w:b/>
      <w:bCs/>
      <w:sz w:val="28"/>
      <w:szCs w:val="28"/>
    </w:rPr>
  </w:style>
  <w:style w:type="character" w:customStyle="1" w:styleId="350">
    <w:name w:val="标题 5 Char_file_3209"/>
    <w:basedOn w:val="223"/>
    <w:link w:val="8"/>
    <w:semiHidden/>
    <w:qFormat/>
    <w:uiPriority w:val="9"/>
    <w:rPr>
      <w:rFonts w:ascii="宋体" w:hAnsi="宋体" w:eastAsia="宋体" w:cs="宋体"/>
      <w:b/>
      <w:bCs/>
      <w:sz w:val="28"/>
      <w:szCs w:val="28"/>
    </w:rPr>
  </w:style>
  <w:style w:type="character" w:customStyle="1" w:styleId="351">
    <w:name w:val="Hyperlink_file_3210"/>
    <w:basedOn w:val="341"/>
    <w:unhideWhenUsed/>
    <w:qFormat/>
    <w:uiPriority w:val="99"/>
    <w:rPr>
      <w:color w:val="0782C1"/>
      <w:u w:val="single"/>
    </w:rPr>
  </w:style>
  <w:style w:type="character" w:customStyle="1" w:styleId="352">
    <w:name w:val="标题 2 Char_file_3210"/>
    <w:basedOn w:val="341"/>
    <w:link w:val="5"/>
    <w:semiHidden/>
    <w:qFormat/>
    <w:uiPriority w:val="9"/>
    <w:rPr>
      <w:rFonts w:ascii="等线 Light" w:hAnsi="等线 Light" w:eastAsia="等线 Light" w:cs="Times New Roman"/>
      <w:b/>
      <w:bCs/>
      <w:sz w:val="32"/>
      <w:szCs w:val="32"/>
    </w:rPr>
  </w:style>
  <w:style w:type="character" w:customStyle="1" w:styleId="353">
    <w:name w:val="标题 3 Char_file_3210"/>
    <w:basedOn w:val="341"/>
    <w:link w:val="6"/>
    <w:semiHidden/>
    <w:qFormat/>
    <w:uiPriority w:val="9"/>
    <w:rPr>
      <w:rFonts w:ascii="宋体" w:hAnsi="宋体" w:eastAsia="宋体" w:cs="宋体"/>
      <w:b/>
      <w:bCs/>
      <w:sz w:val="32"/>
      <w:szCs w:val="32"/>
    </w:rPr>
  </w:style>
  <w:style w:type="character" w:customStyle="1" w:styleId="354">
    <w:name w:val="标题 5 Char_file_3210"/>
    <w:basedOn w:val="341"/>
    <w:link w:val="8"/>
    <w:semiHidden/>
    <w:qFormat/>
    <w:uiPriority w:val="9"/>
    <w:rPr>
      <w:rFonts w:ascii="宋体" w:hAnsi="宋体" w:eastAsia="宋体" w:cs="宋体"/>
      <w:b/>
      <w:bCs/>
      <w:sz w:val="28"/>
      <w:szCs w:val="28"/>
    </w:rPr>
  </w:style>
  <w:style w:type="character" w:customStyle="1" w:styleId="355">
    <w:name w:val="标题 6 Char_file_3210"/>
    <w:basedOn w:val="341"/>
    <w:link w:val="10"/>
    <w:semiHidden/>
    <w:qFormat/>
    <w:uiPriority w:val="9"/>
    <w:rPr>
      <w:rFonts w:ascii="等线 Light" w:hAnsi="等线 Light" w:eastAsia="等线 Light" w:cs="Times New Roman"/>
      <w:b/>
      <w:bCs/>
      <w:sz w:val="24"/>
      <w:szCs w:val="24"/>
    </w:rPr>
  </w:style>
  <w:style w:type="character" w:customStyle="1" w:styleId="356">
    <w:name w:val="Strong_file_3842"/>
    <w:basedOn w:val="357"/>
    <w:qFormat/>
    <w:uiPriority w:val="22"/>
    <w:rPr>
      <w:b/>
      <w:bCs/>
    </w:rPr>
  </w:style>
  <w:style w:type="character" w:customStyle="1" w:styleId="357">
    <w:name w:val="Default Paragraph Font_file_3842"/>
    <w:unhideWhenUsed/>
    <w:qFormat/>
    <w:uiPriority w:val="1"/>
  </w:style>
  <w:style w:type="character" w:customStyle="1" w:styleId="358">
    <w:name w:val="Strong_file_3843"/>
    <w:basedOn w:val="359"/>
    <w:qFormat/>
    <w:uiPriority w:val="22"/>
    <w:rPr>
      <w:b/>
      <w:bCs/>
    </w:rPr>
  </w:style>
  <w:style w:type="character" w:customStyle="1" w:styleId="359">
    <w:name w:val="Default Paragraph Font_file_3843"/>
    <w:unhideWhenUsed/>
    <w:qFormat/>
    <w:uiPriority w:val="1"/>
  </w:style>
  <w:style w:type="character" w:customStyle="1" w:styleId="360">
    <w:name w:val="标题 1 Char_file_3211"/>
    <w:basedOn w:val="326"/>
    <w:link w:val="4"/>
    <w:qFormat/>
    <w:uiPriority w:val="9"/>
    <w:rPr>
      <w:rFonts w:ascii="宋体" w:hAnsi="宋体" w:eastAsia="宋体" w:cs="宋体"/>
      <w:b/>
      <w:bCs/>
      <w:kern w:val="44"/>
      <w:sz w:val="44"/>
      <w:szCs w:val="44"/>
    </w:rPr>
  </w:style>
  <w:style w:type="character" w:customStyle="1" w:styleId="361">
    <w:name w:val="标题 3 Char_file_3211"/>
    <w:basedOn w:val="326"/>
    <w:link w:val="6"/>
    <w:semiHidden/>
    <w:qFormat/>
    <w:uiPriority w:val="9"/>
    <w:rPr>
      <w:rFonts w:ascii="宋体" w:hAnsi="宋体" w:eastAsia="宋体" w:cs="宋体"/>
      <w:b/>
      <w:bCs/>
      <w:sz w:val="32"/>
      <w:szCs w:val="32"/>
    </w:rPr>
  </w:style>
  <w:style w:type="character" w:customStyle="1" w:styleId="362">
    <w:name w:val="标题 4 Char_file_3211"/>
    <w:basedOn w:val="326"/>
    <w:link w:val="7"/>
    <w:semiHidden/>
    <w:qFormat/>
    <w:uiPriority w:val="9"/>
    <w:rPr>
      <w:rFonts w:ascii="等线 Light" w:hAnsi="等线 Light" w:eastAsia="等线 Light" w:cs="Times New Roman"/>
      <w:b/>
      <w:bCs/>
      <w:sz w:val="28"/>
      <w:szCs w:val="28"/>
    </w:rPr>
  </w:style>
  <w:style w:type="character" w:customStyle="1" w:styleId="363">
    <w:name w:val="标题 6 Char_file_3211"/>
    <w:basedOn w:val="326"/>
    <w:link w:val="10"/>
    <w:semiHidden/>
    <w:qFormat/>
    <w:uiPriority w:val="9"/>
    <w:rPr>
      <w:rFonts w:ascii="等线 Light" w:hAnsi="等线 Light" w:eastAsia="等线 Light" w:cs="Times New Roman"/>
      <w:b/>
      <w:bCs/>
      <w:sz w:val="24"/>
      <w:szCs w:val="24"/>
    </w:rPr>
  </w:style>
  <w:style w:type="character" w:customStyle="1" w:styleId="364">
    <w:name w:val="Hyperlink_file_3212"/>
    <w:basedOn w:val="273"/>
    <w:unhideWhenUsed/>
    <w:qFormat/>
    <w:uiPriority w:val="99"/>
    <w:rPr>
      <w:color w:val="0782C1"/>
      <w:u w:val="single"/>
    </w:rPr>
  </w:style>
  <w:style w:type="character" w:customStyle="1" w:styleId="365">
    <w:name w:val="标题 2 Char_file_3212"/>
    <w:basedOn w:val="273"/>
    <w:link w:val="5"/>
    <w:semiHidden/>
    <w:qFormat/>
    <w:uiPriority w:val="9"/>
    <w:rPr>
      <w:rFonts w:ascii="等线 Light" w:hAnsi="等线 Light" w:eastAsia="等线 Light" w:cs="Times New Roman"/>
      <w:b/>
      <w:bCs/>
      <w:sz w:val="32"/>
      <w:szCs w:val="32"/>
    </w:rPr>
  </w:style>
  <w:style w:type="character" w:customStyle="1" w:styleId="366">
    <w:name w:val="标题 3 Char_file_3212"/>
    <w:basedOn w:val="273"/>
    <w:link w:val="6"/>
    <w:semiHidden/>
    <w:qFormat/>
    <w:uiPriority w:val="9"/>
    <w:rPr>
      <w:rFonts w:ascii="宋体" w:hAnsi="宋体" w:eastAsia="宋体" w:cs="宋体"/>
      <w:b/>
      <w:bCs/>
      <w:sz w:val="32"/>
      <w:szCs w:val="32"/>
    </w:rPr>
  </w:style>
  <w:style w:type="character" w:customStyle="1" w:styleId="367">
    <w:name w:val="标题 5 Char_file_3212"/>
    <w:basedOn w:val="273"/>
    <w:link w:val="8"/>
    <w:semiHidden/>
    <w:qFormat/>
    <w:uiPriority w:val="9"/>
    <w:rPr>
      <w:rFonts w:ascii="宋体" w:hAnsi="宋体" w:eastAsia="宋体" w:cs="宋体"/>
      <w:b/>
      <w:bCs/>
      <w:sz w:val="28"/>
      <w:szCs w:val="28"/>
    </w:rPr>
  </w:style>
  <w:style w:type="character" w:customStyle="1" w:styleId="368">
    <w:name w:val="标题 6 Char_file_3212"/>
    <w:basedOn w:val="273"/>
    <w:link w:val="10"/>
    <w:semiHidden/>
    <w:qFormat/>
    <w:uiPriority w:val="9"/>
    <w:rPr>
      <w:rFonts w:ascii="等线 Light" w:hAnsi="等线 Light" w:eastAsia="等线 Light" w:cs="Times New Roman"/>
      <w:b/>
      <w:bCs/>
      <w:sz w:val="24"/>
      <w:szCs w:val="24"/>
    </w:rPr>
  </w:style>
  <w:style w:type="character" w:customStyle="1" w:styleId="369">
    <w:name w:val="ca-21_file_3393_file_1606_file_338"/>
    <w:qFormat/>
    <w:uiPriority w:val="0"/>
    <w:rPr>
      <w:rFonts w:ascii="宋体" w:hAnsi="宋体" w:eastAsia="宋体"/>
      <w:w w:val="100"/>
      <w:sz w:val="21"/>
      <w:szCs w:val="21"/>
      <w:shd w:val="clear" w:color="auto" w:fill="auto"/>
    </w:rPr>
  </w:style>
  <w:style w:type="character" w:customStyle="1" w:styleId="370">
    <w:name w:val="ca-41_file_557_file_2522"/>
    <w:qFormat/>
    <w:uiPriority w:val="0"/>
    <w:rPr>
      <w:rFonts w:hint="eastAsia" w:ascii="宋体" w:hAnsi="宋体" w:eastAsia="宋体"/>
      <w:color w:val="FF0000"/>
      <w:sz w:val="21"/>
      <w:szCs w:val="21"/>
    </w:rPr>
  </w:style>
  <w:style w:type="character" w:customStyle="1" w:styleId="371">
    <w:name w:val="Strong_file_740_file_546"/>
    <w:basedOn w:val="297"/>
    <w:qFormat/>
    <w:uiPriority w:val="22"/>
    <w:rPr>
      <w:b/>
      <w:bCs/>
    </w:rPr>
  </w:style>
  <w:style w:type="character" w:customStyle="1" w:styleId="372">
    <w:name w:val="Strong_file_3836"/>
    <w:basedOn w:val="373"/>
    <w:qFormat/>
    <w:uiPriority w:val="22"/>
    <w:rPr>
      <w:b/>
      <w:bCs/>
    </w:rPr>
  </w:style>
  <w:style w:type="character" w:customStyle="1" w:styleId="373">
    <w:name w:val="Default Paragraph Font_file_3836"/>
    <w:unhideWhenUsed/>
    <w:qFormat/>
    <w:uiPriority w:val="1"/>
  </w:style>
  <w:style w:type="character" w:customStyle="1" w:styleId="374">
    <w:name w:val="Strong_file_3844"/>
    <w:basedOn w:val="375"/>
    <w:qFormat/>
    <w:uiPriority w:val="22"/>
    <w:rPr>
      <w:b/>
      <w:bCs/>
    </w:rPr>
  </w:style>
  <w:style w:type="character" w:customStyle="1" w:styleId="375">
    <w:name w:val="Default Paragraph Font_file_3844"/>
    <w:unhideWhenUsed/>
    <w:qFormat/>
    <w:uiPriority w:val="1"/>
  </w:style>
  <w:style w:type="character" w:customStyle="1" w:styleId="376">
    <w:name w:val="Emphasis_file_3315"/>
    <w:basedOn w:val="377"/>
    <w:qFormat/>
    <w:uiPriority w:val="20"/>
    <w:rPr>
      <w:i/>
      <w:iCs/>
    </w:rPr>
  </w:style>
  <w:style w:type="character" w:customStyle="1" w:styleId="377">
    <w:name w:val="Default Paragraph Font_file_3315"/>
    <w:unhideWhenUsed/>
    <w:qFormat/>
    <w:uiPriority w:val="1"/>
  </w:style>
  <w:style w:type="paragraph" w:customStyle="1" w:styleId="378">
    <w:name w:val="heading 6_file_3206"/>
    <w:basedOn w:val="379"/>
    <w:qFormat/>
    <w:uiPriority w:val="9"/>
    <w:pPr>
      <w:outlineLvl w:val="5"/>
    </w:pPr>
    <w:rPr>
      <w:sz w:val="15"/>
      <w:szCs w:val="15"/>
    </w:rPr>
  </w:style>
  <w:style w:type="paragraph" w:customStyle="1" w:styleId="379">
    <w:name w:val="Normal_file_320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0">
    <w:name w:val="heading 5_file_3198"/>
    <w:basedOn w:val="381"/>
    <w:qFormat/>
    <w:uiPriority w:val="9"/>
    <w:pPr>
      <w:outlineLvl w:val="4"/>
    </w:pPr>
    <w:rPr>
      <w:sz w:val="20"/>
      <w:szCs w:val="20"/>
    </w:rPr>
  </w:style>
  <w:style w:type="paragraph" w:customStyle="1" w:styleId="381">
    <w:name w:val="Normal_file_31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2">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3">
    <w:name w:val="heading 3_file_3195"/>
    <w:basedOn w:val="384"/>
    <w:qFormat/>
    <w:uiPriority w:val="9"/>
    <w:pPr>
      <w:outlineLvl w:val="2"/>
    </w:pPr>
    <w:rPr>
      <w:sz w:val="27"/>
      <w:szCs w:val="27"/>
    </w:rPr>
  </w:style>
  <w:style w:type="paragraph" w:customStyle="1" w:styleId="384">
    <w:name w:val="Normal_file_319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85">
    <w:name w:val="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三级条标题"/>
    <w:basedOn w:val="387"/>
    <w:next w:val="388"/>
    <w:qFormat/>
    <w:uiPriority w:val="0"/>
    <w:pPr>
      <w:outlineLvl w:val="4"/>
    </w:pPr>
  </w:style>
  <w:style w:type="paragraph" w:customStyle="1" w:styleId="387">
    <w:name w:val="二级条标题"/>
    <w:basedOn w:val="1"/>
    <w:next w:val="1"/>
    <w:qFormat/>
    <w:uiPriority w:val="0"/>
    <w:pPr>
      <w:widowControl/>
      <w:jc w:val="left"/>
      <w:outlineLvl w:val="3"/>
    </w:pPr>
    <w:rPr>
      <w:rFonts w:ascii="宋体" w:hAnsi="宋体"/>
      <w:color w:val="000000"/>
      <w:kern w:val="0"/>
      <w:szCs w:val="20"/>
    </w:rPr>
  </w:style>
  <w:style w:type="paragraph" w:customStyle="1" w:styleId="388">
    <w:name w:val="段"/>
    <w:qFormat/>
    <w:uiPriority w:val="0"/>
    <w:pPr>
      <w:autoSpaceDE w:val="0"/>
      <w:autoSpaceDN w:val="0"/>
      <w:ind w:firstLine="200" w:firstLineChars="200"/>
      <w:jc w:val="both"/>
    </w:pPr>
    <w:rPr>
      <w:rFonts w:ascii="Times New Roman" w:hAnsi="Times New Roman" w:eastAsia="宋体" w:cs="Times New Roman"/>
      <w:sz w:val="21"/>
      <w:lang w:val="en-US" w:eastAsia="zh-CN" w:bidi="ar-SA"/>
    </w:rPr>
  </w:style>
  <w:style w:type="paragraph" w:customStyle="1" w:styleId="389">
    <w:name w:val="cke_editable_file_3196"/>
    <w:basedOn w:val="390"/>
    <w:qFormat/>
    <w:uiPriority w:val="0"/>
    <w:rPr>
      <w:rFonts w:ascii="仿宋_GB2312" w:eastAsia="仿宋_GB2312"/>
    </w:rPr>
  </w:style>
  <w:style w:type="paragraph" w:customStyle="1" w:styleId="390">
    <w:name w:val="Normal_file_319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1">
    <w:name w:val="Normal (Web)_file_872_file_88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392">
    <w:name w:val="heading 6_file_3198"/>
    <w:basedOn w:val="381"/>
    <w:qFormat/>
    <w:uiPriority w:val="9"/>
    <w:pPr>
      <w:outlineLvl w:val="5"/>
    </w:pPr>
    <w:rPr>
      <w:sz w:val="15"/>
      <w:szCs w:val="15"/>
    </w:rPr>
  </w:style>
  <w:style w:type="paragraph" w:customStyle="1" w:styleId="393">
    <w:name w:val="marker_file_3196"/>
    <w:basedOn w:val="390"/>
    <w:qFormat/>
    <w:uiPriority w:val="0"/>
    <w:pPr>
      <w:shd w:val="clear" w:color="auto" w:fill="FFFF00"/>
    </w:pPr>
  </w:style>
  <w:style w:type="paragraph" w:customStyle="1" w:styleId="394">
    <w:name w:val="Char Char Char Char"/>
    <w:basedOn w:val="1"/>
    <w:qFormat/>
    <w:uiPriority w:val="0"/>
  </w:style>
  <w:style w:type="paragraph" w:customStyle="1" w:styleId="395">
    <w:name w:val="heading 4_file_3195"/>
    <w:basedOn w:val="384"/>
    <w:qFormat/>
    <w:uiPriority w:val="9"/>
    <w:pPr>
      <w:outlineLvl w:val="3"/>
    </w:pPr>
  </w:style>
  <w:style w:type="paragraph" w:customStyle="1" w:styleId="396">
    <w:name w:val="Normal_file_319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97">
    <w:name w:val="1"/>
    <w:basedOn w:val="1"/>
    <w:next w:val="26"/>
    <w:qFormat/>
    <w:uiPriority w:val="0"/>
    <w:rPr>
      <w:rFonts w:ascii="宋体" w:hAnsi="Courier New"/>
      <w:szCs w:val="20"/>
    </w:rPr>
  </w:style>
  <w:style w:type="paragraph" w:customStyle="1" w:styleId="398">
    <w:name w:val="heading 1_file_3193"/>
    <w:basedOn w:val="396"/>
    <w:qFormat/>
    <w:uiPriority w:val="9"/>
    <w:pPr>
      <w:outlineLvl w:val="0"/>
    </w:pPr>
    <w:rPr>
      <w:kern w:val="36"/>
      <w:sz w:val="48"/>
      <w:szCs w:val="48"/>
    </w:rPr>
  </w:style>
  <w:style w:type="paragraph" w:customStyle="1" w:styleId="399">
    <w:name w:val="Normal (Web)_file_3196"/>
    <w:basedOn w:val="390"/>
    <w:unhideWhenUsed/>
    <w:qFormat/>
    <w:uiPriority w:val="99"/>
  </w:style>
  <w:style w:type="paragraph" w:customStyle="1" w:styleId="40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401">
    <w:name w:val="heading 5_file_3195"/>
    <w:basedOn w:val="384"/>
    <w:qFormat/>
    <w:uiPriority w:val="9"/>
    <w:pPr>
      <w:outlineLvl w:val="4"/>
    </w:pPr>
    <w:rPr>
      <w:sz w:val="20"/>
      <w:szCs w:val="20"/>
    </w:rPr>
  </w:style>
  <w:style w:type="paragraph" w:customStyle="1" w:styleId="402">
    <w:name w:val="表格"/>
    <w:basedOn w:val="1"/>
    <w:qFormat/>
    <w:uiPriority w:val="0"/>
    <w:pPr>
      <w:spacing w:line="400" w:lineRule="exact"/>
    </w:pPr>
    <w:rPr>
      <w:sz w:val="24"/>
    </w:rPr>
  </w:style>
  <w:style w:type="paragraph" w:customStyle="1" w:styleId="403">
    <w:name w:val="heading 2_file_3193"/>
    <w:basedOn w:val="396"/>
    <w:qFormat/>
    <w:uiPriority w:val="9"/>
    <w:pPr>
      <w:outlineLvl w:val="1"/>
    </w:pPr>
    <w:rPr>
      <w:sz w:val="36"/>
      <w:szCs w:val="36"/>
    </w:rPr>
  </w:style>
  <w:style w:type="paragraph" w:customStyle="1" w:styleId="404">
    <w:name w:val="Char Char Char Char1"/>
    <w:basedOn w:val="1"/>
    <w:qFormat/>
    <w:uiPriority w:val="0"/>
  </w:style>
  <w:style w:type="paragraph" w:customStyle="1" w:styleId="405">
    <w:name w:val="Normal_file_319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06">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07">
    <w:name w:val="列表段落1"/>
    <w:basedOn w:val="1"/>
    <w:qFormat/>
    <w:uiPriority w:val="0"/>
    <w:pPr>
      <w:ind w:firstLine="420" w:firstLineChars="200"/>
    </w:pPr>
    <w:rPr>
      <w:rFonts w:ascii="Calibri" w:hAnsi="Calibri"/>
      <w:szCs w:val="22"/>
    </w:rPr>
  </w:style>
  <w:style w:type="paragraph" w:customStyle="1" w:styleId="408">
    <w:name w:val="heading 6_file_3195"/>
    <w:basedOn w:val="384"/>
    <w:qFormat/>
    <w:uiPriority w:val="9"/>
    <w:pPr>
      <w:outlineLvl w:val="5"/>
    </w:pPr>
    <w:rPr>
      <w:sz w:val="15"/>
      <w:szCs w:val="15"/>
    </w:rPr>
  </w:style>
  <w:style w:type="paragraph" w:customStyle="1" w:styleId="409">
    <w:name w:val="annotation text_file_3194"/>
    <w:basedOn w:val="53"/>
    <w:unhideWhenUsed/>
    <w:qFormat/>
    <w:uiPriority w:val="99"/>
    <w:pPr>
      <w:jc w:val="left"/>
    </w:pPr>
    <w:rPr>
      <w:szCs w:val="24"/>
    </w:rPr>
  </w:style>
  <w:style w:type="paragraph" w:customStyle="1" w:styleId="410">
    <w:name w:val="pa-3"/>
    <w:basedOn w:val="1"/>
    <w:qFormat/>
    <w:uiPriority w:val="0"/>
    <w:pPr>
      <w:widowControl/>
      <w:spacing w:line="240" w:lineRule="atLeast"/>
    </w:pPr>
    <w:rPr>
      <w:rFonts w:ascii="宋体" w:hAnsi="宋体" w:cs="宋体"/>
      <w:kern w:val="0"/>
      <w:sz w:val="24"/>
    </w:rPr>
  </w:style>
  <w:style w:type="paragraph" w:customStyle="1" w:styleId="41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412">
    <w:name w:val="heading 5_file_3193"/>
    <w:basedOn w:val="396"/>
    <w:qFormat/>
    <w:uiPriority w:val="9"/>
    <w:pPr>
      <w:outlineLvl w:val="4"/>
    </w:pPr>
    <w:rPr>
      <w:sz w:val="20"/>
      <w:szCs w:val="20"/>
    </w:rPr>
  </w:style>
  <w:style w:type="paragraph" w:customStyle="1" w:styleId="413">
    <w:name w:val="heading 3_file_3197"/>
    <w:basedOn w:val="405"/>
    <w:qFormat/>
    <w:uiPriority w:val="9"/>
    <w:pPr>
      <w:outlineLvl w:val="2"/>
    </w:pPr>
    <w:rPr>
      <w:sz w:val="27"/>
      <w:szCs w:val="27"/>
    </w:rPr>
  </w:style>
  <w:style w:type="paragraph" w:customStyle="1" w:styleId="414">
    <w:name w:val="正文1"/>
    <w:basedOn w:val="1"/>
    <w:qFormat/>
    <w:uiPriority w:val="0"/>
    <w:pPr>
      <w:widowControl/>
      <w:overflowPunct w:val="0"/>
      <w:autoSpaceDE w:val="0"/>
      <w:autoSpaceDN w:val="0"/>
      <w:adjustRightInd w:val="0"/>
    </w:pPr>
    <w:rPr>
      <w:rFonts w:ascii="宋体"/>
      <w:kern w:val="0"/>
      <w:szCs w:val="20"/>
    </w:rPr>
  </w:style>
  <w:style w:type="paragraph" w:customStyle="1" w:styleId="415">
    <w:name w:val="规范正文"/>
    <w:basedOn w:val="1"/>
    <w:qFormat/>
    <w:uiPriority w:val="0"/>
    <w:pPr>
      <w:adjustRightInd w:val="0"/>
      <w:spacing w:line="360" w:lineRule="auto"/>
      <w:ind w:left="480"/>
      <w:textAlignment w:val="baseline"/>
    </w:pPr>
    <w:rPr>
      <w:kern w:val="0"/>
      <w:sz w:val="24"/>
      <w:szCs w:val="20"/>
    </w:rPr>
  </w:style>
  <w:style w:type="paragraph" w:customStyle="1" w:styleId="416">
    <w:name w:val="heading 6_file_3193"/>
    <w:basedOn w:val="396"/>
    <w:qFormat/>
    <w:uiPriority w:val="9"/>
    <w:pPr>
      <w:outlineLvl w:val="5"/>
    </w:pPr>
    <w:rPr>
      <w:sz w:val="15"/>
      <w:szCs w:val="15"/>
    </w:rPr>
  </w:style>
  <w:style w:type="paragraph" w:customStyle="1" w:styleId="417">
    <w:name w:val="about_main1"/>
    <w:basedOn w:val="1"/>
    <w:qFormat/>
    <w:uiPriority w:val="0"/>
    <w:pPr>
      <w:widowControl/>
      <w:spacing w:before="30" w:after="100" w:afterAutospacing="1"/>
      <w:jc w:val="left"/>
    </w:pPr>
    <w:rPr>
      <w:rFonts w:ascii="宋体" w:hAnsi="宋体" w:cs="宋体"/>
      <w:kern w:val="0"/>
      <w:sz w:val="24"/>
    </w:rPr>
  </w:style>
  <w:style w:type="paragraph" w:customStyle="1" w:styleId="418">
    <w:name w:val="heading 4_file_3197"/>
    <w:basedOn w:val="405"/>
    <w:qFormat/>
    <w:uiPriority w:val="9"/>
    <w:pPr>
      <w:outlineLvl w:val="3"/>
    </w:pPr>
  </w:style>
  <w:style w:type="paragraph" w:customStyle="1" w:styleId="419">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0">
    <w:name w:val="pa-2"/>
    <w:basedOn w:val="1"/>
    <w:qFormat/>
    <w:uiPriority w:val="0"/>
    <w:pPr>
      <w:widowControl/>
      <w:spacing w:line="280" w:lineRule="atLeast"/>
      <w:ind w:firstLine="420"/>
    </w:pPr>
    <w:rPr>
      <w:rFonts w:ascii="宋体" w:hAnsi="宋体" w:cs="宋体"/>
      <w:kern w:val="0"/>
      <w:sz w:val="24"/>
    </w:rPr>
  </w:style>
  <w:style w:type="paragraph" w:customStyle="1" w:styleId="421">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422">
    <w:name w:val="heading 5_file_3197"/>
    <w:basedOn w:val="405"/>
    <w:qFormat/>
    <w:uiPriority w:val="9"/>
    <w:pPr>
      <w:outlineLvl w:val="4"/>
    </w:pPr>
    <w:rPr>
      <w:sz w:val="20"/>
      <w:szCs w:val="20"/>
    </w:rPr>
  </w:style>
  <w:style w:type="paragraph" w:customStyle="1" w:styleId="423">
    <w:name w:val="cke_editable_file_3195"/>
    <w:basedOn w:val="384"/>
    <w:qFormat/>
    <w:uiPriority w:val="0"/>
    <w:rPr>
      <w:rFonts w:ascii="仿宋_GB2312" w:eastAsia="仿宋_GB2312"/>
    </w:rPr>
  </w:style>
  <w:style w:type="paragraph" w:customStyle="1" w:styleId="424">
    <w:name w:val="pa-5"/>
    <w:basedOn w:val="1"/>
    <w:qFormat/>
    <w:uiPriority w:val="0"/>
    <w:pPr>
      <w:widowControl/>
      <w:spacing w:line="240" w:lineRule="atLeast"/>
      <w:ind w:firstLine="420"/>
    </w:pPr>
    <w:rPr>
      <w:rFonts w:ascii="宋体" w:hAnsi="宋体" w:cs="宋体"/>
      <w:kern w:val="0"/>
      <w:sz w:val="24"/>
    </w:rPr>
  </w:style>
  <w:style w:type="paragraph" w:customStyle="1" w:styleId="425">
    <w:name w:val="marker_file_3195"/>
    <w:basedOn w:val="384"/>
    <w:qFormat/>
    <w:uiPriority w:val="0"/>
    <w:pPr>
      <w:shd w:val="clear" w:color="auto" w:fill="FFFF00"/>
    </w:pPr>
  </w:style>
  <w:style w:type="paragraph" w:customStyle="1" w:styleId="426">
    <w:name w:val="heading 2_file_3195"/>
    <w:basedOn w:val="384"/>
    <w:qFormat/>
    <w:uiPriority w:val="9"/>
    <w:pPr>
      <w:outlineLvl w:val="1"/>
    </w:pPr>
    <w:rPr>
      <w:sz w:val="36"/>
      <w:szCs w:val="36"/>
    </w:rPr>
  </w:style>
  <w:style w:type="paragraph" w:customStyle="1" w:styleId="427">
    <w:name w:val="heading 6_file_3197"/>
    <w:basedOn w:val="405"/>
    <w:qFormat/>
    <w:uiPriority w:val="9"/>
    <w:pPr>
      <w:outlineLvl w:val="5"/>
    </w:pPr>
    <w:rPr>
      <w:sz w:val="15"/>
      <w:szCs w:val="15"/>
    </w:rPr>
  </w:style>
  <w:style w:type="paragraph" w:customStyle="1" w:styleId="428">
    <w:name w:val="默认段落字体 Para Char Char Char1 Char"/>
    <w:basedOn w:val="1"/>
    <w:qFormat/>
    <w:uiPriority w:val="0"/>
    <w:rPr>
      <w:rFonts w:ascii="Tahoma" w:hAnsi="Tahoma"/>
      <w:sz w:val="24"/>
      <w:szCs w:val="20"/>
    </w:rPr>
  </w:style>
  <w:style w:type="paragraph" w:customStyle="1" w:styleId="429">
    <w:name w:val="Normal (Web)_file_3195"/>
    <w:basedOn w:val="384"/>
    <w:unhideWhenUsed/>
    <w:qFormat/>
    <w:uiPriority w:val="99"/>
  </w:style>
  <w:style w:type="paragraph" w:customStyle="1" w:styleId="430">
    <w:name w:val="heading 1_file_3195"/>
    <w:basedOn w:val="384"/>
    <w:qFormat/>
    <w:uiPriority w:val="9"/>
    <w:pPr>
      <w:outlineLvl w:val="0"/>
    </w:pPr>
    <w:rPr>
      <w:kern w:val="36"/>
      <w:sz w:val="48"/>
      <w:szCs w:val="48"/>
    </w:rPr>
  </w:style>
  <w:style w:type="paragraph" w:customStyle="1" w:styleId="431">
    <w:name w:val="列项——"/>
    <w:qFormat/>
    <w:uiPriority w:val="0"/>
    <w:pPr>
      <w:widowControl w:val="0"/>
      <w:tabs>
        <w:tab w:val="left" w:pos="854"/>
      </w:tabs>
      <w:ind w:left="840" w:leftChars="200" w:hanging="420" w:hangingChars="200"/>
      <w:jc w:val="both"/>
    </w:pPr>
    <w:rPr>
      <w:rFonts w:ascii="Times New Roman" w:hAnsi="Times New Roman" w:eastAsia="宋体" w:cs="Times New Roman"/>
      <w:sz w:val="21"/>
      <w:lang w:val="en-US" w:eastAsia="zh-CN" w:bidi="ar-SA"/>
    </w:rPr>
  </w:style>
  <w:style w:type="paragraph" w:customStyle="1" w:styleId="432">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434">
    <w:name w:val="444"/>
    <w:basedOn w:val="1"/>
    <w:qFormat/>
    <w:uiPriority w:val="0"/>
    <w:pPr>
      <w:adjustRightInd w:val="0"/>
      <w:spacing w:line="312" w:lineRule="atLeast"/>
      <w:jc w:val="center"/>
      <w:textAlignment w:val="baseline"/>
    </w:pPr>
    <w:rPr>
      <w:b/>
      <w:kern w:val="0"/>
      <w:sz w:val="36"/>
      <w:szCs w:val="36"/>
    </w:rPr>
  </w:style>
  <w:style w:type="paragraph" w:customStyle="1" w:styleId="435">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36">
    <w:name w:val="footer_file_3194"/>
    <w:basedOn w:val="53"/>
    <w:unhideWhenUsed/>
    <w:qFormat/>
    <w:uiPriority w:val="99"/>
    <w:pPr>
      <w:tabs>
        <w:tab w:val="center" w:pos="4153"/>
        <w:tab w:val="right" w:pos="8306"/>
      </w:tabs>
      <w:snapToGrid w:val="0"/>
      <w:jc w:val="left"/>
    </w:pPr>
    <w:rPr>
      <w:sz w:val="18"/>
      <w:szCs w:val="18"/>
    </w:rPr>
  </w:style>
  <w:style w:type="paragraph" w:customStyle="1" w:styleId="437">
    <w:name w:val="cke_editable_file_3193"/>
    <w:basedOn w:val="396"/>
    <w:qFormat/>
    <w:uiPriority w:val="0"/>
    <w:rPr>
      <w:rFonts w:ascii="仿宋_GB2312" w:eastAsia="仿宋_GB2312"/>
    </w:rPr>
  </w:style>
  <w:style w:type="paragraph" w:customStyle="1" w:styleId="438">
    <w:name w:val="列表1"/>
    <w:basedOn w:val="439"/>
    <w:qFormat/>
    <w:uiPriority w:val="0"/>
    <w:pPr>
      <w:tabs>
        <w:tab w:val="left" w:pos="900"/>
      </w:tabs>
      <w:ind w:left="900" w:hanging="420"/>
    </w:pPr>
    <w:rPr>
      <w:rFonts w:ascii="Times New Roman" w:hAnsi="Times New Roman"/>
      <w:szCs w:val="20"/>
    </w:rPr>
  </w:style>
  <w:style w:type="paragraph" w:customStyle="1" w:styleId="439">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440">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441">
    <w:name w:val="cke_editable_file_3197"/>
    <w:basedOn w:val="405"/>
    <w:qFormat/>
    <w:uiPriority w:val="0"/>
    <w:rPr>
      <w:rFonts w:ascii="仿宋_GB2312" w:eastAsia="仿宋_GB2312"/>
    </w:rPr>
  </w:style>
  <w:style w:type="paragraph" w:customStyle="1" w:styleId="442">
    <w:name w:val="heading 1_file_3196"/>
    <w:basedOn w:val="390"/>
    <w:qFormat/>
    <w:uiPriority w:val="9"/>
    <w:pPr>
      <w:outlineLvl w:val="0"/>
    </w:pPr>
    <w:rPr>
      <w:kern w:val="36"/>
      <w:sz w:val="48"/>
      <w:szCs w:val="48"/>
    </w:rPr>
  </w:style>
  <w:style w:type="paragraph" w:customStyle="1" w:styleId="443">
    <w:name w:val="marker_file_3193"/>
    <w:basedOn w:val="396"/>
    <w:qFormat/>
    <w:uiPriority w:val="0"/>
    <w:pPr>
      <w:shd w:val="clear" w:color="auto" w:fill="FFFF00"/>
    </w:pPr>
  </w:style>
  <w:style w:type="paragraph" w:customStyle="1" w:styleId="444">
    <w:name w:val="1."/>
    <w:basedOn w:val="1"/>
    <w:qFormat/>
    <w:uiPriority w:val="0"/>
    <w:pPr>
      <w:spacing w:line="360" w:lineRule="auto"/>
      <w:ind w:firstLine="480" w:firstLineChars="200"/>
    </w:pPr>
    <w:rPr>
      <w:rFonts w:ascii="宋体" w:hAnsi="宋体"/>
      <w:sz w:val="24"/>
    </w:rPr>
  </w:style>
  <w:style w:type="paragraph" w:customStyle="1" w:styleId="445">
    <w:name w:val="样式 首行缩进:  2 字符"/>
    <w:basedOn w:val="1"/>
    <w:qFormat/>
    <w:uiPriority w:val="0"/>
    <w:pPr>
      <w:spacing w:line="400" w:lineRule="exact"/>
      <w:ind w:firstLine="200" w:firstLineChars="200"/>
    </w:pPr>
    <w:rPr>
      <w:rFonts w:cs="宋体"/>
      <w:sz w:val="24"/>
    </w:rPr>
  </w:style>
  <w:style w:type="paragraph" w:customStyle="1" w:styleId="446">
    <w:name w:val="heading 2_file_3196"/>
    <w:basedOn w:val="390"/>
    <w:qFormat/>
    <w:uiPriority w:val="9"/>
    <w:pPr>
      <w:outlineLvl w:val="1"/>
    </w:pPr>
    <w:rPr>
      <w:sz w:val="36"/>
      <w:szCs w:val="36"/>
    </w:rPr>
  </w:style>
  <w:style w:type="paragraph" w:customStyle="1" w:styleId="447">
    <w:name w:val="Normal (Web)_file_3193"/>
    <w:basedOn w:val="396"/>
    <w:unhideWhenUsed/>
    <w:qFormat/>
    <w:uiPriority w:val="99"/>
  </w:style>
  <w:style w:type="paragraph" w:customStyle="1" w:styleId="448">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449">
    <w:name w:val="Char Char Char"/>
    <w:basedOn w:val="1"/>
    <w:qFormat/>
    <w:uiPriority w:val="0"/>
    <w:rPr>
      <w:rFonts w:ascii="Tahoma" w:hAnsi="Tahoma"/>
      <w:sz w:val="24"/>
      <w:szCs w:val="20"/>
    </w:rPr>
  </w:style>
  <w:style w:type="paragraph" w:customStyle="1" w:styleId="450">
    <w:name w:val="heading 2_file_3197"/>
    <w:basedOn w:val="405"/>
    <w:qFormat/>
    <w:uiPriority w:val="9"/>
    <w:pPr>
      <w:outlineLvl w:val="1"/>
    </w:pPr>
    <w:rPr>
      <w:sz w:val="36"/>
      <w:szCs w:val="36"/>
    </w:rPr>
  </w:style>
  <w:style w:type="paragraph" w:customStyle="1" w:styleId="451">
    <w:name w:val="heading 4_file_3193"/>
    <w:basedOn w:val="396"/>
    <w:qFormat/>
    <w:uiPriority w:val="9"/>
    <w:pPr>
      <w:outlineLvl w:val="3"/>
    </w:pPr>
  </w:style>
  <w:style w:type="paragraph" w:customStyle="1" w:styleId="452">
    <w:name w:val="Char1"/>
    <w:basedOn w:val="17"/>
    <w:qFormat/>
    <w:uiPriority w:val="0"/>
    <w:pPr>
      <w:widowControl/>
      <w:ind w:firstLine="454"/>
      <w:jc w:val="left"/>
    </w:pPr>
    <w:rPr>
      <w:rFonts w:ascii="Tahoma" w:hAnsi="Tahoma" w:cs="宋体"/>
      <w:kern w:val="0"/>
      <w:sz w:val="24"/>
      <w:szCs w:val="20"/>
    </w:rPr>
  </w:style>
  <w:style w:type="paragraph" w:customStyle="1" w:styleId="453">
    <w:name w:val="样式 Verdana 首行缩进:  0.74 厘米"/>
    <w:basedOn w:val="1"/>
    <w:qFormat/>
    <w:uiPriority w:val="0"/>
    <w:pPr>
      <w:spacing w:line="360" w:lineRule="auto"/>
      <w:ind w:firstLine="420"/>
    </w:pPr>
    <w:rPr>
      <w:rFonts w:ascii="Verdana" w:hAnsi="Verdana"/>
      <w:sz w:val="24"/>
      <w:szCs w:val="20"/>
    </w:rPr>
  </w:style>
  <w:style w:type="paragraph" w:customStyle="1" w:styleId="454">
    <w:name w:val="heading 1_file_3197"/>
    <w:basedOn w:val="405"/>
    <w:qFormat/>
    <w:uiPriority w:val="9"/>
    <w:pPr>
      <w:outlineLvl w:val="0"/>
    </w:pPr>
    <w:rPr>
      <w:kern w:val="36"/>
      <w:sz w:val="48"/>
      <w:szCs w:val="48"/>
    </w:rPr>
  </w:style>
  <w:style w:type="paragraph" w:customStyle="1" w:styleId="45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456">
    <w:name w:val="heading 4_file_3196"/>
    <w:basedOn w:val="390"/>
    <w:qFormat/>
    <w:uiPriority w:val="9"/>
    <w:pPr>
      <w:outlineLvl w:val="3"/>
    </w:pPr>
  </w:style>
  <w:style w:type="paragraph" w:customStyle="1" w:styleId="457">
    <w:name w:val="F2"/>
    <w:basedOn w:val="1"/>
    <w:qFormat/>
    <w:uiPriority w:val="0"/>
    <w:pPr>
      <w:autoSpaceDE w:val="0"/>
      <w:autoSpaceDN w:val="0"/>
      <w:adjustRightInd w:val="0"/>
      <w:ind w:firstLine="601"/>
      <w:textAlignment w:val="baseline"/>
    </w:pPr>
    <w:rPr>
      <w:kern w:val="0"/>
      <w:sz w:val="24"/>
      <w:szCs w:val="20"/>
    </w:rPr>
  </w:style>
  <w:style w:type="paragraph" w:customStyle="1" w:styleId="458">
    <w:name w:val="Normal (Web)_file_3197"/>
    <w:basedOn w:val="405"/>
    <w:unhideWhenUsed/>
    <w:qFormat/>
    <w:uiPriority w:val="99"/>
  </w:style>
  <w:style w:type="paragraph" w:customStyle="1" w:styleId="459">
    <w:name w:val="样式 标题 3 + (中文) 黑体 小四 非加粗 段前: 7.8 磅 段后: 0 磅 行距: 固定值 20 磅"/>
    <w:basedOn w:val="6"/>
    <w:qFormat/>
    <w:uiPriority w:val="0"/>
    <w:pPr>
      <w:spacing w:before="0" w:after="0" w:line="400" w:lineRule="exact"/>
    </w:pPr>
    <w:rPr>
      <w:rFonts w:eastAsia="黑体" w:cs="宋体"/>
      <w:b w:val="0"/>
      <w:bCs w:val="0"/>
      <w:kern w:val="0"/>
      <w:sz w:val="24"/>
      <w:szCs w:val="20"/>
    </w:rPr>
  </w:style>
  <w:style w:type="paragraph" w:customStyle="1" w:styleId="460">
    <w:name w:val="四级条标题"/>
    <w:basedOn w:val="386"/>
    <w:next w:val="388"/>
    <w:qFormat/>
    <w:uiPriority w:val="0"/>
    <w:pPr>
      <w:outlineLvl w:val="5"/>
    </w:pPr>
  </w:style>
  <w:style w:type="paragraph" w:customStyle="1" w:styleId="461">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462">
    <w:name w:val="heading 5_file_3196"/>
    <w:basedOn w:val="390"/>
    <w:qFormat/>
    <w:uiPriority w:val="9"/>
    <w:pPr>
      <w:outlineLvl w:val="4"/>
    </w:pPr>
    <w:rPr>
      <w:sz w:val="20"/>
      <w:szCs w:val="20"/>
    </w:rPr>
  </w:style>
  <w:style w:type="paragraph" w:customStyle="1" w:styleId="46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464">
    <w:name w:val="五级条标题"/>
    <w:basedOn w:val="460"/>
    <w:next w:val="388"/>
    <w:qFormat/>
    <w:uiPriority w:val="0"/>
    <w:pPr>
      <w:outlineLvl w:val="6"/>
    </w:pPr>
  </w:style>
  <w:style w:type="paragraph" w:customStyle="1" w:styleId="465">
    <w:name w:val="样式6"/>
    <w:basedOn w:val="8"/>
    <w:qFormat/>
    <w:uiPriority w:val="0"/>
    <w:pPr>
      <w:numPr>
        <w:ilvl w:val="0"/>
        <w:numId w:val="0"/>
      </w:numPr>
      <w:spacing w:line="360" w:lineRule="auto"/>
      <w:ind w:left="210" w:leftChars="100"/>
    </w:pPr>
    <w:rPr>
      <w:rFonts w:ascii="宋体" w:hAnsi="宋体" w:cs="Arial"/>
      <w:bCs/>
      <w:sz w:val="24"/>
    </w:rPr>
  </w:style>
  <w:style w:type="paragraph" w:customStyle="1" w:styleId="466">
    <w:name w:val="1 Char"/>
    <w:basedOn w:val="9"/>
    <w:qFormat/>
    <w:uiPriority w:val="0"/>
    <w:pPr>
      <w:spacing w:line="360" w:lineRule="auto"/>
      <w:ind w:left="0" w:firstLine="200" w:firstLineChars="200"/>
      <w:jc w:val="both"/>
    </w:pPr>
    <w:rPr>
      <w:rFonts w:ascii="Times New Roman"/>
      <w:snapToGrid/>
      <w:kern w:val="2"/>
      <w:sz w:val="21"/>
    </w:rPr>
  </w:style>
  <w:style w:type="paragraph" w:customStyle="1" w:styleId="467">
    <w:name w:val="heading 6_file_3196"/>
    <w:basedOn w:val="390"/>
    <w:qFormat/>
    <w:uiPriority w:val="9"/>
    <w:pPr>
      <w:outlineLvl w:val="5"/>
    </w:pPr>
    <w:rPr>
      <w:sz w:val="15"/>
      <w:szCs w:val="15"/>
    </w:rPr>
  </w:style>
  <w:style w:type="paragraph" w:customStyle="1" w:styleId="468">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469">
    <w:name w:val="2ji"/>
    <w:basedOn w:val="5"/>
    <w:qFormat/>
    <w:uiPriority w:val="0"/>
    <w:pPr>
      <w:keepLines/>
      <w:spacing w:before="0"/>
      <w:jc w:val="both"/>
      <w:textAlignment w:val="baseline"/>
    </w:pPr>
    <w:rPr>
      <w:rFonts w:ascii="宋体" w:hAnsi="宋体" w:eastAsia="宋体"/>
      <w:bCs/>
      <w:sz w:val="21"/>
      <w:szCs w:val="21"/>
    </w:rPr>
  </w:style>
  <w:style w:type="paragraph" w:customStyle="1" w:styleId="470">
    <w:name w:val="heading 1_file_3198"/>
    <w:basedOn w:val="381"/>
    <w:qFormat/>
    <w:uiPriority w:val="9"/>
    <w:pPr>
      <w:outlineLvl w:val="0"/>
    </w:pPr>
    <w:rPr>
      <w:kern w:val="36"/>
      <w:sz w:val="48"/>
      <w:szCs w:val="48"/>
    </w:rPr>
  </w:style>
  <w:style w:type="paragraph" w:customStyle="1" w:styleId="471">
    <w:name w:val="列出段落1"/>
    <w:basedOn w:val="1"/>
    <w:qFormat/>
    <w:uiPriority w:val="0"/>
    <w:pPr>
      <w:ind w:firstLine="420" w:firstLineChars="200"/>
    </w:pPr>
    <w:rPr>
      <w:rFonts w:ascii="Calibri" w:hAnsi="Calibri"/>
      <w:szCs w:val="22"/>
    </w:rPr>
  </w:style>
  <w:style w:type="paragraph" w:customStyle="1" w:styleId="472">
    <w:name w:val="Tabletext"/>
    <w:basedOn w:val="1"/>
    <w:qFormat/>
    <w:uiPriority w:val="0"/>
    <w:pPr>
      <w:keepLines/>
      <w:spacing w:after="120" w:line="240" w:lineRule="atLeast"/>
      <w:jc w:val="left"/>
    </w:pPr>
    <w:rPr>
      <w:rFonts w:ascii="宋体"/>
      <w:snapToGrid w:val="0"/>
      <w:kern w:val="0"/>
      <w:sz w:val="20"/>
      <w:szCs w:val="20"/>
    </w:rPr>
  </w:style>
  <w:style w:type="paragraph" w:customStyle="1" w:styleId="473">
    <w:name w:val="正文段"/>
    <w:basedOn w:val="1"/>
    <w:qFormat/>
    <w:uiPriority w:val="0"/>
    <w:pPr>
      <w:widowControl/>
      <w:snapToGrid w:val="0"/>
      <w:spacing w:after="156" w:afterLines="50"/>
      <w:ind w:firstLine="200" w:firstLineChars="200"/>
    </w:pPr>
    <w:rPr>
      <w:kern w:val="0"/>
      <w:sz w:val="24"/>
      <w:szCs w:val="20"/>
    </w:rPr>
  </w:style>
  <w:style w:type="paragraph" w:customStyle="1" w:styleId="474">
    <w:name w:val="_Style 2"/>
    <w:basedOn w:val="1"/>
    <w:qFormat/>
    <w:uiPriority w:val="0"/>
    <w:pPr>
      <w:ind w:firstLine="420" w:firstLineChars="200"/>
    </w:pPr>
  </w:style>
  <w:style w:type="paragraph" w:customStyle="1" w:styleId="475">
    <w:name w:val="heading 2_file_3198"/>
    <w:basedOn w:val="381"/>
    <w:qFormat/>
    <w:uiPriority w:val="9"/>
    <w:pPr>
      <w:outlineLvl w:val="1"/>
    </w:pPr>
    <w:rPr>
      <w:sz w:val="36"/>
      <w:szCs w:val="36"/>
    </w:rPr>
  </w:style>
  <w:style w:type="paragraph" w:customStyle="1" w:styleId="476">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4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478">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79">
    <w:name w:val="样式5"/>
    <w:basedOn w:val="5"/>
    <w:qFormat/>
    <w:uiPriority w:val="0"/>
    <w:pPr>
      <w:keepLines/>
      <w:adjustRightInd/>
      <w:spacing w:before="260" w:after="260"/>
      <w:ind w:left="420" w:leftChars="200"/>
      <w:jc w:val="both"/>
    </w:pPr>
    <w:rPr>
      <w:rFonts w:ascii="宋体" w:hAnsi="宋体" w:eastAsia="宋体"/>
      <w:bCs/>
      <w:sz w:val="24"/>
      <w:szCs w:val="24"/>
    </w:rPr>
  </w:style>
  <w:style w:type="paragraph" w:customStyle="1" w:styleId="480">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481">
    <w:name w:val="heading 3_file_3198"/>
    <w:basedOn w:val="381"/>
    <w:qFormat/>
    <w:uiPriority w:val="9"/>
    <w:pPr>
      <w:outlineLvl w:val="2"/>
    </w:pPr>
    <w:rPr>
      <w:sz w:val="27"/>
      <w:szCs w:val="27"/>
    </w:rPr>
  </w:style>
  <w:style w:type="paragraph" w:customStyle="1" w:styleId="482">
    <w:name w:val="Char"/>
    <w:basedOn w:val="1"/>
    <w:qFormat/>
    <w:uiPriority w:val="0"/>
  </w:style>
  <w:style w:type="paragraph" w:customStyle="1" w:styleId="483">
    <w:name w:val="默认段落字体 Para Char Char Char Char Char Char Char Char Char1 Char Char Char Char"/>
    <w:basedOn w:val="1"/>
    <w:qFormat/>
    <w:uiPriority w:val="0"/>
    <w:rPr>
      <w:rFonts w:ascii="Tahoma" w:hAnsi="Tahoma"/>
      <w:sz w:val="24"/>
      <w:szCs w:val="20"/>
    </w:rPr>
  </w:style>
  <w:style w:type="paragraph" w:customStyle="1" w:styleId="484">
    <w:name w:val="marker_file_3197"/>
    <w:basedOn w:val="405"/>
    <w:qFormat/>
    <w:uiPriority w:val="0"/>
    <w:pPr>
      <w:shd w:val="clear" w:color="auto" w:fill="FFFF00"/>
    </w:pPr>
  </w:style>
  <w:style w:type="paragraph" w:customStyle="1" w:styleId="485">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486">
    <w:name w:val="heading 4_file_3198"/>
    <w:basedOn w:val="381"/>
    <w:qFormat/>
    <w:uiPriority w:val="9"/>
    <w:pPr>
      <w:outlineLvl w:val="3"/>
    </w:pPr>
  </w:style>
  <w:style w:type="paragraph" w:customStyle="1" w:styleId="487">
    <w:name w:val="2-2ji"/>
    <w:basedOn w:val="5"/>
    <w:qFormat/>
    <w:uiPriority w:val="0"/>
    <w:pPr>
      <w:keepLines/>
      <w:spacing w:before="0"/>
      <w:textAlignment w:val="baseline"/>
    </w:pPr>
    <w:rPr>
      <w:rFonts w:ascii="宋体" w:hAnsi="宋体" w:eastAsia="宋体"/>
      <w:sz w:val="36"/>
      <w:szCs w:val="32"/>
    </w:rPr>
  </w:style>
  <w:style w:type="paragraph" w:customStyle="1" w:styleId="488">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489">
    <w:name w:val="p0"/>
    <w:basedOn w:val="1"/>
    <w:qFormat/>
    <w:uiPriority w:val="0"/>
    <w:pPr>
      <w:widowControl/>
    </w:pPr>
    <w:rPr>
      <w:kern w:val="0"/>
      <w:szCs w:val="21"/>
    </w:rPr>
  </w:style>
  <w:style w:type="paragraph" w:customStyle="1" w:styleId="490">
    <w:name w:val="表格文字"/>
    <w:basedOn w:val="1"/>
    <w:qFormat/>
    <w:uiPriority w:val="99"/>
    <w:pPr>
      <w:spacing w:before="25" w:after="25"/>
      <w:jc w:val="left"/>
    </w:pPr>
    <w:rPr>
      <w:bCs/>
      <w:spacing w:val="10"/>
      <w:kern w:val="0"/>
      <w:sz w:val="24"/>
    </w:rPr>
  </w:style>
  <w:style w:type="paragraph" w:customStyle="1" w:styleId="49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2">
    <w:name w:val="heading 3_file_3193"/>
    <w:basedOn w:val="396"/>
    <w:qFormat/>
    <w:uiPriority w:val="9"/>
    <w:pPr>
      <w:outlineLvl w:val="2"/>
    </w:pPr>
    <w:rPr>
      <w:sz w:val="27"/>
      <w:szCs w:val="27"/>
    </w:rPr>
  </w:style>
  <w:style w:type="paragraph" w:customStyle="1" w:styleId="493">
    <w:name w:val="Char1 Char Char Char Char Char Char Char Char Char Char Char Char"/>
    <w:basedOn w:val="1"/>
    <w:qFormat/>
    <w:uiPriority w:val="0"/>
    <w:rPr>
      <w:rFonts w:ascii="Tahoma" w:hAnsi="Tahoma"/>
      <w:sz w:val="24"/>
      <w:szCs w:val="20"/>
    </w:rPr>
  </w:style>
  <w:style w:type="paragraph" w:customStyle="1" w:styleId="494">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495">
    <w:name w:val="正文首行缩进两字符"/>
    <w:basedOn w:val="1"/>
    <w:qFormat/>
    <w:uiPriority w:val="0"/>
    <w:pPr>
      <w:spacing w:line="360" w:lineRule="auto"/>
      <w:ind w:firstLine="200" w:firstLineChars="200"/>
    </w:pPr>
  </w:style>
  <w:style w:type="paragraph" w:customStyle="1" w:styleId="496">
    <w:name w:val="样式"/>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497">
    <w:name w:val="heading 3_file_3196"/>
    <w:basedOn w:val="390"/>
    <w:qFormat/>
    <w:uiPriority w:val="9"/>
    <w:pPr>
      <w:outlineLvl w:val="2"/>
    </w:pPr>
    <w:rPr>
      <w:sz w:val="27"/>
      <w:szCs w:val="27"/>
    </w:rPr>
  </w:style>
  <w:style w:type="paragraph" w:customStyle="1" w:styleId="498">
    <w:name w:val="一级条标题"/>
    <w:next w:val="388"/>
    <w:qFormat/>
    <w:uiPriority w:val="0"/>
    <w:pPr>
      <w:ind w:left="284"/>
      <w:outlineLvl w:val="2"/>
    </w:pPr>
    <w:rPr>
      <w:rFonts w:ascii="Times New Roman" w:hAnsi="Times New Roman" w:eastAsia="黑体" w:cs="Times New Roman"/>
      <w:sz w:val="21"/>
      <w:lang w:val="en-US" w:eastAsia="zh-CN" w:bidi="ar-SA"/>
    </w:rPr>
  </w:style>
  <w:style w:type="paragraph" w:customStyle="1" w:styleId="499">
    <w:name w:val="Char12"/>
    <w:basedOn w:val="1"/>
    <w:qFormat/>
    <w:uiPriority w:val="0"/>
    <w:rPr>
      <w:szCs w:val="21"/>
    </w:rPr>
  </w:style>
  <w:style w:type="paragraph" w:customStyle="1" w:styleId="500">
    <w:name w:val="Char11"/>
    <w:basedOn w:val="1"/>
    <w:qFormat/>
    <w:uiPriority w:val="0"/>
    <w:rPr>
      <w:szCs w:val="21"/>
    </w:rPr>
  </w:style>
  <w:style w:type="paragraph" w:customStyle="1" w:styleId="501">
    <w:name w:val="Char Char3 Char Char"/>
    <w:basedOn w:val="1"/>
    <w:qFormat/>
    <w:uiPriority w:val="0"/>
  </w:style>
  <w:style w:type="paragraph" w:customStyle="1" w:styleId="502">
    <w:name w:val="样式 标题 2 + Times New Roman 四号 非加粗 段前: 5 磅 段后: 0 磅 行距: 固定值 20..."/>
    <w:basedOn w:val="5"/>
    <w:qFormat/>
    <w:uiPriority w:val="0"/>
    <w:pPr>
      <w:keepLines/>
      <w:adjustRightInd/>
      <w:spacing w:before="100" w:line="400" w:lineRule="exact"/>
      <w:jc w:val="both"/>
    </w:pPr>
    <w:rPr>
      <w:rFonts w:eastAsia="黑体" w:cs="宋体"/>
      <w:b w:val="0"/>
      <w:sz w:val="28"/>
    </w:rPr>
  </w:style>
  <w:style w:type="paragraph" w:customStyle="1" w:styleId="503">
    <w:name w:val="Normal_file_32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4">
    <w:name w:val="cke_editable_file_3212"/>
    <w:basedOn w:val="505"/>
    <w:qFormat/>
    <w:uiPriority w:val="0"/>
    <w:rPr>
      <w:rFonts w:ascii="仿宋_GB2312" w:eastAsia="仿宋_GB2312"/>
    </w:rPr>
  </w:style>
  <w:style w:type="paragraph" w:customStyle="1" w:styleId="505">
    <w:name w:val="Normal_file_321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6">
    <w:name w:val="heading 3_file_3200"/>
    <w:basedOn w:val="507"/>
    <w:qFormat/>
    <w:uiPriority w:val="9"/>
    <w:pPr>
      <w:outlineLvl w:val="2"/>
    </w:pPr>
    <w:rPr>
      <w:sz w:val="27"/>
      <w:szCs w:val="27"/>
    </w:rPr>
  </w:style>
  <w:style w:type="paragraph" w:customStyle="1" w:styleId="507">
    <w:name w:val="Normal_file_320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08">
    <w:name w:val="Normal (Web)_file_3315"/>
    <w:basedOn w:val="509"/>
    <w:unhideWhenUsed/>
    <w:qFormat/>
    <w:uiPriority w:val="99"/>
  </w:style>
  <w:style w:type="paragraph" w:customStyle="1" w:styleId="509">
    <w:name w:val="Normal_file_331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0">
    <w:name w:val="heading 1_file_3205"/>
    <w:basedOn w:val="503"/>
    <w:qFormat/>
    <w:uiPriority w:val="9"/>
    <w:pPr>
      <w:outlineLvl w:val="0"/>
    </w:pPr>
    <w:rPr>
      <w:kern w:val="36"/>
      <w:sz w:val="48"/>
      <w:szCs w:val="48"/>
    </w:rPr>
  </w:style>
  <w:style w:type="paragraph" w:customStyle="1" w:styleId="511">
    <w:name w:val="Normal (Web)_file_3835"/>
    <w:basedOn w:val="512"/>
    <w:unhideWhenUsed/>
    <w:qFormat/>
    <w:uiPriority w:val="99"/>
  </w:style>
  <w:style w:type="paragraph" w:customStyle="1" w:styleId="512">
    <w:name w:val="Normal_file_38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3">
    <w:name w:val="heading 4_file_3200"/>
    <w:basedOn w:val="507"/>
    <w:qFormat/>
    <w:uiPriority w:val="9"/>
    <w:pPr>
      <w:outlineLvl w:val="3"/>
    </w:pPr>
  </w:style>
  <w:style w:type="paragraph" w:customStyle="1" w:styleId="514">
    <w:name w:val="Normal_file_38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5">
    <w:name w:val="Normal (Web)_file_2524"/>
    <w:basedOn w:val="516"/>
    <w:unhideWhenUsed/>
    <w:qFormat/>
    <w:uiPriority w:val="99"/>
  </w:style>
  <w:style w:type="paragraph" w:customStyle="1" w:styleId="516">
    <w:name w:val="Normal_file_252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7">
    <w:name w:val="Normal (Web)_file_3201"/>
    <w:basedOn w:val="518"/>
    <w:unhideWhenUsed/>
    <w:qFormat/>
    <w:uiPriority w:val="99"/>
  </w:style>
  <w:style w:type="paragraph" w:customStyle="1" w:styleId="518">
    <w:name w:val="Normal_file_32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19">
    <w:name w:val="Normal_file_320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0">
    <w:name w:val="cke_editable_file_3209"/>
    <w:basedOn w:val="521"/>
    <w:qFormat/>
    <w:uiPriority w:val="0"/>
    <w:rPr>
      <w:rFonts w:ascii="仿宋_GB2312" w:eastAsia="仿宋_GB2312"/>
    </w:rPr>
  </w:style>
  <w:style w:type="paragraph" w:customStyle="1" w:styleId="521">
    <w:name w:val="Normal_file_320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2">
    <w:name w:val="heading 3_file_3205"/>
    <w:basedOn w:val="503"/>
    <w:qFormat/>
    <w:uiPriority w:val="9"/>
    <w:pPr>
      <w:outlineLvl w:val="2"/>
    </w:pPr>
    <w:rPr>
      <w:sz w:val="27"/>
      <w:szCs w:val="27"/>
    </w:rPr>
  </w:style>
  <w:style w:type="paragraph" w:customStyle="1" w:styleId="523">
    <w:name w:val="heading 6_file_3200"/>
    <w:basedOn w:val="507"/>
    <w:qFormat/>
    <w:uiPriority w:val="9"/>
    <w:pPr>
      <w:outlineLvl w:val="5"/>
    </w:pPr>
    <w:rPr>
      <w:sz w:val="15"/>
      <w:szCs w:val="15"/>
    </w:rPr>
  </w:style>
  <w:style w:type="paragraph" w:customStyle="1" w:styleId="524">
    <w:name w:val="marker_file_3209"/>
    <w:basedOn w:val="521"/>
    <w:qFormat/>
    <w:uiPriority w:val="0"/>
    <w:pPr>
      <w:shd w:val="clear" w:color="auto" w:fill="FFFF00"/>
    </w:pPr>
  </w:style>
  <w:style w:type="paragraph" w:customStyle="1" w:styleId="525">
    <w:name w:val="Plain Text_file_355"/>
    <w:basedOn w:val="526"/>
    <w:qFormat/>
    <w:uiPriority w:val="0"/>
    <w:rPr>
      <w:rFonts w:ascii="宋体" w:hAnsi="Courier New" w:cs="Courier New"/>
      <w:szCs w:val="21"/>
    </w:rPr>
  </w:style>
  <w:style w:type="paragraph" w:customStyle="1" w:styleId="526">
    <w:name w:val="Normal_file_355"/>
    <w:next w:val="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7">
    <w:name w:val="heading 1_file_3202"/>
    <w:basedOn w:val="519"/>
    <w:qFormat/>
    <w:uiPriority w:val="9"/>
    <w:pPr>
      <w:outlineLvl w:val="0"/>
    </w:pPr>
    <w:rPr>
      <w:kern w:val="36"/>
      <w:sz w:val="48"/>
      <w:szCs w:val="48"/>
    </w:rPr>
  </w:style>
  <w:style w:type="paragraph" w:customStyle="1" w:styleId="528">
    <w:name w:val="Normal_file_38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29">
    <w:name w:val="heading 4_file_3205"/>
    <w:basedOn w:val="503"/>
    <w:qFormat/>
    <w:uiPriority w:val="9"/>
    <w:pPr>
      <w:outlineLvl w:val="3"/>
    </w:pPr>
  </w:style>
  <w:style w:type="paragraph" w:customStyle="1" w:styleId="530">
    <w:name w:val="Normal (Web)_file_3209"/>
    <w:basedOn w:val="521"/>
    <w:unhideWhenUsed/>
    <w:qFormat/>
    <w:uiPriority w:val="99"/>
  </w:style>
  <w:style w:type="paragraph" w:customStyle="1" w:styleId="531">
    <w:name w:val="cke_editable_file_3198"/>
    <w:basedOn w:val="381"/>
    <w:qFormat/>
    <w:uiPriority w:val="0"/>
    <w:rPr>
      <w:rFonts w:ascii="仿宋_GB2312" w:eastAsia="仿宋_GB2312"/>
    </w:rPr>
  </w:style>
  <w:style w:type="paragraph" w:customStyle="1" w:styleId="532">
    <w:name w:val="marker_file_3198"/>
    <w:basedOn w:val="381"/>
    <w:qFormat/>
    <w:uiPriority w:val="0"/>
    <w:pPr>
      <w:shd w:val="clear" w:color="auto" w:fill="FFFF00"/>
    </w:pPr>
  </w:style>
  <w:style w:type="paragraph" w:customStyle="1" w:styleId="533">
    <w:name w:val="Normal (Web)_file_3198"/>
    <w:basedOn w:val="381"/>
    <w:unhideWhenUsed/>
    <w:qFormat/>
    <w:uiPriority w:val="99"/>
  </w:style>
  <w:style w:type="paragraph" w:customStyle="1" w:styleId="534">
    <w:name w:val="Normal_file_319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35">
    <w:name w:val="heading 1_file_3199"/>
    <w:basedOn w:val="534"/>
    <w:qFormat/>
    <w:uiPriority w:val="9"/>
    <w:pPr>
      <w:outlineLvl w:val="0"/>
    </w:pPr>
    <w:rPr>
      <w:kern w:val="36"/>
      <w:sz w:val="48"/>
      <w:szCs w:val="48"/>
    </w:rPr>
  </w:style>
  <w:style w:type="paragraph" w:customStyle="1" w:styleId="536">
    <w:name w:val="pa-3_file_338"/>
    <w:basedOn w:val="537"/>
    <w:qFormat/>
    <w:uiPriority w:val="0"/>
    <w:pPr>
      <w:widowControl/>
      <w:spacing w:line="240" w:lineRule="atLeast"/>
    </w:pPr>
    <w:rPr>
      <w:rFonts w:ascii="宋体" w:hAnsi="宋体" w:cs="宋体"/>
      <w:kern w:val="0"/>
      <w:sz w:val="24"/>
    </w:rPr>
  </w:style>
  <w:style w:type="paragraph" w:customStyle="1" w:styleId="537">
    <w:name w:val="Normal_file_338"/>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8">
    <w:name w:val="marker_file_3200"/>
    <w:basedOn w:val="507"/>
    <w:qFormat/>
    <w:uiPriority w:val="0"/>
    <w:pPr>
      <w:shd w:val="clear" w:color="auto" w:fill="FFFF00"/>
    </w:pPr>
  </w:style>
  <w:style w:type="paragraph" w:customStyle="1" w:styleId="539">
    <w:name w:val="heading 2_file_3199"/>
    <w:basedOn w:val="534"/>
    <w:qFormat/>
    <w:uiPriority w:val="9"/>
    <w:pPr>
      <w:outlineLvl w:val="1"/>
    </w:pPr>
    <w:rPr>
      <w:sz w:val="36"/>
      <w:szCs w:val="36"/>
    </w:rPr>
  </w:style>
  <w:style w:type="paragraph" w:customStyle="1" w:styleId="540">
    <w:name w:val="Normal (Web)_file_3200"/>
    <w:basedOn w:val="507"/>
    <w:unhideWhenUsed/>
    <w:qFormat/>
    <w:uiPriority w:val="99"/>
  </w:style>
  <w:style w:type="paragraph" w:customStyle="1" w:styleId="541">
    <w:name w:val="heading 3_file_3199"/>
    <w:basedOn w:val="534"/>
    <w:qFormat/>
    <w:uiPriority w:val="9"/>
    <w:pPr>
      <w:outlineLvl w:val="2"/>
    </w:pPr>
    <w:rPr>
      <w:sz w:val="27"/>
      <w:szCs w:val="27"/>
    </w:rPr>
  </w:style>
  <w:style w:type="paragraph" w:customStyle="1" w:styleId="542">
    <w:name w:val="heading 4_file_3199"/>
    <w:basedOn w:val="534"/>
    <w:qFormat/>
    <w:uiPriority w:val="9"/>
    <w:pPr>
      <w:outlineLvl w:val="3"/>
    </w:pPr>
  </w:style>
  <w:style w:type="paragraph" w:customStyle="1" w:styleId="543">
    <w:name w:val="heading 5_file_3199"/>
    <w:basedOn w:val="534"/>
    <w:qFormat/>
    <w:uiPriority w:val="9"/>
    <w:pPr>
      <w:outlineLvl w:val="4"/>
    </w:pPr>
    <w:rPr>
      <w:sz w:val="20"/>
      <w:szCs w:val="20"/>
    </w:rPr>
  </w:style>
  <w:style w:type="paragraph" w:customStyle="1" w:styleId="544">
    <w:name w:val="heading 2_file_3204"/>
    <w:basedOn w:val="545"/>
    <w:qFormat/>
    <w:uiPriority w:val="9"/>
    <w:pPr>
      <w:outlineLvl w:val="1"/>
    </w:pPr>
    <w:rPr>
      <w:sz w:val="36"/>
      <w:szCs w:val="36"/>
    </w:rPr>
  </w:style>
  <w:style w:type="paragraph" w:customStyle="1" w:styleId="545">
    <w:name w:val="Normal_file_320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6">
    <w:name w:val="heading 5_file_3210"/>
    <w:basedOn w:val="547"/>
    <w:qFormat/>
    <w:uiPriority w:val="9"/>
    <w:pPr>
      <w:outlineLvl w:val="4"/>
    </w:pPr>
    <w:rPr>
      <w:sz w:val="20"/>
      <w:szCs w:val="20"/>
    </w:rPr>
  </w:style>
  <w:style w:type="paragraph" w:customStyle="1" w:styleId="547">
    <w:name w:val="Normal_file_321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48">
    <w:name w:val="heading 6_file_3199"/>
    <w:basedOn w:val="534"/>
    <w:qFormat/>
    <w:uiPriority w:val="9"/>
    <w:pPr>
      <w:outlineLvl w:val="5"/>
    </w:pPr>
    <w:rPr>
      <w:sz w:val="15"/>
      <w:szCs w:val="15"/>
    </w:rPr>
  </w:style>
  <w:style w:type="paragraph" w:customStyle="1" w:styleId="549">
    <w:name w:val="Normal (Web)_file_3203"/>
    <w:basedOn w:val="550"/>
    <w:unhideWhenUsed/>
    <w:qFormat/>
    <w:uiPriority w:val="99"/>
  </w:style>
  <w:style w:type="paragraph" w:customStyle="1" w:styleId="550">
    <w:name w:val="Normal_file_320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1">
    <w:name w:val="heading 2_file_3210"/>
    <w:basedOn w:val="547"/>
    <w:qFormat/>
    <w:uiPriority w:val="9"/>
    <w:pPr>
      <w:outlineLvl w:val="1"/>
    </w:pPr>
    <w:rPr>
      <w:sz w:val="36"/>
      <w:szCs w:val="36"/>
    </w:rPr>
  </w:style>
  <w:style w:type="paragraph" w:customStyle="1" w:styleId="552">
    <w:name w:val="heading 6_file_3203"/>
    <w:basedOn w:val="550"/>
    <w:qFormat/>
    <w:uiPriority w:val="9"/>
    <w:pPr>
      <w:outlineLvl w:val="5"/>
    </w:pPr>
    <w:rPr>
      <w:sz w:val="15"/>
      <w:szCs w:val="15"/>
    </w:rPr>
  </w:style>
  <w:style w:type="paragraph" w:customStyle="1" w:styleId="553">
    <w:name w:val="Normal_file_252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4">
    <w:name w:val="marker_file_3201"/>
    <w:basedOn w:val="518"/>
    <w:qFormat/>
    <w:uiPriority w:val="0"/>
    <w:pPr>
      <w:shd w:val="clear" w:color="auto" w:fill="FFFF00"/>
    </w:pPr>
  </w:style>
  <w:style w:type="paragraph" w:customStyle="1" w:styleId="555">
    <w:name w:val="heading 3_file_3212"/>
    <w:basedOn w:val="505"/>
    <w:qFormat/>
    <w:uiPriority w:val="9"/>
    <w:pPr>
      <w:outlineLvl w:val="2"/>
    </w:pPr>
    <w:rPr>
      <w:sz w:val="27"/>
      <w:szCs w:val="27"/>
    </w:rPr>
  </w:style>
  <w:style w:type="paragraph" w:customStyle="1" w:styleId="556">
    <w:name w:val="heading 5_file_3204"/>
    <w:basedOn w:val="545"/>
    <w:qFormat/>
    <w:uiPriority w:val="9"/>
    <w:pPr>
      <w:outlineLvl w:val="4"/>
    </w:pPr>
    <w:rPr>
      <w:sz w:val="20"/>
      <w:szCs w:val="20"/>
    </w:rPr>
  </w:style>
  <w:style w:type="paragraph" w:customStyle="1" w:styleId="557">
    <w:name w:val="Normal (Web)_file_330_file_352"/>
    <w:basedOn w:val="558"/>
    <w:unhideWhenUsed/>
    <w:qFormat/>
    <w:uiPriority w:val="99"/>
  </w:style>
  <w:style w:type="paragraph" w:customStyle="1" w:styleId="558">
    <w:name w:val="Normal_file_330_file_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59">
    <w:name w:val="heading 6_file_3204"/>
    <w:basedOn w:val="545"/>
    <w:qFormat/>
    <w:uiPriority w:val="9"/>
    <w:pPr>
      <w:outlineLvl w:val="5"/>
    </w:pPr>
    <w:rPr>
      <w:sz w:val="15"/>
      <w:szCs w:val="15"/>
    </w:rPr>
  </w:style>
  <w:style w:type="paragraph" w:customStyle="1" w:styleId="560">
    <w:name w:val="Normal (Web)_file_354"/>
    <w:basedOn w:val="561"/>
    <w:unhideWhenUsed/>
    <w:qFormat/>
    <w:uiPriority w:val="99"/>
  </w:style>
  <w:style w:type="paragraph" w:customStyle="1" w:styleId="561">
    <w:name w:val="Normal_file_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62">
    <w:name w:val="marker_file_3202"/>
    <w:basedOn w:val="519"/>
    <w:qFormat/>
    <w:uiPriority w:val="0"/>
    <w:pPr>
      <w:shd w:val="clear" w:color="auto" w:fill="FFFF00"/>
    </w:pPr>
  </w:style>
  <w:style w:type="paragraph" w:customStyle="1" w:styleId="563">
    <w:name w:val="heading 4_file_3212"/>
    <w:basedOn w:val="505"/>
    <w:qFormat/>
    <w:uiPriority w:val="9"/>
    <w:pPr>
      <w:outlineLvl w:val="3"/>
    </w:pPr>
  </w:style>
  <w:style w:type="paragraph" w:customStyle="1" w:styleId="564">
    <w:name w:val="heading 4_file_3201"/>
    <w:basedOn w:val="518"/>
    <w:qFormat/>
    <w:uiPriority w:val="9"/>
    <w:pPr>
      <w:outlineLvl w:val="3"/>
    </w:pPr>
  </w:style>
  <w:style w:type="paragraph" w:customStyle="1" w:styleId="565">
    <w:name w:val="Normal (Web)_file_3202"/>
    <w:basedOn w:val="519"/>
    <w:unhideWhenUsed/>
    <w:qFormat/>
    <w:uiPriority w:val="99"/>
  </w:style>
  <w:style w:type="paragraph" w:customStyle="1" w:styleId="566">
    <w:name w:val="heading 5_file_3212"/>
    <w:basedOn w:val="505"/>
    <w:qFormat/>
    <w:uiPriority w:val="9"/>
    <w:pPr>
      <w:outlineLvl w:val="4"/>
    </w:pPr>
    <w:rPr>
      <w:sz w:val="20"/>
      <w:szCs w:val="20"/>
    </w:rPr>
  </w:style>
  <w:style w:type="paragraph" w:customStyle="1" w:styleId="567">
    <w:name w:val="marker_file_3206"/>
    <w:basedOn w:val="379"/>
    <w:qFormat/>
    <w:uiPriority w:val="0"/>
    <w:pPr>
      <w:shd w:val="clear" w:color="auto" w:fill="FFFF00"/>
    </w:pPr>
  </w:style>
  <w:style w:type="paragraph" w:customStyle="1" w:styleId="568">
    <w:name w:val="heading 1_file_3206"/>
    <w:basedOn w:val="379"/>
    <w:qFormat/>
    <w:uiPriority w:val="9"/>
    <w:pPr>
      <w:outlineLvl w:val="0"/>
    </w:pPr>
    <w:rPr>
      <w:kern w:val="36"/>
      <w:sz w:val="48"/>
      <w:szCs w:val="48"/>
    </w:rPr>
  </w:style>
  <w:style w:type="paragraph" w:customStyle="1" w:styleId="569">
    <w:name w:val="heading 5_file_3201"/>
    <w:basedOn w:val="518"/>
    <w:qFormat/>
    <w:uiPriority w:val="9"/>
    <w:pPr>
      <w:outlineLvl w:val="4"/>
    </w:pPr>
    <w:rPr>
      <w:sz w:val="20"/>
      <w:szCs w:val="20"/>
    </w:rPr>
  </w:style>
  <w:style w:type="paragraph" w:customStyle="1" w:styleId="570">
    <w:name w:val="cke_editable_file_3199"/>
    <w:basedOn w:val="534"/>
    <w:qFormat/>
    <w:uiPriority w:val="0"/>
    <w:rPr>
      <w:rFonts w:ascii="仿宋_GB2312" w:eastAsia="仿宋_GB2312"/>
    </w:rPr>
  </w:style>
  <w:style w:type="paragraph" w:customStyle="1" w:styleId="571">
    <w:name w:val="marker_file_3199"/>
    <w:basedOn w:val="534"/>
    <w:qFormat/>
    <w:uiPriority w:val="0"/>
    <w:pPr>
      <w:shd w:val="clear" w:color="auto" w:fill="FFFF00"/>
    </w:pPr>
  </w:style>
  <w:style w:type="paragraph" w:customStyle="1" w:styleId="572">
    <w:name w:val="Normal_file_25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73">
    <w:name w:val="heading 1_file_3203"/>
    <w:basedOn w:val="550"/>
    <w:qFormat/>
    <w:uiPriority w:val="9"/>
    <w:pPr>
      <w:outlineLvl w:val="0"/>
    </w:pPr>
    <w:rPr>
      <w:kern w:val="36"/>
      <w:sz w:val="48"/>
      <w:szCs w:val="48"/>
    </w:rPr>
  </w:style>
  <w:style w:type="paragraph" w:customStyle="1" w:styleId="574">
    <w:name w:val="Normal (Web)_file_3199"/>
    <w:basedOn w:val="534"/>
    <w:unhideWhenUsed/>
    <w:qFormat/>
    <w:uiPriority w:val="99"/>
  </w:style>
  <w:style w:type="paragraph" w:customStyle="1" w:styleId="575">
    <w:name w:val="heading 2_file_3203"/>
    <w:basedOn w:val="550"/>
    <w:qFormat/>
    <w:uiPriority w:val="9"/>
    <w:pPr>
      <w:outlineLvl w:val="1"/>
    </w:pPr>
    <w:rPr>
      <w:sz w:val="36"/>
      <w:szCs w:val="36"/>
    </w:rPr>
  </w:style>
  <w:style w:type="paragraph" w:customStyle="1" w:styleId="576">
    <w:name w:val="cke_editable_file_3204"/>
    <w:basedOn w:val="545"/>
    <w:qFormat/>
    <w:uiPriority w:val="0"/>
    <w:rPr>
      <w:rFonts w:ascii="仿宋_GB2312" w:eastAsia="仿宋_GB2312"/>
    </w:rPr>
  </w:style>
  <w:style w:type="paragraph" w:customStyle="1" w:styleId="577">
    <w:name w:val="Normal (Web)_file_740_file_546"/>
    <w:basedOn w:val="578"/>
    <w:unhideWhenUsed/>
    <w:qFormat/>
    <w:uiPriority w:val="99"/>
    <w:pPr>
      <w:spacing w:before="100" w:beforeAutospacing="1" w:after="100" w:afterAutospacing="1"/>
    </w:pPr>
  </w:style>
  <w:style w:type="paragraph" w:customStyle="1" w:styleId="578">
    <w:name w:val="Normal_file_740_file_546"/>
    <w:qFormat/>
    <w:uiPriority w:val="0"/>
    <w:rPr>
      <w:rFonts w:ascii="宋体" w:hAnsi="宋体" w:eastAsia="宋体" w:cs="宋体"/>
      <w:sz w:val="24"/>
      <w:szCs w:val="24"/>
      <w:lang w:val="en-US" w:eastAsia="zh-CN" w:bidi="ar-SA"/>
    </w:rPr>
  </w:style>
  <w:style w:type="paragraph" w:customStyle="1" w:styleId="579">
    <w:name w:val="heading 3_file_3203"/>
    <w:basedOn w:val="550"/>
    <w:qFormat/>
    <w:uiPriority w:val="9"/>
    <w:pPr>
      <w:outlineLvl w:val="2"/>
    </w:pPr>
    <w:rPr>
      <w:sz w:val="27"/>
      <w:szCs w:val="27"/>
    </w:rPr>
  </w:style>
  <w:style w:type="paragraph" w:customStyle="1" w:styleId="580">
    <w:name w:val="Normal_file_38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81">
    <w:name w:val="marker_file_3204"/>
    <w:basedOn w:val="545"/>
    <w:qFormat/>
    <w:uiPriority w:val="0"/>
    <w:pPr>
      <w:shd w:val="clear" w:color="auto" w:fill="FFFF00"/>
    </w:pPr>
  </w:style>
  <w:style w:type="paragraph" w:customStyle="1" w:styleId="582">
    <w:name w:val="heading 1_file_3200"/>
    <w:basedOn w:val="507"/>
    <w:qFormat/>
    <w:uiPriority w:val="9"/>
    <w:pPr>
      <w:outlineLvl w:val="0"/>
    </w:pPr>
    <w:rPr>
      <w:kern w:val="36"/>
      <w:sz w:val="48"/>
      <w:szCs w:val="48"/>
    </w:rPr>
  </w:style>
  <w:style w:type="paragraph" w:customStyle="1" w:styleId="583">
    <w:name w:val="Normal (Web)_file_3204"/>
    <w:basedOn w:val="545"/>
    <w:unhideWhenUsed/>
    <w:qFormat/>
    <w:uiPriority w:val="99"/>
  </w:style>
  <w:style w:type="paragraph" w:customStyle="1" w:styleId="584">
    <w:name w:val="heading 2_file_3200"/>
    <w:basedOn w:val="507"/>
    <w:qFormat/>
    <w:uiPriority w:val="9"/>
    <w:pPr>
      <w:outlineLvl w:val="1"/>
    </w:pPr>
    <w:rPr>
      <w:sz w:val="36"/>
      <w:szCs w:val="36"/>
    </w:rPr>
  </w:style>
  <w:style w:type="paragraph" w:customStyle="1" w:styleId="585">
    <w:name w:val="heading 2_file_3205"/>
    <w:basedOn w:val="503"/>
    <w:qFormat/>
    <w:uiPriority w:val="9"/>
    <w:pPr>
      <w:outlineLvl w:val="1"/>
    </w:pPr>
    <w:rPr>
      <w:sz w:val="36"/>
      <w:szCs w:val="36"/>
    </w:rPr>
  </w:style>
  <w:style w:type="paragraph" w:customStyle="1" w:styleId="586">
    <w:name w:val="heading 5_file_3200"/>
    <w:basedOn w:val="507"/>
    <w:qFormat/>
    <w:uiPriority w:val="9"/>
    <w:pPr>
      <w:outlineLvl w:val="4"/>
    </w:pPr>
    <w:rPr>
      <w:sz w:val="20"/>
      <w:szCs w:val="20"/>
    </w:rPr>
  </w:style>
  <w:style w:type="paragraph" w:customStyle="1" w:styleId="587">
    <w:name w:val="heading 5_file_3205"/>
    <w:basedOn w:val="503"/>
    <w:qFormat/>
    <w:uiPriority w:val="9"/>
    <w:pPr>
      <w:outlineLvl w:val="4"/>
    </w:pPr>
    <w:rPr>
      <w:sz w:val="20"/>
      <w:szCs w:val="20"/>
    </w:rPr>
  </w:style>
  <w:style w:type="paragraph" w:customStyle="1" w:styleId="588">
    <w:name w:val="pa-1_file_338"/>
    <w:basedOn w:val="537"/>
    <w:qFormat/>
    <w:uiPriority w:val="0"/>
    <w:pPr>
      <w:widowControl/>
      <w:spacing w:line="280" w:lineRule="atLeast"/>
    </w:pPr>
    <w:rPr>
      <w:rFonts w:ascii="宋体" w:hAnsi="宋体" w:cs="宋体"/>
      <w:kern w:val="0"/>
      <w:sz w:val="24"/>
    </w:rPr>
  </w:style>
  <w:style w:type="paragraph" w:customStyle="1" w:styleId="589">
    <w:name w:val="cke_editable_file_3203"/>
    <w:basedOn w:val="550"/>
    <w:qFormat/>
    <w:uiPriority w:val="0"/>
    <w:rPr>
      <w:rFonts w:ascii="仿宋_GB2312" w:eastAsia="仿宋_GB2312"/>
    </w:rPr>
  </w:style>
  <w:style w:type="paragraph" w:customStyle="1" w:styleId="590">
    <w:name w:val="heading 3_file_3202"/>
    <w:basedOn w:val="519"/>
    <w:qFormat/>
    <w:uiPriority w:val="9"/>
    <w:pPr>
      <w:outlineLvl w:val="2"/>
    </w:pPr>
    <w:rPr>
      <w:sz w:val="27"/>
      <w:szCs w:val="27"/>
    </w:rPr>
  </w:style>
  <w:style w:type="paragraph" w:customStyle="1" w:styleId="591">
    <w:name w:val="heading 4_file_3202"/>
    <w:basedOn w:val="519"/>
    <w:qFormat/>
    <w:uiPriority w:val="9"/>
    <w:pPr>
      <w:outlineLvl w:val="3"/>
    </w:pPr>
  </w:style>
  <w:style w:type="paragraph" w:customStyle="1" w:styleId="592">
    <w:name w:val="Normal (Web)_file_2526"/>
    <w:basedOn w:val="593"/>
    <w:unhideWhenUsed/>
    <w:qFormat/>
    <w:uiPriority w:val="99"/>
  </w:style>
  <w:style w:type="paragraph" w:customStyle="1" w:styleId="593">
    <w:name w:val="Normal_file_252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4">
    <w:name w:val="heading 5_file_3202"/>
    <w:basedOn w:val="519"/>
    <w:qFormat/>
    <w:uiPriority w:val="9"/>
    <w:pPr>
      <w:outlineLvl w:val="4"/>
    </w:pPr>
    <w:rPr>
      <w:sz w:val="20"/>
      <w:szCs w:val="20"/>
    </w:rPr>
  </w:style>
  <w:style w:type="paragraph" w:customStyle="1" w:styleId="595">
    <w:name w:val="annotation text_file_338"/>
    <w:basedOn w:val="537"/>
    <w:unhideWhenUsed/>
    <w:qFormat/>
    <w:uiPriority w:val="99"/>
    <w:pPr>
      <w:jc w:val="left"/>
    </w:pPr>
  </w:style>
  <w:style w:type="paragraph" w:customStyle="1" w:styleId="596">
    <w:name w:val="cke_editable_file_3200"/>
    <w:basedOn w:val="507"/>
    <w:qFormat/>
    <w:uiPriority w:val="0"/>
    <w:rPr>
      <w:rFonts w:ascii="仿宋_GB2312" w:eastAsia="仿宋_GB2312"/>
    </w:rPr>
  </w:style>
  <w:style w:type="paragraph" w:customStyle="1" w:styleId="597">
    <w:name w:val="Normal (Web)_file_798"/>
    <w:basedOn w:val="598"/>
    <w:unhideWhenUsed/>
    <w:qFormat/>
    <w:uiPriority w:val="99"/>
  </w:style>
  <w:style w:type="paragraph" w:customStyle="1" w:styleId="598">
    <w:name w:val="Normal_file_79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9">
    <w:name w:val="heading 1_file_3201"/>
    <w:basedOn w:val="518"/>
    <w:qFormat/>
    <w:uiPriority w:val="9"/>
    <w:pPr>
      <w:outlineLvl w:val="0"/>
    </w:pPr>
    <w:rPr>
      <w:kern w:val="36"/>
      <w:sz w:val="48"/>
      <w:szCs w:val="48"/>
    </w:rPr>
  </w:style>
  <w:style w:type="paragraph" w:customStyle="1" w:styleId="600">
    <w:name w:val="Normal (Web)_file_3206"/>
    <w:basedOn w:val="379"/>
    <w:unhideWhenUsed/>
    <w:qFormat/>
    <w:uiPriority w:val="99"/>
  </w:style>
  <w:style w:type="paragraph" w:customStyle="1" w:styleId="601">
    <w:name w:val="heading 2_file_3201"/>
    <w:basedOn w:val="518"/>
    <w:qFormat/>
    <w:uiPriority w:val="9"/>
    <w:pPr>
      <w:outlineLvl w:val="1"/>
    </w:pPr>
    <w:rPr>
      <w:sz w:val="36"/>
      <w:szCs w:val="36"/>
    </w:rPr>
  </w:style>
  <w:style w:type="paragraph" w:customStyle="1" w:styleId="602">
    <w:name w:val="Normal (Web)_file_3205"/>
    <w:basedOn w:val="503"/>
    <w:unhideWhenUsed/>
    <w:qFormat/>
    <w:uiPriority w:val="99"/>
  </w:style>
  <w:style w:type="paragraph" w:customStyle="1" w:styleId="603">
    <w:name w:val="cke_editable_file_3202"/>
    <w:basedOn w:val="519"/>
    <w:qFormat/>
    <w:uiPriority w:val="0"/>
    <w:rPr>
      <w:rFonts w:ascii="仿宋_GB2312" w:eastAsia="仿宋_GB2312"/>
    </w:rPr>
  </w:style>
  <w:style w:type="paragraph" w:customStyle="1" w:styleId="604">
    <w:name w:val="heading 3_file_3201"/>
    <w:basedOn w:val="518"/>
    <w:qFormat/>
    <w:uiPriority w:val="9"/>
    <w:pPr>
      <w:outlineLvl w:val="2"/>
    </w:pPr>
    <w:rPr>
      <w:sz w:val="27"/>
      <w:szCs w:val="27"/>
    </w:rPr>
  </w:style>
  <w:style w:type="paragraph" w:customStyle="1" w:styleId="605">
    <w:name w:val="heading 2_file_3206"/>
    <w:basedOn w:val="379"/>
    <w:qFormat/>
    <w:uiPriority w:val="9"/>
    <w:pPr>
      <w:outlineLvl w:val="1"/>
    </w:pPr>
    <w:rPr>
      <w:sz w:val="36"/>
      <w:szCs w:val="36"/>
    </w:rPr>
  </w:style>
  <w:style w:type="paragraph" w:customStyle="1" w:styleId="606">
    <w:name w:val="heading 6_file_3201"/>
    <w:basedOn w:val="518"/>
    <w:qFormat/>
    <w:uiPriority w:val="9"/>
    <w:pPr>
      <w:outlineLvl w:val="5"/>
    </w:pPr>
    <w:rPr>
      <w:sz w:val="15"/>
      <w:szCs w:val="15"/>
    </w:rPr>
  </w:style>
  <w:style w:type="paragraph" w:customStyle="1" w:styleId="607">
    <w:name w:val="heading 3_file_3206"/>
    <w:basedOn w:val="379"/>
    <w:qFormat/>
    <w:uiPriority w:val="9"/>
    <w:pPr>
      <w:outlineLvl w:val="2"/>
    </w:pPr>
    <w:rPr>
      <w:sz w:val="27"/>
      <w:szCs w:val="27"/>
    </w:rPr>
  </w:style>
  <w:style w:type="paragraph" w:customStyle="1" w:styleId="608">
    <w:name w:val="heading 4_file_3206"/>
    <w:basedOn w:val="379"/>
    <w:qFormat/>
    <w:uiPriority w:val="9"/>
    <w:pPr>
      <w:outlineLvl w:val="3"/>
    </w:pPr>
  </w:style>
  <w:style w:type="paragraph" w:customStyle="1" w:styleId="609">
    <w:name w:val="cke_editable_file_3206"/>
    <w:basedOn w:val="379"/>
    <w:qFormat/>
    <w:uiPriority w:val="0"/>
    <w:rPr>
      <w:rFonts w:ascii="仿宋_GB2312" w:eastAsia="仿宋_GB2312"/>
    </w:rPr>
  </w:style>
  <w:style w:type="paragraph" w:customStyle="1" w:styleId="610">
    <w:name w:val="heading 4_file_3203"/>
    <w:basedOn w:val="550"/>
    <w:qFormat/>
    <w:uiPriority w:val="9"/>
    <w:pPr>
      <w:outlineLvl w:val="3"/>
    </w:pPr>
  </w:style>
  <w:style w:type="paragraph" w:customStyle="1" w:styleId="611">
    <w:name w:val="Normal (Web)_file_2670"/>
    <w:basedOn w:val="612"/>
    <w:unhideWhenUsed/>
    <w:qFormat/>
    <w:uiPriority w:val="99"/>
  </w:style>
  <w:style w:type="paragraph" w:customStyle="1" w:styleId="612">
    <w:name w:val="Normal_file_267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3">
    <w:name w:val="Normal (Web)_file_101"/>
    <w:basedOn w:val="614"/>
    <w:unhideWhenUsed/>
    <w:qFormat/>
    <w:uiPriority w:val="99"/>
  </w:style>
  <w:style w:type="paragraph" w:customStyle="1" w:styleId="614">
    <w:name w:val="Normal_file_10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5">
    <w:name w:val="heading 5_file_3203"/>
    <w:basedOn w:val="550"/>
    <w:qFormat/>
    <w:uiPriority w:val="9"/>
    <w:pPr>
      <w:outlineLvl w:val="4"/>
    </w:pPr>
    <w:rPr>
      <w:sz w:val="20"/>
      <w:szCs w:val="20"/>
    </w:rPr>
  </w:style>
  <w:style w:type="paragraph" w:customStyle="1" w:styleId="616">
    <w:name w:val="Normal (Web)_file_2523"/>
    <w:basedOn w:val="553"/>
    <w:unhideWhenUsed/>
    <w:qFormat/>
    <w:uiPriority w:val="99"/>
  </w:style>
  <w:style w:type="paragraph" w:customStyle="1" w:styleId="617">
    <w:name w:val="cke_editable_file_3201"/>
    <w:basedOn w:val="518"/>
    <w:qFormat/>
    <w:uiPriority w:val="0"/>
    <w:rPr>
      <w:rFonts w:ascii="仿宋_GB2312" w:eastAsia="仿宋_GB2312"/>
    </w:rPr>
  </w:style>
  <w:style w:type="paragraph" w:customStyle="1" w:styleId="618">
    <w:name w:val="heading 2_file_3202"/>
    <w:basedOn w:val="519"/>
    <w:qFormat/>
    <w:uiPriority w:val="9"/>
    <w:pPr>
      <w:outlineLvl w:val="1"/>
    </w:pPr>
    <w:rPr>
      <w:sz w:val="36"/>
      <w:szCs w:val="36"/>
    </w:rPr>
  </w:style>
  <w:style w:type="paragraph" w:customStyle="1" w:styleId="619">
    <w:name w:val="heading 6_file_3202"/>
    <w:basedOn w:val="519"/>
    <w:qFormat/>
    <w:uiPriority w:val="9"/>
    <w:pPr>
      <w:outlineLvl w:val="5"/>
    </w:pPr>
    <w:rPr>
      <w:sz w:val="15"/>
      <w:szCs w:val="15"/>
    </w:rPr>
  </w:style>
  <w:style w:type="paragraph" w:customStyle="1" w:styleId="620">
    <w:name w:val="Normal (Web)_file_668"/>
    <w:basedOn w:val="621"/>
    <w:unhideWhenUsed/>
    <w:qFormat/>
    <w:uiPriority w:val="99"/>
    <w:pPr>
      <w:spacing w:before="100" w:beforeAutospacing="1" w:after="100" w:afterAutospacing="1"/>
    </w:pPr>
  </w:style>
  <w:style w:type="paragraph" w:customStyle="1" w:styleId="621">
    <w:name w:val="Normal_file_668"/>
    <w:qFormat/>
    <w:uiPriority w:val="0"/>
    <w:rPr>
      <w:rFonts w:ascii="宋体" w:hAnsi="宋体" w:eastAsia="宋体" w:cs="宋体"/>
      <w:sz w:val="24"/>
      <w:szCs w:val="24"/>
      <w:lang w:val="en-US" w:eastAsia="zh-CN" w:bidi="ar-SA"/>
    </w:rPr>
  </w:style>
  <w:style w:type="paragraph" w:customStyle="1" w:styleId="622">
    <w:name w:val="heading 3_file_3204"/>
    <w:basedOn w:val="545"/>
    <w:qFormat/>
    <w:uiPriority w:val="9"/>
    <w:pPr>
      <w:outlineLvl w:val="2"/>
    </w:pPr>
    <w:rPr>
      <w:sz w:val="27"/>
      <w:szCs w:val="27"/>
    </w:rPr>
  </w:style>
  <w:style w:type="paragraph" w:customStyle="1" w:styleId="623">
    <w:name w:val="Normal (Web)_file_532"/>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624">
    <w:name w:val="heading 4_file_3204"/>
    <w:basedOn w:val="545"/>
    <w:qFormat/>
    <w:uiPriority w:val="9"/>
    <w:pPr>
      <w:outlineLvl w:val="3"/>
    </w:pPr>
  </w:style>
  <w:style w:type="paragraph" w:customStyle="1" w:styleId="625">
    <w:name w:val="marker_file_3205"/>
    <w:basedOn w:val="503"/>
    <w:qFormat/>
    <w:uiPriority w:val="0"/>
    <w:pPr>
      <w:shd w:val="clear" w:color="auto" w:fill="FFFF00"/>
    </w:pPr>
  </w:style>
  <w:style w:type="paragraph" w:customStyle="1" w:styleId="626">
    <w:name w:val="heading 6_file_3205"/>
    <w:basedOn w:val="503"/>
    <w:qFormat/>
    <w:uiPriority w:val="9"/>
    <w:pPr>
      <w:outlineLvl w:val="5"/>
    </w:pPr>
    <w:rPr>
      <w:sz w:val="15"/>
      <w:szCs w:val="15"/>
    </w:rPr>
  </w:style>
  <w:style w:type="paragraph" w:customStyle="1" w:styleId="627">
    <w:name w:val="marker_file_3203"/>
    <w:basedOn w:val="550"/>
    <w:qFormat/>
    <w:uiPriority w:val="0"/>
    <w:pPr>
      <w:shd w:val="clear" w:color="auto" w:fill="FFFF00"/>
    </w:pPr>
  </w:style>
  <w:style w:type="paragraph" w:customStyle="1" w:styleId="628">
    <w:name w:val="heading 1_file_3204"/>
    <w:basedOn w:val="545"/>
    <w:qFormat/>
    <w:uiPriority w:val="9"/>
    <w:pPr>
      <w:outlineLvl w:val="0"/>
    </w:pPr>
    <w:rPr>
      <w:kern w:val="36"/>
      <w:sz w:val="48"/>
      <w:szCs w:val="48"/>
    </w:rPr>
  </w:style>
  <w:style w:type="paragraph" w:customStyle="1" w:styleId="629">
    <w:name w:val="heading 5_file_3206"/>
    <w:basedOn w:val="379"/>
    <w:qFormat/>
    <w:uiPriority w:val="9"/>
    <w:pPr>
      <w:outlineLvl w:val="4"/>
    </w:pPr>
    <w:rPr>
      <w:sz w:val="20"/>
      <w:szCs w:val="20"/>
    </w:rPr>
  </w:style>
  <w:style w:type="paragraph" w:customStyle="1" w:styleId="630">
    <w:name w:val="cke_editable_file_3205"/>
    <w:basedOn w:val="503"/>
    <w:qFormat/>
    <w:uiPriority w:val="0"/>
    <w:rPr>
      <w:rFonts w:ascii="仿宋_GB2312" w:eastAsia="仿宋_GB2312"/>
    </w:rPr>
  </w:style>
  <w:style w:type="paragraph" w:customStyle="1" w:styleId="631">
    <w:name w:val="Normal_file_320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32">
    <w:name w:val="heading 1_file_3207"/>
    <w:basedOn w:val="631"/>
    <w:qFormat/>
    <w:uiPriority w:val="9"/>
    <w:pPr>
      <w:outlineLvl w:val="0"/>
    </w:pPr>
    <w:rPr>
      <w:kern w:val="36"/>
      <w:sz w:val="48"/>
      <w:szCs w:val="48"/>
    </w:rPr>
  </w:style>
  <w:style w:type="paragraph" w:customStyle="1" w:styleId="633">
    <w:name w:val="heading 2_file_3207"/>
    <w:basedOn w:val="631"/>
    <w:qFormat/>
    <w:uiPriority w:val="9"/>
    <w:pPr>
      <w:outlineLvl w:val="1"/>
    </w:pPr>
    <w:rPr>
      <w:sz w:val="36"/>
      <w:szCs w:val="36"/>
    </w:rPr>
  </w:style>
  <w:style w:type="paragraph" w:customStyle="1" w:styleId="634">
    <w:name w:val="heading 3_file_3207"/>
    <w:basedOn w:val="631"/>
    <w:qFormat/>
    <w:uiPriority w:val="9"/>
    <w:pPr>
      <w:outlineLvl w:val="2"/>
    </w:pPr>
    <w:rPr>
      <w:sz w:val="27"/>
      <w:szCs w:val="27"/>
    </w:rPr>
  </w:style>
  <w:style w:type="paragraph" w:customStyle="1" w:styleId="635">
    <w:name w:val="heading 4_file_3207"/>
    <w:basedOn w:val="631"/>
    <w:qFormat/>
    <w:uiPriority w:val="9"/>
    <w:pPr>
      <w:outlineLvl w:val="3"/>
    </w:pPr>
  </w:style>
  <w:style w:type="paragraph" w:customStyle="1" w:styleId="636">
    <w:name w:val="heading 5_file_3207"/>
    <w:basedOn w:val="631"/>
    <w:qFormat/>
    <w:uiPriority w:val="9"/>
    <w:pPr>
      <w:outlineLvl w:val="4"/>
    </w:pPr>
    <w:rPr>
      <w:sz w:val="20"/>
      <w:szCs w:val="20"/>
    </w:rPr>
  </w:style>
  <w:style w:type="paragraph" w:customStyle="1" w:styleId="637">
    <w:name w:val="heading 6_file_3207"/>
    <w:basedOn w:val="631"/>
    <w:qFormat/>
    <w:uiPriority w:val="9"/>
    <w:pPr>
      <w:outlineLvl w:val="5"/>
    </w:pPr>
    <w:rPr>
      <w:sz w:val="15"/>
      <w:szCs w:val="15"/>
    </w:rPr>
  </w:style>
  <w:style w:type="paragraph" w:customStyle="1" w:styleId="638">
    <w:name w:val="Normal (Web)_file_384"/>
    <w:basedOn w:val="639"/>
    <w:unhideWhenUsed/>
    <w:qFormat/>
    <w:uiPriority w:val="99"/>
  </w:style>
  <w:style w:type="paragraph" w:customStyle="1" w:styleId="639">
    <w:name w:val="Normal_file_38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0">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1">
    <w:name w:val="pa-3_file_3393_file_1606_file_338"/>
    <w:basedOn w:val="642"/>
    <w:qFormat/>
    <w:uiPriority w:val="0"/>
    <w:pPr>
      <w:widowControl/>
      <w:spacing w:line="240" w:lineRule="atLeast"/>
    </w:pPr>
    <w:rPr>
      <w:rFonts w:ascii="宋体" w:hAnsi="宋体" w:cs="宋体"/>
      <w:kern w:val="0"/>
      <w:sz w:val="24"/>
    </w:rPr>
  </w:style>
  <w:style w:type="paragraph" w:customStyle="1" w:styleId="642">
    <w:name w:val="Normal_file_3393_file_1606_file_3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3">
    <w:name w:val="cke_editable_file_3207"/>
    <w:basedOn w:val="631"/>
    <w:qFormat/>
    <w:uiPriority w:val="0"/>
    <w:rPr>
      <w:rFonts w:ascii="仿宋_GB2312" w:eastAsia="仿宋_GB2312"/>
    </w:rPr>
  </w:style>
  <w:style w:type="paragraph" w:customStyle="1" w:styleId="644">
    <w:name w:val="marker_file_3207"/>
    <w:basedOn w:val="631"/>
    <w:qFormat/>
    <w:uiPriority w:val="0"/>
    <w:pPr>
      <w:shd w:val="clear" w:color="auto" w:fill="FFFF00"/>
    </w:pPr>
  </w:style>
  <w:style w:type="paragraph" w:customStyle="1" w:styleId="645">
    <w:name w:val="Normal (Web)_file_3207"/>
    <w:basedOn w:val="631"/>
    <w:unhideWhenUsed/>
    <w:qFormat/>
    <w:uiPriority w:val="99"/>
  </w:style>
  <w:style w:type="paragraph" w:customStyle="1" w:styleId="646">
    <w:name w:val="Normal_file_320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7">
    <w:name w:val="heading 3_file_3210"/>
    <w:basedOn w:val="547"/>
    <w:qFormat/>
    <w:uiPriority w:val="9"/>
    <w:pPr>
      <w:outlineLvl w:val="2"/>
    </w:pPr>
    <w:rPr>
      <w:sz w:val="27"/>
      <w:szCs w:val="27"/>
    </w:rPr>
  </w:style>
  <w:style w:type="paragraph" w:customStyle="1" w:styleId="648">
    <w:name w:val="heading 1_file_3208"/>
    <w:basedOn w:val="646"/>
    <w:qFormat/>
    <w:uiPriority w:val="9"/>
    <w:pPr>
      <w:outlineLvl w:val="0"/>
    </w:pPr>
    <w:rPr>
      <w:kern w:val="36"/>
      <w:sz w:val="48"/>
      <w:szCs w:val="48"/>
    </w:rPr>
  </w:style>
  <w:style w:type="paragraph" w:customStyle="1" w:styleId="649">
    <w:name w:val="heading 2_file_3212"/>
    <w:basedOn w:val="505"/>
    <w:qFormat/>
    <w:uiPriority w:val="9"/>
    <w:pPr>
      <w:outlineLvl w:val="1"/>
    </w:pPr>
    <w:rPr>
      <w:sz w:val="36"/>
      <w:szCs w:val="36"/>
    </w:rPr>
  </w:style>
  <w:style w:type="paragraph" w:customStyle="1" w:styleId="650">
    <w:name w:val="heading 2_file_3208"/>
    <w:basedOn w:val="646"/>
    <w:qFormat/>
    <w:uiPriority w:val="9"/>
    <w:pPr>
      <w:outlineLvl w:val="1"/>
    </w:pPr>
    <w:rPr>
      <w:sz w:val="36"/>
      <w:szCs w:val="36"/>
    </w:rPr>
  </w:style>
  <w:style w:type="paragraph" w:customStyle="1" w:styleId="651">
    <w:name w:val="heading 1_file_3212"/>
    <w:basedOn w:val="505"/>
    <w:qFormat/>
    <w:uiPriority w:val="9"/>
    <w:pPr>
      <w:outlineLvl w:val="0"/>
    </w:pPr>
    <w:rPr>
      <w:kern w:val="36"/>
      <w:sz w:val="48"/>
      <w:szCs w:val="48"/>
    </w:rPr>
  </w:style>
  <w:style w:type="paragraph" w:customStyle="1" w:styleId="652">
    <w:name w:val="heading 3_file_3208"/>
    <w:basedOn w:val="646"/>
    <w:qFormat/>
    <w:uiPriority w:val="9"/>
    <w:pPr>
      <w:outlineLvl w:val="2"/>
    </w:pPr>
    <w:rPr>
      <w:sz w:val="27"/>
      <w:szCs w:val="27"/>
    </w:rPr>
  </w:style>
  <w:style w:type="paragraph" w:customStyle="1" w:styleId="653">
    <w:name w:val="heading 4_file_3208"/>
    <w:basedOn w:val="646"/>
    <w:qFormat/>
    <w:uiPriority w:val="9"/>
    <w:pPr>
      <w:outlineLvl w:val="3"/>
    </w:pPr>
  </w:style>
  <w:style w:type="paragraph" w:customStyle="1" w:styleId="654">
    <w:name w:val="Normal (Web)_file_3211"/>
    <w:basedOn w:val="655"/>
    <w:unhideWhenUsed/>
    <w:qFormat/>
    <w:uiPriority w:val="99"/>
  </w:style>
  <w:style w:type="paragraph" w:customStyle="1" w:styleId="655">
    <w:name w:val="Normal_file_321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56">
    <w:name w:val="heading 5_file_3208"/>
    <w:basedOn w:val="646"/>
    <w:qFormat/>
    <w:uiPriority w:val="9"/>
    <w:pPr>
      <w:outlineLvl w:val="4"/>
    </w:pPr>
    <w:rPr>
      <w:sz w:val="20"/>
      <w:szCs w:val="20"/>
    </w:rPr>
  </w:style>
  <w:style w:type="paragraph" w:customStyle="1" w:styleId="657">
    <w:name w:val="marker_file_3211"/>
    <w:basedOn w:val="655"/>
    <w:qFormat/>
    <w:uiPriority w:val="0"/>
    <w:pPr>
      <w:shd w:val="clear" w:color="auto" w:fill="FFFF00"/>
    </w:pPr>
  </w:style>
  <w:style w:type="paragraph" w:customStyle="1" w:styleId="658">
    <w:name w:val="heading 6_file_3208"/>
    <w:basedOn w:val="646"/>
    <w:qFormat/>
    <w:uiPriority w:val="9"/>
    <w:pPr>
      <w:outlineLvl w:val="5"/>
    </w:pPr>
    <w:rPr>
      <w:sz w:val="15"/>
      <w:szCs w:val="15"/>
    </w:rPr>
  </w:style>
  <w:style w:type="paragraph" w:customStyle="1" w:styleId="659">
    <w:name w:val="Normal (Web)_file_3837"/>
    <w:basedOn w:val="660"/>
    <w:unhideWhenUsed/>
    <w:qFormat/>
    <w:uiPriority w:val="99"/>
  </w:style>
  <w:style w:type="paragraph" w:customStyle="1" w:styleId="660">
    <w:name w:val="Normal_file_38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1">
    <w:name w:val="cke_editable_file_3208"/>
    <w:basedOn w:val="646"/>
    <w:qFormat/>
    <w:uiPriority w:val="0"/>
    <w:rPr>
      <w:rFonts w:ascii="仿宋_GB2312" w:eastAsia="仿宋_GB2312"/>
    </w:rPr>
  </w:style>
  <w:style w:type="paragraph" w:customStyle="1" w:styleId="662">
    <w:name w:val="heading 6_file_3211"/>
    <w:basedOn w:val="655"/>
    <w:qFormat/>
    <w:uiPriority w:val="9"/>
    <w:pPr>
      <w:outlineLvl w:val="5"/>
    </w:pPr>
    <w:rPr>
      <w:sz w:val="15"/>
      <w:szCs w:val="15"/>
    </w:rPr>
  </w:style>
  <w:style w:type="paragraph" w:customStyle="1" w:styleId="663">
    <w:name w:val="marker_file_3208"/>
    <w:basedOn w:val="646"/>
    <w:qFormat/>
    <w:uiPriority w:val="0"/>
    <w:pPr>
      <w:shd w:val="clear" w:color="auto" w:fill="FFFF00"/>
    </w:pPr>
  </w:style>
  <w:style w:type="paragraph" w:customStyle="1" w:styleId="664">
    <w:name w:val="heading 5_file_3211"/>
    <w:basedOn w:val="655"/>
    <w:qFormat/>
    <w:uiPriority w:val="9"/>
    <w:pPr>
      <w:outlineLvl w:val="4"/>
    </w:pPr>
    <w:rPr>
      <w:sz w:val="20"/>
      <w:szCs w:val="20"/>
    </w:rPr>
  </w:style>
  <w:style w:type="paragraph" w:customStyle="1" w:styleId="665">
    <w:name w:val="Normal (Web)_file_3208"/>
    <w:basedOn w:val="646"/>
    <w:unhideWhenUsed/>
    <w:qFormat/>
    <w:uiPriority w:val="99"/>
  </w:style>
  <w:style w:type="paragraph" w:customStyle="1" w:styleId="666">
    <w:name w:val="heading 4_file_3211"/>
    <w:basedOn w:val="655"/>
    <w:qFormat/>
    <w:uiPriority w:val="9"/>
    <w:pPr>
      <w:outlineLvl w:val="3"/>
    </w:pPr>
  </w:style>
  <w:style w:type="paragraph" w:customStyle="1" w:styleId="667">
    <w:name w:val="heading 3_file_3211"/>
    <w:basedOn w:val="655"/>
    <w:qFormat/>
    <w:uiPriority w:val="9"/>
    <w:pPr>
      <w:outlineLvl w:val="2"/>
    </w:pPr>
    <w:rPr>
      <w:sz w:val="27"/>
      <w:szCs w:val="27"/>
    </w:rPr>
  </w:style>
  <w:style w:type="paragraph" w:customStyle="1" w:styleId="668">
    <w:name w:val="heading 1_file_3209"/>
    <w:basedOn w:val="521"/>
    <w:qFormat/>
    <w:uiPriority w:val="9"/>
    <w:pPr>
      <w:outlineLvl w:val="0"/>
    </w:pPr>
    <w:rPr>
      <w:kern w:val="36"/>
      <w:sz w:val="48"/>
      <w:szCs w:val="48"/>
    </w:rPr>
  </w:style>
  <w:style w:type="paragraph" w:customStyle="1" w:styleId="669">
    <w:name w:val="heading 2_file_3209"/>
    <w:basedOn w:val="521"/>
    <w:qFormat/>
    <w:uiPriority w:val="9"/>
    <w:pPr>
      <w:outlineLvl w:val="1"/>
    </w:pPr>
    <w:rPr>
      <w:sz w:val="36"/>
      <w:szCs w:val="36"/>
    </w:rPr>
  </w:style>
  <w:style w:type="paragraph" w:customStyle="1" w:styleId="670">
    <w:name w:val="Normal_file_38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1">
    <w:name w:val="heading 3_file_3209"/>
    <w:basedOn w:val="521"/>
    <w:qFormat/>
    <w:uiPriority w:val="9"/>
    <w:pPr>
      <w:outlineLvl w:val="2"/>
    </w:pPr>
    <w:rPr>
      <w:sz w:val="27"/>
      <w:szCs w:val="27"/>
    </w:rPr>
  </w:style>
  <w:style w:type="paragraph" w:customStyle="1" w:styleId="672">
    <w:name w:val="heading 4_file_3209"/>
    <w:basedOn w:val="521"/>
    <w:qFormat/>
    <w:uiPriority w:val="9"/>
    <w:pPr>
      <w:outlineLvl w:val="3"/>
    </w:pPr>
  </w:style>
  <w:style w:type="paragraph" w:customStyle="1" w:styleId="673">
    <w:name w:val="heading 5_file_3209"/>
    <w:basedOn w:val="521"/>
    <w:qFormat/>
    <w:uiPriority w:val="9"/>
    <w:pPr>
      <w:outlineLvl w:val="4"/>
    </w:pPr>
    <w:rPr>
      <w:sz w:val="20"/>
      <w:szCs w:val="20"/>
    </w:rPr>
  </w:style>
  <w:style w:type="paragraph" w:customStyle="1" w:styleId="674">
    <w:name w:val="cke_editable_file_3210"/>
    <w:basedOn w:val="547"/>
    <w:qFormat/>
    <w:uiPriority w:val="0"/>
    <w:rPr>
      <w:rFonts w:ascii="仿宋_GB2312" w:eastAsia="仿宋_GB2312"/>
    </w:rPr>
  </w:style>
  <w:style w:type="paragraph" w:customStyle="1" w:styleId="675">
    <w:name w:val="heading 6_file_3209"/>
    <w:basedOn w:val="521"/>
    <w:qFormat/>
    <w:uiPriority w:val="9"/>
    <w:pPr>
      <w:outlineLvl w:val="5"/>
    </w:pPr>
    <w:rPr>
      <w:sz w:val="15"/>
      <w:szCs w:val="15"/>
    </w:rPr>
  </w:style>
  <w:style w:type="paragraph" w:customStyle="1" w:styleId="676">
    <w:name w:val="Normal (Web)_file_3840"/>
    <w:basedOn w:val="677"/>
    <w:unhideWhenUsed/>
    <w:qFormat/>
    <w:uiPriority w:val="99"/>
  </w:style>
  <w:style w:type="paragraph" w:customStyle="1" w:styleId="677">
    <w:name w:val="Normal_file_38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78">
    <w:name w:val="heading 1_file_3210"/>
    <w:basedOn w:val="547"/>
    <w:qFormat/>
    <w:uiPriority w:val="9"/>
    <w:pPr>
      <w:outlineLvl w:val="0"/>
    </w:pPr>
    <w:rPr>
      <w:kern w:val="36"/>
      <w:sz w:val="48"/>
      <w:szCs w:val="48"/>
    </w:rPr>
  </w:style>
  <w:style w:type="paragraph" w:customStyle="1" w:styleId="679">
    <w:name w:val="heading 4_file_3210"/>
    <w:basedOn w:val="547"/>
    <w:qFormat/>
    <w:uiPriority w:val="9"/>
    <w:pPr>
      <w:outlineLvl w:val="3"/>
    </w:pPr>
  </w:style>
  <w:style w:type="paragraph" w:customStyle="1" w:styleId="680">
    <w:name w:val="heading 6_file_3210"/>
    <w:basedOn w:val="547"/>
    <w:qFormat/>
    <w:uiPriority w:val="9"/>
    <w:pPr>
      <w:outlineLvl w:val="5"/>
    </w:pPr>
    <w:rPr>
      <w:sz w:val="15"/>
      <w:szCs w:val="15"/>
    </w:rPr>
  </w:style>
  <w:style w:type="paragraph" w:customStyle="1" w:styleId="681">
    <w:name w:val="marker_file_3210"/>
    <w:basedOn w:val="547"/>
    <w:qFormat/>
    <w:uiPriority w:val="0"/>
    <w:pPr>
      <w:shd w:val="clear" w:color="auto" w:fill="FFFF00"/>
    </w:pPr>
  </w:style>
  <w:style w:type="paragraph" w:customStyle="1" w:styleId="682">
    <w:name w:val="Normal (Web)_file_3210"/>
    <w:basedOn w:val="547"/>
    <w:unhideWhenUsed/>
    <w:qFormat/>
    <w:uiPriority w:val="99"/>
  </w:style>
  <w:style w:type="paragraph" w:customStyle="1" w:styleId="683">
    <w:name w:val="heading 1_file_3211"/>
    <w:basedOn w:val="655"/>
    <w:qFormat/>
    <w:uiPriority w:val="9"/>
    <w:pPr>
      <w:outlineLvl w:val="0"/>
    </w:pPr>
    <w:rPr>
      <w:kern w:val="36"/>
      <w:sz w:val="48"/>
      <w:szCs w:val="48"/>
    </w:rPr>
  </w:style>
  <w:style w:type="paragraph" w:customStyle="1" w:styleId="684">
    <w:name w:val="heading 2_file_3211"/>
    <w:basedOn w:val="655"/>
    <w:qFormat/>
    <w:uiPriority w:val="9"/>
    <w:pPr>
      <w:outlineLvl w:val="1"/>
    </w:pPr>
    <w:rPr>
      <w:sz w:val="36"/>
      <w:szCs w:val="36"/>
    </w:rPr>
  </w:style>
  <w:style w:type="paragraph" w:customStyle="1" w:styleId="685">
    <w:name w:val="cke_editable_file_3211"/>
    <w:basedOn w:val="655"/>
    <w:qFormat/>
    <w:uiPriority w:val="0"/>
    <w:rPr>
      <w:rFonts w:ascii="仿宋_GB2312" w:eastAsia="仿宋_GB2312"/>
    </w:rPr>
  </w:style>
  <w:style w:type="paragraph" w:customStyle="1" w:styleId="686">
    <w:name w:val="heading 6_file_3212"/>
    <w:basedOn w:val="505"/>
    <w:qFormat/>
    <w:uiPriority w:val="9"/>
    <w:pPr>
      <w:outlineLvl w:val="5"/>
    </w:pPr>
    <w:rPr>
      <w:sz w:val="15"/>
      <w:szCs w:val="15"/>
    </w:rPr>
  </w:style>
  <w:style w:type="paragraph" w:customStyle="1" w:styleId="687">
    <w:name w:val="marker_file_3212"/>
    <w:basedOn w:val="505"/>
    <w:qFormat/>
    <w:uiPriority w:val="0"/>
    <w:pPr>
      <w:shd w:val="clear" w:color="auto" w:fill="FFFF00"/>
    </w:pPr>
  </w:style>
  <w:style w:type="paragraph" w:customStyle="1" w:styleId="688">
    <w:name w:val="Normal (Web)_file_3212"/>
    <w:basedOn w:val="505"/>
    <w:unhideWhenUsed/>
    <w:qFormat/>
    <w:uiPriority w:val="99"/>
  </w:style>
  <w:style w:type="paragraph" w:customStyle="1" w:styleId="689">
    <w:name w:val="pa-1_file_3393_file_1606_file_338"/>
    <w:basedOn w:val="642"/>
    <w:qFormat/>
    <w:uiPriority w:val="0"/>
    <w:pPr>
      <w:widowControl/>
      <w:spacing w:line="280" w:lineRule="atLeast"/>
    </w:pPr>
    <w:rPr>
      <w:rFonts w:ascii="宋体" w:hAnsi="宋体" w:cs="宋体"/>
      <w:kern w:val="0"/>
      <w:sz w:val="24"/>
    </w:rPr>
  </w:style>
  <w:style w:type="paragraph" w:customStyle="1" w:styleId="690">
    <w:name w:val="Normal (Web)_file_333"/>
    <w:basedOn w:val="640"/>
    <w:unhideWhenUsed/>
    <w:qFormat/>
    <w:uiPriority w:val="99"/>
  </w:style>
  <w:style w:type="paragraph" w:customStyle="1" w:styleId="691">
    <w:name w:val="Normal (Web)_file_382"/>
    <w:basedOn w:val="692"/>
    <w:unhideWhenUsed/>
    <w:qFormat/>
    <w:uiPriority w:val="99"/>
  </w:style>
  <w:style w:type="paragraph" w:customStyle="1" w:styleId="692">
    <w:name w:val="Normal_file_38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3">
    <w:name w:val="Normal (Web)_file_383"/>
    <w:basedOn w:val="694"/>
    <w:unhideWhenUsed/>
    <w:qFormat/>
    <w:uiPriority w:val="99"/>
  </w:style>
  <w:style w:type="paragraph" w:customStyle="1" w:styleId="694">
    <w:name w:val="Normal_file_38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5">
    <w:name w:val="Normal (Web)_file_3846"/>
    <w:basedOn w:val="696"/>
    <w:unhideWhenUsed/>
    <w:qFormat/>
    <w:uiPriority w:val="99"/>
  </w:style>
  <w:style w:type="paragraph" w:customStyle="1" w:styleId="696">
    <w:name w:val="Normal_file_38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97">
    <w:name w:val="Normal (Web)_file_385"/>
    <w:basedOn w:val="580"/>
    <w:unhideWhenUsed/>
    <w:qFormat/>
    <w:uiPriority w:val="99"/>
  </w:style>
  <w:style w:type="paragraph" w:customStyle="1" w:styleId="698">
    <w:name w:val="Plain Text_file_1308_file_286_file_355"/>
    <w:basedOn w:val="699"/>
    <w:qFormat/>
    <w:uiPriority w:val="0"/>
    <w:pPr>
      <w:widowControl w:val="0"/>
      <w:jc w:val="both"/>
    </w:pPr>
    <w:rPr>
      <w:rFonts w:ascii="宋体" w:hAnsi="Courier New" w:eastAsia="宋体" w:cs="Courier New"/>
      <w:kern w:val="2"/>
      <w:sz w:val="21"/>
      <w:szCs w:val="21"/>
      <w:lang w:val="en-US" w:eastAsia="zh-CN" w:bidi="ar-SA"/>
    </w:rPr>
  </w:style>
  <w:style w:type="paragraph" w:customStyle="1" w:styleId="699">
    <w:name w:val="Normal_file_1308_file_286_file_35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0">
    <w:name w:val="Normal (Web)_file_2530"/>
    <w:basedOn w:val="701"/>
    <w:unhideWhenUsed/>
    <w:qFormat/>
    <w:uiPriority w:val="99"/>
  </w:style>
  <w:style w:type="paragraph" w:customStyle="1" w:styleId="701">
    <w:name w:val="Normal_file_25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2">
    <w:name w:val="Normal (Web)_file_2534"/>
    <w:basedOn w:val="572"/>
    <w:unhideWhenUsed/>
    <w:qFormat/>
    <w:uiPriority w:val="99"/>
  </w:style>
  <w:style w:type="paragraph" w:customStyle="1" w:styleId="703">
    <w:name w:val="Normal (Web)_file_105"/>
    <w:basedOn w:val="704"/>
    <w:unhideWhenUsed/>
    <w:qFormat/>
    <w:uiPriority w:val="99"/>
  </w:style>
  <w:style w:type="paragraph" w:customStyle="1" w:styleId="704">
    <w:name w:val="Normal_file_10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5">
    <w:name w:val="Normal (Web)_file_3838"/>
    <w:basedOn w:val="670"/>
    <w:unhideWhenUsed/>
    <w:qFormat/>
    <w:uiPriority w:val="99"/>
  </w:style>
  <w:style w:type="paragraph" w:customStyle="1" w:styleId="706">
    <w:name w:val="Normal (Web)_file_3841"/>
    <w:basedOn w:val="528"/>
    <w:unhideWhenUsed/>
    <w:qFormat/>
    <w:uiPriority w:val="99"/>
  </w:style>
  <w:style w:type="paragraph" w:customStyle="1" w:styleId="707">
    <w:name w:val="Normal (Web)_file_3844"/>
    <w:basedOn w:val="708"/>
    <w:unhideWhenUsed/>
    <w:qFormat/>
    <w:uiPriority w:val="99"/>
  </w:style>
  <w:style w:type="paragraph" w:customStyle="1" w:styleId="708">
    <w:name w:val="Normal_file_38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09">
    <w:name w:val="Normal (Web)_file_3845"/>
    <w:basedOn w:val="710"/>
    <w:unhideWhenUsed/>
    <w:qFormat/>
    <w:uiPriority w:val="99"/>
  </w:style>
  <w:style w:type="paragraph" w:customStyle="1" w:styleId="710">
    <w:name w:val="Normal_file_38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1">
    <w:name w:val="Normal (Web)_file_3847"/>
    <w:basedOn w:val="712"/>
    <w:unhideWhenUsed/>
    <w:qFormat/>
    <w:uiPriority w:val="99"/>
  </w:style>
  <w:style w:type="paragraph" w:customStyle="1" w:styleId="712">
    <w:name w:val="Normal_file_38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3">
    <w:name w:val="Normal (Web)_file_3848"/>
    <w:basedOn w:val="514"/>
    <w:unhideWhenUsed/>
    <w:qFormat/>
    <w:uiPriority w:val="99"/>
  </w:style>
  <w:style w:type="paragraph" w:customStyle="1" w:styleId="714">
    <w:name w:val="Normal (Web)_file_3318"/>
    <w:basedOn w:val="715"/>
    <w:unhideWhenUsed/>
    <w:qFormat/>
    <w:uiPriority w:val="99"/>
  </w:style>
  <w:style w:type="paragraph" w:customStyle="1" w:styleId="715">
    <w:name w:val="Normal_file_331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16">
    <w:name w:val="Normal (Web)_file_1905"/>
    <w:basedOn w:val="717"/>
    <w:unhideWhenUsed/>
    <w:qFormat/>
    <w:uiPriority w:val="99"/>
  </w:style>
  <w:style w:type="paragraph" w:customStyle="1" w:styleId="717">
    <w:name w:val="Normal_file_1905"/>
    <w:qFormat/>
    <w:uiPriority w:val="0"/>
    <w:pPr>
      <w:spacing w:before="100" w:beforeAutospacing="1" w:after="100" w:afterAutospacing="1"/>
    </w:pPr>
    <w:rPr>
      <w:rFonts w:ascii="宋体" w:hAnsi="宋体" w:eastAsia="宋体" w:cs="宋体"/>
      <w:sz w:val="24"/>
      <w:szCs w:val="24"/>
      <w:lang w:val="en-US" w:eastAsia="zh-CN" w:bidi="ar-SA"/>
    </w:rPr>
  </w:style>
  <w:style w:type="table" w:customStyle="1" w:styleId="718">
    <w:name w:val="Normal Table_file_3193"/>
    <w:unhideWhenUsed/>
    <w:qFormat/>
    <w:uiPriority w:val="99"/>
    <w:tblPr>
      <w:tblCellMar>
        <w:top w:w="0" w:type="dxa"/>
        <w:left w:w="108" w:type="dxa"/>
        <w:bottom w:w="0" w:type="dxa"/>
        <w:right w:w="108" w:type="dxa"/>
      </w:tblCellMar>
    </w:tblPr>
  </w:style>
  <w:style w:type="table" w:customStyle="1" w:styleId="719">
    <w:name w:val="Normal Table_file_3194"/>
    <w:unhideWhenUsed/>
    <w:qFormat/>
    <w:uiPriority w:val="99"/>
    <w:tblPr>
      <w:tblCellMar>
        <w:top w:w="0" w:type="dxa"/>
        <w:left w:w="108" w:type="dxa"/>
        <w:bottom w:w="0" w:type="dxa"/>
        <w:right w:w="108" w:type="dxa"/>
      </w:tblCellMar>
    </w:tblPr>
  </w:style>
  <w:style w:type="table" w:customStyle="1" w:styleId="720">
    <w:name w:val="Normal Table_file_3195"/>
    <w:unhideWhenUsed/>
    <w:qFormat/>
    <w:uiPriority w:val="99"/>
    <w:tblPr>
      <w:tblCellMar>
        <w:top w:w="0" w:type="dxa"/>
        <w:left w:w="108" w:type="dxa"/>
        <w:bottom w:w="0" w:type="dxa"/>
        <w:right w:w="108" w:type="dxa"/>
      </w:tblCellMar>
    </w:tblPr>
  </w:style>
  <w:style w:type="table" w:customStyle="1" w:styleId="721">
    <w:name w:val="Normal Table_file_3196"/>
    <w:unhideWhenUsed/>
    <w:qFormat/>
    <w:uiPriority w:val="99"/>
    <w:tblPr>
      <w:tblCellMar>
        <w:top w:w="0" w:type="dxa"/>
        <w:left w:w="108" w:type="dxa"/>
        <w:bottom w:w="0" w:type="dxa"/>
        <w:right w:w="108" w:type="dxa"/>
      </w:tblCellMar>
    </w:tblPr>
  </w:style>
  <w:style w:type="table" w:customStyle="1" w:styleId="722">
    <w:name w:val="Normal Table_file_3197"/>
    <w:unhideWhenUsed/>
    <w:qFormat/>
    <w:uiPriority w:val="99"/>
    <w:tblPr>
      <w:tblCellMar>
        <w:top w:w="0" w:type="dxa"/>
        <w:left w:w="108" w:type="dxa"/>
        <w:bottom w:w="0" w:type="dxa"/>
        <w:right w:w="108" w:type="dxa"/>
      </w:tblCellMar>
    </w:tblPr>
  </w:style>
  <w:style w:type="table" w:customStyle="1" w:styleId="723">
    <w:name w:val="Normal Table_file_3198"/>
    <w:unhideWhenUsed/>
    <w:qFormat/>
    <w:uiPriority w:val="99"/>
    <w:tblPr>
      <w:tblCellMar>
        <w:top w:w="0" w:type="dxa"/>
        <w:left w:w="108" w:type="dxa"/>
        <w:bottom w:w="0" w:type="dxa"/>
        <w:right w:w="108" w:type="dxa"/>
      </w:tblCellMar>
    </w:tblPr>
  </w:style>
  <w:style w:type="table" w:customStyle="1" w:styleId="724">
    <w:name w:val="Normal Table_file_3199"/>
    <w:unhideWhenUsed/>
    <w:qFormat/>
    <w:uiPriority w:val="99"/>
    <w:tblPr>
      <w:tblCellMar>
        <w:top w:w="0" w:type="dxa"/>
        <w:left w:w="108" w:type="dxa"/>
        <w:bottom w:w="0" w:type="dxa"/>
        <w:right w:w="108" w:type="dxa"/>
      </w:tblCellMar>
    </w:tblPr>
  </w:style>
  <w:style w:type="table" w:customStyle="1" w:styleId="725">
    <w:name w:val="Normal Table_file_3200"/>
    <w:unhideWhenUsed/>
    <w:qFormat/>
    <w:uiPriority w:val="99"/>
    <w:tblPr>
      <w:tblCellMar>
        <w:top w:w="0" w:type="dxa"/>
        <w:left w:w="108" w:type="dxa"/>
        <w:bottom w:w="0" w:type="dxa"/>
        <w:right w:w="108" w:type="dxa"/>
      </w:tblCellMar>
    </w:tblPr>
  </w:style>
  <w:style w:type="table" w:customStyle="1" w:styleId="726">
    <w:name w:val="Normal Table_file_3201"/>
    <w:unhideWhenUsed/>
    <w:qFormat/>
    <w:uiPriority w:val="99"/>
    <w:tblPr>
      <w:tblCellMar>
        <w:top w:w="0" w:type="dxa"/>
        <w:left w:w="108" w:type="dxa"/>
        <w:bottom w:w="0" w:type="dxa"/>
        <w:right w:w="108" w:type="dxa"/>
      </w:tblCellMar>
    </w:tblPr>
  </w:style>
  <w:style w:type="table" w:customStyle="1" w:styleId="727">
    <w:name w:val="Normal Table_file_3202"/>
    <w:unhideWhenUsed/>
    <w:qFormat/>
    <w:uiPriority w:val="99"/>
    <w:tblPr>
      <w:tblCellMar>
        <w:top w:w="0" w:type="dxa"/>
        <w:left w:w="108" w:type="dxa"/>
        <w:bottom w:w="0" w:type="dxa"/>
        <w:right w:w="108" w:type="dxa"/>
      </w:tblCellMar>
    </w:tblPr>
  </w:style>
  <w:style w:type="table" w:customStyle="1" w:styleId="728">
    <w:name w:val="Normal Table_file_3203"/>
    <w:unhideWhenUsed/>
    <w:qFormat/>
    <w:uiPriority w:val="99"/>
    <w:tblPr>
      <w:tblCellMar>
        <w:top w:w="0" w:type="dxa"/>
        <w:left w:w="108" w:type="dxa"/>
        <w:bottom w:w="0" w:type="dxa"/>
        <w:right w:w="108" w:type="dxa"/>
      </w:tblCellMar>
    </w:tblPr>
  </w:style>
  <w:style w:type="table" w:customStyle="1" w:styleId="729">
    <w:name w:val="Normal Table_file_3204"/>
    <w:unhideWhenUsed/>
    <w:qFormat/>
    <w:uiPriority w:val="99"/>
    <w:tblPr>
      <w:tblCellMar>
        <w:top w:w="0" w:type="dxa"/>
        <w:left w:w="108" w:type="dxa"/>
        <w:bottom w:w="0" w:type="dxa"/>
        <w:right w:w="108" w:type="dxa"/>
      </w:tblCellMar>
    </w:tblPr>
  </w:style>
  <w:style w:type="table" w:customStyle="1" w:styleId="730">
    <w:name w:val="Normal Table_file_3205"/>
    <w:unhideWhenUsed/>
    <w:qFormat/>
    <w:uiPriority w:val="99"/>
    <w:tblPr>
      <w:tblCellMar>
        <w:top w:w="0" w:type="dxa"/>
        <w:left w:w="108" w:type="dxa"/>
        <w:bottom w:w="0" w:type="dxa"/>
        <w:right w:w="108" w:type="dxa"/>
      </w:tblCellMar>
    </w:tblPr>
  </w:style>
  <w:style w:type="table" w:customStyle="1" w:styleId="731">
    <w:name w:val="Normal Table_file_3206"/>
    <w:unhideWhenUsed/>
    <w:qFormat/>
    <w:uiPriority w:val="99"/>
    <w:tblPr>
      <w:tblCellMar>
        <w:top w:w="0" w:type="dxa"/>
        <w:left w:w="108" w:type="dxa"/>
        <w:bottom w:w="0" w:type="dxa"/>
        <w:right w:w="108" w:type="dxa"/>
      </w:tblCellMar>
    </w:tblPr>
  </w:style>
  <w:style w:type="table" w:customStyle="1" w:styleId="732">
    <w:name w:val="Normal Table_file_3207"/>
    <w:unhideWhenUsed/>
    <w:qFormat/>
    <w:uiPriority w:val="99"/>
    <w:tblPr>
      <w:tblCellMar>
        <w:top w:w="0" w:type="dxa"/>
        <w:left w:w="108" w:type="dxa"/>
        <w:bottom w:w="0" w:type="dxa"/>
        <w:right w:w="108" w:type="dxa"/>
      </w:tblCellMar>
    </w:tblPr>
  </w:style>
  <w:style w:type="table" w:customStyle="1" w:styleId="733">
    <w:name w:val="Normal Table_file_3208"/>
    <w:unhideWhenUsed/>
    <w:qFormat/>
    <w:uiPriority w:val="99"/>
    <w:tblPr>
      <w:tblCellMar>
        <w:top w:w="0" w:type="dxa"/>
        <w:left w:w="108" w:type="dxa"/>
        <w:bottom w:w="0" w:type="dxa"/>
        <w:right w:w="108" w:type="dxa"/>
      </w:tblCellMar>
    </w:tblPr>
  </w:style>
  <w:style w:type="table" w:customStyle="1" w:styleId="734">
    <w:name w:val="Normal Table_file_3209"/>
    <w:unhideWhenUsed/>
    <w:qFormat/>
    <w:uiPriority w:val="99"/>
    <w:tblPr>
      <w:tblCellMar>
        <w:top w:w="0" w:type="dxa"/>
        <w:left w:w="108" w:type="dxa"/>
        <w:bottom w:w="0" w:type="dxa"/>
        <w:right w:w="108" w:type="dxa"/>
      </w:tblCellMar>
    </w:tblPr>
  </w:style>
  <w:style w:type="table" w:customStyle="1" w:styleId="735">
    <w:name w:val="Normal Table_file_3210"/>
    <w:unhideWhenUsed/>
    <w:qFormat/>
    <w:uiPriority w:val="99"/>
    <w:tblPr>
      <w:tblCellMar>
        <w:top w:w="0" w:type="dxa"/>
        <w:left w:w="108" w:type="dxa"/>
        <w:bottom w:w="0" w:type="dxa"/>
        <w:right w:w="108" w:type="dxa"/>
      </w:tblCellMar>
    </w:tblPr>
  </w:style>
  <w:style w:type="table" w:customStyle="1" w:styleId="736">
    <w:name w:val="Normal Table_file_3211"/>
    <w:unhideWhenUsed/>
    <w:qFormat/>
    <w:uiPriority w:val="99"/>
    <w:tblPr>
      <w:tblCellMar>
        <w:top w:w="0" w:type="dxa"/>
        <w:left w:w="108" w:type="dxa"/>
        <w:bottom w:w="0" w:type="dxa"/>
        <w:right w:w="108" w:type="dxa"/>
      </w:tblCellMar>
    </w:tblPr>
  </w:style>
  <w:style w:type="table" w:customStyle="1" w:styleId="737">
    <w:name w:val="Normal Table_file_3212"/>
    <w:unhideWhenUsed/>
    <w:qFormat/>
    <w:uiPriority w:val="99"/>
    <w:tblPr>
      <w:tblCellMar>
        <w:top w:w="0" w:type="dxa"/>
        <w:left w:w="108" w:type="dxa"/>
        <w:bottom w:w="0" w:type="dxa"/>
        <w:right w:w="108" w:type="dxa"/>
      </w:tblCellMar>
    </w:tblPr>
  </w:style>
  <w:style w:type="table" w:customStyle="1" w:styleId="738">
    <w:name w:val="Normal Table_file_338"/>
    <w:semiHidden/>
    <w:qFormat/>
    <w:uiPriority w:val="0"/>
    <w:tblPr>
      <w:tblCellMar>
        <w:top w:w="0" w:type="dxa"/>
        <w:left w:w="108" w:type="dxa"/>
        <w:bottom w:w="0" w:type="dxa"/>
        <w:right w:w="108" w:type="dxa"/>
      </w:tblCellMar>
    </w:tblPr>
  </w:style>
  <w:style w:type="table" w:customStyle="1" w:styleId="739">
    <w:name w:val="Normal Table_file_339"/>
    <w:semiHidden/>
    <w:qFormat/>
    <w:uiPriority w:val="0"/>
    <w:tblPr>
      <w:tblCellMar>
        <w:top w:w="0" w:type="dxa"/>
        <w:left w:w="108" w:type="dxa"/>
        <w:bottom w:w="0" w:type="dxa"/>
        <w:right w:w="108" w:type="dxa"/>
      </w:tblCellMar>
    </w:tblPr>
  </w:style>
  <w:style w:type="table" w:customStyle="1" w:styleId="740">
    <w:name w:val="Normal Table_file_1308_file_286_file_355"/>
    <w:semiHidden/>
    <w:qFormat/>
    <w:uiPriority w:val="0"/>
    <w:tblPr>
      <w:tblCellMar>
        <w:top w:w="0" w:type="dxa"/>
        <w:left w:w="108" w:type="dxa"/>
        <w:bottom w:w="0" w:type="dxa"/>
        <w:right w:w="108" w:type="dxa"/>
      </w:tblCellMar>
    </w:tblPr>
  </w:style>
  <w:style w:type="table" w:customStyle="1" w:styleId="741">
    <w:name w:val="Normal Table_file_355"/>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62</Pages>
  <Words>14331</Words>
  <Characters>15679</Characters>
  <Lines>164</Lines>
  <Paragraphs>46</Paragraphs>
  <TotalTime>33</TotalTime>
  <ScaleCrop>false</ScaleCrop>
  <LinksUpToDate>false</LinksUpToDate>
  <CharactersWithSpaces>18703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2024-06-12T01:03:00Z</dcterms:created>
  <dc:creator>柳州市政府集中采购中心</dc:creator>
  <cp:lastModifiedBy>何可</cp:lastModifiedBy>
  <cp:lastPrinted>2018-11-29T15:27:00Z</cp:lastPrinted>
  <dcterms:modified xsi:type="dcterms:W3CDTF">2025-04-16T07:31:13Z</dcterms:modified>
  <dc:title>询价通知书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57D0BE180CE84B67AAF07228E05005CC_13</vt:lpwstr>
  </property>
  <property fmtid="{D5CDD505-2E9C-101B-9397-08002B2CF9AE}" pid="4" name="KSOTemplateDocerSaveRecord">
    <vt:lpwstr>eyJoZGlkIjoiNzI5MzQ0MjFjYmIwODVmM2Y2ZTgzODAzZjE2NDU5Y2MiLCJ1c2VySWQiOiI2MjUxNjE2NzEifQ==</vt:lpwstr>
  </property>
</Properties>
</file>