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asciiTheme="minorHAnsi" w:hAnsiTheme="minorHAnsi"/>
          <w:color w:val="auto"/>
          <w:sz w:val="44"/>
          <w:szCs w:val="44"/>
          <w:highlight w:val="none"/>
          <w:lang w:val="en-GB"/>
        </w:rPr>
      </w:pPr>
    </w:p>
    <w:p>
      <w:pPr>
        <w:spacing w:line="360" w:lineRule="auto"/>
        <w:jc w:val="center"/>
        <w:rPr>
          <w:rFonts w:ascii="华文新魏" w:hAnsi="黑体" w:eastAsia="华文新魏"/>
          <w:b/>
          <w:color w:val="auto"/>
          <w:kern w:val="15"/>
          <w:sz w:val="72"/>
          <w:szCs w:val="72"/>
          <w:highlight w:val="none"/>
        </w:rPr>
      </w:pPr>
      <w:r>
        <w:rPr>
          <w:rFonts w:hint="eastAsia" w:ascii="华文新魏" w:hAnsi="黑体" w:eastAsia="华文新魏"/>
          <w:b/>
          <w:color w:val="auto"/>
          <w:kern w:val="15"/>
          <w:sz w:val="72"/>
          <w:szCs w:val="72"/>
          <w:highlight w:val="none"/>
        </w:rPr>
        <w:t>柳州市政府集中采购中心</w:t>
      </w:r>
    </w:p>
    <w:p>
      <w:pPr>
        <w:spacing w:line="360" w:lineRule="auto"/>
        <w:jc w:val="center"/>
        <w:rPr>
          <w:b/>
          <w:color w:val="auto"/>
          <w:sz w:val="52"/>
          <w:szCs w:val="52"/>
          <w:highlight w:val="none"/>
        </w:rPr>
      </w:pPr>
      <w:r>
        <w:rPr>
          <w:rFonts w:hint="eastAsia" w:ascii="黑体" w:hAnsi="黑体" w:eastAsia="黑体"/>
          <w:color w:val="auto"/>
          <w:sz w:val="72"/>
          <w:szCs w:val="72"/>
          <w:highlight w:val="none"/>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12700</wp:posOffset>
                </wp:positionV>
                <wp:extent cx="5306060" cy="0"/>
                <wp:effectExtent l="12700" t="18415" r="15240" b="10160"/>
                <wp:wrapNone/>
                <wp:docPr id="9" name="自选图形 14"/>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9050">
                          <a:solidFill>
                            <a:srgbClr val="000000"/>
                          </a:solidFill>
                          <a:round/>
                        </a:ln>
                      </wps:spPr>
                      <wps:bodyPr/>
                    </wps:wsp>
                  </a:graphicData>
                </a:graphic>
              </wp:anchor>
            </w:drawing>
          </mc:Choice>
          <mc:Fallback>
            <w:pict>
              <v:shape id="自选图形 14" o:spid="_x0000_s1026" o:spt="32" type="#_x0000_t32" style="position:absolute;left:0pt;margin-left:16.75pt;margin-top:1pt;height:0pt;width:417.8pt;z-index:251659264;mso-width-relative:page;mso-height-relative:page;" filled="f" stroked="t" coordsize="21600,21600" o:gfxdata="UEsDBAoAAAAAAIdO4kAAAAAAAAAAAAAAAAAEAAAAZHJzL1BLAwQUAAAACACHTuJAmuRd5dEAAAAG&#10;AQAADwAAAGRycy9kb3ducmV2LnhtbE2PwU6EQBBE7yb+w6RNvBh3YDcSRIY9mHjyIK5+QAMtEJke&#10;wgzL+Pe2XvRYqUrVq/IY7aTOtPjRsYF0l4Aibl03cm/g/e3pNgflA3KHk2My8EUejtXlRYlF5zZ+&#10;pfMp9EpK2BdoYAhhLrT27UAW/c7NxOJ9uMViELn0ultwk3I76X2SZNriyLIw4EyPA7Wfp9UaiC8Z&#10;h1jnsdl4ffb5TR3R1sZcX6XJA6hAMfyF4Qdf0KESpsat3Hk1GTgc7iRpYC+PxM6z+xRU86t1Ver/&#10;+NU3UEsDBBQAAAAIAIdO4kAc/Sr87QEAALcDAAAOAAAAZHJzL2Uyb0RvYy54bWytU81uEzEQviPx&#10;DpbvZDeFVnSVTQ+JyqVApJYHcLzeXQvbY42dbHLjhngGbhx5B/o2leAtGDs//eHSA7uSZXtmvpnv&#10;m/HkYmMNWysMGlzNx6OSM+UkNNp1Nf90c/nqLWchCtcIA07VfKsCv5i+fDEZfKVOoAfTKGQE4kI1&#10;+Jr3MfqqKILslRVhBF45MraAVkQ6Ylc0KAZCt6Y4KcuzYgBsPIJUIdDtfGfke0R8DiC0rZZqDnJl&#10;lYs7VFRGRKIUeu0Dn+Zq21bJ+LFtg4rM1JyYxrxSEtov01pMJ6LqUPhey30J4jklPOFkhXaU9Ag1&#10;F1GwFep/oKyWCAHaOJJgix2RrAixGJdPtLnuhVeZC0kd/FH08P9g5Yf1Apluan7OmROWGv77688/&#10;X77dfb+9+/WDjd8kiQYfKvKcuQUmknLjrv0VyM+BOZj1wnUql3qz9RQ/ThHFo5B0CJ4SLYf30JCP&#10;WEXIem1atAmSlGCb3JbtsS1qE5mky9PX5Rn9nMmDrRDVIdBjiO8UWJY2NQ8Rhe76OAPnqPmA45xG&#10;rK9CTGWJ6hCQsjq41MbkGTCODVT7eXla5ogARjfJmvwCdsuZQbYWaYzyl0mS5aEbwso1uyzG7TVI&#10;tHcCLqHZLvCgDfUzl7OfvTQwD885+v69T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uRd5dEA&#10;AAAGAQAADwAAAAAAAAABACAAAAAiAAAAZHJzL2Rvd25yZXYueG1sUEsBAhQAFAAAAAgAh07iQBz9&#10;KvztAQAAtwMAAA4AAAAAAAAAAQAgAAAAIAEAAGRycy9lMm9Eb2MueG1sUEsFBgAAAAAGAAYAWQEA&#10;AH8FA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color w:val="auto"/>
          <w:spacing w:val="200"/>
          <w:sz w:val="84"/>
          <w:szCs w:val="84"/>
          <w:highlight w:val="none"/>
        </w:rPr>
      </w:pPr>
    </w:p>
    <w:p>
      <w:pPr>
        <w:jc w:val="center"/>
        <w:rPr>
          <w:rFonts w:ascii="华文中宋" w:hAnsi="华文中宋" w:eastAsia="华文中宋"/>
          <w:b/>
          <w:color w:val="auto"/>
          <w:spacing w:val="200"/>
          <w:sz w:val="144"/>
          <w:szCs w:val="144"/>
          <w:highlight w:val="none"/>
        </w:rPr>
      </w:pPr>
      <w:r>
        <w:rPr>
          <w:rFonts w:hint="eastAsia" w:ascii="华文中宋" w:hAnsi="华文中宋" w:eastAsia="华文中宋"/>
          <w:b/>
          <w:color w:val="auto"/>
          <w:spacing w:val="200"/>
          <w:sz w:val="144"/>
          <w:szCs w:val="144"/>
          <w:highlight w:val="none"/>
        </w:rPr>
        <w:t>招标文件</w:t>
      </w:r>
    </w:p>
    <w:p>
      <w:pPr>
        <w:spacing w:line="600" w:lineRule="exact"/>
        <w:jc w:val="center"/>
        <w:rPr>
          <w:b/>
          <w:color w:val="auto"/>
          <w:sz w:val="44"/>
          <w:szCs w:val="44"/>
          <w:highlight w:val="none"/>
        </w:rPr>
      </w:pPr>
    </w:p>
    <w:p>
      <w:pPr>
        <w:spacing w:line="600" w:lineRule="exact"/>
        <w:rPr>
          <w:b/>
          <w:color w:val="auto"/>
          <w:sz w:val="44"/>
          <w:szCs w:val="44"/>
          <w:highlight w:val="none"/>
        </w:rPr>
      </w:pPr>
    </w:p>
    <w:p>
      <w:pPr>
        <w:spacing w:line="800" w:lineRule="exact"/>
        <w:ind w:left="907" w:leftChars="432"/>
        <w:rPr>
          <w:rFonts w:ascii="楷体" w:hAnsi="楷体" w:eastAsia="楷体"/>
          <w:b/>
          <w:color w:val="auto"/>
          <w:sz w:val="44"/>
          <w:szCs w:val="44"/>
          <w:highlight w:val="none"/>
          <w:lang w:val="en-GB"/>
        </w:rPr>
      </w:pPr>
      <w:r>
        <w:rPr>
          <w:rFonts w:hint="eastAsia" w:ascii="楷体" w:hAnsi="楷体" w:eastAsia="楷体"/>
          <w:b/>
          <w:color w:val="auto"/>
          <w:sz w:val="44"/>
          <w:szCs w:val="44"/>
          <w:highlight w:val="none"/>
        </w:rPr>
        <w:t>项目名称：</w:t>
      </w:r>
      <w:r>
        <w:rPr>
          <w:rFonts w:hint="eastAsia" w:ascii="楷体" w:hAnsi="楷体" w:eastAsia="楷体"/>
          <w:b/>
          <w:color w:val="auto"/>
          <w:sz w:val="44"/>
          <w:szCs w:val="44"/>
          <w:highlight w:val="none"/>
          <w:lang w:eastAsia="zh-CN"/>
        </w:rPr>
        <w:t>柳州职业技术学院</w:t>
      </w:r>
      <w:r>
        <w:rPr>
          <w:rFonts w:ascii="楷体" w:hAnsi="楷体" w:eastAsia="楷体"/>
          <w:b/>
          <w:color w:val="auto"/>
          <w:sz w:val="44"/>
          <w:szCs w:val="44"/>
          <w:highlight w:val="none"/>
        </w:rPr>
        <w:t>物业管理服务采购</w:t>
      </w:r>
    </w:p>
    <w:p>
      <w:pPr>
        <w:spacing w:line="800" w:lineRule="exact"/>
        <w:ind w:left="907" w:leftChars="432"/>
        <w:rPr>
          <w:rFonts w:hint="eastAsia" w:ascii="楷体" w:hAnsi="楷体" w:eastAsia="楷体"/>
          <w:b/>
          <w:color w:val="auto"/>
          <w:sz w:val="44"/>
          <w:szCs w:val="44"/>
          <w:highlight w:val="none"/>
          <w:lang w:val="en-GB" w:eastAsia="zh-CN"/>
        </w:rPr>
      </w:pPr>
      <w:r>
        <w:rPr>
          <w:rFonts w:hint="eastAsia" w:ascii="楷体" w:hAnsi="楷体" w:eastAsia="楷体"/>
          <w:b/>
          <w:color w:val="auto"/>
          <w:sz w:val="44"/>
          <w:szCs w:val="44"/>
          <w:highlight w:val="none"/>
        </w:rPr>
        <w:t>项目编号：</w:t>
      </w:r>
      <w:r>
        <w:rPr>
          <w:rFonts w:hint="eastAsia" w:ascii="楷体" w:hAnsi="楷体" w:eastAsia="楷体"/>
          <w:b/>
          <w:color w:val="auto"/>
          <w:sz w:val="44"/>
          <w:szCs w:val="44"/>
          <w:highlight w:val="none"/>
          <w:lang w:eastAsia="zh-CN"/>
        </w:rPr>
        <w:t>LZZC2024-G3-990697-LZJC</w:t>
      </w:r>
    </w:p>
    <w:p>
      <w:pPr>
        <w:spacing w:line="800" w:lineRule="exact"/>
        <w:rPr>
          <w:rFonts w:ascii="楷体" w:hAnsi="楷体" w:eastAsia="楷体"/>
          <w:b/>
          <w:color w:val="auto"/>
          <w:sz w:val="44"/>
          <w:szCs w:val="44"/>
          <w:highlight w:val="none"/>
        </w:rPr>
      </w:pPr>
    </w:p>
    <w:p>
      <w:pPr>
        <w:spacing w:line="800" w:lineRule="exact"/>
        <w:ind w:firstLine="663" w:firstLineChars="150"/>
        <w:jc w:val="center"/>
        <w:rPr>
          <w:rFonts w:hint="eastAsia" w:ascii="楷体" w:hAnsi="楷体" w:eastAsia="楷体"/>
          <w:b/>
          <w:color w:val="auto"/>
          <w:sz w:val="44"/>
          <w:szCs w:val="44"/>
          <w:highlight w:val="none"/>
          <w:lang w:val="en-GB" w:eastAsia="zh-CN"/>
        </w:rPr>
      </w:pPr>
      <w:r>
        <w:rPr>
          <w:rFonts w:hint="eastAsia" w:ascii="楷体" w:hAnsi="楷体" w:eastAsia="楷体"/>
          <w:b/>
          <w:color w:val="auto"/>
          <w:sz w:val="44"/>
          <w:szCs w:val="44"/>
          <w:highlight w:val="none"/>
        </w:rPr>
        <w:t>采购人：</w:t>
      </w:r>
      <w:r>
        <w:rPr>
          <w:rFonts w:hint="eastAsia" w:ascii="楷体" w:hAnsi="楷体" w:eastAsia="楷体"/>
          <w:b/>
          <w:color w:val="auto"/>
          <w:sz w:val="44"/>
          <w:szCs w:val="44"/>
          <w:highlight w:val="none"/>
          <w:lang w:eastAsia="zh-CN"/>
        </w:rPr>
        <w:t>柳州职业技术学院</w:t>
      </w:r>
    </w:p>
    <w:p>
      <w:pPr>
        <w:spacing w:line="800" w:lineRule="exact"/>
        <w:ind w:firstLine="658" w:firstLineChars="149"/>
        <w:rPr>
          <w:rFonts w:ascii="楷体" w:hAnsi="楷体" w:eastAsia="楷体"/>
          <w:b/>
          <w:color w:val="auto"/>
          <w:sz w:val="44"/>
          <w:szCs w:val="44"/>
          <w:highlight w:val="none"/>
        </w:rPr>
      </w:pPr>
      <w:r>
        <w:rPr>
          <w:rFonts w:hint="eastAsia" w:ascii="楷体" w:hAnsi="楷体" w:eastAsia="楷体"/>
          <w:b/>
          <w:color w:val="auto"/>
          <w:sz w:val="44"/>
          <w:szCs w:val="44"/>
          <w:highlight w:val="none"/>
        </w:rPr>
        <w:t>采购代理机构：柳州市政府集中采购中心</w:t>
      </w:r>
    </w:p>
    <w:p>
      <w:pPr>
        <w:spacing w:line="600" w:lineRule="exact"/>
        <w:jc w:val="center"/>
        <w:rPr>
          <w:rFonts w:ascii="楷体" w:hAnsi="楷体" w:eastAsia="楷体"/>
          <w:b/>
          <w:color w:val="auto"/>
          <w:sz w:val="44"/>
          <w:szCs w:val="44"/>
          <w:highlight w:val="none"/>
        </w:rPr>
      </w:pPr>
    </w:p>
    <w:p>
      <w:pPr>
        <w:spacing w:line="600" w:lineRule="exact"/>
        <w:jc w:val="center"/>
        <w:rPr>
          <w:rFonts w:ascii="楷体" w:hAnsi="楷体" w:eastAsia="楷体"/>
          <w:b/>
          <w:color w:val="auto"/>
          <w:sz w:val="44"/>
          <w:szCs w:val="44"/>
          <w:highlight w:val="none"/>
        </w:rPr>
      </w:pPr>
      <w:r>
        <w:rPr>
          <w:rFonts w:ascii="楷体" w:hAnsi="楷体" w:eastAsia="楷体"/>
          <w:b/>
          <w:color w:val="auto"/>
          <w:sz w:val="44"/>
          <w:szCs w:val="44"/>
          <w:highlight w:val="none"/>
        </w:rPr>
        <w:t>2024年XX月XX日</w:t>
      </w:r>
    </w:p>
    <w:p>
      <w:pPr>
        <w:widowControl/>
        <w:jc w:val="left"/>
        <w:rPr>
          <w:rFonts w:ascii="楷体" w:hAnsi="楷体" w:eastAsia="楷体"/>
          <w:b/>
          <w:color w:val="auto"/>
          <w:sz w:val="44"/>
          <w:szCs w:val="44"/>
          <w:highlight w:val="none"/>
        </w:rPr>
      </w:pPr>
      <w:r>
        <w:rPr>
          <w:rFonts w:ascii="楷体" w:hAnsi="楷体" w:eastAsia="楷体"/>
          <w:b/>
          <w:color w:val="auto"/>
          <w:sz w:val="44"/>
          <w:szCs w:val="44"/>
          <w:highlight w:val="none"/>
        </w:rPr>
        <w:br w:type="page"/>
      </w:r>
    </w:p>
    <w:p>
      <w:pPr>
        <w:spacing w:line="600" w:lineRule="exact"/>
        <w:jc w:val="center"/>
        <w:rPr>
          <w:rFonts w:ascii="楷体" w:hAnsi="楷体" w:eastAsia="楷体"/>
          <w:b/>
          <w:color w:val="auto"/>
          <w:sz w:val="44"/>
          <w:szCs w:val="44"/>
          <w:highlight w:val="none"/>
        </w:rPr>
      </w:pPr>
    </w:p>
    <w:p>
      <w:pPr>
        <w:spacing w:line="360" w:lineRule="auto"/>
        <w:rPr>
          <w:b/>
          <w:color w:val="auto"/>
          <w:sz w:val="52"/>
          <w:szCs w:val="52"/>
          <w:highlight w:val="none"/>
        </w:rPr>
        <w:sectPr>
          <w:headerReference r:id="rId3" w:type="first"/>
          <w:footerReference r:id="rId4" w:type="even"/>
          <w:pgSz w:w="11906" w:h="16838"/>
          <w:pgMar w:top="1440" w:right="1440" w:bottom="1440" w:left="1440" w:header="851" w:footer="992" w:gutter="0"/>
          <w:cols w:space="720" w:num="1"/>
          <w:docGrid w:type="lines" w:linePitch="312" w:charSpace="0"/>
        </w:sectPr>
      </w:pPr>
    </w:p>
    <w:p>
      <w:pPr>
        <w:spacing w:line="360" w:lineRule="auto"/>
        <w:jc w:val="center"/>
        <w:rPr>
          <w:b/>
          <w:color w:val="auto"/>
          <w:sz w:val="52"/>
          <w:szCs w:val="52"/>
          <w:highlight w:val="none"/>
        </w:rPr>
      </w:pPr>
    </w:p>
    <w:p>
      <w:pPr>
        <w:spacing w:line="360" w:lineRule="auto"/>
        <w:jc w:val="center"/>
        <w:rPr>
          <w:b/>
          <w:color w:val="auto"/>
          <w:sz w:val="52"/>
          <w:szCs w:val="52"/>
          <w:highlight w:val="none"/>
        </w:rPr>
      </w:pPr>
      <w:r>
        <w:rPr>
          <w:rFonts w:hint="eastAsia"/>
          <w:b/>
          <w:color w:val="auto"/>
          <w:sz w:val="52"/>
          <w:szCs w:val="52"/>
          <w:highlight w:val="none"/>
        </w:rPr>
        <w:t>目  录</w:t>
      </w:r>
    </w:p>
    <w:p>
      <w:pPr>
        <w:spacing w:line="360" w:lineRule="auto"/>
        <w:jc w:val="center"/>
        <w:rPr>
          <w:b/>
          <w:color w:val="auto"/>
          <w:sz w:val="52"/>
          <w:szCs w:val="52"/>
          <w:highlight w:val="none"/>
        </w:rPr>
      </w:pPr>
    </w:p>
    <w:p>
      <w:pPr>
        <w:pStyle w:val="34"/>
        <w:tabs>
          <w:tab w:val="right" w:leader="dot" w:pos="9746"/>
        </w:tabs>
        <w:spacing w:line="360" w:lineRule="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TOC \o "1-1" \h \z \u </w:instrText>
      </w:r>
      <w:r>
        <w:rPr>
          <w:rFonts w:hint="eastAsia" w:ascii="仿宋_GB2312" w:hAnsi="仿宋_GB2312" w:eastAsia="仿宋_GB2312" w:cs="仿宋_GB2312"/>
          <w:color w:val="auto"/>
          <w:sz w:val="32"/>
          <w:szCs w:val="32"/>
          <w:highlight w:val="none"/>
        </w:rPr>
        <w:fldChar w:fldCharType="separate"/>
      </w:r>
      <w:r>
        <w:rPr>
          <w:color w:val="auto"/>
          <w:highlight w:val="none"/>
        </w:rPr>
        <w:fldChar w:fldCharType="begin"/>
      </w:r>
      <w:r>
        <w:rPr>
          <w:color w:val="auto"/>
          <w:highlight w:val="none"/>
        </w:rPr>
        <w:instrText xml:space="preserve"> HYPERLINK \l "_Toc29306" </w:instrText>
      </w:r>
      <w:r>
        <w:rPr>
          <w:color w:val="auto"/>
          <w:highlight w:val="none"/>
        </w:rPr>
        <w:fldChar w:fldCharType="separate"/>
      </w:r>
      <w:r>
        <w:rPr>
          <w:rFonts w:hint="eastAsia" w:ascii="仿宋_GB2312" w:hAnsi="仿宋_GB2312" w:eastAsia="仿宋_GB2312" w:cs="仿宋_GB2312"/>
          <w:color w:val="auto"/>
          <w:sz w:val="32"/>
          <w:szCs w:val="32"/>
          <w:highlight w:val="none"/>
        </w:rPr>
        <w:t>第一章 公开招标公告</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_Toc29306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tabs>
          <w:tab w:val="right" w:leader="dot" w:pos="9746"/>
        </w:tabs>
        <w:spacing w:line="360" w:lineRule="auto"/>
        <w:rPr>
          <w:rFonts w:ascii="仿宋_GB2312" w:hAnsi="仿宋_GB2312" w:eastAsia="仿宋_GB2312" w:cs="仿宋_GB2312"/>
          <w:color w:val="auto"/>
          <w:sz w:val="32"/>
          <w:szCs w:val="32"/>
          <w:highlight w:val="none"/>
        </w:rPr>
      </w:pPr>
      <w:r>
        <w:rPr>
          <w:color w:val="auto"/>
          <w:highlight w:val="none"/>
        </w:rPr>
        <w:fldChar w:fldCharType="begin"/>
      </w:r>
      <w:r>
        <w:rPr>
          <w:color w:val="auto"/>
          <w:highlight w:val="none"/>
        </w:rPr>
        <w:instrText xml:space="preserve"> HYPERLINK \l "_Toc13541" </w:instrText>
      </w:r>
      <w:r>
        <w:rPr>
          <w:color w:val="auto"/>
          <w:highlight w:val="none"/>
        </w:rPr>
        <w:fldChar w:fldCharType="separate"/>
      </w:r>
      <w:r>
        <w:rPr>
          <w:rFonts w:hint="eastAsia" w:ascii="仿宋_GB2312" w:hAnsi="仿宋_GB2312" w:eastAsia="仿宋_GB2312" w:cs="仿宋_GB2312"/>
          <w:color w:val="auto"/>
          <w:sz w:val="32"/>
          <w:szCs w:val="32"/>
          <w:highlight w:val="none"/>
        </w:rPr>
        <w:t>第二章 采购需求</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_Toc13541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tabs>
          <w:tab w:val="right" w:leader="dot" w:pos="9746"/>
        </w:tabs>
        <w:spacing w:line="360" w:lineRule="auto"/>
        <w:rPr>
          <w:rFonts w:ascii="仿宋_GB2312" w:hAnsi="仿宋_GB2312" w:eastAsia="仿宋_GB2312" w:cs="仿宋_GB2312"/>
          <w:color w:val="auto"/>
          <w:sz w:val="32"/>
          <w:szCs w:val="32"/>
          <w:highlight w:val="none"/>
        </w:rPr>
      </w:pPr>
      <w:r>
        <w:rPr>
          <w:color w:val="auto"/>
          <w:highlight w:val="none"/>
        </w:rPr>
        <w:fldChar w:fldCharType="begin"/>
      </w:r>
      <w:r>
        <w:rPr>
          <w:color w:val="auto"/>
          <w:highlight w:val="none"/>
        </w:rPr>
        <w:instrText xml:space="preserve"> HYPERLINK \l "_Toc29711" </w:instrText>
      </w:r>
      <w:r>
        <w:rPr>
          <w:color w:val="auto"/>
          <w:highlight w:val="none"/>
        </w:rPr>
        <w:fldChar w:fldCharType="separate"/>
      </w:r>
      <w:r>
        <w:rPr>
          <w:rFonts w:hint="eastAsia" w:ascii="仿宋_GB2312" w:hAnsi="仿宋_GB2312" w:eastAsia="仿宋_GB2312" w:cs="仿宋_GB2312"/>
          <w:color w:val="auto"/>
          <w:sz w:val="32"/>
          <w:szCs w:val="32"/>
          <w:highlight w:val="none"/>
        </w:rPr>
        <w:t>第三章 投标人须知</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_Toc29711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74</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tabs>
          <w:tab w:val="right" w:leader="dot" w:pos="9746"/>
        </w:tabs>
        <w:spacing w:line="360" w:lineRule="auto"/>
        <w:rPr>
          <w:rFonts w:hint="default" w:ascii="仿宋_GB2312" w:hAnsi="仿宋_GB2312" w:eastAsia="仿宋_GB2312" w:cs="仿宋_GB2312"/>
          <w:color w:val="auto"/>
          <w:sz w:val="32"/>
          <w:szCs w:val="32"/>
          <w:highlight w:val="none"/>
          <w:lang w:val="en-US" w:eastAsia="zh-CN"/>
        </w:rPr>
      </w:pPr>
      <w:r>
        <w:rPr>
          <w:color w:val="auto"/>
          <w:highlight w:val="none"/>
        </w:rPr>
        <w:fldChar w:fldCharType="begin"/>
      </w:r>
      <w:r>
        <w:rPr>
          <w:color w:val="auto"/>
          <w:highlight w:val="none"/>
        </w:rPr>
        <w:instrText xml:space="preserve"> HYPERLINK \l "_Toc27328" </w:instrText>
      </w:r>
      <w:r>
        <w:rPr>
          <w:color w:val="auto"/>
          <w:highlight w:val="none"/>
        </w:rPr>
        <w:fldChar w:fldCharType="separate"/>
      </w:r>
      <w:r>
        <w:rPr>
          <w:rFonts w:hint="eastAsia" w:ascii="仿宋_GB2312" w:hAnsi="仿宋_GB2312" w:eastAsia="仿宋_GB2312" w:cs="仿宋_GB2312"/>
          <w:color w:val="auto"/>
          <w:sz w:val="32"/>
          <w:szCs w:val="32"/>
          <w:highlight w:val="none"/>
        </w:rPr>
        <w:t>第四章 评标方法及评标标准</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89</w:t>
      </w:r>
    </w:p>
    <w:p>
      <w:pPr>
        <w:pStyle w:val="34"/>
        <w:tabs>
          <w:tab w:val="right" w:leader="dot" w:pos="9746"/>
        </w:tabs>
        <w:spacing w:line="360" w:lineRule="auto"/>
        <w:rPr>
          <w:rFonts w:hint="default" w:ascii="仿宋_GB2312" w:hAnsi="仿宋_GB2312" w:eastAsia="仿宋_GB2312" w:cs="仿宋_GB2312"/>
          <w:color w:val="auto"/>
          <w:sz w:val="32"/>
          <w:szCs w:val="32"/>
          <w:highlight w:val="none"/>
          <w:lang w:val="en-US" w:eastAsia="zh-CN"/>
        </w:rPr>
      </w:pPr>
      <w:r>
        <w:rPr>
          <w:color w:val="auto"/>
          <w:highlight w:val="none"/>
        </w:rPr>
        <w:fldChar w:fldCharType="begin"/>
      </w:r>
      <w:r>
        <w:rPr>
          <w:color w:val="auto"/>
          <w:highlight w:val="none"/>
        </w:rPr>
        <w:instrText xml:space="preserve"> HYPERLINK \l "_Toc21458" </w:instrText>
      </w:r>
      <w:r>
        <w:rPr>
          <w:color w:val="auto"/>
          <w:highlight w:val="none"/>
        </w:rPr>
        <w:fldChar w:fldCharType="separate"/>
      </w:r>
      <w:r>
        <w:rPr>
          <w:rFonts w:hint="eastAsia" w:ascii="仿宋_GB2312" w:hAnsi="仿宋_GB2312" w:eastAsia="仿宋_GB2312" w:cs="仿宋_GB2312"/>
          <w:color w:val="auto"/>
          <w:sz w:val="32"/>
          <w:szCs w:val="32"/>
          <w:highlight w:val="none"/>
        </w:rPr>
        <w:t>第五章 合同主要条款格式及广西壮族自治区政府采购项目合同验收书格式</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96</w:t>
      </w:r>
    </w:p>
    <w:p>
      <w:pPr>
        <w:pStyle w:val="34"/>
        <w:tabs>
          <w:tab w:val="right" w:leader="dot" w:pos="9016"/>
        </w:tabs>
        <w:spacing w:line="360" w:lineRule="auto"/>
        <w:rPr>
          <w:rFonts w:ascii="仿宋_GB2312" w:hAnsi="宋体" w:eastAsia="仿宋_GB2312"/>
          <w:b w:val="0"/>
          <w:bCs w:val="0"/>
          <w:caps w:val="0"/>
          <w:color w:val="auto"/>
          <w:sz w:val="32"/>
          <w:szCs w:val="32"/>
          <w:highlight w:val="none"/>
        </w:rPr>
      </w:pPr>
      <w:r>
        <w:rPr>
          <w:rFonts w:hint="eastAsia" w:ascii="仿宋_GB2312" w:hAnsi="仿宋_GB2312" w:eastAsia="仿宋_GB2312" w:cs="仿宋_GB2312"/>
          <w:color w:val="auto"/>
          <w:sz w:val="32"/>
          <w:szCs w:val="32"/>
          <w:highlight w:val="none"/>
        </w:rPr>
        <w:fldChar w:fldCharType="end"/>
      </w:r>
      <w:r>
        <w:rPr>
          <w:rFonts w:hint="eastAsia" w:ascii="仿宋_GB2312" w:hAnsi="宋体" w:eastAsia="仿宋_GB2312"/>
          <w:b w:val="0"/>
          <w:bCs w:val="0"/>
          <w:caps w:val="0"/>
          <w:color w:val="auto"/>
          <w:sz w:val="32"/>
          <w:szCs w:val="32"/>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headerReference r:id="rId5" w:type="default"/>
          <w:footerReference r:id="rId6" w:type="default"/>
          <w:pgSz w:w="11906" w:h="16838"/>
          <w:pgMar w:top="1440" w:right="1440" w:bottom="1440" w:left="1440" w:header="851" w:footer="992" w:gutter="0"/>
          <w:cols w:space="720" w:num="1"/>
          <w:docGrid w:linePitch="312" w:charSpace="0"/>
        </w:sectPr>
      </w:pPr>
    </w:p>
    <w:p>
      <w:pPr>
        <w:rPr>
          <w:color w:val="auto"/>
          <w:highlight w:val="none"/>
          <w:lang w:val="en-GB"/>
        </w:rPr>
      </w:pPr>
    </w:p>
    <w:p>
      <w:pPr>
        <w:pStyle w:val="4"/>
        <w:spacing w:line="276" w:lineRule="auto"/>
        <w:jc w:val="center"/>
        <w:rPr>
          <w:color w:val="auto"/>
          <w:sz w:val="32"/>
          <w:szCs w:val="32"/>
          <w:highlight w:val="none"/>
        </w:rPr>
      </w:pPr>
      <w:bookmarkStart w:id="0" w:name="_Toc29306"/>
      <w:r>
        <w:rPr>
          <w:rFonts w:hint="eastAsia"/>
          <w:color w:val="auto"/>
          <w:sz w:val="32"/>
          <w:szCs w:val="32"/>
          <w:highlight w:val="none"/>
        </w:rPr>
        <w:t>第一章 公开招标公告</w:t>
      </w:r>
      <w:bookmarkEnd w:id="0"/>
    </w:p>
    <w:p>
      <w:pPr>
        <w:pStyle w:val="5"/>
        <w:spacing w:line="240" w:lineRule="auto"/>
        <w:ind w:right="-21" w:rightChars="-10" w:firstLine="711" w:firstLineChars="253"/>
        <w:jc w:val="both"/>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项目概况</w:t>
      </w:r>
    </w:p>
    <w:p>
      <w:pPr>
        <w:spacing w:line="400" w:lineRule="exact"/>
        <w:ind w:right="-21" w:rightChars="-10" w:firstLine="555"/>
        <w:rPr>
          <w:rFonts w:ascii="仿宋_GB2312" w:eastAsia="仿宋_GB2312"/>
          <w:color w:val="auto"/>
          <w:sz w:val="28"/>
          <w:szCs w:val="28"/>
          <w:highlight w:val="none"/>
          <w:u w:val="single"/>
        </w:rPr>
      </w:pPr>
      <w:bookmarkStart w:id="1" w:name="_Hlk50568865"/>
      <w:r>
        <w:rPr>
          <w:rFonts w:hint="eastAsia" w:ascii="仿宋_GB2312" w:eastAsia="仿宋_GB2312"/>
          <w:color w:val="auto"/>
          <w:sz w:val="28"/>
          <w:szCs w:val="28"/>
          <w:highlight w:val="none"/>
          <w:lang w:eastAsia="zh-CN"/>
        </w:rPr>
        <w:t>柳州职业技术学院</w:t>
      </w:r>
      <w:r>
        <w:rPr>
          <w:rFonts w:ascii="仿宋_GB2312" w:eastAsia="仿宋_GB2312"/>
          <w:color w:val="auto"/>
          <w:sz w:val="28"/>
          <w:szCs w:val="28"/>
          <w:highlight w:val="none"/>
        </w:rPr>
        <w:t>物业管理服务采购</w:t>
      </w:r>
      <w:r>
        <w:rPr>
          <w:rFonts w:hint="eastAsia" w:ascii="仿宋_GB2312" w:eastAsia="仿宋_GB2312"/>
          <w:color w:val="auto"/>
          <w:sz w:val="28"/>
          <w:szCs w:val="28"/>
          <w:highlight w:val="none"/>
        </w:rPr>
        <w:t>项目的潜在投标人应在广西政府采购云平台（https://www.gcy.zfcg.gxzf.gov.cn/）获取招标文件，并于</w:t>
      </w:r>
      <w:r>
        <w:rPr>
          <w:rFonts w:ascii="仿宋_GB2312" w:eastAsia="仿宋_GB2312"/>
          <w:color w:val="auto"/>
          <w:sz w:val="28"/>
          <w:szCs w:val="28"/>
          <w:highlight w:val="none"/>
        </w:rPr>
        <w:t>2024年XX月XX日 09:</w:t>
      </w:r>
      <w:r>
        <w:rPr>
          <w:rFonts w:hint="eastAsia" w:ascii="仿宋_GB2312" w:eastAsia="仿宋_GB2312"/>
          <w:color w:val="auto"/>
          <w:sz w:val="28"/>
          <w:szCs w:val="28"/>
          <w:highlight w:val="none"/>
          <w:lang w:val="en-US" w:eastAsia="zh-CN"/>
        </w:rPr>
        <w:t>2</w:t>
      </w:r>
      <w:r>
        <w:rPr>
          <w:rFonts w:ascii="仿宋_GB2312" w:eastAsia="仿宋_GB2312"/>
          <w:color w:val="auto"/>
          <w:sz w:val="28"/>
          <w:szCs w:val="28"/>
          <w:highlight w:val="none"/>
        </w:rPr>
        <w:t>0</w:t>
      </w:r>
      <w:r>
        <w:rPr>
          <w:rFonts w:hint="eastAsia" w:ascii="仿宋_GB2312" w:eastAsia="仿宋_GB2312"/>
          <w:color w:val="auto"/>
          <w:sz w:val="28"/>
          <w:szCs w:val="28"/>
          <w:highlight w:val="none"/>
        </w:rPr>
        <w:t>（北京时间）前</w:t>
      </w:r>
      <w:bookmarkEnd w:id="1"/>
      <w:r>
        <w:rPr>
          <w:rFonts w:hint="eastAsia" w:ascii="仿宋_GB2312" w:hAnsi="仿宋_GB2312" w:eastAsia="仿宋_GB2312" w:cs="仿宋_GB2312"/>
          <w:color w:val="auto"/>
          <w:sz w:val="28"/>
          <w:szCs w:val="28"/>
          <w:highlight w:val="none"/>
        </w:rPr>
        <w:t>在线提交投标文件</w:t>
      </w:r>
      <w:r>
        <w:rPr>
          <w:rFonts w:hint="eastAsia" w:ascii="仿宋_GB2312" w:eastAsia="仿宋_GB2312"/>
          <w:color w:val="auto"/>
          <w:sz w:val="28"/>
          <w:szCs w:val="28"/>
          <w:highlight w:val="none"/>
        </w:rPr>
        <w:t>。</w:t>
      </w:r>
    </w:p>
    <w:p>
      <w:pPr>
        <w:spacing w:line="400" w:lineRule="exact"/>
        <w:ind w:right="-21" w:rightChars="-10" w:firstLine="562" w:firstLineChars="200"/>
        <w:rPr>
          <w:rFonts w:ascii="黑体" w:hAnsi="黑体" w:eastAsia="黑体" w:cs="黑体"/>
          <w:b/>
          <w:bCs/>
          <w:color w:val="auto"/>
          <w:sz w:val="28"/>
          <w:szCs w:val="28"/>
          <w:highlight w:val="none"/>
        </w:rPr>
      </w:pPr>
      <w:bookmarkStart w:id="2" w:name="_Hlk53504521"/>
      <w:r>
        <w:rPr>
          <w:rFonts w:hint="eastAsia" w:ascii="黑体" w:hAnsi="黑体" w:eastAsia="黑体" w:cs="黑体"/>
          <w:b/>
          <w:bCs/>
          <w:color w:val="auto"/>
          <w:sz w:val="28"/>
          <w:szCs w:val="28"/>
          <w:highlight w:val="none"/>
        </w:rPr>
        <w:t>一、项目基本情况</w:t>
      </w:r>
    </w:p>
    <w:bookmarkEnd w:id="2"/>
    <w:p>
      <w:pPr>
        <w:pStyle w:val="80"/>
        <w:spacing w:line="400" w:lineRule="exact"/>
        <w:ind w:right="-21" w:rightChars="-10" w:firstLine="56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项目编号：</w:t>
      </w:r>
      <w:r>
        <w:rPr>
          <w:rFonts w:hint="eastAsia" w:ascii="仿宋_GB2312" w:eastAsia="仿宋_GB2312"/>
          <w:color w:val="auto"/>
          <w:sz w:val="28"/>
          <w:szCs w:val="28"/>
          <w:highlight w:val="none"/>
          <w:lang w:eastAsia="zh-CN"/>
        </w:rPr>
        <w:t>LZZC2024-G3-990697-LZJC</w:t>
      </w:r>
    </w:p>
    <w:p>
      <w:pPr>
        <w:pStyle w:val="80"/>
        <w:spacing w:line="400" w:lineRule="exact"/>
        <w:ind w:right="-21" w:rightChars="-10" w:firstLine="560"/>
        <w:rPr>
          <w:rFonts w:ascii="仿宋_GB2312" w:eastAsia="仿宋_GB2312"/>
          <w:color w:val="auto"/>
          <w:sz w:val="28"/>
          <w:szCs w:val="28"/>
          <w:highlight w:val="none"/>
        </w:rPr>
      </w:pPr>
      <w:r>
        <w:rPr>
          <w:rFonts w:hint="eastAsia" w:ascii="仿宋_GB2312" w:eastAsia="仿宋_GB2312"/>
          <w:color w:val="auto"/>
          <w:sz w:val="28"/>
          <w:szCs w:val="28"/>
          <w:highlight w:val="none"/>
        </w:rPr>
        <w:t>项目名称：</w:t>
      </w:r>
      <w:r>
        <w:rPr>
          <w:rFonts w:hint="eastAsia" w:ascii="仿宋_GB2312" w:eastAsia="仿宋_GB2312"/>
          <w:color w:val="auto"/>
          <w:sz w:val="28"/>
          <w:szCs w:val="28"/>
          <w:highlight w:val="none"/>
          <w:lang w:eastAsia="zh-CN"/>
        </w:rPr>
        <w:t>柳州职业技术学院</w:t>
      </w:r>
      <w:r>
        <w:rPr>
          <w:rFonts w:ascii="仿宋_GB2312" w:eastAsia="仿宋_GB2312"/>
          <w:color w:val="auto"/>
          <w:sz w:val="28"/>
          <w:szCs w:val="28"/>
          <w:highlight w:val="none"/>
        </w:rPr>
        <w:t>物业管理服务采购</w:t>
      </w:r>
    </w:p>
    <w:p>
      <w:pPr>
        <w:pStyle w:val="80"/>
        <w:spacing w:line="400" w:lineRule="exact"/>
        <w:ind w:right="-21" w:rightChars="-10" w:firstLine="560"/>
        <w:rPr>
          <w:rFonts w:ascii="仿宋_GB2312" w:eastAsia="仿宋_GB2312"/>
          <w:color w:val="auto"/>
          <w:sz w:val="28"/>
          <w:szCs w:val="28"/>
          <w:highlight w:val="none"/>
        </w:rPr>
      </w:pPr>
      <w:r>
        <w:rPr>
          <w:rFonts w:hint="eastAsia" w:ascii="仿宋_GB2312" w:eastAsia="仿宋_GB2312"/>
          <w:color w:val="auto"/>
          <w:sz w:val="28"/>
          <w:szCs w:val="28"/>
          <w:highlight w:val="none"/>
        </w:rPr>
        <w:t>预算总金额</w:t>
      </w:r>
      <w:bookmarkStart w:id="3" w:name="_Hlk50568912"/>
      <w:r>
        <w:rPr>
          <w:rFonts w:hint="eastAsia" w:ascii="仿宋_GB2312" w:eastAsia="仿宋_GB2312"/>
          <w:color w:val="auto"/>
          <w:sz w:val="28"/>
          <w:szCs w:val="28"/>
          <w:highlight w:val="none"/>
        </w:rPr>
        <w:t>（元）</w:t>
      </w:r>
      <w:bookmarkEnd w:id="3"/>
      <w:r>
        <w:rPr>
          <w:rFonts w:hint="eastAsia" w:ascii="仿宋_GB2312" w:eastAsia="仿宋_GB2312"/>
          <w:color w:val="auto"/>
          <w:sz w:val="28"/>
          <w:szCs w:val="28"/>
          <w:highlight w:val="none"/>
        </w:rPr>
        <w:t>：</w:t>
      </w:r>
      <w:r>
        <w:rPr>
          <w:rFonts w:ascii="仿宋_GB2312" w:hAnsi="Times New Roman" w:eastAsia="仿宋_GB2312"/>
          <w:color w:val="auto"/>
          <w:sz w:val="28"/>
          <w:szCs w:val="28"/>
          <w:highlight w:val="none"/>
        </w:rPr>
        <w:t>33151644</w:t>
      </w:r>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采购需求：</w:t>
      </w:r>
    </w:p>
    <w:p>
      <w:pPr>
        <w:spacing w:line="400" w:lineRule="exact"/>
        <w:ind w:right="-21" w:rightChars="-10"/>
        <w:rPr>
          <w:rFonts w:ascii="仿宋_GB2312" w:eastAsia="仿宋_GB2312"/>
          <w:b/>
          <w:color w:val="auto"/>
          <w:sz w:val="28"/>
          <w:szCs w:val="28"/>
          <w:highlight w:val="none"/>
        </w:rPr>
      </w:pPr>
      <w:r>
        <w:rPr>
          <w:rFonts w:ascii="仿宋" w:hAnsi="仿宋" w:eastAsia="仿宋"/>
          <w:bCs/>
          <w:color w:val="auto"/>
          <w:sz w:val="24"/>
          <w:highlight w:val="none"/>
        </w:rPr>
        <w:t>标项名称：</w:t>
      </w:r>
      <w:r>
        <w:rPr>
          <w:rFonts w:hint="eastAsia" w:ascii="仿宋" w:hAnsi="仿宋" w:eastAsia="仿宋"/>
          <w:bCs/>
          <w:color w:val="auto"/>
          <w:sz w:val="24"/>
          <w:highlight w:val="none"/>
          <w:lang w:eastAsia="zh-CN"/>
        </w:rPr>
        <w:t>柳州职业技术学院</w:t>
      </w:r>
      <w:r>
        <w:rPr>
          <w:rFonts w:ascii="仿宋" w:hAnsi="仿宋" w:eastAsia="仿宋"/>
          <w:bCs/>
          <w:color w:val="auto"/>
          <w:sz w:val="24"/>
          <w:highlight w:val="none"/>
        </w:rPr>
        <w:t>物业管理服务采购
</w:t>
      </w:r>
      <w:r>
        <w:rPr>
          <w:rFonts w:ascii="仿宋" w:hAnsi="仿宋" w:eastAsia="仿宋"/>
          <w:bCs/>
          <w:color w:val="auto"/>
          <w:sz w:val="24"/>
          <w:highlight w:val="none"/>
        </w:rPr>
        <w:cr/>
      </w:r>
      <w:r>
        <w:rPr>
          <w:rFonts w:ascii="仿宋" w:hAnsi="仿宋" w:eastAsia="仿宋"/>
          <w:bCs/>
          <w:color w:val="auto"/>
          <w:sz w:val="24"/>
          <w:highlight w:val="none"/>
        </w:rPr>
        <w:t>数量：1
</w:t>
      </w:r>
      <w:r>
        <w:rPr>
          <w:rFonts w:ascii="仿宋" w:hAnsi="仿宋" w:eastAsia="仿宋"/>
          <w:bCs/>
          <w:color w:val="auto"/>
          <w:sz w:val="24"/>
          <w:highlight w:val="none"/>
        </w:rPr>
        <w:cr/>
      </w:r>
      <w:r>
        <w:rPr>
          <w:rFonts w:ascii="仿宋" w:hAnsi="仿宋" w:eastAsia="仿宋"/>
          <w:bCs/>
          <w:color w:val="auto"/>
          <w:sz w:val="24"/>
          <w:highlight w:val="none"/>
        </w:rPr>
        <w:t>预算金额（元）：33151644
</w:t>
      </w:r>
      <w:r>
        <w:rPr>
          <w:rFonts w:ascii="仿宋" w:hAnsi="仿宋" w:eastAsia="仿宋"/>
          <w:bCs/>
          <w:color w:val="auto"/>
          <w:sz w:val="24"/>
          <w:highlight w:val="none"/>
        </w:rPr>
        <w:cr/>
      </w:r>
      <w:r>
        <w:rPr>
          <w:rFonts w:ascii="仿宋" w:hAnsi="仿宋" w:eastAsia="仿宋"/>
          <w:bCs/>
          <w:color w:val="auto"/>
          <w:sz w:val="24"/>
          <w:highlight w:val="none"/>
        </w:rPr>
        <w:t>简要规格描述或项目基本概况介绍、用途：</w:t>
      </w:r>
      <w:r>
        <w:rPr>
          <w:rFonts w:hint="eastAsia" w:ascii="仿宋" w:hAnsi="仿宋" w:eastAsia="仿宋"/>
          <w:bCs/>
          <w:color w:val="auto"/>
          <w:sz w:val="24"/>
          <w:highlight w:val="none"/>
          <w:lang w:eastAsia="zh-CN"/>
        </w:rPr>
        <w:t>柳州职业技术学院</w:t>
      </w:r>
      <w:r>
        <w:rPr>
          <w:rFonts w:ascii="仿宋" w:hAnsi="仿宋" w:eastAsia="仿宋"/>
          <w:bCs/>
          <w:color w:val="auto"/>
          <w:sz w:val="24"/>
          <w:highlight w:val="none"/>
        </w:rPr>
        <w:t>物业管理服务采购1项（具体内容详见招标文件第二章《采购需求》）
</w:t>
      </w:r>
      <w:r>
        <w:rPr>
          <w:rFonts w:ascii="仿宋" w:hAnsi="仿宋" w:eastAsia="仿宋"/>
          <w:bCs/>
          <w:color w:val="auto"/>
          <w:sz w:val="24"/>
          <w:highlight w:val="none"/>
        </w:rPr>
        <w:cr/>
      </w:r>
      <w:r>
        <w:rPr>
          <w:rFonts w:ascii="仿宋" w:hAnsi="仿宋" w:eastAsia="仿宋"/>
          <w:bCs/>
          <w:color w:val="auto"/>
          <w:sz w:val="24"/>
          <w:highlight w:val="none"/>
        </w:rPr>
        <w:t>最高限价（如有）：33151644
</w:t>
      </w:r>
      <w:r>
        <w:rPr>
          <w:rFonts w:ascii="仿宋" w:hAnsi="仿宋" w:eastAsia="仿宋"/>
          <w:bCs/>
          <w:color w:val="auto"/>
          <w:sz w:val="24"/>
          <w:highlight w:val="none"/>
        </w:rPr>
        <w:cr/>
      </w:r>
      <w:r>
        <w:rPr>
          <w:rFonts w:ascii="仿宋" w:hAnsi="仿宋" w:eastAsia="仿宋"/>
          <w:bCs/>
          <w:color w:val="auto"/>
          <w:sz w:val="24"/>
          <w:highlight w:val="none"/>
        </w:rPr>
        <w:t>合同履约期限：自提供服务之日起3年，具体服务起止时间以合同约定日期为准。 
</w:t>
      </w:r>
      <w:r>
        <w:rPr>
          <w:rFonts w:ascii="仿宋" w:hAnsi="仿宋" w:eastAsia="仿宋"/>
          <w:bCs/>
          <w:color w:val="auto"/>
          <w:sz w:val="24"/>
          <w:highlight w:val="none"/>
        </w:rPr>
        <w:cr/>
      </w:r>
      <w:r>
        <w:rPr>
          <w:rFonts w:ascii="仿宋" w:hAnsi="仿宋" w:eastAsia="仿宋"/>
          <w:bCs/>
          <w:color w:val="auto"/>
          <w:sz w:val="24"/>
          <w:highlight w:val="none"/>
        </w:rPr>
        <w:t>本标项（</w:t>
      </w:r>
      <w:r>
        <w:rPr>
          <w:rFonts w:hint="eastAsia" w:ascii="仿宋" w:hAnsi="仿宋" w:eastAsia="仿宋"/>
          <w:bCs/>
          <w:color w:val="auto"/>
          <w:sz w:val="24"/>
          <w:highlight w:val="none"/>
          <w:lang w:eastAsia="zh-CN"/>
        </w:rPr>
        <w:t>否</w:t>
      </w:r>
      <w:r>
        <w:rPr>
          <w:rFonts w:ascii="仿宋" w:hAnsi="仿宋" w:eastAsia="仿宋"/>
          <w:bCs/>
          <w:color w:val="auto"/>
          <w:sz w:val="24"/>
          <w:highlight w:val="none"/>
        </w:rPr>
        <w:t>）接受联合体投标
</w:t>
      </w:r>
      <w:r>
        <w:rPr>
          <w:rFonts w:ascii="仿宋" w:hAnsi="仿宋" w:eastAsia="仿宋"/>
          <w:bCs/>
          <w:color w:val="auto"/>
          <w:sz w:val="24"/>
          <w:highlight w:val="none"/>
        </w:rPr>
        <w:cr/>
      </w:r>
      <w:r>
        <w:rPr>
          <w:rFonts w:ascii="仿宋" w:hAnsi="仿宋" w:eastAsia="仿宋"/>
          <w:bCs/>
          <w:color w:val="auto"/>
          <w:sz w:val="24"/>
          <w:highlight w:val="none"/>
        </w:rPr>
        <w:t>备注：本项目为线上电子招标项目，采用远程异地评标，有意向参与本项目的供应商应当做好参与全流程电子招投标交易的充分准备。</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4" w:name="_Hlk53504529"/>
      <w:r>
        <w:rPr>
          <w:rFonts w:hint="eastAsia" w:ascii="黑体" w:hAnsi="黑体" w:eastAsia="黑体" w:cs="黑体"/>
          <w:bCs/>
          <w:color w:val="auto"/>
          <w:sz w:val="28"/>
          <w:szCs w:val="28"/>
          <w:highlight w:val="none"/>
        </w:rPr>
        <w:t>二、申请人的资格要求</w:t>
      </w:r>
    </w:p>
    <w:bookmarkEnd w:id="4"/>
    <w:p>
      <w:pPr>
        <w:pStyle w:val="80"/>
        <w:spacing w:line="400" w:lineRule="exact"/>
        <w:ind w:right="-21" w:rightChars="-10" w:firstLine="560"/>
        <w:rPr>
          <w:rFonts w:ascii="仿宋_GB2312" w:eastAsia="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eastAsia="仿宋_GB2312"/>
          <w:color w:val="auto"/>
          <w:sz w:val="28"/>
          <w:szCs w:val="28"/>
          <w:highlight w:val="none"/>
        </w:rPr>
        <w:t>满足《中华人民共和国政府采购法》第二十二条规定；</w:t>
      </w:r>
    </w:p>
    <w:p>
      <w:pPr>
        <w:pStyle w:val="80"/>
        <w:spacing w:line="400" w:lineRule="exact"/>
        <w:ind w:right="-21" w:rightChars="-10" w:firstLine="560"/>
        <w:rPr>
          <w:rFonts w:ascii="仿宋_GB2312" w:eastAsia="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ascii="仿宋_GB2312" w:hAnsi="仿宋_GB2312" w:eastAsia="仿宋_GB2312" w:cs="仿宋_GB2312"/>
          <w:color w:val="auto"/>
          <w:sz w:val="28"/>
          <w:szCs w:val="28"/>
          <w:highlight w:val="none"/>
        </w:rPr>
        <w:t>.</w:t>
      </w:r>
      <w:r>
        <w:rPr>
          <w:rFonts w:hint="eastAsia" w:ascii="仿宋_GB2312" w:eastAsia="仿宋_GB2312"/>
          <w:color w:val="auto"/>
          <w:sz w:val="28"/>
          <w:szCs w:val="28"/>
          <w:highlight w:val="none"/>
        </w:rPr>
        <w:t>落实政府采购政策需满足的资格要求：</w:t>
      </w:r>
      <w:r>
        <w:rPr>
          <w:rFonts w:ascii="仿宋_GB2312" w:eastAsia="仿宋_GB2312"/>
          <w:color w:val="auto"/>
          <w:sz w:val="28"/>
          <w:szCs w:val="28"/>
          <w:highlight w:val="none"/>
        </w:rPr>
        <w:t>（1）本项目属于面向</w:t>
      </w:r>
      <w:r>
        <w:rPr>
          <w:rFonts w:hint="eastAsia" w:ascii="仿宋_GB2312" w:eastAsia="仿宋_GB2312"/>
          <w:color w:val="auto"/>
          <w:sz w:val="28"/>
          <w:szCs w:val="28"/>
          <w:highlight w:val="none"/>
          <w:lang w:eastAsia="zh-CN"/>
        </w:rPr>
        <w:t>中</w:t>
      </w:r>
      <w:r>
        <w:rPr>
          <w:rFonts w:ascii="仿宋_GB2312" w:eastAsia="仿宋_GB2312"/>
          <w:color w:val="auto"/>
          <w:sz w:val="28"/>
          <w:szCs w:val="28"/>
          <w:highlight w:val="none"/>
        </w:rPr>
        <w:t>小企业预留份额采购项目，根据《政府采购促进中小企业发展管理办法》（财库〔2020〕46号），如中标人为大型企业的，须将采购项目中的一定比例分包给</w:t>
      </w:r>
      <w:r>
        <w:rPr>
          <w:rFonts w:hint="eastAsia" w:ascii="仿宋_GB2312" w:eastAsia="仿宋_GB2312"/>
          <w:color w:val="auto"/>
          <w:sz w:val="28"/>
          <w:szCs w:val="28"/>
          <w:highlight w:val="none"/>
          <w:lang w:eastAsia="zh-CN"/>
        </w:rPr>
        <w:t>中小</w:t>
      </w:r>
      <w:r>
        <w:rPr>
          <w:rFonts w:ascii="仿宋_GB2312" w:eastAsia="仿宋_GB2312"/>
          <w:color w:val="auto"/>
          <w:sz w:val="28"/>
          <w:szCs w:val="28"/>
          <w:highlight w:val="none"/>
        </w:rPr>
        <w:t>企业，分包份额为合同金额的40%以上；
</w:t>
      </w:r>
      <w:r>
        <w:rPr>
          <w:rFonts w:ascii="仿宋_GB2312" w:eastAsia="仿宋_GB2312"/>
          <w:color w:val="auto"/>
          <w:sz w:val="28"/>
          <w:szCs w:val="28"/>
          <w:highlight w:val="none"/>
        </w:rPr>
        <w:cr/>
      </w:r>
      <w:r>
        <w:rPr>
          <w:rFonts w:ascii="仿宋_GB2312" w:eastAsia="仿宋_GB2312"/>
          <w:color w:val="auto"/>
          <w:sz w:val="28"/>
          <w:szCs w:val="28"/>
          <w:highlight w:val="none"/>
        </w:rPr>
        <w:t>（2）如中标人本身为</w:t>
      </w:r>
      <w:r>
        <w:rPr>
          <w:rFonts w:hint="eastAsia" w:ascii="仿宋_GB2312" w:eastAsia="仿宋_GB2312"/>
          <w:color w:val="auto"/>
          <w:sz w:val="28"/>
          <w:szCs w:val="28"/>
          <w:highlight w:val="none"/>
          <w:lang w:eastAsia="zh-CN"/>
        </w:rPr>
        <w:t>中小</w:t>
      </w:r>
      <w:r>
        <w:rPr>
          <w:rFonts w:ascii="仿宋_GB2312" w:eastAsia="仿宋_GB2312"/>
          <w:color w:val="auto"/>
          <w:sz w:val="28"/>
          <w:szCs w:val="28"/>
          <w:highlight w:val="none"/>
        </w:rPr>
        <w:t>企业，提供所有标的服务均由自身承接，视同符合资格条件，无需再向</w:t>
      </w:r>
      <w:r>
        <w:rPr>
          <w:rFonts w:hint="eastAsia" w:ascii="仿宋_GB2312" w:eastAsia="仿宋_GB2312"/>
          <w:color w:val="auto"/>
          <w:sz w:val="28"/>
          <w:szCs w:val="28"/>
          <w:highlight w:val="none"/>
          <w:lang w:eastAsia="zh-CN"/>
        </w:rPr>
        <w:t>中小</w:t>
      </w:r>
      <w:r>
        <w:rPr>
          <w:rFonts w:ascii="仿宋_GB2312" w:eastAsia="仿宋_GB2312"/>
          <w:color w:val="auto"/>
          <w:sz w:val="28"/>
          <w:szCs w:val="28"/>
          <w:highlight w:val="none"/>
        </w:rPr>
        <w:t>企业分包；
</w:t>
      </w:r>
      <w:r>
        <w:rPr>
          <w:rFonts w:ascii="仿宋_GB2312" w:eastAsia="仿宋_GB2312"/>
          <w:color w:val="auto"/>
          <w:sz w:val="28"/>
          <w:szCs w:val="28"/>
          <w:highlight w:val="none"/>
        </w:rPr>
        <w:cr/>
      </w:r>
      <w:r>
        <w:rPr>
          <w:rFonts w:ascii="仿宋_GB2312" w:eastAsia="仿宋_GB2312"/>
          <w:color w:val="auto"/>
          <w:sz w:val="28"/>
          <w:szCs w:val="28"/>
          <w:highlight w:val="none"/>
        </w:rPr>
        <w:t>（3）接受分包合同的</w:t>
      </w:r>
      <w:r>
        <w:rPr>
          <w:rFonts w:hint="eastAsia" w:ascii="仿宋_GB2312" w:eastAsia="仿宋_GB2312"/>
          <w:color w:val="auto"/>
          <w:sz w:val="28"/>
          <w:szCs w:val="28"/>
          <w:highlight w:val="none"/>
          <w:lang w:eastAsia="zh-CN"/>
        </w:rPr>
        <w:t>中小</w:t>
      </w:r>
      <w:r>
        <w:rPr>
          <w:rFonts w:ascii="仿宋_GB2312" w:eastAsia="仿宋_GB2312"/>
          <w:color w:val="auto"/>
          <w:sz w:val="28"/>
          <w:szCs w:val="28"/>
          <w:highlight w:val="none"/>
        </w:rPr>
        <w:t>企业与分包企业之间不得存在直接控股、管理关系；</w:t>
      </w:r>
    </w:p>
    <w:p>
      <w:pPr>
        <w:pStyle w:val="80"/>
        <w:spacing w:line="400" w:lineRule="exact"/>
        <w:ind w:right="-21" w:rightChars="-10" w:firstLine="560"/>
        <w:rPr>
          <w:rFonts w:ascii="仿宋_GB2312" w:eastAsia="仿宋_GB2312"/>
          <w:color w:val="auto"/>
          <w:sz w:val="28"/>
          <w:szCs w:val="28"/>
          <w:highlight w:val="none"/>
        </w:rPr>
      </w:pPr>
      <w:r>
        <w:rPr>
          <w:rFonts w:hint="eastAsia" w:ascii="仿宋_GB2312" w:eastAsia="仿宋_GB2312"/>
          <w:color w:val="auto"/>
          <w:sz w:val="28"/>
          <w:szCs w:val="28"/>
          <w:highlight w:val="none"/>
        </w:rPr>
        <w:t>3</w:t>
      </w:r>
      <w:r>
        <w:rPr>
          <w:rFonts w:ascii="仿宋_GB2312" w:eastAsia="仿宋_GB2312"/>
          <w:color w:val="auto"/>
          <w:sz w:val="28"/>
          <w:szCs w:val="28"/>
          <w:highlight w:val="none"/>
        </w:rPr>
        <w:t>.</w:t>
      </w:r>
      <w:r>
        <w:rPr>
          <w:rFonts w:hint="eastAsia" w:ascii="仿宋_GB2312" w:eastAsia="仿宋_GB2312"/>
          <w:color w:val="auto"/>
          <w:sz w:val="28"/>
          <w:szCs w:val="28"/>
          <w:highlight w:val="none"/>
        </w:rPr>
        <w:t>本项目的特定资格要求：</w:t>
      </w:r>
      <w:r>
        <w:rPr>
          <w:rFonts w:ascii="仿宋_GB2312" w:eastAsia="仿宋_GB2312"/>
          <w:color w:val="auto"/>
          <w:sz w:val="28"/>
          <w:szCs w:val="28"/>
          <w:highlight w:val="none"/>
        </w:rPr>
        <w:t>无；</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5" w:name="_Toc35393623"/>
      <w:bookmarkStart w:id="6" w:name="_Toc35393792"/>
      <w:r>
        <w:rPr>
          <w:rFonts w:hint="eastAsia" w:ascii="黑体" w:hAnsi="黑体" w:eastAsia="黑体" w:cs="黑体"/>
          <w:bCs/>
          <w:color w:val="auto"/>
          <w:sz w:val="28"/>
          <w:szCs w:val="28"/>
          <w:highlight w:val="none"/>
        </w:rPr>
        <w:t>三、</w:t>
      </w:r>
      <w:bookmarkEnd w:id="5"/>
      <w:bookmarkEnd w:id="6"/>
      <w:r>
        <w:rPr>
          <w:rFonts w:hint="eastAsia" w:ascii="黑体" w:hAnsi="黑体" w:eastAsia="黑体" w:cs="黑体"/>
          <w:bCs/>
          <w:color w:val="auto"/>
          <w:sz w:val="28"/>
          <w:szCs w:val="28"/>
          <w:highlight w:val="none"/>
        </w:rPr>
        <w:t>获取招标文件</w:t>
      </w:r>
    </w:p>
    <w:p>
      <w:pPr>
        <w:spacing w:line="400" w:lineRule="exact"/>
        <w:ind w:right="-21" w:rightChars="-10" w:firstLine="540"/>
        <w:rPr>
          <w:rFonts w:ascii="仿宋_GB2312" w:hAnsi="Calibri" w:eastAsia="仿宋_GB2312"/>
          <w:color w:val="auto"/>
          <w:sz w:val="28"/>
          <w:szCs w:val="28"/>
          <w:highlight w:val="none"/>
        </w:rPr>
      </w:pPr>
      <w:r>
        <w:rPr>
          <w:rFonts w:hint="eastAsia" w:ascii="仿宋_GB2312" w:eastAsia="仿宋_GB2312"/>
          <w:color w:val="auto"/>
          <w:sz w:val="28"/>
          <w:szCs w:val="28"/>
          <w:highlight w:val="none"/>
        </w:rPr>
        <w:t>时间：</w:t>
      </w:r>
      <w:r>
        <w:rPr>
          <w:rFonts w:hint="eastAsia" w:ascii="仿宋_GB2312" w:hAnsi="Calibri" w:eastAsia="仿宋_GB2312"/>
          <w:color w:val="auto"/>
          <w:sz w:val="28"/>
          <w:szCs w:val="28"/>
          <w:highlight w:val="none"/>
        </w:rPr>
        <w:t>XX年XX月XX日</w:t>
      </w:r>
      <w:r>
        <w:rPr>
          <w:rFonts w:hint="eastAsia" w:ascii="仿宋_GB2312" w:eastAsia="仿宋_GB2312"/>
          <w:color w:val="auto"/>
          <w:sz w:val="28"/>
          <w:szCs w:val="28"/>
          <w:highlight w:val="none"/>
        </w:rPr>
        <w:t>至</w:t>
      </w:r>
      <w:r>
        <w:rPr>
          <w:rFonts w:ascii="仿宋_GB2312" w:hAnsi="Calibri" w:eastAsia="仿宋_GB2312"/>
          <w:color w:val="auto"/>
          <w:sz w:val="28"/>
          <w:szCs w:val="28"/>
          <w:highlight w:val="none"/>
        </w:rPr>
        <w:t>XX年XX月XX日</w:t>
      </w:r>
      <w:r>
        <w:rPr>
          <w:rFonts w:hint="eastAsia" w:ascii="仿宋_GB2312" w:hAnsi="仿宋_GB2312" w:eastAsia="仿宋_GB2312" w:cs="仿宋_GB2312"/>
          <w:color w:val="auto"/>
          <w:sz w:val="28"/>
          <w:szCs w:val="28"/>
          <w:highlight w:val="none"/>
        </w:rPr>
        <w:t>，每天上午08:00至12:00，下午12:00至21:00（北京时间，法定节假日除外）</w:t>
      </w:r>
    </w:p>
    <w:p>
      <w:pPr>
        <w:spacing w:line="480" w:lineRule="exact"/>
        <w:ind w:right="-21" w:rightChars="-1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地点（网址）：广西政府采购云平台（https://www.gcy.zfcg.gxzf.gov.cn/）</w:t>
      </w:r>
    </w:p>
    <w:p>
      <w:pPr>
        <w:spacing w:line="480" w:lineRule="exact"/>
        <w:ind w:right="-21" w:rightChars="-10" w:firstLine="560" w:firstLineChars="20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方式：线上获取。登录广西政府采购云平台（https://www.gcy.zfcg.gxzf.gov.cn/），在“工作台”—“项目采购”—“获取采购文件”选择本项目，点击“申请获取采购文件”进行申请提交后，在已申请栏中选择下载本项目招标文件。提示：1.未注册的供应商可在广西政府采购云平台完成注册后再行获取招标文件。2.供应商只有在“广西政府采购云平台”完成获取招标文件申请并下载了招标文件后才视作依法获取招标文件（法律法规所指的供应商获取招标文件时间以供应商完成获取招标文件申请后下载招标文件的时间为准）。3.已获取招标文件的投标人不等于符合本项目的投标人资格。</w:t>
      </w:r>
    </w:p>
    <w:p>
      <w:pPr>
        <w:spacing w:line="480" w:lineRule="exact"/>
        <w:ind w:right="-21" w:rightChars="-1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售价（元）：0</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7" w:name="_Toc35393624"/>
      <w:bookmarkStart w:id="8" w:name="_Toc35393793"/>
      <w:bookmarkStart w:id="9" w:name="_Toc28359005"/>
      <w:bookmarkStart w:id="10" w:name="_Toc28359082"/>
      <w:r>
        <w:rPr>
          <w:rFonts w:hint="eastAsia" w:ascii="黑体" w:hAnsi="黑体" w:eastAsia="黑体" w:cs="黑体"/>
          <w:bCs/>
          <w:color w:val="auto"/>
          <w:sz w:val="28"/>
          <w:szCs w:val="28"/>
          <w:highlight w:val="none"/>
        </w:rPr>
        <w:t>四、</w:t>
      </w:r>
      <w:bookmarkEnd w:id="7"/>
      <w:bookmarkEnd w:id="8"/>
      <w:bookmarkEnd w:id="9"/>
      <w:bookmarkEnd w:id="10"/>
      <w:r>
        <w:rPr>
          <w:rFonts w:hint="eastAsia" w:ascii="黑体" w:hAnsi="黑体" w:eastAsia="黑体" w:cs="黑体"/>
          <w:bCs/>
          <w:color w:val="auto"/>
          <w:sz w:val="28"/>
          <w:szCs w:val="28"/>
          <w:highlight w:val="none"/>
        </w:rPr>
        <w:t>提交投标文件截止时间、开标时间和地点</w:t>
      </w:r>
    </w:p>
    <w:p>
      <w:pPr>
        <w:spacing w:line="400" w:lineRule="exact"/>
        <w:ind w:right="-21" w:rightChars="-10" w:firstLine="560" w:firstLineChars="200"/>
        <w:rPr>
          <w:rFonts w:ascii="仿宋" w:hAnsi="仿宋" w:eastAsia="仿宋"/>
          <w:bCs/>
          <w:color w:val="auto"/>
          <w:sz w:val="28"/>
          <w:szCs w:val="28"/>
          <w:highlight w:val="none"/>
          <w:u w:val="single"/>
        </w:rPr>
      </w:pPr>
      <w:r>
        <w:rPr>
          <w:rFonts w:hint="eastAsia" w:ascii="仿宋_GB2312" w:hAnsi="仿宋_GB2312" w:eastAsia="仿宋_GB2312" w:cs="仿宋_GB2312"/>
          <w:color w:val="auto"/>
          <w:sz w:val="28"/>
          <w:szCs w:val="28"/>
          <w:highlight w:val="none"/>
        </w:rPr>
        <w:t>提交投标文件截止时间：</w:t>
      </w:r>
      <w:r>
        <w:rPr>
          <w:rFonts w:ascii="仿宋_GB2312" w:hAnsi="仿宋_GB2312" w:eastAsia="仿宋_GB2312" w:cs="仿宋_GB2312"/>
          <w:bCs/>
          <w:color w:val="auto"/>
          <w:sz w:val="28"/>
          <w:szCs w:val="28"/>
          <w:highlight w:val="none"/>
        </w:rPr>
        <w:t>2024年XX月XX日 09:</w:t>
      </w:r>
      <w:r>
        <w:rPr>
          <w:rFonts w:hint="eastAsia" w:ascii="仿宋_GB2312" w:hAnsi="仿宋_GB2312" w:eastAsia="仿宋_GB2312" w:cs="仿宋_GB2312"/>
          <w:bCs/>
          <w:color w:val="auto"/>
          <w:sz w:val="28"/>
          <w:szCs w:val="28"/>
          <w:highlight w:val="none"/>
          <w:lang w:val="en-US" w:eastAsia="zh-CN"/>
        </w:rPr>
        <w:t>2</w:t>
      </w:r>
      <w:r>
        <w:rPr>
          <w:rFonts w:ascii="仿宋_GB2312" w:hAnsi="仿宋_GB2312" w:eastAsia="仿宋_GB2312" w:cs="仿宋_GB2312"/>
          <w:bCs/>
          <w:color w:val="auto"/>
          <w:sz w:val="28"/>
          <w:szCs w:val="28"/>
          <w:highlight w:val="none"/>
        </w:rPr>
        <w:t>0</w:t>
      </w:r>
      <w:r>
        <w:rPr>
          <w:rFonts w:hint="eastAsia" w:ascii="仿宋_GB2312" w:eastAsia="仿宋_GB2312"/>
          <w:color w:val="auto"/>
          <w:sz w:val="28"/>
          <w:szCs w:val="28"/>
          <w:highlight w:val="none"/>
        </w:rPr>
        <w:t>（北京时间）</w:t>
      </w:r>
    </w:p>
    <w:p>
      <w:pPr>
        <w:spacing w:line="480" w:lineRule="exact"/>
        <w:ind w:right="-21" w:rightChars="-10"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投标地点（网址）：广西政府采购云平台（https://www.gcy.zfcg.gxzf.gov.cn/）</w:t>
      </w:r>
      <w:r>
        <w:rPr>
          <w:rFonts w:ascii="仿宋" w:hAnsi="仿宋" w:eastAsia="仿宋" w:cs="仿宋"/>
          <w:color w:val="auto"/>
          <w:sz w:val="27"/>
          <w:szCs w:val="27"/>
          <w:highlight w:val="none"/>
        </w:rPr>
        <w:t>（</w:t>
      </w:r>
      <w:r>
        <w:rPr>
          <w:rFonts w:hint="eastAsia" w:ascii="仿宋_GB2312" w:hAnsi="仿宋_GB2312" w:eastAsia="仿宋_GB2312" w:cs="仿宋_GB2312"/>
          <w:bCs/>
          <w:color w:val="auto"/>
          <w:sz w:val="28"/>
          <w:szCs w:val="28"/>
          <w:highlight w:val="none"/>
        </w:rPr>
        <w:t>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w:t>
      </w:r>
      <w:r>
        <w:rPr>
          <w:rFonts w:hint="eastAsia" w:ascii="仿宋_GB2312" w:hAnsi="仿宋_GB2312" w:eastAsia="仿宋_GB2312" w:cs="仿宋_GB2312"/>
          <w:color w:val="auto"/>
          <w:sz w:val="28"/>
          <w:szCs w:val="28"/>
          <w:highlight w:val="none"/>
        </w:rPr>
        <w:t>未按规定编制并加密的电子投标文件，</w:t>
      </w:r>
      <w:r>
        <w:rPr>
          <w:rFonts w:hint="eastAsia" w:ascii="仿宋_GB2312" w:hAnsi="仿宋_GB2312" w:eastAsia="仿宋_GB2312" w:cs="仿宋_GB2312"/>
          <w:bCs/>
          <w:color w:val="auto"/>
          <w:sz w:val="28"/>
          <w:szCs w:val="28"/>
          <w:highlight w:val="none"/>
        </w:rPr>
        <w:t>将被广西政府采购云平台拒收。</w:t>
      </w:r>
      <w:r>
        <w:rPr>
          <w:rFonts w:ascii="仿宋" w:hAnsi="仿宋" w:eastAsia="仿宋" w:cs="仿宋"/>
          <w:color w:val="auto"/>
          <w:sz w:val="27"/>
          <w:szCs w:val="27"/>
          <w:highlight w:val="none"/>
        </w:rPr>
        <w:t>）</w:t>
      </w:r>
    </w:p>
    <w:p>
      <w:pPr>
        <w:spacing w:line="480" w:lineRule="exact"/>
        <w:ind w:right="-21" w:rightChars="-1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开标时间：</w:t>
      </w:r>
      <w:r>
        <w:rPr>
          <w:rFonts w:ascii="仿宋_GB2312" w:eastAsia="仿宋_GB2312"/>
          <w:bCs/>
          <w:color w:val="auto"/>
          <w:sz w:val="28"/>
          <w:szCs w:val="28"/>
          <w:highlight w:val="none"/>
        </w:rPr>
        <w:t>2024年XX月XX日 09:</w:t>
      </w:r>
      <w:r>
        <w:rPr>
          <w:rFonts w:hint="eastAsia" w:ascii="仿宋_GB2312" w:eastAsia="仿宋_GB2312"/>
          <w:bCs/>
          <w:color w:val="auto"/>
          <w:sz w:val="28"/>
          <w:szCs w:val="28"/>
          <w:highlight w:val="none"/>
          <w:lang w:val="en-US" w:eastAsia="zh-CN"/>
        </w:rPr>
        <w:t>2</w:t>
      </w:r>
      <w:r>
        <w:rPr>
          <w:rFonts w:ascii="仿宋_GB2312" w:eastAsia="仿宋_GB2312"/>
          <w:bCs/>
          <w:color w:val="auto"/>
          <w:sz w:val="28"/>
          <w:szCs w:val="28"/>
          <w:highlight w:val="none"/>
        </w:rPr>
        <w:t>0</w:t>
      </w:r>
    </w:p>
    <w:p>
      <w:pPr>
        <w:spacing w:line="480" w:lineRule="exact"/>
        <w:ind w:right="-21" w:rightChars="-10"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 开标地点：广西政府采购云平台（https://www.gcy.zfcg.gxzf.gov.cn/）</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11" w:name="_Toc35393794"/>
      <w:bookmarkStart w:id="12" w:name="_Toc28359007"/>
      <w:bookmarkStart w:id="13" w:name="_Toc35393625"/>
      <w:bookmarkStart w:id="14" w:name="_Toc28359084"/>
      <w:r>
        <w:rPr>
          <w:rFonts w:hint="eastAsia" w:ascii="黑体" w:hAnsi="黑体" w:eastAsia="黑体" w:cs="黑体"/>
          <w:bCs/>
          <w:color w:val="auto"/>
          <w:sz w:val="28"/>
          <w:szCs w:val="28"/>
          <w:highlight w:val="none"/>
        </w:rPr>
        <w:t>五、公告期限</w:t>
      </w:r>
      <w:bookmarkEnd w:id="11"/>
      <w:bookmarkEnd w:id="12"/>
      <w:bookmarkEnd w:id="13"/>
      <w:bookmarkEnd w:id="14"/>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自本公告发布之日起5个工作日。</w:t>
      </w:r>
    </w:p>
    <w:p>
      <w:pPr>
        <w:pStyle w:val="5"/>
        <w:spacing w:line="400" w:lineRule="exact"/>
        <w:ind w:right="-21" w:rightChars="-10" w:firstLine="562" w:firstLineChars="200"/>
        <w:jc w:val="both"/>
        <w:rPr>
          <w:rFonts w:ascii="仿宋_GB2312" w:hAnsi="仿宋_GB2312" w:eastAsia="仿宋_GB2312" w:cs="仿宋_GB2312"/>
          <w:bCs/>
          <w:color w:val="auto"/>
          <w:sz w:val="28"/>
          <w:szCs w:val="28"/>
          <w:highlight w:val="none"/>
        </w:rPr>
      </w:pPr>
      <w:bookmarkStart w:id="15" w:name="_Toc35393626"/>
      <w:bookmarkStart w:id="16" w:name="_Toc35393795"/>
      <w:r>
        <w:rPr>
          <w:rFonts w:hint="eastAsia" w:ascii="黑体" w:hAnsi="黑体" w:eastAsia="黑体" w:cs="黑体"/>
          <w:bCs/>
          <w:color w:val="auto"/>
          <w:sz w:val="28"/>
          <w:szCs w:val="28"/>
          <w:highlight w:val="none"/>
        </w:rPr>
        <w:t>六、其他补充事宜</w:t>
      </w:r>
      <w:bookmarkEnd w:id="15"/>
      <w:bookmarkEnd w:id="16"/>
    </w:p>
    <w:p>
      <w:pPr>
        <w:pStyle w:val="80"/>
        <w:spacing w:line="400" w:lineRule="exact"/>
        <w:ind w:right="-21" w:rightChars="-10" w:firstLine="562"/>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（一）投标保证金：</w:t>
      </w:r>
      <w:r>
        <w:rPr>
          <w:rFonts w:hint="eastAsia" w:ascii="仿宋_GB2312" w:hAnsi="仿宋_GB2312" w:eastAsia="仿宋_GB2312" w:cs="仿宋_GB2312"/>
          <w:color w:val="auto"/>
          <w:sz w:val="28"/>
          <w:szCs w:val="28"/>
          <w:highlight w:val="none"/>
        </w:rPr>
        <w:t>本项目无需提交投标保证金。</w:t>
      </w:r>
    </w:p>
    <w:p>
      <w:pPr>
        <w:pStyle w:val="80"/>
        <w:spacing w:line="420" w:lineRule="exact"/>
        <w:ind w:firstLine="562"/>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（二）发布媒体：</w:t>
      </w:r>
      <w:r>
        <w:rPr>
          <w:rFonts w:hint="eastAsia" w:ascii="仿宋_GB2312" w:hAnsi="仿宋_GB2312" w:eastAsia="仿宋_GB2312" w:cs="仿宋_GB2312"/>
          <w:color w:val="auto"/>
          <w:sz w:val="28"/>
          <w:szCs w:val="28"/>
          <w:highlight w:val="none"/>
        </w:rPr>
        <w:t>中国政府采购网（www.ccgp.gov.cn）、广西壮族自治区政府采购网（zfcg.gxzf.gov.cn）、柳州市政府采购网（zfcg.lzscz.liuzhou.gov.cn）。</w:t>
      </w:r>
    </w:p>
    <w:p>
      <w:pPr>
        <w:pStyle w:val="80"/>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w:t>
      </w:r>
      <w:r>
        <w:rPr>
          <w:rFonts w:ascii="仿宋_GB2312" w:hAnsi="仿宋_GB2312" w:eastAsia="仿宋_GB2312" w:cs="仿宋_GB2312"/>
          <w:color w:val="auto"/>
          <w:sz w:val="28"/>
          <w:szCs w:val="28"/>
          <w:highlight w:val="none"/>
        </w:rPr>
        <w:t>本项目需要落实的政府采购政策：落实促进中小企业发展政策、支持监狱企业发展政策、促进残疾人就业政府采购政策。如需进一步了解详细内容，详见公开招标文件第二章《采购需求》及第四章《评标方法及评标标准》。</w:t>
      </w:r>
    </w:p>
    <w:p>
      <w:pPr>
        <w:spacing w:line="42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（四）对在“信用中国”网站(www.creditchina.gov.cn)、中国政府采购网(www.ccgp.gov.cn)等渠道列入失信被执行人、重大税收违法案件当事人名单、政府采购严重违法失信行为记录名单的投标人，不得参与政府采购活动。</w:t>
      </w:r>
    </w:p>
    <w:p>
      <w:pPr>
        <w:spacing w:line="420" w:lineRule="exact"/>
        <w:ind w:firstLine="562"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（五）根据《柳州市财政局 人民银行柳州市中心支行 关于进一步做好线上“政采贷”融资工作的通知》（柳财采〔2022〕19号），供应商可凭中标通知书、政府采购合同，通过中征应收账款融资服务平台向银行在线申请“政采贷”融资。</w:t>
      </w:r>
    </w:p>
    <w:p>
      <w:pPr>
        <w:spacing w:line="420" w:lineRule="exact"/>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（六）投标人参与电子投标特别说明</w:t>
      </w:r>
    </w:p>
    <w:p>
      <w:pPr>
        <w:pStyle w:val="80"/>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1.本项目通过广西政府采购云平台实行电子投标，投标人应按照本项目公开招标文件和广西政府采购云平台的要求，通过“广西政府采购云平台客户端”编制、加密并提交电子投标文件。</w:t>
      </w:r>
    </w:p>
    <w:p>
      <w:pPr>
        <w:pStyle w:val="80"/>
        <w:wordWrap w:val="0"/>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2.参与电子标的投标人必须为广西政府采购云平台的正式供应商且申领CA证书，</w:t>
      </w:r>
      <w:r>
        <w:rPr>
          <w:rFonts w:hint="eastAsia" w:ascii="仿宋_GB2312" w:hAnsi="仿宋_GB2312" w:eastAsia="仿宋_GB2312" w:cs="仿宋_GB2312"/>
          <w:b/>
          <w:bCs/>
          <w:color w:val="auto"/>
          <w:sz w:val="28"/>
          <w:szCs w:val="28"/>
          <w:highlight w:val="none"/>
        </w:rPr>
        <w:t>各投标人应在开标前及时完成</w:t>
      </w:r>
      <w:r>
        <w:rPr>
          <w:rFonts w:hint="eastAsia" w:ascii="仿宋_GB2312" w:hAnsi="仿宋_GB2312" w:eastAsia="仿宋_GB2312" w:cs="仿宋_GB2312"/>
          <w:color w:val="auto"/>
          <w:sz w:val="28"/>
          <w:szCs w:val="28"/>
          <w:highlight w:val="none"/>
        </w:rPr>
        <w:t>平台注册、CA证书申领、CA证书绑定、下载投标客户端，熟悉并掌握广西政府采购云平台电子标系统操作。</w:t>
      </w:r>
      <w:r>
        <w:rPr>
          <w:rFonts w:hint="eastAsia" w:ascii="仿宋_GB2312" w:hAnsi="仿宋_GB2312" w:eastAsia="仿宋_GB2312" w:cs="仿宋_GB2312"/>
          <w:b/>
          <w:bCs/>
          <w:color w:val="auto"/>
          <w:sz w:val="28"/>
          <w:szCs w:val="28"/>
          <w:highlight w:val="none"/>
        </w:rPr>
        <w:t>原在政采云平台注册的临时供应商，以及政采云平台暂停线上业务办理期间（2024年1月1日-2月17日），通过线下办理注册登记的潜在供应商，仍需在广西政府采购云平台重新注册登记。</w:t>
      </w:r>
    </w:p>
    <w:p>
      <w:pPr>
        <w:pStyle w:val="80"/>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1</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投标人应及时熟悉掌握电子标系统操作指南（见广西政府采购云平台电子卖场首页右上角—服务中心—帮助中心—项目采购）</w:t>
      </w:r>
    </w:p>
    <w:p>
      <w:pPr>
        <w:pStyle w:val="80"/>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2</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投标人</w:t>
      </w:r>
      <w:r>
        <w:rPr>
          <w:rFonts w:ascii="仿宋_GB2312" w:hAnsi="仿宋_GB2312" w:eastAsia="仿宋_GB2312" w:cs="仿宋_GB2312"/>
          <w:color w:val="auto"/>
          <w:sz w:val="28"/>
          <w:szCs w:val="28"/>
          <w:highlight w:val="none"/>
        </w:rPr>
        <w:t>应及时完成CA申领和绑定（见广西壮族自治区政府采购网—办事服务—下载专区-政采云CA证书办理操作指南）</w:t>
      </w:r>
      <w:r>
        <w:rPr>
          <w:rFonts w:hint="eastAsia" w:ascii="仿宋_GB2312" w:hAnsi="仿宋_GB2312" w:eastAsia="仿宋_GB2312" w:cs="仿宋_GB2312"/>
          <w:color w:val="auto"/>
          <w:sz w:val="28"/>
          <w:szCs w:val="28"/>
          <w:highlight w:val="none"/>
        </w:rPr>
        <w:t>：</w:t>
      </w:r>
    </w:p>
    <w:p>
      <w:pPr>
        <w:pStyle w:val="80"/>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http://www.ccgp-guangxi.gov.cn/luban/detail?parentId=66479&amp;articleId=giG2hxujOLVnOuVjZr6wgQ</w:t>
      </w:r>
    </w:p>
    <w:p>
      <w:pPr>
        <w:pStyle w:val="80"/>
        <w:wordWrap w:val="0"/>
        <w:spacing w:line="420" w:lineRule="exact"/>
        <w:ind w:firstLine="560"/>
        <w:rPr>
          <w:rFonts w:hint="eastAsia"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3</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各投标人通过新平台参与政府采购项目投标需下载使用新版客户端，广西政府采购云平台客户端软件请投标人自行前往下载并安装：</w:t>
      </w:r>
    </w:p>
    <w:p>
      <w:pPr>
        <w:pStyle w:val="80"/>
        <w:wordWrap w:val="0"/>
        <w:spacing w:line="420" w:lineRule="exact"/>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http://www.ccgp-guangxi.gov.cn/site/detail?parentId=66479&amp;articleId=+06E5n62B1RzrGh0ew1OFg==&amp;utm=site.site-PC-38919.1024-pc-wsg-secondLevelPage-front.1.5057b2c0cef811ee9fd599f289f082d5</w:t>
      </w:r>
    </w:p>
    <w:p>
      <w:pPr>
        <w:spacing w:line="42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bCs/>
          <w:color w:val="auto"/>
          <w:sz w:val="28"/>
          <w:szCs w:val="28"/>
          <w:highlight w:val="none"/>
        </w:rPr>
        <w:t>电子标项目不要求参与投标的投标人到现场，但投标人应派法定代表人或委托代理人准时在线出席电子开评标会议，随时关注开评标进度，如在开评标过程中有电子询标，应在规定的时间内对电子询标函进行澄清回复。</w:t>
      </w:r>
    </w:p>
    <w:p>
      <w:pPr>
        <w:pStyle w:val="80"/>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4.因未注册广西政府采购云平台、未办理CA证书、CA证书故障、操作不当等原因造成无法投标或投标失败等后果由投标人自行承担；</w:t>
      </w:r>
    </w:p>
    <w:p>
      <w:pPr>
        <w:pStyle w:val="80"/>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5.投标人在使用广西政府采购云平台参与投标过程中遇到涉及平台使用的任何问题，可致电广西政府采购云平台技术支持热线咨询，联系方式：</w:t>
      </w:r>
      <w:r>
        <w:rPr>
          <w:rFonts w:ascii="仿宋_GB2312" w:hAnsi="仿宋_GB2312" w:eastAsia="仿宋_GB2312" w:cs="仿宋_GB2312"/>
          <w:b/>
          <w:bCs/>
          <w:color w:val="auto"/>
          <w:sz w:val="28"/>
          <w:szCs w:val="28"/>
          <w:highlight w:val="none"/>
        </w:rPr>
        <w:t>95763</w:t>
      </w:r>
      <w:r>
        <w:rPr>
          <w:rFonts w:hint="eastAsia" w:ascii="仿宋_GB2312" w:hAnsi="仿宋_GB2312" w:eastAsia="仿宋_GB2312" w:cs="仿宋_GB2312"/>
          <w:b/>
          <w:bCs/>
          <w:color w:val="auto"/>
          <w:sz w:val="28"/>
          <w:szCs w:val="28"/>
          <w:highlight w:val="none"/>
        </w:rPr>
        <w:t>。</w:t>
      </w:r>
    </w:p>
    <w:p>
      <w:pPr>
        <w:pStyle w:val="5"/>
        <w:spacing w:line="400" w:lineRule="exact"/>
        <w:ind w:right="-21" w:rightChars="-10" w:firstLine="562" w:firstLineChars="200"/>
        <w:jc w:val="both"/>
        <w:rPr>
          <w:rFonts w:ascii="黑体" w:hAnsi="黑体" w:eastAsia="黑体" w:cs="黑体"/>
          <w:b w:val="0"/>
          <w:color w:val="auto"/>
          <w:sz w:val="28"/>
          <w:szCs w:val="28"/>
          <w:highlight w:val="none"/>
        </w:rPr>
      </w:pPr>
      <w:bookmarkStart w:id="17" w:name="_Toc28359085"/>
      <w:bookmarkStart w:id="18" w:name="_Toc35393627"/>
      <w:bookmarkStart w:id="19" w:name="_Toc28359008"/>
      <w:bookmarkStart w:id="20" w:name="_Toc35393796"/>
      <w:bookmarkStart w:id="21" w:name="_Hlk50569036"/>
      <w:r>
        <w:rPr>
          <w:rFonts w:hint="eastAsia" w:ascii="黑体" w:hAnsi="黑体" w:eastAsia="黑体" w:cs="黑体"/>
          <w:bCs/>
          <w:color w:val="auto"/>
          <w:sz w:val="28"/>
          <w:szCs w:val="28"/>
          <w:highlight w:val="none"/>
        </w:rPr>
        <w:t>七、对本次招标提出询问，请按以下方式联系</w:t>
      </w:r>
      <w:bookmarkEnd w:id="17"/>
      <w:bookmarkEnd w:id="18"/>
      <w:bookmarkEnd w:id="19"/>
      <w:bookmarkEnd w:id="20"/>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1.采购人信息</w:t>
      </w:r>
    </w:p>
    <w:p>
      <w:pPr>
        <w:tabs>
          <w:tab w:val="left" w:pos="851"/>
        </w:tabs>
        <w:spacing w:line="400" w:lineRule="exact"/>
        <w:ind w:right="-21" w:rightChars="-10"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名 称：</w:t>
      </w:r>
      <w:r>
        <w:rPr>
          <w:rFonts w:hint="eastAsia" w:ascii="仿宋_GB2312" w:eastAsia="仿宋_GB2312"/>
          <w:color w:val="auto"/>
          <w:sz w:val="28"/>
          <w:szCs w:val="28"/>
          <w:highlight w:val="none"/>
          <w:lang w:eastAsia="zh-CN"/>
        </w:rPr>
        <w:t>柳州职业技术学院</w:t>
      </w:r>
    </w:p>
    <w:p>
      <w:pPr>
        <w:spacing w:line="400" w:lineRule="exact"/>
        <w:ind w:right="-21" w:rightChars="-10" w:firstLine="555"/>
        <w:rPr>
          <w:rFonts w:ascii="仿宋_GB2312" w:eastAsia="仿宋_GB2312"/>
          <w:color w:val="auto"/>
          <w:sz w:val="28"/>
          <w:szCs w:val="28"/>
          <w:highlight w:val="none"/>
        </w:rPr>
      </w:pPr>
      <w:r>
        <w:rPr>
          <w:rFonts w:hint="eastAsia" w:ascii="仿宋_GB2312" w:eastAsia="仿宋_GB2312"/>
          <w:color w:val="auto"/>
          <w:sz w:val="28"/>
          <w:szCs w:val="28"/>
          <w:highlight w:val="none"/>
        </w:rPr>
        <w:t>地</w:t>
      </w:r>
      <w:r>
        <w:rPr>
          <w:rFonts w:ascii="仿宋_GB2312" w:eastAsia="仿宋_GB2312"/>
          <w:color w:val="auto"/>
          <w:sz w:val="28"/>
          <w:szCs w:val="28"/>
          <w:highlight w:val="none"/>
        </w:rPr>
        <w:t xml:space="preserve"> </w:t>
      </w:r>
      <w:r>
        <w:rPr>
          <w:rFonts w:hint="eastAsia" w:ascii="仿宋_GB2312" w:eastAsia="仿宋_GB2312"/>
          <w:color w:val="auto"/>
          <w:sz w:val="28"/>
          <w:szCs w:val="28"/>
          <w:highlight w:val="none"/>
        </w:rPr>
        <w:t>址：</w:t>
      </w:r>
      <w:r>
        <w:rPr>
          <w:rFonts w:ascii="仿宋_GB2312" w:eastAsia="仿宋_GB2312"/>
          <w:color w:val="auto"/>
          <w:sz w:val="28"/>
          <w:szCs w:val="28"/>
          <w:highlight w:val="none"/>
        </w:rPr>
        <w:t>广西柳州市社湾路28号</w:t>
      </w:r>
    </w:p>
    <w:p>
      <w:pPr>
        <w:spacing w:line="400" w:lineRule="exact"/>
        <w:ind w:right="-21" w:rightChars="-10" w:firstLine="555"/>
        <w:rPr>
          <w:rFonts w:ascii="仿宋_GB2312" w:eastAsia="仿宋_GB2312"/>
          <w:color w:val="auto"/>
          <w:sz w:val="28"/>
          <w:szCs w:val="28"/>
          <w:highlight w:val="none"/>
        </w:rPr>
      </w:pPr>
      <w:r>
        <w:rPr>
          <w:rFonts w:hint="eastAsia" w:ascii="仿宋_GB2312" w:eastAsia="仿宋_GB2312"/>
          <w:color w:val="auto"/>
          <w:sz w:val="28"/>
          <w:szCs w:val="28"/>
          <w:highlight w:val="none"/>
        </w:rPr>
        <w:t>项目联系人：</w:t>
      </w:r>
      <w:r>
        <w:rPr>
          <w:rFonts w:ascii="仿宋_GB2312" w:eastAsia="仿宋_GB2312"/>
          <w:color w:val="auto"/>
          <w:sz w:val="28"/>
          <w:szCs w:val="28"/>
          <w:highlight w:val="none"/>
        </w:rPr>
        <w:t>陈国银</w:t>
      </w:r>
    </w:p>
    <w:p>
      <w:pPr>
        <w:spacing w:line="400" w:lineRule="exact"/>
        <w:ind w:right="-21" w:rightChars="-1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项目联系方式：</w:t>
      </w:r>
      <w:r>
        <w:rPr>
          <w:rFonts w:ascii="仿宋_GB2312" w:eastAsia="仿宋_GB2312"/>
          <w:color w:val="auto"/>
          <w:sz w:val="28"/>
          <w:szCs w:val="28"/>
          <w:highlight w:val="none"/>
        </w:rPr>
        <w:t>0772-3156307</w:t>
      </w:r>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2.采购代理机构信息</w:t>
      </w:r>
    </w:p>
    <w:p>
      <w:pPr>
        <w:tabs>
          <w:tab w:val="left" w:pos="851"/>
        </w:tabs>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名 称：柳州市政府集中采购中心</w:t>
      </w:r>
    </w:p>
    <w:p>
      <w:pPr>
        <w:spacing w:line="400" w:lineRule="exact"/>
        <w:ind w:left="2100" w:right="-21" w:rightChars="-10" w:hanging="2100" w:hangingChars="75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地 址：广西</w:t>
      </w:r>
      <w:r>
        <w:rPr>
          <w:rFonts w:ascii="仿宋_GB2312" w:eastAsia="仿宋_GB2312"/>
          <w:color w:val="auto"/>
          <w:sz w:val="28"/>
          <w:szCs w:val="28"/>
          <w:highlight w:val="none"/>
        </w:rPr>
        <w:t>柳州市三中路6</w:t>
      </w:r>
      <w:r>
        <w:rPr>
          <w:rFonts w:hint="eastAsia" w:ascii="仿宋_GB2312" w:eastAsia="仿宋_GB2312"/>
          <w:color w:val="auto"/>
          <w:sz w:val="28"/>
          <w:szCs w:val="28"/>
          <w:highlight w:val="none"/>
        </w:rPr>
        <w:t>4-2</w:t>
      </w:r>
      <w:r>
        <w:rPr>
          <w:rFonts w:ascii="仿宋_GB2312" w:eastAsia="仿宋_GB2312"/>
          <w:color w:val="auto"/>
          <w:sz w:val="28"/>
          <w:szCs w:val="28"/>
          <w:highlight w:val="none"/>
        </w:rPr>
        <w:t>号</w:t>
      </w:r>
    </w:p>
    <w:p>
      <w:pPr>
        <w:spacing w:line="400" w:lineRule="exact"/>
        <w:ind w:right="-21" w:rightChars="-10" w:firstLine="555"/>
        <w:rPr>
          <w:rFonts w:ascii="仿宋_GB2312" w:eastAsia="仿宋_GB2312"/>
          <w:color w:val="auto"/>
          <w:sz w:val="28"/>
          <w:szCs w:val="28"/>
          <w:highlight w:val="none"/>
        </w:rPr>
      </w:pPr>
      <w:r>
        <w:rPr>
          <w:rFonts w:hint="eastAsia" w:ascii="仿宋_GB2312" w:eastAsia="仿宋_GB2312"/>
          <w:color w:val="auto"/>
          <w:sz w:val="28"/>
          <w:szCs w:val="28"/>
          <w:highlight w:val="none"/>
        </w:rPr>
        <w:t>项目联系人：</w:t>
      </w:r>
      <w:r>
        <w:rPr>
          <w:rFonts w:ascii="仿宋_GB2312" w:eastAsia="仿宋_GB2312"/>
          <w:color w:val="auto"/>
          <w:sz w:val="28"/>
          <w:szCs w:val="28"/>
          <w:highlight w:val="none"/>
        </w:rPr>
        <w:t>余茜</w:t>
      </w:r>
    </w:p>
    <w:p>
      <w:pPr>
        <w:spacing w:line="400" w:lineRule="exact"/>
        <w:ind w:right="-21" w:rightChars="-1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项目联系方式：</w:t>
      </w:r>
      <w:r>
        <w:rPr>
          <w:rFonts w:ascii="仿宋_GB2312" w:eastAsia="仿宋_GB2312"/>
          <w:color w:val="auto"/>
          <w:sz w:val="28"/>
          <w:szCs w:val="28"/>
          <w:highlight w:val="none"/>
        </w:rPr>
        <w:t>0772-2612325</w:t>
      </w:r>
      <w:bookmarkEnd w:id="21"/>
    </w:p>
    <w:p>
      <w:pPr>
        <w:spacing w:line="400" w:lineRule="exact"/>
        <w:ind w:right="560"/>
        <w:rPr>
          <w:rFonts w:ascii="仿宋_GB2312" w:eastAsia="仿宋_GB2312"/>
          <w:color w:val="auto"/>
          <w:sz w:val="28"/>
          <w:szCs w:val="28"/>
          <w:highlight w:val="none"/>
        </w:rPr>
        <w:sectPr>
          <w:footerReference r:id="rId7" w:type="default"/>
          <w:pgSz w:w="11906" w:h="16838"/>
          <w:pgMar w:top="1440" w:right="991" w:bottom="1440" w:left="1440" w:header="851" w:footer="992" w:gutter="0"/>
          <w:pgNumType w:start="1"/>
          <w:cols w:space="720" w:num="1"/>
          <w:docGrid w:linePitch="312" w:charSpace="0"/>
        </w:sectPr>
      </w:pPr>
    </w:p>
    <w:p>
      <w:pPr>
        <w:pStyle w:val="4"/>
        <w:spacing w:line="276" w:lineRule="auto"/>
        <w:jc w:val="center"/>
        <w:rPr>
          <w:rFonts w:ascii="宋体" w:hAnsi="宋体"/>
          <w:color w:val="auto"/>
          <w:sz w:val="32"/>
          <w:szCs w:val="32"/>
          <w:highlight w:val="none"/>
        </w:rPr>
      </w:pPr>
      <w:bookmarkStart w:id="22" w:name="_Toc13541"/>
      <w:r>
        <w:rPr>
          <w:rFonts w:hint="eastAsia" w:ascii="宋体" w:hAnsi="宋体"/>
          <w:color w:val="auto"/>
          <w:sz w:val="32"/>
          <w:szCs w:val="32"/>
          <w:highlight w:val="none"/>
        </w:rPr>
        <w:t>第二章 采购需求</w:t>
      </w:r>
      <w:bookmarkEnd w:id="22"/>
    </w:p>
    <w:p>
      <w:pPr>
        <w:spacing w:line="276" w:lineRule="auto"/>
        <w:ind w:right="-330" w:rightChars="-157" w:firstLine="482" w:firstLineChars="200"/>
        <w:rPr>
          <w:rFonts w:ascii="仿宋_GB2312" w:eastAsia="仿宋_GB2312"/>
          <w:b/>
          <w:bCs/>
          <w:color w:val="auto"/>
          <w:sz w:val="24"/>
          <w:highlight w:val="none"/>
        </w:rPr>
      </w:pPr>
      <w:bookmarkStart w:id="23" w:name="_Hlk50569056"/>
      <w:r>
        <w:rPr>
          <w:rFonts w:hint="eastAsia" w:ascii="仿宋_GB2312" w:eastAsia="仿宋_GB2312"/>
          <w:b/>
          <w:bCs/>
          <w:color w:val="auto"/>
          <w:sz w:val="24"/>
          <w:highlight w:val="none"/>
        </w:rPr>
        <w:t>说明：</w:t>
      </w:r>
    </w:p>
    <w:p>
      <w:pPr>
        <w:adjustRightInd w:val="0"/>
        <w:spacing w:line="276" w:lineRule="auto"/>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1.评审时，评审委员会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投标人提供虚假材料、串通等违法违规行为的，要及时向采购人或采购代理机构报告。</w:t>
      </w:r>
    </w:p>
    <w:p>
      <w:pPr>
        <w:adjustRightInd w:val="0"/>
        <w:spacing w:line="276" w:lineRule="auto"/>
        <w:ind w:right="-330" w:rightChars="-157" w:firstLine="482" w:firstLineChars="200"/>
        <w:rPr>
          <w:rFonts w:ascii="仿宋_GB2312" w:eastAsia="仿宋_GB2312"/>
          <w:b/>
          <w:bCs/>
          <w:color w:val="auto"/>
          <w:sz w:val="24"/>
          <w:highlight w:val="none"/>
        </w:rPr>
      </w:pPr>
      <w:r>
        <w:rPr>
          <w:rFonts w:hint="eastAsia" w:ascii="仿宋_GB2312" w:eastAsia="仿宋_GB2312"/>
          <w:b/>
          <w:color w:val="auto"/>
          <w:sz w:val="24"/>
          <w:highlight w:val="none"/>
        </w:rPr>
        <w:t>2.</w:t>
      </w:r>
      <w:r>
        <w:rPr>
          <w:rFonts w:hint="eastAsia" w:ascii="仿宋_GB2312" w:eastAsia="仿宋_GB2312"/>
          <w:b/>
          <w:bCs/>
          <w:color w:val="auto"/>
          <w:sz w:val="24"/>
          <w:highlight w:val="none"/>
        </w:rPr>
        <w:t>标记“</w:t>
      </w:r>
      <w:r>
        <w:rPr>
          <w:rFonts w:hint="eastAsia" w:ascii="宋体" w:hAnsi="宋体" w:cs="宋体"/>
          <w:b/>
          <w:bCs/>
          <w:color w:val="auto"/>
          <w:sz w:val="24"/>
          <w:highlight w:val="none"/>
        </w:rPr>
        <w:t>★</w:t>
      </w:r>
      <w:r>
        <w:rPr>
          <w:rFonts w:hint="eastAsia" w:ascii="仿宋_GB2312" w:eastAsia="仿宋_GB2312"/>
          <w:b/>
          <w:bCs/>
          <w:color w:val="auto"/>
          <w:sz w:val="24"/>
          <w:highlight w:val="none"/>
        </w:rPr>
        <w:t>”符号的为实质性响应内容，该内容</w:t>
      </w:r>
      <w:r>
        <w:rPr>
          <w:rFonts w:hint="eastAsia" w:ascii="仿宋_GB2312" w:hAnsi="仿宋_GB2312" w:eastAsia="仿宋_GB2312" w:cs="仿宋_GB2312"/>
          <w:b/>
          <w:bCs/>
          <w:color w:val="auto"/>
          <w:sz w:val="24"/>
          <w:highlight w:val="none"/>
        </w:rPr>
        <w:t>仅限于“第二章 采购需求”，</w:t>
      </w:r>
      <w:r>
        <w:rPr>
          <w:rFonts w:hint="eastAsia" w:ascii="仿宋_GB2312" w:eastAsia="仿宋_GB2312"/>
          <w:b/>
          <w:bCs/>
          <w:color w:val="auto"/>
          <w:sz w:val="24"/>
          <w:highlight w:val="none"/>
        </w:rPr>
        <w:t>评审时投标人的响应内容</w:t>
      </w:r>
      <w:r>
        <w:rPr>
          <w:rFonts w:hint="eastAsia" w:ascii="仿宋_GB2312" w:hAnsi="仿宋_GB2312" w:eastAsia="仿宋_GB2312" w:cs="仿宋_GB2312"/>
          <w:b/>
          <w:bCs/>
          <w:color w:val="auto"/>
          <w:sz w:val="24"/>
          <w:highlight w:val="none"/>
        </w:rPr>
        <w:t>发生负偏离一项以上的，视为投标无效。</w:t>
      </w:r>
    </w:p>
    <w:bookmarkEnd w:id="23"/>
    <w:tbl>
      <w:tblPr>
        <w:tblStyle w:val="785"/>
        <w:tblW w:w="928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560"/>
        <w:gridCol w:w="7831"/>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b/>
                <w:bCs w:val="0"/>
                <w:color w:val="auto"/>
                <w:kern w:val="0"/>
                <w:sz w:val="24"/>
                <w:szCs w:val="24"/>
                <w:highlight w:val="none"/>
              </w:rPr>
            </w:pPr>
            <w:r>
              <w:rPr>
                <w:rFonts w:hint="eastAsia" w:ascii="宋体" w:hAnsi="宋体" w:eastAsia="宋体" w:cs="宋体"/>
                <w:b/>
                <w:bCs/>
                <w:color w:val="auto"/>
                <w:sz w:val="24"/>
                <w:highlight w:val="none"/>
                <w:lang w:eastAsia="zh-CN"/>
              </w:rPr>
              <w:t>★</w:t>
            </w:r>
            <w:r>
              <w:rPr>
                <w:rFonts w:hint="eastAsia" w:ascii="仿宋_GB2312" w:hAnsi="仿宋_GB2312" w:eastAsia="仿宋_GB2312" w:cs="仿宋_GB2312"/>
                <w:b/>
                <w:bCs w:val="0"/>
                <w:color w:val="auto"/>
                <w:kern w:val="0"/>
                <w:sz w:val="24"/>
                <w:szCs w:val="24"/>
                <w:highlight w:val="none"/>
              </w:rPr>
              <w:t>一、项目要求及服务需求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428"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项号</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lang w:eastAsia="zh-CN"/>
              </w:rPr>
            </w:pPr>
            <w:r>
              <w:rPr>
                <w:rFonts w:hint="eastAsia" w:ascii="仿宋_GB2312" w:hAnsi="仿宋_GB2312" w:eastAsia="仿宋_GB2312" w:cs="仿宋_GB2312"/>
                <w:b/>
                <w:bCs w:val="0"/>
                <w:color w:val="auto"/>
                <w:sz w:val="24"/>
                <w:szCs w:val="24"/>
                <w:highlight w:val="none"/>
                <w:lang w:val="en-US" w:eastAsia="zh-CN"/>
              </w:rPr>
              <w:t>标的</w:t>
            </w:r>
          </w:p>
          <w:p>
            <w:pPr>
              <w:pStyle w:val="786"/>
              <w:snapToGrid w:val="0"/>
              <w:spacing w:line="420" w:lineRule="exact"/>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名称</w:t>
            </w:r>
          </w:p>
        </w:tc>
        <w:tc>
          <w:tcPr>
            <w:tcW w:w="7831"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服务内容要求</w:t>
            </w:r>
          </w:p>
        </w:tc>
        <w:tc>
          <w:tcPr>
            <w:tcW w:w="461"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28"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w:t>
            </w:r>
          </w:p>
        </w:tc>
        <w:tc>
          <w:tcPr>
            <w:tcW w:w="560"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val="0"/>
                <w:bCs/>
                <w:color w:val="auto"/>
                <w:sz w:val="24"/>
                <w:szCs w:val="24"/>
                <w:highlight w:val="none"/>
                <w:lang w:eastAsia="zh-CN"/>
              </w:rPr>
              <w:t>柳州职业技术学院</w:t>
            </w:r>
            <w:r>
              <w:rPr>
                <w:rFonts w:hint="eastAsia" w:ascii="仿宋_GB2312" w:hAnsi="仿宋_GB2312" w:eastAsia="仿宋_GB2312" w:cs="仿宋_GB2312"/>
                <w:b w:val="0"/>
                <w:bCs/>
                <w:color w:val="auto"/>
                <w:sz w:val="24"/>
                <w:szCs w:val="24"/>
                <w:highlight w:val="none"/>
              </w:rPr>
              <w:t>物业管理服务采购</w:t>
            </w:r>
          </w:p>
        </w:tc>
        <w:tc>
          <w:tcPr>
            <w:tcW w:w="78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50"/>
              <w:jc w:val="left"/>
              <w:outlineLvl w:val="1"/>
              <w:rPr>
                <w:rFonts w:ascii="仿宋_GB2312" w:hAnsi="Calibri" w:eastAsia="仿宋_GB2312"/>
                <w:b/>
                <w:bCs/>
                <w:color w:val="auto"/>
                <w:sz w:val="24"/>
                <w:highlight w:val="none"/>
              </w:rPr>
            </w:pPr>
            <w:r>
              <w:rPr>
                <w:rFonts w:hint="eastAsia" w:ascii="仿宋_GB2312" w:hAnsi="Calibri" w:eastAsia="仿宋_GB2312"/>
                <w:b/>
                <w:bCs/>
                <w:color w:val="auto"/>
                <w:sz w:val="24"/>
                <w:highlight w:val="none"/>
              </w:rPr>
              <w:t>一、基本情况</w:t>
            </w:r>
          </w:p>
          <w:p>
            <w:pPr>
              <w:spacing w:line="360" w:lineRule="auto"/>
              <w:ind w:firstLine="470" w:firstLineChars="196"/>
              <w:jc w:val="left"/>
              <w:rPr>
                <w:rFonts w:ascii="仿宋_GB2312" w:hAnsi="Calibri" w:eastAsia="仿宋_GB2312"/>
                <w:bCs/>
                <w:color w:val="auto"/>
                <w:sz w:val="24"/>
                <w:highlight w:val="none"/>
              </w:rPr>
            </w:pPr>
            <w:r>
              <w:rPr>
                <w:rFonts w:hint="eastAsia" w:ascii="仿宋_GB2312" w:hAnsi="Calibri" w:eastAsia="仿宋_GB2312"/>
                <w:bCs/>
                <w:color w:val="auto"/>
                <w:sz w:val="24"/>
                <w:highlight w:val="none"/>
              </w:rPr>
              <w:t>（一）</w:t>
            </w:r>
            <w:r>
              <w:rPr>
                <w:rFonts w:hint="eastAsia" w:ascii="仿宋_GB2312" w:hAnsi="Calibri" w:eastAsia="仿宋_GB2312"/>
                <w:bCs/>
                <w:color w:val="auto"/>
                <w:sz w:val="24"/>
                <w:highlight w:val="none"/>
                <w:lang w:eastAsia="zh-CN"/>
              </w:rPr>
              <w:t>柳州职业技术学院</w:t>
            </w:r>
            <w:r>
              <w:rPr>
                <w:rFonts w:hint="eastAsia" w:ascii="仿宋_GB2312" w:hAnsi="Calibri" w:eastAsia="仿宋_GB2312"/>
                <w:bCs/>
                <w:color w:val="auto"/>
                <w:sz w:val="24"/>
                <w:highlight w:val="none"/>
              </w:rPr>
              <w:t>面积情况表</w:t>
            </w:r>
          </w:p>
          <w:tbl>
            <w:tblPr>
              <w:tblStyle w:val="48"/>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1525"/>
              <w:gridCol w:w="1184"/>
              <w:gridCol w:w="175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项  目</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社湾校区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备注</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官塘校区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总占地面积（平米）</w:t>
                  </w:r>
                </w:p>
              </w:tc>
              <w:tc>
                <w:tcPr>
                  <w:tcW w:w="15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276046.2</w:t>
                  </w:r>
                  <w:r>
                    <w:rPr>
                      <w:rFonts w:hint="eastAsia" w:ascii="Segoe UI Symbol" w:hAnsi="Segoe UI Symbol" w:eastAsia="Segoe UI Symbol" w:cs="Segoe UI Symbol"/>
                      <w:bCs/>
                      <w:color w:val="auto"/>
                      <w:sz w:val="24"/>
                      <w:highlight w:val="none"/>
                    </w:rPr>
                    <w:t>㎡</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414亩</w:t>
                  </w:r>
                </w:p>
              </w:tc>
              <w:tc>
                <w:tcPr>
                  <w:tcW w:w="17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450617.99</w:t>
                  </w:r>
                  <w:r>
                    <w:rPr>
                      <w:rFonts w:hint="eastAsia" w:ascii="Segoe UI Symbol" w:hAnsi="Segoe UI Symbol" w:eastAsia="Segoe UI Symbol" w:cs="Segoe UI Symbol"/>
                      <w:bCs/>
                      <w:color w:val="auto"/>
                      <w:sz w:val="24"/>
                      <w:highlight w:val="none"/>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676亩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总建筑面积（平米）</w:t>
                  </w:r>
                </w:p>
              </w:tc>
              <w:tc>
                <w:tcPr>
                  <w:tcW w:w="15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r>
                    <w:rPr>
                      <w:rFonts w:hint="eastAsia" w:ascii="仿宋_GB2312" w:eastAsia="仿宋_GB2312"/>
                      <w:color w:val="auto"/>
                      <w:sz w:val="24"/>
                      <w:highlight w:val="none"/>
                    </w:rPr>
                    <w:t>167698</w:t>
                  </w:r>
                  <w:r>
                    <w:rPr>
                      <w:rFonts w:hint="eastAsia" w:ascii="Segoe UI Symbol" w:hAnsi="Segoe UI Symbol" w:eastAsia="Segoe UI Symbol" w:cs="Segoe UI Symbol"/>
                      <w:color w:val="auto"/>
                      <w:sz w:val="24"/>
                      <w:highlight w:val="none"/>
                    </w:rPr>
                    <w:t>㎡</w:t>
                  </w:r>
                </w:p>
              </w:tc>
              <w:tc>
                <w:tcPr>
                  <w:tcW w:w="11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r>
                    <w:rPr>
                      <w:rFonts w:hint="eastAsia" w:ascii="仿宋_GB2312" w:eastAsia="仿宋_GB2312"/>
                      <w:color w:val="auto"/>
                      <w:sz w:val="24"/>
                      <w:highlight w:val="none"/>
                      <w:lang w:val="en-US" w:eastAsia="zh-CN"/>
                    </w:rPr>
                    <w:t>369665</w:t>
                  </w:r>
                  <w:r>
                    <w:rPr>
                      <w:rFonts w:hint="eastAsia" w:ascii="Segoe UI Symbol" w:hAnsi="Segoe UI Symbol" w:eastAsia="Segoe UI Symbol" w:cs="Segoe UI Symbol"/>
                      <w:color w:val="auto"/>
                      <w:sz w:val="24"/>
                      <w:highlight w:val="none"/>
                    </w:rPr>
                    <w:t>㎡</w:t>
                  </w: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bCs/>
                      <w:color w:val="auto"/>
                      <w:sz w:val="24"/>
                      <w:highlight w:val="none"/>
                    </w:rPr>
                  </w:pPr>
                </w:p>
              </w:tc>
            </w:tr>
          </w:tbl>
          <w:p>
            <w:pPr>
              <w:numPr>
                <w:ilvl w:val="0"/>
                <w:numId w:val="2"/>
              </w:numPr>
              <w:spacing w:line="360" w:lineRule="auto"/>
              <w:ind w:firstLine="470" w:firstLineChars="196"/>
              <w:jc w:val="left"/>
              <w:rPr>
                <w:rFonts w:hint="eastAsia" w:ascii="仿宋_GB2312" w:hAnsi="Calibri" w:eastAsia="仿宋_GB2312"/>
                <w:bCs/>
                <w:color w:val="auto"/>
                <w:sz w:val="24"/>
                <w:highlight w:val="none"/>
              </w:rPr>
            </w:pPr>
            <w:r>
              <w:rPr>
                <w:rFonts w:hint="eastAsia" w:ascii="仿宋_GB2312" w:hAnsi="Calibri" w:eastAsia="仿宋_GB2312"/>
                <w:bCs/>
                <w:color w:val="auto"/>
                <w:sz w:val="24"/>
                <w:highlight w:val="none"/>
                <w:lang w:eastAsia="zh-CN"/>
              </w:rPr>
              <w:t>柳州职业技术学院</w:t>
            </w:r>
            <w:r>
              <w:rPr>
                <w:rFonts w:hint="eastAsia" w:ascii="仿宋_GB2312" w:hAnsi="Calibri" w:eastAsia="仿宋_GB2312"/>
                <w:bCs/>
                <w:color w:val="auto"/>
                <w:sz w:val="24"/>
                <w:highlight w:val="none"/>
              </w:rPr>
              <w:t>建筑面积统计表</w:t>
            </w:r>
          </w:p>
          <w:tbl>
            <w:tblPr>
              <w:tblStyle w:val="48"/>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635"/>
              <w:gridCol w:w="1392"/>
              <w:gridCol w:w="258"/>
              <w:gridCol w:w="186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bCs/>
                      <w:color w:val="auto"/>
                      <w:sz w:val="24"/>
                      <w:highlight w:val="none"/>
                      <w:lang w:eastAsia="zh-CN"/>
                    </w:rPr>
                  </w:pPr>
                  <w:r>
                    <w:rPr>
                      <w:rFonts w:hint="eastAsia" w:ascii="仿宋_GB2312" w:eastAsia="仿宋_GB2312"/>
                      <w:bCs/>
                      <w:color w:val="auto"/>
                      <w:sz w:val="24"/>
                      <w:highlight w:val="none"/>
                      <w:lang w:eastAsia="zh-CN"/>
                    </w:rPr>
                    <w:t>区域</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lang w:eastAsia="zh-CN"/>
                    </w:rPr>
                    <w:t>楼栋</w:t>
                  </w:r>
                  <w:r>
                    <w:rPr>
                      <w:rFonts w:hint="eastAsia" w:ascii="仿宋_GB2312" w:eastAsia="仿宋_GB2312"/>
                      <w:bCs/>
                      <w:color w:val="auto"/>
                      <w:sz w:val="24"/>
                      <w:highlight w:val="none"/>
                    </w:rPr>
                    <w:t>名称</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建筑面积（</w:t>
                  </w:r>
                  <w:r>
                    <w:rPr>
                      <w:rFonts w:hint="eastAsia" w:ascii="Segoe UI Symbol" w:hAnsi="Segoe UI Symbol" w:eastAsia="Segoe UI Symbol" w:cs="Segoe UI Symbol"/>
                      <w:bCs/>
                      <w:color w:val="auto"/>
                      <w:sz w:val="24"/>
                      <w:highlight w:val="none"/>
                    </w:rPr>
                    <w:t>㎡</w:t>
                  </w:r>
                  <w:r>
                    <w:rPr>
                      <w:rFonts w:hint="eastAsia" w:ascii="仿宋_GB2312" w:hAnsi="仿宋_GB2312" w:eastAsia="仿宋_GB2312" w:cs="仿宋_GB2312"/>
                      <w:bCs/>
                      <w:color w:val="auto"/>
                      <w:sz w:val="24"/>
                      <w:highlight w:val="none"/>
                    </w:rPr>
                    <w:t>）</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项目名称</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建筑面积（</w:t>
                  </w:r>
                  <w:r>
                    <w:rPr>
                      <w:rFonts w:hint="eastAsia" w:ascii="Segoe UI Symbol" w:hAnsi="Segoe UI Symbol" w:eastAsia="Segoe UI Symbol" w:cs="Segoe UI Symbol"/>
                      <w:bCs/>
                      <w:color w:val="auto"/>
                      <w:sz w:val="24"/>
                      <w:highlight w:val="none"/>
                    </w:rPr>
                    <w:t>㎡</w:t>
                  </w:r>
                  <w:r>
                    <w:rPr>
                      <w:rFonts w:hint="eastAsia" w:ascii="仿宋_GB2312" w:hAnsi="仿宋_GB2312" w:eastAsia="仿宋_GB2312" w:cs="仿宋_GB2312"/>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eastAsia="仿宋_GB2312"/>
                      <w:bCs/>
                      <w:color w:val="auto"/>
                      <w:sz w:val="24"/>
                      <w:highlight w:val="none"/>
                    </w:rPr>
                  </w:pPr>
                  <w:r>
                    <w:rPr>
                      <w:rFonts w:hint="eastAsia" w:ascii="仿宋_GB2312" w:hAnsi="Calibri" w:eastAsia="仿宋_GB2312"/>
                      <w:bCs/>
                      <w:color w:val="auto"/>
                      <w:sz w:val="24"/>
                      <w:highlight w:val="none"/>
                    </w:rPr>
                    <w:t>社湾校区</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达理楼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939</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0#宿舍楼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bCs/>
                      <w:color w:val="auto"/>
                      <w:sz w:val="24"/>
                      <w:highlight w:val="none"/>
                    </w:rPr>
                  </w:pPr>
                  <w:r>
                    <w:rPr>
                      <w:rFonts w:hint="eastAsia" w:ascii="仿宋_GB2312" w:eastAsia="仿宋_GB2312"/>
                      <w:bCs/>
                      <w:color w:val="auto"/>
                      <w:sz w:val="24"/>
                      <w:highlight w:val="none"/>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博闻楼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7804</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思贤楼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2843</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德润楼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1213</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海纳楼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3327</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德馨楼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2808</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文华楼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3135</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6#宿舍楼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行健楼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2162</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7#宿舍楼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行政办公楼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6474</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8#宿舍楼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图书馆</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12550</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9#—13#宿舍楼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竞择楼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14500</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14#宿舍楼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8530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eastAsia="仿宋_GB2312"/>
                      <w:color w:val="auto"/>
                      <w:sz w:val="24"/>
                      <w:highlight w:val="none"/>
                    </w:rPr>
                  </w:pPr>
                  <w:r>
                    <w:rPr>
                      <w:rFonts w:hint="eastAsia" w:ascii="仿宋_GB2312" w:eastAsia="仿宋_GB2312"/>
                      <w:color w:val="auto"/>
                      <w:sz w:val="24"/>
                      <w:highlight w:val="none"/>
                    </w:rPr>
                    <w:t>天工楼+附属车间</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9683</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15#宿舍楼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6310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崇文楼</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11621</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16#宿舍楼</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体育馆</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10405</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学生食堂（3处）</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eastAsia="仿宋_GB2312"/>
                      <w:color w:val="auto"/>
                      <w:sz w:val="24"/>
                      <w:highlight w:val="none"/>
                    </w:rPr>
                  </w:pPr>
                  <w:r>
                    <w:rPr>
                      <w:rFonts w:hint="eastAsia" w:ascii="仿宋_GB2312" w:eastAsia="仿宋_GB2312"/>
                      <w:color w:val="auto"/>
                      <w:sz w:val="24"/>
                      <w:highlight w:val="none"/>
                    </w:rPr>
                    <w:t>礼堂及大学生活动中心</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1272</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A区电焊实训房</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合计</w:t>
                  </w:r>
                </w:p>
              </w:tc>
              <w:tc>
                <w:tcPr>
                  <w:tcW w:w="495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167698</w:t>
                  </w:r>
                  <w:r>
                    <w:rPr>
                      <w:rFonts w:hint="eastAsia" w:ascii="Segoe UI Symbol" w:hAnsi="Segoe UI Symbol" w:eastAsia="Segoe UI Symbol" w:cs="Segoe UI Symbol"/>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restart"/>
                  <w:tcBorders>
                    <w:left w:val="single" w:color="auto" w:sz="4" w:space="0"/>
                    <w:right w:val="single" w:color="auto" w:sz="4" w:space="0"/>
                  </w:tcBorders>
                  <w:noWrap w:val="0"/>
                  <w:vAlign w:val="center"/>
                </w:tcPr>
                <w:p>
                  <w:pPr>
                    <w:spacing w:line="360" w:lineRule="auto"/>
                    <w:jc w:val="center"/>
                    <w:rPr>
                      <w:rFonts w:ascii="仿宋_GB2312" w:hAnsi="Calibri" w:eastAsia="仿宋_GB2312"/>
                      <w:bCs/>
                      <w:color w:val="auto"/>
                      <w:sz w:val="24"/>
                      <w:highlight w:val="none"/>
                    </w:rPr>
                  </w:pPr>
                  <w:r>
                    <w:rPr>
                      <w:rFonts w:hint="eastAsia" w:ascii="仿宋_GB2312" w:hAnsi="Calibri" w:eastAsia="仿宋_GB2312"/>
                      <w:bCs/>
                      <w:color w:val="auto"/>
                      <w:sz w:val="24"/>
                      <w:highlight w:val="none"/>
                    </w:rPr>
                    <w:t>官塘校区</w:t>
                  </w:r>
                </w:p>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12#宿舍楼（D1、D2）</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color w:val="auto"/>
                      <w:sz w:val="24"/>
                      <w:highlight w:val="none"/>
                      <w:lang w:val="en-US" w:eastAsia="zh-CN"/>
                    </w:rPr>
                    <w:t>1337</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1#教学楼（T1）</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13#宿舍楼（D3、D4）</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21338</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rPr>
                    <w:t>#教学楼（T</w:t>
                  </w: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rPr>
                    <w:t>）</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41984</w:t>
                  </w:r>
                  <w:r>
                    <w:rPr>
                      <w:rFonts w:hint="eastAsia" w:ascii="仿宋_GB2312" w:eastAsia="仿宋_GB2312"/>
                      <w:color w:val="auto"/>
                      <w:sz w:val="24"/>
                      <w:highlight w:val="none"/>
                    </w:rPr>
                    <w:t>（含地下层</w:t>
                  </w:r>
                  <w:r>
                    <w:rPr>
                      <w:rFonts w:hint="eastAsia" w:ascii="仿宋_GB2312" w:eastAsia="仿宋_GB2312"/>
                      <w:color w:val="auto"/>
                      <w:sz w:val="24"/>
                      <w:highlight w:val="none"/>
                      <w:lang w:val="en-US" w:eastAsia="zh-CN"/>
                    </w:rPr>
                    <w:t>9115</w:t>
                  </w:r>
                  <w:r>
                    <w:rPr>
                      <w:rFonts w:hint="eastAsia" w:ascii="Segoe UI Symbol" w:hAnsi="Segoe UI Symbol" w:eastAsia="Segoe UI Symbol" w:cs="Segoe UI Symbol"/>
                      <w:color w:val="auto"/>
                      <w:sz w:val="24"/>
                      <w:highlight w:val="none"/>
                    </w:rPr>
                    <w:t>㎡</w:t>
                  </w:r>
                  <w:r>
                    <w:rPr>
                      <w:rFonts w:hint="eastAsia" w:ascii="仿宋_GB2312" w:eastAsia="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#宿舍楼（D</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、D</w:t>
                  </w:r>
                  <w:r>
                    <w:rPr>
                      <w:rFonts w:hint="eastAsia" w:ascii="仿宋_GB2312" w:eastAsia="仿宋_GB2312"/>
                      <w:color w:val="auto"/>
                      <w:sz w:val="24"/>
                      <w:highlight w:val="none"/>
                      <w:lang w:val="en-US" w:eastAsia="zh-CN"/>
                    </w:rPr>
                    <w:t>6</w:t>
                  </w:r>
                  <w:r>
                    <w:rPr>
                      <w:rFonts w:hint="eastAsia" w:ascii="仿宋_GB2312" w:eastAsia="仿宋_GB2312"/>
                      <w:color w:val="auto"/>
                      <w:sz w:val="24"/>
                      <w:highlight w:val="none"/>
                    </w:rPr>
                    <w:t>）</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eastAsia="仿宋_GB2312"/>
                      <w:color w:val="auto"/>
                      <w:sz w:val="24"/>
                      <w:highlight w:val="none"/>
                      <w:lang w:val="en-US" w:eastAsia="zh-CN"/>
                    </w:rPr>
                    <w:t>2651</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3#教学楼（T3）</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37</w:t>
                  </w:r>
                  <w:r>
                    <w:rPr>
                      <w:rFonts w:hint="eastAsia" w:ascii="仿宋_GB2312" w:eastAsia="仿宋_GB2312"/>
                      <w:color w:val="auto"/>
                      <w:sz w:val="24"/>
                      <w:highlight w:val="none"/>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15#宿舍楼（D7、D8）</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eastAsia="仿宋_GB2312"/>
                      <w:color w:val="auto"/>
                      <w:sz w:val="24"/>
                      <w:highlight w:val="none"/>
                      <w:lang w:val="en-US" w:eastAsia="zh-CN"/>
                    </w:rPr>
                    <w:t>2651</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4#教学楼（T4）</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4</w:t>
                  </w:r>
                  <w:r>
                    <w:rPr>
                      <w:rFonts w:hint="eastAsia" w:ascii="仿宋_GB2312" w:eastAsia="仿宋_GB2312"/>
                      <w:color w:val="auto"/>
                      <w:sz w:val="24"/>
                      <w:highlight w:val="none"/>
                      <w:lang w:val="en-US" w:eastAsia="zh-CN"/>
                    </w:rPr>
                    <w:t>9843</w:t>
                  </w:r>
                  <w:r>
                    <w:rPr>
                      <w:rFonts w:hint="eastAsia" w:ascii="仿宋_GB2312" w:eastAsia="仿宋_GB2312"/>
                      <w:color w:val="auto"/>
                      <w:sz w:val="24"/>
                      <w:highlight w:val="none"/>
                    </w:rPr>
                    <w:t>（含地下层43</w:t>
                  </w:r>
                  <w:r>
                    <w:rPr>
                      <w:rFonts w:hint="eastAsia" w:ascii="仿宋_GB2312" w:eastAsia="仿宋_GB2312"/>
                      <w:color w:val="auto"/>
                      <w:sz w:val="24"/>
                      <w:highlight w:val="none"/>
                      <w:lang w:val="en-US" w:eastAsia="zh-CN"/>
                    </w:rPr>
                    <w:t>8</w:t>
                  </w:r>
                  <w:r>
                    <w:rPr>
                      <w:rFonts w:hint="eastAsia" w:ascii="仿宋_GB2312" w:eastAsia="仿宋_GB2312"/>
                      <w:color w:val="auto"/>
                      <w:sz w:val="24"/>
                      <w:highlight w:val="none"/>
                    </w:rPr>
                    <w:t>0</w:t>
                  </w:r>
                  <w:r>
                    <w:rPr>
                      <w:rFonts w:hint="eastAsia" w:ascii="Segoe UI Symbol" w:hAnsi="Segoe UI Symbol" w:eastAsia="Segoe UI Symbol" w:cs="Segoe UI Symbol"/>
                      <w:color w:val="auto"/>
                      <w:sz w:val="24"/>
                      <w:highlight w:val="none"/>
                    </w:rPr>
                    <w:t>㎡</w:t>
                  </w:r>
                  <w:r>
                    <w:rPr>
                      <w:rFonts w:hint="eastAsia" w:ascii="仿宋_GB2312" w:eastAsia="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6</w:t>
                  </w:r>
                  <w:r>
                    <w:rPr>
                      <w:rFonts w:hint="eastAsia" w:ascii="仿宋_GB2312" w:eastAsia="仿宋_GB2312"/>
                      <w:color w:val="auto"/>
                      <w:sz w:val="24"/>
                      <w:highlight w:val="none"/>
                    </w:rPr>
                    <w:t>#宿舍楼（D</w:t>
                  </w:r>
                  <w:r>
                    <w:rPr>
                      <w:rFonts w:hint="eastAsia" w:ascii="仿宋_GB2312" w:eastAsia="仿宋_GB2312"/>
                      <w:color w:val="auto"/>
                      <w:sz w:val="24"/>
                      <w:highlight w:val="none"/>
                      <w:lang w:val="en-US" w:eastAsia="zh-CN"/>
                    </w:rPr>
                    <w:t>9</w:t>
                  </w:r>
                  <w:r>
                    <w:rPr>
                      <w:rFonts w:hint="eastAsia" w:ascii="仿宋_GB2312" w:eastAsia="仿宋_GB2312"/>
                      <w:color w:val="auto"/>
                      <w:sz w:val="24"/>
                      <w:highlight w:val="none"/>
                    </w:rPr>
                    <w:t>、D</w:t>
                  </w:r>
                  <w:r>
                    <w:rPr>
                      <w:rFonts w:hint="eastAsia" w:ascii="仿宋_GB2312" w:eastAsia="仿宋_GB2312"/>
                      <w:color w:val="auto"/>
                      <w:sz w:val="24"/>
                      <w:highlight w:val="none"/>
                      <w:lang w:val="en-US" w:eastAsia="zh-CN"/>
                    </w:rPr>
                    <w:t>10</w:t>
                  </w:r>
                  <w:r>
                    <w:rPr>
                      <w:rFonts w:hint="eastAsia" w:ascii="仿宋_GB2312" w:eastAsia="仿宋_GB2312"/>
                      <w:color w:val="auto"/>
                      <w:sz w:val="24"/>
                      <w:highlight w:val="none"/>
                    </w:rPr>
                    <w:t>）</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23159</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5#实训车间</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544</w:t>
                  </w:r>
                  <w:r>
                    <w:rPr>
                      <w:rFonts w:hint="eastAsia" w:ascii="仿宋_GB2312" w:eastAsia="仿宋_GB2312"/>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8#食堂</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9</w:t>
                  </w:r>
                  <w:r>
                    <w:rPr>
                      <w:rFonts w:hint="eastAsia" w:ascii="仿宋_GB2312" w:eastAsia="仿宋_GB2312"/>
                      <w:color w:val="auto"/>
                      <w:sz w:val="24"/>
                      <w:highlight w:val="none"/>
                      <w:lang w:val="en-US" w:eastAsia="zh-CN"/>
                    </w:rPr>
                    <w:t>367</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6#实训车间</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544</w:t>
                  </w:r>
                  <w:r>
                    <w:rPr>
                      <w:rFonts w:hint="eastAsia" w:ascii="仿宋_GB2312" w:eastAsia="仿宋_GB2312"/>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18#水泵房</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918</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21#综合服务中心</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19#开闭所</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308</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11#图书馆</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r>
                    <w:rPr>
                      <w:rFonts w:hint="default" w:ascii="仿宋_GB2312" w:eastAsia="仿宋_GB2312"/>
                      <w:color w:val="auto"/>
                      <w:sz w:val="24"/>
                      <w:highlight w:val="none"/>
                      <w:lang w:val="en-US" w:eastAsia="zh-CN"/>
                    </w:rPr>
                    <w:t>29583（含地下层8913㎡）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10#楼文体活动中心</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28662（含地下层8867㎡）</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348" w:type="dxa"/>
                  <w:vMerge w:val="continue"/>
                  <w:tcBorders>
                    <w:left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合计</w:t>
                  </w:r>
                </w:p>
              </w:tc>
              <w:tc>
                <w:tcPr>
                  <w:tcW w:w="495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369665</w:t>
                  </w:r>
                  <w:r>
                    <w:rPr>
                      <w:rFonts w:hint="eastAsia" w:ascii="Segoe UI Symbol" w:hAnsi="Segoe UI Symbol" w:eastAsia="Segoe UI Symbol" w:cs="Segoe UI Symbol"/>
                      <w:color w:val="auto"/>
                      <w:sz w:val="24"/>
                      <w:highlight w:val="none"/>
                    </w:rPr>
                    <w:t>㎡</w:t>
                  </w:r>
                </w:p>
              </w:tc>
            </w:tr>
          </w:tbl>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bCs/>
                <w:color w:val="auto"/>
                <w:sz w:val="24"/>
                <w:highlight w:val="none"/>
              </w:rPr>
              <w:t>主要服务区域：上述</w:t>
            </w:r>
            <w:r>
              <w:rPr>
                <w:rFonts w:hint="eastAsia" w:ascii="仿宋_GB2312" w:hAnsi="Calibri" w:eastAsia="仿宋_GB2312"/>
                <w:bCs/>
                <w:color w:val="auto"/>
                <w:sz w:val="24"/>
                <w:highlight w:val="none"/>
                <w:lang w:eastAsia="zh-CN"/>
              </w:rPr>
              <w:t>两校区的</w:t>
            </w:r>
            <w:r>
              <w:rPr>
                <w:rFonts w:hint="eastAsia" w:ascii="仿宋_GB2312" w:hAnsi="Calibri" w:eastAsia="仿宋_GB2312"/>
                <w:bCs/>
                <w:color w:val="auto"/>
                <w:sz w:val="24"/>
                <w:highlight w:val="none"/>
              </w:rPr>
              <w:t>教学楼</w:t>
            </w:r>
            <w:r>
              <w:rPr>
                <w:rFonts w:hint="eastAsia" w:ascii="仿宋_GB2312" w:hAnsi="Calibri" w:eastAsia="仿宋_GB2312"/>
                <w:color w:val="auto"/>
                <w:sz w:val="24"/>
                <w:highlight w:val="none"/>
              </w:rPr>
              <w:t>、实训楼、宿舍楼、办公楼、图书馆、体育馆、食堂、礼堂、附属用房及配套设施设备等，400m塑胶跑道田径场、室外运动场、</w:t>
            </w:r>
            <w:r>
              <w:rPr>
                <w:rFonts w:hint="eastAsia" w:ascii="仿宋_GB2312" w:hAnsi="Calibri" w:eastAsia="仿宋_GB2312"/>
                <w:color w:val="auto"/>
                <w:sz w:val="24"/>
                <w:highlight w:val="none"/>
                <w:lang w:eastAsia="zh-CN"/>
              </w:rPr>
              <w:t>球场、广场、</w:t>
            </w:r>
            <w:r>
              <w:rPr>
                <w:rFonts w:hint="eastAsia" w:ascii="仿宋_GB2312" w:hAnsi="Calibri" w:eastAsia="仿宋_GB2312"/>
                <w:color w:val="auto"/>
                <w:sz w:val="24"/>
                <w:highlight w:val="none"/>
              </w:rPr>
              <w:t>道路、栈道、山体景观、绿化区域</w:t>
            </w:r>
            <w:r>
              <w:rPr>
                <w:rFonts w:hint="eastAsia" w:ascii="仿宋_GB2312" w:hAnsi="Calibri" w:eastAsia="仿宋_GB2312"/>
                <w:color w:val="auto"/>
                <w:sz w:val="24"/>
                <w:highlight w:val="none"/>
                <w:lang w:eastAsia="zh-CN"/>
              </w:rPr>
              <w:t>、地上</w:t>
            </w:r>
            <w:r>
              <w:rPr>
                <w:rFonts w:hint="eastAsia" w:ascii="仿宋_GB2312" w:hAnsi="Calibri" w:eastAsia="仿宋_GB2312"/>
                <w:color w:val="auto"/>
                <w:sz w:val="24"/>
                <w:highlight w:val="none"/>
                <w:lang w:val="en-US" w:eastAsia="zh-CN"/>
              </w:rPr>
              <w:t>和</w:t>
            </w:r>
            <w:r>
              <w:rPr>
                <w:rFonts w:hint="eastAsia" w:ascii="仿宋_GB2312" w:hAnsi="Calibri" w:eastAsia="仿宋_GB2312"/>
                <w:color w:val="auto"/>
                <w:sz w:val="24"/>
                <w:highlight w:val="none"/>
                <w:lang w:eastAsia="zh-CN"/>
              </w:rPr>
              <w:t>地下停车场</w:t>
            </w:r>
            <w:r>
              <w:rPr>
                <w:rFonts w:hint="eastAsia" w:ascii="仿宋_GB2312" w:hAnsi="Calibri" w:eastAsia="仿宋_GB2312"/>
                <w:color w:val="auto"/>
                <w:sz w:val="24"/>
                <w:highlight w:val="none"/>
              </w:rPr>
              <w:t>等</w:t>
            </w:r>
            <w:r>
              <w:rPr>
                <w:rFonts w:hint="eastAsia" w:ascii="仿宋_GB2312" w:hAnsi="Calibri" w:eastAsia="仿宋_GB2312"/>
                <w:color w:val="auto"/>
                <w:sz w:val="24"/>
                <w:highlight w:val="none"/>
                <w:lang w:eastAsia="zh-CN"/>
              </w:rPr>
              <w:t>校园内</w:t>
            </w:r>
            <w:r>
              <w:rPr>
                <w:rFonts w:hint="eastAsia" w:ascii="仿宋_GB2312" w:hAnsi="Calibri" w:eastAsia="仿宋_GB2312"/>
                <w:color w:val="auto"/>
                <w:sz w:val="24"/>
                <w:highlight w:val="none"/>
              </w:rPr>
              <w:t>的所有公共区域</w:t>
            </w:r>
            <w:r>
              <w:rPr>
                <w:rFonts w:hint="eastAsia" w:ascii="仿宋_GB2312" w:hAnsi="Calibri" w:eastAsia="仿宋_GB2312"/>
                <w:color w:val="auto"/>
                <w:sz w:val="24"/>
                <w:highlight w:val="none"/>
                <w:lang w:eastAsia="zh-CN"/>
              </w:rPr>
              <w:t>。</w:t>
            </w:r>
          </w:p>
          <w:p>
            <w:pPr>
              <w:spacing w:line="360" w:lineRule="auto"/>
              <w:ind w:firstLine="482" w:firstLineChars="200"/>
              <w:jc w:val="left"/>
              <w:rPr>
                <w:rFonts w:ascii="仿宋_GB2312" w:hAnsi="Calibri" w:eastAsia="仿宋_GB2312"/>
                <w:b/>
                <w:bCs/>
                <w:color w:val="auto"/>
                <w:sz w:val="24"/>
                <w:highlight w:val="none"/>
              </w:rPr>
            </w:pPr>
            <w:r>
              <w:rPr>
                <w:rFonts w:hint="eastAsia" w:ascii="仿宋_GB2312" w:hAnsi="Calibri" w:eastAsia="仿宋_GB2312"/>
                <w:b/>
                <w:bCs/>
                <w:color w:val="auto"/>
                <w:sz w:val="24"/>
                <w:highlight w:val="none"/>
              </w:rPr>
              <w:t>二、人员配备及要求</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eastAsia="zh-CN"/>
              </w:rPr>
              <w:t>（一）</w:t>
            </w:r>
            <w:r>
              <w:rPr>
                <w:rFonts w:hint="eastAsia" w:ascii="仿宋_GB2312" w:hAnsi="Calibri" w:eastAsia="仿宋_GB2312"/>
                <w:color w:val="auto"/>
                <w:sz w:val="24"/>
                <w:highlight w:val="none"/>
              </w:rPr>
              <w:t>物业服务中心人员</w:t>
            </w:r>
            <w:r>
              <w:rPr>
                <w:rFonts w:hint="eastAsia" w:ascii="仿宋_GB2312" w:hAnsi="Calibri" w:eastAsia="仿宋_GB2312"/>
                <w:color w:val="auto"/>
                <w:sz w:val="24"/>
                <w:highlight w:val="none"/>
                <w:lang w:eastAsia="zh-CN"/>
              </w:rPr>
              <w:t>配置</w:t>
            </w:r>
          </w:p>
          <w:tbl>
            <w:tblPr>
              <w:tblStyle w:val="49"/>
              <w:tblW w:w="7857"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738"/>
              <w:gridCol w:w="1153"/>
              <w:gridCol w:w="180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49" w:type="dxa"/>
                  <w:vAlign w:val="center"/>
                </w:tcPr>
                <w:p>
                  <w:pPr>
                    <w:spacing w:line="240" w:lineRule="auto"/>
                    <w:jc w:val="center"/>
                    <w:rPr>
                      <w:rFonts w:hint="eastAsia" w:ascii="仿宋_GB2312" w:hAnsi="Calibri" w:eastAsia="仿宋_GB2312"/>
                      <w:b/>
                      <w:bCs/>
                      <w:color w:val="auto"/>
                      <w:sz w:val="24"/>
                      <w:highlight w:val="none"/>
                      <w:vertAlign w:val="baseline"/>
                      <w:lang w:val="en-US" w:eastAsia="zh-CN"/>
                    </w:rPr>
                  </w:pPr>
                  <w:r>
                    <w:rPr>
                      <w:rFonts w:hint="eastAsia" w:ascii="仿宋_GB2312" w:hAnsi="Calibri" w:eastAsia="仿宋_GB2312"/>
                      <w:b/>
                      <w:bCs/>
                      <w:color w:val="auto"/>
                      <w:sz w:val="24"/>
                      <w:highlight w:val="none"/>
                      <w:vertAlign w:val="baseline"/>
                      <w:lang w:val="en-US" w:eastAsia="zh-CN"/>
                    </w:rPr>
                    <w:t>序号</w:t>
                  </w:r>
                </w:p>
              </w:tc>
              <w:tc>
                <w:tcPr>
                  <w:tcW w:w="2738" w:type="dxa"/>
                  <w:vAlign w:val="center"/>
                </w:tcPr>
                <w:p>
                  <w:pPr>
                    <w:spacing w:line="240" w:lineRule="auto"/>
                    <w:jc w:val="center"/>
                    <w:rPr>
                      <w:rFonts w:hint="eastAsia" w:ascii="仿宋_GB2312" w:hAnsi="Calibri" w:eastAsia="仿宋_GB2312"/>
                      <w:b/>
                      <w:bCs/>
                      <w:color w:val="auto"/>
                      <w:sz w:val="24"/>
                      <w:highlight w:val="none"/>
                      <w:vertAlign w:val="baseline"/>
                      <w:lang w:val="en-US" w:eastAsia="zh-CN"/>
                    </w:rPr>
                  </w:pPr>
                  <w:r>
                    <w:rPr>
                      <w:rFonts w:hint="eastAsia" w:ascii="仿宋_GB2312" w:hAnsi="黑体" w:eastAsia="仿宋_GB2312" w:cs="黑体"/>
                      <w:b/>
                      <w:bCs/>
                      <w:color w:val="auto"/>
                      <w:sz w:val="24"/>
                      <w:highlight w:val="none"/>
                    </w:rPr>
                    <w:t>岗位名称</w:t>
                  </w:r>
                </w:p>
              </w:tc>
              <w:tc>
                <w:tcPr>
                  <w:tcW w:w="1153" w:type="dxa"/>
                  <w:vAlign w:val="center"/>
                </w:tcPr>
                <w:p>
                  <w:pPr>
                    <w:spacing w:line="240" w:lineRule="auto"/>
                    <w:jc w:val="center"/>
                    <w:rPr>
                      <w:rFonts w:hint="default" w:ascii="仿宋_GB2312" w:hAnsi="Calibri" w:eastAsia="仿宋_GB2312"/>
                      <w:b/>
                      <w:bCs/>
                      <w:color w:val="auto"/>
                      <w:sz w:val="24"/>
                      <w:highlight w:val="none"/>
                      <w:vertAlign w:val="baseline"/>
                      <w:lang w:val="en-US" w:eastAsia="zh-CN"/>
                    </w:rPr>
                  </w:pPr>
                  <w:r>
                    <w:rPr>
                      <w:rFonts w:hint="eastAsia" w:ascii="仿宋_GB2312" w:hAnsi="Calibri" w:eastAsia="仿宋_GB2312"/>
                      <w:b/>
                      <w:bCs/>
                      <w:color w:val="auto"/>
                      <w:sz w:val="24"/>
                      <w:highlight w:val="none"/>
                      <w:vertAlign w:val="baseline"/>
                      <w:lang w:val="en-US" w:eastAsia="zh-CN"/>
                    </w:rPr>
                    <w:t>参考人员数量</w:t>
                  </w:r>
                </w:p>
              </w:tc>
              <w:tc>
                <w:tcPr>
                  <w:tcW w:w="1809"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Style w:val="823"/>
                      <w:rFonts w:ascii="仿宋_GB2312" w:hAnsi="仿宋_GB2312" w:eastAsia="仿宋_GB2312" w:cs="仿宋_GB2312"/>
                      <w:b/>
                      <w:bCs/>
                      <w:color w:val="auto"/>
                      <w:sz w:val="24"/>
                      <w:szCs w:val="24"/>
                      <w:highlight w:val="none"/>
                    </w:rPr>
                    <w:t>工作时间</w:t>
                  </w:r>
                </w:p>
              </w:tc>
              <w:tc>
                <w:tcPr>
                  <w:tcW w:w="130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b/>
                      <w:bCs/>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1</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eastAsia="仿宋_GB2312"/>
                      <w:color w:val="auto"/>
                      <w:sz w:val="24"/>
                      <w:highlight w:val="none"/>
                    </w:rPr>
                    <w:t>中心主任（项目经理）</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1</w:t>
                  </w:r>
                </w:p>
              </w:tc>
              <w:tc>
                <w:tcPr>
                  <w:tcW w:w="1809" w:type="dxa"/>
                  <w:vMerge w:val="restart"/>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行政班</w:t>
                  </w:r>
                </w:p>
              </w:tc>
              <w:tc>
                <w:tcPr>
                  <w:tcW w:w="1308" w:type="dxa"/>
                  <w:vMerge w:val="restart"/>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p>
                  <w:pPr>
                    <w:bidi w:val="0"/>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岗位不可以分包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49"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w:t>
                  </w:r>
                </w:p>
              </w:tc>
              <w:tc>
                <w:tcPr>
                  <w:tcW w:w="2738" w:type="dxa"/>
                  <w:vAlign w:val="center"/>
                </w:tcPr>
                <w:p>
                  <w:pPr>
                    <w:jc w:val="center"/>
                    <w:rPr>
                      <w:rFonts w:hint="eastAsia"/>
                      <w:color w:val="auto"/>
                      <w:highlight w:val="none"/>
                      <w:lang w:eastAsia="zh-CN"/>
                    </w:rPr>
                  </w:pPr>
                  <w:r>
                    <w:rPr>
                      <w:rFonts w:hint="eastAsia" w:ascii="仿宋_GB2312" w:eastAsia="仿宋_GB2312"/>
                      <w:color w:val="auto"/>
                      <w:sz w:val="24"/>
                      <w:highlight w:val="none"/>
                    </w:rPr>
                    <w:t>中心主任助理</w:t>
                  </w:r>
                </w:p>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eastAsia="仿宋_GB2312"/>
                      <w:color w:val="auto"/>
                      <w:sz w:val="24"/>
                      <w:highlight w:val="none"/>
                    </w:rPr>
                    <w:t>（项目经理助理）</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w:t>
                  </w:r>
                </w:p>
              </w:tc>
              <w:tc>
                <w:tcPr>
                  <w:tcW w:w="1809" w:type="dxa"/>
                  <w:vMerge w:val="continue"/>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c>
                <w:tcPr>
                  <w:tcW w:w="1308" w:type="dxa"/>
                  <w:vMerge w:val="continue"/>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lang w:val="en-US" w:eastAsia="zh-CN"/>
                    </w:rPr>
                    <w:t>宿管主管</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w:t>
                  </w:r>
                </w:p>
              </w:tc>
              <w:tc>
                <w:tcPr>
                  <w:tcW w:w="1809" w:type="dxa"/>
                  <w:vMerge w:val="continue"/>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c>
                <w:tcPr>
                  <w:tcW w:w="1308" w:type="dxa"/>
                  <w:vMerge w:val="continue"/>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4</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lang w:val="en-US" w:eastAsia="zh-CN"/>
                    </w:rPr>
                    <w:t>秩序维护主管</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w:t>
                  </w:r>
                </w:p>
              </w:tc>
              <w:tc>
                <w:tcPr>
                  <w:tcW w:w="1809" w:type="dxa"/>
                  <w:vMerge w:val="continue"/>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c>
                <w:tcPr>
                  <w:tcW w:w="1308" w:type="dxa"/>
                  <w:vMerge w:val="continue"/>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5</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lang w:val="en-US" w:eastAsia="zh-CN"/>
                    </w:rPr>
                    <w:t>工程主管</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w:t>
                  </w:r>
                </w:p>
              </w:tc>
              <w:tc>
                <w:tcPr>
                  <w:tcW w:w="1809" w:type="dxa"/>
                  <w:vMerge w:val="restart"/>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行政班</w:t>
                  </w:r>
                </w:p>
              </w:tc>
              <w:tc>
                <w:tcPr>
                  <w:tcW w:w="1308" w:type="dxa"/>
                  <w:vMerge w:val="restart"/>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6</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lang w:val="en-US" w:eastAsia="zh-CN"/>
                    </w:rPr>
                    <w:t>保洁主管</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w:t>
                  </w:r>
                </w:p>
              </w:tc>
              <w:tc>
                <w:tcPr>
                  <w:tcW w:w="1809" w:type="dxa"/>
                  <w:vMerge w:val="continue"/>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c>
                <w:tcPr>
                  <w:tcW w:w="1308" w:type="dxa"/>
                  <w:vMerge w:val="continue"/>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lang w:val="en-US" w:eastAsia="zh-CN"/>
                    </w:rPr>
                    <w:t>绿化主管</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1</w:t>
                  </w:r>
                </w:p>
              </w:tc>
              <w:tc>
                <w:tcPr>
                  <w:tcW w:w="1809" w:type="dxa"/>
                  <w:vMerge w:val="continue"/>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c>
                <w:tcPr>
                  <w:tcW w:w="1308" w:type="dxa"/>
                  <w:vMerge w:val="continue"/>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8</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rPr>
                    <w:t>宿管员</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75</w:t>
                  </w:r>
                </w:p>
              </w:tc>
              <w:tc>
                <w:tcPr>
                  <w:tcW w:w="1809"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24小时值班，园区门岗每班不少于1人，楼栋宿管早班不少于2人、中班不少于1人、晚班不少于1人</w:t>
                  </w:r>
                </w:p>
              </w:tc>
              <w:tc>
                <w:tcPr>
                  <w:tcW w:w="1308" w:type="dxa"/>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p>
                  <w:pPr>
                    <w:spacing w:line="240" w:lineRule="auto"/>
                    <w:jc w:val="center"/>
                    <w:rPr>
                      <w:rFonts w:hint="eastAsia" w:ascii="仿宋_GB2312" w:hAnsi="仿宋_GB2312" w:eastAsia="仿宋_GB2312" w:cs="仿宋_GB2312"/>
                      <w:color w:val="auto"/>
                      <w:sz w:val="24"/>
                      <w:highlight w:val="none"/>
                      <w:vertAlign w:val="baseline"/>
                      <w:lang w:val="en-US" w:eastAsia="zh-CN"/>
                    </w:rPr>
                  </w:pPr>
                  <w:r>
                    <w:rPr>
                      <w:rFonts w:hint="eastAsia" w:ascii="仿宋_GB2312" w:hAnsi="仿宋_GB2312" w:eastAsia="仿宋_GB2312" w:cs="仿宋_GB2312"/>
                      <w:color w:val="auto"/>
                      <w:kern w:val="2"/>
                      <w:sz w:val="24"/>
                      <w:szCs w:val="24"/>
                      <w:highlight w:val="none"/>
                      <w:lang w:val="en-US" w:eastAsia="zh-CN" w:bidi="ar-SA"/>
                    </w:rPr>
                    <w:t>岗位不可以分包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9</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rPr>
                    <w:t>秩序维护人员</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81</w:t>
                  </w:r>
                </w:p>
              </w:tc>
              <w:tc>
                <w:tcPr>
                  <w:tcW w:w="1809"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24小时值班，大门岗、应急指挥中心（监控室）每班不少于2人</w:t>
                  </w:r>
                </w:p>
              </w:tc>
              <w:tc>
                <w:tcPr>
                  <w:tcW w:w="1308" w:type="dxa"/>
                  <w:vAlign w:val="center"/>
                </w:tcPr>
                <w:p>
                  <w:pPr>
                    <w:spacing w:line="240" w:lineRule="auto"/>
                    <w:jc w:val="center"/>
                    <w:rPr>
                      <w:rFonts w:hint="eastAsia" w:ascii="仿宋_GB2312" w:hAnsi="仿宋_GB2312" w:eastAsia="仿宋_GB2312" w:cs="仿宋_GB2312"/>
                      <w:color w:val="auto"/>
                      <w:sz w:val="24"/>
                      <w:highlight w:val="none"/>
                      <w:vertAlign w:val="baseline"/>
                      <w:lang w:val="en-US" w:eastAsia="zh-CN"/>
                    </w:rPr>
                  </w:pPr>
                </w:p>
                <w:p>
                  <w:pPr>
                    <w:spacing w:line="240" w:lineRule="auto"/>
                    <w:jc w:val="center"/>
                    <w:rPr>
                      <w:rFonts w:hint="eastAsia" w:ascii="仿宋_GB2312" w:hAnsi="仿宋_GB2312" w:eastAsia="仿宋_GB2312" w:cs="仿宋_GB2312"/>
                      <w:color w:val="auto"/>
                      <w:sz w:val="24"/>
                      <w:highlight w:val="none"/>
                      <w:vertAlign w:val="baseline"/>
                      <w:lang w:val="en-US" w:eastAsia="zh-CN"/>
                    </w:rPr>
                  </w:pPr>
                  <w:r>
                    <w:rPr>
                      <w:rFonts w:hint="eastAsia" w:ascii="仿宋_GB2312" w:hAnsi="仿宋_GB2312" w:eastAsia="仿宋_GB2312" w:cs="仿宋_GB2312"/>
                      <w:color w:val="auto"/>
                      <w:kern w:val="2"/>
                      <w:sz w:val="24"/>
                      <w:szCs w:val="24"/>
                      <w:highlight w:val="none"/>
                      <w:lang w:val="en-US" w:eastAsia="zh-CN" w:bidi="ar-SA"/>
                    </w:rPr>
                    <w:t>岗位不可以分包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10</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eastAsia="仿宋_GB2312"/>
                      <w:color w:val="auto"/>
                      <w:sz w:val="24"/>
                      <w:highlight w:val="none"/>
                    </w:rPr>
                    <w:t>维修</w:t>
                  </w:r>
                  <w:r>
                    <w:rPr>
                      <w:rFonts w:hint="eastAsia" w:ascii="仿宋_GB2312" w:eastAsia="仿宋_GB2312"/>
                      <w:color w:val="auto"/>
                      <w:sz w:val="24"/>
                      <w:highlight w:val="none"/>
                      <w:lang w:eastAsia="zh-CN"/>
                    </w:rPr>
                    <w:t>维护人员</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24</w:t>
                  </w:r>
                </w:p>
              </w:tc>
              <w:tc>
                <w:tcPr>
                  <w:tcW w:w="1809"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24小时值班</w:t>
                  </w:r>
                </w:p>
              </w:tc>
              <w:tc>
                <w:tcPr>
                  <w:tcW w:w="130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11</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rPr>
                    <w:t>保洁员</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73</w:t>
                  </w:r>
                </w:p>
              </w:tc>
              <w:tc>
                <w:tcPr>
                  <w:tcW w:w="1809"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8小时工作制</w:t>
                  </w:r>
                </w:p>
              </w:tc>
              <w:tc>
                <w:tcPr>
                  <w:tcW w:w="130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49" w:type="dxa"/>
                  <w:vAlign w:val="center"/>
                </w:tcPr>
                <w:p>
                  <w:pPr>
                    <w:spacing w:line="240" w:lineRule="auto"/>
                    <w:jc w:val="center"/>
                    <w:rPr>
                      <w:rFonts w:hint="default"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12</w:t>
                  </w:r>
                </w:p>
              </w:tc>
              <w:tc>
                <w:tcPr>
                  <w:tcW w:w="273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lang w:eastAsia="zh-CN"/>
                    </w:rPr>
                    <w:t>绿化养护员</w:t>
                  </w:r>
                </w:p>
              </w:tc>
              <w:tc>
                <w:tcPr>
                  <w:tcW w:w="1153" w:type="dxa"/>
                  <w:vAlign w:val="center"/>
                </w:tcPr>
                <w:p>
                  <w:pPr>
                    <w:spacing w:line="240" w:lineRule="auto"/>
                    <w:jc w:val="center"/>
                    <w:rPr>
                      <w:rFonts w:hint="default"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10</w:t>
                  </w:r>
                </w:p>
              </w:tc>
              <w:tc>
                <w:tcPr>
                  <w:tcW w:w="1809"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8小时工作制</w:t>
                  </w:r>
                </w:p>
              </w:tc>
              <w:tc>
                <w:tcPr>
                  <w:tcW w:w="1308" w:type="dxa"/>
                  <w:vAlign w:val="center"/>
                </w:tcPr>
                <w:p>
                  <w:pPr>
                    <w:spacing w:line="240" w:lineRule="auto"/>
                    <w:jc w:val="center"/>
                    <w:rPr>
                      <w:rFonts w:hint="eastAsia" w:ascii="仿宋_GB2312" w:hAnsi="Calibri" w:eastAsia="仿宋_GB2312"/>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587" w:type="dxa"/>
                  <w:gridSpan w:val="2"/>
                  <w:vAlign w:val="center"/>
                </w:tcPr>
                <w:p>
                  <w:pPr>
                    <w:spacing w:line="240" w:lineRule="auto"/>
                    <w:jc w:val="center"/>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合计（参考人员数量）</w:t>
                  </w:r>
                </w:p>
              </w:tc>
              <w:tc>
                <w:tcPr>
                  <w:tcW w:w="4270" w:type="dxa"/>
                  <w:gridSpan w:val="3"/>
                  <w:vAlign w:val="center"/>
                </w:tcPr>
                <w:p>
                  <w:pPr>
                    <w:spacing w:line="240" w:lineRule="auto"/>
                    <w:jc w:val="left"/>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color w:val="auto"/>
                      <w:sz w:val="24"/>
                      <w:highlight w:val="none"/>
                      <w:vertAlign w:val="baseline"/>
                      <w:lang w:val="en-US" w:eastAsia="zh-CN"/>
                    </w:rPr>
                    <w:t>275人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57" w:type="dxa"/>
                  <w:gridSpan w:val="5"/>
                  <w:vAlign w:val="center"/>
                </w:tcPr>
                <w:p>
                  <w:pPr>
                    <w:spacing w:line="420" w:lineRule="exact"/>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rPr>
                    <w:t>本项目</w:t>
                  </w:r>
                  <w:r>
                    <w:rPr>
                      <w:rFonts w:hint="eastAsia" w:ascii="仿宋_GB2312" w:hAnsi="Calibri" w:eastAsia="仿宋_GB2312"/>
                      <w:color w:val="auto"/>
                      <w:sz w:val="24"/>
                      <w:highlight w:val="none"/>
                      <w:lang w:eastAsia="zh-CN"/>
                    </w:rPr>
                    <w:t>的经理、主管等管理人员及</w:t>
                  </w:r>
                  <w:r>
                    <w:rPr>
                      <w:rFonts w:hint="eastAsia" w:ascii="仿宋_GB2312" w:hAnsi="Calibri" w:eastAsia="仿宋_GB2312"/>
                      <w:color w:val="auto"/>
                      <w:sz w:val="24"/>
                      <w:highlight w:val="none"/>
                      <w:lang w:val="en-US" w:eastAsia="zh-CN"/>
                    </w:rPr>
                    <w:t>其他各岗位的人员配置数量在达到服务标准的前提下，中标人可根据实际情况进行调整。</w:t>
                  </w:r>
                  <w:r>
                    <w:rPr>
                      <w:rFonts w:hint="eastAsia" w:ascii="仿宋_GB2312" w:hAnsi="Calibri" w:eastAsia="仿宋_GB2312"/>
                      <w:color w:val="auto"/>
                      <w:sz w:val="24"/>
                      <w:highlight w:val="none"/>
                    </w:rPr>
                    <w:t>在人员中推行区域管理（教学区域、学生宿舍区域等），强调区域内工程维修维护人员、秩序维护人员、学生公寓宿管员、保洁员</w:t>
                  </w:r>
                  <w:r>
                    <w:rPr>
                      <w:rFonts w:hint="eastAsia" w:ascii="仿宋_GB2312" w:hAnsi="Calibri" w:eastAsia="仿宋_GB2312"/>
                      <w:color w:val="auto"/>
                      <w:sz w:val="24"/>
                      <w:highlight w:val="none"/>
                      <w:lang w:eastAsia="zh-CN"/>
                    </w:rPr>
                    <w:t>、</w:t>
                  </w:r>
                  <w:r>
                    <w:rPr>
                      <w:rFonts w:hint="eastAsia" w:ascii="仿宋_GB2312" w:eastAsia="仿宋_GB2312"/>
                      <w:color w:val="auto"/>
                      <w:kern w:val="0"/>
                      <w:sz w:val="24"/>
                      <w:highlight w:val="none"/>
                      <w:lang w:eastAsia="zh-CN"/>
                    </w:rPr>
                    <w:t>绿化养护员</w:t>
                  </w:r>
                  <w:r>
                    <w:rPr>
                      <w:rFonts w:hint="eastAsia" w:ascii="仿宋_GB2312" w:hAnsi="Calibri" w:eastAsia="仿宋_GB2312"/>
                      <w:color w:val="auto"/>
                      <w:sz w:val="24"/>
                      <w:highlight w:val="none"/>
                    </w:rPr>
                    <w:t>等通力配合、协同合作，尽全力降低区域内的维修率和投诉率、提高区域的满意度。</w:t>
                  </w:r>
                </w:p>
                <w:p>
                  <w:pPr>
                    <w:spacing w:line="420" w:lineRule="exact"/>
                    <w:ind w:firstLine="482" w:firstLineChars="200"/>
                    <w:jc w:val="lef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注：1</w:t>
                  </w:r>
                  <w:r>
                    <w:rPr>
                      <w:rFonts w:ascii="仿宋_GB2312" w:hAnsi="仿宋_GB2312" w:eastAsia="仿宋_GB2312" w:cs="仿宋_GB2312"/>
                      <w:b/>
                      <w:bCs/>
                      <w:color w:val="auto"/>
                      <w:sz w:val="24"/>
                      <w:highlight w:val="none"/>
                    </w:rPr>
                    <w:t>.</w:t>
                  </w:r>
                  <w:r>
                    <w:rPr>
                      <w:rFonts w:hint="eastAsia" w:ascii="仿宋_GB2312" w:hAnsi="仿宋_GB2312" w:eastAsia="仿宋_GB2312" w:cs="仿宋_GB2312"/>
                      <w:b/>
                      <w:bCs/>
                      <w:color w:val="auto"/>
                      <w:sz w:val="24"/>
                      <w:highlight w:val="none"/>
                    </w:rPr>
                    <w:t>分包政策及要求：</w:t>
                  </w:r>
                </w:p>
                <w:p>
                  <w:pPr>
                    <w:spacing w:line="420" w:lineRule="exact"/>
                    <w:ind w:firstLine="482" w:firstLineChars="200"/>
                    <w:jc w:val="left"/>
                    <w:rPr>
                      <w:rFonts w:hint="eastAsia" w:ascii="仿宋_GB2312" w:hAnsi="仿宋_GB2312" w:eastAsia="仿宋_GB2312" w:cs="仿宋_GB2312"/>
                      <w:b/>
                      <w:bCs/>
                      <w:color w:val="auto"/>
                      <w:sz w:val="24"/>
                      <w:highlight w:val="none"/>
                    </w:rPr>
                  </w:pPr>
                  <w:r>
                    <w:rPr>
                      <w:rFonts w:hint="eastAsia" w:ascii="仿宋_GB2312" w:hAnsi="宋体" w:eastAsia="仿宋_GB2312"/>
                      <w:b/>
                      <w:bCs w:val="0"/>
                      <w:color w:val="auto"/>
                      <w:sz w:val="24"/>
                      <w:szCs w:val="24"/>
                      <w:highlight w:val="none"/>
                      <w:lang w:val="en-US" w:eastAsia="zh-CN"/>
                    </w:rPr>
                    <w:t>本项目</w:t>
                  </w:r>
                  <w:r>
                    <w:rPr>
                      <w:rFonts w:hint="eastAsia" w:ascii="仿宋_GB2312" w:hAnsi="宋体" w:eastAsia="仿宋_GB2312"/>
                      <w:b/>
                      <w:bCs w:val="0"/>
                      <w:color w:val="auto"/>
                      <w:sz w:val="24"/>
                      <w:szCs w:val="24"/>
                      <w:highlight w:val="none"/>
                    </w:rPr>
                    <w:t>属于部分预留份额给</w:t>
                  </w:r>
                  <w:r>
                    <w:rPr>
                      <w:rFonts w:hint="eastAsia" w:ascii="仿宋_GB2312" w:hAnsi="宋体" w:eastAsia="仿宋_GB2312" w:cs="Courier New"/>
                      <w:b/>
                      <w:bCs w:val="0"/>
                      <w:color w:val="auto"/>
                      <w:sz w:val="24"/>
                      <w:szCs w:val="24"/>
                      <w:highlight w:val="none"/>
                      <w:lang w:val="en-US" w:eastAsia="zh-CN"/>
                    </w:rPr>
                    <w:t>中小</w:t>
                  </w:r>
                  <w:r>
                    <w:rPr>
                      <w:rFonts w:hint="eastAsia" w:ascii="仿宋_GB2312" w:hAnsi="宋体" w:eastAsia="仿宋_GB2312"/>
                      <w:b/>
                      <w:bCs w:val="0"/>
                      <w:color w:val="auto"/>
                      <w:sz w:val="24"/>
                      <w:szCs w:val="24"/>
                      <w:highlight w:val="none"/>
                    </w:rPr>
                    <w:t>企业采购内容，投标人如为大</w:t>
                  </w:r>
                  <w:r>
                    <w:rPr>
                      <w:rFonts w:hint="eastAsia" w:ascii="仿宋_GB2312" w:hAnsi="仿宋_GB2312" w:eastAsia="仿宋_GB2312" w:cs="仿宋_GB2312"/>
                      <w:b/>
                      <w:bCs w:val="0"/>
                      <w:color w:val="auto"/>
                      <w:sz w:val="24"/>
                      <w:szCs w:val="24"/>
                      <w:highlight w:val="none"/>
                      <w:lang w:val="en-US" w:eastAsia="zh-CN"/>
                    </w:rPr>
                    <w:t>型</w:t>
                  </w:r>
                  <w:r>
                    <w:rPr>
                      <w:rFonts w:hint="eastAsia" w:ascii="仿宋_GB2312" w:hAnsi="宋体" w:eastAsia="仿宋_GB2312"/>
                      <w:b/>
                      <w:bCs w:val="0"/>
                      <w:color w:val="auto"/>
                      <w:sz w:val="24"/>
                      <w:szCs w:val="24"/>
                      <w:highlight w:val="none"/>
                    </w:rPr>
                    <w:t>企业的，须将合同金额的40%</w:t>
                  </w:r>
                  <w:r>
                    <w:rPr>
                      <w:rFonts w:hint="eastAsia" w:ascii="仿宋_GB2312" w:hAnsi="宋体" w:eastAsia="仿宋_GB2312"/>
                      <w:b/>
                      <w:bCs w:val="0"/>
                      <w:color w:val="auto"/>
                      <w:sz w:val="24"/>
                      <w:szCs w:val="24"/>
                      <w:highlight w:val="none"/>
                      <w:lang w:val="en-US" w:eastAsia="zh-CN"/>
                    </w:rPr>
                    <w:t>以上</w:t>
                  </w:r>
                  <w:r>
                    <w:rPr>
                      <w:rFonts w:hint="eastAsia" w:ascii="仿宋_GB2312" w:hAnsi="宋体" w:eastAsia="仿宋_GB2312"/>
                      <w:b/>
                      <w:bCs w:val="0"/>
                      <w:color w:val="auto"/>
                      <w:sz w:val="24"/>
                      <w:szCs w:val="24"/>
                      <w:highlight w:val="none"/>
                    </w:rPr>
                    <w:t>分包给</w:t>
                  </w:r>
                  <w:r>
                    <w:rPr>
                      <w:rFonts w:hint="eastAsia" w:ascii="仿宋_GB2312" w:hAnsi="宋体" w:eastAsia="仿宋_GB2312" w:cs="Courier New"/>
                      <w:b/>
                      <w:bCs w:val="0"/>
                      <w:color w:val="auto"/>
                      <w:sz w:val="24"/>
                      <w:szCs w:val="24"/>
                      <w:highlight w:val="none"/>
                      <w:lang w:val="en-US" w:eastAsia="zh-CN"/>
                    </w:rPr>
                    <w:t>中小</w:t>
                  </w:r>
                  <w:r>
                    <w:rPr>
                      <w:rFonts w:hint="eastAsia" w:ascii="仿宋_GB2312" w:hAnsi="宋体" w:eastAsia="仿宋_GB2312"/>
                      <w:b/>
                      <w:bCs w:val="0"/>
                      <w:color w:val="auto"/>
                      <w:sz w:val="24"/>
                      <w:szCs w:val="24"/>
                      <w:highlight w:val="none"/>
                    </w:rPr>
                    <w:t>企业，并在投标文件中载明分包承担主体，分包供应商不得再次分包。</w:t>
                  </w:r>
                </w:p>
                <w:p>
                  <w:pPr>
                    <w:spacing w:line="420" w:lineRule="exact"/>
                    <w:ind w:firstLine="482" w:firstLineChars="200"/>
                    <w:jc w:val="left"/>
                    <w:rPr>
                      <w:rFonts w:hint="eastAsia" w:ascii="仿宋_GB2312" w:hAnsi="宋体" w:eastAsia="仿宋_GB2312" w:cs="Times New Roman"/>
                      <w:b/>
                      <w:bCs w:val="0"/>
                      <w:color w:val="auto"/>
                      <w:sz w:val="24"/>
                      <w:highlight w:val="none"/>
                      <w:lang w:val="en-US" w:eastAsia="zh-CN"/>
                    </w:rPr>
                  </w:pPr>
                  <w:r>
                    <w:rPr>
                      <w:rFonts w:hint="eastAsia" w:ascii="仿宋_GB2312" w:hAnsi="仿宋_GB2312" w:eastAsia="仿宋_GB2312" w:cs="仿宋_GB2312"/>
                      <w:b/>
                      <w:bCs/>
                      <w:color w:val="auto"/>
                      <w:sz w:val="24"/>
                      <w:highlight w:val="none"/>
                      <w:lang w:eastAsia="zh-CN"/>
                    </w:rPr>
                    <w:t>（</w:t>
                  </w:r>
                  <w:r>
                    <w:rPr>
                      <w:rFonts w:hint="eastAsia" w:ascii="仿宋_GB2312" w:hAnsi="仿宋_GB2312" w:eastAsia="仿宋_GB2312" w:cs="仿宋_GB2312"/>
                      <w:b/>
                      <w:bCs/>
                      <w:color w:val="auto"/>
                      <w:sz w:val="24"/>
                      <w:highlight w:val="none"/>
                      <w:lang w:val="en-US" w:eastAsia="zh-CN"/>
                    </w:rPr>
                    <w:t>2）接受分包合同的中小企业与投标人（中标后即中标人）之间不得存在直接控股</w:t>
                  </w:r>
                  <w:r>
                    <w:rPr>
                      <w:rFonts w:hint="eastAsia" w:ascii="仿宋_GB2312" w:hAnsi="宋体" w:eastAsia="仿宋_GB2312" w:cs="Times New Roman"/>
                      <w:b/>
                      <w:bCs w:val="0"/>
                      <w:color w:val="auto"/>
                      <w:sz w:val="24"/>
                      <w:highlight w:val="none"/>
                      <w:lang w:val="en-US" w:eastAsia="zh-CN"/>
                    </w:rPr>
                    <w:t>、管理关系。享受扶持政策获得政府采购合同的，小微企业不得将合同分包给大中型企业，中型企业不得将合同分包给大型企业（详见第三章 投标人须知“7.2本项目分包情形”）。</w:t>
                  </w:r>
                </w:p>
                <w:p>
                  <w:pPr>
                    <w:spacing w:line="420" w:lineRule="exact"/>
                    <w:ind w:firstLine="482" w:firstLineChars="200"/>
                    <w:jc w:val="left"/>
                    <w:rPr>
                      <w:rFonts w:hint="eastAsia" w:ascii="仿宋_GB2312" w:hAnsi="宋体" w:eastAsia="仿宋_GB2312" w:cs="Times New Roman"/>
                      <w:b/>
                      <w:bCs w:val="0"/>
                      <w:color w:val="auto"/>
                      <w:sz w:val="24"/>
                      <w:highlight w:val="none"/>
                      <w:lang w:eastAsia="zh-CN"/>
                    </w:rPr>
                  </w:pPr>
                  <w:r>
                    <w:rPr>
                      <w:rFonts w:hint="eastAsia" w:ascii="仿宋_GB2312" w:hAnsi="宋体" w:eastAsia="仿宋_GB2312" w:cs="Times New Roman"/>
                      <w:b/>
                      <w:bCs w:val="0"/>
                      <w:color w:val="auto"/>
                      <w:sz w:val="24"/>
                      <w:highlight w:val="none"/>
                      <w:lang w:val="en-US" w:eastAsia="zh-CN"/>
                    </w:rPr>
                    <w:t>2</w:t>
                  </w:r>
                  <w:r>
                    <w:rPr>
                      <w:rFonts w:hint="eastAsia" w:ascii="仿宋_GB2312" w:hAnsi="宋体" w:eastAsia="仿宋_GB2312" w:cs="Times New Roman"/>
                      <w:b/>
                      <w:bCs w:val="0"/>
                      <w:color w:val="auto"/>
                      <w:sz w:val="24"/>
                      <w:highlight w:val="none"/>
                    </w:rPr>
                    <w:t>.</w:t>
                  </w:r>
                  <w:r>
                    <w:rPr>
                      <w:rFonts w:hint="eastAsia" w:ascii="仿宋_GB2312" w:hAnsi="宋体" w:eastAsia="仿宋_GB2312"/>
                      <w:b/>
                      <w:color w:val="auto"/>
                      <w:sz w:val="24"/>
                      <w:szCs w:val="24"/>
                      <w:highlight w:val="none"/>
                    </w:rPr>
                    <w:t>分包有关管理要求</w:t>
                  </w:r>
                </w:p>
                <w:p>
                  <w:pPr>
                    <w:spacing w:line="420" w:lineRule="exact"/>
                    <w:ind w:firstLine="482" w:firstLineChars="200"/>
                    <w:jc w:val="left"/>
                    <w:rPr>
                      <w:rFonts w:ascii="仿宋_GB2312" w:hAnsi="仿宋_GB2312" w:eastAsia="仿宋_GB2312" w:cs="仿宋_GB2312"/>
                      <w:b/>
                      <w:bCs/>
                      <w:color w:val="auto"/>
                      <w:sz w:val="24"/>
                      <w:highlight w:val="none"/>
                    </w:rPr>
                  </w:pPr>
                  <w:r>
                    <w:rPr>
                      <w:rFonts w:hint="eastAsia" w:ascii="仿宋_GB2312" w:hAnsi="宋体" w:eastAsia="仿宋_GB2312" w:cs="Times New Roman"/>
                      <w:b/>
                      <w:bCs w:val="0"/>
                      <w:color w:val="auto"/>
                      <w:sz w:val="24"/>
                      <w:highlight w:val="none"/>
                    </w:rPr>
                    <w:t>（1）政府采购合同分包履行的，</w:t>
                  </w:r>
                  <w:r>
                    <w:rPr>
                      <w:rFonts w:hint="eastAsia" w:ascii="仿宋_GB2312" w:hAnsi="仿宋_GB2312" w:eastAsia="仿宋_GB2312" w:cs="仿宋_GB2312"/>
                      <w:b/>
                      <w:bCs/>
                      <w:color w:val="auto"/>
                      <w:sz w:val="24"/>
                      <w:highlight w:val="none"/>
                    </w:rPr>
                    <w:t>中标人就采购项目和分包项目向采购人负责，分包供应商就分包项目承担责任；分包意向协议作为采购合同的组成部分；</w:t>
                  </w:r>
                </w:p>
                <w:p>
                  <w:pPr>
                    <w:spacing w:line="420" w:lineRule="exact"/>
                    <w:ind w:firstLine="482" w:firstLineChars="200"/>
                    <w:jc w:val="left"/>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rPr>
                    <w:t>（2）中标人应当对分包供应商的工作进行必要的协调与管理，确保分包供应商严格执行国家有关分包事项的管理规定、招标文件和投标文件响应内容</w:t>
                  </w:r>
                  <w:r>
                    <w:rPr>
                      <w:rFonts w:hint="eastAsia" w:ascii="仿宋_GB2312" w:hAnsi="仿宋_GB2312" w:eastAsia="仿宋_GB2312" w:cs="仿宋_GB2312"/>
                      <w:b/>
                      <w:bCs/>
                      <w:color w:val="auto"/>
                      <w:sz w:val="24"/>
                      <w:highlight w:val="none"/>
                      <w:lang w:val="en-US" w:eastAsia="zh-CN"/>
                    </w:rPr>
                    <w:t>和采购合同</w:t>
                  </w:r>
                  <w:r>
                    <w:rPr>
                      <w:rFonts w:hint="eastAsia" w:ascii="仿宋_GB2312" w:hAnsi="仿宋_GB2312" w:eastAsia="仿宋_GB2312" w:cs="仿宋_GB2312"/>
                      <w:b/>
                      <w:bCs/>
                      <w:color w:val="auto"/>
                      <w:sz w:val="24"/>
                      <w:highlight w:val="none"/>
                    </w:rPr>
                    <w:t>执行。</w:t>
                  </w:r>
                </w:p>
                <w:p>
                  <w:pPr>
                    <w:spacing w:line="420" w:lineRule="exact"/>
                    <w:ind w:firstLine="482" w:firstLineChars="200"/>
                    <w:jc w:val="left"/>
                    <w:rPr>
                      <w:rFonts w:hint="default" w:ascii="仿宋_GB2312" w:hAnsi="仿宋_GB2312" w:eastAsia="仿宋_GB2312" w:cs="仿宋_GB2312"/>
                      <w:b/>
                      <w:bCs/>
                      <w:color w:val="auto"/>
                      <w:sz w:val="24"/>
                      <w:highlight w:val="none"/>
                      <w:lang w:val="en-US"/>
                    </w:rPr>
                  </w:pPr>
                  <w:r>
                    <w:rPr>
                      <w:rFonts w:hint="eastAsia" w:ascii="仿宋_GB2312" w:hAnsi="仿宋_GB2312" w:eastAsia="仿宋_GB2312" w:cs="仿宋_GB2312"/>
                      <w:b/>
                      <w:bCs/>
                      <w:color w:val="auto"/>
                      <w:sz w:val="24"/>
                      <w:highlight w:val="none"/>
                    </w:rPr>
                    <w:t>（3）相关法律规章制度的其他要求。</w:t>
                  </w:r>
                </w:p>
                <w:p>
                  <w:pPr>
                    <w:spacing w:line="420" w:lineRule="exact"/>
                    <w:ind w:firstLine="482" w:firstLineChars="200"/>
                    <w:jc w:val="left"/>
                    <w:rPr>
                      <w:color w:val="auto"/>
                      <w:highlight w:val="none"/>
                    </w:rPr>
                  </w:pPr>
                  <w:r>
                    <w:rPr>
                      <w:rFonts w:hint="eastAsia" w:ascii="仿宋_GB2312" w:hAnsi="仿宋_GB2312" w:eastAsia="仿宋_GB2312" w:cs="仿宋_GB2312"/>
                      <w:b/>
                      <w:bCs/>
                      <w:color w:val="auto"/>
                      <w:sz w:val="24"/>
                      <w:highlight w:val="none"/>
                      <w:lang w:val="en-US" w:eastAsia="zh-CN"/>
                    </w:rPr>
                    <w:t>3</w:t>
                  </w:r>
                  <w:r>
                    <w:rPr>
                      <w:rFonts w:hint="eastAsia" w:ascii="仿宋_GB2312" w:hAnsi="仿宋_GB2312" w:eastAsia="仿宋_GB2312" w:cs="仿宋_GB2312"/>
                      <w:b/>
                      <w:bCs/>
                      <w:color w:val="auto"/>
                      <w:sz w:val="24"/>
                      <w:highlight w:val="none"/>
                    </w:rPr>
                    <w:t>.投标人如为大型企业的，本项目的经理、</w:t>
                  </w:r>
                  <w:r>
                    <w:rPr>
                      <w:rFonts w:hint="eastAsia" w:ascii="仿宋_GB2312" w:hAnsi="仿宋_GB2312" w:eastAsia="仿宋_GB2312" w:cs="仿宋_GB2312"/>
                      <w:b/>
                      <w:bCs/>
                      <w:color w:val="auto"/>
                      <w:sz w:val="24"/>
                      <w:highlight w:val="none"/>
                      <w:lang w:val="en-US" w:eastAsia="zh-CN"/>
                    </w:rPr>
                    <w:t>经理助理、宿管</w:t>
                  </w:r>
                  <w:r>
                    <w:rPr>
                      <w:rFonts w:hint="eastAsia" w:ascii="仿宋_GB2312" w:hAnsi="仿宋_GB2312" w:eastAsia="仿宋_GB2312" w:cs="仿宋_GB2312"/>
                      <w:b/>
                      <w:bCs/>
                      <w:color w:val="auto"/>
                      <w:sz w:val="24"/>
                      <w:highlight w:val="none"/>
                    </w:rPr>
                    <w:t>主管</w:t>
                  </w:r>
                  <w:r>
                    <w:rPr>
                      <w:rFonts w:hint="eastAsia" w:ascii="仿宋_GB2312" w:hAnsi="仿宋_GB2312" w:eastAsia="仿宋_GB2312" w:cs="仿宋_GB2312"/>
                      <w:b/>
                      <w:bCs/>
                      <w:color w:val="auto"/>
                      <w:sz w:val="24"/>
                      <w:highlight w:val="none"/>
                      <w:lang w:eastAsia="zh-CN"/>
                    </w:rPr>
                    <w:t>、</w:t>
                  </w:r>
                  <w:r>
                    <w:rPr>
                      <w:rFonts w:hint="eastAsia" w:ascii="仿宋_GB2312" w:hAnsi="仿宋_GB2312" w:eastAsia="仿宋_GB2312" w:cs="仿宋_GB2312"/>
                      <w:b/>
                      <w:bCs/>
                      <w:color w:val="auto"/>
                      <w:sz w:val="24"/>
                      <w:highlight w:val="none"/>
                      <w:lang w:val="en-US" w:eastAsia="zh-CN"/>
                    </w:rPr>
                    <w:t>秩序维护主管</w:t>
                  </w:r>
                  <w:r>
                    <w:rPr>
                      <w:rFonts w:hint="eastAsia" w:ascii="仿宋_GB2312" w:hAnsi="仿宋_GB2312" w:eastAsia="仿宋_GB2312" w:cs="仿宋_GB2312"/>
                      <w:b/>
                      <w:bCs/>
                      <w:color w:val="auto"/>
                      <w:sz w:val="24"/>
                      <w:highlight w:val="none"/>
                      <w:lang w:eastAsia="zh-CN"/>
                    </w:rPr>
                    <w:t>、宿管员、秩序维护人员</w:t>
                  </w:r>
                  <w:r>
                    <w:rPr>
                      <w:rFonts w:hint="eastAsia" w:ascii="仿宋_GB2312" w:hAnsi="仿宋_GB2312" w:eastAsia="仿宋_GB2312" w:cs="仿宋_GB2312"/>
                      <w:b/>
                      <w:bCs/>
                      <w:color w:val="auto"/>
                      <w:sz w:val="24"/>
                      <w:highlight w:val="none"/>
                      <w:lang w:val="en-US" w:eastAsia="zh-CN"/>
                    </w:rPr>
                    <w:t>岗位不可分包，其余岗位及服务内容均可分包</w:t>
                  </w:r>
                  <w:r>
                    <w:rPr>
                      <w:rFonts w:hint="eastAsia" w:ascii="仿宋_GB2312" w:hAnsi="仿宋_GB2312" w:eastAsia="仿宋_GB2312" w:cs="仿宋_GB2312"/>
                      <w:b/>
                      <w:bCs/>
                      <w:color w:val="auto"/>
                      <w:sz w:val="24"/>
                      <w:highlight w:val="none"/>
                    </w:rPr>
                    <w:t>，分包</w:t>
                  </w:r>
                  <w:r>
                    <w:rPr>
                      <w:rFonts w:hint="eastAsia" w:ascii="仿宋_GB2312" w:hAnsi="仿宋_GB2312" w:eastAsia="仿宋_GB2312" w:cs="仿宋_GB2312"/>
                      <w:b/>
                      <w:bCs/>
                      <w:color w:val="auto"/>
                      <w:sz w:val="24"/>
                      <w:highlight w:val="none"/>
                      <w:lang w:val="en-US" w:eastAsia="zh-CN"/>
                    </w:rPr>
                    <w:t>供应商</w:t>
                  </w:r>
                  <w:r>
                    <w:rPr>
                      <w:rFonts w:hint="eastAsia" w:ascii="仿宋_GB2312" w:hAnsi="仿宋_GB2312" w:eastAsia="仿宋_GB2312" w:cs="仿宋_GB2312"/>
                      <w:b/>
                      <w:bCs/>
                      <w:color w:val="auto"/>
                      <w:sz w:val="24"/>
                      <w:highlight w:val="none"/>
                    </w:rPr>
                    <w:t>需按本采购需求配置服务人员、提供专用工具物品、提供配套服务并遵守采购人对本项目的相关要求</w:t>
                  </w:r>
                  <w:r>
                    <w:rPr>
                      <w:rFonts w:hint="eastAsia" w:ascii="仿宋_GB2312" w:hAnsi="仿宋_GB2312" w:eastAsia="仿宋_GB2312" w:cs="仿宋_GB2312"/>
                      <w:b/>
                      <w:bCs/>
                      <w:color w:val="auto"/>
                      <w:sz w:val="24"/>
                      <w:highlight w:val="none"/>
                      <w:lang w:eastAsia="zh-CN"/>
                    </w:rPr>
                    <w:t>。</w:t>
                  </w:r>
                </w:p>
                <w:p>
                  <w:pPr>
                    <w:spacing w:line="420" w:lineRule="exact"/>
                    <w:ind w:firstLine="482" w:firstLineChars="200"/>
                    <w:jc w:val="left"/>
                    <w:rPr>
                      <w:rFonts w:hint="eastAsia" w:ascii="仿宋_GB2312" w:hAnsi="Calibri" w:eastAsia="仿宋_GB2312"/>
                      <w:color w:val="auto"/>
                      <w:sz w:val="24"/>
                      <w:highlight w:val="none"/>
                      <w:vertAlign w:val="baseline"/>
                      <w:lang w:val="en-US" w:eastAsia="zh-CN"/>
                    </w:rPr>
                  </w:pPr>
                  <w:r>
                    <w:rPr>
                      <w:rFonts w:hint="eastAsia" w:ascii="仿宋_GB2312" w:hAnsi="Calibri" w:eastAsia="仿宋_GB2312"/>
                      <w:b/>
                      <w:bCs/>
                      <w:color w:val="auto"/>
                      <w:sz w:val="24"/>
                      <w:highlight w:val="none"/>
                    </w:rPr>
                    <w:t>4.中标人如为大型企业的，在合同签订后5个工作日内完成分包协议的签订，并交给采购人备案。</w:t>
                  </w:r>
                </w:p>
              </w:tc>
            </w:tr>
          </w:tbl>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eastAsia="zh-CN"/>
              </w:rPr>
              <w:t>（二）</w:t>
            </w:r>
            <w:r>
              <w:rPr>
                <w:rFonts w:hint="eastAsia" w:ascii="仿宋_GB2312" w:hAnsi="Calibri" w:eastAsia="仿宋_GB2312"/>
                <w:color w:val="auto"/>
                <w:sz w:val="24"/>
                <w:highlight w:val="none"/>
              </w:rPr>
              <w:t>物业服务中心人员</w:t>
            </w:r>
            <w:r>
              <w:rPr>
                <w:rFonts w:hint="eastAsia" w:ascii="仿宋_GB2312" w:hAnsi="Calibri" w:eastAsia="仿宋_GB2312"/>
                <w:color w:val="auto"/>
                <w:sz w:val="24"/>
                <w:highlight w:val="none"/>
                <w:lang w:eastAsia="zh-CN"/>
              </w:rPr>
              <w:t>职责要求</w:t>
            </w:r>
          </w:p>
          <w:tbl>
            <w:tblPr>
              <w:tblStyle w:val="48"/>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2593"/>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黑体"/>
                      <w:color w:val="auto"/>
                      <w:sz w:val="24"/>
                      <w:highlight w:val="none"/>
                    </w:rPr>
                  </w:pPr>
                  <w:r>
                    <w:rPr>
                      <w:rFonts w:hint="eastAsia" w:ascii="仿宋_GB2312" w:hAnsi="黑体" w:eastAsia="仿宋_GB2312" w:cs="黑体"/>
                      <w:color w:val="auto"/>
                      <w:sz w:val="24"/>
                      <w:highlight w:val="none"/>
                    </w:rPr>
                    <w:t>岗位名称</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黑体"/>
                      <w:color w:val="auto"/>
                      <w:sz w:val="24"/>
                      <w:highlight w:val="none"/>
                    </w:rPr>
                  </w:pPr>
                  <w:r>
                    <w:rPr>
                      <w:rFonts w:hint="eastAsia" w:ascii="仿宋_GB2312" w:hAnsi="黑体" w:eastAsia="仿宋_GB2312" w:cs="黑体"/>
                      <w:color w:val="auto"/>
                      <w:sz w:val="24"/>
                      <w:highlight w:val="none"/>
                    </w:rPr>
                    <w:t>人员要求</w:t>
                  </w:r>
                </w:p>
              </w:tc>
              <w:tc>
                <w:tcPr>
                  <w:tcW w:w="41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黑体"/>
                      <w:color w:val="auto"/>
                      <w:sz w:val="24"/>
                      <w:highlight w:val="none"/>
                    </w:rPr>
                  </w:pPr>
                  <w:r>
                    <w:rPr>
                      <w:rFonts w:hint="eastAsia" w:ascii="仿宋_GB2312" w:hAnsi="黑体" w:eastAsia="仿宋_GB2312" w:cs="黑体"/>
                      <w:color w:val="auto"/>
                      <w:sz w:val="24"/>
                      <w:highlight w:val="none"/>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9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jc w:val="center"/>
                    <w:rPr>
                      <w:rFonts w:ascii="仿宋_GB2312" w:eastAsia="仿宋_GB2312"/>
                      <w:color w:val="auto"/>
                      <w:sz w:val="24"/>
                      <w:highlight w:val="none"/>
                    </w:rPr>
                  </w:pPr>
                  <w:r>
                    <w:rPr>
                      <w:rFonts w:hint="eastAsia" w:ascii="仿宋_GB2312" w:eastAsia="仿宋_GB2312"/>
                      <w:b/>
                      <w:bCs/>
                      <w:color w:val="auto"/>
                      <w:sz w:val="24"/>
                      <w:highlight w:val="none"/>
                    </w:rPr>
                    <w:t>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4"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中心主任（项目经理）</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1.非</w:t>
                  </w:r>
                  <w:r>
                    <w:rPr>
                      <w:rFonts w:hint="eastAsia" w:ascii="仿宋_GB2312" w:eastAsia="仿宋_GB2312"/>
                      <w:color w:val="auto"/>
                      <w:sz w:val="24"/>
                      <w:highlight w:val="none"/>
                      <w:lang w:eastAsia="zh-CN"/>
                    </w:rPr>
                    <w:t>全日制</w:t>
                  </w:r>
                  <w:r>
                    <w:rPr>
                      <w:rFonts w:hint="eastAsia" w:ascii="仿宋_GB2312" w:eastAsia="仿宋_GB2312"/>
                      <w:color w:val="auto"/>
                      <w:sz w:val="24"/>
                      <w:highlight w:val="none"/>
                    </w:rPr>
                    <w:t>本科以上学历</w:t>
                  </w:r>
                  <w:r>
                    <w:rPr>
                      <w:rFonts w:hint="eastAsia" w:ascii="仿宋_GB2312" w:eastAsia="仿宋_GB2312"/>
                      <w:color w:val="auto"/>
                      <w:sz w:val="24"/>
                      <w:highlight w:val="none"/>
                      <w:lang w:eastAsia="zh-CN"/>
                    </w:rPr>
                    <w:t>；</w:t>
                  </w:r>
                </w:p>
                <w:p>
                  <w:pPr>
                    <w:numPr>
                      <w:ilvl w:val="0"/>
                      <w:numId w:val="0"/>
                    </w:numPr>
                    <w:spacing w:line="360" w:lineRule="auto"/>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2.50</w:t>
                  </w:r>
                  <w:r>
                    <w:rPr>
                      <w:rFonts w:hint="eastAsia" w:ascii="仿宋_GB2312" w:eastAsia="仿宋_GB2312"/>
                      <w:color w:val="auto"/>
                      <w:sz w:val="24"/>
                      <w:highlight w:val="none"/>
                    </w:rPr>
                    <w:t>周岁以下；</w:t>
                  </w:r>
                </w:p>
                <w:p>
                  <w:pPr>
                    <w:numPr>
                      <w:ilvl w:val="0"/>
                      <w:numId w:val="0"/>
                    </w:numPr>
                    <w:spacing w:line="360" w:lineRule="auto"/>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具有五年以上类似项目经理工作经验</w:t>
                  </w:r>
                  <w:r>
                    <w:rPr>
                      <w:rFonts w:hint="eastAsia" w:ascii="仿宋_GB2312" w:eastAsia="仿宋_GB2312"/>
                      <w:color w:val="auto"/>
                      <w:sz w:val="24"/>
                      <w:highlight w:val="none"/>
                      <w:lang w:eastAsia="zh-CN"/>
                    </w:rPr>
                    <w:t>，具备良好的的组织、协调和沟通能力</w:t>
                  </w:r>
                  <w:r>
                    <w:rPr>
                      <w:rFonts w:hint="eastAsia" w:ascii="仿宋_GB2312" w:eastAsia="仿宋_GB2312"/>
                      <w:color w:val="auto"/>
                      <w:sz w:val="24"/>
                      <w:highlight w:val="none"/>
                    </w:rPr>
                    <w:t>。</w:t>
                  </w:r>
                </w:p>
                <w:p>
                  <w:pPr>
                    <w:numPr>
                      <w:ilvl w:val="0"/>
                      <w:numId w:val="0"/>
                    </w:numPr>
                    <w:spacing w:line="360" w:lineRule="auto"/>
                    <w:rPr>
                      <w:rFonts w:ascii="仿宋_GB2312" w:eastAsia="仿宋_GB2312"/>
                      <w:color w:val="auto"/>
                      <w:sz w:val="24"/>
                      <w:highlight w:val="none"/>
                    </w:rPr>
                  </w:pP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校方可提出更换项目经理的要求，但中标人未经校方批准，不得随意更换项目经理，否则校方有权单方面解除合同。</w:t>
                  </w:r>
                </w:p>
              </w:tc>
              <w:tc>
                <w:tcPr>
                  <w:tcW w:w="41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left"/>
                    <w:rPr>
                      <w:rFonts w:hint="eastAsia" w:ascii="仿宋_GB2312" w:hAnsi="Times New Roman" w:eastAsia="仿宋_GB2312" w:cs="Times New Roman"/>
                      <w:color w:val="auto"/>
                      <w:sz w:val="24"/>
                      <w:highlight w:val="none"/>
                      <w:lang w:eastAsia="zh-CN"/>
                    </w:rPr>
                  </w:pPr>
                  <w:r>
                    <w:rPr>
                      <w:rFonts w:hint="eastAsia" w:ascii="仿宋_GB2312" w:hAnsi="Times New Roman" w:eastAsia="仿宋_GB2312" w:cs="Times New Roman"/>
                      <w:color w:val="auto"/>
                      <w:sz w:val="24"/>
                      <w:highlight w:val="none"/>
                      <w:lang w:val="en-US" w:eastAsia="zh-CN"/>
                    </w:rPr>
                    <w:t>1.</w:t>
                  </w:r>
                  <w:r>
                    <w:rPr>
                      <w:rFonts w:hint="eastAsia" w:ascii="仿宋_GB2312" w:hAnsi="Times New Roman" w:eastAsia="仿宋_GB2312" w:cs="Times New Roman"/>
                      <w:color w:val="auto"/>
                      <w:sz w:val="24"/>
                      <w:highlight w:val="none"/>
                    </w:rPr>
                    <w:t>负责</w:t>
                  </w:r>
                  <w:r>
                    <w:rPr>
                      <w:rFonts w:hint="eastAsia" w:ascii="仿宋_GB2312" w:hAnsi="仿宋_GB2312" w:eastAsia="仿宋_GB2312" w:cs="仿宋_GB2312"/>
                      <w:color w:val="auto"/>
                      <w:sz w:val="24"/>
                      <w:highlight w:val="none"/>
                      <w:lang w:eastAsia="zh-CN"/>
                    </w:rPr>
                    <w:t>制订</w:t>
                  </w:r>
                  <w:r>
                    <w:rPr>
                      <w:rFonts w:hint="eastAsia" w:ascii="仿宋_GB2312" w:hAnsi="Times New Roman" w:eastAsia="仿宋_GB2312" w:cs="Times New Roman"/>
                      <w:color w:val="auto"/>
                      <w:sz w:val="24"/>
                      <w:highlight w:val="none"/>
                    </w:rPr>
                    <w:t>落实本项目的管理目标</w:t>
                  </w:r>
                  <w:r>
                    <w:rPr>
                      <w:rFonts w:hint="eastAsia" w:ascii="仿宋_GB2312" w:hAnsi="Times New Roman" w:eastAsia="仿宋_GB2312" w:cs="Times New Roman"/>
                      <w:color w:val="auto"/>
                      <w:sz w:val="24"/>
                      <w:highlight w:val="none"/>
                      <w:lang w:eastAsia="zh-CN"/>
                    </w:rPr>
                    <w:t>和</w:t>
                  </w:r>
                  <w:r>
                    <w:rPr>
                      <w:rFonts w:hint="eastAsia" w:ascii="仿宋_GB2312" w:hAnsi="Times New Roman" w:eastAsia="仿宋_GB2312" w:cs="Times New Roman"/>
                      <w:color w:val="auto"/>
                      <w:kern w:val="2"/>
                      <w:sz w:val="24"/>
                      <w:szCs w:val="24"/>
                      <w:highlight w:val="none"/>
                      <w:lang w:val="en-US" w:eastAsia="zh-CN" w:bidi="ar-SA"/>
                    </w:rPr>
                    <w:t>质量管理体系</w:t>
                  </w:r>
                  <w:r>
                    <w:rPr>
                      <w:rFonts w:hint="eastAsia" w:ascii="仿宋_GB2312" w:hAnsi="Times New Roman" w:eastAsia="仿宋_GB2312" w:cs="Times New Roman"/>
                      <w:color w:val="auto"/>
                      <w:sz w:val="24"/>
                      <w:highlight w:val="none"/>
                      <w:lang w:eastAsia="zh-CN"/>
                    </w:rPr>
                    <w:t>；</w:t>
                  </w:r>
                </w:p>
                <w:p>
                  <w:pPr>
                    <w:spacing w:line="360" w:lineRule="auto"/>
                    <w:ind w:firstLine="240" w:firstLineChars="100"/>
                    <w:jc w:val="left"/>
                    <w:rPr>
                      <w:rFonts w:hint="eastAsia" w:ascii="仿宋_GB2312" w:eastAsia="仿宋_GB2312"/>
                      <w:color w:val="auto"/>
                      <w:sz w:val="24"/>
                      <w:highlight w:val="none"/>
                      <w:lang w:eastAsia="zh-CN"/>
                    </w:rPr>
                  </w:pPr>
                  <w:r>
                    <w:rPr>
                      <w:rFonts w:hint="eastAsia" w:ascii="仿宋_GB2312" w:hAnsi="Times New Roman" w:eastAsia="仿宋_GB2312" w:cs="Times New Roman"/>
                      <w:color w:val="auto"/>
                      <w:sz w:val="24"/>
                      <w:highlight w:val="none"/>
                      <w:lang w:val="en-US" w:eastAsia="zh-CN"/>
                    </w:rPr>
                    <w:t>2.</w:t>
                  </w:r>
                  <w:r>
                    <w:rPr>
                      <w:rFonts w:hint="eastAsia" w:ascii="仿宋_GB2312" w:hAnsi="Times New Roman" w:eastAsia="仿宋_GB2312" w:cs="Times New Roman"/>
                      <w:color w:val="auto"/>
                      <w:sz w:val="24"/>
                      <w:highlight w:val="none"/>
                    </w:rPr>
                    <w:t>全面负责</w:t>
                  </w:r>
                  <w:r>
                    <w:rPr>
                      <w:rFonts w:hint="eastAsia" w:ascii="仿宋_GB2312" w:hAnsi="Times New Roman" w:eastAsia="仿宋_GB2312" w:cs="Times New Roman"/>
                      <w:color w:val="auto"/>
                      <w:sz w:val="24"/>
                      <w:highlight w:val="none"/>
                      <w:lang w:eastAsia="zh-CN"/>
                    </w:rPr>
                    <w:t>本</w:t>
                  </w:r>
                  <w:r>
                    <w:rPr>
                      <w:rFonts w:hint="eastAsia" w:ascii="仿宋_GB2312" w:hAnsi="Times New Roman" w:eastAsia="仿宋_GB2312" w:cs="Times New Roman"/>
                      <w:color w:val="auto"/>
                      <w:sz w:val="24"/>
                      <w:highlight w:val="none"/>
                    </w:rPr>
                    <w:t>项目</w:t>
                  </w:r>
                  <w:r>
                    <w:rPr>
                      <w:rFonts w:hint="eastAsia" w:ascii="仿宋_GB2312" w:hAnsi="Times New Roman" w:eastAsia="仿宋_GB2312" w:cs="Times New Roman"/>
                      <w:color w:val="auto"/>
                      <w:sz w:val="24"/>
                      <w:highlight w:val="none"/>
                      <w:lang w:eastAsia="zh-CN"/>
                    </w:rPr>
                    <w:t>的日常</w:t>
                  </w:r>
                  <w:r>
                    <w:rPr>
                      <w:rFonts w:hint="eastAsia" w:ascii="仿宋_GB2312" w:hAnsi="Times New Roman" w:eastAsia="仿宋_GB2312" w:cs="Times New Roman"/>
                      <w:color w:val="auto"/>
                      <w:sz w:val="24"/>
                      <w:highlight w:val="none"/>
                    </w:rPr>
                    <w:t>管理，</w:t>
                  </w:r>
                  <w:r>
                    <w:rPr>
                      <w:rFonts w:hint="eastAsia" w:ascii="仿宋_GB2312" w:hAnsi="仿宋_GB2312" w:eastAsia="仿宋_GB2312" w:cs="仿宋_GB2312"/>
                      <w:color w:val="auto"/>
                      <w:sz w:val="24"/>
                      <w:highlight w:val="none"/>
                      <w:lang w:eastAsia="zh-CN"/>
                    </w:rPr>
                    <w:t>制订</w:t>
                  </w:r>
                  <w:r>
                    <w:rPr>
                      <w:rFonts w:hint="eastAsia" w:ascii="仿宋_GB2312" w:hAnsi="Times New Roman" w:eastAsia="仿宋_GB2312" w:cs="Times New Roman"/>
                      <w:color w:val="auto"/>
                      <w:sz w:val="24"/>
                      <w:highlight w:val="none"/>
                      <w:lang w:eastAsia="zh-CN"/>
                    </w:rPr>
                    <w:t>相关的</w:t>
                  </w:r>
                  <w:r>
                    <w:rPr>
                      <w:rFonts w:hint="eastAsia" w:ascii="仿宋_GB2312" w:eastAsia="仿宋_GB2312"/>
                      <w:color w:val="auto"/>
                      <w:sz w:val="24"/>
                      <w:highlight w:val="none"/>
                    </w:rPr>
                    <w:t>计划</w:t>
                  </w:r>
                  <w:r>
                    <w:rPr>
                      <w:rFonts w:hint="eastAsia" w:ascii="仿宋_GB2312" w:eastAsia="仿宋_GB2312"/>
                      <w:color w:val="auto"/>
                      <w:sz w:val="24"/>
                      <w:highlight w:val="none"/>
                      <w:lang w:eastAsia="zh-CN"/>
                    </w:rPr>
                    <w:t>、制度</w:t>
                  </w:r>
                  <w:r>
                    <w:rPr>
                      <w:rFonts w:hint="eastAsia" w:ascii="仿宋_GB2312" w:eastAsia="仿宋_GB2312"/>
                      <w:color w:val="auto"/>
                      <w:sz w:val="24"/>
                      <w:highlight w:val="none"/>
                    </w:rPr>
                    <w:t>并组织实施</w:t>
                  </w:r>
                  <w:r>
                    <w:rPr>
                      <w:rFonts w:hint="eastAsia" w:ascii="仿宋_GB2312" w:eastAsia="仿宋_GB2312"/>
                      <w:color w:val="auto"/>
                      <w:sz w:val="24"/>
                      <w:highlight w:val="none"/>
                      <w:lang w:eastAsia="zh-CN"/>
                    </w:rPr>
                    <w:t>；</w:t>
                  </w:r>
                </w:p>
                <w:p>
                  <w:pPr>
                    <w:pStyle w:val="2"/>
                    <w:spacing w:line="360" w:lineRule="auto"/>
                    <w:ind w:left="0" w:leftChars="0" w:firstLine="0" w:firstLineChars="0"/>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 xml:space="preserve">  3.负责物业团队的的管理和培训，确保物业人员的工作效率和服务质量；</w:t>
                  </w:r>
                </w:p>
                <w:p>
                  <w:pPr>
                    <w:pStyle w:val="2"/>
                    <w:spacing w:line="360" w:lineRule="auto"/>
                    <w:ind w:left="0" w:leftChars="0" w:firstLine="240" w:firstLineChars="100"/>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4.负责与学校各部门对接相关管理工作；</w:t>
                  </w:r>
                </w:p>
                <w:p>
                  <w:pPr>
                    <w:pStyle w:val="2"/>
                    <w:spacing w:line="360" w:lineRule="auto"/>
                    <w:ind w:left="0" w:leftChars="0" w:firstLine="240" w:firstLineChars="100"/>
                    <w:rPr>
                      <w:rFonts w:hint="eastAsia" w:ascii="仿宋_GB2312" w:hAnsi="Times New Roman" w:eastAsia="仿宋_GB2312"/>
                      <w:color w:val="auto"/>
                      <w:sz w:val="24"/>
                      <w:highlight w:val="none"/>
                    </w:rPr>
                  </w:pPr>
                  <w:r>
                    <w:rPr>
                      <w:rFonts w:hint="default" w:ascii="仿宋_GB2312" w:hAnsi="Times New Roman" w:eastAsia="仿宋_GB2312" w:cs="Times New Roman"/>
                      <w:color w:val="auto"/>
                      <w:kern w:val="2"/>
                      <w:sz w:val="24"/>
                      <w:szCs w:val="24"/>
                      <w:highlight w:val="none"/>
                      <w:lang w:val="en-US" w:eastAsia="zh-CN" w:bidi="ar-SA"/>
                    </w:rPr>
                    <w:t>5</w:t>
                  </w:r>
                  <w:r>
                    <w:rPr>
                      <w:rFonts w:hint="eastAsia" w:ascii="仿宋_GB2312" w:hAnsi="Times New Roman" w:eastAsia="仿宋_GB2312" w:cs="Times New Roman"/>
                      <w:color w:val="auto"/>
                      <w:kern w:val="2"/>
                      <w:sz w:val="24"/>
                      <w:szCs w:val="24"/>
                      <w:highlight w:val="none"/>
                      <w:lang w:val="en-US" w:eastAsia="zh-CN" w:bidi="ar-SA"/>
                    </w:rPr>
                    <w:t>.</w:t>
                  </w:r>
                  <w:r>
                    <w:rPr>
                      <w:rFonts w:hint="default" w:ascii="仿宋_GB2312" w:hAnsi="Times New Roman" w:eastAsia="仿宋_GB2312" w:cs="Times New Roman"/>
                      <w:color w:val="auto"/>
                      <w:kern w:val="2"/>
                      <w:sz w:val="24"/>
                      <w:szCs w:val="24"/>
                      <w:highlight w:val="none"/>
                      <w:lang w:val="en-US" w:eastAsia="zh-CN" w:bidi="ar-SA"/>
                    </w:rPr>
                    <w:t>负责与辖区派出所、消防、社区等部门对接所涉及的工作</w:t>
                  </w:r>
                  <w:r>
                    <w:rPr>
                      <w:rFonts w:hint="eastAsia" w:ascii="仿宋_GB2312" w:hAnsi="Times New Roman" w:eastAsia="仿宋_GB2312" w:cs="Times New Roman"/>
                      <w:color w:val="auto"/>
                      <w:kern w:val="2"/>
                      <w:sz w:val="24"/>
                      <w:szCs w:val="24"/>
                      <w:highlight w:val="none"/>
                      <w:lang w:val="en-US" w:eastAsia="zh-CN" w:bidi="ar-SA"/>
                    </w:rPr>
                    <w:t>；</w:t>
                  </w:r>
                </w:p>
                <w:p>
                  <w:pPr>
                    <w:pStyle w:val="802"/>
                    <w:spacing w:line="360" w:lineRule="auto"/>
                    <w:ind w:firstLine="240" w:firstLineChars="100"/>
                    <w:jc w:val="left"/>
                    <w:rPr>
                      <w:rFonts w:hint="eastAsia" w:ascii="仿宋_GB2312" w:hAnsi="Times New Roman" w:eastAsia="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完成</w:t>
                  </w:r>
                  <w:r>
                    <w:rPr>
                      <w:rFonts w:hint="eastAsia" w:ascii="仿宋_GB2312" w:hAnsi="仿宋_GB2312" w:eastAsia="仿宋_GB2312" w:cs="仿宋_GB2312"/>
                      <w:color w:val="auto"/>
                      <w:sz w:val="24"/>
                      <w:highlight w:val="none"/>
                      <w:lang w:eastAsia="zh-CN"/>
                    </w:rPr>
                    <w:t>学校</w:t>
                  </w:r>
                  <w:r>
                    <w:rPr>
                      <w:rFonts w:hint="eastAsia" w:ascii="仿宋_GB2312" w:hAnsi="仿宋_GB2312" w:eastAsia="仿宋_GB2312" w:cs="仿宋_GB2312"/>
                      <w:color w:val="auto"/>
                      <w:sz w:val="24"/>
                      <w:highlight w:val="none"/>
                    </w:rPr>
                    <w:t>交办的</w:t>
                  </w:r>
                  <w:r>
                    <w:rPr>
                      <w:rFonts w:hint="eastAsia" w:ascii="仿宋_GB2312" w:hAnsi="仿宋_GB2312" w:eastAsia="仿宋_GB2312" w:cs="仿宋_GB2312"/>
                      <w:color w:val="auto"/>
                      <w:sz w:val="24"/>
                      <w:highlight w:val="none"/>
                      <w:lang w:eastAsia="zh-CN"/>
                    </w:rPr>
                    <w:t>其他</w:t>
                  </w:r>
                  <w:r>
                    <w:rPr>
                      <w:rFonts w:hint="eastAsia" w:ascii="仿宋_GB2312" w:hAnsi="仿宋_GB2312" w:eastAsia="仿宋_GB2312" w:cs="仿宋_GB2312"/>
                      <w:color w:val="auto"/>
                      <w:sz w:val="24"/>
                      <w:highlight w:val="none"/>
                    </w:rPr>
                    <w:t>工作</w:t>
                  </w:r>
                  <w:r>
                    <w:rPr>
                      <w:rFonts w:hint="eastAsia" w:ascii="仿宋_GB2312" w:hAnsi="仿宋_GB2312" w:eastAsia="仿宋_GB2312" w:cs="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中心主任助理（项目经理助理）</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1.非全日制</w:t>
                  </w:r>
                  <w:r>
                    <w:rPr>
                      <w:rFonts w:hint="eastAsia" w:ascii="仿宋_GB2312" w:eastAsia="仿宋_GB2312"/>
                      <w:color w:val="auto"/>
                      <w:sz w:val="24"/>
                      <w:highlight w:val="none"/>
                    </w:rPr>
                    <w:t>本科以上学历；</w:t>
                  </w:r>
                </w:p>
                <w:p>
                  <w:pPr>
                    <w:numPr>
                      <w:ilvl w:val="0"/>
                      <w:numId w:val="0"/>
                    </w:num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2.50</w:t>
                  </w:r>
                  <w:r>
                    <w:rPr>
                      <w:rFonts w:hint="eastAsia" w:ascii="仿宋_GB2312" w:eastAsia="仿宋_GB2312"/>
                      <w:color w:val="auto"/>
                      <w:sz w:val="24"/>
                      <w:highlight w:val="none"/>
                    </w:rPr>
                    <w:t>周岁以下；</w:t>
                  </w:r>
                </w:p>
                <w:p>
                  <w:pPr>
                    <w:numPr>
                      <w:ilvl w:val="0"/>
                      <w:numId w:val="0"/>
                    </w:num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lang w:val="en-US" w:eastAsia="zh-CN"/>
                    </w:rPr>
                    <w:t>3.</w:t>
                  </w:r>
                  <w:r>
                    <w:rPr>
                      <w:rFonts w:ascii="仿宋_GB2312" w:eastAsia="仿宋_GB2312"/>
                      <w:color w:val="auto"/>
                      <w:sz w:val="24"/>
                      <w:highlight w:val="none"/>
                    </w:rPr>
                    <w:t>五年以上类似项目物业工作经验</w:t>
                  </w:r>
                  <w:r>
                    <w:rPr>
                      <w:rFonts w:hint="eastAsia" w:ascii="仿宋_GB2312" w:eastAsia="仿宋_GB2312"/>
                      <w:color w:val="auto"/>
                      <w:sz w:val="24"/>
                      <w:highlight w:val="none"/>
                      <w:lang w:eastAsia="zh-CN"/>
                    </w:rPr>
                    <w:t>，具备良好的的组织和沟通能力</w:t>
                  </w:r>
                  <w:r>
                    <w:rPr>
                      <w:rFonts w:hint="eastAsia" w:ascii="仿宋_GB2312" w:eastAsia="仿宋_GB2312"/>
                      <w:color w:val="auto"/>
                      <w:sz w:val="24"/>
                      <w:highlight w:val="none"/>
                    </w:rPr>
                    <w:t>。</w:t>
                  </w:r>
                </w:p>
              </w:tc>
              <w:tc>
                <w:tcPr>
                  <w:tcW w:w="4198"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ind w:firstLine="240" w:firstLineChars="1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协助项目经理开展</w:t>
                  </w:r>
                  <w:r>
                    <w:rPr>
                      <w:rFonts w:hint="eastAsia" w:ascii="仿宋_GB2312" w:hAnsi="仿宋_GB2312" w:eastAsia="仿宋_GB2312" w:cs="仿宋_GB2312"/>
                      <w:color w:val="auto"/>
                      <w:sz w:val="24"/>
                      <w:highlight w:val="none"/>
                      <w:lang w:eastAsia="zh-CN"/>
                    </w:rPr>
                    <w:t>本项目的</w:t>
                  </w:r>
                  <w:r>
                    <w:rPr>
                      <w:rFonts w:hint="eastAsia" w:ascii="仿宋_GB2312" w:hAnsi="仿宋_GB2312" w:eastAsia="仿宋_GB2312" w:cs="仿宋_GB2312"/>
                      <w:color w:val="auto"/>
                      <w:sz w:val="24"/>
                      <w:highlight w:val="none"/>
                    </w:rPr>
                    <w:t>各项管理工作</w:t>
                  </w:r>
                  <w:r>
                    <w:rPr>
                      <w:rFonts w:hint="eastAsia" w:ascii="仿宋_GB2312" w:hAnsi="仿宋_GB2312" w:eastAsia="仿宋_GB2312" w:cs="仿宋_GB2312"/>
                      <w:color w:val="auto"/>
                      <w:sz w:val="24"/>
                      <w:highlight w:val="none"/>
                      <w:lang w:eastAsia="zh-CN"/>
                    </w:rPr>
                    <w:t>；</w:t>
                  </w:r>
                </w:p>
                <w:p>
                  <w:pPr>
                    <w:numPr>
                      <w:ilvl w:val="0"/>
                      <w:numId w:val="0"/>
                    </w:numPr>
                    <w:spacing w:line="360" w:lineRule="auto"/>
                    <w:ind w:firstLine="240" w:firstLineChars="1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负责</w:t>
                  </w:r>
                  <w:r>
                    <w:rPr>
                      <w:rFonts w:hint="eastAsia" w:ascii="仿宋_GB2312" w:hAnsi="仿宋_GB2312" w:eastAsia="仿宋_GB2312" w:cs="仿宋_GB2312"/>
                      <w:color w:val="auto"/>
                      <w:sz w:val="24"/>
                      <w:highlight w:val="none"/>
                    </w:rPr>
                    <w:t>落实具体</w:t>
                  </w:r>
                  <w:r>
                    <w:rPr>
                      <w:rFonts w:hint="eastAsia" w:ascii="仿宋_GB2312" w:hAnsi="仿宋_GB2312" w:eastAsia="仿宋_GB2312" w:cs="仿宋_GB2312"/>
                      <w:color w:val="auto"/>
                      <w:sz w:val="24"/>
                      <w:highlight w:val="none"/>
                      <w:lang w:eastAsia="zh-CN"/>
                    </w:rPr>
                    <w:t>的</w:t>
                  </w:r>
                  <w:r>
                    <w:rPr>
                      <w:rFonts w:hint="eastAsia" w:ascii="仿宋_GB2312" w:hAnsi="仿宋_GB2312" w:eastAsia="仿宋_GB2312" w:cs="仿宋_GB2312"/>
                      <w:color w:val="auto"/>
                      <w:sz w:val="24"/>
                      <w:highlight w:val="none"/>
                    </w:rPr>
                    <w:t>工作目标</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en-US" w:eastAsia="zh-CN"/>
                    </w:rPr>
                    <w:t>现场安全品质体系建设，</w:t>
                  </w:r>
                  <w:r>
                    <w:rPr>
                      <w:rFonts w:hint="eastAsia" w:ascii="仿宋_GB2312" w:hAnsi="仿宋_GB2312" w:eastAsia="仿宋_GB2312" w:cs="仿宋_GB2312"/>
                      <w:color w:val="auto"/>
                      <w:sz w:val="24"/>
                      <w:highlight w:val="none"/>
                    </w:rPr>
                    <w:t>提高现场管理品质与质量。</w:t>
                  </w:r>
                </w:p>
                <w:p>
                  <w:pPr>
                    <w:numPr>
                      <w:ilvl w:val="0"/>
                      <w:numId w:val="0"/>
                    </w:numPr>
                    <w:spacing w:line="360" w:lineRule="auto"/>
                    <w:ind w:firstLine="240" w:firstLineChars="1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3.协助项目</w:t>
                  </w:r>
                  <w:r>
                    <w:rPr>
                      <w:rFonts w:hint="eastAsia" w:ascii="仿宋_GB2312" w:hAnsi="仿宋_GB2312" w:eastAsia="仿宋_GB2312" w:cs="仿宋_GB2312"/>
                      <w:color w:val="auto"/>
                      <w:sz w:val="24"/>
                      <w:highlight w:val="none"/>
                    </w:rPr>
                    <w:t>经理</w:t>
                  </w:r>
                  <w:r>
                    <w:rPr>
                      <w:rFonts w:hint="eastAsia" w:ascii="仿宋_GB2312" w:hAnsi="仿宋_GB2312" w:eastAsia="仿宋_GB2312" w:cs="仿宋_GB2312"/>
                      <w:color w:val="auto"/>
                      <w:sz w:val="24"/>
                      <w:highlight w:val="none"/>
                      <w:lang w:eastAsia="zh-CN"/>
                    </w:rPr>
                    <w:t>开展</w:t>
                  </w:r>
                  <w:r>
                    <w:rPr>
                      <w:rFonts w:hint="eastAsia" w:ascii="仿宋_GB2312" w:hAnsi="仿宋_GB2312" w:eastAsia="仿宋_GB2312" w:cs="仿宋_GB2312"/>
                      <w:color w:val="auto"/>
                      <w:sz w:val="24"/>
                      <w:highlight w:val="none"/>
                    </w:rPr>
                    <w:t>员工</w:t>
                  </w:r>
                  <w:r>
                    <w:rPr>
                      <w:rFonts w:hint="eastAsia" w:ascii="仿宋_GB2312" w:hAnsi="仿宋_GB2312" w:eastAsia="仿宋_GB2312" w:cs="仿宋_GB2312"/>
                      <w:color w:val="auto"/>
                      <w:sz w:val="24"/>
                      <w:highlight w:val="none"/>
                      <w:lang w:eastAsia="zh-CN"/>
                    </w:rPr>
                    <w:t>培训、</w:t>
                  </w:r>
                  <w:r>
                    <w:rPr>
                      <w:rFonts w:hint="eastAsia" w:ascii="仿宋_GB2312" w:hAnsi="仿宋_GB2312" w:eastAsia="仿宋_GB2312" w:cs="仿宋_GB2312"/>
                      <w:color w:val="auto"/>
                      <w:sz w:val="24"/>
                      <w:highlight w:val="none"/>
                    </w:rPr>
                    <w:t>绩效考核</w:t>
                  </w:r>
                  <w:r>
                    <w:rPr>
                      <w:rFonts w:hint="eastAsia" w:ascii="仿宋_GB2312" w:hAnsi="仿宋_GB2312" w:eastAsia="仿宋_GB2312" w:cs="仿宋_GB2312"/>
                      <w:color w:val="auto"/>
                      <w:sz w:val="24"/>
                      <w:highlight w:val="none"/>
                      <w:lang w:eastAsia="zh-CN"/>
                    </w:rPr>
                    <w:t>等工作</w:t>
                  </w:r>
                  <w:r>
                    <w:rPr>
                      <w:rFonts w:hint="eastAsia" w:ascii="仿宋_GB2312" w:hAnsi="仿宋_GB2312" w:eastAsia="仿宋_GB2312" w:cs="仿宋_GB2312"/>
                      <w:color w:val="auto"/>
                      <w:sz w:val="24"/>
                      <w:highlight w:val="none"/>
                    </w:rPr>
                    <w:t>；</w:t>
                  </w:r>
                </w:p>
                <w:p>
                  <w:pPr>
                    <w:numPr>
                      <w:ilvl w:val="0"/>
                      <w:numId w:val="0"/>
                    </w:numPr>
                    <w:spacing w:line="360" w:lineRule="auto"/>
                    <w:ind w:firstLine="240" w:firstLineChars="100"/>
                    <w:jc w:val="left"/>
                    <w:rPr>
                      <w:rFonts w:ascii="仿宋_GB2312" w:eastAsia="仿宋_GB2312"/>
                      <w:color w:val="auto"/>
                      <w:sz w:val="24"/>
                      <w:highlight w:val="none"/>
                    </w:rPr>
                  </w:pPr>
                  <w:r>
                    <w:rPr>
                      <w:rFonts w:hint="eastAsia" w:ascii="仿宋_GB2312" w:hAnsi="仿宋_GB2312" w:eastAsia="仿宋_GB2312" w:cs="仿宋_GB2312"/>
                      <w:color w:val="auto"/>
                      <w:sz w:val="24"/>
                      <w:highlight w:val="none"/>
                      <w:lang w:val="en-US" w:eastAsia="zh-CN"/>
                    </w:rPr>
                    <w:t>4.负责本项目各类台账、档案的建设和管理。</w:t>
                  </w:r>
                </w:p>
                <w:p>
                  <w:pPr>
                    <w:ind w:firstLine="240" w:firstLineChars="100"/>
                    <w:rPr>
                      <w:rFonts w:hint="eastAsia" w:ascii="仿宋_GB2312" w:hAnsi="Times New Roman" w:eastAsia="仿宋_GB2312"/>
                      <w:color w:val="auto"/>
                      <w:sz w:val="24"/>
                      <w:highlight w:val="none"/>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完成</w:t>
                  </w:r>
                  <w:r>
                    <w:rPr>
                      <w:rFonts w:hint="eastAsia" w:ascii="仿宋_GB2312" w:hAnsi="仿宋_GB2312" w:eastAsia="仿宋_GB2312" w:cs="仿宋_GB2312"/>
                      <w:color w:val="auto"/>
                      <w:sz w:val="24"/>
                      <w:highlight w:val="none"/>
                      <w:lang w:eastAsia="zh-CN"/>
                    </w:rPr>
                    <w:t>学校</w:t>
                  </w:r>
                  <w:r>
                    <w:rPr>
                      <w:rFonts w:hint="eastAsia" w:ascii="仿宋_GB2312" w:hAnsi="仿宋_GB2312" w:eastAsia="仿宋_GB2312" w:cs="仿宋_GB2312"/>
                      <w:color w:val="auto"/>
                      <w:sz w:val="24"/>
                      <w:highlight w:val="none"/>
                    </w:rPr>
                    <w:t>交办的</w:t>
                  </w:r>
                  <w:r>
                    <w:rPr>
                      <w:rFonts w:hint="eastAsia" w:ascii="仿宋_GB2312" w:hAnsi="仿宋_GB2312" w:eastAsia="仿宋_GB2312" w:cs="仿宋_GB2312"/>
                      <w:color w:val="auto"/>
                      <w:sz w:val="24"/>
                      <w:highlight w:val="none"/>
                      <w:lang w:eastAsia="zh-CN"/>
                    </w:rPr>
                    <w:t>其他工作</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秩序维护主管</w:t>
                  </w:r>
                </w:p>
              </w:tc>
              <w:tc>
                <w:tcPr>
                  <w:tcW w:w="2593" w:type="dxa"/>
                  <w:vMerge w:val="restart"/>
                  <w:tcBorders>
                    <w:top w:val="single" w:color="auto" w:sz="4" w:space="0"/>
                    <w:left w:val="single" w:color="auto" w:sz="4" w:space="0"/>
                    <w:right w:val="single" w:color="auto" w:sz="4" w:space="0"/>
                  </w:tcBorders>
                  <w:noWrap w:val="0"/>
                  <w:vAlign w:val="center"/>
                </w:tcPr>
                <w:p>
                  <w:pPr>
                    <w:numPr>
                      <w:ilvl w:val="0"/>
                      <w:numId w:val="0"/>
                    </w:numPr>
                    <w:spacing w:line="360" w:lineRule="auto"/>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1.全日制</w:t>
                  </w:r>
                  <w:r>
                    <w:rPr>
                      <w:rFonts w:hint="eastAsia" w:ascii="仿宋_GB2312" w:eastAsia="仿宋_GB2312"/>
                      <w:color w:val="auto"/>
                      <w:sz w:val="24"/>
                      <w:highlight w:val="none"/>
                      <w:lang w:eastAsia="zh-CN"/>
                    </w:rPr>
                    <w:t>专</w:t>
                  </w:r>
                  <w:r>
                    <w:rPr>
                      <w:rFonts w:hint="eastAsia" w:ascii="仿宋_GB2312" w:eastAsia="仿宋_GB2312"/>
                      <w:color w:val="auto"/>
                      <w:sz w:val="24"/>
                      <w:highlight w:val="none"/>
                    </w:rPr>
                    <w:t>科以上学历</w:t>
                  </w:r>
                  <w:r>
                    <w:rPr>
                      <w:rFonts w:hint="eastAsia" w:ascii="仿宋_GB2312" w:eastAsia="仿宋_GB2312"/>
                      <w:color w:val="auto"/>
                      <w:sz w:val="24"/>
                      <w:highlight w:val="none"/>
                      <w:lang w:eastAsia="zh-CN"/>
                    </w:rPr>
                    <w:t>，其中</w:t>
                  </w:r>
                  <w:r>
                    <w:rPr>
                      <w:rFonts w:hint="eastAsia" w:ascii="仿宋_GB2312" w:eastAsia="仿宋_GB2312"/>
                      <w:color w:val="auto"/>
                      <w:sz w:val="24"/>
                      <w:highlight w:val="none"/>
                    </w:rPr>
                    <w:t>秩序维护主管</w:t>
                  </w:r>
                  <w:r>
                    <w:rPr>
                      <w:rFonts w:hint="eastAsia" w:ascii="仿宋_GB2312" w:eastAsia="仿宋_GB2312"/>
                      <w:color w:val="auto"/>
                      <w:sz w:val="24"/>
                      <w:highlight w:val="none"/>
                      <w:lang w:eastAsia="zh-CN"/>
                    </w:rPr>
                    <w:t>是退伍军人的，可放宽到非全日制专科</w:t>
                  </w:r>
                  <w:r>
                    <w:rPr>
                      <w:rFonts w:hint="eastAsia" w:ascii="仿宋_GB2312" w:eastAsia="仿宋_GB2312"/>
                      <w:color w:val="auto"/>
                      <w:sz w:val="24"/>
                      <w:highlight w:val="none"/>
                    </w:rPr>
                    <w:t>以上学历</w:t>
                  </w:r>
                  <w:r>
                    <w:rPr>
                      <w:rFonts w:hint="eastAsia" w:ascii="仿宋_GB2312" w:eastAsia="仿宋_GB2312"/>
                      <w:color w:val="auto"/>
                      <w:sz w:val="24"/>
                      <w:highlight w:val="none"/>
                      <w:lang w:eastAsia="zh-CN"/>
                    </w:rPr>
                    <w:t>；</w:t>
                  </w:r>
                </w:p>
                <w:p>
                  <w:pPr>
                    <w:numPr>
                      <w:ilvl w:val="0"/>
                      <w:numId w:val="0"/>
                    </w:num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2.50</w:t>
                  </w:r>
                  <w:r>
                    <w:rPr>
                      <w:rFonts w:hint="eastAsia" w:ascii="仿宋_GB2312" w:eastAsia="仿宋_GB2312"/>
                      <w:color w:val="auto"/>
                      <w:sz w:val="24"/>
                      <w:highlight w:val="none"/>
                    </w:rPr>
                    <w:t>周岁以下；</w:t>
                  </w:r>
                </w:p>
                <w:p>
                  <w:pPr>
                    <w:numPr>
                      <w:ilvl w:val="0"/>
                      <w:numId w:val="0"/>
                    </w:num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lang w:eastAsia="zh-CN"/>
                    </w:rPr>
                    <w:t>三</w:t>
                  </w:r>
                  <w:r>
                    <w:rPr>
                      <w:rFonts w:ascii="仿宋_GB2312" w:eastAsia="仿宋_GB2312"/>
                      <w:color w:val="auto"/>
                      <w:sz w:val="24"/>
                      <w:highlight w:val="none"/>
                    </w:rPr>
                    <w:t>年以上类似项目物业工作经验</w:t>
                  </w:r>
                  <w:r>
                    <w:rPr>
                      <w:rFonts w:hint="eastAsia" w:ascii="仿宋_GB2312" w:eastAsia="仿宋_GB2312"/>
                      <w:color w:val="auto"/>
                      <w:sz w:val="24"/>
                      <w:highlight w:val="none"/>
                      <w:lang w:eastAsia="zh-CN"/>
                    </w:rPr>
                    <w:t>，具备良好的的组织和沟通能力，其中宿管主管</w:t>
                  </w:r>
                  <w:r>
                    <w:rPr>
                      <w:rFonts w:hint="eastAsia" w:ascii="仿宋_GB2312" w:eastAsia="仿宋_GB2312"/>
                      <w:color w:val="auto"/>
                      <w:sz w:val="24"/>
                      <w:highlight w:val="none"/>
                    </w:rPr>
                    <w:t>能熟练操作电脑可协助</w:t>
                  </w:r>
                  <w:r>
                    <w:rPr>
                      <w:rFonts w:hint="eastAsia" w:ascii="仿宋_GB2312" w:eastAsia="仿宋_GB2312"/>
                      <w:color w:val="auto"/>
                      <w:sz w:val="24"/>
                      <w:highlight w:val="none"/>
                      <w:lang w:eastAsia="zh-CN"/>
                    </w:rPr>
                    <w:t>学校</w:t>
                  </w:r>
                  <w:r>
                    <w:rPr>
                      <w:rFonts w:hint="eastAsia" w:ascii="仿宋_GB2312" w:eastAsia="仿宋_GB2312"/>
                      <w:color w:val="auto"/>
                      <w:sz w:val="24"/>
                      <w:highlight w:val="none"/>
                    </w:rPr>
                    <w:t>利用互联网平台开展育人活动</w:t>
                  </w:r>
                  <w:r>
                    <w:rPr>
                      <w:rFonts w:hint="eastAsia" w:ascii="仿宋_GB2312" w:eastAsia="仿宋_GB2312"/>
                      <w:color w:val="auto"/>
                      <w:sz w:val="24"/>
                      <w:highlight w:val="none"/>
                      <w:lang w:eastAsia="zh-CN"/>
                    </w:rPr>
                    <w:t>。</w:t>
                  </w:r>
                </w:p>
              </w:tc>
              <w:tc>
                <w:tcPr>
                  <w:tcW w:w="4198" w:type="dxa"/>
                  <w:vMerge w:val="restart"/>
                  <w:tcBorders>
                    <w:top w:val="single" w:color="auto" w:sz="4" w:space="0"/>
                    <w:left w:val="single" w:color="auto" w:sz="4" w:space="0"/>
                    <w:right w:val="single" w:color="auto" w:sz="4" w:space="0"/>
                  </w:tcBorders>
                  <w:noWrap w:val="0"/>
                  <w:vAlign w:val="top"/>
                </w:tcPr>
                <w:p>
                  <w:pPr>
                    <w:spacing w:line="360" w:lineRule="auto"/>
                    <w:ind w:firstLine="240" w:firstLineChars="1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1.负责落实本项目对应服务模块的具体管理目标。</w:t>
                  </w:r>
                </w:p>
                <w:p>
                  <w:pPr>
                    <w:spacing w:line="360" w:lineRule="auto"/>
                    <w:ind w:firstLine="240" w:firstLineChars="1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2.负责对应服务模块的专业化水平建设，并不断提高各自所负责领域的专业化水平以提高服务质量。</w:t>
                  </w:r>
                </w:p>
                <w:p>
                  <w:pPr>
                    <w:spacing w:line="360" w:lineRule="auto"/>
                    <w:ind w:firstLine="240" w:firstLineChars="1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3.负责安排和落实对应服务模块的各项工作。</w:t>
                  </w:r>
                </w:p>
                <w:p>
                  <w:pPr>
                    <w:spacing w:line="360" w:lineRule="auto"/>
                    <w:ind w:firstLine="240" w:firstLineChars="100"/>
                    <w:jc w:val="left"/>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4.负责对应服务模块人员的专业技能培训以及人员素质的提升。</w:t>
                  </w:r>
                </w:p>
                <w:p>
                  <w:pPr>
                    <w:spacing w:line="360" w:lineRule="auto"/>
                    <w:ind w:firstLine="240" w:firstLineChars="1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5.对接学校相关管理人员，处理日常工作问题。</w:t>
                  </w:r>
                </w:p>
                <w:p>
                  <w:pPr>
                    <w:ind w:firstLine="240" w:firstLineChars="100"/>
                    <w:rPr>
                      <w:rFonts w:ascii="仿宋_GB2312" w:hAnsi="Times New Roman" w:eastAsia="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完成</w:t>
                  </w:r>
                  <w:r>
                    <w:rPr>
                      <w:rFonts w:hint="eastAsia" w:ascii="仿宋_GB2312" w:hAnsi="仿宋_GB2312" w:eastAsia="仿宋_GB2312" w:cs="仿宋_GB2312"/>
                      <w:color w:val="auto"/>
                      <w:sz w:val="24"/>
                      <w:highlight w:val="none"/>
                      <w:lang w:eastAsia="zh-CN"/>
                    </w:rPr>
                    <w:t>学校</w:t>
                  </w:r>
                  <w:r>
                    <w:rPr>
                      <w:rFonts w:hint="eastAsia" w:ascii="仿宋_GB2312" w:hAnsi="仿宋_GB2312" w:eastAsia="仿宋_GB2312" w:cs="仿宋_GB2312"/>
                      <w:color w:val="auto"/>
                      <w:sz w:val="24"/>
                      <w:highlight w:val="none"/>
                    </w:rPr>
                    <w:t>交办的</w:t>
                  </w:r>
                  <w:r>
                    <w:rPr>
                      <w:rFonts w:hint="eastAsia" w:ascii="仿宋_GB2312" w:hAnsi="仿宋_GB2312" w:eastAsia="仿宋_GB2312" w:cs="仿宋_GB2312"/>
                      <w:color w:val="auto"/>
                      <w:sz w:val="24"/>
                      <w:highlight w:val="none"/>
                      <w:lang w:eastAsia="zh-CN"/>
                    </w:rPr>
                    <w:t>其他工作</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宿管主管</w:t>
                  </w:r>
                </w:p>
              </w:tc>
              <w:tc>
                <w:tcPr>
                  <w:tcW w:w="2593" w:type="dxa"/>
                  <w:vMerge w:val="continue"/>
                  <w:tcBorders>
                    <w:left w:val="single" w:color="auto" w:sz="4" w:space="0"/>
                    <w:right w:val="single" w:color="auto" w:sz="4" w:space="0"/>
                  </w:tcBorders>
                  <w:noWrap w:val="0"/>
                  <w:vAlign w:val="center"/>
                </w:tcPr>
                <w:p>
                  <w:pPr>
                    <w:numPr>
                      <w:ilvl w:val="0"/>
                      <w:numId w:val="0"/>
                    </w:numPr>
                    <w:spacing w:line="360" w:lineRule="auto"/>
                    <w:jc w:val="left"/>
                    <w:rPr>
                      <w:rFonts w:hint="eastAsia" w:ascii="仿宋_GB2312" w:eastAsia="仿宋_GB2312"/>
                      <w:color w:val="auto"/>
                      <w:sz w:val="24"/>
                      <w:highlight w:val="none"/>
                      <w:lang w:val="en-US" w:eastAsia="zh-CN"/>
                    </w:rPr>
                  </w:pPr>
                </w:p>
              </w:tc>
              <w:tc>
                <w:tcPr>
                  <w:tcW w:w="4198" w:type="dxa"/>
                  <w:vMerge w:val="continue"/>
                  <w:tcBorders>
                    <w:left w:val="single" w:color="auto" w:sz="4" w:space="0"/>
                    <w:right w:val="single" w:color="auto" w:sz="4" w:space="0"/>
                  </w:tcBorders>
                  <w:noWrap w:val="0"/>
                  <w:vAlign w:val="top"/>
                </w:tcPr>
                <w:p>
                  <w:pPr>
                    <w:pStyle w:val="802"/>
                    <w:spacing w:line="360" w:lineRule="auto"/>
                    <w:ind w:firstLine="240" w:firstLineChars="100"/>
                    <w:jc w:val="left"/>
                    <w:rPr>
                      <w:rFonts w:ascii="仿宋_GB2312" w:hAnsi="Times New Roman"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r>
                    <w:rPr>
                      <w:rFonts w:hint="eastAsia" w:ascii="仿宋_GB2312" w:eastAsia="仿宋_GB2312"/>
                      <w:color w:val="auto"/>
                      <w:sz w:val="24"/>
                      <w:highlight w:val="none"/>
                    </w:rPr>
                    <w:t>工程主管</w:t>
                  </w:r>
                </w:p>
              </w:tc>
              <w:tc>
                <w:tcPr>
                  <w:tcW w:w="2593" w:type="dxa"/>
                  <w:vMerge w:val="continue"/>
                  <w:tcBorders>
                    <w:left w:val="single" w:color="auto" w:sz="4" w:space="0"/>
                    <w:right w:val="single" w:color="auto" w:sz="4" w:space="0"/>
                  </w:tcBorders>
                  <w:noWrap w:val="0"/>
                  <w:vAlign w:val="center"/>
                </w:tcPr>
                <w:p>
                  <w:pPr>
                    <w:numPr>
                      <w:ilvl w:val="0"/>
                      <w:numId w:val="0"/>
                    </w:numPr>
                    <w:spacing w:line="360" w:lineRule="auto"/>
                    <w:jc w:val="left"/>
                    <w:rPr>
                      <w:rFonts w:hint="eastAsia" w:ascii="仿宋_GB2312" w:eastAsia="仿宋_GB2312"/>
                      <w:color w:val="auto"/>
                      <w:sz w:val="24"/>
                      <w:highlight w:val="none"/>
                      <w:lang w:val="en-US" w:eastAsia="zh-CN"/>
                    </w:rPr>
                  </w:pPr>
                </w:p>
              </w:tc>
              <w:tc>
                <w:tcPr>
                  <w:tcW w:w="4198" w:type="dxa"/>
                  <w:vMerge w:val="continue"/>
                  <w:tcBorders>
                    <w:left w:val="single" w:color="auto" w:sz="4" w:space="0"/>
                    <w:right w:val="single" w:color="auto" w:sz="4" w:space="0"/>
                  </w:tcBorders>
                  <w:noWrap w:val="0"/>
                  <w:vAlign w:val="top"/>
                </w:tcPr>
                <w:p>
                  <w:pPr>
                    <w:pStyle w:val="802"/>
                    <w:spacing w:line="360" w:lineRule="auto"/>
                    <w:ind w:firstLine="240" w:firstLineChars="100"/>
                    <w:jc w:val="left"/>
                    <w:rPr>
                      <w:rFonts w:ascii="仿宋_GB2312" w:hAnsi="Times New Roman"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保洁主管</w:t>
                  </w:r>
                </w:p>
              </w:tc>
              <w:tc>
                <w:tcPr>
                  <w:tcW w:w="2593" w:type="dxa"/>
                  <w:vMerge w:val="continue"/>
                  <w:tcBorders>
                    <w:left w:val="single" w:color="auto" w:sz="4" w:space="0"/>
                    <w:right w:val="single" w:color="auto" w:sz="4" w:space="0"/>
                  </w:tcBorders>
                  <w:noWrap w:val="0"/>
                  <w:vAlign w:val="center"/>
                </w:tcPr>
                <w:p>
                  <w:pPr>
                    <w:numPr>
                      <w:ilvl w:val="0"/>
                      <w:numId w:val="0"/>
                    </w:numPr>
                    <w:spacing w:line="360" w:lineRule="auto"/>
                    <w:jc w:val="left"/>
                    <w:rPr>
                      <w:rFonts w:ascii="仿宋_GB2312" w:eastAsia="仿宋_GB2312"/>
                      <w:color w:val="auto"/>
                      <w:sz w:val="24"/>
                      <w:highlight w:val="none"/>
                    </w:rPr>
                  </w:pPr>
                </w:p>
              </w:tc>
              <w:tc>
                <w:tcPr>
                  <w:tcW w:w="4198" w:type="dxa"/>
                  <w:vMerge w:val="continue"/>
                  <w:tcBorders>
                    <w:left w:val="single" w:color="auto" w:sz="4" w:space="0"/>
                    <w:right w:val="single" w:color="auto" w:sz="4" w:space="0"/>
                  </w:tcBorders>
                  <w:noWrap w:val="0"/>
                  <w:vAlign w:val="top"/>
                </w:tcPr>
                <w:p>
                  <w:pPr>
                    <w:pStyle w:val="802"/>
                    <w:spacing w:line="360" w:lineRule="auto"/>
                    <w:ind w:firstLine="240" w:firstLineChars="100"/>
                    <w:jc w:val="left"/>
                    <w:rPr>
                      <w:rFonts w:ascii="仿宋_GB2312" w:hAnsi="Times New Roman"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lang w:eastAsia="zh-CN"/>
                    </w:rPr>
                    <w:t>绿化主管</w:t>
                  </w:r>
                </w:p>
              </w:tc>
              <w:tc>
                <w:tcPr>
                  <w:tcW w:w="2593" w:type="dxa"/>
                  <w:vMerge w:val="continue"/>
                  <w:tcBorders>
                    <w:left w:val="single" w:color="auto" w:sz="4" w:space="0"/>
                    <w:bottom w:val="single" w:color="auto" w:sz="4" w:space="0"/>
                    <w:right w:val="single" w:color="auto" w:sz="4" w:space="0"/>
                  </w:tcBorders>
                  <w:noWrap w:val="0"/>
                  <w:vAlign w:val="center"/>
                </w:tcPr>
                <w:p>
                  <w:pPr>
                    <w:numPr>
                      <w:ilvl w:val="0"/>
                      <w:numId w:val="0"/>
                    </w:numPr>
                    <w:spacing w:line="360" w:lineRule="auto"/>
                    <w:jc w:val="both"/>
                    <w:rPr>
                      <w:rFonts w:hint="eastAsia" w:eastAsia="仿宋_GB2312"/>
                      <w:color w:val="auto"/>
                      <w:highlight w:val="none"/>
                      <w:lang w:eastAsia="zh-CN"/>
                    </w:rPr>
                  </w:pPr>
                </w:p>
              </w:tc>
              <w:tc>
                <w:tcPr>
                  <w:tcW w:w="4198" w:type="dxa"/>
                  <w:vMerge w:val="continue"/>
                  <w:tcBorders>
                    <w:left w:val="single" w:color="auto" w:sz="4" w:space="0"/>
                    <w:bottom w:val="single" w:color="auto" w:sz="4" w:space="0"/>
                    <w:right w:val="single" w:color="auto" w:sz="4" w:space="0"/>
                  </w:tcBorders>
                  <w:noWrap w:val="0"/>
                  <w:vAlign w:val="center"/>
                </w:tcPr>
                <w:p>
                  <w:pPr>
                    <w:spacing w:line="360" w:lineRule="auto"/>
                    <w:ind w:firstLine="480" w:firstLineChars="200"/>
                    <w:jc w:val="left"/>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9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firstLineChars="200"/>
                    <w:jc w:val="center"/>
                    <w:rPr>
                      <w:rFonts w:hint="eastAsia" w:ascii="仿宋_GB2312" w:eastAsia="仿宋_GB2312"/>
                      <w:color w:val="auto"/>
                      <w:sz w:val="24"/>
                      <w:highlight w:val="none"/>
                      <w:lang w:eastAsia="zh-CN"/>
                    </w:rPr>
                  </w:pPr>
                  <w:r>
                    <w:rPr>
                      <w:rFonts w:hint="eastAsia" w:ascii="仿宋_GB2312" w:hAnsi="Times New Roman" w:eastAsia="仿宋_GB2312" w:cs="Times New Roman"/>
                      <w:b/>
                      <w:bCs/>
                      <w:color w:val="auto"/>
                      <w:sz w:val="24"/>
                      <w:highlight w:val="none"/>
                      <w:lang w:eastAsia="zh-CN"/>
                    </w:rPr>
                    <w:t>各岗位人员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r>
                    <w:rPr>
                      <w:rFonts w:hint="eastAsia" w:ascii="仿宋_GB2312" w:eastAsia="仿宋_GB2312"/>
                      <w:color w:val="auto"/>
                      <w:kern w:val="0"/>
                      <w:sz w:val="24"/>
                      <w:highlight w:val="none"/>
                    </w:rPr>
                    <w:t>秩序维护员</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both"/>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1.</w:t>
                  </w:r>
                  <w:r>
                    <w:rPr>
                      <w:rFonts w:hint="eastAsia" w:ascii="仿宋_GB2312" w:eastAsia="仿宋_GB2312"/>
                      <w:color w:val="auto"/>
                      <w:kern w:val="0"/>
                      <w:sz w:val="24"/>
                      <w:highlight w:val="none"/>
                      <w:lang w:val="en-US" w:eastAsia="zh-CN"/>
                    </w:rPr>
                    <w:t>高中（含中专）以上学历</w:t>
                  </w:r>
                  <w:r>
                    <w:rPr>
                      <w:rFonts w:hint="eastAsia" w:ascii="仿宋_GB2312" w:eastAsia="仿宋_GB2312"/>
                      <w:color w:val="auto"/>
                      <w:sz w:val="24"/>
                      <w:highlight w:val="none"/>
                      <w:lang w:eastAsia="zh-CN"/>
                    </w:rPr>
                    <w:t>；</w:t>
                  </w:r>
                </w:p>
                <w:p>
                  <w:pPr>
                    <w:numPr>
                      <w:ilvl w:val="0"/>
                      <w:numId w:val="0"/>
                    </w:numPr>
                    <w:spacing w:line="360" w:lineRule="auto"/>
                    <w:jc w:val="both"/>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rPr>
                    <w:t>55周岁以下（其中45岁以下占15%以上）；</w:t>
                  </w:r>
                  <w:r>
                    <w:rPr>
                      <w:rFonts w:hint="eastAsia" w:ascii="仿宋_GB2312" w:hAnsi="Calibri" w:eastAsia="仿宋_GB2312"/>
                      <w:color w:val="auto"/>
                      <w:sz w:val="24"/>
                      <w:highlight w:val="none"/>
                      <w:lang w:eastAsia="zh-CN"/>
                    </w:rPr>
                    <w:t>其中</w:t>
                  </w:r>
                  <w:r>
                    <w:rPr>
                      <w:rFonts w:hint="eastAsia" w:ascii="仿宋_GB2312" w:hAnsi="Calibri" w:eastAsia="仿宋_GB2312"/>
                      <w:color w:val="auto"/>
                      <w:sz w:val="24"/>
                      <w:highlight w:val="none"/>
                    </w:rPr>
                    <w:t>应急指挥中心值班岗（消防控制室）</w:t>
                  </w:r>
                  <w:r>
                    <w:rPr>
                      <w:rFonts w:hint="eastAsia" w:ascii="仿宋_GB2312" w:hAnsi="Calibri" w:eastAsia="仿宋_GB2312"/>
                      <w:color w:val="auto"/>
                      <w:sz w:val="24"/>
                      <w:highlight w:val="none"/>
                      <w:lang w:eastAsia="zh-CN"/>
                    </w:rPr>
                    <w:t>年龄</w:t>
                  </w:r>
                  <w:r>
                    <w:rPr>
                      <w:rFonts w:hint="eastAsia" w:ascii="仿宋_GB2312" w:hAnsi="Calibri" w:eastAsia="仿宋_GB2312"/>
                      <w:color w:val="auto"/>
                      <w:sz w:val="24"/>
                      <w:highlight w:val="none"/>
                    </w:rPr>
                    <w:t>50周岁以下</w:t>
                  </w:r>
                  <w:r>
                    <w:rPr>
                      <w:rFonts w:hint="eastAsia" w:ascii="仿宋_GB2312" w:hAnsi="Calibri" w:eastAsia="仿宋_GB2312"/>
                      <w:color w:val="auto"/>
                      <w:sz w:val="24"/>
                      <w:highlight w:val="none"/>
                      <w:lang w:eastAsia="zh-CN"/>
                    </w:rPr>
                    <w:t>；</w:t>
                  </w:r>
                </w:p>
                <w:p>
                  <w:pPr>
                    <w:numPr>
                      <w:ilvl w:val="0"/>
                      <w:numId w:val="0"/>
                    </w:numPr>
                    <w:spacing w:line="360" w:lineRule="auto"/>
                    <w:jc w:val="both"/>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3.全员持有</w:t>
                  </w:r>
                  <w:r>
                    <w:rPr>
                      <w:rFonts w:hint="eastAsia" w:ascii="仿宋_GB2312" w:hAnsi="Calibri" w:eastAsia="仿宋_GB2312"/>
                      <w:color w:val="auto"/>
                      <w:sz w:val="24"/>
                      <w:highlight w:val="none"/>
                    </w:rPr>
                    <w:t>保安员证</w:t>
                  </w:r>
                  <w:r>
                    <w:rPr>
                      <w:rFonts w:hint="eastAsia" w:ascii="仿宋_GB2312" w:hAnsi="Calibri" w:eastAsia="仿宋_GB2312"/>
                      <w:color w:val="auto"/>
                      <w:sz w:val="24"/>
                      <w:highlight w:val="none"/>
                      <w:lang w:eastAsia="zh-CN"/>
                    </w:rPr>
                    <w:t>，</w:t>
                  </w:r>
                  <w:r>
                    <w:rPr>
                      <w:rFonts w:hint="eastAsia" w:ascii="仿宋_GB2312" w:eastAsia="仿宋_GB2312"/>
                      <w:color w:val="auto"/>
                      <w:sz w:val="24"/>
                      <w:highlight w:val="none"/>
                    </w:rPr>
                    <w:t>应急指挥中心</w:t>
                  </w:r>
                  <w:r>
                    <w:rPr>
                      <w:rFonts w:hint="eastAsia" w:ascii="仿宋_GB2312" w:eastAsia="仿宋_GB2312"/>
                      <w:color w:val="auto"/>
                      <w:sz w:val="24"/>
                      <w:highlight w:val="none"/>
                      <w:lang w:eastAsia="zh-CN"/>
                    </w:rPr>
                    <w:t>（</w:t>
                  </w:r>
                  <w:r>
                    <w:rPr>
                      <w:rFonts w:hint="eastAsia" w:ascii="仿宋_GB2312" w:hAnsi="Calibri" w:eastAsia="仿宋_GB2312"/>
                      <w:color w:val="auto"/>
                      <w:sz w:val="24"/>
                      <w:highlight w:val="none"/>
                    </w:rPr>
                    <w:t>消防控制室</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岗位要求至少8人持有建（构）筑物消防员证或消防设施操作员证；</w:t>
                  </w:r>
                </w:p>
              </w:tc>
              <w:tc>
                <w:tcPr>
                  <w:tcW w:w="4198" w:type="dxa"/>
                  <w:vMerge w:val="restart"/>
                  <w:tcBorders>
                    <w:top w:val="single" w:color="auto" w:sz="4" w:space="0"/>
                    <w:left w:val="single" w:color="auto" w:sz="4" w:space="0"/>
                    <w:right w:val="single" w:color="auto" w:sz="4" w:space="0"/>
                  </w:tcBorders>
                  <w:noWrap w:val="0"/>
                  <w:vAlign w:val="center"/>
                </w:tcPr>
                <w:p>
                  <w:pPr>
                    <w:spacing w:line="360" w:lineRule="auto"/>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1.</w:t>
                  </w:r>
                  <w:r>
                    <w:rPr>
                      <w:rFonts w:hint="eastAsia" w:ascii="仿宋_GB2312" w:eastAsia="仿宋_GB2312"/>
                      <w:color w:val="auto"/>
                      <w:sz w:val="24"/>
                      <w:highlight w:val="none"/>
                      <w:lang w:eastAsia="zh-CN"/>
                    </w:rPr>
                    <w:t>在各服务模块的主管带领下、按照采购需求</w:t>
                  </w:r>
                  <w:r>
                    <w:rPr>
                      <w:rFonts w:hint="eastAsia" w:ascii="仿宋_GB2312" w:eastAsia="仿宋_GB2312"/>
                      <w:color w:val="auto"/>
                      <w:sz w:val="24"/>
                      <w:highlight w:val="none"/>
                    </w:rPr>
                    <w:t>“三、物业服务内容及具体要求”</w:t>
                  </w:r>
                  <w:r>
                    <w:rPr>
                      <w:rFonts w:hint="eastAsia" w:ascii="仿宋_GB2312" w:eastAsia="仿宋_GB2312"/>
                      <w:color w:val="auto"/>
                      <w:sz w:val="24"/>
                      <w:highlight w:val="none"/>
                      <w:lang w:eastAsia="zh-CN"/>
                    </w:rPr>
                    <w:t>的相关标准，完成各项服务的具体工作。</w:t>
                  </w:r>
                </w:p>
                <w:p>
                  <w:pPr>
                    <w:spacing w:line="360" w:lineRule="auto"/>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lang w:eastAsia="zh-CN"/>
                    </w:rPr>
                    <w:t>具有主人翁意识，主动服务，主动解决问题，服从工作安排。</w:t>
                  </w:r>
                </w:p>
                <w:p>
                  <w:pPr>
                    <w:spacing w:line="360" w:lineRule="auto"/>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lang w:eastAsia="zh-CN"/>
                    </w:rPr>
                    <w:t>持续学习，不断提高技能，提升现场服务品质。</w:t>
                  </w:r>
                </w:p>
                <w:p>
                  <w:pPr>
                    <w:spacing w:line="360" w:lineRule="auto"/>
                    <w:jc w:val="left"/>
                    <w:rPr>
                      <w:rFonts w:ascii="仿宋_GB2312" w:hAnsi="仿宋_GB2312" w:eastAsia="仿宋_GB2312" w:cs="仿宋_GB2312"/>
                      <w:color w:val="auto"/>
                      <w:sz w:val="24"/>
                      <w:highlight w:val="none"/>
                    </w:rPr>
                  </w:pPr>
                  <w:r>
                    <w:rPr>
                      <w:rFonts w:hint="eastAsia" w:ascii="仿宋_GB2312" w:eastAsia="仿宋_GB2312"/>
                      <w:color w:val="auto"/>
                      <w:sz w:val="24"/>
                      <w:highlight w:val="none"/>
                      <w:lang w:val="en-US" w:eastAsia="zh-CN"/>
                    </w:rPr>
                    <w:t>4</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完成</w:t>
                  </w:r>
                  <w:r>
                    <w:rPr>
                      <w:rFonts w:hint="eastAsia" w:ascii="仿宋_GB2312" w:hAnsi="仿宋_GB2312" w:eastAsia="仿宋_GB2312" w:cs="仿宋_GB2312"/>
                      <w:color w:val="auto"/>
                      <w:sz w:val="24"/>
                      <w:highlight w:val="none"/>
                      <w:lang w:eastAsia="zh-CN"/>
                    </w:rPr>
                    <w:t>各级领导</w:t>
                  </w:r>
                  <w:r>
                    <w:rPr>
                      <w:rFonts w:hint="eastAsia" w:ascii="仿宋_GB2312" w:hAnsi="仿宋_GB2312" w:eastAsia="仿宋_GB2312" w:cs="仿宋_GB2312"/>
                      <w:color w:val="auto"/>
                      <w:sz w:val="24"/>
                      <w:highlight w:val="none"/>
                    </w:rPr>
                    <w:t>交办的</w:t>
                  </w:r>
                  <w:r>
                    <w:rPr>
                      <w:rFonts w:hint="eastAsia" w:ascii="仿宋_GB2312" w:hAnsi="仿宋_GB2312" w:eastAsia="仿宋_GB2312" w:cs="仿宋_GB2312"/>
                      <w:color w:val="auto"/>
                      <w:sz w:val="24"/>
                      <w:highlight w:val="none"/>
                      <w:lang w:eastAsia="zh-CN"/>
                    </w:rPr>
                    <w:t>其他工作</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eastAsia="仿宋_GB2312"/>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eastAsia="仿宋_GB2312"/>
                      <w:color w:val="auto"/>
                      <w:kern w:val="0"/>
                      <w:sz w:val="24"/>
                      <w:highlight w:val="none"/>
                    </w:rPr>
                  </w:pPr>
                  <w:r>
                    <w:rPr>
                      <w:rFonts w:hint="eastAsia" w:ascii="仿宋_GB2312" w:eastAsia="仿宋_GB2312"/>
                      <w:color w:val="auto"/>
                      <w:kern w:val="0"/>
                      <w:sz w:val="24"/>
                      <w:highlight w:val="none"/>
                    </w:rPr>
                    <w:t>宿管员</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E w:val="0"/>
                    <w:autoSpaceDN w:val="0"/>
                    <w:spacing w:line="360" w:lineRule="auto"/>
                    <w:jc w:val="both"/>
                    <w:rPr>
                      <w:rFonts w:hint="eastAsia" w:ascii="仿宋_GB2312" w:eastAsia="仿宋_GB2312"/>
                      <w:color w:val="auto"/>
                      <w:kern w:val="0"/>
                      <w:sz w:val="24"/>
                      <w:highlight w:val="none"/>
                      <w:lang w:eastAsia="zh-CN"/>
                    </w:rPr>
                  </w:pPr>
                  <w:r>
                    <w:rPr>
                      <w:rFonts w:hint="eastAsia" w:ascii="仿宋_GB2312" w:eastAsia="仿宋_GB2312"/>
                      <w:color w:val="auto"/>
                      <w:kern w:val="0"/>
                      <w:sz w:val="24"/>
                      <w:highlight w:val="none"/>
                      <w:lang w:val="en-US" w:eastAsia="zh-CN"/>
                    </w:rPr>
                    <w:t>1.高中（含中专）以上学历</w:t>
                  </w:r>
                  <w:r>
                    <w:rPr>
                      <w:rFonts w:hint="eastAsia" w:ascii="仿宋_GB2312" w:eastAsia="仿宋_GB2312"/>
                      <w:color w:val="auto"/>
                      <w:kern w:val="0"/>
                      <w:sz w:val="24"/>
                      <w:highlight w:val="none"/>
                      <w:lang w:eastAsia="zh-CN"/>
                    </w:rPr>
                    <w:t>；</w:t>
                  </w:r>
                </w:p>
                <w:p>
                  <w:pPr>
                    <w:numPr>
                      <w:ilvl w:val="0"/>
                      <w:numId w:val="0"/>
                    </w:numPr>
                    <w:autoSpaceDE w:val="0"/>
                    <w:autoSpaceDN w:val="0"/>
                    <w:spacing w:line="360" w:lineRule="auto"/>
                    <w:jc w:val="both"/>
                    <w:rPr>
                      <w:rFonts w:hint="eastAsia" w:ascii="仿宋_GB2312" w:eastAsia="仿宋_GB2312"/>
                      <w:color w:val="auto"/>
                      <w:kern w:val="0"/>
                      <w:sz w:val="24"/>
                      <w:highlight w:val="none"/>
                      <w:lang w:eastAsia="zh-CN"/>
                    </w:rPr>
                  </w:pPr>
                  <w:r>
                    <w:rPr>
                      <w:rFonts w:hint="eastAsia" w:ascii="仿宋_GB2312" w:eastAsia="仿宋_GB2312"/>
                      <w:color w:val="auto"/>
                      <w:kern w:val="0"/>
                      <w:sz w:val="24"/>
                      <w:highlight w:val="none"/>
                      <w:lang w:val="en-US" w:eastAsia="zh-CN"/>
                    </w:rPr>
                    <w:t>2.55</w:t>
                  </w:r>
                  <w:r>
                    <w:rPr>
                      <w:rFonts w:hint="eastAsia" w:ascii="仿宋_GB2312" w:eastAsia="仿宋_GB2312"/>
                      <w:color w:val="auto"/>
                      <w:kern w:val="0"/>
                      <w:sz w:val="24"/>
                      <w:highlight w:val="none"/>
                    </w:rPr>
                    <w:t>周岁以下</w:t>
                  </w:r>
                  <w:r>
                    <w:rPr>
                      <w:rFonts w:hint="eastAsia" w:ascii="仿宋_GB2312" w:eastAsia="仿宋_GB2312"/>
                      <w:color w:val="auto"/>
                      <w:kern w:val="0"/>
                      <w:sz w:val="24"/>
                      <w:highlight w:val="none"/>
                      <w:lang w:eastAsia="zh-CN"/>
                    </w:rPr>
                    <w:t>；</w:t>
                  </w:r>
                </w:p>
                <w:p>
                  <w:pPr>
                    <w:numPr>
                      <w:ilvl w:val="0"/>
                      <w:numId w:val="0"/>
                    </w:numPr>
                    <w:autoSpaceDE w:val="0"/>
                    <w:autoSpaceDN w:val="0"/>
                    <w:spacing w:line="360" w:lineRule="auto"/>
                    <w:ind w:left="0" w:leftChars="0" w:firstLine="0" w:firstLineChars="0"/>
                    <w:jc w:val="both"/>
                    <w:rPr>
                      <w:rFonts w:hint="default" w:ascii="仿宋_GB2312" w:eastAsia="仿宋_GB2312"/>
                      <w:color w:val="auto"/>
                      <w:sz w:val="24"/>
                      <w:highlight w:val="none"/>
                      <w:lang w:val="en-US" w:eastAsia="zh-CN"/>
                    </w:rPr>
                  </w:pPr>
                  <w:r>
                    <w:rPr>
                      <w:rFonts w:hint="eastAsia" w:ascii="仿宋_GB2312" w:eastAsia="仿宋_GB2312"/>
                      <w:color w:val="auto"/>
                      <w:kern w:val="0"/>
                      <w:sz w:val="24"/>
                      <w:highlight w:val="none"/>
                      <w:lang w:val="en-US" w:eastAsia="zh-CN"/>
                    </w:rPr>
                    <w:t>3.身心健康，</w:t>
                  </w:r>
                  <w:r>
                    <w:rPr>
                      <w:rFonts w:hint="eastAsia" w:ascii="仿宋_GB2312" w:eastAsia="仿宋_GB2312"/>
                      <w:color w:val="auto"/>
                      <w:kern w:val="0"/>
                      <w:sz w:val="24"/>
                      <w:highlight w:val="none"/>
                    </w:rPr>
                    <w:t>能简单操作电脑</w:t>
                  </w:r>
                  <w:r>
                    <w:rPr>
                      <w:rFonts w:hint="eastAsia"/>
                      <w:color w:val="auto"/>
                      <w:highlight w:val="none"/>
                      <w:lang w:eastAsia="zh-CN"/>
                    </w:rPr>
                    <w:t>、</w:t>
                  </w:r>
                  <w:r>
                    <w:rPr>
                      <w:rFonts w:hint="eastAsia" w:ascii="仿宋_GB2312" w:eastAsia="仿宋_GB2312"/>
                      <w:color w:val="auto"/>
                      <w:kern w:val="0"/>
                      <w:sz w:val="24"/>
                      <w:highlight w:val="none"/>
                      <w:lang w:val="en-US" w:eastAsia="zh-CN"/>
                    </w:rPr>
                    <w:t>智能手机。</w:t>
                  </w:r>
                </w:p>
              </w:tc>
              <w:tc>
                <w:tcPr>
                  <w:tcW w:w="4198" w:type="dxa"/>
                  <w:vMerge w:val="continue"/>
                  <w:tcBorders>
                    <w:left w:val="single" w:color="auto" w:sz="4" w:space="0"/>
                    <w:right w:val="single" w:color="auto" w:sz="4" w:space="0"/>
                  </w:tcBorders>
                  <w:noWrap w:val="0"/>
                  <w:vAlign w:val="center"/>
                </w:tcPr>
                <w:p>
                  <w:pPr>
                    <w:spacing w:line="360" w:lineRule="auto"/>
                    <w:ind w:firstLine="480" w:firstLineChars="200"/>
                    <w:jc w:val="left"/>
                    <w:rPr>
                      <w:rFonts w:hint="eastAsia" w:ascii="仿宋_GB2312" w:eastAsia="仿宋_GB2312"/>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eastAsia="zh-CN"/>
                    </w:rPr>
                    <w:t>维修维护人员</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both"/>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1.55</w:t>
                  </w:r>
                  <w:r>
                    <w:rPr>
                      <w:rFonts w:hint="eastAsia" w:ascii="仿宋_GB2312" w:eastAsia="仿宋_GB2312"/>
                      <w:color w:val="auto"/>
                      <w:sz w:val="24"/>
                      <w:highlight w:val="none"/>
                    </w:rPr>
                    <w:t>周岁以下（其中45岁以下占50%以上）；</w:t>
                  </w:r>
                </w:p>
                <w:p>
                  <w:pPr>
                    <w:numPr>
                      <w:ilvl w:val="0"/>
                      <w:numId w:val="0"/>
                    </w:numPr>
                    <w:spacing w:line="360" w:lineRule="auto"/>
                    <w:jc w:val="both"/>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2.至少90%人员持有低压电工操作证；</w:t>
                  </w:r>
                </w:p>
                <w:p>
                  <w:pPr>
                    <w:numPr>
                      <w:ilvl w:val="0"/>
                      <w:numId w:val="0"/>
                    </w:numPr>
                    <w:spacing w:line="360" w:lineRule="auto"/>
                    <w:jc w:val="both"/>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3.至少4人持有高压电工操作证；</w:t>
                  </w:r>
                </w:p>
                <w:p>
                  <w:pPr>
                    <w:numPr>
                      <w:ilvl w:val="0"/>
                      <w:numId w:val="0"/>
                    </w:numPr>
                    <w:spacing w:line="360" w:lineRule="auto"/>
                    <w:jc w:val="both"/>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4.至少4人持有高空作业证；</w:t>
                  </w:r>
                </w:p>
                <w:p>
                  <w:pPr>
                    <w:numPr>
                      <w:ilvl w:val="0"/>
                      <w:numId w:val="0"/>
                    </w:numPr>
                    <w:spacing w:line="360" w:lineRule="auto"/>
                    <w:jc w:val="both"/>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5.至少2人持有</w:t>
                  </w:r>
                  <w:r>
                    <w:rPr>
                      <w:rFonts w:hint="eastAsia" w:ascii="仿宋_GB2312" w:hAnsi="仿宋_GB2312" w:eastAsia="仿宋_GB2312" w:cs="仿宋_GB2312"/>
                      <w:color w:val="auto"/>
                      <w:sz w:val="24"/>
                      <w:szCs w:val="24"/>
                      <w:highlight w:val="none"/>
                    </w:rPr>
                    <w:t>特种设备安全管理A证</w:t>
                  </w:r>
                  <w:r>
                    <w:rPr>
                      <w:rFonts w:hint="eastAsia" w:ascii="仿宋_GB2312" w:eastAsia="仿宋_GB2312"/>
                      <w:color w:val="auto"/>
                      <w:sz w:val="24"/>
                      <w:highlight w:val="none"/>
                      <w:lang w:val="en-US" w:eastAsia="zh-CN"/>
                    </w:rPr>
                    <w:t>；</w:t>
                  </w:r>
                </w:p>
                <w:p>
                  <w:pPr>
                    <w:numPr>
                      <w:ilvl w:val="0"/>
                      <w:numId w:val="0"/>
                    </w:numPr>
                    <w:spacing w:line="360" w:lineRule="auto"/>
                    <w:jc w:val="both"/>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6.至少2人持有</w:t>
                  </w:r>
                  <w:r>
                    <w:rPr>
                      <w:rFonts w:hint="eastAsia" w:ascii="仿宋_GB2312" w:hAnsi="Calibri" w:eastAsia="仿宋_GB2312"/>
                      <w:color w:val="auto"/>
                      <w:sz w:val="24"/>
                      <w:highlight w:val="none"/>
                      <w:lang w:eastAsia="zh-CN"/>
                    </w:rPr>
                    <w:t>中</w:t>
                  </w:r>
                  <w:r>
                    <w:rPr>
                      <w:rFonts w:hint="eastAsia" w:ascii="仿宋_GB2312" w:hAnsi="Calibri" w:eastAsia="仿宋_GB2312"/>
                      <w:color w:val="auto"/>
                      <w:sz w:val="24"/>
                      <w:highlight w:val="none"/>
                    </w:rPr>
                    <w:t>级</w:t>
                  </w:r>
                  <w:r>
                    <w:rPr>
                      <w:rFonts w:hint="eastAsia" w:ascii="仿宋_GB2312" w:hAnsi="仿宋_GB2312" w:eastAsia="仿宋_GB2312" w:cs="仿宋_GB2312"/>
                      <w:color w:val="auto"/>
                      <w:sz w:val="24"/>
                      <w:highlight w:val="none"/>
                      <w:lang w:val="en-US" w:eastAsia="zh-CN"/>
                    </w:rPr>
                    <w:t>/四级</w:t>
                  </w:r>
                  <w:r>
                    <w:rPr>
                      <w:rFonts w:hint="eastAsia" w:ascii="仿宋_GB2312" w:hAnsi="仿宋_GB2312" w:eastAsia="仿宋_GB2312" w:cs="仿宋_GB2312"/>
                      <w:color w:val="auto"/>
                      <w:sz w:val="24"/>
                      <w:highlight w:val="none"/>
                      <w:lang w:eastAsia="zh-CN"/>
                    </w:rPr>
                    <w:t>以上</w:t>
                  </w:r>
                  <w:r>
                    <w:rPr>
                      <w:rFonts w:hint="eastAsia" w:ascii="仿宋_GB2312" w:hAnsi="Calibri" w:eastAsia="仿宋_GB2312"/>
                      <w:color w:val="auto"/>
                      <w:sz w:val="24"/>
                      <w:highlight w:val="none"/>
                    </w:rPr>
                    <w:t>电工</w:t>
                  </w:r>
                  <w:r>
                    <w:rPr>
                      <w:rFonts w:hint="eastAsia" w:ascii="仿宋_GB2312" w:hAnsi="Calibri" w:eastAsia="仿宋_GB2312"/>
                      <w:color w:val="auto"/>
                      <w:sz w:val="24"/>
                      <w:highlight w:val="none"/>
                      <w:lang w:val="en-US" w:eastAsia="zh-CN"/>
                    </w:rPr>
                    <w:t>或维修电工</w:t>
                  </w:r>
                  <w:r>
                    <w:rPr>
                      <w:rFonts w:hint="eastAsia" w:ascii="仿宋_GB2312" w:hAnsi="Calibri" w:eastAsia="仿宋_GB2312"/>
                      <w:color w:val="auto"/>
                      <w:sz w:val="24"/>
                      <w:highlight w:val="none"/>
                      <w:lang w:eastAsia="zh-CN"/>
                    </w:rPr>
                    <w:t>证。</w:t>
                  </w:r>
                </w:p>
              </w:tc>
              <w:tc>
                <w:tcPr>
                  <w:tcW w:w="4198" w:type="dxa"/>
                  <w:vMerge w:val="continue"/>
                  <w:tcBorders>
                    <w:left w:val="single" w:color="auto" w:sz="4" w:space="0"/>
                    <w:right w:val="single" w:color="auto" w:sz="4" w:space="0"/>
                  </w:tcBorders>
                  <w:noWrap w:val="0"/>
                  <w:vAlign w:val="center"/>
                </w:tcPr>
                <w:p>
                  <w:pPr>
                    <w:spacing w:line="360" w:lineRule="auto"/>
                    <w:ind w:firstLine="480" w:firstLineChars="200"/>
                    <w:jc w:val="left"/>
                    <w:rPr>
                      <w:rFonts w:hint="eastAsia" w:ascii="仿宋_GB2312" w:eastAsia="仿宋_GB2312"/>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Times New Roman" w:eastAsia="仿宋_GB2312" w:cs="Times New Roman"/>
                      <w:color w:val="auto"/>
                      <w:kern w:val="0"/>
                      <w:sz w:val="24"/>
                      <w:szCs w:val="24"/>
                      <w:highlight w:val="none"/>
                      <w:lang w:val="en-US" w:eastAsia="zh-CN" w:bidi="ar-SA"/>
                    </w:rPr>
                  </w:pPr>
                  <w:r>
                    <w:rPr>
                      <w:rFonts w:hint="eastAsia" w:ascii="仿宋_GB2312" w:eastAsia="仿宋_GB2312"/>
                      <w:color w:val="auto"/>
                      <w:kern w:val="0"/>
                      <w:sz w:val="24"/>
                      <w:highlight w:val="none"/>
                    </w:rPr>
                    <w:t>保洁员</w:t>
                  </w:r>
                </w:p>
              </w:tc>
              <w:tc>
                <w:tcPr>
                  <w:tcW w:w="2593" w:type="dxa"/>
                  <w:vMerge w:val="restart"/>
                  <w:tcBorders>
                    <w:top w:val="single" w:color="auto" w:sz="4" w:space="0"/>
                    <w:left w:val="single" w:color="auto" w:sz="4" w:space="0"/>
                    <w:right w:val="single" w:color="auto" w:sz="4" w:space="0"/>
                  </w:tcBorders>
                  <w:noWrap w:val="0"/>
                  <w:vAlign w:val="center"/>
                </w:tcPr>
                <w:p>
                  <w:pPr>
                    <w:spacing w:line="360" w:lineRule="auto"/>
                    <w:jc w:val="left"/>
                    <w:rPr>
                      <w:rFonts w:hint="eastAsia" w:ascii="仿宋_GB2312" w:eastAsia="仿宋_GB2312"/>
                      <w:color w:val="auto"/>
                      <w:kern w:val="0"/>
                      <w:sz w:val="24"/>
                      <w:highlight w:val="none"/>
                      <w:lang w:eastAsia="zh-CN"/>
                    </w:rPr>
                  </w:pPr>
                  <w:r>
                    <w:rPr>
                      <w:rFonts w:hint="eastAsia" w:ascii="仿宋_GB2312" w:eastAsia="仿宋_GB2312"/>
                      <w:color w:val="auto"/>
                      <w:kern w:val="0"/>
                      <w:sz w:val="24"/>
                      <w:highlight w:val="none"/>
                      <w:lang w:val="en-US" w:eastAsia="zh-CN"/>
                    </w:rPr>
                    <w:t>1.55</w:t>
                  </w:r>
                  <w:r>
                    <w:rPr>
                      <w:rFonts w:hint="eastAsia" w:ascii="仿宋_GB2312" w:eastAsia="仿宋_GB2312"/>
                      <w:color w:val="auto"/>
                      <w:kern w:val="0"/>
                      <w:sz w:val="24"/>
                      <w:highlight w:val="none"/>
                    </w:rPr>
                    <w:t>周岁以下</w:t>
                  </w:r>
                  <w:r>
                    <w:rPr>
                      <w:rFonts w:hint="eastAsia" w:ascii="仿宋_GB2312" w:eastAsia="仿宋_GB2312"/>
                      <w:color w:val="auto"/>
                      <w:kern w:val="0"/>
                      <w:sz w:val="24"/>
                      <w:highlight w:val="none"/>
                      <w:lang w:eastAsia="zh-CN"/>
                    </w:rPr>
                    <w:t>；</w:t>
                  </w:r>
                </w:p>
                <w:p>
                  <w:pPr>
                    <w:numPr>
                      <w:ilvl w:val="0"/>
                      <w:numId w:val="0"/>
                    </w:numPr>
                    <w:spacing w:line="360" w:lineRule="auto"/>
                    <w:jc w:val="left"/>
                    <w:rPr>
                      <w:rFonts w:hint="eastAsia" w:ascii="仿宋_GB2312" w:eastAsia="仿宋_GB2312"/>
                      <w:color w:val="auto"/>
                      <w:kern w:val="0"/>
                      <w:sz w:val="24"/>
                      <w:highlight w:val="none"/>
                      <w:lang w:eastAsia="zh-CN"/>
                    </w:rPr>
                  </w:pPr>
                  <w:r>
                    <w:rPr>
                      <w:rFonts w:hint="eastAsia" w:ascii="仿宋_GB2312" w:eastAsia="仿宋_GB2312"/>
                      <w:color w:val="auto"/>
                      <w:kern w:val="0"/>
                      <w:sz w:val="24"/>
                      <w:highlight w:val="none"/>
                      <w:lang w:val="en-US" w:eastAsia="zh-CN"/>
                    </w:rPr>
                    <w:t>2.</w:t>
                  </w:r>
                  <w:r>
                    <w:rPr>
                      <w:rFonts w:hint="eastAsia" w:ascii="仿宋_GB2312" w:eastAsia="仿宋_GB2312"/>
                      <w:color w:val="auto"/>
                      <w:kern w:val="0"/>
                      <w:sz w:val="24"/>
                      <w:highlight w:val="none"/>
                    </w:rPr>
                    <w:t>身体健康状况良好</w:t>
                  </w:r>
                  <w:r>
                    <w:rPr>
                      <w:rFonts w:hint="eastAsia" w:ascii="仿宋_GB2312" w:eastAsia="仿宋_GB2312"/>
                      <w:color w:val="auto"/>
                      <w:kern w:val="0"/>
                      <w:sz w:val="24"/>
                      <w:highlight w:val="none"/>
                      <w:lang w:eastAsia="zh-CN"/>
                    </w:rPr>
                    <w:t>；</w:t>
                  </w:r>
                </w:p>
                <w:p>
                  <w:pPr>
                    <w:numPr>
                      <w:ilvl w:val="0"/>
                      <w:numId w:val="0"/>
                    </w:numPr>
                    <w:spacing w:line="360" w:lineRule="auto"/>
                    <w:jc w:val="left"/>
                    <w:rPr>
                      <w:rFonts w:hint="eastAsia" w:ascii="仿宋_GB2312" w:eastAsia="仿宋_GB2312"/>
                      <w:color w:val="auto"/>
                      <w:kern w:val="0"/>
                      <w:sz w:val="24"/>
                      <w:highlight w:val="none"/>
                      <w:lang w:val="en-US" w:eastAsia="zh-CN"/>
                    </w:rPr>
                  </w:pPr>
                  <w:r>
                    <w:rPr>
                      <w:rFonts w:hint="eastAsia" w:ascii="仿宋_GB2312" w:eastAsia="仿宋_GB2312"/>
                      <w:color w:val="auto"/>
                      <w:kern w:val="0"/>
                      <w:sz w:val="24"/>
                      <w:highlight w:val="none"/>
                      <w:lang w:val="en-US" w:eastAsia="zh-CN"/>
                    </w:rPr>
                    <w:t>3.绿化养护员至少1人</w:t>
                  </w:r>
                  <w:r>
                    <w:rPr>
                      <w:rFonts w:hint="eastAsia" w:ascii="仿宋_GB2312" w:eastAsia="仿宋_GB2312"/>
                      <w:color w:val="auto"/>
                      <w:sz w:val="24"/>
                      <w:highlight w:val="none"/>
                      <w:lang w:val="en-US" w:eastAsia="zh-CN"/>
                    </w:rPr>
                    <w:t>持有</w:t>
                  </w:r>
                  <w:r>
                    <w:rPr>
                      <w:rFonts w:hint="eastAsia" w:ascii="仿宋_GB2312" w:hAnsi="仿宋_GB2312" w:eastAsia="仿宋_GB2312" w:cs="仿宋_GB2312"/>
                      <w:color w:val="auto"/>
                      <w:sz w:val="24"/>
                      <w:highlight w:val="none"/>
                      <w:lang w:eastAsia="zh-CN"/>
                    </w:rPr>
                    <w:t>园林绿化工证</w:t>
                  </w:r>
                  <w:r>
                    <w:rPr>
                      <w:rFonts w:hint="eastAsia" w:ascii="仿宋_GB2312" w:eastAsia="仿宋_GB2312"/>
                      <w:color w:val="auto"/>
                      <w:kern w:val="0"/>
                      <w:sz w:val="24"/>
                      <w:highlight w:val="none"/>
                      <w:lang w:val="en-US" w:eastAsia="zh-CN"/>
                    </w:rPr>
                    <w:t>。</w:t>
                  </w:r>
                </w:p>
              </w:tc>
              <w:tc>
                <w:tcPr>
                  <w:tcW w:w="4198" w:type="dxa"/>
                  <w:vMerge w:val="continue"/>
                  <w:tcBorders>
                    <w:left w:val="single" w:color="auto" w:sz="4" w:space="0"/>
                    <w:right w:val="single" w:color="auto" w:sz="4" w:space="0"/>
                  </w:tcBorders>
                  <w:noWrap w:val="0"/>
                  <w:vAlign w:val="center"/>
                </w:tcPr>
                <w:p>
                  <w:pPr>
                    <w:spacing w:line="360" w:lineRule="auto"/>
                    <w:ind w:firstLine="480" w:firstLineChars="200"/>
                    <w:jc w:val="left"/>
                    <w:rPr>
                      <w:rFonts w:hint="eastAsia" w:ascii="仿宋_GB2312" w:eastAsia="仿宋_GB2312"/>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2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仿宋_GB2312" w:eastAsia="仿宋_GB2312"/>
                      <w:color w:val="auto"/>
                      <w:kern w:val="0"/>
                      <w:sz w:val="24"/>
                      <w:highlight w:val="none"/>
                    </w:rPr>
                  </w:pPr>
                  <w:r>
                    <w:rPr>
                      <w:rFonts w:hint="eastAsia" w:ascii="仿宋_GB2312" w:eastAsia="仿宋_GB2312"/>
                      <w:color w:val="auto"/>
                      <w:kern w:val="0"/>
                      <w:sz w:val="24"/>
                      <w:highlight w:val="none"/>
                      <w:lang w:eastAsia="zh-CN"/>
                    </w:rPr>
                    <w:t>绿化养护员</w:t>
                  </w:r>
                </w:p>
              </w:tc>
              <w:tc>
                <w:tcPr>
                  <w:tcW w:w="2593" w:type="dxa"/>
                  <w:vMerge w:val="continue"/>
                  <w:tcBorders>
                    <w:left w:val="single" w:color="auto" w:sz="4" w:space="0"/>
                    <w:bottom w:val="single" w:color="auto" w:sz="4" w:space="0"/>
                    <w:right w:val="single" w:color="auto" w:sz="4" w:space="0"/>
                  </w:tcBorders>
                  <w:noWrap w:val="0"/>
                  <w:vAlign w:val="center"/>
                </w:tcPr>
                <w:p>
                  <w:pPr>
                    <w:autoSpaceDE w:val="0"/>
                    <w:autoSpaceDN w:val="0"/>
                    <w:spacing w:line="360" w:lineRule="auto"/>
                    <w:jc w:val="both"/>
                    <w:rPr>
                      <w:rFonts w:hint="eastAsia" w:ascii="仿宋_GB2312" w:eastAsia="仿宋_GB2312"/>
                      <w:color w:val="auto"/>
                      <w:kern w:val="0"/>
                      <w:sz w:val="24"/>
                      <w:highlight w:val="none"/>
                      <w:lang w:val="en-US" w:eastAsia="zh-CN"/>
                    </w:rPr>
                  </w:pPr>
                </w:p>
              </w:tc>
              <w:tc>
                <w:tcPr>
                  <w:tcW w:w="4198" w:type="dxa"/>
                  <w:vMerge w:val="continue"/>
                  <w:tcBorders>
                    <w:left w:val="single" w:color="auto" w:sz="4" w:space="0"/>
                    <w:bottom w:val="single" w:color="auto" w:sz="4" w:space="0"/>
                    <w:right w:val="single" w:color="auto" w:sz="4" w:space="0"/>
                  </w:tcBorders>
                  <w:noWrap w:val="0"/>
                  <w:vAlign w:val="center"/>
                </w:tcPr>
                <w:p>
                  <w:pPr>
                    <w:spacing w:line="360" w:lineRule="auto"/>
                    <w:ind w:firstLine="480" w:firstLineChars="200"/>
                    <w:jc w:val="left"/>
                    <w:rPr>
                      <w:rFonts w:hint="eastAsia" w:ascii="仿宋_GB2312" w:eastAsia="仿宋_GB2312"/>
                      <w:color w:val="auto"/>
                      <w:sz w:val="24"/>
                      <w:highlight w:val="none"/>
                      <w:lang w:eastAsia="zh-CN"/>
                    </w:rPr>
                  </w:pPr>
                </w:p>
              </w:tc>
            </w:tr>
          </w:tbl>
          <w:p>
            <w:pPr>
              <w:widowControl/>
              <w:spacing w:line="360" w:lineRule="auto"/>
              <w:ind w:firstLine="482" w:firstLineChars="200"/>
              <w:jc w:val="left"/>
              <w:rPr>
                <w:rStyle w:val="825"/>
                <w:rFonts w:hint="eastAsia" w:ascii="仿宋_GB2312" w:hAnsi="仿宋_GB2312" w:eastAsia="仿宋_GB2312" w:cs="仿宋_GB2312"/>
                <w:b/>
                <w:bCs/>
                <w:color w:val="auto"/>
                <w:kern w:val="0"/>
                <w:sz w:val="24"/>
                <w:szCs w:val="24"/>
                <w:highlight w:val="none"/>
                <w:lang w:val="en-US" w:eastAsia="zh-CN"/>
              </w:rPr>
            </w:pPr>
            <w:r>
              <w:rPr>
                <w:rStyle w:val="825"/>
                <w:rFonts w:hint="eastAsia" w:ascii="仿宋_GB2312" w:hAnsi="仿宋_GB2312" w:eastAsia="仿宋_GB2312" w:cs="仿宋_GB2312"/>
                <w:b/>
                <w:bCs/>
                <w:color w:val="auto"/>
                <w:kern w:val="0"/>
                <w:sz w:val="24"/>
                <w:szCs w:val="24"/>
                <w:highlight w:val="none"/>
                <w:lang w:val="en-US" w:eastAsia="zh-CN"/>
              </w:rPr>
              <w:t>注：1</w:t>
            </w:r>
            <w:r>
              <w:rPr>
                <w:rStyle w:val="825"/>
                <w:rFonts w:hint="eastAsia" w:ascii="仿宋_GB2312" w:hAnsi="仿宋_GB2312" w:eastAsia="仿宋_GB2312" w:cs="仿宋_GB2312"/>
                <w:b/>
                <w:bCs/>
                <w:color w:val="auto"/>
                <w:kern w:val="0"/>
                <w:sz w:val="24"/>
                <w:szCs w:val="24"/>
                <w:highlight w:val="none"/>
              </w:rPr>
              <w:t>.进场时由采购人按采购需求</w:t>
            </w:r>
            <w:r>
              <w:rPr>
                <w:rStyle w:val="825"/>
                <w:rFonts w:hint="eastAsia" w:ascii="仿宋_GB2312" w:hAnsi="仿宋_GB2312" w:eastAsia="仿宋_GB2312" w:cs="仿宋_GB2312"/>
                <w:b/>
                <w:bCs/>
                <w:color w:val="auto"/>
                <w:kern w:val="0"/>
                <w:sz w:val="24"/>
                <w:szCs w:val="24"/>
                <w:highlight w:val="none"/>
                <w:lang w:val="en-US" w:eastAsia="zh-CN"/>
              </w:rPr>
              <w:t>和中标人投标文件</w:t>
            </w:r>
            <w:r>
              <w:rPr>
                <w:rStyle w:val="825"/>
                <w:rFonts w:hint="eastAsia" w:ascii="仿宋_GB2312" w:hAnsi="仿宋_GB2312" w:eastAsia="仿宋_GB2312" w:cs="仿宋_GB2312"/>
                <w:b/>
                <w:bCs/>
                <w:color w:val="auto"/>
                <w:kern w:val="0"/>
                <w:sz w:val="24"/>
                <w:szCs w:val="24"/>
                <w:highlight w:val="none"/>
              </w:rPr>
              <w:t>对所有服务人员的相关证明材料原件(如工作证明材料、资格证书、身份证等)进行验证，达不到要求的将不予验收</w:t>
            </w:r>
            <w:r>
              <w:rPr>
                <w:rStyle w:val="825"/>
                <w:rFonts w:hint="eastAsia" w:ascii="仿宋_GB2312" w:hAnsi="仿宋_GB2312" w:eastAsia="仿宋_GB2312" w:cs="仿宋_GB2312"/>
                <w:b/>
                <w:bCs/>
                <w:color w:val="auto"/>
                <w:kern w:val="0"/>
                <w:sz w:val="24"/>
                <w:szCs w:val="24"/>
                <w:highlight w:val="none"/>
                <w:lang w:val="en-US" w:eastAsia="zh-CN"/>
              </w:rPr>
              <w:t>.</w:t>
            </w:r>
          </w:p>
          <w:p>
            <w:pPr>
              <w:widowControl/>
              <w:spacing w:line="360" w:lineRule="auto"/>
              <w:ind w:firstLine="482" w:firstLineChars="200"/>
              <w:jc w:val="left"/>
              <w:rPr>
                <w:rFonts w:ascii="仿宋_GB2312" w:hAnsi="Calibri" w:eastAsia="仿宋_GB2312"/>
                <w:b/>
                <w:bCs/>
                <w:color w:val="auto"/>
                <w:sz w:val="24"/>
                <w:highlight w:val="none"/>
              </w:rPr>
            </w:pPr>
            <w:r>
              <w:rPr>
                <w:rFonts w:hint="eastAsia" w:ascii="仿宋_GB2312" w:hAnsi="Calibri" w:eastAsia="仿宋_GB2312"/>
                <w:b/>
                <w:bCs/>
                <w:color w:val="auto"/>
                <w:sz w:val="24"/>
                <w:highlight w:val="none"/>
              </w:rPr>
              <w:t>三、物业服务内容及具体要求</w:t>
            </w:r>
          </w:p>
          <w:p>
            <w:pPr>
              <w:widowControl/>
              <w:spacing w:line="360" w:lineRule="auto"/>
              <w:ind w:firstLine="482" w:firstLineChars="200"/>
              <w:jc w:val="left"/>
              <w:rPr>
                <w:rFonts w:ascii="仿宋_GB2312" w:hAnsi="Calibri" w:eastAsia="仿宋_GB2312"/>
                <w:b/>
                <w:bCs/>
                <w:color w:val="auto"/>
                <w:sz w:val="24"/>
                <w:highlight w:val="none"/>
                <w:u w:val="none"/>
              </w:rPr>
            </w:pPr>
            <w:r>
              <w:rPr>
                <w:rFonts w:hint="eastAsia" w:ascii="仿宋_GB2312" w:hAnsi="Calibri" w:eastAsia="仿宋_GB2312"/>
                <w:b/>
                <w:bCs/>
                <w:color w:val="auto"/>
                <w:sz w:val="24"/>
                <w:highlight w:val="none"/>
                <w:u w:val="none"/>
              </w:rPr>
              <w:t>（一）服务概述及目标</w:t>
            </w:r>
          </w:p>
          <w:p>
            <w:pPr>
              <w:widowControl/>
              <w:tabs>
                <w:tab w:val="left" w:pos="555"/>
              </w:tabs>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1、物业服务内容包括</w:t>
            </w:r>
            <w:r>
              <w:rPr>
                <w:rFonts w:hint="eastAsia" w:ascii="仿宋_GB2312" w:hAnsi="Calibri" w:eastAsia="仿宋_GB2312"/>
                <w:bCs/>
                <w:color w:val="auto"/>
                <w:sz w:val="24"/>
                <w:highlight w:val="none"/>
              </w:rPr>
              <w:t>社湾校区</w:t>
            </w:r>
            <w:r>
              <w:rPr>
                <w:rFonts w:hint="eastAsia" w:ascii="仿宋_GB2312" w:hAnsi="Calibri" w:eastAsia="仿宋_GB2312"/>
                <w:bCs/>
                <w:color w:val="auto"/>
                <w:sz w:val="24"/>
                <w:highlight w:val="none"/>
                <w:lang w:val="en-US" w:eastAsia="zh-CN"/>
              </w:rPr>
              <w:t>和官塘校区</w:t>
            </w:r>
            <w:r>
              <w:rPr>
                <w:rFonts w:hint="eastAsia" w:ascii="仿宋_GB2312" w:hAnsi="Calibri" w:eastAsia="仿宋_GB2312"/>
                <w:color w:val="auto"/>
                <w:sz w:val="24"/>
                <w:highlight w:val="none"/>
              </w:rPr>
              <w:t>综合管理服务、学生公寓（宿舍）管理，校园安全防范管理，校园房屋及设施设备的维护维修管理、校园卫生保洁</w:t>
            </w:r>
            <w:r>
              <w:rPr>
                <w:rFonts w:hint="eastAsia" w:ascii="仿宋_GB2312" w:hAnsi="Calibri" w:eastAsia="仿宋_GB2312"/>
                <w:color w:val="auto"/>
                <w:sz w:val="24"/>
                <w:highlight w:val="none"/>
                <w:lang w:eastAsia="zh-CN"/>
              </w:rPr>
              <w:t>、校园绿化养护</w:t>
            </w:r>
            <w:r>
              <w:rPr>
                <w:rFonts w:hint="eastAsia" w:ascii="仿宋_GB2312" w:hAnsi="Calibri" w:eastAsia="仿宋_GB2312"/>
                <w:color w:val="auto"/>
                <w:sz w:val="24"/>
                <w:highlight w:val="none"/>
              </w:rPr>
              <w:t>等。</w:t>
            </w:r>
          </w:p>
          <w:p>
            <w:pPr>
              <w:autoSpaceDE w:val="0"/>
              <w:autoSpaceDN w:val="0"/>
              <w:snapToGrid w:val="0"/>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日常管理工作</w:t>
            </w:r>
            <w:r>
              <w:rPr>
                <w:rFonts w:hint="eastAsia" w:ascii="仿宋_GB2312" w:hAnsi="Calibri" w:eastAsia="仿宋_GB2312"/>
                <w:color w:val="auto"/>
                <w:sz w:val="24"/>
                <w:highlight w:val="none"/>
                <w:lang w:eastAsia="zh-CN"/>
              </w:rPr>
              <w:t>要求</w:t>
            </w:r>
            <w:r>
              <w:rPr>
                <w:rFonts w:hint="eastAsia" w:ascii="仿宋_GB2312" w:hAnsi="Calibri" w:eastAsia="仿宋_GB2312"/>
                <w:color w:val="auto"/>
                <w:sz w:val="24"/>
                <w:highlight w:val="none"/>
              </w:rPr>
              <w:t>具有集中统一的企业理念、运行机制、管理结构、着装标识，具有明确的各项管理服务标准和质量保证体系、应急预案，并符合高等学校物业服务规范，</w:t>
            </w:r>
            <w:r>
              <w:rPr>
                <w:rFonts w:hint="eastAsia" w:ascii="仿宋_GB2312" w:hAnsi="Calibri" w:eastAsia="仿宋_GB2312"/>
                <w:color w:val="auto"/>
                <w:sz w:val="24"/>
                <w:highlight w:val="none"/>
                <w:lang w:val="zh-CN"/>
              </w:rPr>
              <w:t>保证各项服务工作科学化、标准化、规范化和人性化，</w:t>
            </w:r>
            <w:r>
              <w:rPr>
                <w:rFonts w:hint="eastAsia" w:ascii="仿宋_GB2312" w:hAnsi="Calibri" w:eastAsia="仿宋_GB2312"/>
                <w:color w:val="auto"/>
                <w:sz w:val="24"/>
                <w:highlight w:val="none"/>
              </w:rPr>
              <w:t>以满足校区教育教学需要，创造安全、</w:t>
            </w:r>
            <w:r>
              <w:rPr>
                <w:rFonts w:hint="eastAsia" w:ascii="仿宋_GB2312" w:hAnsi="Calibri" w:eastAsia="仿宋_GB2312"/>
                <w:color w:val="auto"/>
                <w:sz w:val="24"/>
                <w:highlight w:val="none"/>
                <w:lang w:eastAsia="zh-CN"/>
              </w:rPr>
              <w:t>文明、</w:t>
            </w:r>
            <w:r>
              <w:rPr>
                <w:rFonts w:hint="eastAsia" w:ascii="仿宋_GB2312" w:hAnsi="Calibri" w:eastAsia="仿宋_GB2312"/>
                <w:color w:val="auto"/>
                <w:sz w:val="24"/>
                <w:highlight w:val="none"/>
              </w:rPr>
              <w:t>卫生、舒适的教学和生活环境。</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3、管理服务应达到各项指标要求，如不达标，按照《</w:t>
            </w:r>
            <w:r>
              <w:rPr>
                <w:rFonts w:hint="eastAsia" w:ascii="仿宋_GB2312" w:hAnsi="Calibri" w:eastAsia="仿宋_GB2312"/>
                <w:color w:val="auto"/>
                <w:sz w:val="24"/>
                <w:highlight w:val="none"/>
                <w:lang w:eastAsia="zh-CN"/>
              </w:rPr>
              <w:t>柳州职业技术学院</w:t>
            </w:r>
            <w:r>
              <w:rPr>
                <w:rFonts w:hint="eastAsia" w:ascii="仿宋_GB2312" w:hAnsi="Calibri" w:eastAsia="仿宋_GB2312"/>
                <w:color w:val="auto"/>
                <w:sz w:val="24"/>
                <w:highlight w:val="none"/>
              </w:rPr>
              <w:t>物业服务考核办法》进行对应处理：</w:t>
            </w:r>
          </w:p>
          <w:p>
            <w:pPr>
              <w:autoSpaceDE w:val="0"/>
              <w:autoSpaceDN w:val="0"/>
              <w:snapToGrid w:val="0"/>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3.1责任事故率为0</w:t>
            </w:r>
            <w:r>
              <w:rPr>
                <w:rFonts w:hint="eastAsia" w:ascii="仿宋_GB2312" w:hAnsi="Calibri" w:eastAsia="仿宋_GB2312"/>
                <w:color w:val="auto"/>
                <w:sz w:val="24"/>
                <w:highlight w:val="none"/>
                <w:lang w:eastAsia="zh-CN"/>
              </w:rPr>
              <w:t>；</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通过月度考核，要求学生公寓（宿舍）管理，校园安全防范管理，校园房屋及设施设备的维护维修管理、校园卫生保洁</w:t>
            </w:r>
            <w:r>
              <w:rPr>
                <w:rFonts w:hint="eastAsia" w:ascii="仿宋_GB2312" w:hAnsi="Calibri" w:eastAsia="仿宋_GB2312"/>
                <w:color w:val="auto"/>
                <w:sz w:val="24"/>
                <w:highlight w:val="none"/>
                <w:lang w:eastAsia="zh-CN"/>
              </w:rPr>
              <w:t>、校园绿化养护</w:t>
            </w:r>
            <w:r>
              <w:rPr>
                <w:rFonts w:hint="eastAsia" w:ascii="仿宋_GB2312" w:hAnsi="Calibri" w:eastAsia="仿宋_GB2312"/>
                <w:color w:val="auto"/>
                <w:sz w:val="24"/>
                <w:highlight w:val="none"/>
              </w:rPr>
              <w:t>等责任事故率均为0；</w:t>
            </w:r>
          </w:p>
          <w:p>
            <w:pPr>
              <w:autoSpaceDE w:val="0"/>
              <w:autoSpaceDN w:val="0"/>
              <w:snapToGrid w:val="0"/>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3.2消防设备设施完好率不小于99%</w:t>
            </w:r>
            <w:r>
              <w:rPr>
                <w:rFonts w:hint="eastAsia" w:ascii="仿宋_GB2312" w:hAnsi="Calibri" w:eastAsia="仿宋_GB2312"/>
                <w:color w:val="auto"/>
                <w:sz w:val="24"/>
                <w:highlight w:val="none"/>
                <w:lang w:eastAsia="zh-CN"/>
              </w:rPr>
              <w:t>；</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通过月度考核，要求校园安全防范管理中消防设备设施完好率不小于99%；</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3.3零修、报修及时率不小于95%，返修率小于1%；</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通过月度考核，要求校园房屋及设施设备的维护维修管理中零修、报修及时率不小于95%，返修率小于1%；</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3.4维修工程质量合格率100%</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通过月度考核，要求校园房屋及设施设备的维护维修管理中维修工程质量合格率达到100%；</w:t>
            </w:r>
          </w:p>
          <w:p>
            <w:pPr>
              <w:autoSpaceDE w:val="0"/>
              <w:autoSpaceDN w:val="0"/>
              <w:snapToGrid w:val="0"/>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3.5卫生保洁合格率不小于98%</w:t>
            </w:r>
            <w:r>
              <w:rPr>
                <w:rFonts w:hint="eastAsia" w:ascii="仿宋_GB2312" w:hAnsi="Calibri" w:eastAsia="仿宋_GB2312"/>
                <w:color w:val="auto"/>
                <w:sz w:val="24"/>
                <w:highlight w:val="none"/>
                <w:lang w:eastAsia="zh-CN"/>
              </w:rPr>
              <w:t>；</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通过月度考核，要求校园卫生保洁中卫生保洁合格率不小于98%；</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3.6服务有效投诉少于5%，处理率100%</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通过月度考核，要求综合服务管理中的服务有效投诉少于5%，处理率达到100%；</w:t>
            </w:r>
          </w:p>
          <w:p>
            <w:pPr>
              <w:autoSpaceDE w:val="0"/>
              <w:autoSpaceDN w:val="0"/>
              <w:snapToGrid w:val="0"/>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3.7业主单位满意率不低于85%</w:t>
            </w:r>
            <w:r>
              <w:rPr>
                <w:rFonts w:hint="eastAsia" w:ascii="仿宋_GB2312" w:hAnsi="Calibri" w:eastAsia="仿宋_GB2312"/>
                <w:color w:val="auto"/>
                <w:sz w:val="24"/>
                <w:highlight w:val="none"/>
                <w:lang w:eastAsia="zh-CN"/>
              </w:rPr>
              <w:t>；</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通过年度对物业服务工作的满意率测评，要求满意率不低于85%。</w:t>
            </w:r>
          </w:p>
          <w:p>
            <w:pPr>
              <w:autoSpaceDE w:val="0"/>
              <w:autoSpaceDN w:val="0"/>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4、按照各项指标提供服务，在校方服务范围、内容不变的前提下，物业不得以任何项目、任何理由要求校方增加支出。</w:t>
            </w:r>
          </w:p>
          <w:p>
            <w:pPr>
              <w:spacing w:line="360" w:lineRule="auto"/>
              <w:ind w:firstLine="482" w:firstLineChars="200"/>
              <w:jc w:val="left"/>
              <w:rPr>
                <w:rFonts w:ascii="仿宋_GB2312" w:hAnsi="Calibri" w:eastAsia="仿宋_GB2312"/>
                <w:b/>
                <w:bCs/>
                <w:color w:val="auto"/>
                <w:sz w:val="24"/>
                <w:highlight w:val="none"/>
                <w:u w:val="none"/>
              </w:rPr>
            </w:pPr>
            <w:r>
              <w:rPr>
                <w:rFonts w:hint="eastAsia" w:ascii="仿宋_GB2312" w:hAnsi="Calibri" w:eastAsia="仿宋_GB2312"/>
                <w:b/>
                <w:bCs/>
                <w:color w:val="auto"/>
                <w:sz w:val="24"/>
                <w:highlight w:val="none"/>
                <w:u w:val="none"/>
              </w:rPr>
              <w:t>（二）综合管理服务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1、常规服务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1.1公共业务受理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1.1.1设立物业服务中心24小时服务电话，8小时/天(具体在岗时间由双方商定)前台服务综合服务岗</w:t>
            </w:r>
            <w:r>
              <w:rPr>
                <w:rFonts w:hint="eastAsia" w:ascii="仿宋_GB2312" w:hAnsi="Calibri" w:eastAsia="仿宋_GB2312"/>
                <w:color w:val="auto"/>
                <w:sz w:val="24"/>
                <w:highlight w:val="none"/>
                <w:lang w:eastAsia="zh-CN"/>
              </w:rPr>
              <w:t>（由物业服务人员兼任）</w:t>
            </w:r>
            <w:r>
              <w:rPr>
                <w:rFonts w:hint="eastAsia" w:ascii="仿宋_GB2312" w:hAnsi="Calibri" w:eastAsia="仿宋_GB2312"/>
                <w:color w:val="auto"/>
                <w:sz w:val="24"/>
                <w:highlight w:val="none"/>
              </w:rPr>
              <w:t>，受理校区管理部门指定的公共服务类业务；</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1.1.2实施值班经理</w:t>
            </w:r>
            <w:r>
              <w:rPr>
                <w:rFonts w:hint="eastAsia" w:ascii="仿宋_GB2312" w:hAnsi="Calibri" w:eastAsia="仿宋_GB2312"/>
                <w:color w:val="auto"/>
                <w:sz w:val="24"/>
                <w:highlight w:val="none"/>
                <w:lang w:eastAsia="zh-CN"/>
              </w:rPr>
              <w:t>及夜间值班</w:t>
            </w:r>
            <w:r>
              <w:rPr>
                <w:rFonts w:hint="eastAsia" w:ascii="仿宋_GB2312" w:hAnsi="Calibri" w:eastAsia="仿宋_GB2312"/>
                <w:color w:val="auto"/>
                <w:sz w:val="24"/>
                <w:highlight w:val="none"/>
              </w:rPr>
              <w:t>制度，保证夜间突发事件应急处理的及时有效性；</w:t>
            </w:r>
            <w:r>
              <w:rPr>
                <w:rFonts w:hint="eastAsia" w:ascii="仿宋_GB2312" w:hAnsi="Calibri" w:eastAsia="仿宋_GB2312"/>
                <w:color w:val="auto"/>
                <w:sz w:val="24"/>
                <w:highlight w:val="none"/>
                <w:lang w:eastAsia="zh-CN"/>
              </w:rPr>
              <w:t>物业服务中心人员掌握基本的应急救护知识，持有相应的培训证书，</w:t>
            </w:r>
            <w:r>
              <w:rPr>
                <w:rFonts w:hint="eastAsia" w:ascii="仿宋_GB2312" w:hAnsi="仿宋_GB2312" w:eastAsia="仿宋_GB2312" w:cs="仿宋_GB2312"/>
                <w:color w:val="auto"/>
                <w:sz w:val="24"/>
                <w:highlight w:val="none"/>
                <w:lang w:eastAsia="zh-CN"/>
              </w:rPr>
              <w:t>学生突发受伤时，视情况进行及时的应急救治</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1.1.3校区闲置公共资产的管理；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1.1.4各楼宇值班员注意维护大厅的整洁、有序和安全，向访客提供关于校园情况、办公楼内部各服务功能的咨询；</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1.1.5接到学校服务中心（3156110、3159110）反映的问题后，24小时内整改完毕，否则</w:t>
            </w:r>
            <w:r>
              <w:rPr>
                <w:rFonts w:hint="eastAsia" w:ascii="仿宋_GB2312" w:hAnsi="Calibri" w:eastAsia="仿宋_GB2312"/>
                <w:color w:val="auto"/>
                <w:sz w:val="24"/>
                <w:highlight w:val="none"/>
                <w:lang w:val="en-US" w:eastAsia="zh-CN"/>
              </w:rPr>
              <w:t>按附件4</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eastAsia="zh-CN"/>
              </w:rPr>
              <w:t>柳州职业技术学院</w:t>
            </w:r>
            <w:r>
              <w:rPr>
                <w:rFonts w:hint="eastAsia" w:ascii="仿宋_GB2312" w:hAnsi="Calibri" w:eastAsia="仿宋_GB2312"/>
                <w:color w:val="auto"/>
                <w:sz w:val="24"/>
                <w:highlight w:val="none"/>
              </w:rPr>
              <w:t>物业</w:t>
            </w:r>
            <w:r>
              <w:rPr>
                <w:rFonts w:hint="eastAsia" w:ascii="仿宋_GB2312" w:hAnsi="Calibri" w:eastAsia="仿宋_GB2312"/>
                <w:color w:val="auto"/>
                <w:sz w:val="24"/>
                <w:highlight w:val="none"/>
                <w:lang w:eastAsia="zh-CN"/>
              </w:rPr>
              <w:t>服务</w:t>
            </w:r>
            <w:r>
              <w:rPr>
                <w:rFonts w:hint="eastAsia" w:ascii="仿宋_GB2312" w:hAnsi="Calibri" w:eastAsia="仿宋_GB2312"/>
                <w:color w:val="auto"/>
                <w:sz w:val="24"/>
                <w:highlight w:val="none"/>
              </w:rPr>
              <w:t>考核办法》处理。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2、投诉处理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2.1物业服务中心直接受理的投诉，应在一个工作日内核实情况、回复处理，最长不超过三个工作日；直接向有关部门投诉，应查明事实，确认证据，分清责任后如实上报书面材料，协助有关部门做好相应工作；向公安机关报案的投诉，协助公安部门处理；涉及依法裁决的投诉，应按法律程序处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2.2投诉处理属于物业管理责任的，应向投诉者道歉并及时纠正；属于无效投诉的应做好解释工作；与投诉者无法协商解决的，应上报校区管理部门处理；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2.3受理、处置的投诉应保持记录。</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3、节能管理</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3.1 根据学校年度</w:t>
            </w:r>
            <w:r>
              <w:rPr>
                <w:rFonts w:hint="eastAsia" w:ascii="仿宋_GB2312" w:hAnsi="Calibri" w:eastAsia="仿宋_GB2312"/>
                <w:color w:val="auto"/>
                <w:sz w:val="24"/>
                <w:highlight w:val="none"/>
              </w:rPr>
              <w:t>节能降耗方案</w:t>
            </w:r>
            <w:r>
              <w:rPr>
                <w:rFonts w:hint="eastAsia" w:ascii="仿宋_GB2312" w:hAnsi="Calibri" w:eastAsia="仿宋_GB2312"/>
                <w:color w:val="auto"/>
                <w:sz w:val="24"/>
                <w:highlight w:val="none"/>
                <w:lang w:eastAsia="zh-CN"/>
              </w:rPr>
              <w:t>制定各</w:t>
            </w:r>
            <w:r>
              <w:rPr>
                <w:rFonts w:hint="eastAsia" w:ascii="仿宋_GB2312" w:hAnsi="Calibri" w:eastAsia="仿宋_GB2312"/>
                <w:color w:val="auto"/>
                <w:sz w:val="24"/>
                <w:highlight w:val="none"/>
              </w:rPr>
              <w:t>校区的</w:t>
            </w:r>
            <w:r>
              <w:rPr>
                <w:rFonts w:hint="eastAsia" w:ascii="仿宋_GB2312" w:hAnsi="Calibri" w:eastAsia="仿宋_GB2312"/>
                <w:color w:val="auto"/>
                <w:sz w:val="24"/>
                <w:highlight w:val="none"/>
                <w:lang w:eastAsia="zh-CN"/>
              </w:rPr>
              <w:t>实施方案和月度</w:t>
            </w:r>
            <w:r>
              <w:rPr>
                <w:rFonts w:hint="eastAsia" w:ascii="仿宋_GB2312" w:hAnsi="Calibri" w:eastAsia="仿宋_GB2312"/>
                <w:color w:val="auto"/>
                <w:sz w:val="24"/>
                <w:highlight w:val="none"/>
                <w:lang w:val="en-US" w:eastAsia="zh-CN"/>
              </w:rPr>
              <w:t>管理计划，</w:t>
            </w:r>
            <w:r>
              <w:rPr>
                <w:rFonts w:hint="eastAsia" w:ascii="仿宋_GB2312" w:hAnsi="Calibri" w:eastAsia="仿宋_GB2312"/>
                <w:color w:val="auto"/>
                <w:sz w:val="24"/>
                <w:highlight w:val="none"/>
                <w:lang w:eastAsia="zh-CN"/>
              </w:rPr>
              <w:t>建立配套</w:t>
            </w:r>
            <w:r>
              <w:rPr>
                <w:rFonts w:hint="eastAsia" w:ascii="仿宋_GB2312" w:hAnsi="Calibri" w:eastAsia="仿宋_GB2312"/>
                <w:color w:val="auto"/>
                <w:sz w:val="24"/>
                <w:highlight w:val="none"/>
              </w:rPr>
              <w:t>能源管理制度</w:t>
            </w:r>
            <w:r>
              <w:rPr>
                <w:rFonts w:hint="eastAsia" w:ascii="仿宋_GB2312" w:hAnsi="Calibri" w:eastAsia="仿宋_GB2312"/>
                <w:color w:val="auto"/>
                <w:sz w:val="24"/>
                <w:highlight w:val="none"/>
                <w:lang w:eastAsia="zh-CN"/>
              </w:rPr>
              <w:t>。</w:t>
            </w:r>
            <w:r>
              <w:rPr>
                <w:rFonts w:hint="eastAsia" w:ascii="仿宋_GB2312" w:hAnsi="Calibri" w:eastAsia="仿宋_GB2312"/>
                <w:color w:val="auto"/>
                <w:sz w:val="24"/>
                <w:highlight w:val="none"/>
                <w:lang w:val="en-US" w:eastAsia="zh-CN"/>
              </w:rPr>
              <w:t>按照</w:t>
            </w:r>
            <w:r>
              <w:rPr>
                <w:rFonts w:hint="eastAsia" w:ascii="仿宋_GB2312" w:hAnsi="Calibri" w:eastAsia="仿宋_GB2312"/>
                <w:color w:val="auto"/>
                <w:sz w:val="24"/>
                <w:highlight w:val="none"/>
              </w:rPr>
              <w:t>节能降耗方案</w:t>
            </w:r>
            <w:r>
              <w:rPr>
                <w:rFonts w:hint="eastAsia" w:ascii="仿宋_GB2312" w:hAnsi="Calibri" w:eastAsia="仿宋_GB2312"/>
                <w:color w:val="auto"/>
                <w:sz w:val="24"/>
                <w:highlight w:val="none"/>
                <w:lang w:eastAsia="zh-CN"/>
              </w:rPr>
              <w:t>、学校节能</w:t>
            </w:r>
            <w:r>
              <w:rPr>
                <w:rFonts w:hint="eastAsia" w:ascii="仿宋_GB2312" w:hAnsi="Calibri" w:eastAsia="仿宋_GB2312"/>
                <w:color w:val="auto"/>
                <w:sz w:val="24"/>
                <w:highlight w:val="none"/>
                <w:lang w:val="en-US" w:eastAsia="zh-CN"/>
              </w:rPr>
              <w:t>目标</w:t>
            </w:r>
            <w:r>
              <w:rPr>
                <w:rFonts w:hint="eastAsia" w:ascii="仿宋_GB2312" w:hAnsi="Calibri" w:eastAsia="仿宋_GB2312"/>
                <w:color w:val="auto"/>
                <w:sz w:val="24"/>
                <w:highlight w:val="none"/>
                <w:lang w:eastAsia="zh-CN"/>
              </w:rPr>
              <w:t>实施节能管理。</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3.2 </w:t>
            </w:r>
            <w:r>
              <w:rPr>
                <w:rFonts w:hint="eastAsia" w:ascii="仿宋_GB2312" w:hAnsi="Calibri" w:eastAsia="仿宋_GB2312"/>
                <w:color w:val="auto"/>
                <w:sz w:val="24"/>
                <w:highlight w:val="none"/>
                <w:lang w:eastAsia="zh-CN"/>
              </w:rPr>
              <w:t>负责</w:t>
            </w:r>
            <w:r>
              <w:rPr>
                <w:rFonts w:hint="eastAsia" w:ascii="仿宋_GB2312" w:hAnsi="Calibri" w:eastAsia="仿宋_GB2312"/>
                <w:color w:val="auto"/>
                <w:sz w:val="24"/>
                <w:highlight w:val="none"/>
              </w:rPr>
              <w:t>日常水电检查工作，做好巡视记录</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3.3 做好公共用能设备设施的日常维护及维修跟踪工作；</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3.4 配合</w:t>
            </w:r>
            <w:r>
              <w:rPr>
                <w:rFonts w:hint="eastAsia" w:ascii="仿宋_GB2312" w:hAnsi="Calibri" w:eastAsia="仿宋_GB2312"/>
                <w:color w:val="auto"/>
                <w:sz w:val="24"/>
                <w:highlight w:val="none"/>
                <w:lang w:eastAsia="zh-CN"/>
              </w:rPr>
              <w:t>学校</w:t>
            </w:r>
            <w:r>
              <w:rPr>
                <w:rFonts w:hint="eastAsia" w:ascii="仿宋_GB2312" w:hAnsi="Calibri" w:eastAsia="仿宋_GB2312"/>
                <w:color w:val="auto"/>
                <w:sz w:val="24"/>
                <w:highlight w:val="none"/>
                <w:lang w:val="en-US" w:eastAsia="zh-CN"/>
              </w:rPr>
              <w:t>水电的费用收缴相关非现金事务工作，实行每月</w:t>
            </w:r>
            <w:r>
              <w:rPr>
                <w:rFonts w:hint="eastAsia" w:ascii="仿宋_GB2312" w:hAnsi="Calibri" w:eastAsia="仿宋_GB2312"/>
                <w:color w:val="auto"/>
                <w:sz w:val="24"/>
                <w:highlight w:val="none"/>
              </w:rPr>
              <w:t>抄表</w:t>
            </w:r>
            <w:r>
              <w:rPr>
                <w:rFonts w:hint="eastAsia" w:ascii="仿宋_GB2312" w:hAnsi="Calibri" w:eastAsia="仿宋_GB2312"/>
                <w:color w:val="auto"/>
                <w:sz w:val="24"/>
                <w:highlight w:val="none"/>
                <w:lang w:val="en-US" w:eastAsia="zh-CN"/>
              </w:rPr>
              <w:t>、制单、分析和统计等</w:t>
            </w:r>
            <w:r>
              <w:rPr>
                <w:rFonts w:hint="eastAsia" w:ascii="仿宋_GB2312" w:hAnsi="Calibri" w:eastAsia="仿宋_GB2312"/>
                <w:color w:val="auto"/>
                <w:sz w:val="24"/>
                <w:highlight w:val="none"/>
              </w:rPr>
              <w:t>工作</w:t>
            </w:r>
            <w:r>
              <w:rPr>
                <w:rFonts w:hint="eastAsia" w:ascii="仿宋_GB2312" w:hAnsi="Calibri" w:eastAsia="仿宋_GB2312"/>
                <w:color w:val="auto"/>
                <w:sz w:val="24"/>
                <w:highlight w:val="none"/>
                <w:lang w:val="en-US" w:eastAsia="zh-CN"/>
              </w:rPr>
              <w:t>；</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3.5 负责各种</w:t>
            </w:r>
            <w:r>
              <w:rPr>
                <w:rFonts w:hint="eastAsia" w:ascii="仿宋_GB2312" w:hAnsi="Calibri" w:eastAsia="仿宋_GB2312"/>
                <w:color w:val="auto"/>
                <w:sz w:val="24"/>
                <w:highlight w:val="none"/>
                <w:lang w:eastAsia="zh-CN"/>
              </w:rPr>
              <w:t>水电相关的</w:t>
            </w:r>
            <w:r>
              <w:rPr>
                <w:rFonts w:hint="eastAsia" w:ascii="仿宋_GB2312" w:hAnsi="Calibri" w:eastAsia="仿宋_GB2312"/>
                <w:color w:val="auto"/>
                <w:sz w:val="24"/>
                <w:highlight w:val="none"/>
              </w:rPr>
              <w:t>安全</w:t>
            </w:r>
            <w:r>
              <w:rPr>
                <w:rFonts w:hint="eastAsia" w:ascii="仿宋_GB2312" w:hAnsi="Calibri" w:eastAsia="仿宋_GB2312"/>
                <w:color w:val="auto"/>
                <w:sz w:val="24"/>
                <w:highlight w:val="none"/>
                <w:lang w:eastAsia="zh-CN"/>
              </w:rPr>
              <w:t>、通知</w:t>
            </w:r>
            <w:r>
              <w:rPr>
                <w:rFonts w:hint="eastAsia" w:ascii="仿宋_GB2312" w:hAnsi="Calibri" w:eastAsia="仿宋_GB2312"/>
                <w:color w:val="auto"/>
                <w:sz w:val="24"/>
                <w:highlight w:val="none"/>
                <w:lang w:val="en-US" w:eastAsia="zh-CN"/>
              </w:rPr>
              <w:t>等管理工作</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3.6 负责用能器具管理和统计工作，建立管理台账，管网资料；</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3.7 负责</w:t>
            </w:r>
            <w:r>
              <w:rPr>
                <w:rFonts w:hint="eastAsia" w:ascii="仿宋_GB2312" w:hAnsi="Calibri" w:eastAsia="仿宋_GB2312"/>
                <w:color w:val="auto"/>
                <w:sz w:val="24"/>
                <w:highlight w:val="none"/>
                <w:lang w:eastAsia="zh-CN"/>
              </w:rPr>
              <w:t>做好用能设备设施的</w:t>
            </w:r>
            <w:r>
              <w:rPr>
                <w:rFonts w:hint="eastAsia" w:ascii="仿宋_GB2312" w:hAnsi="Calibri" w:eastAsia="仿宋_GB2312"/>
                <w:color w:val="auto"/>
                <w:sz w:val="24"/>
                <w:highlight w:val="none"/>
                <w:lang w:val="en-US" w:eastAsia="zh-CN"/>
              </w:rPr>
              <w:t>管控工作；</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3.8 </w:t>
            </w:r>
            <w:r>
              <w:rPr>
                <w:rFonts w:hint="eastAsia" w:ascii="仿宋_GB2312" w:hAnsi="Calibri" w:eastAsia="仿宋_GB2312"/>
                <w:color w:val="auto"/>
                <w:sz w:val="24"/>
                <w:highlight w:val="none"/>
                <w:lang w:eastAsia="zh-CN"/>
              </w:rPr>
              <w:t>定期</w:t>
            </w:r>
            <w:r>
              <w:rPr>
                <w:rFonts w:hint="eastAsia" w:ascii="仿宋_GB2312" w:hAnsi="Calibri" w:eastAsia="仿宋_GB2312"/>
                <w:color w:val="auto"/>
                <w:sz w:val="24"/>
                <w:highlight w:val="none"/>
              </w:rPr>
              <w:t>开展节水节电知识和政策的宣传</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3.9 做好公共用能设备设施的日常维护及维修跟踪工作。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4、档案管理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代管校区规划图、竣工图等建设资料复印件和设施设备技术资料复印件，并建立物业管理档案，要求档案完整、真实，并更新及时。档案内容必须包括：人员管理、员工培训记录（时间、地点、照片）、校区水电网线布局等。交接时做好相关移交传递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5、会议室的管理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根据学校需求，合理安排会议室的清洁维护等相关工作。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6、标识管理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6.1非校区管理部门的横幅、广告牌、LED显示屏等必须经校区管理部门批准并到物业备案后才可悬挂；属校区管理部门悬挂的横幅，应跟踪后续事宜，到期后中标人应及时进行拆除或联系悬挂单位进行拆除。</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rPr>
              <w:t>6.2负责校区安全警示标识、疏散通道标识、校园文明标识、节能环保标识、各楼宇内外如楼层牌等相关指示标识（不得带有商业性质）的张贴。</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7、信息化管理</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7.1中标人应使用信息化管理软件对本项目进行智能化管理。</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7.2信息化软件的基本功能</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7.2.1工程维修:</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7.2.1.1可通过手机和电脑实现校园范围内的日常报修，报修内容可根据实际需求进行设置，可进行维修量、维修完成率及未完成率、维修及时率、维修类型、维修状态、维修耗材使用量等数据的统计、分析；</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7.2.1.2可通过手机和电脑实现维修耗材的管理，包括但不限于耗材的入库、出库、盘存、数据分析等。</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7.2.2 校园保洁:</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可通过手机和电脑实现保洁质量监管，包括但不限于检查频次，检查标准，检查时间，整改情况等。</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7.2.3秩序维护:</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可通过手机和电脑实现校园的安全检查、消防巡查，包括但不限于检（巡）查频次，检（巡）查标准，检（巡）查时间，问题反馈等。</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7.2.4宿舍管理:</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可通过手机和电脑实现学生公寓住宿管理，包括但不限于实时更新住宿情况，可办理学生入住、离宿、宿舍变更等。</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7.3信息化系统的业务监管及数据对接要求</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7.3.1学校指定的管理人员可以随时通过手机或电脑登录信息系统各管理模块查询、导出业务的明细数据和统计分析结果。</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7.3.2信息系统各管理模块按学校实际业务需要，实现与学校数据中心进行数据共享、数据交换，通过开放数据库读取权限、数据接口的方式向学校提供业务数据，或者定期（时间不低于每周1次）将数据推送到学校指定的数据中间库进行业务数据采集。</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7.3.3其他未提及的内容按照《柳州职业技术学院信息系统安全准入管理办法(暂行)》要求实施》。</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7.4其它要求</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7.4.1中标人负责对学校使用平台人员的培训，保证培训人员能独立操作各信息系统的功能。线下培训不少于2次，培训时间、地点、参加人员由学校指定。</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7.4.2中标人提供各信息系统功能的操作视频或手册。</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7.4.3合同期内中标人负责信息系统各管理模块的功能升级、与学校数据中心的数据对接，如产生费用，由中标人承担。</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、其它服务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.1重大节日、运动会、迎新、重要来宾到访等重大活动及学校临时性事件的物资保障供给和场地布置、卫生保洁等工作。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.2失物招领等便民服务。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.3 协助学校做好教师宿舍的管理工作；协助学校与公租房各租户签订合同，审核、统计公租房租户退房时房屋完好情况，每月向公租房所在物业取回发票、水电费清单等；协助学校与公租房所在物业做好对承租方的生产安全管理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.4 做好校园内开水机进水口和出水口的管理，防止不法分子做出危害师生身体健康的事宜；做好巡查登记工作；负责监管学院定点服务单位对开水机的检修、清洗、消毒等工作。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.5做好校园内零星工程队施工现场的管理，规范文明施工，对不文明施工的单位进行处罚。</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.6做好毕业班宿舍、校园改造等原有物品（如扫把、拖把、垃圾桶、撑衣杆、水电表、刷卡机等）的收集、整理与保管工作。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.7做好校园突发事件的应急处理和配合学校做好突发事件相关工作。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.8 配合学校做好</w:t>
            </w:r>
            <w:r>
              <w:rPr>
                <w:rFonts w:hint="eastAsia" w:ascii="仿宋_GB2312" w:hAnsi="Calibri" w:eastAsia="仿宋_GB2312"/>
                <w:color w:val="auto"/>
                <w:sz w:val="24"/>
                <w:highlight w:val="none"/>
                <w:lang w:eastAsia="zh-CN"/>
              </w:rPr>
              <w:t>流行性疾病等</w:t>
            </w:r>
            <w:r>
              <w:rPr>
                <w:rFonts w:hint="eastAsia" w:ascii="仿宋_GB2312" w:hAnsi="Calibri" w:eastAsia="仿宋_GB2312"/>
                <w:color w:val="auto"/>
                <w:sz w:val="24"/>
                <w:highlight w:val="none"/>
              </w:rPr>
              <w:t>传染病期间的防范工作，校内公共区域和公共教室、会议室等消杀工作，配合做好二级学院的消杀工作，消杀物品费用由学校负责。</w:t>
            </w:r>
          </w:p>
          <w:p>
            <w:pPr>
              <w:spacing w:line="360"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.9</w:t>
            </w:r>
            <w:r>
              <w:rPr>
                <w:rFonts w:hint="eastAsia" w:ascii="仿宋_GB2312" w:hAnsi="仿宋_GB2312" w:eastAsia="仿宋_GB2312" w:cs="仿宋_GB2312"/>
                <w:color w:val="auto"/>
                <w:sz w:val="24"/>
                <w:szCs w:val="24"/>
                <w:highlight w:val="none"/>
              </w:rPr>
              <w:t>配合学校执行其它物业工作。</w:t>
            </w:r>
          </w:p>
          <w:p>
            <w:pPr>
              <w:spacing w:line="360" w:lineRule="auto"/>
              <w:ind w:firstLine="480" w:firstLineChars="200"/>
              <w:jc w:val="left"/>
              <w:rPr>
                <w:rFonts w:hint="default" w:eastAsia="仿宋_GB2312"/>
                <w:color w:val="auto"/>
                <w:highlight w:val="none"/>
                <w:lang w:val="en-US" w:eastAsia="zh-CN"/>
              </w:rPr>
            </w:pPr>
            <w:r>
              <w:rPr>
                <w:rFonts w:hint="eastAsia" w:ascii="仿宋_GB2312" w:hAnsi="仿宋_GB2312" w:eastAsia="仿宋_GB2312" w:cs="仿宋_GB2312"/>
                <w:color w:val="auto"/>
                <w:sz w:val="24"/>
                <w:szCs w:val="24"/>
                <w:highlight w:val="none"/>
                <w:lang w:val="en-US" w:eastAsia="zh-CN"/>
              </w:rPr>
              <w:t>8.10积极参与校园文化的建设，在服务过程中，全面贯彻高校三全育人的理念，开展丰富多彩的校园文化活动，营造积极向上、和谐健康的校园文化氛围，提升学校的整体形象。</w:t>
            </w:r>
          </w:p>
          <w:p>
            <w:pPr>
              <w:spacing w:line="360" w:lineRule="auto"/>
              <w:ind w:firstLine="482" w:firstLineChars="200"/>
              <w:jc w:val="left"/>
              <w:rPr>
                <w:rFonts w:ascii="仿宋_GB2312" w:hAnsi="Calibri" w:eastAsia="仿宋_GB2312"/>
                <w:b/>
                <w:bCs/>
                <w:color w:val="auto"/>
                <w:sz w:val="24"/>
                <w:highlight w:val="none"/>
                <w:u w:val="none"/>
              </w:rPr>
            </w:pPr>
            <w:r>
              <w:rPr>
                <w:rFonts w:hint="eastAsia" w:ascii="仿宋_GB2312" w:hAnsi="Calibri" w:eastAsia="仿宋_GB2312"/>
                <w:b/>
                <w:bCs/>
                <w:color w:val="auto"/>
                <w:sz w:val="24"/>
                <w:highlight w:val="none"/>
                <w:u w:val="none"/>
              </w:rPr>
              <w:t>（三）学生公寓（宿舍）管理</w:t>
            </w:r>
          </w:p>
          <w:p>
            <w:pPr>
              <w:pStyle w:val="18"/>
              <w:spacing w:line="360" w:lineRule="auto"/>
              <w:ind w:firstLine="480" w:firstLineChars="200"/>
              <w:rPr>
                <w:rFonts w:ascii="仿宋_GB2312" w:hAnsi="Calibri" w:eastAsia="仿宋_GB2312"/>
                <w:color w:val="auto"/>
                <w:sz w:val="24"/>
                <w:highlight w:val="none"/>
              </w:rPr>
            </w:pPr>
            <w:r>
              <w:rPr>
                <w:rFonts w:hint="eastAsia" w:ascii="仿宋_GB2312" w:hAnsi="Calibri" w:eastAsia="仿宋_GB2312"/>
                <w:color w:val="auto"/>
                <w:sz w:val="24"/>
                <w:highlight w:val="none"/>
              </w:rPr>
              <w:t>1</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按教育部、学校及相关职能部门的有关文件精神要求，配合</w:t>
            </w:r>
            <w:r>
              <w:rPr>
                <w:rFonts w:hint="eastAsia" w:ascii="仿宋_GB2312" w:hAnsi="Calibri" w:eastAsia="仿宋_GB2312"/>
                <w:color w:val="auto"/>
                <w:sz w:val="24"/>
                <w:highlight w:val="none"/>
                <w:lang w:val="en-US" w:eastAsia="zh-CN"/>
              </w:rPr>
              <w:t>学校相关</w:t>
            </w:r>
            <w:r>
              <w:rPr>
                <w:rFonts w:hint="eastAsia" w:ascii="仿宋_GB2312" w:hAnsi="Calibri" w:eastAsia="仿宋_GB2312"/>
                <w:color w:val="auto"/>
                <w:sz w:val="24"/>
                <w:highlight w:val="none"/>
              </w:rPr>
              <w:t>管理部门做好宿舍区的综合管理服务</w:t>
            </w:r>
            <w:r>
              <w:rPr>
                <w:rFonts w:hint="eastAsia" w:ascii="仿宋_GB2312" w:hAnsi="Calibri" w:eastAsia="仿宋_GB2312"/>
                <w:color w:val="auto"/>
                <w:sz w:val="24"/>
                <w:highlight w:val="none"/>
                <w:lang w:val="en-US" w:eastAsia="zh-CN"/>
              </w:rPr>
              <w:t>工作</w:t>
            </w:r>
            <w:r>
              <w:rPr>
                <w:rFonts w:hint="eastAsia" w:ascii="仿宋_GB2312" w:hAnsi="Calibri" w:eastAsia="仿宋_GB2312"/>
                <w:color w:val="auto"/>
                <w:sz w:val="24"/>
                <w:highlight w:val="none"/>
              </w:rPr>
              <w:t>（包括学生的日常行为规范引导、宿舍区维修管理以及安全、卫生检查等相关工作）。</w:t>
            </w:r>
          </w:p>
          <w:p>
            <w:pPr>
              <w:pStyle w:val="18"/>
              <w:spacing w:line="360" w:lineRule="auto"/>
              <w:ind w:firstLine="480" w:firstLineChars="200"/>
              <w:rPr>
                <w:rFonts w:ascii="仿宋_GB2312" w:hAnsi="Calibri" w:eastAsia="仿宋_GB2312"/>
                <w:color w:val="auto"/>
                <w:sz w:val="24"/>
                <w:highlight w:val="none"/>
              </w:rPr>
            </w:pPr>
            <w:r>
              <w:rPr>
                <w:rFonts w:hint="eastAsia" w:ascii="仿宋_GB2312" w:hAnsi="Calibri" w:eastAsia="仿宋_GB2312"/>
                <w:color w:val="auto"/>
                <w:sz w:val="24"/>
                <w:highlight w:val="none"/>
              </w:rPr>
              <w:t>2</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在学生公寓区设置24小时综合服务岗（含寒暑假），聘请专职宿舍管理员实行24小时值班，按照</w:t>
            </w:r>
            <w:r>
              <w:rPr>
                <w:rFonts w:hint="eastAsia" w:ascii="仿宋_GB2312" w:hAnsi="Calibri" w:eastAsia="仿宋_GB2312"/>
                <w:color w:val="auto"/>
                <w:sz w:val="24"/>
                <w:highlight w:val="none"/>
                <w:lang w:val="en-US" w:eastAsia="zh-CN"/>
              </w:rPr>
              <w:t>学校</w:t>
            </w:r>
            <w:r>
              <w:rPr>
                <w:rFonts w:hint="eastAsia" w:ascii="仿宋_GB2312" w:hAnsi="Calibri" w:eastAsia="仿宋_GB2312"/>
                <w:color w:val="auto"/>
                <w:sz w:val="24"/>
                <w:highlight w:val="none"/>
              </w:rPr>
              <w:t>的管理要求进行值班服务、楼宇设施设备查验、受理</w:t>
            </w:r>
            <w:r>
              <w:rPr>
                <w:rFonts w:hint="eastAsia" w:ascii="仿宋_GB2312" w:hAnsi="Calibri" w:eastAsia="仿宋_GB2312"/>
                <w:color w:val="auto"/>
                <w:sz w:val="24"/>
                <w:highlight w:val="none"/>
                <w:lang w:eastAsia="zh-CN"/>
              </w:rPr>
              <w:t>报</w:t>
            </w:r>
            <w:r>
              <w:rPr>
                <w:rFonts w:hint="eastAsia" w:ascii="仿宋_GB2312" w:hAnsi="Calibri" w:eastAsia="仿宋_GB2312"/>
                <w:color w:val="auto"/>
                <w:sz w:val="24"/>
                <w:highlight w:val="none"/>
              </w:rPr>
              <w:t>修</w:t>
            </w:r>
            <w:r>
              <w:rPr>
                <w:rFonts w:hint="eastAsia" w:ascii="仿宋_GB2312" w:hAnsi="Calibri" w:eastAsia="仿宋_GB2312"/>
                <w:color w:val="auto"/>
                <w:sz w:val="24"/>
                <w:highlight w:val="none"/>
                <w:lang w:eastAsia="zh-CN"/>
              </w:rPr>
              <w:t>、</w:t>
            </w:r>
            <w:r>
              <w:rPr>
                <w:rFonts w:hint="eastAsia" w:ascii="仿宋_GB2312" w:hAnsi="Calibri" w:eastAsia="仿宋_GB2312"/>
                <w:color w:val="auto"/>
                <w:sz w:val="24"/>
                <w:highlight w:val="none"/>
              </w:rPr>
              <w:t>投诉等。</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依据</w:t>
            </w:r>
            <w:r>
              <w:rPr>
                <w:rFonts w:hint="eastAsia" w:ascii="仿宋_GB2312" w:hAnsi="Calibri" w:eastAsia="仿宋_GB2312"/>
                <w:color w:val="auto"/>
                <w:sz w:val="24"/>
                <w:highlight w:val="none"/>
                <w:lang w:val="en-US" w:eastAsia="zh-CN"/>
              </w:rPr>
              <w:t>学校</w:t>
            </w:r>
            <w:r>
              <w:rPr>
                <w:rFonts w:hint="eastAsia" w:ascii="仿宋_GB2312" w:hAnsi="Calibri" w:eastAsia="仿宋_GB2312"/>
                <w:color w:val="auto"/>
                <w:sz w:val="24"/>
                <w:highlight w:val="none"/>
              </w:rPr>
              <w:t>相关规定，做好宿舍设施和物品的登记清查工作。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w:t>
            </w:r>
            <w:r>
              <w:rPr>
                <w:rFonts w:hint="eastAsia" w:ascii="仿宋_GB2312" w:hAnsi="Calibri" w:eastAsia="仿宋_GB2312"/>
                <w:color w:val="auto"/>
                <w:sz w:val="24"/>
                <w:highlight w:val="none"/>
                <w:lang w:eastAsia="zh-CN"/>
              </w:rPr>
              <w:t>、</w:t>
            </w:r>
            <w:r>
              <w:rPr>
                <w:rFonts w:hint="eastAsia" w:ascii="仿宋_GB2312" w:hAnsi="Calibri" w:eastAsia="仿宋_GB2312"/>
                <w:color w:val="auto"/>
                <w:sz w:val="24"/>
                <w:highlight w:val="none"/>
              </w:rPr>
              <w:t>做好空宿舍的卫生清理与维修，并协助</w:t>
            </w:r>
            <w:r>
              <w:rPr>
                <w:rFonts w:hint="eastAsia" w:ascii="仿宋_GB2312" w:hAnsi="Calibri" w:eastAsia="仿宋_GB2312"/>
                <w:color w:val="auto"/>
                <w:sz w:val="24"/>
                <w:highlight w:val="none"/>
                <w:lang w:val="en-US" w:eastAsia="zh-CN"/>
              </w:rPr>
              <w:t>学校</w:t>
            </w:r>
            <w:r>
              <w:rPr>
                <w:rFonts w:hint="eastAsia" w:ascii="仿宋_GB2312" w:hAnsi="Calibri" w:eastAsia="仿宋_GB2312"/>
                <w:color w:val="auto"/>
                <w:sz w:val="24"/>
                <w:highlight w:val="none"/>
              </w:rPr>
              <w:t>相关管理部门做好学生住宿方案、办理学生入住接待、退</w:t>
            </w:r>
            <w:r>
              <w:rPr>
                <w:rFonts w:hint="eastAsia" w:ascii="仿宋_GB2312" w:hAnsi="Calibri" w:eastAsia="仿宋_GB2312"/>
                <w:color w:val="auto"/>
                <w:sz w:val="24"/>
                <w:highlight w:val="none"/>
                <w:lang w:eastAsia="zh-CN"/>
              </w:rPr>
              <w:t>宿</w:t>
            </w:r>
            <w:r>
              <w:rPr>
                <w:rFonts w:hint="eastAsia" w:ascii="仿宋_GB2312" w:hAnsi="Calibri" w:eastAsia="仿宋_GB2312"/>
                <w:color w:val="auto"/>
                <w:sz w:val="24"/>
                <w:highlight w:val="none"/>
              </w:rPr>
              <w:t>等。</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5</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督促学生自觉遵守</w:t>
            </w:r>
            <w:r>
              <w:rPr>
                <w:rFonts w:hint="eastAsia" w:ascii="仿宋_GB2312" w:hAnsi="Calibri" w:eastAsia="仿宋_GB2312"/>
                <w:color w:val="auto"/>
                <w:sz w:val="24"/>
                <w:highlight w:val="none"/>
                <w:lang w:val="en-US" w:eastAsia="zh-CN"/>
              </w:rPr>
              <w:t>学校</w:t>
            </w:r>
            <w:r>
              <w:rPr>
                <w:rFonts w:hint="eastAsia" w:ascii="仿宋_GB2312" w:hAnsi="Calibri" w:eastAsia="仿宋_GB2312"/>
                <w:color w:val="auto"/>
                <w:sz w:val="24"/>
                <w:highlight w:val="none"/>
              </w:rPr>
              <w:t>的各项规章制度和作息时间，做好公共秩序维护，协助做好宿舍的调整工作，发现问题及时处理并报</w:t>
            </w:r>
            <w:r>
              <w:rPr>
                <w:rFonts w:hint="eastAsia" w:ascii="仿宋_GB2312" w:hAnsi="Calibri" w:eastAsia="仿宋_GB2312"/>
                <w:color w:val="auto"/>
                <w:sz w:val="24"/>
                <w:highlight w:val="none"/>
                <w:lang w:val="en-US" w:eastAsia="zh-CN"/>
              </w:rPr>
              <w:t>学校</w:t>
            </w:r>
            <w:r>
              <w:rPr>
                <w:rFonts w:hint="eastAsia" w:ascii="仿宋_GB2312" w:hAnsi="Calibri" w:eastAsia="仿宋_GB2312"/>
                <w:color w:val="auto"/>
                <w:sz w:val="24"/>
                <w:highlight w:val="none"/>
              </w:rPr>
              <w:t>相关管理部门。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做好学生宿舍钥匙的交接、管理，备用钥匙管理；更换毕业学生宿舍门锁锁芯、锁匙，相关采购及费用由校方负责。</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7</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负责保障门禁系统的运行，管理以及来访登记、大件物品出入登记。</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宿舍楼周边各类车辆停放秩序管理。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9</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及时受理报修、留言、小件寄存、失物招领等各项工作。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10</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配合校区管理部门做好学生日常防火、防盗、安全用水用电宣传教育工作，对违章者及时报送校区管理部门处理。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做好学生宿舍水单表抄录、统计和费用收缴工作；水电用量按月抄表报送校区管理部门。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寒暑假期间加强安全管理和能源管理。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13</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遇突发事件，管理人员、值班管理人员必须在第一时间报告校区管理部门及相关人员，如情况紧急应同时报警（110、120或119等），管理人员必须在第一时间到现场处理问题或协调处理问题。</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14</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建立宿舍巡视检查制度，落实宿舍安全管理责任；定时巡查学生宿舍情况，发现宿舍安全隐患及时报告相关管理部门，保障学生上课期间及休息期间宿舍的防火、防盗工作。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15</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熟悉（一个月内）所管区域（楼栋）学生住宿情况，积极协助管理部门，做好宿舍的各项文化建设。</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16</w:t>
            </w:r>
            <w:r>
              <w:rPr>
                <w:rFonts w:hint="eastAsia" w:ascii="仿宋_GB2312" w:hAnsi="Calibri" w:eastAsia="仿宋_GB2312"/>
                <w:color w:val="auto"/>
                <w:sz w:val="24"/>
                <w:highlight w:val="none"/>
                <w:lang w:val="en-US" w:eastAsia="zh-CN"/>
              </w:rPr>
              <w:t>、</w:t>
            </w:r>
            <w:r>
              <w:rPr>
                <w:rFonts w:hint="eastAsia" w:ascii="仿宋_GB2312" w:hAnsi="Calibri" w:eastAsia="仿宋_GB2312"/>
                <w:color w:val="auto"/>
                <w:sz w:val="24"/>
                <w:highlight w:val="none"/>
              </w:rPr>
              <w:t>及时了解和掌握学生晚归、不归及晚上外出等异常情况，及时制止学生的各种违规违纪现象，并及时通报相关管理部门。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w:t>
            </w:r>
            <w:r>
              <w:rPr>
                <w:rFonts w:hint="eastAsia" w:ascii="仿宋_GB2312" w:hAnsi="Calibri" w:eastAsia="仿宋_GB2312"/>
                <w:color w:val="auto"/>
                <w:sz w:val="24"/>
                <w:highlight w:val="none"/>
                <w:lang w:val="en-US" w:eastAsia="zh-CN"/>
              </w:rPr>
              <w:t>7、</w:t>
            </w:r>
            <w:r>
              <w:rPr>
                <w:rFonts w:hint="eastAsia" w:ascii="仿宋_GB2312" w:hAnsi="Calibri" w:eastAsia="仿宋_GB2312"/>
                <w:color w:val="auto"/>
                <w:sz w:val="24"/>
                <w:highlight w:val="none"/>
              </w:rPr>
              <w:t>做好校园范围内（尤其包含学生宿舍区）、充电设施的管理。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w:t>
            </w: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协助学校做好每学期宿舍文化建设，开设特色的宿舍文化服务。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19、</w:t>
            </w:r>
            <w:r>
              <w:rPr>
                <w:rFonts w:hint="eastAsia" w:ascii="仿宋_GB2312" w:hAnsi="Calibri" w:eastAsia="仿宋_GB2312"/>
                <w:color w:val="auto"/>
                <w:sz w:val="24"/>
                <w:highlight w:val="none"/>
              </w:rPr>
              <w:t>经学校有关部门批准的其他需要。</w:t>
            </w:r>
          </w:p>
          <w:p>
            <w:pPr>
              <w:spacing w:line="360" w:lineRule="auto"/>
              <w:ind w:firstLine="482" w:firstLineChars="200"/>
              <w:jc w:val="left"/>
              <w:rPr>
                <w:rFonts w:ascii="仿宋_GB2312" w:hAnsi="Calibri" w:eastAsia="仿宋_GB2312"/>
                <w:b/>
                <w:bCs/>
                <w:color w:val="auto"/>
                <w:sz w:val="24"/>
                <w:highlight w:val="none"/>
                <w:u w:val="none"/>
              </w:rPr>
            </w:pPr>
            <w:r>
              <w:rPr>
                <w:rFonts w:hint="eastAsia" w:ascii="仿宋_GB2312" w:hAnsi="Calibri" w:eastAsia="仿宋_GB2312"/>
                <w:b/>
                <w:bCs/>
                <w:color w:val="auto"/>
                <w:sz w:val="24"/>
                <w:highlight w:val="none"/>
                <w:u w:val="none"/>
              </w:rPr>
              <w:t>（四）校园内安全防范管理</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1、主要职责包括校园治安保卫、消防安全及交通安全管理及突发安全事件应急处置等。</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1.1所有固定岗位24小时值班，严格执行岗位管理制度，佩戴上岗证及标志，仪表端正、规范上岗、文明执勤；监控室24小时不间断监控；24小时巡逻制度，以保证校园的安全。</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1.2做好治安、消防等安全防范工作；加强实训楼、办公楼等重点部位的监控，做好值班和巡查，发现问题及时报告并采取相应措施；重大安全问题和隐患应及时发现并向学校提出书面报告。</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1.3在校园内做好防盗抢的宣传与教育工作；建立查询人、物制度，实行责任防范和责任管理，发生失窃应及时向学校有关部门报告，组织人员加强巡逻、检查、伏击；向学校提出合理的物防措施。</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1.4对出入车辆实行证卡管理和登记制度并进行出入检查，对校园交通进行有序引导和管理，确保校园交通安全有序。</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w:t>
            </w:r>
            <w:r>
              <w:rPr>
                <w:rFonts w:hint="eastAsia" w:hAnsi="Times New Roman" w:eastAsia="仿宋_GB2312"/>
                <w:color w:val="auto"/>
                <w:highlight w:val="none"/>
                <w:lang w:val="en-US" w:eastAsia="zh-CN"/>
              </w:rPr>
              <w:t>5</w:t>
            </w:r>
            <w:r>
              <w:rPr>
                <w:rFonts w:hint="eastAsia" w:hAnsi="Times New Roman" w:eastAsia="仿宋_GB2312"/>
                <w:color w:val="auto"/>
                <w:highlight w:val="none"/>
              </w:rPr>
              <w:t>对出入校园的货物严格管理，物品须凭出门条核对后方可放行。</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w:t>
            </w:r>
            <w:r>
              <w:rPr>
                <w:rFonts w:hint="eastAsia" w:hAnsi="Times New Roman" w:eastAsia="仿宋_GB2312"/>
                <w:color w:val="auto"/>
                <w:highlight w:val="none"/>
                <w:lang w:val="en-US" w:eastAsia="zh-CN"/>
              </w:rPr>
              <w:t>6</w:t>
            </w:r>
            <w:r>
              <w:rPr>
                <w:rFonts w:hint="eastAsia" w:hAnsi="Times New Roman" w:eastAsia="仿宋_GB2312"/>
                <w:color w:val="auto"/>
                <w:highlight w:val="none"/>
              </w:rPr>
              <w:t xml:space="preserve"> 负责校园内的路灯控制，做好教学区域巡查工作。</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w:t>
            </w:r>
            <w:r>
              <w:rPr>
                <w:rFonts w:hint="eastAsia" w:hAnsi="Times New Roman" w:eastAsia="仿宋_GB2312"/>
                <w:color w:val="auto"/>
                <w:highlight w:val="none"/>
                <w:lang w:val="en-US" w:eastAsia="zh-CN"/>
              </w:rPr>
              <w:t>7</w:t>
            </w:r>
            <w:r>
              <w:rPr>
                <w:rFonts w:hint="eastAsia" w:hAnsi="Times New Roman" w:eastAsia="仿宋_GB2312"/>
                <w:color w:val="auto"/>
                <w:highlight w:val="none"/>
              </w:rPr>
              <w:t>规劝、制止破坏校园公共设施、扰乱学校公共秩序、乱倒垃圾、打架谩骂等不文明行为，并做好耐心说服教育工作。</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w:t>
            </w:r>
            <w:r>
              <w:rPr>
                <w:rFonts w:hint="eastAsia" w:hAnsi="Times New Roman" w:eastAsia="仿宋_GB2312"/>
                <w:color w:val="auto"/>
                <w:highlight w:val="none"/>
                <w:lang w:val="en-US" w:eastAsia="zh-CN"/>
              </w:rPr>
              <w:t>8</w:t>
            </w:r>
            <w:r>
              <w:rPr>
                <w:rFonts w:hint="eastAsia" w:hAnsi="Times New Roman" w:eastAsia="仿宋_GB2312"/>
                <w:color w:val="auto"/>
                <w:highlight w:val="none"/>
              </w:rPr>
              <w:t>执行《中华人民共和国消防法》和其它有关消防法规，实行全方位的消防管理；定期检查消防设施、器材，保证其正常运作，保证消防通道通畅；定期组织消防训练，</w:t>
            </w:r>
            <w:r>
              <w:rPr>
                <w:rFonts w:hint="eastAsia" w:hAnsi="Times New Roman" w:eastAsia="仿宋_GB2312"/>
                <w:color w:val="auto"/>
                <w:highlight w:val="none"/>
                <w:lang w:eastAsia="zh-CN"/>
              </w:rPr>
              <w:t>协助</w:t>
            </w:r>
            <w:r>
              <w:rPr>
                <w:rFonts w:hint="eastAsia" w:hAnsi="Times New Roman" w:eastAsia="仿宋_GB2312"/>
                <w:color w:val="auto"/>
                <w:highlight w:val="none"/>
              </w:rPr>
              <w:t>组织学生和教职工参与消防演练，提高消防安全意识；根据消防“四个能力”建设要求，建立、健全相关台账资料。</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w:t>
            </w:r>
            <w:r>
              <w:rPr>
                <w:rFonts w:hint="eastAsia" w:hAnsi="Times New Roman" w:eastAsia="仿宋_GB2312"/>
                <w:color w:val="auto"/>
                <w:highlight w:val="none"/>
                <w:lang w:val="en-US" w:eastAsia="zh-CN"/>
              </w:rPr>
              <w:t>9</w:t>
            </w:r>
            <w:r>
              <w:rPr>
                <w:rFonts w:hint="eastAsia" w:hAnsi="Times New Roman" w:eastAsia="仿宋_GB2312"/>
                <w:color w:val="auto"/>
                <w:highlight w:val="none"/>
              </w:rPr>
              <w:t>完成学校日常安全管理和紧急情况的应急处置工作；协助完成临时突击任务，包括学校举行大型活动或会议、考试、上级检查以及其它临时应急事件的护管工作。</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1.1</w:t>
            </w:r>
            <w:r>
              <w:rPr>
                <w:rFonts w:hint="eastAsia" w:hAnsi="Times New Roman" w:eastAsia="仿宋_GB2312"/>
                <w:color w:val="auto"/>
                <w:highlight w:val="none"/>
                <w:lang w:val="en-US" w:eastAsia="zh-CN"/>
              </w:rPr>
              <w:t>0</w:t>
            </w:r>
            <w:r>
              <w:rPr>
                <w:rFonts w:hint="eastAsia" w:hAnsi="Times New Roman" w:eastAsia="仿宋_GB2312"/>
                <w:color w:val="auto"/>
                <w:highlight w:val="none"/>
              </w:rPr>
              <w:t>建立各类突发事件应急机制及队伍，并建立健全相关的工作制度（含领班制度、安保待岗制度等）、工作方案(预案)，保证秩序维护人员配置、保证安保设施配置足以正常履行工作职责，确保校园的安全与稳定。</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1.1</w:t>
            </w:r>
            <w:r>
              <w:rPr>
                <w:rFonts w:hint="eastAsia" w:hAnsi="Times New Roman" w:eastAsia="仿宋_GB2312"/>
                <w:color w:val="auto"/>
                <w:highlight w:val="none"/>
                <w:lang w:val="en-US" w:eastAsia="zh-CN"/>
              </w:rPr>
              <w:t>1</w:t>
            </w:r>
            <w:r>
              <w:rPr>
                <w:rFonts w:hint="eastAsia" w:hAnsi="Times New Roman" w:eastAsia="仿宋_GB2312"/>
                <w:color w:val="auto"/>
                <w:highlight w:val="none"/>
              </w:rPr>
              <w:t xml:space="preserve"> </w:t>
            </w:r>
            <w:r>
              <w:rPr>
                <w:rFonts w:hint="eastAsia" w:eastAsia="仿宋_GB2312" w:cs="仿宋_GB2312"/>
                <w:color w:val="auto"/>
                <w:highlight w:val="none"/>
                <w:lang w:eastAsia="zh-CN"/>
              </w:rPr>
              <w:t>对进入校内施工的第三方单位进行监管，确保文明施工，不破坏学校的设施设备，不影响学校的教学生活；对来历不明的施工垃圾、建筑垃圾、包装垃圾等进行追踪，并要求垃圾倾倒方拉走相关垃圾，否则，中标人负责清理上述垃圾，并承担相应费用。</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1.1</w:t>
            </w:r>
            <w:r>
              <w:rPr>
                <w:rFonts w:hint="eastAsia" w:hAnsi="Times New Roman" w:eastAsia="仿宋_GB2312"/>
                <w:color w:val="auto"/>
                <w:highlight w:val="none"/>
                <w:lang w:val="en-US" w:eastAsia="zh-CN"/>
              </w:rPr>
              <w:t>2</w:t>
            </w:r>
            <w:r>
              <w:rPr>
                <w:rFonts w:hint="eastAsia" w:hAnsi="Times New Roman" w:eastAsia="仿宋_GB2312"/>
                <w:color w:val="auto"/>
                <w:highlight w:val="none"/>
              </w:rPr>
              <w:t xml:space="preserve"> 对入校人员进入学校实行登记制度，严禁推销人员进入学生宿舍、办公区域及教学区域。</w:t>
            </w:r>
          </w:p>
          <w:p>
            <w:pPr>
              <w:pStyle w:val="804"/>
              <w:snapToGrid w:val="0"/>
              <w:spacing w:before="0" w:beforeAutospacing="0" w:after="0" w:afterAutospacing="0" w:line="360" w:lineRule="auto"/>
              <w:ind w:firstLine="480" w:firstLineChars="200"/>
              <w:rPr>
                <w:rFonts w:hAnsi="Times New Roman" w:eastAsia="仿宋_GB2312"/>
                <w:color w:val="auto"/>
                <w:highlight w:val="none"/>
              </w:rPr>
            </w:pPr>
            <w:r>
              <w:rPr>
                <w:rFonts w:hint="eastAsia" w:hAnsi="Times New Roman" w:eastAsia="仿宋_GB2312"/>
                <w:color w:val="auto"/>
                <w:highlight w:val="none"/>
              </w:rPr>
              <w:t>1.1</w:t>
            </w:r>
            <w:r>
              <w:rPr>
                <w:rFonts w:hint="eastAsia" w:hAnsi="Times New Roman" w:eastAsia="仿宋_GB2312"/>
                <w:color w:val="auto"/>
                <w:highlight w:val="none"/>
                <w:lang w:val="en-US" w:eastAsia="zh-CN"/>
              </w:rPr>
              <w:t>3</w:t>
            </w:r>
            <w:r>
              <w:rPr>
                <w:rFonts w:hint="eastAsia" w:hAnsi="Times New Roman" w:eastAsia="仿宋_GB2312"/>
                <w:color w:val="auto"/>
                <w:highlight w:val="none"/>
              </w:rPr>
              <w:t>完成校方保卫处交办的其它工作。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2、安全管理服务质量要求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2.1总体要求：安全保卫是学校工作一个重要内容，物业安保队伍是学校实施校园安全保卫工作的一支重要力量；首先，秩序维护队伍必须严格接受学校的监督管理，严格执行学校安全保卫的相关管理规定，防止和预防任何危及师生的生命财产安全的行为，维护校园正常的教科研和生活秩序，预防和打击各种犯罪行为，确保校园安全、稳定、有序；其次，要根据学校管理规定与服务要求，制订切实可行的校园安保服务整体方案和应急预案，突发事件反应迅速，预案处置有力；最后，要让全体师生有安全感，对校园安保服务感到满意。</w:t>
            </w:r>
          </w:p>
          <w:p>
            <w:pPr>
              <w:autoSpaceDE w:val="0"/>
              <w:autoSpaceDN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2.2人员资质要求：秩序维护员必须经过专业培训，并得到公安等部门的认可，持保安员证上岗，方可在学校执行秩序维护任务；秩序维护员的要求：年龄：55周岁以下（其中45岁以下占15%以上）</w:t>
            </w:r>
            <w:r>
              <w:rPr>
                <w:rFonts w:hint="eastAsia" w:ascii="仿宋_GB2312" w:hAnsi="Calibri" w:eastAsia="仿宋_GB2312"/>
                <w:color w:val="auto"/>
                <w:sz w:val="24"/>
                <w:highlight w:val="none"/>
                <w:lang w:eastAsia="zh-CN"/>
              </w:rPr>
              <w:t>，其中</w:t>
            </w:r>
            <w:r>
              <w:rPr>
                <w:rFonts w:hint="eastAsia" w:ascii="仿宋_GB2312" w:hAnsi="Calibri" w:eastAsia="仿宋_GB2312"/>
                <w:color w:val="auto"/>
                <w:sz w:val="24"/>
                <w:highlight w:val="none"/>
              </w:rPr>
              <w:t>应急指挥中心值班岗（消防控制室）</w:t>
            </w:r>
            <w:r>
              <w:rPr>
                <w:rFonts w:hint="eastAsia" w:ascii="仿宋_GB2312" w:hAnsi="Calibri" w:eastAsia="仿宋_GB2312"/>
                <w:color w:val="auto"/>
                <w:sz w:val="24"/>
                <w:highlight w:val="none"/>
                <w:lang w:eastAsia="zh-CN"/>
              </w:rPr>
              <w:t>年龄</w:t>
            </w:r>
            <w:r>
              <w:rPr>
                <w:rFonts w:hint="eastAsia" w:ascii="仿宋_GB2312" w:hAnsi="Calibri" w:eastAsia="仿宋_GB2312"/>
                <w:color w:val="auto"/>
                <w:sz w:val="24"/>
                <w:highlight w:val="none"/>
              </w:rPr>
              <w:t>50周岁以下；文化程度：</w:t>
            </w:r>
            <w:r>
              <w:rPr>
                <w:rFonts w:hint="eastAsia" w:ascii="仿宋_GB2312" w:eastAsia="仿宋_GB2312"/>
                <w:color w:val="auto"/>
                <w:kern w:val="0"/>
                <w:sz w:val="24"/>
                <w:highlight w:val="none"/>
                <w:lang w:val="en-US" w:eastAsia="zh-CN"/>
              </w:rPr>
              <w:t>高中（含中专）以上学历</w:t>
            </w:r>
            <w:r>
              <w:rPr>
                <w:rFonts w:hint="eastAsia" w:ascii="仿宋_GB2312" w:hAnsi="Calibri" w:eastAsia="仿宋_GB2312"/>
                <w:color w:val="auto"/>
                <w:sz w:val="24"/>
                <w:highlight w:val="none"/>
              </w:rPr>
              <w:t>；人员身体健康，</w:t>
            </w:r>
            <w:r>
              <w:rPr>
                <w:rFonts w:hint="eastAsia" w:ascii="仿宋_GB2312" w:hAnsi="仿宋_GB2312" w:eastAsia="仿宋_GB2312" w:cs="仿宋_GB2312"/>
                <w:color w:val="auto"/>
                <w:sz w:val="24"/>
                <w:highlight w:val="none"/>
                <w:lang w:eastAsia="zh-CN"/>
              </w:rPr>
              <w:t>具有体检资质的公立医院</w:t>
            </w:r>
            <w:r>
              <w:rPr>
                <w:rFonts w:hint="eastAsia" w:ascii="仿宋_GB2312" w:hAnsi="Calibri" w:eastAsia="仿宋_GB2312"/>
                <w:color w:val="auto"/>
                <w:sz w:val="24"/>
                <w:highlight w:val="none"/>
              </w:rPr>
              <w:t>体检合格证明，并上交保卫处证明复印件；所有工作人员，上岗前必须提交身份证复印件、户口所在地无违法犯罪记录的证明。</w:t>
            </w:r>
          </w:p>
          <w:p>
            <w:pPr>
              <w:autoSpaceDE w:val="0"/>
              <w:autoSpaceDN w:val="0"/>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2.3安保设施配置要求：详见附件6</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2.4岗位职责</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2.4.1管理岗（机动岗）：主要工作职责如下：</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2.4.1.1熟悉了解学校的安防情况，根据制度和要求，结合实际，合理安排各岗位人员和岗位工作。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2.4.1.2带领全体安保队员认真贯彻执行学校各项规章制度，严格管理，遵纪守法，严守秘密，预防各种事故发生。</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2.4.1.3每周组织秩序维护队员完成秩序维护技能和秩序维护员守则的学习和训练，提高全体人员的思想政治觉悟和秩序维护业务水平，做好图片记录、留存档案。</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2.4.1.4熟悉校园重要部门，增强安全防范意识，发现安全隐患要及时整改或提出合理化建议。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2.4.1.5沟通、协调好各值勤点与学校其他部门的工作配合，提高服务质量。</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2.4.1.6配合学校联动派出所民警及时处理秩序维护执勤点发生的突发问题并做好记录，有效预防和减少各种违章、违法犯罪行为。</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2.4.2大门岗：24小时在岗制，岗位职责如下：学校门卫制度是对一切进出学校的人员和物资进行有效监控和严格管理的制度；包括进出人员证件查验制度、外来人员入校登记制度、车辆准入放行制度、物品出入查验制度；具体工作工作制度参见《校大门值班管理制度》。</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2.4.3巡逻岗：负责校园整体治安安全巡逻工作，重点巡查排查执勤重点部位及薄弱环节，做好防火，防盗、防爆恐排查工作。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秩序维护大队必须根据学校校园的具体情况制定巡逻方案，结合校园安保情况变化的需要，在运行操作中，及时分析修正，以保证巡逻方案的科学性。</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2.4.3.1设定巡逻岗，秩序维护员对学校安保区域实行巡逻服务。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2.4.3.2巡逻路线遍布整个校园服务区，巡逻路线根据服务岗的布防情况进行，做到点线结合，综合巡逻；同时明确控制重点巡逻，对临时或特殊任务的场所加强增援。</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2.4.3.3依据校园安保情况的变化，对巡逻路线和时间进行调整变化，以对犯罪分子起到防范和震慑作用。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2.4.3.4设定巡逻勤务管理体制，严格执行落实巡逻的请示报告制度，登记制度，文明执勤制度，交接班制度，备班制度和总结制度。</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2.4.4应急指挥中心值班岗（消防控制室）：24小时双岗制（值班２人，其中一人须持有建（构）筑物消防员证或消防设施操作员证），负责监控室的值班工作，做好监控记录，遵循指挥中心管理方案，充分发挥其作用，及时发现违法犯罪和火灾等萌芽状态，为校园消防、安保、节能提供服务。</w:t>
            </w:r>
          </w:p>
          <w:p>
            <w:pPr>
              <w:autoSpaceDE w:val="0"/>
              <w:autoSpaceDN w:val="0"/>
              <w:spacing w:line="360" w:lineRule="auto"/>
              <w:ind w:firstLine="480" w:firstLineChars="200"/>
              <w:jc w:val="left"/>
              <w:rPr>
                <w:rFonts w:ascii="仿宋_GB2312" w:hAnsi="Calibri" w:eastAsia="仿宋_GB2312"/>
                <w:bCs/>
                <w:color w:val="auto"/>
                <w:sz w:val="24"/>
                <w:highlight w:val="none"/>
              </w:rPr>
            </w:pPr>
            <w:r>
              <w:rPr>
                <w:rFonts w:hint="eastAsia" w:ascii="仿宋_GB2312" w:hAnsi="Calibri" w:eastAsia="仿宋_GB2312"/>
                <w:color w:val="auto"/>
                <w:sz w:val="24"/>
                <w:highlight w:val="none"/>
              </w:rPr>
              <w:t>应急指挥中心值班岗（消防控制室）</w:t>
            </w:r>
            <w:r>
              <w:rPr>
                <w:rFonts w:hint="eastAsia" w:ascii="仿宋_GB2312" w:hAnsi="Calibri" w:eastAsia="仿宋_GB2312"/>
                <w:bCs/>
                <w:color w:val="auto"/>
                <w:sz w:val="24"/>
                <w:highlight w:val="none"/>
              </w:rPr>
              <w:t>人员资质要求：</w:t>
            </w:r>
          </w:p>
          <w:p>
            <w:pPr>
              <w:autoSpaceDE w:val="0"/>
              <w:autoSpaceDN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bCs/>
                <w:color w:val="auto"/>
                <w:sz w:val="24"/>
                <w:highlight w:val="none"/>
              </w:rPr>
              <w:t>（1）</w:t>
            </w:r>
            <w:r>
              <w:rPr>
                <w:rFonts w:hint="eastAsia" w:ascii="仿宋_GB2312" w:hAnsi="Calibri" w:eastAsia="仿宋_GB2312"/>
                <w:color w:val="auto"/>
                <w:sz w:val="24"/>
                <w:highlight w:val="none"/>
              </w:rPr>
              <w:t>年龄：50周岁以下，文化程度：</w:t>
            </w:r>
            <w:r>
              <w:rPr>
                <w:rFonts w:hint="eastAsia" w:ascii="仿宋_GB2312" w:eastAsia="仿宋_GB2312"/>
                <w:color w:val="auto"/>
                <w:kern w:val="0"/>
                <w:sz w:val="24"/>
                <w:highlight w:val="none"/>
                <w:lang w:val="en-US" w:eastAsia="zh-CN"/>
              </w:rPr>
              <w:t>高中（含中专）以上学历</w:t>
            </w:r>
            <w:r>
              <w:rPr>
                <w:rFonts w:hint="eastAsia" w:ascii="仿宋_GB2312" w:hAnsi="Calibri" w:eastAsia="仿宋_GB2312"/>
                <w:color w:val="auto"/>
                <w:sz w:val="24"/>
                <w:highlight w:val="none"/>
              </w:rPr>
              <w:t>：身体健康，</w:t>
            </w:r>
            <w:r>
              <w:rPr>
                <w:rFonts w:hint="eastAsia" w:ascii="仿宋_GB2312" w:hAnsi="仿宋_GB2312" w:eastAsia="仿宋_GB2312" w:cs="仿宋_GB2312"/>
                <w:color w:val="auto"/>
                <w:sz w:val="24"/>
                <w:highlight w:val="none"/>
                <w:lang w:eastAsia="zh-CN"/>
              </w:rPr>
              <w:t>具有体检资质的公立医院</w:t>
            </w:r>
            <w:r>
              <w:rPr>
                <w:rFonts w:hint="eastAsia" w:ascii="仿宋_GB2312" w:hAnsi="Calibri" w:eastAsia="仿宋_GB2312"/>
                <w:color w:val="auto"/>
                <w:sz w:val="24"/>
                <w:highlight w:val="none"/>
              </w:rPr>
              <w:t>的体检合格证明，上岗前须提交身份证复印件、户口所在地无违法犯罪记录的证明。</w:t>
            </w:r>
          </w:p>
          <w:p>
            <w:pPr>
              <w:autoSpaceDE w:val="0"/>
              <w:autoSpaceDN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（2）能熟练操作计算机，责任心强。</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主要工作职责：认真负责完成好赋予的消防、安保、节能等监控任务，及时掌握各种监控信息，对监控过程中发现的情况及时进行记录、处理和上报。</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2.4.5楼栋固定岗，分早、中、晚三班，负责各楼栋及周边的安全防卫工作，工作职责：值班管理、来访管理、内务工作管理。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执勤要求：根据岗位人员配置，24小时值班，人员准时到岗到位，着装整洁，认真值勤；</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2.4.6机动消防秩序维护员岗位</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工作职责：全体秩序维护员都是义务消防员，中标人定期对全体秩序维护员开展消防知识及法规教育和培训。</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机动消防秩序维护员职责：</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2.4.6.1消防安全巡查；定期检查消防设施，保证其正常运作，保证消防通道通畅；消防器设施的购置、补充、更换费用由校方支出。</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2.4.6.2定期组织学生参加消防训练，协助学校组织学生和教职工参与消防演练；积极做好校园、食堂的消防宣传工作。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2.4.6.3根据消防“四个能力”建设要求，建立、健全消防巡查等相关台账资料。</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2.4.6.4做好校园突发火灾事故（件）的接警和应急处置工作。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2.4.6.5 做好禁止外来人员或其他人员进入学校发放不利于安定团结的标语、传单、大小字报、图片等工作。如外来人员在校园公共区域内（含食堂就餐区、楼宇通道、校园公共厕所等）张贴小广告等宣传物品，24小时内负责清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2.4.6.6 对所有进入学校的外来单位（含施工、检测清洗、网络安装等）进行登记、跟踪管理，记录归档，负责监督、督促整改外来单位在我校的工作情况；若外来单位对我校的工作造成对学校的影响（含破坏校园环境等），一切后果由中标人负责并消除影响。</w:t>
            </w:r>
          </w:p>
          <w:p>
            <w:pPr>
              <w:autoSpaceDE w:val="0"/>
              <w:autoSpaceDN w:val="0"/>
              <w:spacing w:line="360" w:lineRule="auto"/>
              <w:ind w:firstLine="482" w:firstLineChars="200"/>
              <w:jc w:val="left"/>
              <w:rPr>
                <w:rFonts w:ascii="仿宋_GB2312" w:hAnsi="Calibri" w:eastAsia="仿宋_GB2312"/>
                <w:b/>
                <w:bCs/>
                <w:color w:val="auto"/>
                <w:sz w:val="24"/>
                <w:highlight w:val="none"/>
                <w:u w:val="none"/>
              </w:rPr>
            </w:pPr>
            <w:r>
              <w:rPr>
                <w:rFonts w:hint="eastAsia" w:ascii="仿宋_GB2312" w:hAnsi="Calibri" w:eastAsia="仿宋_GB2312"/>
                <w:b/>
                <w:bCs/>
                <w:color w:val="auto"/>
                <w:sz w:val="24"/>
                <w:highlight w:val="none"/>
                <w:u w:val="none"/>
              </w:rPr>
              <w:t>（五）校园房屋及设施设备的维护维修管理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1、维修要求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1.1综合维修要求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1.1.1建立健全维修管理制度和岗位安全责任制度，落实各级责任人员，做好维修记录并建档。</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1.1.2维修分为三个等级：“非常紧急”的事项，要求20分钟内到位，1小时内处理好，否则每2小时升一级；“紧急”的事项，24小时内处理好，否则每2小时升一级；“一般”的事项，48小时处理好，否则每2小时升一级；升级后时间不再区分上班或下班时间段；维修过程注重工作态度，校方会对每一次维修作回访调查。关于事项紧急等级分类按学校《问题升级跟踪处理机制》界定。</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1.1.3设立24小时报修</w:t>
            </w:r>
            <w:r>
              <w:rPr>
                <w:rFonts w:hint="eastAsia" w:ascii="仿宋_GB2312" w:hAnsi="Calibri" w:eastAsia="仿宋_GB2312"/>
                <w:color w:val="auto"/>
                <w:sz w:val="24"/>
                <w:highlight w:val="none"/>
                <w:lang w:eastAsia="zh-CN"/>
              </w:rPr>
              <w:t>渠道</w:t>
            </w:r>
            <w:r>
              <w:rPr>
                <w:rFonts w:hint="eastAsia" w:ascii="仿宋_GB2312" w:hAnsi="Calibri" w:eastAsia="仿宋_GB2312"/>
                <w:color w:val="auto"/>
                <w:sz w:val="24"/>
                <w:highlight w:val="none"/>
              </w:rPr>
              <w:t>，做到维修及时、快速，紧急维修响应不超过半小时，小型维修不过夜，专项维修不超过24小时，无法及时解决的应在解决时限前及时反馈给用户，无法解决或大范围故障应及时通知</w:t>
            </w:r>
            <w:r>
              <w:rPr>
                <w:rFonts w:hint="eastAsia" w:ascii="仿宋_GB2312" w:hAnsi="Calibri" w:eastAsia="仿宋_GB2312"/>
                <w:color w:val="auto"/>
                <w:sz w:val="24"/>
                <w:highlight w:val="none"/>
                <w:lang w:eastAsia="zh-CN"/>
              </w:rPr>
              <w:t>校方</w:t>
            </w:r>
            <w:r>
              <w:rPr>
                <w:rFonts w:hint="eastAsia" w:ascii="仿宋_GB2312" w:hAnsi="Calibri" w:eastAsia="仿宋_GB2312"/>
                <w:color w:val="auto"/>
                <w:sz w:val="24"/>
                <w:highlight w:val="none"/>
              </w:rPr>
              <w:t>，由</w:t>
            </w:r>
            <w:r>
              <w:rPr>
                <w:rFonts w:hint="eastAsia" w:ascii="仿宋_GB2312" w:hAnsi="Calibri" w:eastAsia="仿宋_GB2312"/>
                <w:color w:val="auto"/>
                <w:sz w:val="24"/>
                <w:highlight w:val="none"/>
                <w:lang w:eastAsia="zh-CN"/>
              </w:rPr>
              <w:t>校方</w:t>
            </w:r>
            <w:r>
              <w:rPr>
                <w:rFonts w:hint="eastAsia" w:ascii="仿宋_GB2312" w:hAnsi="Calibri" w:eastAsia="仿宋_GB2312"/>
                <w:color w:val="auto"/>
                <w:sz w:val="24"/>
                <w:highlight w:val="none"/>
              </w:rPr>
              <w:t>根据实际制定计划后委托施工单位具体实施；为防止“不报、不修”，每学期须两次普查维修，</w:t>
            </w:r>
            <w:r>
              <w:rPr>
                <w:rFonts w:hint="eastAsia" w:ascii="仿宋_GB2312" w:hAnsi="Calibri" w:eastAsia="仿宋_GB2312"/>
                <w:color w:val="auto"/>
                <w:sz w:val="24"/>
                <w:highlight w:val="none"/>
                <w:lang w:eastAsia="zh-CN"/>
              </w:rPr>
              <w:t>校方</w:t>
            </w:r>
            <w:r>
              <w:rPr>
                <w:rFonts w:hint="eastAsia" w:ascii="仿宋_GB2312" w:hAnsi="Calibri" w:eastAsia="仿宋_GB2312"/>
                <w:color w:val="auto"/>
                <w:sz w:val="24"/>
                <w:highlight w:val="none"/>
              </w:rPr>
              <w:t>不定期抽查；建立学生宿舍高效的报修维修工作体系。</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建立能有效应对各类突发事件（如：大雨、大风等恶劣天气、疫情等）的应急预案，在遇到突发事件时能根据预案加强人员排查或基础设施检查，及时发现问题并妥善处置。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每天一次巡检，确保室内外的照明灯具（不含食堂内部、商业网点）的完好，如有缺损，应及时更换；保持灯具正常使用及外观清洁。</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6</w:t>
            </w:r>
            <w:r>
              <w:rPr>
                <w:rFonts w:hint="eastAsia" w:ascii="仿宋_GB2312" w:hAnsi="Calibri" w:eastAsia="仿宋_GB2312"/>
                <w:color w:val="auto"/>
                <w:sz w:val="24"/>
                <w:highlight w:val="none"/>
              </w:rPr>
              <w:t>大中型维修或专项维修应提出维修需求报校方，由校方确认后委托施工单位实施维修。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7</w:t>
            </w:r>
            <w:r>
              <w:rPr>
                <w:rFonts w:hint="eastAsia" w:ascii="仿宋_GB2312" w:hAnsi="Calibri" w:eastAsia="仿宋_GB2312"/>
                <w:color w:val="auto"/>
                <w:sz w:val="24"/>
                <w:highlight w:val="none"/>
              </w:rPr>
              <w:t>制定年度维修养护计划（含变压器、发电机、水泵、配电房等），负责所有设备设施进行日常管理、养护和维修，建立完整的检修记录和保养记录。</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小型维修（保修期外）的维修材料由校方提供，如中标人不能维修的可委托相关专业公司维修。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w:t>
            </w:r>
            <w:r>
              <w:rPr>
                <w:rFonts w:hint="eastAsia" w:ascii="仿宋_GB2312" w:hAnsi="Calibri" w:eastAsia="仿宋_GB2312"/>
                <w:color w:val="auto"/>
                <w:sz w:val="24"/>
                <w:highlight w:val="none"/>
                <w:lang w:val="en-US" w:eastAsia="zh-CN"/>
              </w:rPr>
              <w:t>9</w:t>
            </w:r>
            <w:r>
              <w:rPr>
                <w:rFonts w:hint="eastAsia" w:ascii="仿宋_GB2312" w:hAnsi="Calibri" w:eastAsia="仿宋_GB2312"/>
                <w:color w:val="auto"/>
                <w:sz w:val="24"/>
                <w:highlight w:val="none"/>
              </w:rPr>
              <w:t>做到水电维修不过夜，门窗、家具维修不过天。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0</w:t>
            </w:r>
            <w:r>
              <w:rPr>
                <w:rFonts w:hint="eastAsia" w:ascii="仿宋_GB2312" w:hAnsi="Calibri" w:eastAsia="仿宋_GB2312"/>
                <w:color w:val="auto"/>
                <w:sz w:val="24"/>
                <w:highlight w:val="none"/>
              </w:rPr>
              <w:t>玻璃无破碎，五金配件完好。</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1</w:t>
            </w:r>
            <w:r>
              <w:rPr>
                <w:rFonts w:hint="eastAsia" w:ascii="仿宋_GB2312" w:hAnsi="Calibri" w:eastAsia="仿宋_GB2312"/>
                <w:color w:val="auto"/>
                <w:sz w:val="24"/>
                <w:highlight w:val="none"/>
              </w:rPr>
              <w:t>门、窗开闭灵活，密封性好，无异常响声。</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厕所洁具设施保持完好、正常，水龙头及便池出水正常，不漏水，地漏畅通、不堵塞；保持管道畅通与安全使用，发现损坏应及时修复。</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3维修工作</w:t>
            </w:r>
            <w:r>
              <w:rPr>
                <w:rFonts w:hint="eastAsia" w:ascii="仿宋_GB2312" w:hAnsi="Calibri" w:eastAsia="仿宋_GB2312"/>
                <w:color w:val="auto"/>
                <w:sz w:val="24"/>
                <w:highlight w:val="none"/>
              </w:rPr>
              <w:t>应不影响教学和考试，在保修期内配合有关厂家做好维修工作。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.及时做好公共楼宇灯泡、灯管、开关、插座、镜子等（含教室内及办公场所）的维修及更换工作；维修不能影响教学的正常活动。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设备维修需做好报修、修复检查验收的登记备案工作。</w:t>
            </w:r>
          </w:p>
          <w:p>
            <w:pPr>
              <w:spacing w:line="360" w:lineRule="auto"/>
              <w:ind w:firstLine="480" w:firstLineChars="200"/>
              <w:jc w:val="left"/>
              <w:rPr>
                <w:color w:val="auto"/>
                <w:highlight w:val="none"/>
              </w:rPr>
            </w:pPr>
            <w:r>
              <w:rPr>
                <w:rFonts w:hint="eastAsia" w:ascii="仿宋_GB2312" w:hAnsi="Calibri" w:eastAsia="仿宋_GB2312"/>
                <w:color w:val="auto"/>
                <w:sz w:val="24"/>
                <w:highlight w:val="none"/>
              </w:rPr>
              <w:t>1.1.1</w:t>
            </w:r>
            <w:r>
              <w:rPr>
                <w:rFonts w:hint="eastAsia" w:ascii="仿宋_GB2312" w:hAnsi="Calibri" w:eastAsia="仿宋_GB2312"/>
                <w:color w:val="auto"/>
                <w:sz w:val="24"/>
                <w:highlight w:val="none"/>
                <w:lang w:val="en-US" w:eastAsia="zh-CN"/>
              </w:rPr>
              <w:t>6</w:t>
            </w:r>
            <w:r>
              <w:rPr>
                <w:rFonts w:hint="eastAsia" w:ascii="仿宋_GB2312" w:hAnsi="Calibri" w:eastAsia="仿宋_GB2312"/>
                <w:color w:val="auto"/>
                <w:sz w:val="24"/>
                <w:highlight w:val="none"/>
              </w:rPr>
              <w:t>建立维修人员培训机制，提高维修人员服务意识和文明素质，施工过程需着正式工装、使用礼貌用语，施工完成后做好现场环境、卫生恢复。</w:t>
            </w:r>
          </w:p>
          <w:p>
            <w:pPr>
              <w:spacing w:line="360" w:lineRule="auto"/>
              <w:ind w:firstLine="480" w:firstLineChars="200"/>
              <w:rPr>
                <w:color w:val="auto"/>
                <w:highlight w:val="none"/>
              </w:rPr>
            </w:pPr>
            <w:r>
              <w:rPr>
                <w:rFonts w:hint="eastAsia" w:ascii="仿宋_GB2312" w:hAnsi="Calibri" w:eastAsia="仿宋_GB2312" w:cs="Times New Roman"/>
                <w:color w:val="auto"/>
                <w:sz w:val="24"/>
                <w:highlight w:val="none"/>
                <w:lang w:val="en-US" w:eastAsia="zh-CN"/>
              </w:rPr>
              <w:t>1.1.17 建立校园基础设施设备安全巡查机制，及时发现安全隐患和其他问题，做好记录并及时向校方报告；配合校方开展各类基础设施专项检查工作。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1.2.小型维修范围包括因原有设施设备损坏需要维修的内容，维修材料由校方提供，其它费用由中标人承担（不含校内第三方经营场所）。</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1.2.1家具类：教学场所、学生宿舍、办公室、会议室、报告厅等区域家具的维修。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1.2.2水电类：普通水龙头、延时冲水阀、蹲便器、热水器的部件、混水阀、三角阀、闸阀、淋浴软管、淋浴喷头、水池下水管（头）、给排水管（地下管道及2米高度以上管道除外）、节能灯、日光灯/日光灯架、按扭开关、插座、空气开关/漏保开关、镇流器、吊扇、吸顶扇、吊扇（吸顶扇）调速器、时控器、电器线路等水电设备的维护、维修和更换等。</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1.2.3五金类：校舍门锁（智能锁具除外）、抽屉和橱柜等锁扣、窗户锁扣/窗把、门插销、合页等的更换、维修；铁门的维修；窗帘维护。</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1.2.4玻璃类：玻璃（钢化玻璃除外）的更换。</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1.2.5 设备类：对学校电梯、发电机、变压器、热水设备（第三方运营设备除外）、二次供水设备、污水处理设备、消防设备等公共设备进行日常维护。其中配备特种设备安全管理员，对电梯按使用管理要求实施管理。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1.2.6其他：下水道疏通（疏通费用由中标人承担）、单处2平方米范围内地砖维修、单处1平方米范围内墙砖维修（需高空作业情况除外）、单处2平方米墙面小部分腻子或墙漆维修（需高空作业情况除外）、1平米范围内路面损坏等的修补等</w:t>
            </w:r>
            <w:r>
              <w:rPr>
                <w:rFonts w:hint="eastAsia" w:ascii="仿宋_GB2312" w:hAnsi="Calibri" w:eastAsia="仿宋_GB2312"/>
                <w:color w:val="auto"/>
                <w:sz w:val="24"/>
                <w:highlight w:val="none"/>
                <w:lang w:eastAsia="zh-CN"/>
              </w:rPr>
              <w:t>（材料由校方出）</w:t>
            </w:r>
            <w:r>
              <w:rPr>
                <w:rFonts w:hint="eastAsia" w:ascii="仿宋_GB2312" w:hAnsi="Calibri" w:eastAsia="仿宋_GB2312"/>
                <w:color w:val="auto"/>
                <w:sz w:val="24"/>
                <w:highlight w:val="none"/>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1.2.7负责校内标识牌维修（需要高空作业</w:t>
            </w:r>
            <w:r>
              <w:rPr>
                <w:rFonts w:hint="eastAsia" w:ascii="仿宋_GB2312" w:hAnsi="Calibri" w:eastAsia="仿宋_GB2312"/>
                <w:color w:val="auto"/>
                <w:sz w:val="24"/>
                <w:highlight w:val="none"/>
                <w:lang w:eastAsia="zh-CN"/>
              </w:rPr>
              <w:t>或</w:t>
            </w:r>
            <w:r>
              <w:rPr>
                <w:rFonts w:hint="eastAsia" w:ascii="仿宋_GB2312" w:hAnsi="Calibri" w:eastAsia="仿宋_GB2312"/>
                <w:color w:val="auto"/>
                <w:sz w:val="24"/>
                <w:highlight w:val="none"/>
              </w:rPr>
              <w:t>更换的除外）。</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、高低压设备维护管理</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 xml:space="preserve">2.1按照规定的周期对变配电设备设施运行情况进行检查，做好简单维护和清洁工作等，并做记录。如发现高压设备故障无法及时解决的，应第一时间报校方联系专业公司处理，并协助专业公司排除故障，确保供电安全。  </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 xml:space="preserve"> 服务期内确保无重大责任事故，确保用电安全。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Calibri" w:eastAsia="仿宋_GB2312"/>
                <w:color w:val="auto"/>
                <w:sz w:val="24"/>
                <w:highlight w:val="none"/>
              </w:rPr>
              <w:t>配电间实行封闭管理，检查灭火器配备及供配电设备异常情况，及时处理并向校方报告。</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按时每月对发电机机组进行一次启动测试及维护，确保停电可立即使用。</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、安全防范系统维护管理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.1</w:t>
            </w:r>
            <w:r>
              <w:rPr>
                <w:rFonts w:hint="eastAsia" w:ascii="仿宋_GB2312" w:hAnsi="Calibri" w:eastAsia="仿宋_GB2312"/>
                <w:color w:val="auto"/>
                <w:sz w:val="24"/>
                <w:highlight w:val="none"/>
                <w:lang w:val="en-US" w:eastAsia="zh-CN"/>
              </w:rPr>
              <w:t xml:space="preserve"> 24小时</w:t>
            </w:r>
            <w:r>
              <w:rPr>
                <w:rFonts w:hint="eastAsia" w:ascii="仿宋_GB2312" w:hAnsi="Calibri" w:eastAsia="仿宋_GB2312"/>
                <w:color w:val="auto"/>
                <w:sz w:val="24"/>
                <w:highlight w:val="none"/>
                <w:lang w:eastAsia="zh-CN"/>
              </w:rPr>
              <w:t>监控、</w:t>
            </w:r>
            <w:r>
              <w:rPr>
                <w:rFonts w:hint="eastAsia" w:ascii="仿宋_GB2312" w:hAnsi="Calibri" w:eastAsia="仿宋_GB2312"/>
                <w:color w:val="auto"/>
                <w:sz w:val="24"/>
                <w:highlight w:val="none"/>
              </w:rPr>
              <w:t>确保安保总监控中心和安保分中心正常运作。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.2定期巡视控制中心、管理终端、显示设备、UPS电源、网络设备、各摄像头、云台等，实施故障报修。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.3制定设备检测和保养计划，组织实施日常简单设备维护工作。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.4联络和协调专业单位开展定期检测，跟踪协调监测过程以及出现的问题，跟进后续相关事宜。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.5定期组织实施学校门窗设施安全检查，并留存安全检查记录归档。</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、给排水系统维护管理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.1应定期对给排水系统进行维护、润滑。</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.2定期对污水处理系统全面维护保养，系统无明显异味和噪声。</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.3每季对楼宇排水总管进行检查，定期对水泵、管道进行油漆。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做好节约用水的工作和宣传。</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、避雷系统维护管理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.1每年检查</w:t>
            </w:r>
            <w:r>
              <w:rPr>
                <w:rFonts w:hint="eastAsia" w:ascii="仿宋_GB2312" w:hAnsi="Calibri" w:eastAsia="仿宋_GB2312"/>
                <w:color w:val="auto"/>
                <w:sz w:val="24"/>
                <w:highlight w:val="none"/>
                <w:lang w:eastAsia="zh-CN"/>
              </w:rPr>
              <w:t>学校建筑</w:t>
            </w:r>
            <w:r>
              <w:rPr>
                <w:rFonts w:hint="eastAsia" w:ascii="仿宋_GB2312" w:hAnsi="Calibri" w:eastAsia="仿宋_GB2312"/>
                <w:color w:val="auto"/>
                <w:sz w:val="24"/>
                <w:highlight w:val="none"/>
              </w:rPr>
              <w:t>重要机房的设备防静电地板的接地是否可靠，并对</w:t>
            </w:r>
            <w:r>
              <w:rPr>
                <w:rFonts w:hint="eastAsia" w:ascii="仿宋_GB2312" w:hAnsi="Calibri" w:eastAsia="仿宋_GB2312"/>
                <w:color w:val="auto"/>
                <w:sz w:val="24"/>
                <w:highlight w:val="none"/>
                <w:lang w:eastAsia="zh-CN"/>
              </w:rPr>
              <w:t>学校建筑</w:t>
            </w:r>
            <w:r>
              <w:rPr>
                <w:rFonts w:hint="eastAsia" w:ascii="仿宋_GB2312" w:hAnsi="Calibri" w:eastAsia="仿宋_GB2312"/>
                <w:color w:val="auto"/>
                <w:sz w:val="24"/>
                <w:highlight w:val="none"/>
              </w:rPr>
              <w:t>的各楼层的钢窗、钢结构进行外观检查。</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.2定期对</w:t>
            </w:r>
            <w:r>
              <w:rPr>
                <w:rFonts w:hint="eastAsia" w:ascii="仿宋_GB2312" w:hAnsi="Calibri" w:eastAsia="仿宋_GB2312"/>
                <w:color w:val="auto"/>
                <w:sz w:val="24"/>
                <w:highlight w:val="none"/>
                <w:lang w:eastAsia="zh-CN"/>
              </w:rPr>
              <w:t>学校建筑</w:t>
            </w:r>
            <w:r>
              <w:rPr>
                <w:rFonts w:hint="eastAsia" w:ascii="仿宋_GB2312" w:hAnsi="Calibri" w:eastAsia="仿宋_GB2312"/>
                <w:color w:val="auto"/>
                <w:sz w:val="24"/>
                <w:highlight w:val="none"/>
              </w:rPr>
              <w:t>顶层的避雷带、避雷针、顶层屋面设备的接地装置进行全面检查，定期对楼层强、弱电间内的接地装置进行检查，如有问题及时向校方报告。</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.3定期对</w:t>
            </w:r>
            <w:r>
              <w:rPr>
                <w:rFonts w:hint="eastAsia" w:ascii="仿宋_GB2312" w:hAnsi="Calibri" w:eastAsia="仿宋_GB2312"/>
                <w:color w:val="auto"/>
                <w:sz w:val="24"/>
                <w:highlight w:val="none"/>
                <w:lang w:eastAsia="zh-CN"/>
              </w:rPr>
              <w:t>学校建筑</w:t>
            </w:r>
            <w:r>
              <w:rPr>
                <w:rFonts w:hint="eastAsia" w:ascii="仿宋_GB2312" w:hAnsi="Calibri" w:eastAsia="仿宋_GB2312"/>
                <w:color w:val="auto"/>
                <w:sz w:val="24"/>
                <w:highlight w:val="none"/>
              </w:rPr>
              <w:t>变配电室的设备接地带进行检查，并对</w:t>
            </w:r>
            <w:r>
              <w:rPr>
                <w:rFonts w:hint="eastAsia" w:ascii="仿宋_GB2312" w:hAnsi="Calibri" w:eastAsia="仿宋_GB2312"/>
                <w:color w:val="auto"/>
                <w:sz w:val="24"/>
                <w:highlight w:val="none"/>
                <w:lang w:eastAsia="zh-CN"/>
              </w:rPr>
              <w:t>学校建筑</w:t>
            </w:r>
            <w:r>
              <w:rPr>
                <w:rFonts w:hint="eastAsia" w:ascii="仿宋_GB2312" w:hAnsi="Calibri" w:eastAsia="仿宋_GB2312"/>
                <w:color w:val="auto"/>
                <w:sz w:val="24"/>
                <w:highlight w:val="none"/>
              </w:rPr>
              <w:t>各重要机房内的配电柜及设备进行检查，如有问题及时向校方报告。</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6、特种设备管理人员配置</w:t>
            </w:r>
          </w:p>
          <w:p>
            <w:pPr>
              <w:spacing w:line="360" w:lineRule="auto"/>
              <w:ind w:firstLine="720" w:firstLineChars="3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rPr>
              <w:t>必须配置至少2人有电梯及相应特种设备操作或管理资格的人员，协助学校保障电梯及相应特种设备正常报备、运行及维护保养。</w:t>
            </w:r>
          </w:p>
          <w:p>
            <w:pPr>
              <w:spacing w:line="360" w:lineRule="auto"/>
              <w:ind w:firstLine="482" w:firstLineChars="200"/>
              <w:jc w:val="left"/>
              <w:rPr>
                <w:rFonts w:ascii="仿宋_GB2312" w:hAnsi="Calibri" w:eastAsia="仿宋_GB2312"/>
                <w:b/>
                <w:bCs/>
                <w:color w:val="auto"/>
                <w:sz w:val="24"/>
                <w:highlight w:val="none"/>
                <w:u w:val="none"/>
              </w:rPr>
            </w:pPr>
            <w:r>
              <w:rPr>
                <w:rFonts w:hint="eastAsia" w:ascii="仿宋_GB2312" w:hAnsi="Calibri" w:eastAsia="仿宋_GB2312"/>
                <w:b/>
                <w:bCs/>
                <w:color w:val="auto"/>
                <w:sz w:val="24"/>
                <w:highlight w:val="none"/>
                <w:u w:val="none"/>
              </w:rPr>
              <w:t>（六）校园卫生保洁</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1、日常清洁综合要求：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1.1清洁区域：办公楼、教学楼、实训楼、综合服务中心、运动场、篮球场、道路、绿化区域、食堂(食堂</w:t>
            </w:r>
            <w:r>
              <w:rPr>
                <w:rFonts w:hint="eastAsia" w:ascii="仿宋_GB2312" w:hAnsi="Calibri" w:eastAsia="仿宋_GB2312"/>
                <w:color w:val="auto"/>
                <w:sz w:val="24"/>
                <w:highlight w:val="none"/>
                <w:lang w:eastAsia="zh-CN"/>
              </w:rPr>
              <w:t>责任</w:t>
            </w:r>
            <w:r>
              <w:rPr>
                <w:rFonts w:hint="eastAsia" w:ascii="仿宋_GB2312" w:hAnsi="Calibri" w:eastAsia="仿宋_GB2312"/>
                <w:color w:val="auto"/>
                <w:sz w:val="24"/>
                <w:highlight w:val="none"/>
              </w:rPr>
              <w:t>区域除外)、学生宿舍（含架空层）以及校舍附属用房（非第三方服务但属于学校公共使用）等公共区域，包括：门厅、楼道（走道）、楼梯、电梯厢房、走廊、屋面、天台、公共卫生间等所有区域（包括区域内的公共设施，如开水机、运动器械、消防栓、充电桩、宿舍楼顶节能板表面、距地面3米范围内的空调外机表面、自助金融柜台等以及门面、食堂门口外部的区域）；校园内垃圾桶满3/4清理，整个校区垃圾日产日清；运动场、篮球场、道路、绿化区域等</w:t>
            </w:r>
            <w:r>
              <w:rPr>
                <w:rFonts w:hint="eastAsia" w:ascii="仿宋_GB2312" w:hAnsi="Calibri" w:eastAsia="仿宋_GB2312"/>
                <w:color w:val="auto"/>
                <w:sz w:val="24"/>
                <w:highlight w:val="none"/>
                <w:lang w:eastAsia="zh-CN"/>
              </w:rPr>
              <w:t>校园内</w:t>
            </w:r>
            <w:r>
              <w:rPr>
                <w:rFonts w:hint="eastAsia" w:ascii="仿宋_GB2312" w:hAnsi="Calibri" w:eastAsia="仿宋_GB2312"/>
                <w:color w:val="auto"/>
                <w:sz w:val="24"/>
                <w:highlight w:val="none"/>
              </w:rPr>
              <w:t>的所有公共区域。</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1.2日常保洁器具、耗材由中标人负责，具体见“附件</w:t>
            </w:r>
            <w:r>
              <w:rPr>
                <w:rFonts w:hint="eastAsia" w:ascii="仿宋_GB2312" w:hAnsi="Calibri" w:eastAsia="仿宋_GB2312"/>
                <w:color w:val="auto"/>
                <w:sz w:val="24"/>
                <w:highlight w:val="none"/>
                <w:lang w:val="en-US" w:eastAsia="zh-CN"/>
              </w:rPr>
              <w:t>6</w:t>
            </w:r>
            <w:r>
              <w:rPr>
                <w:rFonts w:hint="eastAsia" w:ascii="仿宋_GB2312" w:hAnsi="Calibri" w:eastAsia="仿宋_GB2312"/>
                <w:color w:val="auto"/>
                <w:sz w:val="24"/>
                <w:highlight w:val="none"/>
              </w:rPr>
              <w:t>：中标人投</w:t>
            </w:r>
            <w:r>
              <w:rPr>
                <w:rFonts w:hint="eastAsia" w:ascii="仿宋_GB2312" w:hAnsi="Calibri" w:eastAsia="仿宋_GB2312"/>
                <w:color w:val="auto"/>
                <w:sz w:val="24"/>
                <w:highlight w:val="none"/>
                <w:lang w:eastAsia="zh-CN"/>
              </w:rPr>
              <w:t>入本项目的</w:t>
            </w:r>
            <w:r>
              <w:rPr>
                <w:rFonts w:hint="eastAsia" w:ascii="仿宋_GB2312" w:hAnsi="Calibri" w:eastAsia="仿宋_GB2312"/>
                <w:color w:val="auto"/>
                <w:sz w:val="24"/>
                <w:highlight w:val="none"/>
              </w:rPr>
              <w:t>设备”；包括清洁卫生用工具（扫帚、拖把、畚箕、抹布等），纸篓（</w:t>
            </w:r>
            <w:r>
              <w:rPr>
                <w:rFonts w:hint="eastAsia" w:ascii="仿宋_GB2312" w:hAnsi="Calibri" w:eastAsia="仿宋_GB2312"/>
                <w:color w:val="auto"/>
                <w:sz w:val="24"/>
                <w:highlight w:val="none"/>
                <w:lang w:eastAsia="zh-CN"/>
              </w:rPr>
              <w:t>公共</w:t>
            </w:r>
            <w:r>
              <w:rPr>
                <w:rFonts w:hint="eastAsia" w:ascii="仿宋_GB2312" w:hAnsi="Calibri" w:eastAsia="仿宋_GB2312"/>
                <w:color w:val="auto"/>
                <w:sz w:val="24"/>
                <w:highlight w:val="none"/>
              </w:rPr>
              <w:t>卫生间）、垃圾袋；保洁清洁材料（洁厕灵、肥皂粉、消毒液、洗洁精等）；公共场所用垃圾箱、垃圾桶，包括垃圾房用垃圾桶、楼道用垃圾桶由校方配置，中标人负责管理维护。</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1.3</w:t>
            </w:r>
            <w:r>
              <w:rPr>
                <w:rFonts w:hint="eastAsia" w:ascii="仿宋_GB2312" w:hAnsi="仿宋_GB2312" w:eastAsia="仿宋_GB2312" w:cs="仿宋_GB2312"/>
                <w:color w:val="auto"/>
                <w:sz w:val="24"/>
                <w:highlight w:val="none"/>
                <w:lang w:eastAsia="zh-CN"/>
              </w:rPr>
              <w:t>中标人负责全校区排污管道、化粪池等清洁、清理工作。化粪池清理费（含管道疏通费）由中标人负责，基础设施（如化粪池、管道倒塌等）损坏由校方负责维修；要求每日巡查一次，做到无粪便堵塞或满溢现象，保证出入口畅通，污水不溢出地面，日常满三分之二即清理，寒暑假全面彻底清理，并做好相关作业记录。</w:t>
            </w:r>
            <w:r>
              <w:rPr>
                <w:rFonts w:hint="eastAsia" w:ascii="仿宋_GB2312" w:hAnsi="Calibri" w:eastAsia="仿宋_GB2312"/>
                <w:color w:val="auto"/>
                <w:sz w:val="24"/>
                <w:highlight w:val="none"/>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2、校园外围区域的清洁标准要求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校区公共道路、广场、运动场、球场、绿化区域等卫生：</w:t>
            </w:r>
          </w:p>
          <w:p>
            <w:pPr>
              <w:spacing w:line="360" w:lineRule="auto"/>
              <w:ind w:firstLine="480" w:firstLineChars="200"/>
              <w:jc w:val="left"/>
              <w:rPr>
                <w:rFonts w:hAnsi="Calibri"/>
                <w:color w:val="auto"/>
                <w:sz w:val="24"/>
                <w:highlight w:val="none"/>
              </w:rPr>
            </w:pPr>
            <w:r>
              <w:rPr>
                <w:rFonts w:hint="eastAsia" w:ascii="仿宋_GB2312" w:hAnsi="Calibri" w:eastAsia="仿宋_GB2312"/>
                <w:color w:val="auto"/>
                <w:sz w:val="24"/>
                <w:highlight w:val="none"/>
              </w:rPr>
              <w:t>2.1主干道路：每日8：00前完成一次清扫，期间每二小时巡扫一次，重大活动期间实施冲洗；遇台风、暴雨时及时组织保洁人员共同清扫；要求下水道口保持畅通；路面做到</w:t>
            </w:r>
            <w:r>
              <w:rPr>
                <w:rFonts w:hAnsi="Calibri"/>
                <w:color w:val="auto"/>
                <w:highlight w:val="none"/>
              </w:rPr>
              <w:t>无</w:t>
            </w:r>
            <w:r>
              <w:rPr>
                <w:rFonts w:hAnsi="Calibri"/>
                <w:color w:val="auto"/>
                <w:sz w:val="24"/>
                <w:highlight w:val="none"/>
              </w:rPr>
              <w:t>明</w:t>
            </w:r>
            <w:r>
              <w:rPr>
                <w:rFonts w:ascii="仿宋_GB2312" w:hAnsi="Calibri" w:eastAsia="仿宋_GB2312"/>
                <w:color w:val="auto"/>
                <w:sz w:val="24"/>
                <w:highlight w:val="none"/>
              </w:rPr>
              <w:t>显泥沙、污垢、纸屑、枯树枝树叶，无积水，无垃圾堆积物，无青苔，无杂草延伸；每100平方米内烟头、纸屑不超过3处，无1cm以上的石子。</w:t>
            </w:r>
          </w:p>
          <w:p>
            <w:pPr>
              <w:spacing w:line="360" w:lineRule="auto"/>
              <w:ind w:firstLine="480" w:firstLineChars="200"/>
              <w:jc w:val="left"/>
              <w:rPr>
                <w:rStyle w:val="251"/>
                <w:rFonts w:hint="default" w:hAnsi="Times New Roman"/>
                <w:color w:val="auto"/>
                <w:highlight w:val="none"/>
                <w:lang w:bidi="ar"/>
              </w:rPr>
            </w:pPr>
            <w:r>
              <w:rPr>
                <w:rFonts w:hint="eastAsia" w:ascii="仿宋_GB2312" w:hAnsi="Calibri" w:eastAsia="仿宋_GB2312"/>
                <w:color w:val="auto"/>
                <w:sz w:val="24"/>
                <w:highlight w:val="none"/>
              </w:rPr>
              <w:t>2.2广场、运动场、球场等公共区域：每日保洁一次，不定时进行点扫，要求做到</w:t>
            </w:r>
            <w:r>
              <w:rPr>
                <w:rStyle w:val="251"/>
                <w:rFonts w:hint="default" w:hAnsi="Times New Roman"/>
                <w:color w:val="auto"/>
                <w:sz w:val="24"/>
                <w:szCs w:val="24"/>
                <w:highlight w:val="none"/>
                <w:lang w:bidi="ar"/>
              </w:rPr>
              <w:t>无积水，无泥沙、污垢、无纸屑、烟头等垃圾，无青苔，无杂草延伸；</w:t>
            </w:r>
            <w:r>
              <w:rPr>
                <w:rFonts w:hint="eastAsia" w:ascii="仿宋_GB2312" w:hAnsi="Calibri" w:eastAsia="仿宋_GB2312"/>
                <w:color w:val="auto"/>
                <w:sz w:val="24"/>
                <w:highlight w:val="none"/>
              </w:rPr>
              <w:t>自助金融柜台每日保洁一次，要求表面干净整洁、无明显灰尘。</w:t>
            </w:r>
          </w:p>
          <w:p>
            <w:pPr>
              <w:spacing w:line="360" w:lineRule="auto"/>
              <w:ind w:firstLine="480" w:firstLineChars="200"/>
              <w:jc w:val="left"/>
              <w:rPr>
                <w:rFonts w:ascii="仿宋_GB2312" w:hAnsi="Calibri" w:eastAsia="仿宋_GB2312"/>
                <w:color w:val="auto"/>
                <w:sz w:val="24"/>
                <w:highlight w:val="none"/>
                <w:lang w:bidi="ar"/>
              </w:rPr>
            </w:pPr>
            <w:r>
              <w:rPr>
                <w:rFonts w:hint="eastAsia" w:ascii="仿宋_GB2312" w:hAnsi="Calibri" w:eastAsia="仿宋_GB2312"/>
                <w:color w:val="auto"/>
                <w:sz w:val="24"/>
                <w:highlight w:val="none"/>
              </w:rPr>
              <w:t>2.3绿化区域：每日清扫一次，不定时进行点扫，做到无</w:t>
            </w:r>
            <w:r>
              <w:rPr>
                <w:rFonts w:hint="eastAsia" w:ascii="仿宋_GB2312" w:hAnsi="Calibri" w:eastAsia="仿宋_GB2312"/>
                <w:color w:val="auto"/>
                <w:sz w:val="24"/>
                <w:highlight w:val="none"/>
                <w:lang w:bidi="ar"/>
              </w:rPr>
              <w:t>垃圾，无明显落叶、无包装塑料袋、无枯枝木棍等杂物。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2.4停车场（棚）：地面每日清扫一次；做到干净整洁、无明显灰尘、垃圾、杂物；天面每周清洁一次，做到无蛛网；充电桩每周清洁一次，做到无明显灰尘；棚顶：每月清扫2次，做到无垃圾杂物。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2.5休闲设施（座椅）每日巡查保洁一次；要求干净整洁，无积尘、无污迹、</w:t>
            </w:r>
            <w:r>
              <w:rPr>
                <w:rStyle w:val="251"/>
                <w:rFonts w:hint="default" w:hAnsi="Times New Roman"/>
                <w:color w:val="auto"/>
                <w:sz w:val="24"/>
                <w:szCs w:val="24"/>
                <w:highlight w:val="none"/>
                <w:lang w:bidi="ar"/>
              </w:rPr>
              <w:t>无青苔</w:t>
            </w:r>
            <w:r>
              <w:rPr>
                <w:rFonts w:hint="eastAsia" w:ascii="仿宋_GB2312" w:hAnsi="Calibri" w:eastAsia="仿宋_GB2312"/>
                <w:color w:val="auto"/>
                <w:sz w:val="24"/>
                <w:highlight w:val="none"/>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2.6宣传栏、橱窗（非广告）每日巡查保洁一次；要求边框干净整洁，玻璃明亮，无明显灰尘、无污迹、无张贴。</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2.7校标、指示标志、路灯杆、雕塑每周保洁一次；要求干净、无灰尘、无污迹，无张贴。</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2.8垃圾桶每日保洁一次，不定时巡检，要求外表面完好干净、无明显污迹、无异味，桶内垃圾不超过四分之三；每周清洗消毒一次，并将清洗消毒记录在案。</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2.9排污沟每月保洁一次，每天巡检一次：要求做到排水通畅，无淤泥，无堵塞，无杂草，无垃圾杂物。</w:t>
            </w:r>
          </w:p>
          <w:p>
            <w:pPr>
              <w:spacing w:line="360" w:lineRule="auto"/>
              <w:ind w:left="105" w:leftChars="50" w:firstLine="360" w:firstLineChars="15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2.10校门（50米范围内）每日保洁一次，要求地面</w:t>
            </w:r>
            <w:r>
              <w:rPr>
                <w:rStyle w:val="251"/>
                <w:rFonts w:hint="default" w:hAnsi="Times New Roman"/>
                <w:color w:val="auto"/>
                <w:sz w:val="24"/>
                <w:szCs w:val="24"/>
                <w:highlight w:val="none"/>
                <w:lang w:bidi="ar"/>
              </w:rPr>
              <w:t>无明显泥沙、污垢、纸屑、枯树枝树叶，无积水，无垃圾堆积物，无杂草延伸；</w:t>
            </w:r>
            <w:r>
              <w:rPr>
                <w:rFonts w:hint="eastAsia" w:ascii="仿宋_GB2312" w:hAnsi="Calibri" w:eastAsia="仿宋_GB2312"/>
                <w:color w:val="auto"/>
                <w:sz w:val="24"/>
                <w:highlight w:val="none"/>
              </w:rPr>
              <w:t>电动门、门柱及附属设施等每周保洁一次，要求表面无积尘、无污渍、蛛网</w:t>
            </w:r>
            <w:r>
              <w:rPr>
                <w:rStyle w:val="251"/>
                <w:rFonts w:hint="default" w:hAnsi="Times New Roman"/>
                <w:color w:val="auto"/>
                <w:highlight w:val="none"/>
                <w:lang w:bidi="ar"/>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3、教学实训楼公共区域的卫生清洁标准要求：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3.1地面：每日保洁一次，每二小时巡查一次，要求干净、无灰尘、无污迹、无杂物。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3.2天面：每周保洁一次，每日巡查一次，要求天面无蛛网，灯罩内无垃圾、杂物等。</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3.3楼宇</w:t>
            </w:r>
            <w:r>
              <w:rPr>
                <w:rFonts w:hint="eastAsia" w:ascii="仿宋_GB2312" w:hAnsi="Calibri" w:eastAsia="仿宋_GB2312"/>
                <w:color w:val="auto"/>
                <w:sz w:val="24"/>
                <w:highlight w:val="none"/>
                <w:lang w:eastAsia="zh-CN"/>
              </w:rPr>
              <w:t>公共区域</w:t>
            </w:r>
            <w:r>
              <w:rPr>
                <w:rFonts w:hint="eastAsia" w:ascii="仿宋_GB2312" w:hAnsi="Calibri" w:eastAsia="仿宋_GB2312"/>
                <w:color w:val="auto"/>
                <w:sz w:val="24"/>
                <w:highlight w:val="none"/>
              </w:rPr>
              <w:t>内外部玻璃设施（3米高度以内）每15日巡查保洁一次；要求干净、明亮，无污迹、无明显灰尘、无乱张贴。</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3.4玻璃门、宣传栏：每周保洁一次，要求干净、明亮，无污迹、无明显灰尘、无乱张贴。</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3.5停车场：地面每日清扫一次；做到干净整洁、无明显灰尘、垃圾、杂物；天面每周清洁一次，做到无蛛网； 充电桩：每周清洁一次，做到无明显灰尘。</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3.6楼梯、栏杆、扶手：楼梯每日保洁一次，不定时巡扫，要求干净、无灰尘、无污迹、无杂物；栏杆、扶手，每周保洁一次，要求干净、无灰尘、无污迹。</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3.7电梯轿厢：每日保洁一次，要求地面干净、无灰尘、无污迹；四面干净、明亮，无明显指印、污迹，无乱张贴。</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3.8窗台：每周保洁一次，要求窗框无污渍，无积尘。</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3.7消防栓：每周保洁一次，要求表面干净、无灰尘、无污迹。</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3.9节能饮水机：每日保洁一次，每二小时巡查一次，要求表面干净、无灰尘、无污迹、无垃圾、杂物。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3.10屋顶、天台：每日保洁一次，要求排水通畅、无积水、无泥沙、无垃圾、杂物，无杂草等。</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3.11垃圾桶每日保洁一次，不定时巡检，要求外表面完好干净、无明显污迹、无异味，桶内垃圾不超过四分之三；每周清洗消毒一次，并将清洗消毒记录在案。</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3.12公共卫生间：每日保洁一次、每二小时巡扫一次；要求作业前，门口放置“工作进行中”的黄色告示牌；作业时，开窗通风，先擦门窗，室内由上至下，从里到外逐一保洁和收集垃圾；离开前检查卫生设施是否完好，有问题需及时报修；做到室内无异味、臭味，无烟头、无纸屑、无污渍，无蜘蛛网、无积水、无湿滑现象、无乱张贴现象；地漏盖板清洁完好，无垃圾堵塞现象；洗手盆、拖把池、蹲坑、小便池干净表面清洁卫生、无污迹黄斑、烟头、纸屑，保持畅通；整容镜镜面明亮；废纸篓干净、及时更换垃圾袋；墙面、隔板、表面无涂鸦和乱张贴；无保洁工具、用品统一放在指定地点；洗手液、纸巾放置及时（纸巾由校方支出）。</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3.13指定办公室、会议室每日一次，要求做到地面、门、窗户、墙面、天花板、吊灯、吊扇表面无积灰、无污渍、蜘蛛网；办公桌椅、沙发、设备表面干净整洁，无积灰、无污渍，光亮；地面、踢角线无积灰、无杂物垃圾；窗帘整洁并挂放整齐；垃圾筐中垃圾清理满3/4即清理；桌面保洁时不随意翻动文件。</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3.14地下室每日保洁一次，做到干净整洁，无明显垃圾、杂物、无积水（如地下室为停车场，参照停车场的标准）。</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3.15工具间每日保洁一次，做到干净整洁，无垃圾、杂物、无积水；工具摆放整齐。</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3.16公共教室内风扇每年清洁一次，做到表面干净整洁，无明显灰尘，无蛛网。</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4、学生公寓公共区域的卫生清洁标准要求：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4.1走道、门厅、楼梯、扶手栏杆等公共区域要求每日保洁一次、实时巡扫；做到地面干净整洁，无明显积尘、污迹和湿滑现象，扶手和栏杆无明显积尘。</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4.2门窗、墙面每周保洁一次，要求设施光亮、玻璃明亮，窗台无积灰、无污渍；墙面无黑印、无积灰、无污渍、无蜘蛛网、昆虫，无乱张贴现象。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4.3值班室、活动室等每日保洁一次，要求做到干净整洁、无明显灰尘、垃圾、杂物。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4.4架空层：地面每日保洁一次；做到干净整洁、无明显灰尘、垃圾、杂物；天面每周清洁一次，做到无蛛网；充电桩每周清洁一次，做到无明显灰尘； 自助金融柜台每日保洁一次，要求表面干净整洁、无明显灰尘。</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4.5消防栓：每周保洁一次，要求表面干净、无灰尘、无污迹。</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4.6节能饮水机：每日保洁一次，每二小时巡查一次，要求表面干净、无灰尘、无污迹、无垃圾、杂物。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4.7公共卫生间每日保洁一次，每二小时巡查一次，要求做到室内无异味、臭味，无烟头、无纸屑、无污渍，无蜘蛛网、无积水、无湿滑现象、无乱张贴现象；地漏盖板清洁完好，无垃圾堵塞现象；洗手盆、拖把池、蹲坑、小便池干净表面清洁卫生、无污迹黄斑、烟头、纸屑，保持畅通；废纸篓干净、及时更换垃圾袋；墙面、隔板、表面无涂鸦和乱张贴；整容镜镜面明亮。</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4.8垃圾桶每日保洁一次，不定时巡检，要求外表面完好干净、无明显污迹、无异味，桶内垃圾不超过四分之三；每周清洗消毒一次，并将清洗消毒记录在案。</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4.9宿舍内风扇、灯具每年清洁一次，做到表面干净整洁，无明显灰尘，无蛛网。</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4.10学生毕业离校后，对空宿舍进行彻底清洁，要求做到室内整洁干净、无垃圾杂物；墙面、地面、天面、家具、灯具、卫生间等表面干净、无污渍、无灰尘。</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5、外墙保洁标准要求：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5.1楼体外部及外檐、玻璃幕墙清洁：3米以下的位置（三个月清洁一次）由中标人负责；3米以上协助校方联系相关高空作业资质要求的专业服务公司开展相关清洗工作；中标人负责清洗工作过程的监督、协调等事宜，承担相应监督责任。</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5.2墙面无乱张贴乱画现象，无张贴物（包括通知、海报、广告、春联、圣诞用品等），不能擅自悬挂条幅，保持干净整洁，对不使用的条幅要及时清除；根据职能部门通知时限，及时清除过期各种活动宣传标语及杂物。</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6、其它清洁标准要求：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6.1食堂的公共区域</w:t>
            </w:r>
            <w:r>
              <w:rPr>
                <w:rFonts w:hint="eastAsia" w:ascii="仿宋_GB2312" w:hAnsi="Calibri" w:eastAsia="仿宋_GB2312"/>
                <w:color w:val="auto"/>
                <w:sz w:val="24"/>
                <w:highlight w:val="none"/>
                <w:lang w:eastAsia="zh-CN"/>
              </w:rPr>
              <w:t>（除食堂责任区域外）</w:t>
            </w:r>
            <w:r>
              <w:rPr>
                <w:rFonts w:hint="eastAsia" w:ascii="仿宋_GB2312" w:hAnsi="Calibri" w:eastAsia="仿宋_GB2312"/>
                <w:color w:val="auto"/>
                <w:sz w:val="24"/>
                <w:highlight w:val="none"/>
              </w:rPr>
              <w:t>每月保洁一次，要求做到楼梯、扶手、天台干净整洁，无垃圾杂物，排水通畅，无淤泥，无乱张贴；重大参观按照校方要求彻底食堂内部校方指定区域的清洁。</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6.2校附用房（包括水泵房、开闭所）每月保洁一次，要求做到室内整洁干净，无垃圾杂物，无蛛网。</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6.3校园内（占地面积范围内）无乱写、乱画、乱张贴，发现任何广告24小时内务必清除。</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7、校区所有生活垃圾清理标准要求：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仿宋_GB2312" w:eastAsia="仿宋_GB2312" w:cs="仿宋_GB2312"/>
                <w:color w:val="auto"/>
                <w:sz w:val="24"/>
                <w:highlight w:val="none"/>
              </w:rPr>
              <w:t>7.1</w:t>
            </w:r>
            <w:r>
              <w:rPr>
                <w:rFonts w:hint="eastAsia" w:ascii="仿宋_GB2312" w:hAnsi="仿宋_GB2312" w:eastAsia="仿宋_GB2312" w:cs="仿宋_GB2312"/>
                <w:color w:val="auto"/>
                <w:sz w:val="24"/>
                <w:highlight w:val="none"/>
                <w:lang w:eastAsia="zh-CN"/>
              </w:rPr>
              <w:t>中标人负责校园内所有生活垃圾的清理工作（含食堂、第三方服务商），垃圾做到日产日清，确保校园干净整洁。相关垃圾清理费用由中标人负责。</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7.2室外垃圾桶每日清运二次，做到无满溢、散落现象；室内日产垃圾包装后定点集中堆放，定时清运，保持周边环境整洁、无散落现象。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7.3垃圾房每日清扫保洁二次；配合垃圾清运单位做好垃圾外运，清运后地面冲洗干净，要求环境整洁，无积压、无散落和乱堆放垃圾、无污水、无臭味。</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7.4日常巡查中发现废弃物及时妥善处置，做到无卫生死角。</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7.5校园内所有垃圾桶每周清洗消毒一次，并将清洗消毒记录在案。</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8、校区消杀工作标准要求：</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8.1</w:t>
            </w:r>
            <w:r>
              <w:rPr>
                <w:rFonts w:hint="eastAsia" w:ascii="仿宋_GB2312" w:hAnsi="仿宋_GB2312" w:eastAsia="仿宋_GB2312" w:cs="仿宋_GB2312"/>
                <w:color w:val="auto"/>
                <w:sz w:val="24"/>
                <w:highlight w:val="none"/>
                <w:lang w:eastAsia="zh-CN"/>
              </w:rPr>
              <w:t>中标人负责对学校定点防治单位对有害生物的消杀情况进行全程监管，校园内（不包括食堂内部、第三方商业门面）出现四害(蚊、蝇、老鼠、蟑螂)、白蚁、红火蚁等情况，要及时反馈并协助定点防治单位处理；由于中标人监管不到位而出现的虫害，由中标人负责消杀。</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8.2对全校公共区域每学期消毒2次（消毒液由校方提供），公共卫生间，垃圾桶每星期消毒1次（消毒液由中标人自理），对每次消毒所用药物情况（含时间、剂量、投放人、监督人），应认真记录在《柳职院公共区域消毒情况记录表》上。</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8.3 蛇、蜈蚣等其它有害生物的防治工作。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8.3.1蛇、蜈蚣等有害生物防治工作应每月进行两次，根据季节和校方要求，增加消杀频次。</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8.3.2防治区域：（1）楼宇四周；（2）学生公寓内；（3）办公室、活动配套设施；（4）校方常有蛇、蜈蚣出没的区域。</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8.3.2 防治方法由中标人根据实际情况制定，具体药费由学校负责，对每次</w:t>
            </w:r>
            <w:r>
              <w:rPr>
                <w:rFonts w:hint="eastAsia" w:ascii="仿宋_GB2312" w:hAnsi="Calibri" w:eastAsia="仿宋_GB2312"/>
                <w:color w:val="auto"/>
                <w:sz w:val="24"/>
                <w:highlight w:val="none"/>
                <w:lang w:eastAsia="zh-CN"/>
              </w:rPr>
              <w:t>防治</w:t>
            </w:r>
            <w:r>
              <w:rPr>
                <w:rFonts w:hint="eastAsia" w:ascii="仿宋_GB2312" w:hAnsi="Calibri" w:eastAsia="仿宋_GB2312"/>
                <w:color w:val="auto"/>
                <w:sz w:val="24"/>
                <w:highlight w:val="none"/>
              </w:rPr>
              <w:t>所用药物情况（含时间、剂量、投放人、监督人），应认真记录在《虫害防治情况记录表》上，防治工作需在保证安全的前提下进行，必要上挂上明显标识或校内发通知公告。</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9、所有寒暑假工作，务必在每学期开学前一周完成，保证学生返校和校园正常的教育教学和生活秩序。</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10、垃圾分类：安排专门人员负责校园垃圾分类中的宣传、分拣、回收等工作，协助参与垃圾追溯，积分兑换，废旧物品回收等工作。服从上级领导、学校对校区垃圾分类指导工作。</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rPr>
              <w:t>11、协助学校做好活动、建筑物内绿化植物摆设、保洁、维持等工作</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rPr>
              <w:t>12、配合学校做好其它物业工作。</w:t>
            </w:r>
          </w:p>
          <w:p>
            <w:pPr>
              <w:spacing w:line="360" w:lineRule="auto"/>
              <w:ind w:firstLine="482" w:firstLineChars="200"/>
              <w:jc w:val="left"/>
              <w:rPr>
                <w:rFonts w:hint="eastAsia" w:ascii="仿宋_GB2312" w:hAnsi="Calibri" w:eastAsia="仿宋_GB2312"/>
                <w:b/>
                <w:color w:val="auto"/>
                <w:sz w:val="24"/>
                <w:highlight w:val="none"/>
                <w:u w:val="none"/>
                <w:lang w:eastAsia="zh-CN"/>
              </w:rPr>
            </w:pPr>
            <w:r>
              <w:rPr>
                <w:rFonts w:hint="eastAsia" w:ascii="仿宋_GB2312" w:hAnsi="Calibri" w:eastAsia="仿宋_GB2312"/>
                <w:b/>
                <w:color w:val="auto"/>
                <w:sz w:val="24"/>
                <w:highlight w:val="none"/>
                <w:u w:val="none"/>
              </w:rPr>
              <w:t>（七）</w:t>
            </w:r>
            <w:r>
              <w:rPr>
                <w:rFonts w:hint="eastAsia" w:ascii="仿宋_GB2312" w:hAnsi="Calibri" w:eastAsia="仿宋_GB2312"/>
                <w:b/>
                <w:color w:val="auto"/>
                <w:sz w:val="24"/>
                <w:highlight w:val="none"/>
                <w:u w:val="none"/>
                <w:lang w:eastAsia="zh-CN"/>
              </w:rPr>
              <w:t>校园绿化养护</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1、绿化养护内容与面积</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 xml:space="preserve"> 1.1绿化养护内容包括社湾、官塘两个校区所有绿化区域内的乔木、灌木、花卉、草坪等开展日常养护及管理工作。</w:t>
            </w:r>
          </w:p>
          <w:p>
            <w:pPr>
              <w:spacing w:line="360" w:lineRule="auto"/>
              <w:ind w:firstLine="480" w:firstLineChars="200"/>
              <w:jc w:val="left"/>
              <w:rPr>
                <w:rFonts w:hint="default" w:ascii="仿宋_GB2312" w:hAnsi="Calibri" w:eastAsia="仿宋_GB2312"/>
                <w:strike/>
                <w:dstrike w:val="0"/>
                <w:color w:val="auto"/>
                <w:sz w:val="24"/>
                <w:highlight w:val="none"/>
                <w:lang w:val="en-US" w:eastAsia="zh-CN"/>
              </w:rPr>
            </w:pPr>
            <w:r>
              <w:rPr>
                <w:rFonts w:hint="eastAsia" w:ascii="仿宋_GB2312" w:hAnsi="Calibri" w:eastAsia="仿宋_GB2312"/>
                <w:color w:val="auto"/>
                <w:sz w:val="24"/>
                <w:highlight w:val="none"/>
                <w:lang w:val="en-US" w:eastAsia="zh-CN"/>
              </w:rPr>
              <w:t xml:space="preserve">1.2 绿化面积包括社湾、官塘校区（已完成竣工验收）所有绿化区域，其中社湾校区绿化面积约4万平方米；官塘校区已交付使用绿化面积约12.7万平方米 </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绿化养护管理质量标准</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1</w:t>
            </w:r>
            <w:r>
              <w:rPr>
                <w:rFonts w:hint="eastAsia" w:ascii="仿宋_GB2312" w:hAnsi="Calibri" w:eastAsia="仿宋_GB2312"/>
                <w:color w:val="auto"/>
                <w:sz w:val="24"/>
                <w:highlight w:val="none"/>
              </w:rPr>
              <w:t>养护管理标准：参照《园林绿化养护标准》（CJJ/T287-2018）三级养护标准。</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树木生长旺盛、健壮，根据植物生长习性，合理修剪整形，保持树形整齐美观，骨架均匀，树干基本挺直。</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树穴、花池、绿化带以及沿路绿地片面低于沿围片面距离3-10厘米，无杂草、无积水。</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行道树缺株在1%以下，无死树、枯枝。</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树木基本无病虫害症状、病虫危害程度控制在5%以下，无药害。</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6</w:t>
            </w:r>
            <w:r>
              <w:rPr>
                <w:rFonts w:hint="eastAsia" w:ascii="仿宋_GB2312" w:hAnsi="Calibri" w:eastAsia="仿宋_GB2312"/>
                <w:color w:val="auto"/>
                <w:sz w:val="24"/>
                <w:highlight w:val="none"/>
              </w:rPr>
              <w:t>绿植内无乱贴、乱画、乱钉、乱挂、乱堆放现象。</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7</w:t>
            </w:r>
            <w:r>
              <w:rPr>
                <w:rFonts w:hint="eastAsia" w:ascii="仿宋_GB2312" w:hAnsi="Calibri" w:eastAsia="仿宋_GB2312"/>
                <w:color w:val="auto"/>
                <w:sz w:val="24"/>
                <w:highlight w:val="none"/>
              </w:rPr>
              <w:t>新补植树木需同原有的树种、规格一致，有保护措施。</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新植、补植行道树成活率99%以上，保存率98%以上。</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9</w:t>
            </w:r>
            <w:r>
              <w:rPr>
                <w:rFonts w:hint="eastAsia" w:ascii="仿宋_GB2312" w:hAnsi="Calibri" w:eastAsia="仿宋_GB2312"/>
                <w:color w:val="auto"/>
                <w:sz w:val="24"/>
                <w:highlight w:val="none"/>
              </w:rPr>
              <w:t>绿篱生长旺盛，修剪整齐、合理，无死株、断档、无病虫害症状。</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10</w:t>
            </w:r>
            <w:r>
              <w:rPr>
                <w:rFonts w:hint="eastAsia" w:ascii="仿宋_GB2312" w:hAnsi="Calibri" w:eastAsia="仿宋_GB2312"/>
                <w:color w:val="auto"/>
                <w:sz w:val="24"/>
                <w:highlight w:val="none"/>
              </w:rPr>
              <w:t>草坪成长旺盛、保持青绿、平整、无杂草，高度控制在5厘米左右，无露地面，无成片枯黄；枯黄率控制在5%以内。</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11</w:t>
            </w:r>
            <w:r>
              <w:rPr>
                <w:rFonts w:hint="eastAsia" w:ascii="仿宋_GB2312" w:hAnsi="Calibri" w:eastAsia="仿宋_GB2312"/>
                <w:color w:val="auto"/>
                <w:sz w:val="24"/>
                <w:highlight w:val="none"/>
              </w:rPr>
              <w:t>花坛、花带、花台植物生长健壮，花大艳丽，整齐有序，定植花木花期一致，开花整齐，均匀，整体观赏效果好。</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绿化养护管理作业要求</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1</w:t>
            </w:r>
            <w:r>
              <w:rPr>
                <w:rFonts w:hint="eastAsia" w:ascii="仿宋_GB2312" w:hAnsi="Calibri" w:eastAsia="仿宋_GB2312"/>
                <w:color w:val="auto"/>
                <w:sz w:val="24"/>
                <w:highlight w:val="none"/>
              </w:rPr>
              <w:t>修剪：乔木每年修剪</w:t>
            </w:r>
            <w:r>
              <w:rPr>
                <w:rFonts w:hint="eastAsia" w:ascii="仿宋_GB2312" w:hAnsi="Calibri" w:eastAsia="仿宋_GB2312"/>
                <w:color w:val="auto"/>
                <w:sz w:val="24"/>
                <w:highlight w:val="none"/>
                <w:lang w:val="en-US" w:eastAsia="zh-CN"/>
              </w:rPr>
              <w:t>2次以上</w:t>
            </w:r>
            <w:r>
              <w:rPr>
                <w:rFonts w:hint="eastAsia" w:ascii="仿宋_GB2312" w:hAnsi="Calibri" w:eastAsia="仿宋_GB2312"/>
                <w:color w:val="auto"/>
                <w:sz w:val="24"/>
                <w:highlight w:val="none"/>
              </w:rPr>
              <w:t>；花灌木、绿篱根据景观效果适时修剪，每年不得少于6次；草坪每年修剪不少于6次。</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rPr>
              <w:t>及时清理死树、枯枝，发现死株72小时内清除。</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施肥：新植乔木每年</w:t>
            </w:r>
            <w:r>
              <w:rPr>
                <w:rFonts w:hint="eastAsia" w:ascii="仿宋_GB2312" w:hAnsi="Calibri" w:eastAsia="仿宋_GB2312"/>
                <w:color w:val="auto"/>
                <w:sz w:val="24"/>
                <w:highlight w:val="none"/>
                <w:lang w:val="en-US" w:eastAsia="zh-CN"/>
              </w:rPr>
              <w:t>4次以上</w:t>
            </w:r>
            <w:r>
              <w:rPr>
                <w:rFonts w:hint="eastAsia" w:ascii="仿宋_GB2312" w:hAnsi="Calibri" w:eastAsia="仿宋_GB2312"/>
                <w:color w:val="auto"/>
                <w:sz w:val="24"/>
                <w:highlight w:val="none"/>
              </w:rPr>
              <w:t>，其他乔木每年2次以上；花灌木每年</w:t>
            </w:r>
            <w:r>
              <w:rPr>
                <w:rFonts w:hint="eastAsia" w:ascii="仿宋_GB2312" w:hAnsi="Calibri" w:eastAsia="仿宋_GB2312"/>
                <w:color w:val="auto"/>
                <w:sz w:val="24"/>
                <w:highlight w:val="none"/>
                <w:lang w:val="en-US" w:eastAsia="zh-CN"/>
              </w:rPr>
              <w:t>4次以上4</w:t>
            </w:r>
            <w:r>
              <w:rPr>
                <w:rFonts w:hint="eastAsia" w:ascii="仿宋_GB2312" w:hAnsi="Calibri" w:eastAsia="仿宋_GB2312"/>
                <w:color w:val="auto"/>
                <w:sz w:val="24"/>
                <w:highlight w:val="none"/>
              </w:rPr>
              <w:t>；草坪每年</w:t>
            </w:r>
            <w:r>
              <w:rPr>
                <w:rFonts w:hint="eastAsia" w:ascii="仿宋_GB2312" w:hAnsi="Calibri" w:eastAsia="仿宋_GB2312"/>
                <w:color w:val="auto"/>
                <w:sz w:val="24"/>
                <w:highlight w:val="none"/>
                <w:lang w:val="en-US" w:eastAsia="zh-CN"/>
              </w:rPr>
              <w:t>4次以上</w:t>
            </w:r>
            <w:r>
              <w:rPr>
                <w:rFonts w:hint="eastAsia" w:ascii="仿宋_GB2312" w:hAnsi="Calibri" w:eastAsia="仿宋_GB2312"/>
                <w:color w:val="auto"/>
                <w:sz w:val="24"/>
                <w:highlight w:val="none"/>
              </w:rPr>
              <w:t>。其中每年有机肥施肥次数不少于2次。</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4</w:t>
            </w:r>
            <w:r>
              <w:rPr>
                <w:rFonts w:hint="eastAsia" w:ascii="仿宋_GB2312" w:hAnsi="Calibri" w:eastAsia="仿宋_GB2312"/>
                <w:color w:val="auto"/>
                <w:sz w:val="24"/>
                <w:highlight w:val="none"/>
              </w:rPr>
              <w:t>浇水：新植树木、花卉淋足定根水，之后根据植物生长需要和旱情及时浇足水分，及时排水防涝。</w:t>
            </w:r>
          </w:p>
          <w:p>
            <w:pPr>
              <w:spacing w:line="360" w:lineRule="auto"/>
              <w:ind w:firstLine="480" w:firstLineChars="200"/>
              <w:jc w:val="left"/>
              <w:rPr>
                <w:rFonts w:hint="eastAsia" w:ascii="仿宋_GB2312" w:hAnsi="Calibri" w:eastAsia="仿宋_GB2312"/>
                <w:color w:val="auto"/>
                <w:sz w:val="24"/>
                <w:highlight w:val="none"/>
              </w:rPr>
            </w:pPr>
            <w:bookmarkStart w:id="24" w:name="_Toc11079"/>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5</w:t>
            </w:r>
            <w:r>
              <w:rPr>
                <w:rFonts w:hint="eastAsia" w:ascii="仿宋_GB2312" w:hAnsi="Calibri" w:eastAsia="仿宋_GB2312"/>
                <w:color w:val="auto"/>
                <w:sz w:val="24"/>
                <w:highlight w:val="none"/>
              </w:rPr>
              <w:t>病虫害防治：药物防治每年</w:t>
            </w:r>
            <w:r>
              <w:rPr>
                <w:rFonts w:hint="eastAsia" w:ascii="仿宋_GB2312" w:hAnsi="Calibri" w:eastAsia="仿宋_GB2312"/>
                <w:color w:val="auto"/>
                <w:sz w:val="24"/>
                <w:highlight w:val="none"/>
                <w:lang w:val="en-US" w:eastAsia="zh-CN"/>
              </w:rPr>
              <w:t>5次以上</w:t>
            </w:r>
            <w:r>
              <w:rPr>
                <w:rFonts w:hint="eastAsia" w:ascii="仿宋_GB2312" w:hAnsi="Calibri" w:eastAsia="仿宋_GB2312"/>
                <w:color w:val="auto"/>
                <w:sz w:val="24"/>
                <w:highlight w:val="none"/>
              </w:rPr>
              <w:t>，人工防治每年2次以上。</w:t>
            </w:r>
          </w:p>
          <w:bookmarkEnd w:id="24"/>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6</w:t>
            </w:r>
            <w:r>
              <w:rPr>
                <w:rFonts w:hint="eastAsia" w:ascii="仿宋_GB2312" w:hAnsi="仿宋_GB2312" w:eastAsia="仿宋_GB2312" w:cs="仿宋_GB2312"/>
                <w:color w:val="auto"/>
                <w:sz w:val="24"/>
                <w:highlight w:val="none"/>
                <w:lang w:eastAsia="zh-CN"/>
              </w:rPr>
              <w:t>缺株及死株应及时补植，因中标人管理原因造成的，产生的所有费用均由中标人负责</w:t>
            </w:r>
            <w:r>
              <w:rPr>
                <w:rFonts w:hint="eastAsia" w:ascii="仿宋_GB2312" w:hAnsi="Calibri" w:eastAsia="仿宋_GB2312"/>
                <w:color w:val="auto"/>
                <w:sz w:val="24"/>
                <w:highlight w:val="none"/>
              </w:rPr>
              <w:t>，缺株时间不超过30天，如遇到不适合补种季节，需与采购人共同协商补种时间。</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7</w:t>
            </w:r>
            <w:r>
              <w:rPr>
                <w:rFonts w:hint="eastAsia" w:ascii="仿宋_GB2312" w:hAnsi="Calibri" w:eastAsia="仿宋_GB2312"/>
                <w:color w:val="auto"/>
                <w:sz w:val="24"/>
                <w:highlight w:val="none"/>
              </w:rPr>
              <w:t>形态歪曲树木须及时扶正，新补植行道树及时扶架。</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3</w:t>
            </w:r>
            <w:r>
              <w:rPr>
                <w:rFonts w:hint="eastAsia" w:ascii="仿宋_GB2312" w:hAnsi="Calibri" w:eastAsia="仿宋_GB2312"/>
                <w:color w:val="auto"/>
                <w:sz w:val="24"/>
                <w:highlight w:val="none"/>
              </w:rPr>
              <w:t>.</w:t>
            </w:r>
            <w:r>
              <w:rPr>
                <w:rFonts w:hint="eastAsia" w:ascii="仿宋_GB2312" w:hAnsi="Calibri" w:eastAsia="仿宋_GB2312"/>
                <w:color w:val="auto"/>
                <w:sz w:val="24"/>
                <w:highlight w:val="none"/>
                <w:lang w:val="en-US" w:eastAsia="zh-CN"/>
              </w:rPr>
              <w:t>8</w:t>
            </w:r>
            <w:r>
              <w:rPr>
                <w:rFonts w:hint="eastAsia" w:ascii="仿宋_GB2312" w:hAnsi="Calibri" w:eastAsia="仿宋_GB2312"/>
                <w:color w:val="auto"/>
                <w:sz w:val="24"/>
                <w:highlight w:val="none"/>
              </w:rPr>
              <w:t>校园主道内花圃内枯花及残肢每周必须进行2次清理与修剪。</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4、绿化管养其它要求</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4.1 要</w:t>
            </w:r>
            <w:r>
              <w:rPr>
                <w:rFonts w:hint="eastAsia" w:ascii="仿宋_GB2312" w:hAnsi="Calibri" w:eastAsia="仿宋_GB2312"/>
                <w:color w:val="auto"/>
                <w:sz w:val="24"/>
                <w:highlight w:val="none"/>
              </w:rPr>
              <w:t>突出“管理”，如：对校区内绿化提出优化方案、对破坏绿化植物的行为进行管理、在显著位置设立警示提示标识及树木树种介绍铭牌的悬挂等</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4.2 </w:t>
            </w:r>
            <w:r>
              <w:rPr>
                <w:rFonts w:hint="eastAsia" w:ascii="仿宋_GB2312" w:hAnsi="Calibri" w:eastAsia="仿宋_GB2312"/>
                <w:color w:val="auto"/>
                <w:sz w:val="24"/>
                <w:highlight w:val="none"/>
              </w:rPr>
              <w:t>如出现较紧急情况（如自然灾害或恶劣天气等原因，造成树木植被等较大面积损毁或坏死等），应积极配合采购人进行及时止损和恢复。如出现影响正常生活秩序或绿化景观的紧急状况，视具体情况，在48小时内处理完毕</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4.3 </w:t>
            </w:r>
            <w:r>
              <w:rPr>
                <w:rFonts w:hint="eastAsia" w:ascii="仿宋_GB2312" w:hAnsi="仿宋_GB2312" w:eastAsia="仿宋_GB2312" w:cs="仿宋_GB2312"/>
                <w:color w:val="auto"/>
                <w:sz w:val="24"/>
                <w:highlight w:val="none"/>
                <w:lang w:eastAsia="zh-CN"/>
              </w:rPr>
              <w:t>草皮或树木等有死亡或露出泥土部分的，应及时补种或恢复，因中标人管理原因造成的，产生的所有费用均由中标人负责</w:t>
            </w:r>
            <w:r>
              <w:rPr>
                <w:rFonts w:hint="eastAsia" w:ascii="仿宋_GB2312" w:hAnsi="Calibri" w:eastAsia="仿宋_GB2312"/>
                <w:color w:val="auto"/>
                <w:sz w:val="24"/>
                <w:highlight w:val="none"/>
                <w:lang w:eastAsia="zh-CN"/>
              </w:rPr>
              <w:t>，植</w:t>
            </w:r>
            <w:r>
              <w:rPr>
                <w:rFonts w:hint="eastAsia" w:ascii="仿宋_GB2312" w:hAnsi="Calibri" w:eastAsia="仿宋_GB2312"/>
                <w:color w:val="auto"/>
                <w:sz w:val="24"/>
                <w:highlight w:val="none"/>
              </w:rPr>
              <w:t>物品种应</w:t>
            </w:r>
            <w:r>
              <w:rPr>
                <w:rFonts w:hint="eastAsia" w:ascii="仿宋_GB2312" w:hAnsi="Calibri" w:eastAsia="仿宋_GB2312"/>
                <w:color w:val="auto"/>
                <w:sz w:val="24"/>
                <w:highlight w:val="none"/>
                <w:lang w:eastAsia="zh-CN"/>
              </w:rPr>
              <w:t>与</w:t>
            </w:r>
            <w:r>
              <w:rPr>
                <w:rFonts w:hint="eastAsia" w:ascii="仿宋_GB2312" w:hAnsi="Calibri" w:eastAsia="仿宋_GB2312"/>
                <w:color w:val="auto"/>
                <w:sz w:val="24"/>
                <w:highlight w:val="none"/>
              </w:rPr>
              <w:t>原有植物类型</w:t>
            </w:r>
            <w:r>
              <w:rPr>
                <w:rFonts w:hint="eastAsia" w:ascii="仿宋_GB2312" w:hAnsi="Calibri" w:eastAsia="仿宋_GB2312"/>
                <w:color w:val="auto"/>
                <w:sz w:val="24"/>
                <w:highlight w:val="none"/>
                <w:lang w:eastAsia="zh-CN"/>
              </w:rPr>
              <w:t>相符，非养护责任的除外；</w:t>
            </w:r>
          </w:p>
          <w:p>
            <w:pPr>
              <w:spacing w:line="360" w:lineRule="auto"/>
              <w:ind w:firstLine="480" w:firstLineChars="200"/>
              <w:jc w:val="left"/>
              <w:rPr>
                <w:rFonts w:hint="eastAsia"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 xml:space="preserve">4.4 </w:t>
            </w:r>
            <w:r>
              <w:rPr>
                <w:rFonts w:hint="eastAsia" w:ascii="仿宋_GB2312" w:hAnsi="Calibri" w:eastAsia="仿宋_GB2312"/>
                <w:color w:val="auto"/>
                <w:sz w:val="24"/>
                <w:highlight w:val="none"/>
              </w:rPr>
              <w:t>产生的垃圾要做到日产日清，确因特殊原因不能及时处理的，经采购人同意，存放时间最长不得超过3日；</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4.5 </w:t>
            </w:r>
            <w:r>
              <w:rPr>
                <w:rFonts w:hint="eastAsia" w:ascii="仿宋_GB2312" w:hAnsi="Calibri" w:eastAsia="仿宋_GB2312"/>
                <w:color w:val="auto"/>
                <w:sz w:val="24"/>
                <w:highlight w:val="none"/>
              </w:rPr>
              <w:t>绿化中的时令花卉（如社湾A区门口花坛、B区小广场魔幻花坛等）需根据季节和实际情况及时更换，产生的所有费用均由中标</w:t>
            </w:r>
            <w:r>
              <w:rPr>
                <w:rFonts w:hint="eastAsia" w:ascii="仿宋_GB2312" w:hAnsi="Calibri" w:eastAsia="仿宋_GB2312"/>
                <w:color w:val="auto"/>
                <w:sz w:val="24"/>
                <w:highlight w:val="none"/>
                <w:lang w:eastAsia="zh-CN"/>
              </w:rPr>
              <w:t>人</w:t>
            </w:r>
            <w:r>
              <w:rPr>
                <w:rFonts w:hint="eastAsia" w:ascii="仿宋_GB2312" w:hAnsi="Calibri" w:eastAsia="仿宋_GB2312"/>
                <w:color w:val="auto"/>
                <w:sz w:val="24"/>
                <w:highlight w:val="none"/>
              </w:rPr>
              <w:t>负责</w:t>
            </w:r>
            <w:r>
              <w:rPr>
                <w:rFonts w:hint="eastAsia" w:ascii="仿宋_GB2312" w:hAnsi="Calibri" w:eastAsia="仿宋_GB2312"/>
                <w:color w:val="auto"/>
                <w:sz w:val="24"/>
                <w:highlight w:val="none"/>
                <w:lang w:eastAsia="zh-CN"/>
              </w:rPr>
              <w:t>，</w:t>
            </w:r>
            <w:r>
              <w:rPr>
                <w:rFonts w:hint="eastAsia" w:ascii="仿宋_GB2312" w:hAnsi="Calibri" w:eastAsia="仿宋_GB2312"/>
                <w:color w:val="auto"/>
                <w:sz w:val="24"/>
                <w:highlight w:val="none"/>
              </w:rPr>
              <w:t>不得出现花坛无花、枯死等情况</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4.6 </w:t>
            </w:r>
            <w:r>
              <w:rPr>
                <w:rFonts w:hint="eastAsia" w:ascii="仿宋_GB2312" w:hAnsi="Calibri" w:eastAsia="仿宋_GB2312"/>
                <w:color w:val="auto"/>
                <w:sz w:val="24"/>
                <w:highlight w:val="none"/>
              </w:rPr>
              <w:t>涉及树木砍伐或大型修枝等需报批办理砍伐证的，由</w:t>
            </w:r>
            <w:r>
              <w:rPr>
                <w:rFonts w:hint="eastAsia" w:ascii="仿宋_GB2312" w:hAnsi="Calibri" w:eastAsia="仿宋_GB2312"/>
                <w:color w:val="auto"/>
                <w:sz w:val="24"/>
                <w:highlight w:val="none"/>
                <w:lang w:eastAsia="zh-CN"/>
              </w:rPr>
              <w:t>中标人</w:t>
            </w:r>
            <w:r>
              <w:rPr>
                <w:rFonts w:hint="eastAsia" w:ascii="仿宋_GB2312" w:hAnsi="Calibri" w:eastAsia="仿宋_GB2312"/>
                <w:color w:val="auto"/>
                <w:sz w:val="24"/>
                <w:highlight w:val="none"/>
              </w:rPr>
              <w:t>负责</w:t>
            </w:r>
            <w:r>
              <w:rPr>
                <w:rFonts w:hint="eastAsia" w:ascii="仿宋_GB2312" w:hAnsi="Calibri" w:eastAsia="仿宋_GB2312"/>
                <w:color w:val="auto"/>
                <w:sz w:val="24"/>
                <w:highlight w:val="none"/>
                <w:lang w:eastAsia="zh-CN"/>
              </w:rPr>
              <w:t>代</w:t>
            </w:r>
            <w:r>
              <w:rPr>
                <w:rFonts w:hint="eastAsia" w:ascii="仿宋_GB2312" w:hAnsi="Calibri" w:eastAsia="仿宋_GB2312"/>
                <w:color w:val="auto"/>
                <w:sz w:val="24"/>
                <w:highlight w:val="none"/>
              </w:rPr>
              <w:t>办相关手续</w:t>
            </w:r>
            <w:r>
              <w:rPr>
                <w:rFonts w:hint="eastAsia" w:ascii="仿宋_GB2312" w:hAnsi="Calibri" w:eastAsia="仿宋_GB2312"/>
                <w:color w:val="auto"/>
                <w:sz w:val="24"/>
                <w:highlight w:val="none"/>
                <w:lang w:eastAsia="zh-CN"/>
              </w:rPr>
              <w:t>；</w:t>
            </w:r>
          </w:p>
          <w:p>
            <w:pPr>
              <w:spacing w:line="360" w:lineRule="auto"/>
              <w:ind w:firstLine="480" w:firstLineChars="2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val="en-US" w:eastAsia="zh-CN"/>
              </w:rPr>
              <w:t xml:space="preserve">4.7 </w:t>
            </w:r>
            <w:r>
              <w:rPr>
                <w:rFonts w:hint="eastAsia" w:ascii="仿宋_GB2312" w:hAnsi="Calibri" w:eastAsia="仿宋_GB2312"/>
                <w:color w:val="auto"/>
                <w:sz w:val="24"/>
                <w:highlight w:val="none"/>
                <w:lang w:eastAsia="zh-CN"/>
              </w:rPr>
              <w:t>针对</w:t>
            </w:r>
            <w:r>
              <w:rPr>
                <w:rFonts w:hint="eastAsia" w:ascii="仿宋_GB2312" w:hAnsi="Calibri" w:eastAsia="仿宋_GB2312"/>
                <w:color w:val="auto"/>
                <w:sz w:val="24"/>
                <w:highlight w:val="none"/>
              </w:rPr>
              <w:t>采购人高校性质，突出两个“开学季”和重大节日需要，科学制订项目的养护周期时间表</w:t>
            </w:r>
            <w:r>
              <w:rPr>
                <w:rFonts w:hint="eastAsia" w:ascii="仿宋_GB2312" w:hAnsi="Calibri" w:eastAsia="仿宋_GB2312"/>
                <w:color w:val="auto"/>
                <w:sz w:val="24"/>
                <w:highlight w:val="none"/>
                <w:lang w:eastAsia="zh-CN"/>
              </w:rPr>
              <w:t>，以及修剪、草花更换等时间节点；</w:t>
            </w:r>
          </w:p>
          <w:p>
            <w:pPr>
              <w:spacing w:line="360" w:lineRule="auto"/>
              <w:ind w:firstLine="480" w:firstLineChars="200"/>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 xml:space="preserve">4.8 </w:t>
            </w:r>
            <w:r>
              <w:rPr>
                <w:rFonts w:hint="eastAsia" w:ascii="仿宋_GB2312" w:hAnsi="Calibri" w:eastAsia="仿宋_GB2312"/>
                <w:color w:val="auto"/>
                <w:sz w:val="24"/>
                <w:highlight w:val="none"/>
              </w:rPr>
              <w:t>配合采购人做好绿化相关</w:t>
            </w:r>
            <w:r>
              <w:rPr>
                <w:rFonts w:hint="eastAsia" w:ascii="仿宋_GB2312" w:hAnsi="Calibri" w:eastAsia="仿宋_GB2312"/>
                <w:color w:val="auto"/>
                <w:sz w:val="24"/>
                <w:highlight w:val="none"/>
                <w:lang w:eastAsia="zh-CN"/>
              </w:rPr>
              <w:t>的其它临时性</w:t>
            </w:r>
            <w:r>
              <w:rPr>
                <w:rFonts w:hint="eastAsia" w:ascii="仿宋_GB2312" w:hAnsi="Calibri" w:eastAsia="仿宋_GB2312"/>
                <w:color w:val="auto"/>
                <w:sz w:val="24"/>
                <w:highlight w:val="none"/>
              </w:rPr>
              <w:t>工作</w:t>
            </w:r>
            <w:r>
              <w:rPr>
                <w:rFonts w:hint="eastAsia" w:ascii="仿宋_GB2312" w:hAnsi="Calibri" w:eastAsia="仿宋_GB2312"/>
                <w:color w:val="auto"/>
                <w:sz w:val="24"/>
                <w:highlight w:val="none"/>
                <w:lang w:eastAsia="zh-CN"/>
              </w:rPr>
              <w:t>。</w:t>
            </w:r>
          </w:p>
          <w:p>
            <w:pPr>
              <w:spacing w:line="360" w:lineRule="auto"/>
              <w:ind w:firstLine="482" w:firstLineChars="200"/>
              <w:jc w:val="left"/>
              <w:rPr>
                <w:rFonts w:ascii="仿宋_GB2312" w:hAnsi="Calibri" w:eastAsia="仿宋_GB2312"/>
                <w:b/>
                <w:color w:val="auto"/>
                <w:sz w:val="24"/>
                <w:highlight w:val="none"/>
                <w:u w:val="none"/>
              </w:rPr>
            </w:pPr>
            <w:r>
              <w:rPr>
                <w:rFonts w:hint="eastAsia" w:ascii="仿宋_GB2312" w:hAnsi="Calibri" w:eastAsia="仿宋_GB2312"/>
                <w:b/>
                <w:color w:val="auto"/>
                <w:sz w:val="24"/>
                <w:highlight w:val="none"/>
                <w:u w:val="none"/>
              </w:rPr>
              <w:t>（</w:t>
            </w:r>
            <w:r>
              <w:rPr>
                <w:rFonts w:hint="eastAsia" w:ascii="仿宋_GB2312" w:hAnsi="Calibri" w:eastAsia="仿宋_GB2312"/>
                <w:b/>
                <w:color w:val="auto"/>
                <w:sz w:val="24"/>
                <w:highlight w:val="none"/>
                <w:u w:val="none"/>
                <w:lang w:eastAsia="zh-CN"/>
              </w:rPr>
              <w:t>八</w:t>
            </w:r>
            <w:r>
              <w:rPr>
                <w:rFonts w:hint="eastAsia" w:ascii="仿宋_GB2312" w:hAnsi="Calibri" w:eastAsia="仿宋_GB2312"/>
                <w:b/>
                <w:color w:val="auto"/>
                <w:sz w:val="24"/>
                <w:highlight w:val="none"/>
                <w:u w:val="none"/>
              </w:rPr>
              <w:t>）寒暑假工作</w:t>
            </w:r>
          </w:p>
          <w:p>
            <w:pPr>
              <w:spacing w:line="360" w:lineRule="auto"/>
              <w:ind w:firstLine="720" w:firstLineChars="300"/>
              <w:jc w:val="left"/>
              <w:rPr>
                <w:rFonts w:hint="eastAsia" w:ascii="仿宋_GB2312" w:hAnsi="Calibri" w:eastAsia="仿宋_GB2312"/>
                <w:color w:val="auto"/>
                <w:sz w:val="24"/>
                <w:highlight w:val="none"/>
                <w:lang w:eastAsia="zh-CN"/>
              </w:rPr>
            </w:pPr>
            <w:r>
              <w:rPr>
                <w:rFonts w:hint="eastAsia" w:ascii="仿宋_GB2312" w:hAnsi="Calibri" w:eastAsia="仿宋_GB2312"/>
                <w:color w:val="auto"/>
                <w:sz w:val="24"/>
                <w:highlight w:val="none"/>
                <w:lang w:eastAsia="zh-CN"/>
              </w:rPr>
              <w:t>放假前一周提交寒暑假工作计划至学校主管部门审核后方可进行，所有工作开学前一周完成。</w:t>
            </w:r>
          </w:p>
          <w:p>
            <w:pPr>
              <w:spacing w:line="360" w:lineRule="auto"/>
              <w:ind w:firstLine="720" w:firstLineChars="3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1、寒假工作安排</w:t>
            </w:r>
          </w:p>
          <w:tbl>
            <w:tblPr>
              <w:tblStyle w:val="48"/>
              <w:tblW w:w="6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84" w:type="dxa"/>
                  <w:noWrap w:val="0"/>
                  <w:vAlign w:val="center"/>
                </w:tcPr>
                <w:p>
                  <w:pPr>
                    <w:spacing w:line="360" w:lineRule="auto"/>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项目</w:t>
                  </w:r>
                </w:p>
              </w:tc>
              <w:tc>
                <w:tcPr>
                  <w:tcW w:w="5422" w:type="dxa"/>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restart"/>
                  <w:noWrap w:val="0"/>
                  <w:vAlign w:val="center"/>
                </w:tcPr>
                <w:p>
                  <w:pPr>
                    <w:spacing w:line="240" w:lineRule="auto"/>
                    <w:jc w:val="center"/>
                    <w:rPr>
                      <w:rFonts w:ascii="仿宋_GB2312" w:eastAsia="仿宋_GB2312"/>
                      <w:color w:val="auto"/>
                      <w:sz w:val="24"/>
                      <w:highlight w:val="none"/>
                    </w:rPr>
                  </w:pPr>
                  <w:r>
                    <w:rPr>
                      <w:rFonts w:hint="eastAsia" w:ascii="仿宋_GB2312" w:eastAsia="仿宋_GB2312"/>
                      <w:color w:val="auto"/>
                      <w:sz w:val="24"/>
                      <w:highlight w:val="none"/>
                    </w:rPr>
                    <w:t>保洁</w:t>
                  </w: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1、楼宇周围卫生死角，校园垃圾桶全面清洗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2、楼宇周围3米以下低矮屋面、外墙楼顶清理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3、山体垃圾，枯枝枯叶清理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4、楼梯扶手走道消毒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5、阴沟，下水道，排水沟清洗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6、绿化带，低矮灌木下枯叶清理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7、官塘宿舍楼顶太阳能板清洁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8、校园范围内消毒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9、校园开水机表面（水迹、茶渍等）深度清洗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10、配电房、杂物房、地下层（车库）、架空层的杂物清理及清洁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11、清洗公共区域吸顶灯灯罩和线槽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12、学校其他卫生死角的清理与清洁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13、用高压水枪深度冲洗校园公共区域（含道路、广场、球场、运动场、田径场等）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14、清理校园内所有化粪池，并做好相关作业记录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restart"/>
                  <w:noWrap w:val="0"/>
                  <w:vAlign w:val="center"/>
                </w:tcPr>
                <w:p>
                  <w:pPr>
                    <w:spacing w:line="240" w:lineRule="auto"/>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工程</w:t>
                  </w:r>
                  <w:r>
                    <w:rPr>
                      <w:rFonts w:hint="eastAsia" w:ascii="仿宋_GB2312" w:eastAsia="仿宋_GB2312"/>
                      <w:color w:val="auto"/>
                      <w:sz w:val="24"/>
                      <w:highlight w:val="none"/>
                      <w:lang w:eastAsia="zh-CN"/>
                    </w:rPr>
                    <w:t>维护</w:t>
                  </w: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1、公共区域设备检修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2、节能设备更换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3、工程，设备等房间翻新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4、各服务岗点翻新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5、公共区域标识标牌整理更换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6、公共区域、教学楼、学生宿舍检修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7、变压器、发电机、水泵检查保养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hint="eastAsia" w:ascii="仿宋_GB2312" w:eastAsia="仿宋_GB2312"/>
                      <w:color w:val="auto"/>
                      <w:sz w:val="24"/>
                      <w:highlight w:val="none"/>
                    </w:rPr>
                  </w:pPr>
                  <w:r>
                    <w:rPr>
                      <w:rFonts w:hint="eastAsia" w:ascii="仿宋_GB2312" w:eastAsia="仿宋_GB2312"/>
                      <w:color w:val="auto"/>
                      <w:sz w:val="24"/>
                      <w:highlight w:val="none"/>
                    </w:rPr>
                    <w:t>8、空调、风扇的检查及维护维修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84" w:type="dxa"/>
                  <w:vMerge w:val="restart"/>
                  <w:noWrap w:val="0"/>
                  <w:vAlign w:val="center"/>
                </w:tcPr>
                <w:p>
                  <w:pPr>
                    <w:spacing w:line="240" w:lineRule="auto"/>
                    <w:jc w:val="center"/>
                    <w:rPr>
                      <w:rFonts w:ascii="仿宋_GB2312" w:eastAsia="仿宋_GB2312"/>
                      <w:color w:val="auto"/>
                      <w:sz w:val="24"/>
                      <w:highlight w:val="none"/>
                    </w:rPr>
                  </w:pPr>
                  <w:r>
                    <w:rPr>
                      <w:rFonts w:hint="eastAsia" w:ascii="仿宋_GB2312" w:eastAsia="仿宋_GB2312"/>
                      <w:color w:val="auto"/>
                      <w:sz w:val="24"/>
                      <w:highlight w:val="none"/>
                    </w:rPr>
                    <w:t>安保</w:t>
                  </w: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1、安保理论及队列培训、考试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2、日常管理服务要求培训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3、校区安全，危险源检查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4、学生乱停乱放车辆整理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5、各楼宇废弃家具等物品清理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restart"/>
                  <w:noWrap w:val="0"/>
                  <w:vAlign w:val="center"/>
                </w:tcPr>
                <w:p>
                  <w:pPr>
                    <w:spacing w:line="240" w:lineRule="auto"/>
                    <w:jc w:val="center"/>
                    <w:rPr>
                      <w:rFonts w:ascii="仿宋_GB2312" w:eastAsia="仿宋_GB2312"/>
                      <w:color w:val="auto"/>
                      <w:sz w:val="24"/>
                      <w:highlight w:val="none"/>
                    </w:rPr>
                  </w:pPr>
                  <w:r>
                    <w:rPr>
                      <w:rFonts w:hint="eastAsia" w:ascii="仿宋_GB2312" w:eastAsia="仿宋_GB2312"/>
                      <w:color w:val="auto"/>
                      <w:sz w:val="24"/>
                      <w:highlight w:val="none"/>
                    </w:rPr>
                    <w:t>宿管</w:t>
                  </w: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1、检查宿舍公共区域损坏情况，记录上报维修班组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2、检查各宿舍门窗关闭情况，记录上报维修班组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3、检查园子各偏僻处，卫生死角，记录上报协助清理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4、检查设施设备完好情况，记录上报办公室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5、跟踪各厂家维修进度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6、检查施工现场，监督施工人员现场施工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center"/>
                    <w:rPr>
                      <w:rFonts w:ascii="仿宋_GB2312" w:eastAsia="仿宋_GB2312"/>
                      <w:color w:val="auto"/>
                      <w:sz w:val="24"/>
                      <w:highlight w:val="none"/>
                    </w:rPr>
                  </w:pPr>
                </w:p>
              </w:tc>
              <w:tc>
                <w:tcPr>
                  <w:tcW w:w="5422" w:type="dxa"/>
                  <w:noWrap w:val="0"/>
                  <w:vAlign w:val="top"/>
                </w:tcPr>
                <w:p>
                  <w:pPr>
                    <w:spacing w:line="240" w:lineRule="auto"/>
                    <w:jc w:val="left"/>
                    <w:rPr>
                      <w:rFonts w:ascii="仿宋_GB2312" w:eastAsia="仿宋_GB2312"/>
                      <w:color w:val="auto"/>
                      <w:sz w:val="24"/>
                      <w:highlight w:val="none"/>
                    </w:rPr>
                  </w:pPr>
                  <w:r>
                    <w:rPr>
                      <w:rFonts w:hint="eastAsia" w:ascii="仿宋_GB2312" w:eastAsia="仿宋_GB2312"/>
                      <w:color w:val="auto"/>
                      <w:sz w:val="24"/>
                      <w:highlight w:val="none"/>
                    </w:rPr>
                    <w:t>7、做好学生开学前准备工作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restart"/>
                  <w:noWrap w:val="0"/>
                  <w:vAlign w:val="center"/>
                </w:tcPr>
                <w:p>
                  <w:pPr>
                    <w:spacing w:line="240" w:lineRule="auto"/>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绿化</w:t>
                  </w:r>
                </w:p>
              </w:tc>
              <w:tc>
                <w:tcPr>
                  <w:tcW w:w="5422" w:type="dxa"/>
                  <w:noWrap w:val="0"/>
                  <w:vAlign w:val="top"/>
                </w:tcPr>
                <w:p>
                  <w:pPr>
                    <w:spacing w:line="240" w:lineRule="auto"/>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1.</w:t>
                  </w:r>
                  <w:r>
                    <w:rPr>
                      <w:rFonts w:hint="eastAsia" w:ascii="仿宋_GB2312" w:eastAsia="仿宋_GB2312"/>
                      <w:color w:val="auto"/>
                      <w:sz w:val="24"/>
                      <w:highlight w:val="none"/>
                    </w:rPr>
                    <w:t>开展树木的整形修剪工作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left"/>
                    <w:rPr>
                      <w:rFonts w:hint="eastAsia" w:ascii="仿宋_GB2312" w:eastAsia="仿宋_GB2312"/>
                      <w:color w:val="auto"/>
                      <w:sz w:val="24"/>
                      <w:highlight w:val="none"/>
                    </w:rPr>
                  </w:pPr>
                </w:p>
              </w:tc>
              <w:tc>
                <w:tcPr>
                  <w:tcW w:w="5422" w:type="dxa"/>
                  <w:noWrap w:val="0"/>
                  <w:vAlign w:val="top"/>
                </w:tcPr>
                <w:p>
                  <w:pPr>
                    <w:spacing w:line="240" w:lineRule="auto"/>
                    <w:jc w:val="lef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2.越冬前树木刷白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left"/>
                    <w:rPr>
                      <w:rFonts w:hint="eastAsia" w:ascii="仿宋_GB2312" w:eastAsia="仿宋_GB2312"/>
                      <w:color w:val="auto"/>
                      <w:sz w:val="24"/>
                      <w:highlight w:val="none"/>
                    </w:rPr>
                  </w:pPr>
                </w:p>
              </w:tc>
              <w:tc>
                <w:tcPr>
                  <w:tcW w:w="5422" w:type="dxa"/>
                  <w:noWrap w:val="0"/>
                  <w:vAlign w:val="top"/>
                </w:tcPr>
                <w:p>
                  <w:pPr>
                    <w:spacing w:line="240" w:lineRule="auto"/>
                    <w:jc w:val="lef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做好冬季害虫防治</w:t>
                  </w:r>
                  <w:r>
                    <w:rPr>
                      <w:rFonts w:hint="eastAsia" w:ascii="仿宋_GB2312" w:eastAsia="仿宋_GB2312"/>
                      <w:color w:val="auto"/>
                      <w:sz w:val="24"/>
                      <w:highlight w:val="none"/>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84" w:type="dxa"/>
                  <w:vMerge w:val="continue"/>
                  <w:noWrap w:val="0"/>
                  <w:vAlign w:val="center"/>
                </w:tcPr>
                <w:p>
                  <w:pPr>
                    <w:spacing w:line="240" w:lineRule="auto"/>
                    <w:jc w:val="left"/>
                    <w:rPr>
                      <w:rFonts w:hint="eastAsia" w:ascii="仿宋_GB2312" w:eastAsia="仿宋_GB2312"/>
                      <w:color w:val="auto"/>
                      <w:sz w:val="24"/>
                      <w:highlight w:val="none"/>
                    </w:rPr>
                  </w:pPr>
                </w:p>
              </w:tc>
              <w:tc>
                <w:tcPr>
                  <w:tcW w:w="5422" w:type="dxa"/>
                  <w:noWrap w:val="0"/>
                  <w:vAlign w:val="top"/>
                </w:tcPr>
                <w:p>
                  <w:pPr>
                    <w:spacing w:line="240" w:lineRule="auto"/>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4.全面除草及施肥工作</w:t>
                  </w:r>
                </w:p>
              </w:tc>
            </w:tr>
          </w:tbl>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2、暑假工作安排</w:t>
            </w:r>
          </w:p>
          <w:tbl>
            <w:tblPr>
              <w:tblStyle w:val="48"/>
              <w:tblW w:w="6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445" w:type="dxa"/>
                  <w:noWrap w:val="0"/>
                  <w:vAlign w:val="top"/>
                </w:tcPr>
                <w:p>
                  <w:pPr>
                    <w:spacing w:line="360" w:lineRule="auto"/>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项目</w:t>
                  </w:r>
                </w:p>
              </w:tc>
              <w:tc>
                <w:tcPr>
                  <w:tcW w:w="5381" w:type="dxa"/>
                  <w:noWrap w:val="0"/>
                  <w:vAlign w:val="top"/>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restart"/>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w:t>
                  </w: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1、楼宇周围卫生死角，校园垃圾桶全面清洗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2、楼宇周围3M以下低矮屋面、外墙楼顶清理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3、山体垃圾，枯枝枯叶清理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4、楼梯扶手走道消毒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5、公共教室和学生宿舍电风扇清洗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6、阴沟，下水道，排水沟清理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7、绿化带，低矮灌木下枯叶清理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8、毕业生宿舍清理、打扫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9、校园范围内消毒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10、校园开水机表面（水迹、茶渍等）深度清洗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11、配电房、杂物房、地下层（车库）、架空层的杂物清理及清洁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12、清洗公共区域吸顶灯灯罩和线槽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13、学校其他卫生死角的清理与清洁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14、用高压水枪深度冲洗校园公共区域（含道路、广场、球场、运动场、田径场等）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15、清理校园内所有化粪池，并做好相关作业记录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restart"/>
                  <w:noWrap w:val="0"/>
                  <w:vAlign w:val="center"/>
                </w:tcPr>
                <w:p>
                  <w:pPr>
                    <w:spacing w:line="360" w:lineRule="auto"/>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工程</w:t>
                  </w:r>
                  <w:r>
                    <w:rPr>
                      <w:rFonts w:hint="eastAsia" w:ascii="仿宋_GB2312" w:eastAsia="仿宋_GB2312"/>
                      <w:color w:val="auto"/>
                      <w:sz w:val="24"/>
                      <w:highlight w:val="none"/>
                      <w:lang w:eastAsia="zh-CN"/>
                    </w:rPr>
                    <w:t>维护</w:t>
                  </w: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1、公共区域设备检修和门窗检修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2、节能设备更换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3、工程，设备等房间翻新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4、各服务岗点翻新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5、公共区域标识标牌整理更换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6、公共区域、教学楼、学生宿舍检修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7、校园电闸铁箱子等重新上油漆（防止生锈坏掉）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8、校园内排查小地砖碎、脱落情况，并做好弥补工作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9、变压器、发电机、水泵检查保养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10、空调、风扇的检查及维护维修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45" w:type="dxa"/>
                  <w:vMerge w:val="restart"/>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安保</w:t>
                  </w: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1、安保理论及队列培训、考试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2、日常管理服务要求培训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3、校区安全，危险源检查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4、学生废弃车辆清理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center"/>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5、各楼宇废弃家具等物品清理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restart"/>
                  <w:noWrap w:val="0"/>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宿管</w:t>
                  </w: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1、检查宿舍公共区域损坏情况，记录上报维修班组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2、检查各宿舍门窗关闭情况，记录上报维修班组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3、检查园子各偏僻处，卫生死角，记录上报协助清理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4、检查设施设备完好情况，记录上报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5、跟踪宿舍维修进度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6、检查施工现场，监督施工人员现场施工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center"/>
                    <w:rPr>
                      <w:rFonts w:ascii="仿宋_GB2312" w:eastAsia="仿宋_GB2312"/>
                      <w:color w:val="auto"/>
                      <w:sz w:val="24"/>
                      <w:highlight w:val="none"/>
                    </w:rPr>
                  </w:pPr>
                </w:p>
              </w:tc>
              <w:tc>
                <w:tcPr>
                  <w:tcW w:w="5381" w:type="dxa"/>
                  <w:noWrap w:val="0"/>
                  <w:vAlign w:val="top"/>
                </w:tcPr>
                <w:p>
                  <w:pPr>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7、做好学生开学前，及新生接待准备工作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restart"/>
                  <w:noWrap w:val="0"/>
                  <w:vAlign w:val="center"/>
                </w:tcPr>
                <w:p>
                  <w:pPr>
                    <w:spacing w:line="360" w:lineRule="auto"/>
                    <w:jc w:val="center"/>
                    <w:rPr>
                      <w:rFonts w:hint="eastAsia" w:ascii="仿宋_GB2312" w:eastAsia="仿宋_GB2312"/>
                      <w:color w:val="auto"/>
                      <w:sz w:val="24"/>
                      <w:highlight w:val="none"/>
                    </w:rPr>
                  </w:pPr>
                  <w:r>
                    <w:rPr>
                      <w:rFonts w:hint="eastAsia" w:ascii="仿宋_GB2312" w:eastAsia="仿宋_GB2312"/>
                      <w:color w:val="auto"/>
                      <w:sz w:val="24"/>
                      <w:highlight w:val="none"/>
                      <w:lang w:eastAsia="zh-CN"/>
                    </w:rPr>
                    <w:t>绿化</w:t>
                  </w:r>
                </w:p>
              </w:tc>
              <w:tc>
                <w:tcPr>
                  <w:tcW w:w="5381" w:type="dxa"/>
                  <w:noWrap w:val="0"/>
                  <w:vAlign w:val="top"/>
                </w:tcPr>
                <w:p>
                  <w:pPr>
                    <w:spacing w:line="360" w:lineRule="auto"/>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1.做好绿植的病虫害防治工作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left"/>
                    <w:rPr>
                      <w:rFonts w:hint="eastAsia" w:ascii="仿宋_GB2312" w:eastAsia="仿宋_GB2312"/>
                      <w:color w:val="auto"/>
                      <w:sz w:val="24"/>
                      <w:highlight w:val="none"/>
                    </w:rPr>
                  </w:pPr>
                </w:p>
              </w:tc>
              <w:tc>
                <w:tcPr>
                  <w:tcW w:w="5381" w:type="dxa"/>
                  <w:noWrap w:val="0"/>
                  <w:vAlign w:val="top"/>
                </w:tcPr>
                <w:p>
                  <w:p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rPr>
                    <w:t>开展树木的</w:t>
                  </w:r>
                  <w:r>
                    <w:rPr>
                      <w:rFonts w:hint="eastAsia" w:ascii="仿宋_GB2312" w:eastAsia="仿宋_GB2312"/>
                      <w:color w:val="auto"/>
                      <w:sz w:val="24"/>
                      <w:highlight w:val="none"/>
                      <w:lang w:val="en-US" w:eastAsia="zh-CN"/>
                    </w:rPr>
                    <w:t>纠形整形</w:t>
                  </w:r>
                  <w:r>
                    <w:rPr>
                      <w:rFonts w:hint="eastAsia" w:ascii="仿宋_GB2312" w:eastAsia="仿宋_GB2312"/>
                      <w:color w:val="auto"/>
                      <w:sz w:val="24"/>
                      <w:highlight w:val="none"/>
                    </w:rPr>
                    <w:t>修剪工作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left"/>
                    <w:rPr>
                      <w:rFonts w:hint="eastAsia" w:ascii="仿宋_GB2312" w:eastAsia="仿宋_GB2312"/>
                      <w:color w:val="auto"/>
                      <w:sz w:val="24"/>
                      <w:highlight w:val="none"/>
                    </w:rPr>
                  </w:pPr>
                </w:p>
              </w:tc>
              <w:tc>
                <w:tcPr>
                  <w:tcW w:w="5381" w:type="dxa"/>
                  <w:noWrap w:val="0"/>
                  <w:vAlign w:val="top"/>
                </w:tcPr>
                <w:p>
                  <w:pPr>
                    <w:numPr>
                      <w:ilvl w:val="0"/>
                      <w:numId w:val="0"/>
                    </w:num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3.进行夏季追肥工作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445" w:type="dxa"/>
                  <w:vMerge w:val="continue"/>
                  <w:noWrap w:val="0"/>
                  <w:vAlign w:val="top"/>
                </w:tcPr>
                <w:p>
                  <w:pPr>
                    <w:spacing w:line="360" w:lineRule="auto"/>
                    <w:jc w:val="left"/>
                    <w:rPr>
                      <w:rFonts w:hint="eastAsia" w:ascii="仿宋_GB2312" w:eastAsia="仿宋_GB2312"/>
                      <w:color w:val="auto"/>
                      <w:sz w:val="24"/>
                      <w:highlight w:val="none"/>
                    </w:rPr>
                  </w:pPr>
                </w:p>
              </w:tc>
              <w:tc>
                <w:tcPr>
                  <w:tcW w:w="5381" w:type="dxa"/>
                  <w:noWrap w:val="0"/>
                  <w:vAlign w:val="top"/>
                </w:tcPr>
                <w:p>
                  <w:pPr>
                    <w:spacing w:line="360" w:lineRule="auto"/>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4.全面除草工作</w:t>
                  </w:r>
                </w:p>
              </w:tc>
            </w:tr>
          </w:tbl>
          <w:p>
            <w:pPr>
              <w:spacing w:line="360" w:lineRule="auto"/>
              <w:rPr>
                <w:rFonts w:ascii="仿宋_GB2312" w:hAnsi="Calibri" w:eastAsia="仿宋_GB2312"/>
                <w:b/>
                <w:bCs/>
                <w:color w:val="auto"/>
                <w:highlight w:val="none"/>
                <w:u w:val="none"/>
              </w:rPr>
            </w:pPr>
            <w:r>
              <w:rPr>
                <w:rFonts w:hint="eastAsia" w:ascii="仿宋_GB2312" w:hAnsi="Calibri" w:eastAsia="仿宋_GB2312"/>
                <w:b/>
                <w:bCs/>
                <w:color w:val="auto"/>
                <w:sz w:val="24"/>
                <w:szCs w:val="32"/>
                <w:highlight w:val="none"/>
                <w:u w:val="none"/>
              </w:rPr>
              <w:t>（</w:t>
            </w:r>
            <w:r>
              <w:rPr>
                <w:rFonts w:hint="eastAsia" w:ascii="仿宋_GB2312" w:hAnsi="Calibri" w:eastAsia="仿宋_GB2312"/>
                <w:b/>
                <w:bCs/>
                <w:color w:val="auto"/>
                <w:sz w:val="24"/>
                <w:szCs w:val="32"/>
                <w:highlight w:val="none"/>
                <w:u w:val="none"/>
                <w:lang w:eastAsia="zh-CN"/>
              </w:rPr>
              <w:t>九</w:t>
            </w:r>
            <w:r>
              <w:rPr>
                <w:rFonts w:hint="eastAsia" w:ascii="仿宋_GB2312" w:hAnsi="Calibri" w:eastAsia="仿宋_GB2312"/>
                <w:b/>
                <w:bCs/>
                <w:color w:val="auto"/>
                <w:sz w:val="24"/>
                <w:szCs w:val="32"/>
                <w:highlight w:val="none"/>
                <w:u w:val="none"/>
              </w:rPr>
              <w:t>）其它重要事项</w:t>
            </w:r>
          </w:p>
          <w:p>
            <w:pPr>
              <w:spacing w:line="360" w:lineRule="auto"/>
              <w:ind w:firstLine="360" w:firstLineChars="15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1、中标人在开展物业服务过程中须特别重视安全工作，必须做到包括但不限于以下几点：</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1.1应与校区管理部门签订安全目标责任书，并自觉接受校区管理部门的监督与指导，积极配合校区管理部门搞好管理、服务、育人工作，共同维护校园安定稳定。</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1.2中标人应教育员工注意安全，中标人的雇员在履行职务中的人员伤亡，责任由中标人承担，校区管理部门不承担任何责任。</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1.3物业服务项目操作均须严格按照国家和地区相关安全操作规程，如发生违规操作现象，所产生的后果全部由中标人承担，如造成经济损失，全部损失由中标人赔偿；校区管理部门发现中标人有违规操作现象或出现事故可直接追究违约责任，每次扣除2万元至5万元服务费作为违约金。</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1.4若因中标人原因而造成的被盗事件，责任由中标人全权承担；公安部门核定案件价值后，中标人须按案件价值赔偿。</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1.5处置紧急突发事件时物业工作人员必须服从学校相关部门的指令，及时配合参与处置。</w:t>
            </w:r>
          </w:p>
          <w:p>
            <w:pPr>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2、中标人在开展物业服务过程中须遵规守纪守法，必须做到包括但不限于以下几点：</w:t>
            </w:r>
          </w:p>
          <w:p>
            <w:pPr>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2.1在签订物业服务合同中须与校区管理部门签订廉政责任书，遵守廉政约定。</w:t>
            </w:r>
          </w:p>
          <w:p>
            <w:pPr>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2.2遵守现行《劳动法》、《劳动合同法》及柳州市相关规定，与员工签订劳动合同，为员工提供工资、保险等正常待遇，若出现劳动纠纷、劳动违法现象，由中标人全部负责。</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2.3不得擅自占用校区内的公共设施或改变使用其功能，如需扩建或完善配套项目，需与校区管理部门协商经批准后方可实施；中标人不得将管理责任及利益转让给其它单位或个人，不得在校区内开展与本物业服务无关的活动，不得干涉或影响校方进行各种合法活动。</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2.4遵守学校各项管理制度，落实管理育人、服务育人的要求；不得透露校区有关重要消息和情况，对外不得损害学校名誉，和校区师生交往不得散布流言蜚语。</w:t>
            </w:r>
          </w:p>
          <w:p>
            <w:pPr>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3、中标人在开展物业服务过程中须重视提高服务质量，必须做到包括但不限于以下几点：</w:t>
            </w:r>
          </w:p>
          <w:p>
            <w:pPr>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3.1加强制度建设，经常听取服务对象的意见</w:t>
            </w:r>
            <w:r>
              <w:rPr>
                <w:rFonts w:hint="eastAsia" w:ascii="仿宋_GB2312" w:hAnsi="Calibri" w:eastAsia="仿宋_GB2312"/>
                <w:color w:val="auto"/>
                <w:sz w:val="24"/>
                <w:highlight w:val="none"/>
                <w:lang w:eastAsia="zh-CN"/>
              </w:rPr>
              <w:t>，</w:t>
            </w:r>
            <w:r>
              <w:rPr>
                <w:rFonts w:hint="eastAsia" w:ascii="仿宋_GB2312" w:hAnsi="Calibri" w:eastAsia="仿宋_GB2312"/>
                <w:color w:val="auto"/>
                <w:sz w:val="24"/>
                <w:highlight w:val="none"/>
              </w:rPr>
              <w:t>实现科学化</w:t>
            </w:r>
            <w:r>
              <w:rPr>
                <w:rFonts w:hint="eastAsia" w:ascii="仿宋_GB2312" w:hAnsi="Calibri" w:eastAsia="仿宋_GB2312"/>
                <w:color w:val="auto"/>
                <w:sz w:val="24"/>
                <w:highlight w:val="none"/>
                <w:lang w:eastAsia="zh-CN"/>
              </w:rPr>
              <w:t>、</w:t>
            </w:r>
            <w:r>
              <w:rPr>
                <w:rFonts w:hint="eastAsia" w:ascii="仿宋_GB2312" w:hAnsi="Calibri" w:eastAsia="仿宋_GB2312"/>
                <w:color w:val="auto"/>
                <w:sz w:val="24"/>
                <w:highlight w:val="none"/>
                <w:lang w:val="en-US" w:eastAsia="zh-CN"/>
              </w:rPr>
              <w:t>规范化、人性化</w:t>
            </w:r>
            <w:r>
              <w:rPr>
                <w:rFonts w:hint="eastAsia" w:ascii="仿宋_GB2312" w:hAnsi="Calibri" w:eastAsia="仿宋_GB2312"/>
                <w:color w:val="auto"/>
                <w:sz w:val="24"/>
                <w:highlight w:val="none"/>
              </w:rPr>
              <w:t>的管理；共同努力争取市级以上有关奖项及荣誉；自觉接受校区管理部门的监督、考核。</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3.2加强队伍建设，保持服务队伍的相对稳定；项目经理、</w:t>
            </w:r>
            <w:r>
              <w:rPr>
                <w:rFonts w:hint="eastAsia" w:ascii="仿宋_GB2312" w:hAnsi="Times New Roman" w:eastAsia="仿宋_GB2312"/>
                <w:color w:val="auto"/>
                <w:sz w:val="24"/>
                <w:highlight w:val="none"/>
                <w:lang w:eastAsia="zh-CN"/>
              </w:rPr>
              <w:t>助理</w:t>
            </w:r>
            <w:r>
              <w:rPr>
                <w:rFonts w:ascii="仿宋_GB2312" w:hAnsi="Times New Roman" w:eastAsia="仿宋_GB2312"/>
                <w:color w:val="auto"/>
                <w:sz w:val="24"/>
                <w:highlight w:val="none"/>
              </w:rPr>
              <w:t>、</w:t>
            </w:r>
            <w:r>
              <w:rPr>
                <w:rFonts w:hint="eastAsia" w:ascii="仿宋_GB2312" w:hAnsi="Times New Roman" w:eastAsia="仿宋_GB2312"/>
                <w:color w:val="auto"/>
                <w:sz w:val="24"/>
                <w:highlight w:val="none"/>
                <w:lang w:eastAsia="zh-CN"/>
              </w:rPr>
              <w:t>主管、</w:t>
            </w:r>
            <w:r>
              <w:rPr>
                <w:rFonts w:ascii="仿宋_GB2312" w:hAnsi="Times New Roman" w:eastAsia="仿宋_GB2312"/>
                <w:color w:val="auto"/>
                <w:sz w:val="24"/>
                <w:highlight w:val="none"/>
              </w:rPr>
              <w:t>技术骨干等重要岗位人员必须经校区管理部门审核同意后方可上岗，未经校区管理部门许可不得更改；</w:t>
            </w:r>
            <w:r>
              <w:rPr>
                <w:rFonts w:hint="eastAsia" w:ascii="仿宋_GB2312" w:hAnsi="仿宋_GB2312" w:eastAsia="仿宋_GB2312" w:cs="仿宋_GB2312"/>
                <w:color w:val="auto"/>
                <w:sz w:val="24"/>
                <w:highlight w:val="none"/>
                <w:lang w:eastAsia="zh-CN"/>
              </w:rPr>
              <w:t>所有物业工作人员须按合同要求持证上岗，必须无违法犯罪记录，外来务工人员须按公安机关的要求办理外来人口居住证。</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3.3</w:t>
            </w:r>
            <w:r>
              <w:rPr>
                <w:rFonts w:hint="eastAsia" w:ascii="仿宋_GB2312" w:hAnsi="Times New Roman" w:eastAsia="仿宋_GB2312"/>
                <w:color w:val="auto"/>
                <w:sz w:val="24"/>
                <w:highlight w:val="none"/>
                <w:lang w:eastAsia="zh-CN"/>
              </w:rPr>
              <w:t>加强文化建设、开展员工培训活动，要求员工培训不少于</w:t>
            </w:r>
            <w:r>
              <w:rPr>
                <w:rFonts w:hint="eastAsia" w:ascii="仿宋_GB2312" w:hAnsi="Times New Roman" w:eastAsia="仿宋_GB2312"/>
                <w:color w:val="auto"/>
                <w:sz w:val="24"/>
                <w:highlight w:val="none"/>
                <w:lang w:val="en-US" w:eastAsia="zh-CN"/>
              </w:rPr>
              <w:t>4次/年，并且要做好相关的培训考核记录</w:t>
            </w:r>
            <w:r>
              <w:rPr>
                <w:rFonts w:ascii="仿宋_GB2312" w:hAnsi="Times New Roman" w:eastAsia="仿宋_GB2312"/>
                <w:color w:val="auto"/>
                <w:sz w:val="24"/>
                <w:highlight w:val="none"/>
              </w:rPr>
              <w:t>；所有工作人员应具有良好的仪态，仪表及职业素养，统一着装，佩带标志，行为规范，服务主动、热情。</w:t>
            </w:r>
          </w:p>
          <w:p>
            <w:pPr>
              <w:snapToGrid w:val="0"/>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4、中标人在开展物业服务过程中须重视档案管理工作：</w:t>
            </w:r>
          </w:p>
          <w:p>
            <w:pPr>
              <w:spacing w:line="360" w:lineRule="auto"/>
              <w:ind w:firstLine="480" w:firstLineChars="200"/>
              <w:jc w:val="left"/>
              <w:rPr>
                <w:rFonts w:ascii="仿宋_GB2312" w:hAnsi="Calibri" w:eastAsia="仿宋_GB2312"/>
                <w:color w:val="auto"/>
                <w:sz w:val="24"/>
                <w:highlight w:val="none"/>
              </w:rPr>
            </w:pPr>
            <w:r>
              <w:rPr>
                <w:rFonts w:hint="eastAsia" w:ascii="仿宋_GB2312" w:hAnsi="Calibri" w:eastAsia="仿宋_GB2312"/>
                <w:color w:val="auto"/>
                <w:sz w:val="24"/>
                <w:highlight w:val="none"/>
              </w:rPr>
              <w:t>4.1中标人应建立健全的物业管理服务档案，并负责及时记载有关变更情况，形成电子档案，年终考核时作为考核材料汇总至校区管理部门。</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4.2在物业服务合同终止时，中标人应当按《物业管理条例》规定向校区管理部门移交原委托管理的全部物业及其各类管理档案等资料；校区管理部门如选聘了新的物业服务企业的，物业服务企业之间应当做好相关交接工作；若中标人未按约定完成移交事宜，校方有权没收履约保证金；</w:t>
            </w:r>
          </w:p>
          <w:p>
            <w:pPr>
              <w:pStyle w:val="805"/>
              <w:snapToGrid w:val="0"/>
              <w:spacing w:line="360" w:lineRule="auto"/>
              <w:ind w:firstLine="480"/>
              <w:jc w:val="left"/>
              <w:rPr>
                <w:rFonts w:hint="default" w:ascii="仿宋_GB2312" w:hAnsi="Times New Roman" w:eastAsia="仿宋_GB2312"/>
                <w:color w:val="auto"/>
                <w:sz w:val="24"/>
                <w:highlight w:val="none"/>
              </w:rPr>
            </w:pPr>
            <w:r>
              <w:rPr>
                <w:rFonts w:ascii="仿宋_GB2312" w:hAnsi="Times New Roman" w:eastAsia="仿宋_GB2312"/>
                <w:color w:val="auto"/>
                <w:sz w:val="24"/>
                <w:highlight w:val="none"/>
              </w:rPr>
              <w:t>5、除校方明确要求的外，中标人不得将项目分包或转包给任何单位和个人，否则，校区管理部门有权即刻终止合同，没收履约保证金，并要求中标人赔偿相应损失。</w:t>
            </w:r>
          </w:p>
          <w:p>
            <w:pPr>
              <w:pStyle w:val="806"/>
              <w:spacing w:line="360" w:lineRule="auto"/>
              <w:ind w:firstLine="480" w:firstLineChars="200"/>
              <w:jc w:val="both"/>
              <w:rPr>
                <w:rFonts w:hint="eastAsia" w:ascii="仿宋_GB2312" w:eastAsia="仿宋_GB2312" w:cs="Times New Roman"/>
                <w:color w:val="auto"/>
                <w:highlight w:val="none"/>
                <w:lang w:eastAsia="zh-CN"/>
              </w:rPr>
            </w:pPr>
            <w:r>
              <w:rPr>
                <w:rFonts w:hint="eastAsia" w:ascii="仿宋_GB2312" w:eastAsia="仿宋_GB2312" w:cs="Times New Roman"/>
                <w:color w:val="auto"/>
                <w:highlight w:val="none"/>
              </w:rPr>
              <w:t>6、考虑到物业服务过程中会出现不可预见情况的发生，在校方服务范围、内容不变的前提下，</w:t>
            </w:r>
            <w:r>
              <w:rPr>
                <w:rFonts w:hint="eastAsia" w:ascii="仿宋_GB2312" w:eastAsia="仿宋_GB2312" w:cs="Times New Roman"/>
                <w:color w:val="auto"/>
                <w:highlight w:val="none"/>
                <w:lang w:eastAsia="zh-CN"/>
              </w:rPr>
              <w:t>中标人</w:t>
            </w:r>
            <w:r>
              <w:rPr>
                <w:rFonts w:hint="eastAsia" w:ascii="仿宋_GB2312" w:eastAsia="仿宋_GB2312" w:cs="Times New Roman"/>
                <w:color w:val="auto"/>
                <w:highlight w:val="none"/>
              </w:rPr>
              <w:t>不得以任何项目、任何理由要求校方增加支出；若校方服务范围、内容发生</w:t>
            </w:r>
            <w:r>
              <w:rPr>
                <w:rFonts w:hint="eastAsia" w:ascii="仿宋_GB2312" w:eastAsia="仿宋_GB2312" w:cs="Times New Roman"/>
                <w:color w:val="auto"/>
                <w:highlight w:val="none"/>
                <w:lang w:eastAsia="zh-CN"/>
              </w:rPr>
              <w:t>变化的，产生的服务费用</w:t>
            </w:r>
            <w:r>
              <w:rPr>
                <w:rFonts w:hint="eastAsia" w:ascii="仿宋_GB2312" w:eastAsia="仿宋_GB2312" w:cs="Arial"/>
                <w:color w:val="auto"/>
                <w:highlight w:val="none"/>
              </w:rPr>
              <w:t>双方另行协商</w:t>
            </w:r>
            <w:r>
              <w:rPr>
                <w:rFonts w:hint="eastAsia" w:ascii="仿宋_GB2312" w:eastAsia="仿宋_GB2312" w:cs="Arial"/>
                <w:color w:val="auto"/>
                <w:highlight w:val="none"/>
                <w:lang w:eastAsia="zh-CN"/>
              </w:rPr>
              <w:t>解决。</w:t>
            </w:r>
          </w:p>
          <w:p>
            <w:pPr>
              <w:spacing w:line="360" w:lineRule="auto"/>
              <w:ind w:firstLine="480" w:firstLineChars="200"/>
              <w:jc w:val="left"/>
              <w:rPr>
                <w:rFonts w:hint="eastAsia" w:ascii="仿宋_GB2312" w:hAnsi="Calibri" w:eastAsia="仿宋_GB2312"/>
                <w:bCs/>
                <w:color w:val="auto"/>
                <w:sz w:val="24"/>
                <w:highlight w:val="none"/>
              </w:rPr>
            </w:pPr>
            <w:r>
              <w:rPr>
                <w:rFonts w:hint="eastAsia" w:ascii="仿宋_GB2312" w:hAnsi="Calibri" w:eastAsia="仿宋_GB2312"/>
                <w:color w:val="auto"/>
                <w:sz w:val="24"/>
                <w:highlight w:val="none"/>
              </w:rPr>
              <w:t>7、其它未尽事宜参照校区管理部门相关管理规定。</w:t>
            </w:r>
          </w:p>
          <w:p>
            <w:pPr>
              <w:spacing w:line="360" w:lineRule="auto"/>
              <w:ind w:firstLine="482" w:firstLineChars="200"/>
              <w:jc w:val="left"/>
              <w:rPr>
                <w:rFonts w:ascii="仿宋_GB2312" w:hAnsi="Calibri" w:eastAsia="仿宋_GB2312"/>
                <w:b/>
                <w:bCs w:val="0"/>
                <w:color w:val="auto"/>
                <w:sz w:val="24"/>
                <w:highlight w:val="none"/>
              </w:rPr>
            </w:pPr>
            <w:r>
              <w:rPr>
                <w:rFonts w:hint="eastAsia" w:ascii="仿宋_GB2312" w:hAnsi="Calibri" w:eastAsia="仿宋_GB2312"/>
                <w:b/>
                <w:bCs w:val="0"/>
                <w:color w:val="auto"/>
                <w:sz w:val="24"/>
                <w:highlight w:val="none"/>
                <w:lang w:val="en-US" w:eastAsia="zh-CN"/>
              </w:rPr>
              <w:t>四</w:t>
            </w:r>
            <w:r>
              <w:rPr>
                <w:rFonts w:hint="eastAsia" w:ascii="仿宋_GB2312" w:hAnsi="Calibri" w:eastAsia="仿宋_GB2312"/>
                <w:b/>
                <w:bCs w:val="0"/>
                <w:color w:val="auto"/>
                <w:sz w:val="24"/>
                <w:highlight w:val="none"/>
              </w:rPr>
              <w:t>、考核办法：</w:t>
            </w:r>
          </w:p>
          <w:p>
            <w:pPr>
              <w:pStyle w:val="806"/>
              <w:spacing w:line="360" w:lineRule="auto"/>
              <w:ind w:firstLine="640"/>
              <w:jc w:val="both"/>
              <w:rPr>
                <w:rFonts w:ascii="仿宋_GB2312" w:eastAsia="仿宋_GB2312" w:cs="Times New Roman"/>
                <w:color w:val="auto"/>
                <w:highlight w:val="none"/>
              </w:rPr>
            </w:pPr>
            <w:r>
              <w:rPr>
                <w:rFonts w:hint="eastAsia" w:ascii="仿宋_GB2312" w:eastAsia="仿宋_GB2312" w:cs="Times New Roman"/>
                <w:color w:val="auto"/>
                <w:highlight w:val="none"/>
              </w:rPr>
              <w:t>为加强物业服务质量的监控和考核，促进物业服务的规范化、制度化和标准化，提升物业服务质量，特制定本办法。</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（一）考核原则</w:t>
            </w:r>
          </w:p>
          <w:p>
            <w:pPr>
              <w:pStyle w:val="806"/>
              <w:spacing w:line="360" w:lineRule="auto"/>
              <w:ind w:firstLine="640"/>
              <w:jc w:val="both"/>
              <w:rPr>
                <w:rFonts w:ascii="仿宋_GB2312" w:eastAsia="仿宋_GB2312" w:cs="Times New Roman"/>
                <w:color w:val="auto"/>
                <w:highlight w:val="none"/>
              </w:rPr>
            </w:pPr>
            <w:r>
              <w:rPr>
                <w:rFonts w:hint="eastAsia" w:ascii="仿宋_GB2312" w:eastAsia="仿宋_GB2312" w:cs="Times New Roman"/>
                <w:color w:val="auto"/>
                <w:highlight w:val="none"/>
              </w:rPr>
              <w:t>以“公平、公开、公正”为原则，采取过程考核与结果考核、专业量化与师生评价相结合的形式进行，确保考核客观公正、实事求是。</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（二）考核机构</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服务质量考核工作小组由学生工作处、保卫处、后勤保障处等部门组成；各部门对各自的业务范围履行监督、检查、指导职责；后勤保障处受学校委托，代表学校全面统筹对物业管理服务过程进行管理监控，信息收集、成效评价汇总等工作；各部门均具有监督权、检查权、评价权，并根据实际情况提出奖惩意见。</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1、学生工作处负责监督、检查、指导中标人对学生公寓（宿舍）管理工作。</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2、保卫处负责监督、检查、指导中标人对校园安全防范管理工作。</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3、后勤保障处负责监督、检查、指导中标人的综合管理服务、校园卫生保洁、</w:t>
            </w:r>
            <w:r>
              <w:rPr>
                <w:rFonts w:hint="eastAsia" w:ascii="仿宋_GB2312" w:eastAsia="仿宋_GB2312" w:cs="Times New Roman"/>
                <w:color w:val="auto"/>
                <w:highlight w:val="none"/>
                <w:lang w:eastAsia="zh-CN"/>
              </w:rPr>
              <w:t>校园绿化养护、</w:t>
            </w:r>
            <w:r>
              <w:rPr>
                <w:rFonts w:hint="eastAsia" w:ascii="仿宋_GB2312" w:eastAsia="仿宋_GB2312" w:cs="Times New Roman"/>
                <w:color w:val="auto"/>
                <w:highlight w:val="none"/>
              </w:rPr>
              <w:t>房屋及设施设备的维护维修等管理工作，同时负责中标人服务工作总体协调工作。</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4、校内其他部门（二级学院）对所属区域物业服务进行指导和评价。</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（三）考核内容</w:t>
            </w:r>
          </w:p>
          <w:p>
            <w:pPr>
              <w:pStyle w:val="806"/>
              <w:spacing w:line="360" w:lineRule="auto"/>
              <w:ind w:firstLine="640"/>
              <w:jc w:val="both"/>
              <w:rPr>
                <w:rFonts w:ascii="仿宋_GB2312" w:eastAsia="仿宋_GB2312" w:cs="Times New Roman"/>
                <w:color w:val="auto"/>
                <w:highlight w:val="none"/>
              </w:rPr>
            </w:pPr>
            <w:r>
              <w:rPr>
                <w:rFonts w:hint="eastAsia" w:ascii="仿宋_GB2312" w:eastAsia="仿宋_GB2312" w:cs="Times New Roman"/>
                <w:color w:val="auto"/>
                <w:highlight w:val="none"/>
              </w:rPr>
              <w:t>招投标（采购）文件和合同约定的物业服务委托内容，包括综合管理服务、学生公寓（宿舍）管理，校园安全防范管理，校园房屋及设施设备的维护维修管理、校园卫生保洁</w:t>
            </w:r>
            <w:r>
              <w:rPr>
                <w:rFonts w:hint="eastAsia" w:ascii="仿宋_GB2312" w:eastAsia="仿宋_GB2312" w:cs="Times New Roman"/>
                <w:color w:val="auto"/>
                <w:highlight w:val="none"/>
                <w:lang w:eastAsia="zh-CN"/>
              </w:rPr>
              <w:t>、校园绿化养护</w:t>
            </w:r>
            <w:r>
              <w:rPr>
                <w:rFonts w:hint="eastAsia" w:ascii="仿宋_GB2312" w:eastAsia="仿宋_GB2312" w:cs="Times New Roman"/>
                <w:color w:val="auto"/>
                <w:highlight w:val="none"/>
              </w:rPr>
              <w:t>等项目。</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（四）考核形式</w:t>
            </w:r>
          </w:p>
          <w:p>
            <w:pPr>
              <w:pStyle w:val="806"/>
              <w:spacing w:line="360" w:lineRule="auto"/>
              <w:ind w:firstLine="640"/>
              <w:jc w:val="both"/>
              <w:rPr>
                <w:rFonts w:hint="eastAsia" w:ascii="仿宋_GB2312"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1、全校师生监控</w:t>
            </w:r>
          </w:p>
          <w:p>
            <w:pPr>
              <w:pStyle w:val="806"/>
              <w:spacing w:line="360" w:lineRule="auto"/>
              <w:ind w:firstLine="640"/>
              <w:jc w:val="both"/>
              <w:rPr>
                <w:rFonts w:hint="default" w:ascii="仿宋_GB2312"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通过信息化手段，接受全校师生日常的全程监控。</w:t>
            </w:r>
          </w:p>
          <w:p>
            <w:pPr>
              <w:pStyle w:val="806"/>
              <w:spacing w:line="360" w:lineRule="auto"/>
              <w:ind w:firstLine="640"/>
              <w:jc w:val="both"/>
              <w:rPr>
                <w:rFonts w:ascii="仿宋_GB2312" w:eastAsia="仿宋_GB2312" w:cs="Times New Roman"/>
                <w:color w:val="auto"/>
                <w:highlight w:val="none"/>
              </w:rPr>
            </w:pPr>
            <w:r>
              <w:rPr>
                <w:rFonts w:hint="eastAsia" w:ascii="仿宋_GB2312" w:eastAsia="仿宋_GB2312" w:cs="Times New Roman"/>
                <w:color w:val="auto"/>
                <w:highlight w:val="none"/>
                <w:lang w:val="en-US" w:eastAsia="zh-CN"/>
              </w:rPr>
              <w:t>2</w:t>
            </w:r>
            <w:r>
              <w:rPr>
                <w:rFonts w:hint="eastAsia" w:ascii="仿宋_GB2312" w:eastAsia="仿宋_GB2312" w:cs="Times New Roman"/>
                <w:color w:val="auto"/>
                <w:highlight w:val="none"/>
              </w:rPr>
              <w:t>、月度考核</w:t>
            </w:r>
          </w:p>
          <w:p>
            <w:pPr>
              <w:pStyle w:val="806"/>
              <w:spacing w:line="360" w:lineRule="auto"/>
              <w:ind w:firstLine="640"/>
              <w:jc w:val="both"/>
              <w:rPr>
                <w:rFonts w:ascii="仿宋_GB2312" w:eastAsia="仿宋_GB2312" w:cs="Times New Roman"/>
                <w:color w:val="auto"/>
                <w:highlight w:val="none"/>
              </w:rPr>
            </w:pPr>
            <w:r>
              <w:rPr>
                <w:rFonts w:hint="eastAsia" w:ascii="仿宋_GB2312" w:eastAsia="仿宋_GB2312" w:cs="Times New Roman"/>
                <w:color w:val="auto"/>
                <w:highlight w:val="none"/>
              </w:rPr>
              <w:t>物业服务质量考核工作小组每月对综合管理服务、学生公寓（宿舍）管理，校园安全防范管理，校园房屋及设施设备的维护维修管理、校园卫生保洁</w:t>
            </w:r>
            <w:r>
              <w:rPr>
                <w:rFonts w:hint="eastAsia" w:ascii="仿宋_GB2312" w:eastAsia="仿宋_GB2312" w:cs="Times New Roman"/>
                <w:color w:val="auto"/>
                <w:highlight w:val="none"/>
                <w:lang w:eastAsia="zh-CN"/>
              </w:rPr>
              <w:t>、校园绿化养护</w:t>
            </w:r>
            <w:r>
              <w:rPr>
                <w:rFonts w:hint="eastAsia" w:ascii="仿宋_GB2312" w:eastAsia="仿宋_GB2312" w:cs="Times New Roman"/>
                <w:color w:val="auto"/>
                <w:highlight w:val="none"/>
              </w:rPr>
              <w:t>等工作的服务质量进行一次考核，月度考核主要通过日常检查监督和受理师生投诉等形式开展；月度考核实行百分制；其中日常检查监督80分，受理师生投诉20分。</w:t>
            </w:r>
          </w:p>
          <w:p>
            <w:pPr>
              <w:pStyle w:val="806"/>
              <w:spacing w:line="360" w:lineRule="auto"/>
              <w:ind w:firstLine="360" w:firstLineChars="150"/>
              <w:jc w:val="both"/>
              <w:rPr>
                <w:rFonts w:ascii="仿宋_GB2312" w:eastAsia="仿宋_GB2312" w:cs="Times New Roman"/>
                <w:color w:val="auto"/>
                <w:highlight w:val="none"/>
              </w:rPr>
            </w:pPr>
            <w:r>
              <w:rPr>
                <w:rFonts w:hint="eastAsia" w:ascii="仿宋_GB2312" w:eastAsia="仿宋_GB2312" w:cs="Times New Roman"/>
                <w:color w:val="auto"/>
                <w:highlight w:val="none"/>
              </w:rPr>
              <w:t>（1）日常检查监督：各部门对各自直管服务工作进行检查监督，对存在的问题进行记录，填写《物业服务日常检查记录表》（附件3），并跟踪存在问题的整改情况（一个月的抽查次数≥4次，节假日除外），每月填写《</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物业服务工作月度考核表》（附件2）；日常检查监督情况作为对中标人日常考核和每月物业管理费拨付的依据之一；处理条款详见《</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w:t>
            </w:r>
            <w:r>
              <w:rPr>
                <w:rFonts w:hint="eastAsia" w:ascii="仿宋_GB2312" w:eastAsia="仿宋_GB2312" w:cs="Times New Roman"/>
                <w:color w:val="auto"/>
                <w:highlight w:val="none"/>
                <w:lang w:eastAsia="zh-CN"/>
              </w:rPr>
              <w:t>服务</w:t>
            </w:r>
            <w:r>
              <w:rPr>
                <w:rFonts w:hint="eastAsia" w:ascii="仿宋_GB2312" w:eastAsia="仿宋_GB2312" w:cs="Times New Roman"/>
                <w:color w:val="auto"/>
                <w:highlight w:val="none"/>
              </w:rPr>
              <w:t>考核办法》（附件</w:t>
            </w:r>
            <w:r>
              <w:rPr>
                <w:rFonts w:hint="eastAsia" w:ascii="仿宋_GB2312" w:eastAsia="仿宋_GB2312" w:cs="Times New Roman"/>
                <w:color w:val="auto"/>
                <w:highlight w:val="none"/>
                <w:lang w:val="en-US" w:eastAsia="zh-CN"/>
              </w:rPr>
              <w:t>4</w:t>
            </w:r>
            <w:r>
              <w:rPr>
                <w:rFonts w:hint="eastAsia" w:ascii="仿宋_GB2312" w:eastAsia="仿宋_GB2312" w:cs="Times New Roman"/>
                <w:color w:val="auto"/>
                <w:highlight w:val="none"/>
              </w:rPr>
              <w:t>）</w:t>
            </w:r>
            <w:r>
              <w:rPr>
                <w:rFonts w:hint="eastAsia" w:ascii="仿宋_GB2312" w:eastAsia="仿宋_GB2312" w:cs="Times New Roman"/>
                <w:color w:val="auto"/>
                <w:highlight w:val="none"/>
                <w:lang w:eastAsia="zh-CN"/>
              </w:rPr>
              <w:t>，</w:t>
            </w:r>
            <w:r>
              <w:rPr>
                <w:rFonts w:hint="eastAsia" w:ascii="仿宋_GB2312" w:hAnsi="仿宋_GB2312" w:eastAsia="仿宋_GB2312" w:cs="仿宋_GB2312"/>
                <w:color w:val="auto"/>
                <w:highlight w:val="none"/>
                <w:lang w:eastAsia="zh-CN"/>
              </w:rPr>
              <w:t>合同期内，如处理条款有调整，则按照学校最新执行的物业服务考核办法执行</w:t>
            </w:r>
            <w:r>
              <w:rPr>
                <w:rFonts w:hint="eastAsia" w:ascii="仿宋_GB2312" w:eastAsia="仿宋_GB2312" w:cs="Times New Roman"/>
                <w:color w:val="auto"/>
                <w:highlight w:val="none"/>
              </w:rPr>
              <w:t>。</w:t>
            </w:r>
          </w:p>
          <w:p>
            <w:pPr>
              <w:pStyle w:val="806"/>
              <w:spacing w:line="360" w:lineRule="auto"/>
              <w:ind w:firstLine="360" w:firstLineChars="150"/>
              <w:jc w:val="both"/>
              <w:rPr>
                <w:rFonts w:ascii="仿宋_GB2312" w:eastAsia="仿宋_GB2312" w:cs="Times New Roman"/>
                <w:color w:val="auto"/>
                <w:highlight w:val="none"/>
              </w:rPr>
            </w:pPr>
            <w:r>
              <w:rPr>
                <w:rFonts w:hint="eastAsia" w:ascii="仿宋_GB2312" w:eastAsia="仿宋_GB2312" w:cs="Times New Roman"/>
                <w:color w:val="auto"/>
                <w:highlight w:val="none"/>
              </w:rPr>
              <w:t>（2）受理师生投诉：服务投诉分为两类：①向校外投诉：指通过电话、邮箱、论坛、微博、微信、书信等向政府部门、政府领导及社会媒体等反映物业服务存在问题的投诉；②向校内投诉：指通过电话、邮箱、论坛、微博、微信、书信等向校、处级领导及学校职能部门反映物业服务存在问题的投诉；经查证属实的服务投诉每条扣2分，服务投诉情况作为对中标人月度考核和每月物业管理费拨付的依据之一；处理条款详见《</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w:t>
            </w:r>
            <w:r>
              <w:rPr>
                <w:rFonts w:hint="eastAsia" w:ascii="仿宋_GB2312" w:eastAsia="仿宋_GB2312" w:cs="Times New Roman"/>
                <w:color w:val="auto"/>
                <w:highlight w:val="none"/>
                <w:lang w:eastAsia="zh-CN"/>
              </w:rPr>
              <w:t>服务</w:t>
            </w:r>
            <w:r>
              <w:rPr>
                <w:rFonts w:hint="eastAsia" w:ascii="仿宋_GB2312" w:eastAsia="仿宋_GB2312" w:cs="Times New Roman"/>
                <w:color w:val="auto"/>
                <w:highlight w:val="none"/>
              </w:rPr>
              <w:t>考核办法》（附件</w:t>
            </w:r>
            <w:r>
              <w:rPr>
                <w:rFonts w:hint="eastAsia" w:ascii="仿宋_GB2312" w:eastAsia="仿宋_GB2312" w:cs="Times New Roman"/>
                <w:color w:val="auto"/>
                <w:highlight w:val="none"/>
                <w:lang w:val="en-US" w:eastAsia="zh-CN"/>
              </w:rPr>
              <w:t>4</w:t>
            </w:r>
            <w:r>
              <w:rPr>
                <w:rFonts w:hint="eastAsia" w:ascii="仿宋_GB2312" w:eastAsia="仿宋_GB2312" w:cs="Times New Roman"/>
                <w:color w:val="auto"/>
                <w:highlight w:val="none"/>
              </w:rPr>
              <w:t>）</w:t>
            </w:r>
            <w:r>
              <w:rPr>
                <w:rFonts w:hint="eastAsia" w:eastAsia="宋体"/>
                <w:color w:val="auto"/>
                <w:highlight w:val="none"/>
                <w:lang w:eastAsia="zh-CN"/>
              </w:rPr>
              <w:t>，</w:t>
            </w:r>
            <w:r>
              <w:rPr>
                <w:rFonts w:hint="eastAsia" w:ascii="仿宋_GB2312" w:hAnsi="仿宋_GB2312" w:eastAsia="仿宋_GB2312" w:cs="仿宋_GB2312"/>
                <w:color w:val="auto"/>
                <w:highlight w:val="none"/>
                <w:lang w:eastAsia="zh-CN"/>
              </w:rPr>
              <w:t>合同期内，如处理条款有调整，则按照学校最新执行的物业服务考核办法执行</w:t>
            </w:r>
            <w:r>
              <w:rPr>
                <w:rFonts w:hint="eastAsia" w:ascii="仿宋_GB2312" w:eastAsia="仿宋_GB2312" w:cs="Times New Roman"/>
                <w:color w:val="auto"/>
                <w:highlight w:val="none"/>
              </w:rPr>
              <w:t>。</w:t>
            </w:r>
          </w:p>
          <w:p>
            <w:pPr>
              <w:pStyle w:val="806"/>
              <w:spacing w:line="360" w:lineRule="auto"/>
              <w:ind w:firstLine="480" w:firstLineChars="200"/>
              <w:jc w:val="both"/>
              <w:rPr>
                <w:rFonts w:hint="eastAsia" w:ascii="仿宋_GB2312" w:eastAsia="仿宋_GB2312" w:cs="Times New Roman"/>
                <w:color w:val="auto"/>
                <w:highlight w:val="none"/>
              </w:rPr>
            </w:pPr>
            <w:r>
              <w:rPr>
                <w:rFonts w:hint="eastAsia" w:ascii="仿宋_GB2312" w:eastAsia="仿宋_GB2312" w:cs="Times New Roman"/>
                <w:color w:val="auto"/>
                <w:highlight w:val="none"/>
              </w:rPr>
              <w:t>后勤保障处负责汇总各项工作的考核情况，每月填写《</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物业服务工作月度考核汇总评分表》（附件1）</w:t>
            </w:r>
            <w:r>
              <w:rPr>
                <w:rFonts w:hint="eastAsia" w:ascii="仿宋_GB2312" w:eastAsia="仿宋_GB2312" w:cs="Times New Roman"/>
                <w:color w:val="auto"/>
                <w:highlight w:val="none"/>
                <w:lang w:eastAsia="zh-CN"/>
              </w:rPr>
              <w:t>，</w:t>
            </w:r>
            <w:r>
              <w:rPr>
                <w:rFonts w:hint="eastAsia" w:ascii="仿宋_GB2312" w:eastAsia="仿宋_GB2312" w:cs="Times New Roman"/>
                <w:color w:val="auto"/>
                <w:highlight w:val="none"/>
              </w:rPr>
              <w:t>月考核实行“一票否决”制度：若因物业管理不到位导致发生</w:t>
            </w:r>
            <w:r>
              <w:rPr>
                <w:rFonts w:hint="eastAsia" w:ascii="仿宋_GB2312" w:eastAsia="仿宋_GB2312" w:cs="Times New Roman"/>
                <w:color w:val="auto"/>
                <w:highlight w:val="none"/>
                <w:lang w:eastAsia="zh-CN"/>
              </w:rPr>
              <w:t>经济损失</w:t>
            </w:r>
            <w:r>
              <w:rPr>
                <w:rFonts w:hint="eastAsia" w:ascii="仿宋_GB2312" w:eastAsia="仿宋_GB2312" w:cs="Times New Roman"/>
                <w:color w:val="auto"/>
                <w:highlight w:val="none"/>
              </w:rPr>
              <w:t>金额在5万以上的案件，该月考核得分直接定为0分。</w:t>
            </w:r>
          </w:p>
          <w:p>
            <w:pPr>
              <w:pStyle w:val="806"/>
              <w:spacing w:line="360" w:lineRule="auto"/>
              <w:ind w:firstLine="480" w:firstLineChars="200"/>
              <w:jc w:val="both"/>
              <w:rPr>
                <w:rFonts w:hint="eastAsia" w:ascii="仿宋_GB2312"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3、半年度考核</w:t>
            </w:r>
          </w:p>
          <w:p>
            <w:pPr>
              <w:pStyle w:val="806"/>
              <w:spacing w:line="360" w:lineRule="auto"/>
              <w:ind w:firstLine="480" w:firstLineChars="200"/>
              <w:jc w:val="both"/>
              <w:rPr>
                <w:rStyle w:val="807"/>
                <w:rFonts w:hint="eastAsia" w:ascii="仿宋_GB2312" w:hAnsi="仿宋_GB2312" w:eastAsia="仿宋_GB2312" w:cs="仿宋_GB2312"/>
                <w:color w:val="auto"/>
                <w:sz w:val="24"/>
                <w:szCs w:val="24"/>
                <w:highlight w:val="none"/>
                <w:lang w:eastAsia="zh-CN"/>
              </w:rPr>
            </w:pPr>
            <w:r>
              <w:rPr>
                <w:rFonts w:hint="eastAsia" w:ascii="仿宋_GB2312" w:eastAsia="仿宋_GB2312" w:cs="Times New Roman"/>
                <w:color w:val="auto"/>
                <w:highlight w:val="none"/>
                <w:lang w:val="en-US" w:eastAsia="zh-CN"/>
              </w:rPr>
              <w:t>学校每学期末对</w:t>
            </w:r>
            <w:r>
              <w:rPr>
                <w:rFonts w:hint="eastAsia" w:ascii="仿宋_GB2312" w:eastAsia="仿宋_GB2312" w:cs="Times New Roman"/>
                <w:color w:val="auto"/>
                <w:highlight w:val="none"/>
              </w:rPr>
              <w:t>物业服务质量进行</w:t>
            </w:r>
            <w:r>
              <w:rPr>
                <w:rFonts w:hint="eastAsia" w:ascii="仿宋_GB2312" w:eastAsia="仿宋_GB2312" w:cs="Times New Roman"/>
                <w:color w:val="auto"/>
                <w:highlight w:val="none"/>
                <w:lang w:val="en-US" w:eastAsia="zh-CN"/>
              </w:rPr>
              <w:t>一次考核，考核实行</w:t>
            </w:r>
            <w:r>
              <w:rPr>
                <w:rFonts w:hint="eastAsia" w:ascii="仿宋_GB2312" w:eastAsia="仿宋_GB2312" w:cs="Times New Roman"/>
                <w:color w:val="auto"/>
                <w:highlight w:val="none"/>
              </w:rPr>
              <w:t>百分制</w:t>
            </w:r>
            <w:r>
              <w:rPr>
                <w:rFonts w:hint="eastAsia" w:ascii="仿宋_GB2312" w:eastAsia="仿宋_GB2312" w:cs="Times New Roman"/>
                <w:color w:val="auto"/>
                <w:highlight w:val="none"/>
                <w:lang w:eastAsia="zh-CN"/>
              </w:rPr>
              <w:t>；其中</w:t>
            </w:r>
            <w:r>
              <w:rPr>
                <w:rFonts w:hint="eastAsia" w:ascii="仿宋_GB2312" w:eastAsia="仿宋_GB2312" w:cs="Times New Roman"/>
                <w:color w:val="auto"/>
                <w:highlight w:val="none"/>
                <w:lang w:val="en-US" w:eastAsia="zh-CN"/>
              </w:rPr>
              <w:t>物业自评占比20%，考核小组评价占比40%，师生评价（服务质量满意度测评结果）占比40%，具体的考核形式和内容由学校按照最新的考核办法制定。</w:t>
            </w:r>
            <w:r>
              <w:rPr>
                <w:rFonts w:hint="eastAsia" w:ascii="仿宋_GB2312" w:eastAsia="仿宋_GB2312" w:cs="Times New Roman"/>
                <w:color w:val="auto"/>
                <w:highlight w:val="none"/>
              </w:rPr>
              <w:t>考核等级：合格（≥80分）；基本合格（70分≤考核分值＜80分）；不合格（考核分值&lt;70分）</w:t>
            </w:r>
            <w:r>
              <w:rPr>
                <w:rStyle w:val="807"/>
                <w:rFonts w:hint="eastAsia" w:ascii="仿宋_GB2312" w:hAnsi="仿宋_GB2312" w:eastAsia="仿宋_GB2312" w:cs="仿宋_GB2312"/>
                <w:color w:val="auto"/>
                <w:sz w:val="24"/>
                <w:szCs w:val="24"/>
                <w:highlight w:val="none"/>
                <w:lang w:eastAsia="zh-CN"/>
              </w:rPr>
              <w:t>。</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lang w:eastAsia="zh-CN"/>
              </w:rPr>
              <w:t>半</w:t>
            </w:r>
            <w:r>
              <w:rPr>
                <w:rFonts w:hint="eastAsia" w:ascii="仿宋_GB2312" w:eastAsia="仿宋_GB2312" w:cs="Times New Roman"/>
                <w:color w:val="auto"/>
                <w:highlight w:val="none"/>
              </w:rPr>
              <w:t>年度考核实行“一票否决”制度：若因物业管理不到位导致发生两起</w:t>
            </w:r>
            <w:r>
              <w:rPr>
                <w:rFonts w:hint="eastAsia" w:ascii="仿宋_GB2312" w:eastAsia="仿宋_GB2312" w:cs="Times New Roman"/>
                <w:color w:val="auto"/>
                <w:highlight w:val="none"/>
                <w:lang w:eastAsia="zh-CN"/>
              </w:rPr>
              <w:t>经济损失</w:t>
            </w:r>
            <w:r>
              <w:rPr>
                <w:rFonts w:hint="eastAsia" w:ascii="仿宋_GB2312" w:eastAsia="仿宋_GB2312" w:cs="Times New Roman"/>
                <w:color w:val="auto"/>
                <w:highlight w:val="none"/>
              </w:rPr>
              <w:t>金额在5万以上的案件或一起人员死亡事件，</w:t>
            </w:r>
            <w:r>
              <w:rPr>
                <w:rFonts w:hint="eastAsia" w:ascii="仿宋_GB2312" w:eastAsia="仿宋_GB2312" w:cs="Times New Roman"/>
                <w:color w:val="auto"/>
                <w:highlight w:val="none"/>
                <w:lang w:val="en-US" w:eastAsia="zh-CN"/>
              </w:rPr>
              <w:t>半</w:t>
            </w:r>
            <w:r>
              <w:rPr>
                <w:rFonts w:hint="eastAsia" w:ascii="仿宋_GB2312" w:eastAsia="仿宋_GB2312" w:cs="Times New Roman"/>
                <w:color w:val="auto"/>
                <w:highlight w:val="none"/>
              </w:rPr>
              <w:t>年度考核得分直接定为0分。</w:t>
            </w:r>
          </w:p>
          <w:p>
            <w:pPr>
              <w:pStyle w:val="806"/>
              <w:spacing w:line="360" w:lineRule="auto"/>
              <w:ind w:firstLine="480" w:firstLineChars="200"/>
              <w:jc w:val="both"/>
              <w:rPr>
                <w:rFonts w:hint="eastAsia" w:ascii="仿宋_GB2312" w:eastAsia="仿宋_GB2312" w:cs="Times New Roman"/>
                <w:color w:val="auto"/>
                <w:highlight w:val="none"/>
                <w:lang w:val="en-US" w:eastAsia="zh-CN"/>
              </w:rPr>
            </w:pPr>
            <w:r>
              <w:rPr>
                <w:rFonts w:hint="eastAsia" w:ascii="仿宋_GB2312" w:eastAsia="仿宋_GB2312" w:cs="Times New Roman"/>
                <w:color w:val="auto"/>
                <w:highlight w:val="none"/>
                <w:lang w:val="en-US" w:eastAsia="zh-CN"/>
              </w:rPr>
              <w:t>半年度</w:t>
            </w:r>
            <w:r>
              <w:rPr>
                <w:rFonts w:hint="eastAsia" w:ascii="仿宋_GB2312" w:eastAsia="仿宋_GB2312" w:cs="Times New Roman"/>
                <w:color w:val="auto"/>
                <w:highlight w:val="none"/>
              </w:rPr>
              <w:t>考核</w:t>
            </w:r>
            <w:r>
              <w:rPr>
                <w:rFonts w:hint="eastAsia" w:ascii="仿宋_GB2312" w:eastAsia="仿宋_GB2312" w:cs="Times New Roman"/>
                <w:color w:val="auto"/>
                <w:highlight w:val="none"/>
                <w:lang w:eastAsia="zh-CN"/>
              </w:rPr>
              <w:t>一次</w:t>
            </w:r>
            <w:r>
              <w:rPr>
                <w:rFonts w:hint="eastAsia" w:ascii="仿宋_GB2312" w:eastAsia="仿宋_GB2312" w:cs="Times New Roman"/>
                <w:color w:val="auto"/>
                <w:highlight w:val="none"/>
              </w:rPr>
              <w:t>不合格的，扣除</w:t>
            </w:r>
            <w:r>
              <w:rPr>
                <w:rFonts w:hint="eastAsia" w:ascii="仿宋_GB2312" w:eastAsia="仿宋_GB2312" w:cs="Times New Roman"/>
                <w:color w:val="auto"/>
                <w:highlight w:val="none"/>
                <w:lang w:eastAsia="zh-CN"/>
              </w:rPr>
              <w:t>半</w:t>
            </w:r>
            <w:r>
              <w:rPr>
                <w:rFonts w:hint="eastAsia" w:ascii="仿宋_GB2312" w:eastAsia="仿宋_GB2312" w:cs="Times New Roman"/>
                <w:color w:val="auto"/>
                <w:highlight w:val="none"/>
              </w:rPr>
              <w:t>年物业服务费的10%</w:t>
            </w:r>
            <w:r>
              <w:rPr>
                <w:rFonts w:hint="eastAsia" w:ascii="仿宋_GB2312" w:eastAsia="仿宋_GB2312" w:cs="Times New Roman"/>
                <w:color w:val="auto"/>
                <w:highlight w:val="none"/>
                <w:lang w:eastAsia="zh-CN"/>
              </w:rPr>
              <w:t>；</w:t>
            </w:r>
            <w:r>
              <w:rPr>
                <w:rFonts w:hint="eastAsia" w:ascii="仿宋_GB2312" w:eastAsia="仿宋_GB2312" w:cs="Times New Roman"/>
                <w:color w:val="auto"/>
                <w:highlight w:val="none"/>
                <w:lang w:val="en-US" w:eastAsia="zh-CN"/>
              </w:rPr>
              <w:t>半年度</w:t>
            </w:r>
            <w:r>
              <w:rPr>
                <w:rFonts w:hint="eastAsia" w:ascii="仿宋_GB2312" w:eastAsia="仿宋_GB2312" w:cs="Times New Roman"/>
                <w:color w:val="auto"/>
                <w:highlight w:val="none"/>
              </w:rPr>
              <w:t>考核</w:t>
            </w:r>
            <w:r>
              <w:rPr>
                <w:rFonts w:hint="eastAsia" w:ascii="仿宋_GB2312" w:eastAsia="仿宋_GB2312" w:cs="Times New Roman"/>
                <w:color w:val="auto"/>
                <w:highlight w:val="none"/>
                <w:lang w:eastAsia="zh-CN"/>
              </w:rPr>
              <w:t>连续两次</w:t>
            </w:r>
            <w:r>
              <w:rPr>
                <w:rFonts w:hint="eastAsia" w:ascii="仿宋_GB2312" w:eastAsia="仿宋_GB2312" w:cs="Times New Roman"/>
                <w:color w:val="auto"/>
                <w:highlight w:val="none"/>
              </w:rPr>
              <w:t>不合格的</w:t>
            </w:r>
            <w:r>
              <w:rPr>
                <w:rFonts w:hint="eastAsia" w:ascii="仿宋_GB2312" w:eastAsia="仿宋_GB2312" w:cs="Times New Roman"/>
                <w:color w:val="auto"/>
                <w:highlight w:val="none"/>
                <w:lang w:eastAsia="zh-CN"/>
              </w:rPr>
              <w:t>，</w:t>
            </w:r>
            <w:r>
              <w:rPr>
                <w:rFonts w:hint="eastAsia" w:ascii="仿宋_GB2312" w:hAnsi="仿宋_GB2312" w:eastAsia="仿宋_GB2312" w:cs="仿宋_GB2312"/>
                <w:color w:val="auto"/>
                <w:highlight w:val="none"/>
                <w:lang w:eastAsia="zh-CN"/>
              </w:rPr>
              <w:t>学校有权单方面解除合同</w:t>
            </w:r>
            <w:r>
              <w:rPr>
                <w:rFonts w:hint="eastAsia" w:ascii="仿宋_GB2312" w:eastAsia="仿宋_GB2312" w:cs="Times New Roman"/>
                <w:color w:val="auto"/>
                <w:highlight w:val="none"/>
                <w:lang w:eastAsia="zh-CN"/>
              </w:rPr>
              <w:t>，并由学校主管部门接管物业服务中心的人员及资产设备，维持物业相关事务的正常运行，直到新的物业公司进场为止</w:t>
            </w:r>
            <w:r>
              <w:rPr>
                <w:rFonts w:hint="eastAsia" w:ascii="仿宋_GB2312" w:eastAsia="仿宋_GB2312" w:cs="Times New Roman"/>
                <w:color w:val="auto"/>
                <w:highlight w:val="none"/>
              </w:rPr>
              <w:t>。</w:t>
            </w:r>
          </w:p>
          <w:p>
            <w:pPr>
              <w:pStyle w:val="806"/>
              <w:spacing w:line="360" w:lineRule="auto"/>
              <w:ind w:firstLine="360" w:firstLineChars="150"/>
              <w:jc w:val="both"/>
              <w:rPr>
                <w:rFonts w:ascii="仿宋_GB2312" w:eastAsia="仿宋_GB2312" w:cs="Times New Roman"/>
                <w:color w:val="auto"/>
                <w:highlight w:val="none"/>
              </w:rPr>
            </w:pPr>
            <w:r>
              <w:rPr>
                <w:rFonts w:hint="eastAsia" w:ascii="仿宋_GB2312" w:eastAsia="仿宋_GB2312" w:cs="Times New Roman"/>
                <w:color w:val="auto"/>
                <w:highlight w:val="none"/>
              </w:rPr>
              <w:t>（五）本办法作为物业服务招标文件和物业服务合同的重要组成部分，运作过程中可根据实际情况进行修改和完善。</w:t>
            </w:r>
          </w:p>
          <w:p>
            <w:pPr>
              <w:pStyle w:val="806"/>
              <w:spacing w:line="360" w:lineRule="auto"/>
              <w:ind w:firstLine="360" w:firstLineChars="150"/>
              <w:jc w:val="both"/>
              <w:rPr>
                <w:rFonts w:ascii="仿宋_GB2312" w:eastAsia="仿宋_GB2312" w:cs="Times New Roman"/>
                <w:color w:val="auto"/>
                <w:highlight w:val="none"/>
              </w:rPr>
            </w:pPr>
            <w:r>
              <w:rPr>
                <w:rFonts w:hint="eastAsia" w:ascii="仿宋_GB2312" w:eastAsia="仿宋_GB2312" w:cs="Times New Roman"/>
                <w:color w:val="auto"/>
                <w:highlight w:val="none"/>
              </w:rPr>
              <w:t>（六）本办法由</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负责解释。</w:t>
            </w:r>
          </w:p>
          <w:p>
            <w:pPr>
              <w:pStyle w:val="806"/>
              <w:spacing w:line="360" w:lineRule="auto"/>
              <w:ind w:firstLine="480" w:firstLineChars="200"/>
              <w:jc w:val="both"/>
              <w:rPr>
                <w:rFonts w:ascii="仿宋_GB2312" w:eastAsia="仿宋_GB2312" w:cs="Times New Roman"/>
                <w:color w:val="auto"/>
                <w:highlight w:val="none"/>
              </w:rPr>
            </w:pPr>
            <w:r>
              <w:rPr>
                <w:rFonts w:hint="eastAsia" w:ascii="仿宋_GB2312" w:eastAsia="仿宋_GB2312" w:cs="Times New Roman"/>
                <w:color w:val="auto"/>
                <w:highlight w:val="none"/>
              </w:rPr>
              <w:t>附件：1、</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物业服务工作月度考核汇总评分表</w:t>
            </w:r>
          </w:p>
          <w:p>
            <w:pPr>
              <w:pStyle w:val="806"/>
              <w:spacing w:line="360" w:lineRule="auto"/>
              <w:ind w:firstLine="1200" w:firstLineChars="500"/>
              <w:jc w:val="both"/>
              <w:rPr>
                <w:rFonts w:ascii="仿宋_GB2312" w:eastAsia="仿宋_GB2312" w:cs="Times New Roman"/>
                <w:color w:val="auto"/>
                <w:highlight w:val="none"/>
              </w:rPr>
            </w:pPr>
            <w:r>
              <w:rPr>
                <w:rFonts w:hint="eastAsia" w:ascii="仿宋_GB2312" w:eastAsia="仿宋_GB2312" w:cs="Times New Roman"/>
                <w:color w:val="auto"/>
                <w:highlight w:val="none"/>
              </w:rPr>
              <w:t>2、</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物业服务工作月度考核表</w:t>
            </w:r>
          </w:p>
          <w:p>
            <w:pPr>
              <w:pStyle w:val="806"/>
              <w:spacing w:line="360" w:lineRule="auto"/>
              <w:ind w:firstLine="1200" w:firstLineChars="500"/>
              <w:jc w:val="both"/>
              <w:rPr>
                <w:rFonts w:ascii="仿宋_GB2312" w:eastAsia="仿宋_GB2312" w:cs="Times New Roman"/>
                <w:color w:val="auto"/>
                <w:highlight w:val="none"/>
              </w:rPr>
            </w:pPr>
            <w:r>
              <w:rPr>
                <w:rFonts w:hint="eastAsia" w:ascii="仿宋_GB2312" w:eastAsia="仿宋_GB2312" w:cs="Times New Roman"/>
                <w:color w:val="auto"/>
                <w:highlight w:val="none"/>
              </w:rPr>
              <w:t>3、柳州职业技术学院物业服务日常检查记录表</w:t>
            </w:r>
          </w:p>
          <w:p>
            <w:pPr>
              <w:pStyle w:val="806"/>
              <w:spacing w:line="360" w:lineRule="auto"/>
              <w:ind w:firstLine="1200" w:firstLineChars="500"/>
              <w:jc w:val="both"/>
              <w:rPr>
                <w:rFonts w:ascii="仿宋_GB2312" w:eastAsia="仿宋_GB2312" w:cs="Times New Roman"/>
                <w:color w:val="auto"/>
                <w:highlight w:val="none"/>
              </w:rPr>
            </w:pPr>
            <w:r>
              <w:rPr>
                <w:rFonts w:hint="eastAsia" w:ascii="仿宋_GB2312" w:eastAsia="仿宋_GB2312" w:cs="Times New Roman"/>
                <w:color w:val="auto"/>
                <w:highlight w:val="none"/>
                <w:lang w:val="en-US" w:eastAsia="zh-CN"/>
              </w:rPr>
              <w:t>4</w:t>
            </w:r>
            <w:r>
              <w:rPr>
                <w:rFonts w:hint="eastAsia" w:ascii="仿宋_GB2312" w:eastAsia="仿宋_GB2312" w:cs="Times New Roman"/>
                <w:color w:val="auto"/>
                <w:highlight w:val="none"/>
              </w:rPr>
              <w:t>、</w:t>
            </w:r>
            <w:r>
              <w:rPr>
                <w:rFonts w:hint="eastAsia" w:ascii="仿宋_GB2312" w:eastAsia="仿宋_GB2312" w:cs="Times New Roman"/>
                <w:color w:val="auto"/>
                <w:highlight w:val="none"/>
                <w:lang w:eastAsia="zh-CN"/>
              </w:rPr>
              <w:t>柳州职业技术学院</w:t>
            </w:r>
            <w:r>
              <w:rPr>
                <w:rFonts w:hint="eastAsia" w:ascii="仿宋_GB2312" w:eastAsia="仿宋_GB2312" w:cs="Times New Roman"/>
                <w:color w:val="auto"/>
                <w:highlight w:val="none"/>
              </w:rPr>
              <w:t>物业服务考核办法</w:t>
            </w:r>
          </w:p>
          <w:p>
            <w:pPr>
              <w:pStyle w:val="806"/>
              <w:spacing w:line="360" w:lineRule="auto"/>
              <w:ind w:firstLine="1200" w:firstLineChars="500"/>
              <w:jc w:val="both"/>
              <w:rPr>
                <w:rFonts w:ascii="仿宋_GB2312" w:eastAsia="仿宋_GB2312" w:cs="Times New Roman"/>
                <w:color w:val="auto"/>
                <w:highlight w:val="none"/>
              </w:rPr>
            </w:pPr>
            <w:r>
              <w:rPr>
                <w:rFonts w:hint="eastAsia" w:ascii="仿宋_GB2312" w:eastAsia="仿宋_GB2312" w:cs="Times New Roman"/>
                <w:color w:val="auto"/>
                <w:highlight w:val="none"/>
                <w:lang w:val="en-US" w:eastAsia="zh-CN"/>
              </w:rPr>
              <w:t>5</w:t>
            </w:r>
            <w:r>
              <w:rPr>
                <w:rFonts w:hint="eastAsia" w:ascii="仿宋_GB2312" w:eastAsia="仿宋_GB2312" w:cs="Times New Roman"/>
                <w:color w:val="auto"/>
                <w:highlight w:val="none"/>
              </w:rPr>
              <w:t>、整改通知单</w:t>
            </w:r>
          </w:p>
          <w:p>
            <w:pPr>
              <w:pStyle w:val="806"/>
              <w:spacing w:line="360" w:lineRule="auto"/>
              <w:ind w:firstLine="1200" w:firstLineChars="500"/>
              <w:jc w:val="both"/>
              <w:rPr>
                <w:rFonts w:hint="eastAsia" w:ascii="仿宋_GB2312" w:hAnsi="仿宋_GB2312" w:eastAsia="仿宋_GB2312" w:cs="仿宋_GB2312"/>
                <w:bCs/>
                <w:color w:val="auto"/>
                <w:sz w:val="24"/>
                <w:szCs w:val="24"/>
                <w:highlight w:val="none"/>
                <w:lang w:eastAsia="zh-CN"/>
              </w:rPr>
            </w:pPr>
            <w:r>
              <w:rPr>
                <w:rFonts w:hint="eastAsia" w:ascii="仿宋_GB2312" w:eastAsia="仿宋_GB2312" w:cs="Times New Roman"/>
                <w:color w:val="auto"/>
                <w:highlight w:val="none"/>
                <w:lang w:val="en-US" w:eastAsia="zh-CN"/>
              </w:rPr>
              <w:t>6</w:t>
            </w:r>
            <w:r>
              <w:rPr>
                <w:rFonts w:hint="eastAsia" w:ascii="仿宋_GB2312" w:eastAsia="仿宋_GB2312" w:cs="Times New Roman"/>
                <w:color w:val="auto"/>
                <w:highlight w:val="none"/>
              </w:rPr>
              <w:t>、中标人投入本项目</w:t>
            </w:r>
            <w:r>
              <w:rPr>
                <w:rFonts w:hint="eastAsia" w:ascii="仿宋_GB2312" w:eastAsia="仿宋_GB2312" w:cs="Times New Roman"/>
                <w:color w:val="auto"/>
                <w:highlight w:val="none"/>
                <w:lang w:eastAsia="zh-CN"/>
              </w:rPr>
              <w:t>的</w:t>
            </w:r>
            <w:r>
              <w:rPr>
                <w:rFonts w:hint="eastAsia" w:ascii="仿宋_GB2312" w:eastAsia="仿宋_GB2312" w:cs="Times New Roman"/>
                <w:color w:val="auto"/>
                <w:highlight w:val="none"/>
              </w:rPr>
              <w:t>设备</w:t>
            </w:r>
          </w:p>
        </w:tc>
        <w:tc>
          <w:tcPr>
            <w:tcW w:w="461" w:type="dxa"/>
            <w:tcBorders>
              <w:top w:val="single" w:color="auto" w:sz="4" w:space="0"/>
              <w:left w:val="single" w:color="auto" w:sz="4" w:space="0"/>
              <w:bottom w:val="single" w:color="auto" w:sz="4" w:space="0"/>
              <w:right w:val="single" w:color="auto" w:sz="4" w:space="0"/>
            </w:tcBorders>
            <w:noWrap w:val="0"/>
            <w:vAlign w:val="center"/>
          </w:tcPr>
          <w:p>
            <w:pPr>
              <w:pStyle w:val="786"/>
              <w:snapToGrid w:val="0"/>
              <w:spacing w:line="420" w:lineRule="exact"/>
              <w:jc w:val="center"/>
              <w:rPr>
                <w:rFonts w:hint="eastAsia" w:ascii="仿宋_GB2312" w:hAnsi="仿宋_GB2312" w:eastAsia="仿宋_GB2312" w:cs="仿宋_GB2312"/>
                <w:b/>
                <w:bCs w:val="0"/>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1项</w:t>
            </w:r>
          </w:p>
        </w:tc>
      </w:tr>
    </w:tbl>
    <w:p>
      <w:pPr>
        <w:rPr>
          <w:color w:val="auto"/>
          <w:highlight w:val="none"/>
        </w:rPr>
      </w:pPr>
    </w:p>
    <w:tbl>
      <w:tblPr>
        <w:tblStyle w:val="48"/>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330" w:rightChars="-157"/>
              <w:rPr>
                <w:rFonts w:ascii="仿宋_GB2312" w:hAnsi="宋体" w:eastAsia="仿宋_GB2312" w:cs="宋体"/>
                <w:b/>
                <w:color w:val="auto"/>
                <w:kern w:val="0"/>
                <w:sz w:val="24"/>
                <w:highlight w:val="none"/>
              </w:rPr>
            </w:pPr>
            <w:r>
              <w:rPr>
                <w:rFonts w:ascii="仿宋_GB2312" w:hAnsi="宋体" w:eastAsia="仿宋_GB2312" w:cs="宋体"/>
                <w:b/>
                <w:color w:val="auto"/>
                <w:kern w:val="0"/>
                <w:sz w:val="24"/>
                <w:highlight w:val="none"/>
              </w:rPr>
              <w:t>★</w:t>
            </w:r>
            <w:r>
              <w:rPr>
                <w:rFonts w:hint="eastAsia" w:ascii="仿宋_GB2312" w:hAnsi="宋体" w:eastAsia="仿宋_GB2312" w:cs="宋体"/>
                <w:b/>
                <w:color w:val="auto"/>
                <w:kern w:val="0"/>
                <w:sz w:val="24"/>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报价要求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1.本项目投标报价为一次性报价，利润及风险由投标人自行考虑（包括广西壮族自治区人民政府调整最低工资标准后，按实际情况增加人工费及相应保险费用）；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2.投标人必须按照《</w:t>
            </w:r>
            <w:r>
              <w:rPr>
                <w:rFonts w:hint="eastAsia" w:ascii="仿宋_GB2312" w:hAnsi="仿宋_GB2312" w:eastAsia="仿宋_GB2312" w:cs="仿宋_GB2312"/>
                <w:bCs/>
                <w:color w:val="auto"/>
                <w:sz w:val="24"/>
                <w:highlight w:val="none"/>
                <w:lang w:val="en-US" w:eastAsia="zh-CN"/>
              </w:rPr>
              <w:t>中华人民共和国</w:t>
            </w:r>
            <w:r>
              <w:rPr>
                <w:rFonts w:hint="eastAsia" w:ascii="仿宋_GB2312" w:hAnsi="仿宋_GB2312" w:eastAsia="仿宋_GB2312" w:cs="仿宋_GB2312"/>
                <w:bCs/>
                <w:color w:val="auto"/>
                <w:sz w:val="24"/>
                <w:highlight w:val="none"/>
              </w:rPr>
              <w:t>劳动合同法》的规定与员工签订劳动合同并按照国家及省市的相关规定为投入本项目人员统一办理社会保险、人员意外伤害等各种保险并承担相关费用；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3.投标人报价必须包含本项目工资、保险费、福利费、管理费、加班费、服装费、交通费、通讯费、税费等相关费用；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4.投标人须自行承担管理服务所有的专用工具</w:t>
            </w:r>
            <w:r>
              <w:rPr>
                <w:rFonts w:hint="eastAsia" w:ascii="仿宋_GB2312" w:hAnsi="仿宋_GB2312" w:eastAsia="仿宋_GB2312" w:cs="仿宋_GB2312"/>
                <w:bCs/>
                <w:color w:val="auto"/>
                <w:sz w:val="24"/>
                <w:highlight w:val="none"/>
                <w:lang w:eastAsia="zh-CN"/>
              </w:rPr>
              <w:t>、设备、</w:t>
            </w:r>
            <w:r>
              <w:rPr>
                <w:rFonts w:hint="eastAsia" w:ascii="仿宋_GB2312" w:hAnsi="仿宋_GB2312" w:eastAsia="仿宋_GB2312" w:cs="仿宋_GB2312"/>
                <w:bCs/>
                <w:color w:val="auto"/>
                <w:sz w:val="24"/>
                <w:highlight w:val="none"/>
              </w:rPr>
              <w:t>物品、排污管道、化粪池等清洁</w:t>
            </w:r>
            <w:r>
              <w:rPr>
                <w:rFonts w:hint="eastAsia" w:ascii="仿宋_GB2312" w:hAnsi="仿宋_GB2312" w:eastAsia="仿宋_GB2312" w:cs="仿宋_GB2312"/>
                <w:bCs/>
                <w:color w:val="auto"/>
                <w:sz w:val="24"/>
                <w:highlight w:val="none"/>
                <w:lang w:eastAsia="zh-CN"/>
              </w:rPr>
              <w:t>费、垃圾清理费、</w:t>
            </w:r>
            <w:r>
              <w:rPr>
                <w:rFonts w:hint="eastAsia" w:ascii="仿宋_GB2312" w:hAnsi="仿宋_GB2312" w:eastAsia="仿宋_GB2312" w:cs="仿宋_GB2312"/>
                <w:bCs/>
                <w:color w:val="auto"/>
                <w:sz w:val="24"/>
                <w:highlight w:val="none"/>
              </w:rPr>
              <w:t>办公用品及日常易耗品（已明确由采购人承担的除外）费等</w:t>
            </w:r>
            <w:r>
              <w:rPr>
                <w:rFonts w:hint="eastAsia" w:ascii="仿宋_GB2312" w:hAnsi="仿宋_GB2312" w:eastAsia="仿宋_GB2312" w:cs="仿宋_GB2312"/>
                <w:bCs/>
                <w:color w:val="auto"/>
                <w:sz w:val="24"/>
                <w:highlight w:val="none"/>
                <w:lang w:eastAsia="zh-CN"/>
              </w:rPr>
              <w:t>与提供物业服务</w:t>
            </w:r>
            <w:r>
              <w:rPr>
                <w:rFonts w:hint="eastAsia" w:ascii="仿宋_GB2312" w:hAnsi="仿宋_GB2312" w:eastAsia="仿宋_GB2312" w:cs="仿宋_GB2312"/>
                <w:bCs/>
                <w:color w:val="auto"/>
                <w:sz w:val="24"/>
                <w:highlight w:val="none"/>
              </w:rPr>
              <w:t>相关</w:t>
            </w:r>
            <w:r>
              <w:rPr>
                <w:rFonts w:hint="eastAsia" w:ascii="仿宋_GB2312" w:hAnsi="仿宋_GB2312" w:eastAsia="仿宋_GB2312" w:cs="仿宋_GB2312"/>
                <w:bCs/>
                <w:color w:val="auto"/>
                <w:sz w:val="24"/>
                <w:highlight w:val="none"/>
                <w:lang w:eastAsia="zh-CN"/>
              </w:rPr>
              <w:t>的一切</w:t>
            </w:r>
            <w:r>
              <w:rPr>
                <w:rFonts w:hint="eastAsia" w:ascii="仿宋_GB2312" w:hAnsi="仿宋_GB2312" w:eastAsia="仿宋_GB2312" w:cs="仿宋_GB2312"/>
                <w:bCs/>
                <w:color w:val="auto"/>
                <w:sz w:val="24"/>
                <w:highlight w:val="none"/>
              </w:rPr>
              <w:t>费用；
</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5.其他相关费用由投标人自行承担。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服务期限</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自提供服务之日起3年，具体服务起止时间以合同约定日期为准。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处理问题响应时间</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接到采购人通知后24小时内处理或反馈处理方案，如采购需求有具体时间限定的，按相应要求执行。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服务交接时间及地点</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1.服务交接时间：自合同约定提供服务之日起7日内办理完服务交接手续；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2.服务地点 ：社湾校区：广西柳州市鱼峰区社湾路28号；
</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官塘校区：广西柳州市鱼峰区官塘大道16号。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付款方式</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财政性资金按财政国库集中支付规定程序办理。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合同签订后采购人按季度向中标人支付服务费，中标人应当于下季度首月</w:t>
            </w:r>
            <w:r>
              <w:rPr>
                <w:rFonts w:hint="eastAsia" w:ascii="仿宋_GB2312" w:hAnsi="仿宋_GB2312" w:eastAsia="仿宋_GB2312" w:cs="仿宋_GB2312"/>
                <w:bCs/>
                <w:color w:val="auto"/>
                <w:sz w:val="24"/>
                <w:highlight w:val="none"/>
                <w:lang w:val="en-US" w:eastAsia="zh-CN"/>
              </w:rPr>
              <w:t>开始后10</w:t>
            </w:r>
            <w:r>
              <w:rPr>
                <w:rFonts w:hint="eastAsia" w:ascii="仿宋_GB2312" w:hAnsi="仿宋_GB2312" w:eastAsia="仿宋_GB2312" w:cs="仿宋_GB2312"/>
                <w:bCs/>
                <w:color w:val="auto"/>
                <w:sz w:val="24"/>
                <w:highlight w:val="none"/>
              </w:rPr>
              <w:t>个工作日内，</w:t>
            </w:r>
            <w:r>
              <w:rPr>
                <w:rFonts w:hint="eastAsia" w:ascii="仿宋_GB2312" w:hAnsi="仿宋_GB2312" w:eastAsia="仿宋_GB2312" w:cs="仿宋_GB2312"/>
                <w:bCs/>
                <w:color w:val="auto"/>
                <w:sz w:val="24"/>
                <w:highlight w:val="none"/>
                <w:lang w:eastAsia="zh-CN"/>
              </w:rPr>
              <w:t>按考核结果</w:t>
            </w:r>
            <w:r>
              <w:rPr>
                <w:rFonts w:hint="eastAsia" w:ascii="仿宋_GB2312" w:hAnsi="仿宋_GB2312" w:eastAsia="仿宋_GB2312" w:cs="仿宋_GB2312"/>
                <w:bCs/>
                <w:color w:val="auto"/>
                <w:sz w:val="24"/>
                <w:highlight w:val="none"/>
              </w:rPr>
              <w:t>将上季度合法</w:t>
            </w:r>
            <w:r>
              <w:rPr>
                <w:rFonts w:hint="eastAsia" w:ascii="仿宋_GB2312" w:hAnsi="仿宋_GB2312" w:eastAsia="仿宋_GB2312" w:cs="仿宋_GB2312"/>
                <w:bCs/>
                <w:color w:val="auto"/>
                <w:sz w:val="24"/>
                <w:highlight w:val="none"/>
                <w:lang w:eastAsia="zh-CN"/>
              </w:rPr>
              <w:t>的增值税专用</w:t>
            </w:r>
            <w:r>
              <w:rPr>
                <w:rFonts w:hint="eastAsia" w:ascii="仿宋_GB2312" w:hAnsi="仿宋_GB2312" w:eastAsia="仿宋_GB2312" w:cs="仿宋_GB2312"/>
                <w:bCs/>
                <w:color w:val="auto"/>
                <w:sz w:val="24"/>
                <w:highlight w:val="none"/>
              </w:rPr>
              <w:t>发票开具给采购人，采购人在收到发票后</w:t>
            </w:r>
            <w:r>
              <w:rPr>
                <w:rFonts w:hint="eastAsia" w:ascii="仿宋_GB2312" w:hAnsi="仿宋_GB2312" w:eastAsia="仿宋_GB2312" w:cs="仿宋_GB2312"/>
                <w:bCs/>
                <w:color w:val="auto"/>
                <w:sz w:val="24"/>
                <w:highlight w:val="none"/>
                <w:lang w:val="en-US" w:eastAsia="zh-CN"/>
              </w:rPr>
              <w:t>10</w:t>
            </w:r>
            <w:r>
              <w:rPr>
                <w:rFonts w:hint="eastAsia" w:ascii="仿宋_GB2312" w:hAnsi="仿宋_GB2312" w:eastAsia="仿宋_GB2312" w:cs="仿宋_GB2312"/>
                <w:bCs/>
                <w:color w:val="auto"/>
                <w:sz w:val="24"/>
                <w:highlight w:val="none"/>
              </w:rPr>
              <w:t>个工作日内启动支付流程，否则，采购人可以顺延付款。</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注：若中标人为中小微企业，资金支付等事项按照《保障中小企业款项支付条例》（国务院令第728号）、《运用政府采购政策支持柳州市中小微企业发展暂行办法》要求执行。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履约保证金</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1.合同签订前2日内，中标人必须向采购人缴纳履约保证金，履约保证金</w:t>
            </w:r>
            <w:r>
              <w:rPr>
                <w:rFonts w:hint="eastAsia" w:ascii="仿宋_GB2312" w:hAnsi="仿宋_GB2312" w:eastAsia="仿宋_GB2312" w:cs="仿宋_GB2312"/>
                <w:bCs/>
                <w:color w:val="auto"/>
                <w:sz w:val="24"/>
                <w:highlight w:val="none"/>
                <w:lang w:val="en-US" w:eastAsia="zh-CN"/>
              </w:rPr>
              <w:t>为</w:t>
            </w:r>
            <w:r>
              <w:rPr>
                <w:rFonts w:hint="eastAsia" w:ascii="仿宋_GB2312" w:hAnsi="仿宋_GB2312" w:eastAsia="仿宋_GB2312" w:cs="仿宋_GB2312"/>
                <w:bCs/>
                <w:color w:val="auto"/>
                <w:sz w:val="24"/>
                <w:highlight w:val="none"/>
              </w:rPr>
              <w:t>中标金额的5%（中型企业按本项目政府采购合同金额的2%收取，小微企业免收履约保证金）。</w:t>
            </w:r>
            <w:r>
              <w:rPr>
                <w:rFonts w:hint="eastAsia" w:ascii="仿宋_GB2312" w:hAnsi="仿宋_GB2312" w:eastAsia="仿宋_GB2312" w:cs="仿宋_GB2312"/>
                <w:bCs/>
                <w:color w:val="auto"/>
                <w:sz w:val="24"/>
                <w:highlight w:val="none"/>
                <w:lang w:val="en-US" w:eastAsia="zh-CN"/>
              </w:rPr>
              <w:t>若</w:t>
            </w:r>
            <w:r>
              <w:rPr>
                <w:rFonts w:hint="eastAsia" w:ascii="仿宋_GB2312" w:hAnsi="仿宋_GB2312" w:eastAsia="仿宋_GB2312" w:cs="仿宋_GB2312"/>
                <w:bCs/>
                <w:color w:val="auto"/>
                <w:sz w:val="24"/>
                <w:highlight w:val="none"/>
                <w:lang w:eastAsia="zh-CN"/>
              </w:rPr>
              <w:t>中标人</w:t>
            </w:r>
            <w:r>
              <w:rPr>
                <w:rFonts w:hint="eastAsia" w:ascii="仿宋_GB2312" w:hAnsi="仿宋_GB2312" w:eastAsia="仿宋_GB2312" w:cs="仿宋_GB2312"/>
                <w:bCs/>
                <w:color w:val="auto"/>
                <w:sz w:val="24"/>
                <w:highlight w:val="none"/>
              </w:rPr>
              <w:t>不按双方签订的合同履约，</w:t>
            </w:r>
            <w:r>
              <w:rPr>
                <w:rFonts w:hint="eastAsia" w:ascii="仿宋_GB2312" w:hAnsi="仿宋_GB2312" w:eastAsia="仿宋_GB2312" w:cs="仿宋_GB2312"/>
                <w:bCs/>
                <w:color w:val="auto"/>
                <w:sz w:val="24"/>
                <w:highlight w:val="none"/>
                <w:lang w:eastAsia="zh-CN"/>
              </w:rPr>
              <w:t>采购人</w:t>
            </w:r>
            <w:r>
              <w:rPr>
                <w:rFonts w:hint="eastAsia" w:ascii="仿宋_GB2312" w:hAnsi="仿宋_GB2312" w:eastAsia="仿宋_GB2312" w:cs="仿宋_GB2312"/>
                <w:bCs/>
                <w:color w:val="auto"/>
                <w:sz w:val="24"/>
                <w:highlight w:val="none"/>
              </w:rPr>
              <w:t>没收其全部履约保证金，并按合同相关条款追究</w:t>
            </w:r>
            <w:r>
              <w:rPr>
                <w:rFonts w:hint="eastAsia" w:ascii="仿宋_GB2312" w:hAnsi="仿宋_GB2312" w:eastAsia="仿宋_GB2312" w:cs="仿宋_GB2312"/>
                <w:bCs/>
                <w:color w:val="auto"/>
                <w:sz w:val="24"/>
                <w:highlight w:val="none"/>
                <w:lang w:eastAsia="zh-CN"/>
              </w:rPr>
              <w:t>中标人</w:t>
            </w:r>
            <w:r>
              <w:rPr>
                <w:rFonts w:hint="eastAsia" w:ascii="仿宋_GB2312" w:hAnsi="仿宋_GB2312" w:eastAsia="仿宋_GB2312" w:cs="仿宋_GB2312"/>
                <w:bCs/>
                <w:color w:val="auto"/>
                <w:sz w:val="24"/>
                <w:highlight w:val="none"/>
              </w:rPr>
              <w:t>责任。履约保证金在</w:t>
            </w:r>
            <w:r>
              <w:rPr>
                <w:rFonts w:hint="eastAsia" w:ascii="仿宋_GB2312" w:hAnsi="仿宋_GB2312" w:eastAsia="仿宋_GB2312" w:cs="仿宋_GB2312"/>
                <w:bCs/>
                <w:color w:val="auto"/>
                <w:sz w:val="24"/>
                <w:highlight w:val="none"/>
                <w:lang w:eastAsia="zh-CN"/>
              </w:rPr>
              <w:t>中标人</w:t>
            </w:r>
            <w:r>
              <w:rPr>
                <w:rFonts w:hint="eastAsia" w:ascii="仿宋_GB2312" w:hAnsi="仿宋_GB2312" w:eastAsia="仿宋_GB2312" w:cs="仿宋_GB2312"/>
                <w:bCs/>
                <w:color w:val="auto"/>
                <w:sz w:val="24"/>
                <w:highlight w:val="none"/>
              </w:rPr>
              <w:t>服务期届满</w:t>
            </w:r>
            <w:r>
              <w:rPr>
                <w:rFonts w:hint="eastAsia" w:ascii="仿宋_GB2312" w:hAnsi="仿宋_GB2312" w:eastAsia="仿宋_GB2312" w:cs="仿宋_GB2312"/>
                <w:color w:val="auto"/>
                <w:sz w:val="24"/>
                <w:highlight w:val="none"/>
                <w:lang w:eastAsia="zh-CN"/>
              </w:rPr>
              <w:t>，经采购人确认验收且考核合格之日</w:t>
            </w:r>
            <w:r>
              <w:rPr>
                <w:rFonts w:hint="eastAsia" w:ascii="仿宋_GB2312" w:hAnsi="仿宋_GB2312" w:eastAsia="仿宋_GB2312" w:cs="仿宋_GB2312"/>
                <w:color w:val="auto"/>
                <w:sz w:val="24"/>
                <w:highlight w:val="none"/>
                <w:lang w:val="en-US" w:eastAsia="zh-CN"/>
              </w:rPr>
              <w:t>后，</w:t>
            </w:r>
            <w:r>
              <w:rPr>
                <w:rFonts w:hint="eastAsia" w:ascii="仿宋_GB2312" w:hAnsi="仿宋_GB2312" w:eastAsia="仿宋_GB2312" w:cs="仿宋_GB2312"/>
                <w:color w:val="auto"/>
                <w:sz w:val="24"/>
                <w:highlight w:val="none"/>
                <w:lang w:eastAsia="zh-CN"/>
              </w:rPr>
              <w:t>并</w:t>
            </w:r>
            <w:r>
              <w:rPr>
                <w:rFonts w:hint="eastAsia" w:ascii="仿宋_GB2312" w:hAnsi="仿宋_GB2312" w:eastAsia="仿宋_GB2312" w:cs="仿宋_GB2312"/>
                <w:bCs/>
                <w:color w:val="auto"/>
                <w:sz w:val="24"/>
                <w:highlight w:val="none"/>
              </w:rPr>
              <w:t>且在收到中标人退回履约保证金函件后5个工作日内，由采购人办理履约保证金退还手续（不计息）。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2.履约保证金账户：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名  称：</w:t>
            </w:r>
            <w:r>
              <w:rPr>
                <w:rFonts w:hint="eastAsia" w:ascii="仿宋_GB2312" w:hAnsi="仿宋_GB2312" w:eastAsia="仿宋_GB2312" w:cs="仿宋_GB2312"/>
                <w:bCs/>
                <w:color w:val="auto"/>
                <w:sz w:val="24"/>
                <w:highlight w:val="none"/>
                <w:lang w:eastAsia="zh-CN"/>
              </w:rPr>
              <w:t>柳州职业技术学院</w:t>
            </w:r>
            <w:r>
              <w:rPr>
                <w:rFonts w:hint="eastAsia" w:ascii="仿宋_GB2312" w:hAnsi="仿宋_GB2312" w:eastAsia="仿宋_GB2312" w:cs="仿宋_GB2312"/>
                <w:bCs/>
                <w:color w:val="auto"/>
                <w:sz w:val="24"/>
                <w:highlight w:val="none"/>
              </w:rPr>
              <w:t>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开户行：交通银行西江支行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账  号：452060600018120020185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中标人自主选择以电汇、转账、支票、本票、汇票等非现金形式缴纳履约保证金，缴纳时请注明采购项目名称及项目编号。
</w:t>
            </w:r>
          </w:p>
          <w:p>
            <w:pPr>
              <w:spacing w:line="440" w:lineRule="exact"/>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中标人在履约保证金缴纳后，持银行回执复印件、中标通知书与采购人签订政府采购合同。
</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注：发生违约行为时，履约保证金</w:t>
            </w:r>
            <w:r>
              <w:rPr>
                <w:rFonts w:hint="eastAsia" w:ascii="仿宋_GB2312" w:hAnsi="仿宋_GB2312" w:eastAsia="仿宋_GB2312" w:cs="仿宋_GB2312"/>
                <w:bCs/>
                <w:color w:val="auto"/>
                <w:sz w:val="24"/>
                <w:highlight w:val="none"/>
                <w:lang w:eastAsia="zh-CN"/>
              </w:rPr>
              <w:t>可</w:t>
            </w:r>
            <w:r>
              <w:rPr>
                <w:rFonts w:hint="eastAsia" w:ascii="仿宋_GB2312" w:hAnsi="仿宋_GB2312" w:eastAsia="仿宋_GB2312" w:cs="仿宋_GB2312"/>
                <w:bCs/>
                <w:color w:val="auto"/>
                <w:sz w:val="24"/>
                <w:highlight w:val="none"/>
              </w:rPr>
              <w:t>作为违约金进行扣除。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27" w:rightChars="13"/>
              <w:rPr>
                <w:rFonts w:eastAsia="仿宋_GB2312" w:cs="仿宋_GB2312" w:asciiTheme="minorHAnsi" w:hAnsiTheme="minorHAnsi"/>
                <w:bCs/>
                <w:color w:val="auto"/>
                <w:sz w:val="24"/>
                <w:highlight w:val="none"/>
                <w:lang w:val="en-GB"/>
              </w:rPr>
            </w:pPr>
            <w:r>
              <w:rPr>
                <w:rFonts w:ascii="仿宋_GB2312" w:hAnsi="宋体" w:eastAsia="仿宋_GB2312" w:cs="宋体"/>
                <w:b/>
                <w:color w:val="auto"/>
                <w:kern w:val="0"/>
                <w:sz w:val="24"/>
                <w:highlight w:val="none"/>
              </w:rPr>
              <w:t>★</w:t>
            </w:r>
            <w:r>
              <w:rPr>
                <w:rFonts w:hint="eastAsia" w:ascii="仿宋_GB2312" w:hAnsi="宋体" w:eastAsia="仿宋_GB2312" w:cs="Arial"/>
                <w:b/>
                <w:bCs/>
                <w:color w:val="auto"/>
                <w:sz w:val="24"/>
                <w:szCs w:val="24"/>
                <w:highlight w:val="none"/>
              </w:rPr>
              <w:t>三、</w:t>
            </w:r>
            <w:r>
              <w:rPr>
                <w:rFonts w:hint="eastAsia" w:ascii="仿宋_GB2312" w:hAnsi="宋体" w:eastAsia="仿宋_GB2312"/>
                <w:b/>
                <w:color w:val="auto"/>
                <w:sz w:val="24"/>
                <w:highlight w:val="none"/>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ascii="仿宋_GB2312" w:hAnsi="仿宋_GB2312" w:eastAsia="仿宋_GB2312" w:cs="仿宋_GB2312"/>
                <w:bCs/>
                <w:color w:val="auto"/>
                <w:sz w:val="24"/>
                <w:highlight w:val="none"/>
              </w:rPr>
              <w:t>验收标准及要求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hint="eastAsia" w:ascii="仿宋_GB2312" w:hAnsi="仿宋_GB2312" w:eastAsia="仿宋_GB2312" w:cs="仿宋_GB2312"/>
                <w:bCs/>
                <w:color w:val="auto"/>
                <w:sz w:val="24"/>
                <w:highlight w:val="none"/>
                <w:lang w:eastAsia="zh-CN"/>
              </w:rPr>
            </w:pPr>
            <w:r>
              <w:rPr>
                <w:rFonts w:ascii="仿宋_GB2312" w:hAnsi="仿宋_GB2312" w:eastAsia="仿宋_GB2312" w:cs="仿宋_GB2312"/>
                <w:bCs/>
                <w:color w:val="auto"/>
                <w:sz w:val="24"/>
                <w:highlight w:val="none"/>
              </w:rPr>
              <w:t>1.</w:t>
            </w:r>
            <w:r>
              <w:rPr>
                <w:rFonts w:ascii="仿宋_GB2312" w:hAnsi="仿宋_GB2312" w:eastAsia="仿宋_GB2312" w:cs="仿宋_GB2312"/>
                <w:bCs/>
                <w:color w:val="auto"/>
                <w:sz w:val="24"/>
                <w:highlight w:val="none"/>
              </w:rPr>
              <w:tab/>
            </w:r>
            <w:r>
              <w:rPr>
                <w:rFonts w:ascii="仿宋_GB2312" w:hAnsi="仿宋_GB2312" w:eastAsia="仿宋_GB2312" w:cs="仿宋_GB2312"/>
                <w:bCs/>
                <w:color w:val="auto"/>
                <w:sz w:val="24"/>
                <w:highlight w:val="none"/>
              </w:rPr>
              <w:t>国家强制性标准及有关规定。
</w:t>
            </w:r>
          </w:p>
          <w:p>
            <w:pPr>
              <w:spacing w:line="440" w:lineRule="exact"/>
              <w:ind w:right="27" w:rightChars="13"/>
              <w:jc w:val="left"/>
              <w:rPr>
                <w:rFonts w:ascii="仿宋_GB2312" w:hAnsi="仿宋_GB2312" w:eastAsia="仿宋_GB2312" w:cs="仿宋_GB2312"/>
                <w:bCs/>
                <w:color w:val="auto"/>
                <w:sz w:val="24"/>
                <w:highlight w:val="none"/>
              </w:rPr>
            </w:pPr>
            <w:r>
              <w:rPr>
                <w:rFonts w:ascii="仿宋_GB2312" w:hAnsi="仿宋_GB2312" w:eastAsia="仿宋_GB2312" w:cs="仿宋_GB2312"/>
                <w:bCs/>
                <w:color w:val="auto"/>
                <w:sz w:val="24"/>
                <w:highlight w:val="none"/>
              </w:rPr>
              <w:t>2.</w:t>
            </w:r>
            <w:r>
              <w:rPr>
                <w:rFonts w:ascii="仿宋_GB2312" w:hAnsi="仿宋_GB2312" w:eastAsia="仿宋_GB2312" w:cs="仿宋_GB2312"/>
                <w:bCs/>
                <w:color w:val="auto"/>
                <w:sz w:val="24"/>
                <w:highlight w:val="none"/>
              </w:rPr>
              <w:tab/>
            </w:r>
            <w:r>
              <w:rPr>
                <w:rFonts w:ascii="仿宋_GB2312" w:hAnsi="仿宋_GB2312" w:eastAsia="仿宋_GB2312" w:cs="仿宋_GB2312"/>
                <w:bCs/>
                <w:color w:val="auto"/>
                <w:sz w:val="24"/>
                <w:highlight w:val="none"/>
              </w:rPr>
              <w:t>招标文件的采购需求及中标人投标文件响应的事项。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330" w:rightChars="-157"/>
              <w:rPr>
                <w:rFonts w:ascii="仿宋_GB2312" w:hAnsi="宋体" w:eastAsia="仿宋_GB2312" w:cs="Arial"/>
                <w:b/>
                <w:bCs/>
                <w:color w:val="auto"/>
                <w:sz w:val="24"/>
                <w:szCs w:val="24"/>
                <w:highlight w:val="none"/>
              </w:rPr>
            </w:pPr>
            <w:r>
              <w:rPr>
                <w:rFonts w:hint="eastAsia" w:ascii="仿宋_GB2312" w:hAnsi="宋体" w:eastAsia="仿宋_GB2312" w:cs="Arial"/>
                <w:b/>
                <w:bCs/>
                <w:color w:val="auto"/>
                <w:sz w:val="24"/>
                <w:szCs w:val="24"/>
                <w:highlight w:val="none"/>
              </w:rPr>
              <w:t>四、</w:t>
            </w:r>
            <w:r>
              <w:rPr>
                <w:rFonts w:hint="eastAsia" w:ascii="仿宋_GB2312" w:hAnsi="宋体" w:eastAsia="仿宋_GB2312"/>
                <w:b/>
                <w:color w:val="auto"/>
                <w:sz w:val="24"/>
                <w:highlight w:val="none"/>
              </w:rPr>
              <w:t>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ascii="仿宋_GB2312" w:hAnsi="仿宋_GB2312" w:eastAsia="仿宋_GB2312" w:cs="仿宋_GB2312"/>
                <w:bCs/>
                <w:color w:val="auto"/>
                <w:sz w:val="24"/>
                <w:highlight w:val="none"/>
              </w:rPr>
              <w:t>★政策性资格要求</w:t>
            </w:r>
          </w:p>
        </w:tc>
        <w:tc>
          <w:tcPr>
            <w:tcW w:w="7654" w:type="dxa"/>
            <w:tcBorders>
              <w:top w:val="single" w:color="auto" w:sz="4" w:space="0"/>
              <w:left w:val="single" w:color="auto" w:sz="4" w:space="0"/>
              <w:bottom w:val="single" w:color="auto" w:sz="4" w:space="0"/>
              <w:right w:val="single" w:color="auto" w:sz="4" w:space="0"/>
            </w:tcBorders>
            <w:vAlign w:val="center"/>
          </w:tcPr>
          <w:p>
            <w:pPr>
              <w:pStyle w:val="457"/>
              <w:spacing w:before="0" w:beforeAutospacing="0" w:after="0" w:afterAutospacing="0" w:line="460" w:lineRule="atLeast"/>
              <w:rPr>
                <w:rFonts w:ascii="仿宋_GB2312" w:eastAsia="仿宋_GB2312"/>
                <w:color w:val="auto"/>
                <w:highlight w:val="none"/>
              </w:rPr>
            </w:pPr>
            <w:r>
              <w:rPr>
                <w:rStyle w:val="458"/>
                <w:rFonts w:hint="eastAsia" w:ascii="仿宋_GB2312" w:eastAsia="仿宋_GB2312"/>
                <w:color w:val="auto"/>
                <w:highlight w:val="none"/>
              </w:rPr>
              <w:t>根据《政府采购促进中小企业发展管理办法》（财库〔2020〕46号），本项目属于预留份额给</w:t>
            </w:r>
            <w:r>
              <w:rPr>
                <w:rStyle w:val="458"/>
                <w:rFonts w:hint="eastAsia" w:ascii="仿宋_GB2312" w:eastAsia="仿宋_GB2312"/>
                <w:color w:val="auto"/>
                <w:highlight w:val="none"/>
                <w:lang w:eastAsia="zh-CN"/>
              </w:rPr>
              <w:t>中小</w:t>
            </w:r>
            <w:r>
              <w:rPr>
                <w:rStyle w:val="458"/>
                <w:rFonts w:hint="eastAsia" w:ascii="仿宋_GB2312" w:eastAsia="仿宋_GB2312"/>
                <w:color w:val="auto"/>
                <w:highlight w:val="none"/>
              </w:rPr>
              <w:t>企业采购项目，中标人为大型企业的，须将采购项目合同金额</w:t>
            </w:r>
            <w:r>
              <w:rPr>
                <w:rStyle w:val="458"/>
                <w:rFonts w:hint="eastAsia" w:ascii="仿宋_GB2312" w:eastAsia="仿宋_GB2312"/>
                <w:color w:val="auto"/>
                <w:highlight w:val="none"/>
                <w:lang w:val="en-US" w:eastAsia="zh-CN"/>
              </w:rPr>
              <w:t>40</w:t>
            </w:r>
            <w:r>
              <w:rPr>
                <w:rStyle w:val="458"/>
                <w:rFonts w:hint="eastAsia" w:ascii="仿宋_GB2312" w:eastAsia="仿宋_GB2312"/>
                <w:color w:val="auto"/>
                <w:highlight w:val="none"/>
              </w:rPr>
              <w:t>%</w:t>
            </w:r>
            <w:r>
              <w:rPr>
                <w:rStyle w:val="458"/>
                <w:rFonts w:hint="eastAsia" w:ascii="仿宋_GB2312" w:hAnsi="Times New Roman" w:eastAsia="仿宋_GB2312" w:cs="Times New Roman"/>
                <w:color w:val="auto"/>
                <w:highlight w:val="none"/>
                <w:lang w:eastAsia="zh-CN"/>
              </w:rPr>
              <w:t>以上</w:t>
            </w:r>
            <w:r>
              <w:rPr>
                <w:rStyle w:val="458"/>
                <w:rFonts w:hint="eastAsia" w:ascii="仿宋_GB2312" w:hAnsi="Times New Roman" w:eastAsia="仿宋_GB2312" w:cs="Times New Roman"/>
                <w:color w:val="auto"/>
                <w:highlight w:val="none"/>
              </w:rPr>
              <w:t>的</w:t>
            </w:r>
            <w:r>
              <w:rPr>
                <w:rStyle w:val="458"/>
                <w:rFonts w:hint="eastAsia" w:ascii="仿宋_GB2312" w:eastAsia="仿宋_GB2312"/>
                <w:color w:val="auto"/>
                <w:highlight w:val="none"/>
              </w:rPr>
              <w:t>份额分包给</w:t>
            </w:r>
            <w:r>
              <w:rPr>
                <w:rStyle w:val="458"/>
                <w:rFonts w:hint="eastAsia" w:ascii="仿宋_GB2312" w:eastAsia="仿宋_GB2312"/>
                <w:color w:val="auto"/>
                <w:highlight w:val="none"/>
                <w:lang w:eastAsia="zh-CN"/>
              </w:rPr>
              <w:t>中小</w:t>
            </w:r>
            <w:r>
              <w:rPr>
                <w:rStyle w:val="458"/>
                <w:rFonts w:hint="eastAsia" w:ascii="仿宋_GB2312" w:eastAsia="仿宋_GB2312"/>
                <w:color w:val="auto"/>
                <w:highlight w:val="none"/>
              </w:rPr>
              <w:t>企业实施，如中标人本身为</w:t>
            </w:r>
            <w:r>
              <w:rPr>
                <w:rStyle w:val="458"/>
                <w:rFonts w:hint="eastAsia" w:ascii="仿宋_GB2312" w:eastAsia="仿宋_GB2312"/>
                <w:color w:val="auto"/>
                <w:highlight w:val="none"/>
                <w:lang w:eastAsia="zh-CN"/>
              </w:rPr>
              <w:t>中</w:t>
            </w:r>
            <w:r>
              <w:rPr>
                <w:rStyle w:val="458"/>
                <w:rFonts w:hint="eastAsia" w:ascii="仿宋_GB2312" w:eastAsia="仿宋_GB2312"/>
                <w:color w:val="auto"/>
                <w:highlight w:val="none"/>
              </w:rPr>
              <w:t>小企业，提供所有标的服务均由自身承接，视同符合资格条件，无需再向</w:t>
            </w:r>
            <w:r>
              <w:rPr>
                <w:rStyle w:val="458"/>
                <w:rFonts w:hint="eastAsia" w:ascii="仿宋_GB2312" w:eastAsia="仿宋_GB2312"/>
                <w:color w:val="auto"/>
                <w:highlight w:val="none"/>
                <w:lang w:val="en-US" w:eastAsia="zh-CN"/>
              </w:rPr>
              <w:t>中</w:t>
            </w:r>
            <w:r>
              <w:rPr>
                <w:rStyle w:val="458"/>
                <w:rFonts w:hint="eastAsia" w:ascii="仿宋_GB2312" w:eastAsia="仿宋_GB2312"/>
                <w:color w:val="auto"/>
                <w:highlight w:val="none"/>
              </w:rPr>
              <w:t>小企业分包。</w:t>
            </w:r>
          </w:p>
          <w:p>
            <w:pPr>
              <w:pStyle w:val="457"/>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rPr>
              <w:t>符合《财政部、司法部关于政府采购支持监狱企业发展有关问题的通知》（财库〔2014〕68号）规定条件的监狱企业以及符合《财政部 民政部 中国残疾人联合会关于促进残疾人就业政府采购政策的通知》（财库〔2017〕141号）规定条件的残疾人福利单位视同小型、微型企业；</w:t>
            </w:r>
          </w:p>
          <w:p>
            <w:pPr>
              <w:pStyle w:val="457"/>
              <w:spacing w:before="0" w:beforeAutospacing="0" w:after="0" w:afterAutospacing="0" w:line="460" w:lineRule="atLeast"/>
              <w:rPr>
                <w:rFonts w:hint="eastAsia" w:ascii="仿宋_GB2312" w:eastAsia="仿宋_GB2312"/>
                <w:color w:val="auto"/>
                <w:highlight w:val="none"/>
              </w:rPr>
            </w:pPr>
            <w:r>
              <w:rPr>
                <w:rStyle w:val="458"/>
                <w:rFonts w:hint="eastAsia" w:ascii="仿宋_GB2312" w:eastAsia="仿宋_GB2312"/>
                <w:color w:val="auto"/>
                <w:highlight w:val="none"/>
              </w:rPr>
              <w:t>注：（1）采购标的对应的中小企业划分标准所属行业：</w:t>
            </w:r>
            <w:r>
              <w:rPr>
                <w:rStyle w:val="458"/>
                <w:rFonts w:hint="eastAsia" w:ascii="仿宋_GB2312" w:eastAsia="仿宋_GB2312"/>
                <w:color w:val="auto"/>
                <w:highlight w:val="none"/>
                <w:u w:val="single"/>
              </w:rPr>
              <w:t> 物业管理 ；</w:t>
            </w:r>
          </w:p>
          <w:p>
            <w:pPr>
              <w:pStyle w:val="457"/>
              <w:spacing w:before="0" w:beforeAutospacing="0" w:after="0" w:afterAutospacing="0" w:line="460" w:lineRule="atLeast"/>
              <w:rPr>
                <w:rFonts w:hint="eastAsia" w:ascii="仿宋_GB2312" w:eastAsia="仿宋_GB2312"/>
                <w:color w:val="auto"/>
                <w:highlight w:val="none"/>
              </w:rPr>
            </w:pPr>
            <w:r>
              <w:rPr>
                <w:rStyle w:val="458"/>
                <w:rFonts w:hint="eastAsia" w:ascii="仿宋_GB2312" w:eastAsia="仿宋_GB2312"/>
                <w:color w:val="auto"/>
                <w:highlight w:val="none"/>
              </w:rPr>
              <w:t>（2）中小企业划分有关标准根据工信部等部委发布的《关于印发中小企业划型标准规定的通知》（工信部联企业〔2011〕300号）确定；</w:t>
            </w:r>
          </w:p>
          <w:p>
            <w:pPr>
              <w:pStyle w:val="457"/>
              <w:spacing w:before="0" w:beforeAutospacing="0" w:after="0" w:afterAutospacing="0" w:line="460" w:lineRule="atLeast"/>
              <w:rPr>
                <w:rFonts w:hint="eastAsia" w:ascii="仿宋_GB2312" w:eastAsia="仿宋_GB2312"/>
                <w:color w:val="auto"/>
                <w:highlight w:val="none"/>
              </w:rPr>
            </w:pPr>
            <w:r>
              <w:rPr>
                <w:rStyle w:val="458"/>
                <w:rFonts w:hint="eastAsia" w:ascii="仿宋_GB2312" w:eastAsia="仿宋_GB2312"/>
                <w:color w:val="auto"/>
                <w:highlight w:val="none"/>
              </w:rPr>
              <w:t>（3）为方便投标人识别企业规模类型，投标人可使用工业和信息化部组织开发的中小企业规模类型自测小程序生成企业规模类型测试结果。</w:t>
            </w:r>
          </w:p>
          <w:p>
            <w:pPr>
              <w:pStyle w:val="457"/>
              <w:spacing w:before="0" w:beforeAutospacing="0" w:after="0" w:afterAutospacing="0" w:line="460" w:lineRule="atLeast"/>
              <w:rPr>
                <w:rFonts w:hint="eastAsia" w:ascii="仿宋_GB2312" w:eastAsia="仿宋_GB2312"/>
                <w:color w:val="auto"/>
                <w:highlight w:val="none"/>
              </w:rPr>
            </w:pPr>
            <w:r>
              <w:rPr>
                <w:rStyle w:val="458"/>
                <w:rFonts w:hint="eastAsia" w:ascii="仿宋_GB2312" w:eastAsia="仿宋_GB2312"/>
                <w:color w:val="auto"/>
                <w:highlight w:val="none"/>
              </w:rPr>
              <w:t>自测小程序链接：https://baosong.miit.gov.cn/ScaleTest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ascii="仿宋_GB2312" w:hAnsi="仿宋_GB2312" w:eastAsia="仿宋_GB2312" w:cs="仿宋_GB2312"/>
                <w:bCs/>
                <w:color w:val="auto"/>
                <w:sz w:val="24"/>
                <w:highlight w:val="none"/>
              </w:rPr>
              <w:t xml:space="preserve">质量管理、企业信用要求（如有） </w:t>
            </w:r>
          </w:p>
        </w:tc>
        <w:tc>
          <w:tcPr>
            <w:tcW w:w="7654" w:type="dxa"/>
            <w:tcBorders>
              <w:top w:val="single" w:color="auto" w:sz="4" w:space="0"/>
              <w:left w:val="single" w:color="auto" w:sz="4" w:space="0"/>
              <w:bottom w:val="single" w:color="auto" w:sz="4" w:space="0"/>
              <w:right w:val="single" w:color="auto" w:sz="4" w:space="0"/>
            </w:tcBorders>
            <w:vAlign w:val="center"/>
          </w:tcPr>
          <w:p>
            <w:pPr>
              <w:pStyle w:val="478"/>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lang w:val="en-US" w:eastAsia="zh-CN"/>
              </w:rPr>
              <w:t>1</w:t>
            </w:r>
            <w:r>
              <w:rPr>
                <w:rFonts w:hint="eastAsia" w:ascii="仿宋_GB2312" w:eastAsia="仿宋_GB2312"/>
                <w:color w:val="auto"/>
                <w:highlight w:val="none"/>
              </w:rPr>
              <w:t>.投标人</w:t>
            </w:r>
            <w:r>
              <w:rPr>
                <w:rFonts w:hint="eastAsia" w:ascii="仿宋_GB2312" w:eastAsia="仿宋_GB2312"/>
                <w:color w:val="auto"/>
                <w:highlight w:val="none"/>
                <w:lang w:val="en-US" w:eastAsia="zh-CN"/>
              </w:rPr>
              <w:t>具备有效</w:t>
            </w:r>
            <w:r>
              <w:rPr>
                <w:rFonts w:hint="eastAsia" w:ascii="仿宋_GB2312" w:eastAsia="仿宋_GB2312"/>
                <w:color w:val="auto"/>
                <w:highlight w:val="none"/>
              </w:rPr>
              <w:t>通过质量管理体系认证；</w:t>
            </w:r>
          </w:p>
          <w:p>
            <w:pPr>
              <w:pStyle w:val="478"/>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lang w:val="en-US" w:eastAsia="zh-CN"/>
              </w:rPr>
              <w:t>2</w:t>
            </w:r>
            <w:r>
              <w:rPr>
                <w:rFonts w:hint="eastAsia" w:ascii="仿宋_GB2312" w:eastAsia="仿宋_GB2312"/>
                <w:color w:val="auto"/>
                <w:highlight w:val="none"/>
              </w:rPr>
              <w:t>.投标人</w:t>
            </w:r>
            <w:r>
              <w:rPr>
                <w:rFonts w:hint="eastAsia" w:ascii="仿宋_GB2312" w:eastAsia="仿宋_GB2312"/>
                <w:color w:val="auto"/>
                <w:highlight w:val="none"/>
                <w:lang w:val="en-US" w:eastAsia="zh-CN"/>
              </w:rPr>
              <w:t>具备有效</w:t>
            </w:r>
            <w:r>
              <w:rPr>
                <w:rFonts w:hint="eastAsia" w:ascii="仿宋_GB2312" w:eastAsia="仿宋_GB2312"/>
                <w:color w:val="auto"/>
                <w:highlight w:val="none"/>
              </w:rPr>
              <w:t>通过职业健康安全管理体系认证；</w:t>
            </w:r>
          </w:p>
          <w:p>
            <w:pPr>
              <w:pStyle w:val="478"/>
              <w:spacing w:before="0" w:beforeAutospacing="0" w:after="0" w:afterAutospacing="0" w:line="460" w:lineRule="atLeast"/>
              <w:rPr>
                <w:rFonts w:hint="eastAsia" w:ascii="仿宋_GB2312" w:eastAsia="仿宋_GB2312"/>
                <w:color w:val="auto"/>
                <w:highlight w:val="none"/>
                <w:lang w:eastAsia="zh-CN"/>
              </w:rPr>
            </w:pPr>
            <w:r>
              <w:rPr>
                <w:rFonts w:hint="eastAsia" w:ascii="仿宋_GB2312" w:eastAsia="仿宋_GB2312"/>
                <w:color w:val="auto"/>
                <w:highlight w:val="none"/>
                <w:lang w:val="en-US" w:eastAsia="zh-CN"/>
              </w:rPr>
              <w:t>3</w:t>
            </w:r>
            <w:r>
              <w:rPr>
                <w:rFonts w:hint="eastAsia" w:ascii="仿宋_GB2312" w:eastAsia="仿宋_GB2312"/>
                <w:color w:val="auto"/>
                <w:highlight w:val="none"/>
              </w:rPr>
              <w:t>.投标人</w:t>
            </w:r>
            <w:r>
              <w:rPr>
                <w:rFonts w:hint="eastAsia" w:ascii="仿宋_GB2312" w:eastAsia="仿宋_GB2312"/>
                <w:color w:val="auto"/>
                <w:highlight w:val="none"/>
                <w:lang w:val="en-US" w:eastAsia="zh-CN"/>
              </w:rPr>
              <w:t>具备有效</w:t>
            </w:r>
            <w:r>
              <w:rPr>
                <w:rFonts w:hint="eastAsia" w:ascii="仿宋_GB2312" w:eastAsia="仿宋_GB2312"/>
                <w:color w:val="auto"/>
                <w:highlight w:val="none"/>
              </w:rPr>
              <w:t>通过环境管理体系认证</w:t>
            </w:r>
            <w:r>
              <w:rPr>
                <w:rFonts w:hint="eastAsia" w:ascii="仿宋_GB2312" w:eastAsia="仿宋_GB2312"/>
                <w:color w:val="auto"/>
                <w:highlight w:val="none"/>
                <w:lang w:eastAsia="zh-CN"/>
              </w:rPr>
              <w:t>。</w:t>
            </w:r>
          </w:p>
          <w:p>
            <w:pPr>
              <w:pStyle w:val="478"/>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lang w:val="en-US" w:eastAsia="zh-CN"/>
              </w:rPr>
              <w:t>4</w:t>
            </w:r>
            <w:r>
              <w:rPr>
                <w:rFonts w:hint="eastAsia" w:ascii="仿宋_GB2312" w:eastAsia="仿宋_GB2312"/>
                <w:color w:val="auto"/>
                <w:highlight w:val="none"/>
              </w:rPr>
              <w:t>.投标人</w:t>
            </w:r>
            <w:r>
              <w:rPr>
                <w:rFonts w:hint="eastAsia" w:ascii="仿宋_GB2312" w:eastAsia="仿宋_GB2312"/>
                <w:color w:val="auto"/>
                <w:highlight w:val="none"/>
                <w:lang w:val="en-US" w:eastAsia="zh-CN"/>
              </w:rPr>
              <w:t>具备有效</w:t>
            </w:r>
            <w:r>
              <w:rPr>
                <w:rFonts w:hint="eastAsia" w:ascii="仿宋_GB2312" w:eastAsia="仿宋_GB2312"/>
                <w:color w:val="auto"/>
                <w:highlight w:val="none"/>
              </w:rPr>
              <w:t>通过生活垃圾分类能力认证。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ascii="仿宋_GB2312" w:hAnsi="仿宋_GB2312" w:eastAsia="仿宋_GB2312" w:cs="仿宋_GB2312"/>
                <w:bCs/>
                <w:color w:val="auto"/>
                <w:sz w:val="24"/>
                <w:highlight w:val="none"/>
              </w:rPr>
              <w:t xml:space="preserve">能力或业绩要求（如有） </w:t>
            </w:r>
          </w:p>
        </w:tc>
        <w:tc>
          <w:tcPr>
            <w:tcW w:w="7654" w:type="dxa"/>
            <w:tcBorders>
              <w:top w:val="single" w:color="auto" w:sz="4" w:space="0"/>
              <w:left w:val="single" w:color="auto" w:sz="4" w:space="0"/>
              <w:bottom w:val="single" w:color="auto" w:sz="4" w:space="0"/>
              <w:right w:val="single" w:color="auto" w:sz="4" w:space="0"/>
            </w:tcBorders>
            <w:vAlign w:val="center"/>
          </w:tcPr>
          <w:p>
            <w:pPr>
              <w:pStyle w:val="498"/>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投标人2020年1月1日至今承接的</w:t>
            </w:r>
            <w:r>
              <w:rPr>
                <w:rFonts w:hint="eastAsia" w:ascii="仿宋_GB2312" w:eastAsia="仿宋_GB2312"/>
                <w:color w:val="auto"/>
                <w:highlight w:val="none"/>
                <w:lang w:val="en-US" w:eastAsia="zh-CN"/>
              </w:rPr>
              <w:t>同类物业</w:t>
            </w:r>
            <w:r>
              <w:rPr>
                <w:rFonts w:hint="eastAsia" w:ascii="仿宋_GB2312" w:eastAsia="仿宋_GB2312"/>
                <w:color w:val="auto"/>
                <w:highlight w:val="none"/>
              </w:rPr>
              <w:t>服务项目</w:t>
            </w:r>
            <w:r>
              <w:rPr>
                <w:rFonts w:hint="eastAsia" w:ascii="仿宋_GB2312" w:eastAsia="仿宋_GB2312"/>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jc w:val="center"/>
              <w:rPr>
                <w:rFonts w:ascii="仿宋_GB2312" w:hAnsi="仿宋_GB2312" w:eastAsia="仿宋_GB2312" w:cs="仿宋_GB2312"/>
                <w:bCs/>
                <w:color w:val="auto"/>
                <w:sz w:val="24"/>
                <w:highlight w:val="none"/>
              </w:rPr>
            </w:pPr>
            <w:r>
              <w:rPr>
                <w:rFonts w:ascii="仿宋_GB2312" w:hAnsi="仿宋_GB2312" w:eastAsia="仿宋_GB2312" w:cs="仿宋_GB2312"/>
                <w:bCs/>
                <w:color w:val="auto"/>
                <w:sz w:val="24"/>
                <w:highlight w:val="none"/>
              </w:rPr>
              <w:t xml:space="preserve">人员要求（如有） </w:t>
            </w:r>
          </w:p>
        </w:tc>
        <w:tc>
          <w:tcPr>
            <w:tcW w:w="7654" w:type="dxa"/>
            <w:tcBorders>
              <w:top w:val="single" w:color="auto" w:sz="4" w:space="0"/>
              <w:left w:val="single" w:color="auto" w:sz="4" w:space="0"/>
              <w:bottom w:val="single" w:color="auto" w:sz="4" w:space="0"/>
              <w:right w:val="single" w:color="auto" w:sz="4" w:space="0"/>
            </w:tcBorders>
            <w:vAlign w:val="center"/>
          </w:tcPr>
          <w:p>
            <w:pPr>
              <w:pStyle w:val="814"/>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rPr>
              <w:t>详见第</w:t>
            </w:r>
            <w:r>
              <w:rPr>
                <w:rFonts w:hint="eastAsia" w:ascii="仿宋_GB2312" w:eastAsia="仿宋_GB2312"/>
                <w:color w:val="auto"/>
                <w:highlight w:val="none"/>
                <w:lang w:eastAsia="zh-CN"/>
              </w:rPr>
              <w:t>四</w:t>
            </w:r>
            <w:r>
              <w:rPr>
                <w:rFonts w:hint="eastAsia" w:ascii="仿宋_GB2312" w:eastAsia="仿宋_GB2312"/>
                <w:color w:val="auto"/>
                <w:highlight w:val="none"/>
              </w:rPr>
              <w:t xml:space="preserve">章 </w:t>
            </w:r>
            <w:r>
              <w:rPr>
                <w:rFonts w:hint="eastAsia" w:ascii="仿宋_GB2312" w:eastAsia="仿宋_GB2312"/>
                <w:color w:val="auto"/>
                <w:highlight w:val="none"/>
                <w:lang w:eastAsia="zh-CN"/>
              </w:rPr>
              <w:t>评标方法及评标标准</w:t>
            </w:r>
            <w:r>
              <w:rPr>
                <w:rFonts w:hint="eastAsia" w:ascii="仿宋_GB2312" w:eastAsia="仿宋_GB2312"/>
                <w:color w:val="auto"/>
                <w:highlight w:val="none"/>
              </w:rPr>
              <w:t>中的“人员配置方案”要求。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330" w:rightChars="-157"/>
              <w:rPr>
                <w:rFonts w:ascii="仿宋_GB2312" w:hAnsi="宋体" w:eastAsia="仿宋_GB2312" w:cs="宋体"/>
                <w:bCs/>
                <w:color w:val="auto"/>
                <w:sz w:val="24"/>
                <w:highlight w:val="none"/>
              </w:rPr>
            </w:pPr>
            <w:r>
              <w:rPr>
                <w:rFonts w:hint="eastAsia" w:ascii="仿宋_GB2312" w:hAnsi="宋体" w:eastAsia="仿宋_GB2312"/>
                <w:b/>
                <w:bCs/>
                <w:color w:val="auto"/>
                <w:sz w:val="24"/>
                <w:highlight w:val="none"/>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107" w:rightChars="-51"/>
              <w:jc w:val="left"/>
              <w:rPr>
                <w:rFonts w:ascii="仿宋_GB2312" w:hAnsi="宋体" w:eastAsia="仿宋_GB2312" w:cs="Arial"/>
                <w:bCs/>
                <w:color w:val="auto"/>
                <w:sz w:val="24"/>
                <w:highlight w:val="none"/>
              </w:rPr>
            </w:pPr>
            <w:r>
              <w:rPr>
                <w:rFonts w:hint="eastAsia" w:ascii="仿宋_GB2312" w:hAnsi="宋体" w:eastAsia="仿宋_GB2312" w:cs="Arial"/>
                <w:bCs/>
                <w:color w:val="auto"/>
                <w:sz w:val="24"/>
                <w:highlight w:val="none"/>
              </w:rPr>
              <w:t>其他要求</w:t>
            </w:r>
          </w:p>
        </w:tc>
        <w:tc>
          <w:tcPr>
            <w:tcW w:w="7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left"/>
              <w:textAlignment w:val="auto"/>
              <w:rPr>
                <w:rFonts w:hint="eastAsia" w:ascii="仿宋_GB2312" w:eastAsia="仿宋_GB2312"/>
                <w:color w:val="auto"/>
                <w:sz w:val="24"/>
                <w:highlight w:val="none"/>
              </w:rPr>
            </w:pPr>
            <w:r>
              <w:rPr>
                <w:rFonts w:hint="eastAsia" w:ascii="仿宋_GB2312" w:hAnsi="宋体" w:eastAsia="仿宋_GB2312" w:cs="Arial"/>
                <w:bCs/>
                <w:color w:val="auto"/>
                <w:sz w:val="24"/>
                <w:highlight w:val="none"/>
              </w:rPr>
              <w:t xml:space="preserve"> </w:t>
            </w:r>
            <w:r>
              <w:rPr>
                <w:rFonts w:hint="eastAsia" w:ascii="仿宋_GB2312" w:eastAsia="仿宋_GB2312"/>
                <w:color w:val="auto"/>
                <w:sz w:val="24"/>
                <w:highlight w:val="none"/>
              </w:rPr>
              <w:t>1.</w:t>
            </w:r>
            <w:r>
              <w:rPr>
                <w:rFonts w:hint="eastAsia" w:ascii="仿宋_GB2312" w:eastAsia="仿宋_GB2312"/>
                <w:color w:val="auto"/>
                <w:sz w:val="24"/>
                <w:highlight w:val="none"/>
                <w:lang w:eastAsia="zh-CN"/>
              </w:rPr>
              <w:t>踏勘：</w:t>
            </w:r>
            <w:r>
              <w:rPr>
                <w:rFonts w:hint="eastAsia" w:ascii="仿宋_GB2312" w:eastAsia="仿宋_GB2312"/>
                <w:color w:val="auto"/>
                <w:sz w:val="24"/>
                <w:highlight w:val="none"/>
              </w:rPr>
              <w:t>为便于投标人详细了解本项目服务场地设置现场勘察，投标人应在报价、项目服务方案中给予充分考虑。</w:t>
            </w:r>
          </w:p>
          <w:p>
            <w:pPr>
              <w:keepNext w:val="0"/>
              <w:keepLines w:val="0"/>
              <w:pageBreakBefore w:val="0"/>
              <w:kinsoku/>
              <w:wordWrap/>
              <w:overflowPunct/>
              <w:topLinePunct w:val="0"/>
              <w:autoSpaceDE/>
              <w:autoSpaceDN/>
              <w:bidi w:val="0"/>
              <w:adjustRightInd/>
              <w:spacing w:line="420" w:lineRule="exact"/>
              <w:jc w:val="left"/>
              <w:textAlignment w:val="auto"/>
              <w:rPr>
                <w:rFonts w:ascii="仿宋_GB2312" w:eastAsia="仿宋_GB2312"/>
                <w:b/>
                <w:color w:val="auto"/>
                <w:sz w:val="24"/>
                <w:highlight w:val="none"/>
              </w:rPr>
            </w:pPr>
            <w:r>
              <w:rPr>
                <w:rFonts w:hint="eastAsia" w:ascii="仿宋_GB2312" w:eastAsia="仿宋_GB2312"/>
                <w:b w:val="0"/>
                <w:bCs/>
                <w:color w:val="auto"/>
                <w:sz w:val="24"/>
                <w:highlight w:val="none"/>
                <w:lang w:eastAsia="zh-CN"/>
              </w:rPr>
              <w:t>（</w:t>
            </w:r>
            <w:r>
              <w:rPr>
                <w:rFonts w:hint="eastAsia" w:ascii="仿宋_GB2312" w:eastAsia="仿宋_GB2312"/>
                <w:b w:val="0"/>
                <w:bCs/>
                <w:color w:val="auto"/>
                <w:sz w:val="24"/>
                <w:highlight w:val="none"/>
                <w:lang w:val="en-US" w:eastAsia="zh-CN"/>
              </w:rPr>
              <w:t>1</w:t>
            </w:r>
            <w:r>
              <w:rPr>
                <w:rFonts w:hint="eastAsia" w:ascii="仿宋_GB2312" w:eastAsia="仿宋_GB2312"/>
                <w:b w:val="0"/>
                <w:bCs/>
                <w:color w:val="auto"/>
                <w:sz w:val="24"/>
                <w:highlight w:val="none"/>
                <w:lang w:eastAsia="zh-CN"/>
              </w:rPr>
              <w:t>）</w:t>
            </w:r>
            <w:r>
              <w:rPr>
                <w:rFonts w:hint="eastAsia" w:ascii="仿宋_GB2312" w:eastAsia="仿宋_GB2312"/>
                <w:color w:val="auto"/>
                <w:sz w:val="24"/>
                <w:highlight w:val="none"/>
              </w:rPr>
              <w:t>踏勘时间：请于</w:t>
            </w:r>
            <w:r>
              <w:rPr>
                <w:rFonts w:hint="eastAsia" w:ascii="仿宋_GB2312" w:eastAsia="仿宋_GB2312"/>
                <w:color w:val="auto"/>
                <w:sz w:val="24"/>
                <w:highlight w:val="none"/>
                <w:lang w:eastAsia="zh-CN"/>
              </w:rPr>
              <w:t>202</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lang w:eastAsia="zh-CN"/>
              </w:rPr>
              <w:t>年</w:t>
            </w:r>
            <w:r>
              <w:rPr>
                <w:rFonts w:hint="eastAsia" w:ascii="仿宋_GB2312" w:eastAsia="仿宋_GB2312"/>
                <w:color w:val="auto"/>
                <w:sz w:val="24"/>
                <w:highlight w:val="none"/>
              </w:rPr>
              <w:t>XX月XX日10:00前到达现场；</w:t>
            </w:r>
          </w:p>
          <w:p>
            <w:pPr>
              <w:keepNext w:val="0"/>
              <w:keepLines w:val="0"/>
              <w:pageBreakBefore w:val="0"/>
              <w:kinsoku/>
              <w:wordWrap/>
              <w:overflowPunct/>
              <w:topLinePunct w:val="0"/>
              <w:autoSpaceDE/>
              <w:autoSpaceDN/>
              <w:bidi w:val="0"/>
              <w:adjustRightInd/>
              <w:spacing w:line="420" w:lineRule="exact"/>
              <w:ind w:firstLine="0" w:firstLineChars="0"/>
              <w:jc w:val="left"/>
              <w:textAlignment w:val="auto"/>
              <w:rPr>
                <w:rFonts w:hint="default" w:ascii="仿宋_GB2312" w:eastAsia="仿宋_GB2312"/>
                <w:b/>
                <w:color w:val="auto"/>
                <w:sz w:val="24"/>
                <w:highlight w:val="none"/>
                <w:lang w:val="en-US" w:eastAsia="zh-CN"/>
              </w:rPr>
            </w:pPr>
            <w:r>
              <w:rPr>
                <w:rFonts w:hint="eastAsia" w:ascii="仿宋_GB2312" w:eastAsia="仿宋_GB2312"/>
                <w:color w:val="auto"/>
                <w:sz w:val="24"/>
                <w:highlight w:val="none"/>
                <w:lang w:eastAsia="zh-CN"/>
              </w:rPr>
              <w:t>（</w:t>
            </w: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踏勘地点：</w:t>
            </w:r>
            <w:r>
              <w:rPr>
                <w:rFonts w:hint="eastAsia" w:ascii="仿宋_GB2312" w:hAnsi="仿宋_GB2312" w:eastAsia="仿宋_GB2312" w:cs="仿宋_GB2312"/>
                <w:bCs/>
                <w:color w:val="auto"/>
                <w:sz w:val="24"/>
                <w:highlight w:val="none"/>
              </w:rPr>
              <w:t>广西柳州市官塘大道</w:t>
            </w:r>
            <w:r>
              <w:rPr>
                <w:rFonts w:hint="eastAsia" w:ascii="仿宋_GB2312" w:hAnsi="仿宋_GB2312" w:eastAsia="仿宋_GB2312" w:cs="仿宋_GB2312"/>
                <w:bCs/>
                <w:color w:val="auto"/>
                <w:sz w:val="24"/>
                <w:highlight w:val="none"/>
                <w:lang w:eastAsia="zh-CN"/>
              </w:rPr>
              <w:t>柳州职业技术学院</w:t>
            </w:r>
            <w:r>
              <w:rPr>
                <w:rFonts w:hint="eastAsia" w:ascii="仿宋_GB2312" w:hAnsi="仿宋_GB2312" w:eastAsia="仿宋_GB2312" w:cs="仿宋_GB2312"/>
                <w:bCs/>
                <w:color w:val="auto"/>
                <w:sz w:val="24"/>
                <w:highlight w:val="none"/>
              </w:rPr>
              <w:t>校区</w:t>
            </w:r>
            <w:r>
              <w:rPr>
                <w:rFonts w:hint="eastAsia" w:ascii="仿宋_GB2312" w:hAnsi="仿宋_GB2312" w:eastAsia="仿宋_GB2312" w:cs="仿宋_GB2312"/>
                <w:color w:val="auto"/>
                <w:sz w:val="24"/>
                <w:highlight w:val="none"/>
                <w:lang w:val="en-US" w:eastAsia="zh-CN"/>
              </w:rPr>
              <w:t>；</w:t>
            </w:r>
          </w:p>
          <w:p>
            <w:pPr>
              <w:keepNext w:val="0"/>
              <w:keepLines w:val="0"/>
              <w:pageBreakBefore w:val="0"/>
              <w:kinsoku/>
              <w:wordWrap/>
              <w:overflowPunct/>
              <w:topLinePunct w:val="0"/>
              <w:autoSpaceDE/>
              <w:autoSpaceDN/>
              <w:bidi w:val="0"/>
              <w:adjustRightInd/>
              <w:snapToGrid w:val="0"/>
              <w:spacing w:line="420" w:lineRule="exact"/>
              <w:ind w:firstLine="0" w:firstLineChars="0"/>
              <w:jc w:val="left"/>
              <w:textAlignment w:val="auto"/>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eastAsia="zh-CN"/>
              </w:rPr>
              <w:t>（</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联系人及电话：梁小凤</w:t>
            </w:r>
            <w:r>
              <w:rPr>
                <w:rFonts w:hint="eastAsia" w:ascii="仿宋_GB2312" w:eastAsia="仿宋_GB2312"/>
                <w:color w:val="auto"/>
                <w:sz w:val="24"/>
                <w:highlight w:val="none"/>
                <w:lang w:val="en-US" w:eastAsia="zh-CN"/>
              </w:rPr>
              <w:t>，18007720539；</w:t>
            </w:r>
          </w:p>
          <w:p>
            <w:pPr>
              <w:spacing w:line="440" w:lineRule="exact"/>
              <w:ind w:right="27" w:rightChars="13"/>
              <w:jc w:val="left"/>
              <w:rPr>
                <w:rFonts w:ascii="仿宋_GB2312" w:hAnsi="宋体" w:eastAsia="仿宋_GB2312" w:cs="Arial"/>
                <w:bCs/>
                <w:color w:val="auto"/>
                <w:sz w:val="24"/>
                <w:highlight w:val="none"/>
              </w:rPr>
            </w:pPr>
            <w:r>
              <w:rPr>
                <w:rFonts w:hint="eastAsia" w:ascii="仿宋_GB2312" w:eastAsia="仿宋_GB2312"/>
                <w:color w:val="auto"/>
                <w:sz w:val="24"/>
                <w:highlight w:val="none"/>
                <w:lang w:val="en-US" w:eastAsia="zh-CN"/>
              </w:rPr>
              <w:t>（4）</w:t>
            </w:r>
            <w:r>
              <w:rPr>
                <w:rFonts w:hint="eastAsia" w:ascii="仿宋_GB2312" w:hAnsi="宋体" w:eastAsia="仿宋_GB2312"/>
                <w:color w:val="auto"/>
                <w:sz w:val="24"/>
                <w:highlight w:val="none"/>
              </w:rPr>
              <w:t>请按踏勘时间在踏勘地点集合，采购人将统一带领前来踏勘的投标人前往现场勘察</w:t>
            </w:r>
            <w:r>
              <w:rPr>
                <w:rFonts w:hint="eastAsia" w:ascii="仿宋_GB2312" w:hAnsi="宋体" w:eastAsia="仿宋_GB2312"/>
                <w:color w:val="auto"/>
                <w:sz w:val="24"/>
                <w:highlight w:val="none"/>
                <w:lang w:eastAsia="zh-CN"/>
              </w:rPr>
              <w:t>，</w:t>
            </w:r>
            <w:r>
              <w:rPr>
                <w:rFonts w:hint="eastAsia" w:ascii="仿宋_GB2312" w:eastAsia="仿宋_GB2312"/>
                <w:color w:val="auto"/>
                <w:sz w:val="24"/>
                <w:highlight w:val="none"/>
              </w:rPr>
              <w:t>逾期不予接待</w:t>
            </w:r>
            <w:r>
              <w:rPr>
                <w:rFonts w:hint="eastAsia" w:ascii="仿宋_GB2312" w:hAnsi="宋体" w:eastAsia="仿宋_GB2312"/>
                <w:color w:val="auto"/>
                <w:sz w:val="24"/>
                <w:highlight w:val="none"/>
                <w:lang w:eastAsia="zh-CN"/>
              </w:rPr>
              <w:t>。</w:t>
            </w:r>
          </w:p>
        </w:tc>
      </w:tr>
    </w:tbl>
    <w:p>
      <w:pPr>
        <w:spacing w:line="360" w:lineRule="auto"/>
        <w:rPr>
          <w:rFonts w:ascii="仿宋_GB2312" w:eastAsia="仿宋_GB2312"/>
          <w:color w:val="auto"/>
          <w:sz w:val="24"/>
          <w:highlight w:val="none"/>
        </w:rPr>
      </w:pPr>
    </w:p>
    <w:p>
      <w:pPr>
        <w:rPr>
          <w:color w:val="auto"/>
          <w:highlight w:val="none"/>
        </w:rPr>
      </w:pPr>
    </w:p>
    <w:p>
      <w:pPr>
        <w:spacing w:line="360" w:lineRule="auto"/>
        <w:jc w:val="left"/>
        <w:rPr>
          <w:rFonts w:ascii="仿宋_GB2312" w:hAnsi="Calibri" w:eastAsia="仿宋_GB2312"/>
          <w:color w:val="auto"/>
          <w:sz w:val="24"/>
          <w:highlight w:val="none"/>
        </w:rPr>
      </w:pPr>
      <w:r>
        <w:rPr>
          <w:rFonts w:ascii="仿宋_GB2312" w:hAnsi="仿宋_GB2312" w:eastAsia="仿宋_GB2312" w:cs="仿宋_GB2312"/>
          <w:bCs/>
          <w:color w:val="auto"/>
          <w:sz w:val="24"/>
          <w:highlight w:val="none"/>
        </w:rPr>
        <w:t>★</w:t>
      </w:r>
      <w:r>
        <w:rPr>
          <w:rFonts w:hint="eastAsia" w:ascii="仿宋_GB2312" w:hAnsi="Calibri" w:eastAsia="仿宋_GB2312"/>
          <w:b/>
          <w:bCs/>
          <w:color w:val="auto"/>
          <w:sz w:val="24"/>
          <w:highlight w:val="none"/>
        </w:rPr>
        <w:t>附件1：</w:t>
      </w:r>
      <w:r>
        <w:rPr>
          <w:rFonts w:hint="eastAsia" w:ascii="仿宋_GB2312" w:hAnsi="Calibri" w:eastAsia="仿宋_GB2312"/>
          <w:color w:val="auto"/>
          <w:sz w:val="24"/>
          <w:highlight w:val="none"/>
          <w:lang w:eastAsia="zh-CN"/>
        </w:rPr>
        <w:t>柳州职业技术学院</w:t>
      </w:r>
      <w:r>
        <w:rPr>
          <w:rFonts w:hint="eastAsia" w:ascii="仿宋_GB2312" w:hAnsi="Calibri" w:eastAsia="仿宋_GB2312"/>
          <w:color w:val="auto"/>
          <w:sz w:val="24"/>
          <w:highlight w:val="none"/>
        </w:rPr>
        <w:t>物业服务工作月度考核汇总评分表</w:t>
      </w:r>
    </w:p>
    <w:tbl>
      <w:tblPr>
        <w:tblStyle w:val="48"/>
        <w:tblW w:w="0" w:type="auto"/>
        <w:tblInd w:w="118" w:type="dxa"/>
        <w:tblLayout w:type="autofit"/>
        <w:tblCellMar>
          <w:top w:w="0" w:type="dxa"/>
          <w:left w:w="108" w:type="dxa"/>
          <w:bottom w:w="0" w:type="dxa"/>
          <w:right w:w="108" w:type="dxa"/>
        </w:tblCellMar>
      </w:tblPr>
      <w:tblGrid>
        <w:gridCol w:w="592"/>
        <w:gridCol w:w="1982"/>
        <w:gridCol w:w="2944"/>
        <w:gridCol w:w="656"/>
        <w:gridCol w:w="694"/>
        <w:gridCol w:w="853"/>
        <w:gridCol w:w="683"/>
      </w:tblGrid>
      <w:tr>
        <w:tblPrEx>
          <w:tblCellMar>
            <w:top w:w="0" w:type="dxa"/>
            <w:left w:w="108" w:type="dxa"/>
            <w:bottom w:w="0" w:type="dxa"/>
            <w:right w:w="108" w:type="dxa"/>
          </w:tblCellMar>
        </w:tblPrEx>
        <w:trPr>
          <w:trHeight w:val="749" w:hRule="atLeast"/>
        </w:trPr>
        <w:tc>
          <w:tcPr>
            <w:tcW w:w="8404" w:type="dxa"/>
            <w:gridSpan w:val="7"/>
            <w:tcBorders>
              <w:top w:val="nil"/>
              <w:left w:val="nil"/>
              <w:bottom w:val="nil"/>
              <w:right w:val="nil"/>
            </w:tcBorders>
            <w:noWrap w:val="0"/>
            <w:vAlign w:val="bottom"/>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bCs/>
                <w:color w:val="auto"/>
                <w:kern w:val="0"/>
                <w:sz w:val="24"/>
                <w:highlight w:val="none"/>
                <w:lang w:eastAsia="zh-CN"/>
              </w:rPr>
              <w:t>柳州职业技术学院</w:t>
            </w:r>
            <w:r>
              <w:rPr>
                <w:rFonts w:hint="eastAsia" w:ascii="仿宋_GB2312" w:hAnsi="仿宋_GB2312" w:eastAsia="仿宋_GB2312" w:cs="仿宋_GB2312"/>
                <w:b/>
                <w:bCs/>
                <w:color w:val="auto"/>
                <w:kern w:val="0"/>
                <w:sz w:val="24"/>
                <w:highlight w:val="none"/>
              </w:rPr>
              <w:t>物业服务工作月度考核汇总评分表</w:t>
            </w:r>
          </w:p>
        </w:tc>
      </w:tr>
      <w:tr>
        <w:tblPrEx>
          <w:tblCellMar>
            <w:top w:w="0" w:type="dxa"/>
            <w:left w:w="108" w:type="dxa"/>
            <w:bottom w:w="0" w:type="dxa"/>
            <w:right w:w="108" w:type="dxa"/>
          </w:tblCellMar>
        </w:tblPrEx>
        <w:trPr>
          <w:trHeight w:val="608" w:hRule="atLeast"/>
        </w:trPr>
        <w:tc>
          <w:tcPr>
            <w:tcW w:w="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19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主管</w:t>
            </w:r>
            <w:r>
              <w:rPr>
                <w:rFonts w:hint="eastAsia" w:ascii="仿宋_GB2312" w:hAnsi="仿宋_GB2312" w:eastAsia="仿宋_GB2312" w:cs="仿宋_GB2312"/>
                <w:color w:val="auto"/>
                <w:kern w:val="0"/>
                <w:sz w:val="24"/>
                <w:highlight w:val="none"/>
              </w:rPr>
              <w:t>部门</w:t>
            </w:r>
          </w:p>
        </w:tc>
        <w:tc>
          <w:tcPr>
            <w:tcW w:w="29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考核对象</w:t>
            </w:r>
          </w:p>
        </w:tc>
        <w:tc>
          <w:tcPr>
            <w:tcW w:w="1350"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综合评分</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投诉得分</w:t>
            </w:r>
          </w:p>
        </w:tc>
      </w:tr>
      <w:tr>
        <w:tblPrEx>
          <w:tblCellMar>
            <w:top w:w="0" w:type="dxa"/>
            <w:left w:w="108" w:type="dxa"/>
            <w:bottom w:w="0" w:type="dxa"/>
            <w:right w:w="108" w:type="dxa"/>
          </w:tblCellMar>
        </w:tblPrEx>
        <w:trPr>
          <w:trHeight w:val="480" w:hRule="atLeast"/>
        </w:trPr>
        <w:tc>
          <w:tcPr>
            <w:tcW w:w="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19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29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65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分值</w:t>
            </w:r>
          </w:p>
        </w:tc>
        <w:tc>
          <w:tcPr>
            <w:tcW w:w="694"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权重</w:t>
            </w:r>
          </w:p>
        </w:tc>
        <w:tc>
          <w:tcPr>
            <w:tcW w:w="85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投诉扣分</w:t>
            </w:r>
          </w:p>
        </w:tc>
        <w:tc>
          <w:tcPr>
            <w:tcW w:w="68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权重</w:t>
            </w: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1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后勤保障处</w:t>
            </w:r>
          </w:p>
        </w:tc>
        <w:tc>
          <w:tcPr>
            <w:tcW w:w="294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综合管理服务</w:t>
            </w:r>
          </w:p>
        </w:tc>
        <w:tc>
          <w:tcPr>
            <w:tcW w:w="6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94" w:type="dxa"/>
            <w:vMerge w:val="restart"/>
            <w:tcBorders>
              <w:top w:val="nil"/>
              <w:left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80%</w:t>
            </w:r>
          </w:p>
        </w:tc>
        <w:tc>
          <w:tcPr>
            <w:tcW w:w="85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83" w:type="dxa"/>
            <w:vMerge w:val="restart"/>
            <w:tcBorders>
              <w:top w:val="nil"/>
              <w:left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20%</w:t>
            </w: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1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后勤保障处</w:t>
            </w:r>
          </w:p>
        </w:tc>
        <w:tc>
          <w:tcPr>
            <w:tcW w:w="294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校园卫生保洁管理</w:t>
            </w:r>
          </w:p>
        </w:tc>
        <w:tc>
          <w:tcPr>
            <w:tcW w:w="6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94"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85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83"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r>
      <w:tr>
        <w:tblPrEx>
          <w:tblCellMar>
            <w:top w:w="0" w:type="dxa"/>
            <w:left w:w="108" w:type="dxa"/>
            <w:bottom w:w="0" w:type="dxa"/>
            <w:right w:w="108" w:type="dxa"/>
          </w:tblCellMar>
        </w:tblPrEx>
        <w:trPr>
          <w:trHeight w:val="993"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p>
        </w:tc>
        <w:tc>
          <w:tcPr>
            <w:tcW w:w="1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后勤保障处</w:t>
            </w:r>
          </w:p>
        </w:tc>
        <w:tc>
          <w:tcPr>
            <w:tcW w:w="294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校园房屋及设施设备的维护维修管理</w:t>
            </w:r>
          </w:p>
        </w:tc>
        <w:tc>
          <w:tcPr>
            <w:tcW w:w="6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94"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85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83"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1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后勤保障处</w:t>
            </w:r>
          </w:p>
        </w:tc>
        <w:tc>
          <w:tcPr>
            <w:tcW w:w="294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校园绿化养护</w:t>
            </w:r>
          </w:p>
        </w:tc>
        <w:tc>
          <w:tcPr>
            <w:tcW w:w="6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94"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85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83"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1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保卫处</w:t>
            </w:r>
          </w:p>
        </w:tc>
        <w:tc>
          <w:tcPr>
            <w:tcW w:w="294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校园安全防范管理</w:t>
            </w:r>
          </w:p>
        </w:tc>
        <w:tc>
          <w:tcPr>
            <w:tcW w:w="6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94"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85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83" w:type="dxa"/>
            <w:vMerge w:val="continue"/>
            <w:tcBorders>
              <w:left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6</w:t>
            </w:r>
          </w:p>
        </w:tc>
        <w:tc>
          <w:tcPr>
            <w:tcW w:w="1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学生工作处</w:t>
            </w:r>
          </w:p>
        </w:tc>
        <w:tc>
          <w:tcPr>
            <w:tcW w:w="294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学生公寓（宿管）管理</w:t>
            </w:r>
          </w:p>
        </w:tc>
        <w:tc>
          <w:tcPr>
            <w:tcW w:w="65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694"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85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c>
          <w:tcPr>
            <w:tcW w:w="683"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val="en-US" w:eastAsia="zh-CN"/>
              </w:rPr>
              <w:t>7</w:t>
            </w:r>
          </w:p>
        </w:tc>
        <w:tc>
          <w:tcPr>
            <w:tcW w:w="4926"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小计</w:t>
            </w:r>
          </w:p>
        </w:tc>
        <w:tc>
          <w:tcPr>
            <w:tcW w:w="1350"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749" w:hRule="atLeast"/>
        </w:trPr>
        <w:tc>
          <w:tcPr>
            <w:tcW w:w="592" w:type="dxa"/>
            <w:tcBorders>
              <w:top w:val="nil"/>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8</w:t>
            </w:r>
          </w:p>
        </w:tc>
        <w:tc>
          <w:tcPr>
            <w:tcW w:w="4926" w:type="dxa"/>
            <w:gridSpan w:val="2"/>
            <w:tcBorders>
              <w:top w:val="single" w:color="auto" w:sz="4" w:space="0"/>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总得分</w:t>
            </w:r>
          </w:p>
        </w:tc>
        <w:tc>
          <w:tcPr>
            <w:tcW w:w="2886" w:type="dxa"/>
            <w:gridSpan w:val="4"/>
            <w:tcBorders>
              <w:top w:val="single" w:color="auto" w:sz="4" w:space="0"/>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121" w:hRule="atLeast"/>
        </w:trPr>
        <w:tc>
          <w:tcPr>
            <w:tcW w:w="592" w:type="dxa"/>
            <w:tcBorders>
              <w:top w:val="single" w:color="auto" w:sz="8" w:space="0"/>
              <w:left w:val="single" w:color="auto" w:sz="8" w:space="0"/>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备注</w:t>
            </w:r>
          </w:p>
        </w:tc>
        <w:tc>
          <w:tcPr>
            <w:tcW w:w="7812" w:type="dxa"/>
            <w:gridSpan w:val="6"/>
            <w:tcBorders>
              <w:top w:val="single" w:color="auto" w:sz="8" w:space="0"/>
              <w:left w:val="single" w:color="auto" w:sz="4" w:space="0"/>
              <w:bottom w:val="single" w:color="auto" w:sz="8" w:space="0"/>
              <w:right w:val="single" w:color="000000" w:sz="8"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综合评分=（1+2+3+4+5</w:t>
            </w:r>
            <w:r>
              <w:rPr>
                <w:rFonts w:hint="eastAsia" w:ascii="仿宋_GB2312" w:hAnsi="仿宋_GB2312" w:eastAsia="仿宋_GB2312" w:cs="仿宋_GB2312"/>
                <w:color w:val="auto"/>
                <w:kern w:val="0"/>
                <w:sz w:val="24"/>
                <w:highlight w:val="none"/>
                <w:lang w:val="en-US" w:eastAsia="zh-CN"/>
              </w:rPr>
              <w:t>+6</w:t>
            </w:r>
            <w:r>
              <w:rPr>
                <w:rFonts w:hint="eastAsia" w:ascii="仿宋_GB2312" w:hAnsi="仿宋_GB2312" w:eastAsia="仿宋_GB2312" w:cs="仿宋_GB2312"/>
                <w:color w:val="auto"/>
                <w:kern w:val="0"/>
                <w:sz w:val="24"/>
                <w:highlight w:val="none"/>
              </w:rPr>
              <w:t>）*80%/</w:t>
            </w:r>
            <w:r>
              <w:rPr>
                <w:rFonts w:hint="eastAsia" w:ascii="仿宋_GB2312" w:hAnsi="仿宋_GB2312" w:eastAsia="仿宋_GB2312" w:cs="仿宋_GB2312"/>
                <w:color w:val="auto"/>
                <w:kern w:val="0"/>
                <w:sz w:val="24"/>
                <w:highlight w:val="none"/>
                <w:lang w:val="en-US" w:eastAsia="zh-CN"/>
              </w:rPr>
              <w:t>6</w:t>
            </w:r>
            <w:r>
              <w:rPr>
                <w:rFonts w:hint="eastAsia" w:ascii="仿宋_GB2312" w:hAnsi="仿宋_GB2312" w:eastAsia="仿宋_GB2312" w:cs="仿宋_GB2312"/>
                <w:color w:val="auto"/>
                <w:kern w:val="0"/>
                <w:sz w:val="24"/>
                <w:highlight w:val="none"/>
              </w:rPr>
              <w:t>；</w:t>
            </w:r>
          </w:p>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投诉得分=（20分-投诉扣分）；</w:t>
            </w:r>
          </w:p>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总得分=综合评分+投诉得分。                                    </w:t>
            </w:r>
          </w:p>
        </w:tc>
      </w:tr>
    </w:tbl>
    <w:p>
      <w:pPr>
        <w:spacing w:line="360" w:lineRule="auto"/>
        <w:jc w:val="left"/>
        <w:rPr>
          <w:rFonts w:hint="eastAsia" w:ascii="仿宋_GB2312" w:hAnsi="Calibri" w:eastAsia="仿宋_GB2312"/>
          <w:b/>
          <w:bCs/>
          <w:color w:val="auto"/>
          <w:sz w:val="24"/>
          <w:highlight w:val="none"/>
        </w:rPr>
      </w:pPr>
    </w:p>
    <w:p>
      <w:pPr>
        <w:spacing w:line="360" w:lineRule="auto"/>
        <w:jc w:val="left"/>
        <w:rPr>
          <w:rFonts w:ascii="仿宋_GB2312" w:hAnsi="Calibri" w:eastAsia="仿宋_GB2312"/>
          <w:color w:val="auto"/>
          <w:sz w:val="24"/>
          <w:highlight w:val="none"/>
        </w:rPr>
      </w:pPr>
      <w:r>
        <w:rPr>
          <w:rFonts w:ascii="仿宋_GB2312" w:hAnsi="仿宋_GB2312" w:eastAsia="仿宋_GB2312" w:cs="仿宋_GB2312"/>
          <w:bCs/>
          <w:color w:val="auto"/>
          <w:sz w:val="24"/>
          <w:highlight w:val="none"/>
        </w:rPr>
        <w:t>★</w:t>
      </w:r>
      <w:r>
        <w:rPr>
          <w:rFonts w:hint="eastAsia" w:ascii="仿宋_GB2312" w:hAnsi="Calibri" w:eastAsia="仿宋_GB2312"/>
          <w:b/>
          <w:bCs/>
          <w:color w:val="auto"/>
          <w:sz w:val="24"/>
          <w:highlight w:val="none"/>
        </w:rPr>
        <w:t>附件2：</w:t>
      </w:r>
      <w:r>
        <w:rPr>
          <w:rFonts w:hint="eastAsia" w:ascii="仿宋_GB2312" w:hAnsi="Calibri" w:eastAsia="仿宋_GB2312"/>
          <w:color w:val="auto"/>
          <w:sz w:val="24"/>
          <w:highlight w:val="none"/>
          <w:lang w:eastAsia="zh-CN"/>
        </w:rPr>
        <w:t>柳州职业技术学院</w:t>
      </w:r>
      <w:r>
        <w:rPr>
          <w:rFonts w:hint="eastAsia" w:ascii="仿宋_GB2312" w:hAnsi="Calibri" w:eastAsia="仿宋_GB2312"/>
          <w:color w:val="auto"/>
          <w:sz w:val="24"/>
          <w:highlight w:val="none"/>
        </w:rPr>
        <w:t>物业服务工作月度考核表</w:t>
      </w:r>
    </w:p>
    <w:tbl>
      <w:tblPr>
        <w:tblStyle w:val="48"/>
        <w:tblW w:w="8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3377"/>
        <w:gridCol w:w="3250"/>
        <w:gridCol w:w="642"/>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380" w:type="dxa"/>
            <w:gridSpan w:val="5"/>
            <w:tcBorders>
              <w:top w:val="nil"/>
              <w:left w:val="nil"/>
              <w:bottom w:val="nil"/>
              <w:right w:val="nil"/>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lang w:val="en-US" w:eastAsia="zh-CN"/>
              </w:rPr>
              <w:t>综合服务管理月度考核表（由后勤保障处负责）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38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考核物业：        评分人：     主管领导：          时间：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序号</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服务内容及质量要求</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监管评分标准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分值</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物业公司制定有详细的物业管理实施方案和创优计划；建立健全各项管理制度，各岗位工作标准，并制定具体的落实措施和考核办法。</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没有方案和计划扣2分，不符合要求扣1分；没有建立管理制度，扣1分；未制订具体措施扣1分,未制订考核办法扣1分，相关制度措施未落实到位，扣2分。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按时上交工作计划和总结、活动方案、人员培训方案（资料）、人员信息表、情况说明以及其他相关信息材料。</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未按时上交相关信息材料，每次扣1分。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物业公司不擅自更换物业管理人员（经理、助理、主管），且物业公司管理人员带头服从学校各项管理。</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未经学校主管部门书面同意，擅自更换物业管理人员的，每次扣2分，并按考核办法进行处罚；</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物业公司按照合同要求，相关人员持证上岗。</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每发现1人无上岗证扣1分；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5</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物业按合同规定或响应文件及时配齐各岗位所需物品。</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未按规定及时配备齐各岗位所需物品的（详见附件6：</w:t>
            </w:r>
            <w:r>
              <w:rPr>
                <w:rFonts w:hint="eastAsia" w:ascii="仿宋_GB2312" w:eastAsia="仿宋_GB2312" w:cs="Times New Roman"/>
                <w:color w:val="auto"/>
                <w:sz w:val="24"/>
                <w:highlight w:val="none"/>
              </w:rPr>
              <w:t>中标人投入本项目</w:t>
            </w:r>
            <w:r>
              <w:rPr>
                <w:rFonts w:hint="eastAsia" w:ascii="仿宋_GB2312" w:eastAsia="仿宋_GB2312" w:cs="Times New Roman"/>
                <w:color w:val="auto"/>
                <w:sz w:val="24"/>
                <w:highlight w:val="none"/>
                <w:lang w:eastAsia="zh-CN"/>
              </w:rPr>
              <w:t>的</w:t>
            </w:r>
            <w:r>
              <w:rPr>
                <w:rFonts w:hint="eastAsia" w:ascii="仿宋_GB2312" w:eastAsia="仿宋_GB2312" w:cs="Times New Roman"/>
                <w:color w:val="auto"/>
                <w:sz w:val="24"/>
                <w:highlight w:val="none"/>
              </w:rPr>
              <w:t>设备</w:t>
            </w:r>
            <w:r>
              <w:rPr>
                <w:rFonts w:hint="eastAsia" w:ascii="仿宋_GB2312" w:hAnsi="仿宋_GB2312" w:eastAsia="仿宋_GB2312" w:cs="仿宋_GB2312"/>
                <w:color w:val="auto"/>
                <w:sz w:val="24"/>
                <w:highlight w:val="none"/>
                <w:lang w:val="en-US" w:eastAsia="zh-CN"/>
              </w:rPr>
              <w:t>），每样扣1分。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物业员工身心健康、形象良好，员工统一服装，佩戴明显标志，各岗位人员上班时间按要求在岗工作，工作规范、符合标准、作风严谨。</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各岗位员工上班期间未穿工作服，每人扣1分；着装及标志不符合要求，每项扣1分；出现岗位空缺等现象，每人扣1分。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耐心礼貌地接受师生报修、投诉、求助、建议、问询、质疑，及时处理，并做好记录，有回访制度。</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无处理每次扣1分；无相关记录每次扣1分，无回访制度每次扣1分。因服务态度或工作不到位被投诉,经查实,一次扣2分；工作中若存在有不文明现象，包括管理人员或其他工作人员到院方办公室闹事、语言粗俗等其他过激行为，每次扣2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有相关节能降耗方案，做好相关节能降耗工作。</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无方案，扣2分；方案不具体,针对性不强，扣1分；节能降耗方案履行不到位，1项扣0.5分；因物业管理失当造成能源浪费，一次扣1分，并追究责任。</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9</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代管学校的档案要分类成册、管理完善、查阅方便；建立物业管理档案，包括员工资料、培训记录、学校水电网线布局、重点设备修、保养记录等相关材料。</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每发现一项不齐全或不完善扣1分。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10</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做好学校横幅、安全警示标识、疏散通道标识、校园文明标识、节能环保标识、各楼宇内外如楼层牌等相关标识管理</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未对悬挂的横幅进行悬挂拆除跟踪处理的，每次扣1分；发现学校标识错误、破损未及时上报相关部门的（上报要有记录），每次扣1分。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采用信息化手段，提高管理效率。</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各服务管理模块未使用相关的信息化软件对日常工作进行管理，每项扣2分。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12</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重大活动保障。</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不配合相关部门的工作，每次扣2分。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13</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及时与学校沟通，对校方安排的有关处理、联络、知会要及时跟踪、落实及反馈。</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遇重大问题不报告扣2分,因沟通原因影响工作扣1分，安排事项无反馈、无结果扣2分；没有及时报告事件或有意隐瞒事件，甚至知情不报三类任一项的，每次扣2分。</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14</w:t>
            </w: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定期向师生进行管理服务满意度调查、意见征询活动，对合理建议或意见及时整改，满意率达85%以上。</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未做满意度调查、意见征询活动，扣2分,反馈的意见该整改的未整改,每一项扣1分,满意度低于85%，按照考核办法相关规定执行。</w:t>
            </w: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p>
        </w:tc>
        <w:tc>
          <w:tcPr>
            <w:tcW w:w="3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合计</w:t>
            </w:r>
          </w:p>
        </w:tc>
        <w:tc>
          <w:tcPr>
            <w:tcW w:w="3250"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c>
          <w:tcPr>
            <w:tcW w:w="64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100</w:t>
            </w:r>
          </w:p>
        </w:tc>
        <w:tc>
          <w:tcPr>
            <w:tcW w:w="556" w:type="dxa"/>
            <w:tcBorders>
              <w:top w:val="nil"/>
              <w:left w:val="nil"/>
              <w:bottom w:val="single" w:color="000000" w:sz="8" w:space="0"/>
              <w:right w:val="single" w:color="000000" w:sz="8" w:space="0"/>
            </w:tcBorders>
            <w:shd w:val="clear" w:color="auto" w:fill="auto"/>
            <w:vAlign w:val="center"/>
          </w:tcPr>
          <w:p>
            <w:pPr>
              <w:widowControl/>
              <w:spacing w:line="360" w:lineRule="auto"/>
              <w:jc w:val="left"/>
              <w:rPr>
                <w:rFonts w:hint="eastAsia" w:ascii="仿宋_GB2312" w:hAnsi="仿宋_GB2312" w:eastAsia="仿宋_GB2312" w:cs="仿宋_GB2312"/>
                <w:color w:val="auto"/>
                <w:sz w:val="24"/>
                <w:highlight w:val="none"/>
              </w:rPr>
            </w:pPr>
          </w:p>
        </w:tc>
      </w:tr>
    </w:tbl>
    <w:p>
      <w:pPr>
        <w:widowControl/>
        <w:spacing w:line="360" w:lineRule="auto"/>
        <w:jc w:val="left"/>
        <w:rPr>
          <w:rFonts w:ascii="仿宋_GB2312" w:hAnsi="Calibri" w:eastAsia="仿宋_GB2312"/>
          <w:color w:val="auto"/>
          <w:sz w:val="24"/>
          <w:highlight w:val="none"/>
        </w:rPr>
      </w:pPr>
    </w:p>
    <w:p>
      <w:pPr>
        <w:rPr>
          <w:rFonts w:ascii="Calibri" w:hAnsi="Calibri"/>
          <w:color w:val="auto"/>
          <w:highlight w:val="none"/>
        </w:rPr>
      </w:pPr>
    </w:p>
    <w:tbl>
      <w:tblPr>
        <w:tblStyle w:val="48"/>
        <w:tblW w:w="0" w:type="auto"/>
        <w:tblInd w:w="108" w:type="dxa"/>
        <w:tblLayout w:type="autofit"/>
        <w:tblCellMar>
          <w:top w:w="0" w:type="dxa"/>
          <w:left w:w="108" w:type="dxa"/>
          <w:bottom w:w="0" w:type="dxa"/>
          <w:right w:w="108" w:type="dxa"/>
        </w:tblCellMar>
      </w:tblPr>
      <w:tblGrid>
        <w:gridCol w:w="634"/>
        <w:gridCol w:w="3664"/>
        <w:gridCol w:w="3205"/>
        <w:gridCol w:w="669"/>
        <w:gridCol w:w="692"/>
      </w:tblGrid>
      <w:tr>
        <w:tblPrEx>
          <w:tblCellMar>
            <w:top w:w="0" w:type="dxa"/>
            <w:left w:w="108" w:type="dxa"/>
            <w:bottom w:w="0" w:type="dxa"/>
            <w:right w:w="108" w:type="dxa"/>
          </w:tblCellMar>
        </w:tblPrEx>
        <w:trPr>
          <w:trHeight w:val="435" w:hRule="atLeast"/>
        </w:trPr>
        <w:tc>
          <w:tcPr>
            <w:tcW w:w="8864" w:type="dxa"/>
            <w:gridSpan w:val="5"/>
            <w:tcBorders>
              <w:top w:val="nil"/>
              <w:left w:val="nil"/>
              <w:bottom w:val="single" w:color="auto" w:sz="4" w:space="0"/>
              <w:right w:val="nil"/>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b/>
                <w:bCs/>
                <w:color w:val="auto"/>
                <w:kern w:val="0"/>
                <w:sz w:val="24"/>
                <w:highlight w:val="none"/>
              </w:rPr>
              <w:t>学生公寓（宿舍）管理月度考核表</w:t>
            </w:r>
            <w:r>
              <w:rPr>
                <w:rFonts w:hint="eastAsia" w:ascii="仿宋_GB2312" w:eastAsia="仿宋_GB2312"/>
                <w:b/>
                <w:bCs/>
                <w:color w:val="auto"/>
                <w:kern w:val="0"/>
                <w:sz w:val="24"/>
                <w:highlight w:val="none"/>
              </w:rPr>
              <w:t>（由学生工作处负责）</w:t>
            </w:r>
          </w:p>
        </w:tc>
      </w:tr>
      <w:tr>
        <w:tblPrEx>
          <w:tblCellMar>
            <w:top w:w="0" w:type="dxa"/>
            <w:left w:w="108" w:type="dxa"/>
            <w:bottom w:w="0" w:type="dxa"/>
            <w:right w:w="108" w:type="dxa"/>
          </w:tblCellMar>
        </w:tblPrEx>
        <w:trPr>
          <w:trHeight w:val="570" w:hRule="atLeast"/>
        </w:trPr>
        <w:tc>
          <w:tcPr>
            <w:tcW w:w="88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考核物业：        评分人： </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eastAsia="zh-CN"/>
              </w:rPr>
              <w:t>主管领导：</w:t>
            </w:r>
            <w:r>
              <w:rPr>
                <w:rFonts w:hint="eastAsia" w:ascii="仿宋_GB2312" w:hAnsi="仿宋_GB2312" w:eastAsia="仿宋_GB2312" w:cs="仿宋_GB2312"/>
                <w:color w:val="auto"/>
                <w:kern w:val="0"/>
                <w:sz w:val="24"/>
                <w:highlight w:val="none"/>
              </w:rPr>
              <w:t xml:space="preserve">          时间：   年   月 </w:t>
            </w:r>
          </w:p>
        </w:tc>
      </w:tr>
      <w:tr>
        <w:tblPrEx>
          <w:tblCellMar>
            <w:top w:w="0" w:type="dxa"/>
            <w:left w:w="108" w:type="dxa"/>
            <w:bottom w:w="0" w:type="dxa"/>
            <w:right w:w="108" w:type="dxa"/>
          </w:tblCellMar>
        </w:tblPrEx>
        <w:trPr>
          <w:trHeight w:val="435" w:hRule="atLeast"/>
        </w:trPr>
        <w:tc>
          <w:tcPr>
            <w:tcW w:w="634" w:type="dxa"/>
            <w:tcBorders>
              <w:top w:val="nil"/>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3664" w:type="dxa"/>
            <w:tcBorders>
              <w:top w:val="nil"/>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服务内容及质量要求</w:t>
            </w:r>
          </w:p>
        </w:tc>
        <w:tc>
          <w:tcPr>
            <w:tcW w:w="3205" w:type="dxa"/>
            <w:tcBorders>
              <w:top w:val="nil"/>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监管评分标准</w:t>
            </w:r>
          </w:p>
        </w:tc>
        <w:tc>
          <w:tcPr>
            <w:tcW w:w="669" w:type="dxa"/>
            <w:tcBorders>
              <w:top w:val="nil"/>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分值</w:t>
            </w:r>
          </w:p>
        </w:tc>
        <w:tc>
          <w:tcPr>
            <w:tcW w:w="692" w:type="dxa"/>
            <w:tcBorders>
              <w:top w:val="nil"/>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评分</w:t>
            </w:r>
          </w:p>
        </w:tc>
      </w:tr>
      <w:tr>
        <w:tblPrEx>
          <w:tblCellMar>
            <w:top w:w="0" w:type="dxa"/>
            <w:left w:w="108" w:type="dxa"/>
            <w:bottom w:w="0" w:type="dxa"/>
            <w:right w:w="108" w:type="dxa"/>
          </w:tblCellMar>
        </w:tblPrEx>
        <w:trPr>
          <w:trHeight w:val="405"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3664" w:type="dxa"/>
            <w:tcBorders>
              <w:top w:val="single" w:color="auto" w:sz="4" w:space="0"/>
              <w:left w:val="nil"/>
              <w:bottom w:val="nil"/>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公寓（宿舍）管理模块责任事故为0</w:t>
            </w:r>
          </w:p>
        </w:tc>
        <w:tc>
          <w:tcPr>
            <w:tcW w:w="3205" w:type="dxa"/>
            <w:tcBorders>
              <w:top w:val="single" w:color="auto" w:sz="4" w:space="0"/>
              <w:left w:val="nil"/>
              <w:bottom w:val="nil"/>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出现一次责任事故扣5分</w:t>
            </w:r>
          </w:p>
        </w:tc>
        <w:tc>
          <w:tcPr>
            <w:tcW w:w="66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85"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3664"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未制订相关管理工作实施方案的，未及时报告宿舍所发生的重大情况的；</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无管理工作实施方案的</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rPr>
              <w:t>每次扣2分</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rPr>
              <w:t>未及时报告宿舍所发生的重大情况的；每次扣1分</w:t>
            </w:r>
            <w:r>
              <w:rPr>
                <w:rFonts w:hint="eastAsia" w:ascii="仿宋_GB2312" w:hAnsi="仿宋_GB2312" w:eastAsia="仿宋_GB2312" w:cs="仿宋_GB2312"/>
                <w:color w:val="auto"/>
                <w:kern w:val="0"/>
                <w:sz w:val="24"/>
                <w:highlight w:val="none"/>
                <w:lang w:eastAsia="zh-CN"/>
              </w:rPr>
              <w:t>。</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935"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p>
        </w:tc>
        <w:tc>
          <w:tcPr>
            <w:tcW w:w="366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宿管人员配置不足，聘用不符合上岗条件的宿管员，宿舍管理未配备专人主管；</w:t>
            </w:r>
          </w:p>
        </w:tc>
        <w:tc>
          <w:tcPr>
            <w:tcW w:w="320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宿管员每缺1人扣1分；宿管出现窜岗聊天或在当班期间看报纸（杂志或书等）、吸烟、玩手机、睡岗或做与工作无关的事，值班期间不穿工作服的或在工作区域内换衣服的，无人顶岗情况下离岗打开水或外出就餐造成岗位空缺的，或交接班人员未到岗位而当班人员提前离岗的，每次扣1分</w:t>
            </w:r>
            <w:r>
              <w:rPr>
                <w:rFonts w:hint="eastAsia" w:ascii="仿宋_GB2312" w:hAnsi="仿宋_GB2312" w:eastAsia="仿宋_GB2312" w:cs="仿宋_GB2312"/>
                <w:color w:val="auto"/>
                <w:kern w:val="0"/>
                <w:sz w:val="24"/>
                <w:highlight w:val="none"/>
                <w:lang w:eastAsia="zh-CN"/>
              </w:rPr>
              <w:t>。</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80"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366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不服从学校职能部门检查、指导的。</w:t>
            </w:r>
          </w:p>
        </w:tc>
        <w:tc>
          <w:tcPr>
            <w:tcW w:w="320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宿管值班室卫生不合格或室内物品摆放凌乱，宿管在值班室违规使用电器的或在校园内私拉电线给电动车充电的，没收充电器和违规电器，每发现一起扣1分</w:t>
            </w:r>
            <w:r>
              <w:rPr>
                <w:rFonts w:hint="eastAsia" w:ascii="仿宋_GB2312" w:hAnsi="仿宋_GB2312" w:eastAsia="仿宋_GB2312" w:cs="仿宋_GB2312"/>
                <w:color w:val="auto"/>
                <w:kern w:val="0"/>
                <w:sz w:val="24"/>
                <w:highlight w:val="none"/>
                <w:lang w:eastAsia="zh-CN"/>
              </w:rPr>
              <w:t>。</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60"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366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迟归、旷宿、晚归爬墙，夜间翻墙外出的学生登记并及时报告学生处，协助做好追查和处理工作；</w:t>
            </w:r>
          </w:p>
        </w:tc>
        <w:tc>
          <w:tcPr>
            <w:tcW w:w="320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645"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366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严格掌握作息时间，按时开、关宿舍楼大门；</w:t>
            </w:r>
          </w:p>
        </w:tc>
        <w:tc>
          <w:tcPr>
            <w:tcW w:w="320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80" w:hRule="atLeast"/>
        </w:trPr>
        <w:tc>
          <w:tcPr>
            <w:tcW w:w="63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7</w:t>
            </w:r>
          </w:p>
        </w:tc>
        <w:tc>
          <w:tcPr>
            <w:tcW w:w="366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按照学生管理部门规定制止男女学生互串宿舍，未经允许非本楼区学生不得进入宿舍；宿舍物业管理混乱，整改不到位。</w:t>
            </w:r>
          </w:p>
        </w:tc>
        <w:tc>
          <w:tcPr>
            <w:tcW w:w="320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1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3664"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学生宿舍用水、用电管理，按时公布学生用水、用电情况；协助指导学生充值水电费。</w:t>
            </w:r>
          </w:p>
        </w:tc>
        <w:tc>
          <w:tcPr>
            <w:tcW w:w="320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69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1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宿舍楼区内各类资产核查、接受学生报修及对维修完成的确认，及时受理学生的维修申报；</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做好维修后的验收工作，办理有关手续并将维修情况及时反馈相关部门。</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11</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按照值班表进行值班；</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上班时间脱岗半小时扣1分；缺岗一人次扣2分；缺值班记录的扣1分，不完整的扣1分</w:t>
            </w:r>
            <w:r>
              <w:rPr>
                <w:rFonts w:hint="eastAsia" w:ascii="仿宋_GB2312" w:hAnsi="仿宋_GB2312" w:eastAsia="仿宋_GB2312" w:cs="仿宋_GB2312"/>
                <w:color w:val="auto"/>
                <w:kern w:val="0"/>
                <w:sz w:val="24"/>
                <w:highlight w:val="none"/>
                <w:lang w:eastAsia="zh-CN"/>
              </w:rPr>
              <w:t>。</w:t>
            </w:r>
          </w:p>
        </w:tc>
        <w:tc>
          <w:tcPr>
            <w:tcW w:w="66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1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12</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加强进出物品的检查和登记；</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门岗值班未对进出宿舍外来人员、物品进行登记和检查的一次扣1分，造成责任事故的扣1分</w:t>
            </w:r>
            <w:r>
              <w:rPr>
                <w:rFonts w:hint="eastAsia" w:ascii="仿宋_GB2312" w:hAnsi="仿宋_GB2312" w:eastAsia="仿宋_GB2312" w:cs="仿宋_GB2312"/>
                <w:color w:val="auto"/>
                <w:kern w:val="0"/>
                <w:sz w:val="24"/>
                <w:highlight w:val="none"/>
                <w:lang w:eastAsia="zh-CN"/>
              </w:rPr>
              <w:t>。</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若学生离校时，宿舍物品遗失或损坏，则督促学生赔偿赔款。</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宿管未按规定做好物品登记检查工作的，一次扣1分</w:t>
            </w:r>
            <w:r>
              <w:rPr>
                <w:rFonts w:hint="eastAsia" w:ascii="仿宋_GB2312" w:hAnsi="仿宋_GB2312" w:eastAsia="仿宋_GB2312" w:cs="仿宋_GB2312"/>
                <w:color w:val="auto"/>
                <w:kern w:val="0"/>
                <w:sz w:val="24"/>
                <w:highlight w:val="none"/>
                <w:lang w:eastAsia="zh-CN"/>
              </w:rPr>
              <w:t>。</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8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14</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加强宿舍卫生检查和通报。</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未及时督促清理走廊垃圾的扣1分；对脏乱差的宿舍、要及时向院生管部门通报，未履行职责的一次扣1分；卫生检查未达标楼栋超十分之一的每次扣2分。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94"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15</w:t>
            </w:r>
          </w:p>
        </w:tc>
        <w:tc>
          <w:tcPr>
            <w:tcW w:w="3664"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加强宿舍安全管理，发现违纪现象及时制止并上报；</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定时对学生宿舍楼层进行巡视、检查，发现问题及时处理，否则一次扣1分；对发现违规用电、打架、滋事、宿舍内喝酒、抽烟、晚归爬墙，夜间翻墙外出等违规违纪现象没有及时纠正制止的一次扣2分；未做好记录和汇报工作的一次1分；因学生住宿问题而引起纠纷未能及时制止并上报的，一次扣1分；未按规定进行宿舍楼内安全检查的一次扣1分，未报告检查情况的一次扣1分；让非本楼栋学生进入宿舍引发或参与各种违规违纪事件的一次扣1分，所管理的学生宿舍门钥匙随意外借的一次扣1分；住宿生生病或因其他突发事件需送医时，要及时给予有效帮助，未履行职责的一次扣2分；因管理不到位，造成学生安全重大事故的不得分；宿管未按要求做好各种外来人员登记检查工作的，或对学生携带酒、易燃易爆或其它违禁物品进入宿舍未加制止、未向学生所在系反馈的，每次扣1分。</w:t>
            </w:r>
          </w:p>
        </w:tc>
        <w:tc>
          <w:tcPr>
            <w:tcW w:w="66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w:t>
            </w:r>
          </w:p>
        </w:tc>
        <w:tc>
          <w:tcPr>
            <w:tcW w:w="69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1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16</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开展经常性巡查，对外来人员进行排查，保管好宿舍钥匙，防止重大事故发生</w:t>
            </w:r>
            <w:r>
              <w:rPr>
                <w:rFonts w:hint="eastAsia" w:ascii="仿宋_GB2312" w:hAnsi="仿宋_GB2312" w:eastAsia="仿宋_GB2312" w:cs="仿宋_GB2312"/>
                <w:color w:val="auto"/>
                <w:kern w:val="0"/>
                <w:sz w:val="24"/>
                <w:highlight w:val="none"/>
                <w:lang w:eastAsia="zh-CN"/>
              </w:rPr>
              <w:t>。</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34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17</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对有困难学生给予帮助。</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未履行职责的一次扣1分。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157"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18</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对管辖区域内的消防器材进行及时检查登记和及时汇报消防器材设备情况</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未履行职责的</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rPr>
              <w:t>未对管辖区域内的消防器材进行及时检查登记和及时汇报消防器材设备情况的，每一次扣1分。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2445"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19</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按照流程做好宿舍维修工作的登记记录。</w:t>
            </w:r>
          </w:p>
        </w:tc>
        <w:tc>
          <w:tcPr>
            <w:tcW w:w="3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生宿舍楼应有维修流程、设备台帐、设备卡、运行记录、维修保养记录、维修材料动向表等，缺一项扣1分；对宿舍楼区设备设施应及时维修，当天21点前报修当天完成，未及时完成一次扣1—3分，造成重大损失的一次扣1分；每日巡查水电设备及其它设备，所有工作应做好记录，未做好记录和汇报工作的一次扣1分。</w:t>
            </w:r>
          </w:p>
        </w:tc>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393"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366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合计</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66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100</w:t>
            </w:r>
          </w:p>
        </w:tc>
        <w:tc>
          <w:tcPr>
            <w:tcW w:w="69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bl>
    <w:p>
      <w:pPr>
        <w:spacing w:line="360" w:lineRule="auto"/>
        <w:rPr>
          <w:rFonts w:ascii="Calibri" w:hAnsi="Calibri"/>
          <w:color w:val="auto"/>
          <w:highlight w:val="none"/>
        </w:rPr>
      </w:pPr>
    </w:p>
    <w:p>
      <w:pPr>
        <w:rPr>
          <w:rFonts w:ascii="Calibri" w:hAnsi="Calibri"/>
          <w:color w:val="auto"/>
          <w:highlight w:val="none"/>
        </w:rPr>
      </w:pPr>
    </w:p>
    <w:tbl>
      <w:tblPr>
        <w:tblStyle w:val="48"/>
        <w:tblW w:w="0" w:type="auto"/>
        <w:tblInd w:w="108" w:type="dxa"/>
        <w:tblLayout w:type="autofit"/>
        <w:tblCellMar>
          <w:top w:w="0" w:type="dxa"/>
          <w:left w:w="108" w:type="dxa"/>
          <w:bottom w:w="0" w:type="dxa"/>
          <w:right w:w="108" w:type="dxa"/>
        </w:tblCellMar>
      </w:tblPr>
      <w:tblGrid>
        <w:gridCol w:w="634"/>
        <w:gridCol w:w="2865"/>
        <w:gridCol w:w="3623"/>
        <w:gridCol w:w="727"/>
        <w:gridCol w:w="715"/>
      </w:tblGrid>
      <w:tr>
        <w:tblPrEx>
          <w:tblCellMar>
            <w:top w:w="0" w:type="dxa"/>
            <w:left w:w="108" w:type="dxa"/>
            <w:bottom w:w="0" w:type="dxa"/>
            <w:right w:w="108" w:type="dxa"/>
          </w:tblCellMar>
        </w:tblPrEx>
        <w:trPr>
          <w:trHeight w:val="570" w:hRule="atLeast"/>
        </w:trPr>
        <w:tc>
          <w:tcPr>
            <w:tcW w:w="8564" w:type="dxa"/>
            <w:gridSpan w:val="5"/>
            <w:tcBorders>
              <w:top w:val="nil"/>
              <w:left w:val="nil"/>
              <w:bottom w:val="nil"/>
              <w:right w:val="nil"/>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b/>
                <w:bCs/>
                <w:color w:val="auto"/>
                <w:kern w:val="0"/>
                <w:sz w:val="24"/>
                <w:highlight w:val="none"/>
              </w:rPr>
              <w:t>校园安全防范管理月度考核表</w:t>
            </w:r>
            <w:r>
              <w:rPr>
                <w:rFonts w:hint="eastAsia" w:ascii="仿宋_GB2312" w:eastAsia="仿宋_GB2312"/>
                <w:b/>
                <w:bCs/>
                <w:color w:val="auto"/>
                <w:kern w:val="0"/>
                <w:sz w:val="24"/>
                <w:highlight w:val="none"/>
              </w:rPr>
              <w:t>（由保卫处负责）</w:t>
            </w:r>
          </w:p>
        </w:tc>
      </w:tr>
      <w:tr>
        <w:tblPrEx>
          <w:tblCellMar>
            <w:top w:w="0" w:type="dxa"/>
            <w:left w:w="108" w:type="dxa"/>
            <w:bottom w:w="0" w:type="dxa"/>
            <w:right w:w="108" w:type="dxa"/>
          </w:tblCellMar>
        </w:tblPrEx>
        <w:trPr>
          <w:trHeight w:val="360" w:hRule="atLeast"/>
        </w:trPr>
        <w:tc>
          <w:tcPr>
            <w:tcW w:w="85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考核物业：        评分人： </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eastAsia="zh-CN"/>
              </w:rPr>
              <w:t>主管领导：</w:t>
            </w:r>
            <w:r>
              <w:rPr>
                <w:rFonts w:hint="eastAsia" w:ascii="仿宋_GB2312" w:hAnsi="仿宋_GB2312" w:eastAsia="仿宋_GB2312" w:cs="仿宋_GB2312"/>
                <w:color w:val="auto"/>
                <w:kern w:val="0"/>
                <w:sz w:val="24"/>
                <w:highlight w:val="none"/>
              </w:rPr>
              <w:t xml:space="preserve">          时间：   年   月 </w:t>
            </w:r>
          </w:p>
        </w:tc>
      </w:tr>
      <w:tr>
        <w:tblPrEx>
          <w:tblCellMar>
            <w:top w:w="0" w:type="dxa"/>
            <w:left w:w="108" w:type="dxa"/>
            <w:bottom w:w="0" w:type="dxa"/>
            <w:right w:w="108" w:type="dxa"/>
          </w:tblCellMar>
        </w:tblPrEx>
        <w:trPr>
          <w:trHeight w:val="435" w:hRule="atLeast"/>
        </w:trPr>
        <w:tc>
          <w:tcPr>
            <w:tcW w:w="634" w:type="dxa"/>
            <w:tcBorders>
              <w:top w:val="nil"/>
              <w:left w:val="single" w:color="auto" w:sz="8" w:space="0"/>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2865" w:type="dxa"/>
            <w:tcBorders>
              <w:top w:val="nil"/>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服务内容及质量要求</w:t>
            </w:r>
          </w:p>
        </w:tc>
        <w:tc>
          <w:tcPr>
            <w:tcW w:w="3623" w:type="dxa"/>
            <w:tcBorders>
              <w:top w:val="nil"/>
              <w:left w:val="nil"/>
              <w:bottom w:val="nil"/>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监管评分标准</w:t>
            </w:r>
          </w:p>
        </w:tc>
        <w:tc>
          <w:tcPr>
            <w:tcW w:w="727" w:type="dxa"/>
            <w:tcBorders>
              <w:top w:val="nil"/>
              <w:left w:val="nil"/>
              <w:bottom w:val="single" w:color="auto" w:sz="8"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分值</w:t>
            </w:r>
          </w:p>
        </w:tc>
        <w:tc>
          <w:tcPr>
            <w:tcW w:w="715"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评分</w:t>
            </w:r>
          </w:p>
        </w:tc>
      </w:tr>
      <w:tr>
        <w:tblPrEx>
          <w:tblCellMar>
            <w:top w:w="0" w:type="dxa"/>
            <w:left w:w="108" w:type="dxa"/>
            <w:bottom w:w="0" w:type="dxa"/>
            <w:right w:w="108" w:type="dxa"/>
          </w:tblCellMar>
        </w:tblPrEx>
        <w:trPr>
          <w:trHeight w:val="405"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286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安全防范管理模块责任事故为0</w:t>
            </w:r>
          </w:p>
        </w:tc>
        <w:tc>
          <w:tcPr>
            <w:tcW w:w="3623"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出现一次责任事故扣5分</w:t>
            </w:r>
          </w:p>
        </w:tc>
        <w:tc>
          <w:tcPr>
            <w:tcW w:w="7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71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518"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有完整的安保工作方案，熟悉校园及周边区域的基本情况</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服务单位应熟悉校园及周边区域的基本情况，并制定切合校方实际情况的、有效的秩序维护工作方案，没有方案扣1-2分，不能有效维护工作秩序扣1-2分。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575"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w:t>
            </w:r>
            <w:r>
              <w:rPr>
                <w:rFonts w:hint="eastAsia" w:ascii="仿宋_GB2312" w:hAnsi="仿宋_GB2312" w:eastAsia="仿宋_GB2312" w:cs="仿宋_GB2312"/>
                <w:color w:val="auto"/>
                <w:kern w:val="0"/>
                <w:sz w:val="24"/>
                <w:highlight w:val="none"/>
                <w:lang w:eastAsia="zh-CN"/>
              </w:rPr>
              <w:t>要</w:t>
            </w:r>
            <w:r>
              <w:rPr>
                <w:rFonts w:hint="eastAsia" w:ascii="仿宋_GB2312" w:hAnsi="仿宋_GB2312" w:eastAsia="仿宋_GB2312" w:cs="仿宋_GB2312"/>
                <w:color w:val="auto"/>
                <w:kern w:val="0"/>
                <w:sz w:val="24"/>
                <w:highlight w:val="none"/>
              </w:rPr>
              <w:t>求配置人员，按考勤纪律上岗执勤，大门岗做到双岗执勤</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秩序维护员每缺1人扣1分；所有人员必须按时上、下班，有事须请假，经物业经理批准并有记录；迟到早退按缺勤评分（有请假不算缺勤），大门岗秩序维护没有做到每一班双岗值班的；秩序维护出现交接班人员尚未到岗而当班人员提前离岗现象的；每次扣1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440"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人员素养文明礼貌，着装规范，无违规现象</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秩序维护人员有明显标志，工作规范、作风严谨，仪容仪表整洁，无法达标的扣1-3分；秩序维护违规使用电器或给电动车充电的，没收充电器和违规电器，并处以扣1-3分。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413"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严格在岗纪律，上班时间不允许做与工作无关的事情，夜班不允许睡觉；在岗不允许聊天或坐在岗位上看报纸（杂志或书等）、不允许在岗吸烟、玩手机；离岗打开水、上卫生间需有相应人员顶岗，不允许工作期间外出就餐或做与值班期间无关的事</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发现一起每次扣1分。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35"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落实巡查制度，实行24小时轮班巡逻，维护责任范围内正常的治安秩序，并做好相关记录</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没有落实每发现一次扣1分。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407"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7</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认真做好学校大门人员、车辆进出管理工作，树立良好的窗口形象，维护好校大门的治安和交通秩序</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大门岗秩序维护未对来访人员或车辆做好登记工作就放行，秩序维护酒后上岗或上岗喝酒、未穿工作服或在值班区域换工作服的，发现一次扣1-3分。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92"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安全隐患检查做到及时发现及时上报，并做好记录</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对学校范围内存在的安全隐患和非正常情况应及时反映，并设有明显标志和防范措施；没有定期检查的每次扣1-3分；没有及时反映的每次扣1-3分。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367"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无因管理责任引发的重大刑事案件和交通事故</w:t>
            </w:r>
            <w:r>
              <w:rPr>
                <w:rFonts w:hint="eastAsia" w:ascii="仿宋_GB2312" w:hAnsi="仿宋_GB2312" w:eastAsia="仿宋_GB2312" w:cs="仿宋_GB2312"/>
                <w:color w:val="auto"/>
                <w:kern w:val="0"/>
                <w:sz w:val="24"/>
                <w:highlight w:val="none"/>
                <w:lang w:eastAsia="zh-CN"/>
              </w:rPr>
              <w:t>。</w:t>
            </w:r>
          </w:p>
        </w:tc>
        <w:tc>
          <w:tcPr>
            <w:tcW w:w="362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发生一起扣1-3分；由于中标人失职造成出现学院及学生物品被盗或丢失事件，经核实价值后，承担赔偿物品价值的100%；</w:t>
            </w: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750" w:hRule="atLeast"/>
        </w:trPr>
        <w:tc>
          <w:tcPr>
            <w:tcW w:w="6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w:t>
            </w:r>
          </w:p>
        </w:tc>
        <w:tc>
          <w:tcPr>
            <w:tcW w:w="286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道路管理，车辆停放有序，校内无乱停乱放现象，无占道无证摆摊现象</w:t>
            </w:r>
            <w:r>
              <w:rPr>
                <w:rFonts w:hint="eastAsia" w:ascii="仿宋_GB2312" w:hAnsi="仿宋_GB2312" w:eastAsia="仿宋_GB2312" w:cs="仿宋_GB2312"/>
                <w:color w:val="auto"/>
                <w:kern w:val="0"/>
                <w:sz w:val="24"/>
                <w:highlight w:val="none"/>
                <w:lang w:eastAsia="zh-CN"/>
              </w:rPr>
              <w:t>。</w:t>
            </w:r>
          </w:p>
        </w:tc>
        <w:tc>
          <w:tcPr>
            <w:tcW w:w="3623"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车辆无乱停乱放；无证摆摊设点的,发现一起扣1分。</w:t>
            </w:r>
          </w:p>
        </w:tc>
        <w:tc>
          <w:tcPr>
            <w:tcW w:w="7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720"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11</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配备专职或兼职消防人员，每学期至少开展1次消防知识及法规教育</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没有的每次检查扣1-3分；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867"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12</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定期检查消防设施并汇报，确保消防设施设备完好率不小于99%</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秩序维护人员是义务消防员，负责防火和灭火工作；定期检查各楼消防栓内的设备，并按要求检查配备灭火器是否可以正常使用；教学实验楼秩序维护岗秩序维护、实训基地岗、教学实验楼岗秩序维护未按时检查消防器材和汇报消防器材情况， 每次扣1-3分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2022"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消控室、监控室值班管理</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消控室、监控室安排专业人员24小时，并做好相关记录，未安排人员每次扣1-3分，人员专业性不足每次扣1分，未做好值班记录每次扣1分, 每个班次至少有1名持证上岗，没有的扣6分。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2352"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14</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爱护使用监控机器和自动报警设备，定期进行测试和检查，发现设备出现异常和故障，应及时通知保卫处进行检修，并做好记录</w:t>
            </w:r>
            <w:r>
              <w:rPr>
                <w:rFonts w:hint="eastAsia" w:ascii="仿宋_GB2312" w:hAnsi="仿宋_GB2312" w:eastAsia="仿宋_GB2312" w:cs="仿宋_GB2312"/>
                <w:color w:val="auto"/>
                <w:kern w:val="0"/>
                <w:sz w:val="24"/>
                <w:highlight w:val="none"/>
                <w:lang w:eastAsia="zh-CN"/>
              </w:rPr>
              <w:t>。</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监控系统24小时开通运行，全面了解和严密监视校园的安全状况；爱护使用监控机器和自动报警设备，定期进行测试和检查，发现设备出现异常和故障，应及时通知保卫处进行检修，并做好记录；对来历不明的施工垃圾、建筑垃圾进行追踪，否则由中标人出资清运上述垃圾；无法做到的每次扣1-3分；</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675"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15</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大型活动保障</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做好校园大型活动安全保卫工作，无法完成活动保障的每次扣1-3分</w:t>
            </w:r>
            <w:r>
              <w:rPr>
                <w:rFonts w:hint="eastAsia" w:ascii="仿宋_GB2312" w:hAnsi="仿宋_GB2312" w:eastAsia="仿宋_GB2312" w:cs="仿宋_GB2312"/>
                <w:color w:val="auto"/>
                <w:kern w:val="0"/>
                <w:sz w:val="24"/>
                <w:highlight w:val="none"/>
                <w:lang w:eastAsia="zh-CN"/>
              </w:rPr>
              <w:t>。</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465" w:hRule="atLeast"/>
        </w:trPr>
        <w:tc>
          <w:tcPr>
            <w:tcW w:w="63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28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合计</w:t>
            </w:r>
          </w:p>
        </w:tc>
        <w:tc>
          <w:tcPr>
            <w:tcW w:w="362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72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100</w:t>
            </w:r>
          </w:p>
        </w:tc>
        <w:tc>
          <w:tcPr>
            <w:tcW w:w="71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bl>
    <w:p>
      <w:pPr>
        <w:spacing w:line="360" w:lineRule="auto"/>
        <w:rPr>
          <w:rFonts w:ascii="仿宋_GB2312" w:hAnsi="Calibri" w:eastAsia="仿宋_GB2312"/>
          <w:color w:val="auto"/>
          <w:sz w:val="24"/>
          <w:highlight w:val="none"/>
        </w:rPr>
      </w:pPr>
    </w:p>
    <w:p>
      <w:pPr>
        <w:rPr>
          <w:rFonts w:ascii="Calibri" w:hAnsi="Calibri"/>
          <w:color w:val="auto"/>
          <w:highlight w:val="none"/>
        </w:rPr>
      </w:pPr>
    </w:p>
    <w:tbl>
      <w:tblPr>
        <w:tblStyle w:val="48"/>
        <w:tblW w:w="0" w:type="auto"/>
        <w:tblInd w:w="108" w:type="dxa"/>
        <w:tblLayout w:type="autofit"/>
        <w:tblCellMar>
          <w:top w:w="0" w:type="dxa"/>
          <w:left w:w="108" w:type="dxa"/>
          <w:bottom w:w="0" w:type="dxa"/>
          <w:right w:w="108" w:type="dxa"/>
        </w:tblCellMar>
      </w:tblPr>
      <w:tblGrid>
        <w:gridCol w:w="633"/>
        <w:gridCol w:w="3651"/>
        <w:gridCol w:w="3173"/>
        <w:gridCol w:w="588"/>
        <w:gridCol w:w="693"/>
      </w:tblGrid>
      <w:tr>
        <w:tblPrEx>
          <w:tblCellMar>
            <w:top w:w="0" w:type="dxa"/>
            <w:left w:w="108" w:type="dxa"/>
            <w:bottom w:w="0" w:type="dxa"/>
            <w:right w:w="108" w:type="dxa"/>
          </w:tblCellMar>
        </w:tblPrEx>
        <w:trPr>
          <w:trHeight w:val="405" w:hRule="atLeast"/>
        </w:trPr>
        <w:tc>
          <w:tcPr>
            <w:tcW w:w="8738" w:type="dxa"/>
            <w:gridSpan w:val="5"/>
            <w:tcBorders>
              <w:top w:val="nil"/>
              <w:left w:val="nil"/>
              <w:bottom w:val="single" w:color="auto" w:sz="4" w:space="0"/>
              <w:right w:val="nil"/>
            </w:tcBorders>
            <w:noWrap w:val="0"/>
            <w:vAlign w:val="bottom"/>
          </w:tcPr>
          <w:p>
            <w:pPr>
              <w:widowControl/>
              <w:spacing w:line="360" w:lineRule="auto"/>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校园房屋及设施设备的维护维修管理月度考核表</w:t>
            </w:r>
            <w:r>
              <w:rPr>
                <w:rFonts w:hint="eastAsia" w:ascii="仿宋_GB2312" w:eastAsia="仿宋_GB2312"/>
                <w:b/>
                <w:bCs/>
                <w:color w:val="auto"/>
                <w:kern w:val="0"/>
                <w:sz w:val="24"/>
                <w:highlight w:val="none"/>
              </w:rPr>
              <w:t>（由后勤保障处负责）</w:t>
            </w:r>
          </w:p>
        </w:tc>
      </w:tr>
      <w:tr>
        <w:tblPrEx>
          <w:tblCellMar>
            <w:top w:w="0" w:type="dxa"/>
            <w:left w:w="108" w:type="dxa"/>
            <w:bottom w:w="0" w:type="dxa"/>
            <w:right w:w="108" w:type="dxa"/>
          </w:tblCellMar>
        </w:tblPrEx>
        <w:trPr>
          <w:trHeight w:val="360" w:hRule="atLeast"/>
        </w:trPr>
        <w:tc>
          <w:tcPr>
            <w:tcW w:w="873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考核物业：        评分人： </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eastAsia="zh-CN"/>
              </w:rPr>
              <w:t>主管领导：</w:t>
            </w:r>
            <w:r>
              <w:rPr>
                <w:rFonts w:hint="eastAsia" w:ascii="仿宋_GB2312" w:hAnsi="仿宋_GB2312" w:eastAsia="仿宋_GB2312" w:cs="仿宋_GB2312"/>
                <w:color w:val="auto"/>
                <w:kern w:val="0"/>
                <w:sz w:val="24"/>
                <w:highlight w:val="none"/>
              </w:rPr>
              <w:t xml:space="preserve">          时间：   年   月 </w:t>
            </w:r>
          </w:p>
        </w:tc>
      </w:tr>
      <w:tr>
        <w:tblPrEx>
          <w:tblCellMar>
            <w:top w:w="0" w:type="dxa"/>
            <w:left w:w="108" w:type="dxa"/>
            <w:bottom w:w="0" w:type="dxa"/>
            <w:right w:w="108" w:type="dxa"/>
          </w:tblCellMar>
        </w:tblPrEx>
        <w:trPr>
          <w:trHeight w:val="42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365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服务内容及质量要求</w:t>
            </w:r>
          </w:p>
        </w:tc>
        <w:tc>
          <w:tcPr>
            <w:tcW w:w="317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监管评分标准</w:t>
            </w:r>
          </w:p>
        </w:tc>
        <w:tc>
          <w:tcPr>
            <w:tcW w:w="588"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分值</w:t>
            </w:r>
          </w:p>
        </w:tc>
        <w:tc>
          <w:tcPr>
            <w:tcW w:w="69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评分</w:t>
            </w:r>
          </w:p>
        </w:tc>
      </w:tr>
      <w:tr>
        <w:tblPrEx>
          <w:tblCellMar>
            <w:top w:w="0" w:type="dxa"/>
            <w:left w:w="108" w:type="dxa"/>
            <w:bottom w:w="0" w:type="dxa"/>
            <w:right w:w="108" w:type="dxa"/>
          </w:tblCellMar>
        </w:tblPrEx>
        <w:trPr>
          <w:trHeight w:val="40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维护维修管理管理模块责任事故为0</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出现一次事故扣5分</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69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有完整的工程维修领域工作管理方案，有详细的考核管理办法</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没有方案扣1分，没有考核办法扣1分</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693" w:type="dxa"/>
            <w:tcBorders>
              <w:top w:val="nil"/>
              <w:left w:val="nil"/>
              <w:bottom w:val="single" w:color="auto" w:sz="4" w:space="0"/>
              <w:right w:val="single" w:color="auto" w:sz="4" w:space="0"/>
            </w:tcBorders>
            <w:noWrap w:val="0"/>
            <w:vAlign w:val="bottom"/>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39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按要求配置维修人员，维修责任范围明确到人，维修员着装统一、工作仔细、形象良好。进入学习、工作场所，做到动作轻、说话轻、走路轻。</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维修人员每缺1人扣1分；维修工责任不明确扣1分，未实行标准化扣1分；着装不统一、不干净、形象不好每人次扣1分；设备不完备，扣1分。对学校领导、师生员工工作、学习、生活造成影响，一次投诉扣1分。</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维修实行全天</w:t>
            </w:r>
            <w:r>
              <w:rPr>
                <w:rFonts w:hint="eastAsia" w:ascii="仿宋_GB2312" w:hAnsi="仿宋_GB2312" w:eastAsia="仿宋_GB2312" w:cs="仿宋_GB2312"/>
                <w:color w:val="auto"/>
                <w:sz w:val="24"/>
                <w:highlight w:val="none"/>
                <w:lang w:val="en-US" w:eastAsia="zh-CN"/>
              </w:rPr>
              <w:t>24</w:t>
            </w:r>
            <w:r>
              <w:rPr>
                <w:rFonts w:hint="eastAsia" w:ascii="仿宋_GB2312" w:hAnsi="仿宋_GB2312" w:eastAsia="仿宋_GB2312" w:cs="仿宋_GB2312"/>
                <w:color w:val="auto"/>
                <w:sz w:val="24"/>
                <w:highlight w:val="none"/>
              </w:rPr>
              <w:t>小时报修制（以电话记录、报修单、APP报修记录为凭据）</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“非常紧急”的事项，要求20分钟内到位，1小时内处理好；“紧急”的事项，24小时内处理好；“一般”的事项，48小时处理好；三类维修事项均按每</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小时升一级</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升级后时间不再区分上班或下班时间段；维修过程注重工作态度，校方会对每一次维修作回访调查。</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如逾期未处理扣1分/次/起，可累计；对所有维修当日必须进行回访（以单据为凭证），回访率100%；未回访扣1分/次/起。</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8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对楼梯、过道灯进行检查、调整、维护，保证楼梯、过道灯完好率98%</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未按要求完成，扣1分/次/盏，可累计</w:t>
            </w:r>
            <w:r>
              <w:rPr>
                <w:rFonts w:hint="eastAsia" w:ascii="仿宋_GB2312" w:hAnsi="仿宋_GB2312" w:eastAsia="仿宋_GB2312" w:cs="仿宋_GB2312"/>
                <w:color w:val="auto"/>
                <w:kern w:val="0"/>
                <w:sz w:val="24"/>
                <w:highlight w:val="none"/>
                <w:lang w:eastAsia="zh-CN"/>
              </w:rPr>
              <w:t>。</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81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若有维修不及时、操作处置不当造成漏水或重大事故的</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每次5分</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6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7</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建立相关工程维修、管理档案，并接受学校管理部门检查</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没有建立档案扣1分，不接受检查扣1分</w:t>
            </w:r>
            <w:r>
              <w:rPr>
                <w:rFonts w:hint="eastAsia" w:ascii="仿宋_GB2312" w:hAnsi="仿宋_GB2312" w:eastAsia="仿宋_GB2312" w:cs="仿宋_GB2312"/>
                <w:color w:val="auto"/>
                <w:kern w:val="0"/>
                <w:sz w:val="24"/>
                <w:highlight w:val="none"/>
                <w:lang w:eastAsia="zh-CN"/>
              </w:rPr>
              <w:t>。</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9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每月定期对设施设备进行检查，检查记录完整，发现异常及时汇报</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没有检查记录扣1分，发现异常没有及时汇报扣1分</w:t>
            </w:r>
            <w:r>
              <w:rPr>
                <w:rFonts w:hint="eastAsia" w:ascii="仿宋_GB2312" w:hAnsi="仿宋_GB2312" w:eastAsia="仿宋_GB2312" w:cs="仿宋_GB2312"/>
                <w:color w:val="auto"/>
                <w:kern w:val="0"/>
                <w:sz w:val="24"/>
                <w:highlight w:val="none"/>
                <w:lang w:eastAsia="zh-CN"/>
              </w:rPr>
              <w:t>。</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18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设立标准化耗材管理库房</w:t>
            </w:r>
            <w:r>
              <w:rPr>
                <w:rFonts w:hint="eastAsia" w:ascii="仿宋_GB2312" w:hAnsi="仿宋_GB2312" w:eastAsia="仿宋_GB2312" w:cs="仿宋_GB2312"/>
                <w:color w:val="auto"/>
                <w:kern w:val="0"/>
                <w:sz w:val="24"/>
                <w:highlight w:val="none"/>
                <w:lang w:eastAsia="zh-CN"/>
              </w:rPr>
              <w:t>，配套仓库专业管理软件，</w:t>
            </w:r>
            <w:r>
              <w:rPr>
                <w:rFonts w:hint="eastAsia" w:ascii="仿宋_GB2312" w:hAnsi="仿宋_GB2312" w:eastAsia="仿宋_GB2312" w:cs="仿宋_GB2312"/>
                <w:color w:val="auto"/>
                <w:kern w:val="0"/>
                <w:sz w:val="24"/>
                <w:highlight w:val="none"/>
              </w:rPr>
              <w:t>材料领用有专人负责，材料使用有完整的记录</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没有设立标准化库房扣1分，耗材无人管理扣1分，没有材料使用记录扣1分，可累计扣分，经查出因人为管理不善，造成耗材大量浪费的，一次扣8分</w:t>
            </w:r>
            <w:r>
              <w:rPr>
                <w:rFonts w:hint="eastAsia" w:ascii="仿宋_GB2312" w:hAnsi="仿宋_GB2312" w:eastAsia="仿宋_GB2312" w:cs="仿宋_GB2312"/>
                <w:color w:val="auto"/>
                <w:kern w:val="0"/>
                <w:sz w:val="24"/>
                <w:highlight w:val="none"/>
                <w:lang w:eastAsia="zh-CN"/>
              </w:rPr>
              <w:t>。</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780" w:hRule="atLeast"/>
        </w:trPr>
        <w:tc>
          <w:tcPr>
            <w:tcW w:w="6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对路灯等专项设施有专项管理方案，并落实到位</w:t>
            </w:r>
            <w:r>
              <w:rPr>
                <w:rFonts w:hint="eastAsia" w:ascii="仿宋_GB2312" w:hAnsi="仿宋_GB2312" w:eastAsia="仿宋_GB2312" w:cs="仿宋_GB2312"/>
                <w:color w:val="auto"/>
                <w:kern w:val="0"/>
                <w:sz w:val="24"/>
                <w:highlight w:val="none"/>
                <w:lang w:eastAsia="zh-CN"/>
              </w:rPr>
              <w:t>。</w:t>
            </w:r>
          </w:p>
        </w:tc>
        <w:tc>
          <w:tcPr>
            <w:tcW w:w="31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无管理方案的扣1分，没有落实到位的扣1分</w:t>
            </w:r>
            <w:r>
              <w:rPr>
                <w:rFonts w:hint="eastAsia" w:ascii="仿宋_GB2312" w:hAnsi="仿宋_GB2312" w:eastAsia="仿宋_GB2312" w:cs="仿宋_GB2312"/>
                <w:color w:val="auto"/>
                <w:kern w:val="0"/>
                <w:sz w:val="24"/>
                <w:highlight w:val="none"/>
                <w:lang w:eastAsia="zh-CN"/>
              </w:rPr>
              <w:t>。</w:t>
            </w:r>
          </w:p>
        </w:tc>
        <w:tc>
          <w:tcPr>
            <w:tcW w:w="5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693"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65" w:hRule="atLeast"/>
        </w:trPr>
        <w:tc>
          <w:tcPr>
            <w:tcW w:w="6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11</w:t>
            </w:r>
          </w:p>
        </w:tc>
        <w:tc>
          <w:tcPr>
            <w:tcW w:w="3651"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对学校二次供水有完整的管理方案，并且管理落实到位，协助学校对二次供水进行清洗</w:t>
            </w:r>
            <w:r>
              <w:rPr>
                <w:rFonts w:hint="eastAsia" w:ascii="仿宋_GB2312" w:hAnsi="仿宋_GB2312" w:eastAsia="仿宋_GB2312" w:cs="仿宋_GB2312"/>
                <w:color w:val="auto"/>
                <w:kern w:val="0"/>
                <w:sz w:val="24"/>
                <w:highlight w:val="none"/>
                <w:lang w:eastAsia="zh-CN"/>
              </w:rPr>
              <w:t>。</w:t>
            </w:r>
          </w:p>
        </w:tc>
        <w:tc>
          <w:tcPr>
            <w:tcW w:w="3173"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无管理方案的扣1分，没有落实到位的扣1分，没有协助学校做好二次清洗工作的扣1分</w:t>
            </w:r>
            <w:r>
              <w:rPr>
                <w:rFonts w:hint="eastAsia" w:ascii="仿宋_GB2312" w:hAnsi="仿宋_GB2312" w:eastAsia="仿宋_GB2312" w:cs="仿宋_GB2312"/>
                <w:color w:val="auto"/>
                <w:kern w:val="0"/>
                <w:sz w:val="24"/>
                <w:highlight w:val="none"/>
                <w:lang w:eastAsia="zh-CN"/>
              </w:rPr>
              <w:t>。</w:t>
            </w:r>
          </w:p>
        </w:tc>
        <w:tc>
          <w:tcPr>
            <w:tcW w:w="58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693" w:type="dxa"/>
            <w:tcBorders>
              <w:top w:val="single" w:color="auto" w:sz="4" w:space="0"/>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09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12</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有节能减排管理实施方案，并且落实到位，协助水电科不断优化学校的节能减排工作</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没有管理方案的扣1分，管理在没有落实执行优化方案的每发现1起扣1分，扣完为止</w:t>
            </w:r>
            <w:r>
              <w:rPr>
                <w:rFonts w:hint="eastAsia" w:ascii="仿宋_GB2312" w:hAnsi="仿宋_GB2312" w:eastAsia="仿宋_GB2312" w:cs="仿宋_GB2312"/>
                <w:color w:val="auto"/>
                <w:kern w:val="0"/>
                <w:sz w:val="24"/>
                <w:highlight w:val="none"/>
                <w:lang w:eastAsia="zh-CN"/>
              </w:rPr>
              <w:t>。</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112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13</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协助基建部门对学校第三方施工单位进行监管，并且有完整的监管实施方案，落实到位</w:t>
            </w:r>
            <w:r>
              <w:rPr>
                <w:rFonts w:hint="eastAsia" w:ascii="仿宋_GB2312" w:hAnsi="仿宋_GB2312" w:eastAsia="仿宋_GB2312" w:cs="仿宋_GB2312"/>
                <w:color w:val="auto"/>
                <w:kern w:val="0"/>
                <w:sz w:val="24"/>
                <w:highlight w:val="none"/>
                <w:lang w:eastAsia="zh-CN"/>
              </w:rPr>
              <w:t>。</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没有监管方案的扣1分，没有进行有效监管的扣1分</w:t>
            </w:r>
            <w:r>
              <w:rPr>
                <w:rFonts w:hint="eastAsia" w:ascii="仿宋_GB2312" w:hAnsi="仿宋_GB2312" w:eastAsia="仿宋_GB2312" w:cs="仿宋_GB2312"/>
                <w:color w:val="auto"/>
                <w:kern w:val="0"/>
                <w:sz w:val="24"/>
                <w:highlight w:val="none"/>
                <w:lang w:eastAsia="zh-CN"/>
              </w:rPr>
              <w:t>。</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2214"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14</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建立并落实维修服务，零修、报修及时率不小于95%，返修率小于1%，并有回访记录。</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建立但未落实扣1分，未建立扣2 分；每降低1个百分点扣1分，返修率一项不符合扣1分，记录不完整或无回访记录扣1分。  </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9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15</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维修工程质量合格率100%</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每出现一项维修工程不合格，扣1分</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r>
        <w:tblPrEx>
          <w:tblCellMar>
            <w:top w:w="0" w:type="dxa"/>
            <w:left w:w="108" w:type="dxa"/>
            <w:bottom w:w="0" w:type="dxa"/>
            <w:right w:w="108" w:type="dxa"/>
          </w:tblCellMar>
        </w:tblPrEx>
        <w:trPr>
          <w:trHeight w:val="990"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16</w:t>
            </w:r>
          </w:p>
        </w:tc>
        <w:tc>
          <w:tcPr>
            <w:tcW w:w="3651"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报修率逐月下降，有数据对比</w:t>
            </w:r>
          </w:p>
        </w:tc>
        <w:tc>
          <w:tcPr>
            <w:tcW w:w="317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若无降低，该项不得分</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93"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仿宋_GB2312" w:hAnsi="仿宋_GB2312" w:eastAsia="仿宋_GB2312" w:cs="仿宋_GB2312"/>
                <w:color w:val="auto"/>
                <w:kern w:val="0"/>
                <w:sz w:val="24"/>
                <w:highlight w:val="none"/>
              </w:rPr>
            </w:pPr>
          </w:p>
        </w:tc>
      </w:tr>
      <w:tr>
        <w:tblPrEx>
          <w:tblCellMar>
            <w:top w:w="0" w:type="dxa"/>
            <w:left w:w="108" w:type="dxa"/>
            <w:bottom w:w="0" w:type="dxa"/>
            <w:right w:w="108" w:type="dxa"/>
          </w:tblCellMar>
        </w:tblPrEx>
        <w:trPr>
          <w:trHeight w:val="465" w:hRule="atLeast"/>
        </w:trPr>
        <w:tc>
          <w:tcPr>
            <w:tcW w:w="63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365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合计</w:t>
            </w:r>
          </w:p>
        </w:tc>
        <w:tc>
          <w:tcPr>
            <w:tcW w:w="317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c>
          <w:tcPr>
            <w:tcW w:w="588" w:type="dxa"/>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c>
          <w:tcPr>
            <w:tcW w:w="69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w:t>
            </w:r>
          </w:p>
        </w:tc>
      </w:tr>
    </w:tbl>
    <w:p>
      <w:pPr>
        <w:spacing w:line="360" w:lineRule="auto"/>
        <w:rPr>
          <w:rFonts w:ascii="仿宋_GB2312" w:hAnsi="Calibri" w:eastAsia="仿宋_GB2312"/>
          <w:color w:val="auto"/>
          <w:sz w:val="24"/>
          <w:highlight w:val="none"/>
        </w:rPr>
      </w:pPr>
    </w:p>
    <w:tbl>
      <w:tblPr>
        <w:tblStyle w:val="48"/>
        <w:tblW w:w="84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
        <w:gridCol w:w="3820"/>
        <w:gridCol w:w="2895"/>
        <w:gridCol w:w="645"/>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426" w:type="dxa"/>
            <w:gridSpan w:val="5"/>
            <w:tcBorders>
              <w:top w:val="nil"/>
              <w:left w:val="nil"/>
              <w:bottom w:val="nil"/>
              <w:right w:val="nil"/>
            </w:tcBorders>
            <w:noWrap w:val="0"/>
            <w:vAlign w:val="center"/>
          </w:tcPr>
          <w:p>
            <w:pPr>
              <w:widowControl/>
              <w:spacing w:line="360" w:lineRule="auto"/>
              <w:jc w:val="center"/>
              <w:rPr>
                <w:rFonts w:hint="eastAsia" w:ascii="仿宋_GB2312" w:hAnsi="宋体" w:eastAsia="仿宋_GB2312" w:cs="宋体"/>
                <w:color w:val="auto"/>
                <w:kern w:val="0"/>
                <w:sz w:val="24"/>
                <w:highlight w:val="none"/>
              </w:rPr>
            </w:pPr>
            <w:r>
              <w:rPr>
                <w:rFonts w:hint="eastAsia" w:ascii="仿宋_GB2312" w:hAnsi="宋体" w:eastAsia="仿宋_GB2312" w:cs="宋体"/>
                <w:b/>
                <w:bCs/>
                <w:color w:val="auto"/>
                <w:kern w:val="0"/>
                <w:sz w:val="24"/>
                <w:highlight w:val="none"/>
                <w:lang w:val="en-US" w:eastAsia="zh-CN"/>
              </w:rPr>
              <w:t>校园卫生保洁月度考核表（由后勤保障处负责）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842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考核物业：        评分人：     主管领导：          时间：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序号</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服务内容及质量要求</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监管评分标准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分值</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保洁模块责安全任事故为0</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出现一次责任事故扣6分。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6</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2</w:t>
            </w:r>
          </w:p>
        </w:tc>
        <w:tc>
          <w:tcPr>
            <w:tcW w:w="382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有完整的年度、月度、周保洁计划</w:t>
            </w:r>
          </w:p>
        </w:tc>
        <w:tc>
          <w:tcPr>
            <w:tcW w:w="28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无保洁计划扣6分，计划不完整扣3分。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6</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3</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卫生保洁及时率、合格率不小于98%</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保洁员不按时、及时或不按要求对所管辖的区域进行保洁，每处扣1分。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6</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4</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清洁卫生各责任范围明确到人，实行标准化保洁。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清洁员责任不明确扣0.5分，未实行标准化保洁扣0.5分。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6</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5</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按要求配置保洁员，保洁员按时到岗，不迟到、不早退，着装统一、工作仔细、形象良好；保洁员不在工作时间内分拣垃圾</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保洁员每缺1人扣1分；着装不统一、不干净、形象不好每人次扣0.5分；保洁员未执行八小时工作制，保洁人员工作期间不穿工作服，每次扣0.5分。出现有上班迟到或早退现象或有分拣垃圾现象，每次扣0.5分。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8</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4"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6</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保洁人员进入学习、工作场所作业，做到动作轻、说话轻、走路轻。</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对学校领导、师生员工工作、学习、生活造成影响，一次投诉扣0.5分；值班期间不穿工作服的或在工作区域内换衣服的，每次扣0.5分。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8</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7</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电梯轿厢亮洁，地面无积水、杂物、污渍、灰尘，电梯槽内无杂物堆积。</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每一项不符合扣0.5分；保洁区域内的地板、地脚线、楼梯、扶手、天花板有灰尘或蜘蛛网等垃圾未清理的，每处扣0.5分。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8</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7"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8</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清洁工具、设备配置到位，保洁工具按规定放到指定场所。</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每缺少一样工具扣1分；不按规定摆放到指定场所每处扣1分。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8</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9"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9</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门厅、走廊、楼梯干净明亮、无纸屑 、果皮和明显垃圾、烟头。办公室、会议室、值班室、设备房、室内地面及家具、电器、设备干净明亮，无灰尘及其他杂物，物品及桌椅摆放整齐；外墙面（3米以下）目视无污迹，每年清洗一次。架空层、楼层下无蜘蛛网、无积尘。</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墙面、天花板、灯等无灰尘、蜘蛛网、桌倚台面无污 ，地面无杂物，垃圾篓清理及时，物品摆放整齐；每一项不符合扣0.5分；保洁工具或绿化工具未按规定放到指定场所而乱摆乱放的，每处扣0.5分，有明显污渍 、杂物，楼梯、地面有烟头、痰迹、墙面有珠丝、灰尘均扣0.5分。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9</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10</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洗手间无异味、无积水、镜面玻璃无污渍、手印、乱涂画；作业时，要做提醒标识 。公共卫生间镜面无污迹；洗手盆无明显污迹、灰尘杂物；门窗管线无明显积尘；地板无积水，无明显污迹，室内无蜘蛛网，大小便盆无异味或尿渍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地面、台面有水迹、污物、大小便池有污物，卫生球、洗手液未及时更换，有异味扣0.5分，墙面、镜面有污迹、手印扣0.5，未放标识扣0.5分；厕所卫生不合格，如洗手盆有灰尘杂物未清理、厕所门窗管线有积尘的、厕所地板有积水、室内有蜘蛛网、大小便盆未清洁有异味或尿渍等，每处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9</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11</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标识牌、公共设施（含消防栓、开水机、运动器械、空调机等属于校方财产）视无明显灰尘，平台、转换层及屋顶无积水、杂物，管线无污迹，雨蓬无垃圾、青苔、积水，墙面、宣传栏、玻璃、门上无污渍,无乱贴、乱涂画和乱悬挂现象。</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每一项不符合扣0.5分；每发现一处乱张贴、乱涂、乱画和乱悬挂扣0.5分；保洁未对消防器材外部和空调机进行清洁卫生工作，每处扣0.5分。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9</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12</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道路无明显泥沙、污垢、纸屑、枯树枝树叶，无积水，无垃圾堆积物，无杂草延伸；每100平方米内烟头、纸屑不超过3处，无1cm以上的石子；对主干道定期进行清洗；对校园内的绿化进行保洁，清除绿化带内的垃圾，无落叶、无包装塑料袋、无木棍等杂物。雨水井、污水井和沙井排水通畅、无外溢，沙井内无纸屑、烟头，盖板无污垢、无破损；排洪沟、渠、天台定期清除淤泥，杂草，无垃圾，无堵塞；明渠干净，无积污水（排洪渠例外）；湖面无垃圾，无杂物。</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不符合扣0.5分；保洁未及时对区域内的所有绿化进行保洁维护的，绿化区域内有烟头、纸屑、树叶、杂草未清理的，每处扣0.5分。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9</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1"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13</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桶内垃圾不超过四分之三；垃圾桶随时清洗，外观无污渍、灰尘，内无异味散发。垃圾桶和垃圾斗周围无垃圾散落现象。垃圾即满即清，至少日产日清，不出现垃圾满至落地现象。</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每发现一处，扣0.5分。</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8</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合计</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100</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tc>
      </w:tr>
    </w:tbl>
    <w:p>
      <w:pPr>
        <w:widowControl/>
        <w:spacing w:line="360" w:lineRule="auto"/>
        <w:jc w:val="center"/>
        <w:rPr>
          <w:rFonts w:hint="eastAsia" w:ascii="仿宋_GB2312" w:hAnsi="宋体" w:eastAsia="仿宋_GB2312" w:cs="宋体"/>
          <w:color w:val="auto"/>
          <w:kern w:val="0"/>
          <w:sz w:val="24"/>
          <w:highlight w:val="none"/>
        </w:rPr>
      </w:pPr>
    </w:p>
    <w:tbl>
      <w:tblPr>
        <w:tblStyle w:val="48"/>
        <w:tblW w:w="87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6"/>
        <w:gridCol w:w="3255"/>
        <w:gridCol w:w="3310"/>
        <w:gridCol w:w="716"/>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8720" w:type="dxa"/>
            <w:gridSpan w:val="5"/>
            <w:tcBorders>
              <w:top w:val="nil"/>
              <w:left w:val="nil"/>
              <w:bottom w:val="nil"/>
              <w:right w:val="nil"/>
            </w:tcBorders>
            <w:noWrap w:val="0"/>
            <w:vAlign w:val="center"/>
          </w:tcPr>
          <w:p>
            <w:pPr>
              <w:widowControl/>
              <w:spacing w:line="360" w:lineRule="auto"/>
              <w:jc w:val="center"/>
              <w:rPr>
                <w:rFonts w:hint="eastAsia" w:ascii="仿宋_GB2312" w:hAnsi="宋体" w:eastAsia="仿宋_GB2312" w:cs="宋体"/>
                <w:color w:val="auto"/>
                <w:kern w:val="0"/>
                <w:sz w:val="24"/>
                <w:highlight w:val="none"/>
              </w:rPr>
            </w:pPr>
            <w:r>
              <w:rPr>
                <w:rFonts w:hint="eastAsia" w:ascii="仿宋_GB2312" w:hAnsi="宋体" w:eastAsia="仿宋_GB2312" w:cs="宋体"/>
                <w:b/>
                <w:bCs/>
                <w:color w:val="auto"/>
                <w:kern w:val="0"/>
                <w:sz w:val="24"/>
                <w:highlight w:val="none"/>
                <w:lang w:val="en-US" w:eastAsia="zh-CN"/>
              </w:rPr>
              <w:t>校园绿化养护月度考核表（由后勤保障处负责）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872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考核物业：        评分人：     主管领导：          时间：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序号</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服务内容及质量要求</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监管评分标准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分值</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绿化养护模块责安全任事故为0</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发生工作安全责任事故扣6分。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6</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2</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绿化养护方案制定合理，每月按当月计划进行养护。</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无养护方案不得分，方案不合理一处扣1分，没有按当月计划进行养护，没有一次扣1分。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7</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7"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3</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工作人员按作业要求穿戴工作服装，服装统一、干净整齐。工作热情饱满，工作情绪稳定，热爱工作。</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不按要求着装每人每次扣1分，员工不能正常到岗，缺勤每人每次扣1分。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7</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3"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4</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大型乔木修剪要求定时修剪，无干枯枝、缠绕物、钉挂物，分枝合理，树冠匀称，观赏效果良好。整型乔灌木：按要求养成并维持一定形态，生长茂密，脚叶丰满。形态优美。达标率＞95%；有地被树盘：其形状、大小整齐规范，满盘，不攀缠植株，无明显杂草、杂物。</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大型乔木修剪不及时扣1分，修剪不美观每处扣1分，修剪不达标每处扣1分，有枯枝或缠绕物钉挂物等每处扣1分，有杂草杂物扣1分。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8"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5</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小型乔木修剪要求无柘枝，树枝不阻车辆和行人通过，建筑物1米范围内不应有树枝，主侧枝分布均匀，无干枯枝、缠绕物、钉挂物，树冠匀称，具良好观赏效果。有地被树盘：其形状、大小整齐规范，满盘，不攀缠植株；无地被树盘：大小合适，边线整齐。</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小型乔木修剪不及时扣1分，修剪不美观每处扣1分，修剪不达标每处扣1分，有枯枝或缠绕物钉挂物等每处扣1分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3"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6</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灌木修剪要求成型、整齐，新长枝不超过30厘米，整形乔灌木：养成并维持一定形态，生长茂密，脚叶丰满形态良好。一般孤植灌木：按要求养成观花或观叶形态，树形良好，无枯枝；片植灌木：图形清晰、线条明显、流畅。</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灌木修剪不适时扣1分，修剪不美观每处扣1分，修剪不达标每处扣1分。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1"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7</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草地修剪要求路牙、井口、水沟、散水坡边整齐、草坪目视平整，无明显起团，高度在8cm以下；无明显坑洼，草坪边缘线基本清晰。</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草地修剪不及时扣1分，修剪不美观每处扣1分，修剪不达标每处扣1分。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6"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乔木施肥要求采用穴施或沟施，施肥、浇水及时，覆土平整，肥料不露出土面，植株生长良好，符合物候状况，叶的颜色、形状、大小正常，树体正直不偏斜；观花植物适时开花，达标率＞90%；草地施肥要求播篱和喷施，不伤花草。</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乔木施肥不及时扣1分，露肥扣1分，植物观赏叶、花颜色不正常扣1分，没有正确施肥导致植物受伤扣1分。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3"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9</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灌木施肥要求保证基肥，追施化肥，少量多次，浇水及时，植株生长良好，符合物候状况，叶的颜色、形状、大小正常，达标率＞90%。</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灌木施肥浇水不及时扣1分，植物状态不正常扣1分。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8"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10</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花卉施肥要求保证基肥，追施化肥，少量多次， 不伤花草；植株生长良好，符合物候状况，叶的颜色、形状、大小正常，适时开花，达标率＞90%。</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花卉施肥不及时扣1分，植株生产不正常扣1分，开花率不达标扣1分。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0"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11</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绿化防病治虫要求药物资料齐全，药物留样保存15天备查。苗木无明显病虫害危害迹象；总的病虫害要求为害率＜15%，其中蛀干、根部害虫＜5%，食叶害虫＜10%，刺吸性害虫＜15%，病害感染率＜10%，寄生＜5%。</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药物资料不齐全，每种扣1分，要求无留样每种扣1分，病虫害迹象明显每处扣2分，病虫害超出要求标准每处扣2分。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8"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12</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花卉、树苗要求冬季早晚不浇水，夏季中午不浇水，浇水时无遗漏，花叶不染泥土，土不压苗心，水不冲倒苗，无旱死、旱枯的现象，无水淹、植物淹死现象。树木、草地要求冬季早晚不浇水，夏季中午不浇水，浇水时不遗漏，浇水透土深度为：树木3厘米，草地2厘米，无旱死、旱枯的现象。</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没有按照要求浇水每处扣1分，出现浇水水淹处，每处扣1分，浇水不达标每处扣1分，苗木旱死，枯死每处扣2分。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8"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13</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日常养护中耕、除杂草要求无明显杂草，草地纯度大于95% 。树木底下土面层不板结，透气良好 。补栽、补种要求无明显黄土裸露，最大裸露块在0.4平方米，裸露面积在总面积的0.5%以下，缺株在0.5%以下。防风排涝巡视看管要求暴风雨过后12小时内，草地无1平方米以上的积水，树木无倒斜，断枝落叶需在半天内处理。</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有明显杂草一处扣1分，土层板结一处扣1分，黄土裸露超过标准一处扣1分，缺株超过标准1处扣1分，没有及时排涝一处扣1分，树木倾斜没有及时扶正，短枝断树没有及时清理一处扣1分。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合计</w:t>
            </w:r>
          </w:p>
        </w:tc>
        <w:tc>
          <w:tcPr>
            <w:tcW w:w="3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100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bl>
    <w:p>
      <w:pPr>
        <w:spacing w:line="360" w:lineRule="auto"/>
        <w:rPr>
          <w:rFonts w:hint="eastAsia" w:ascii="仿宋_GB2312" w:hAnsi="Calibri" w:eastAsia="仿宋_GB2312"/>
          <w:b/>
          <w:bCs/>
          <w:color w:val="auto"/>
          <w:sz w:val="24"/>
          <w:highlight w:val="none"/>
        </w:rPr>
      </w:pPr>
    </w:p>
    <w:p>
      <w:pPr>
        <w:spacing w:line="360" w:lineRule="auto"/>
        <w:rPr>
          <w:rFonts w:ascii="仿宋_GB2312" w:hAnsi="Calibri" w:eastAsia="仿宋_GB2312"/>
          <w:color w:val="auto"/>
          <w:sz w:val="24"/>
          <w:highlight w:val="none"/>
        </w:rPr>
      </w:pPr>
      <w:r>
        <w:rPr>
          <w:rFonts w:ascii="仿宋_GB2312" w:hAnsi="仿宋_GB2312" w:eastAsia="仿宋_GB2312" w:cs="仿宋_GB2312"/>
          <w:bCs/>
          <w:color w:val="auto"/>
          <w:sz w:val="24"/>
          <w:highlight w:val="none"/>
        </w:rPr>
        <w:t>★</w:t>
      </w:r>
      <w:r>
        <w:rPr>
          <w:rFonts w:hint="eastAsia" w:ascii="仿宋_GB2312" w:hAnsi="Calibri" w:eastAsia="仿宋_GB2312"/>
          <w:b/>
          <w:bCs/>
          <w:color w:val="auto"/>
          <w:sz w:val="24"/>
          <w:highlight w:val="none"/>
        </w:rPr>
        <w:t>附件3：</w:t>
      </w:r>
      <w:r>
        <w:rPr>
          <w:rFonts w:hint="eastAsia" w:ascii="仿宋_GB2312" w:hAnsi="Calibri" w:eastAsia="仿宋_GB2312"/>
          <w:color w:val="auto"/>
          <w:sz w:val="24"/>
          <w:highlight w:val="none"/>
          <w:lang w:eastAsia="zh-CN"/>
        </w:rPr>
        <w:t>柳州职业技术学院</w:t>
      </w:r>
      <w:r>
        <w:rPr>
          <w:rFonts w:hint="eastAsia" w:ascii="仿宋_GB2312" w:hAnsi="Calibri" w:eastAsia="仿宋_GB2312"/>
          <w:color w:val="auto"/>
          <w:sz w:val="24"/>
          <w:highlight w:val="none"/>
        </w:rPr>
        <w:t>物业服务日常检查记录表</w:t>
      </w:r>
    </w:p>
    <w:tbl>
      <w:tblPr>
        <w:tblStyle w:val="48"/>
        <w:tblW w:w="0" w:type="auto"/>
        <w:tblInd w:w="108" w:type="dxa"/>
        <w:tblLayout w:type="autofit"/>
        <w:tblCellMar>
          <w:top w:w="0" w:type="dxa"/>
          <w:left w:w="108" w:type="dxa"/>
          <w:bottom w:w="0" w:type="dxa"/>
          <w:right w:w="108" w:type="dxa"/>
        </w:tblCellMar>
      </w:tblPr>
      <w:tblGrid>
        <w:gridCol w:w="2472"/>
        <w:gridCol w:w="2391"/>
        <w:gridCol w:w="2335"/>
        <w:gridCol w:w="1936"/>
      </w:tblGrid>
      <w:tr>
        <w:tblPrEx>
          <w:tblCellMar>
            <w:top w:w="0" w:type="dxa"/>
            <w:left w:w="108" w:type="dxa"/>
            <w:bottom w:w="0" w:type="dxa"/>
            <w:right w:w="108" w:type="dxa"/>
          </w:tblCellMar>
        </w:tblPrEx>
        <w:trPr>
          <w:trHeight w:val="583" w:hRule="atLeast"/>
        </w:trPr>
        <w:tc>
          <w:tcPr>
            <w:tcW w:w="9860" w:type="dxa"/>
            <w:gridSpan w:val="4"/>
            <w:tcBorders>
              <w:top w:val="nil"/>
              <w:left w:val="nil"/>
              <w:bottom w:val="single" w:color="auto" w:sz="4" w:space="0"/>
              <w:right w:val="nil"/>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b/>
                <w:bCs/>
                <w:color w:val="auto"/>
                <w:kern w:val="0"/>
                <w:sz w:val="24"/>
                <w:highlight w:val="none"/>
              </w:rPr>
              <w:t xml:space="preserve">  </w:t>
            </w:r>
            <w:r>
              <w:rPr>
                <w:rFonts w:hint="eastAsia" w:ascii="仿宋_GB2312" w:eastAsia="仿宋_GB2312"/>
                <w:b/>
                <w:bCs/>
                <w:color w:val="auto"/>
                <w:kern w:val="0"/>
                <w:sz w:val="24"/>
                <w:highlight w:val="none"/>
                <w:lang w:eastAsia="zh-CN"/>
              </w:rPr>
              <w:t>柳州职业技术学院</w:t>
            </w:r>
            <w:r>
              <w:rPr>
                <w:rFonts w:hint="eastAsia" w:ascii="仿宋_GB2312" w:eastAsia="仿宋_GB2312"/>
                <w:b/>
                <w:bCs/>
                <w:color w:val="auto"/>
                <w:kern w:val="0"/>
                <w:sz w:val="24"/>
                <w:highlight w:val="none"/>
              </w:rPr>
              <w:t>物业服务日常检查记录表</w:t>
            </w:r>
          </w:p>
        </w:tc>
      </w:tr>
      <w:tr>
        <w:tblPrEx>
          <w:tblCellMar>
            <w:top w:w="0" w:type="dxa"/>
            <w:left w:w="108" w:type="dxa"/>
            <w:bottom w:w="0" w:type="dxa"/>
            <w:right w:w="108" w:type="dxa"/>
          </w:tblCellMar>
        </w:tblPrEx>
        <w:trPr>
          <w:trHeight w:val="389" w:hRule="atLeast"/>
        </w:trPr>
        <w:tc>
          <w:tcPr>
            <w:tcW w:w="2661" w:type="dxa"/>
            <w:tcBorders>
              <w:top w:val="single" w:color="auto" w:sz="4" w:space="0"/>
              <w:left w:val="single" w:color="auto" w:sz="4" w:space="0"/>
              <w:bottom w:val="single" w:color="auto" w:sz="8" w:space="0"/>
              <w:right w:val="single" w:color="auto" w:sz="8"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检查小组</w:t>
            </w:r>
          </w:p>
        </w:tc>
        <w:tc>
          <w:tcPr>
            <w:tcW w:w="2593" w:type="dxa"/>
            <w:tcBorders>
              <w:top w:val="single" w:color="auto" w:sz="4" w:space="0"/>
              <w:left w:val="nil"/>
              <w:bottom w:val="single" w:color="auto" w:sz="8" w:space="0"/>
              <w:right w:val="single" w:color="auto" w:sz="8"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　</w:t>
            </w:r>
          </w:p>
        </w:tc>
        <w:tc>
          <w:tcPr>
            <w:tcW w:w="2510" w:type="dxa"/>
            <w:tcBorders>
              <w:top w:val="single" w:color="auto" w:sz="4" w:space="0"/>
              <w:left w:val="nil"/>
              <w:bottom w:val="single" w:color="auto" w:sz="8" w:space="0"/>
              <w:right w:val="single" w:color="auto" w:sz="8"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检查时间</w:t>
            </w:r>
          </w:p>
        </w:tc>
        <w:tc>
          <w:tcPr>
            <w:tcW w:w="2096" w:type="dxa"/>
            <w:tcBorders>
              <w:top w:val="single" w:color="auto" w:sz="4" w:space="0"/>
              <w:left w:val="nil"/>
              <w:bottom w:val="single" w:color="auto" w:sz="8" w:space="0"/>
              <w:right w:val="single" w:color="auto" w:sz="4"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　</w:t>
            </w:r>
          </w:p>
        </w:tc>
      </w:tr>
      <w:tr>
        <w:tblPrEx>
          <w:tblCellMar>
            <w:top w:w="0" w:type="dxa"/>
            <w:left w:w="108" w:type="dxa"/>
            <w:bottom w:w="0" w:type="dxa"/>
            <w:right w:w="108" w:type="dxa"/>
          </w:tblCellMar>
        </w:tblPrEx>
        <w:trPr>
          <w:trHeight w:val="462" w:hRule="atLeast"/>
        </w:trPr>
        <w:tc>
          <w:tcPr>
            <w:tcW w:w="2661" w:type="dxa"/>
            <w:tcBorders>
              <w:top w:val="nil"/>
              <w:left w:val="single" w:color="auto" w:sz="4" w:space="0"/>
              <w:bottom w:val="nil"/>
              <w:right w:val="single" w:color="auto" w:sz="8"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检查人员</w:t>
            </w:r>
          </w:p>
        </w:tc>
        <w:tc>
          <w:tcPr>
            <w:tcW w:w="7199" w:type="dxa"/>
            <w:gridSpan w:val="3"/>
            <w:tcBorders>
              <w:top w:val="single" w:color="auto" w:sz="8" w:space="0"/>
              <w:left w:val="nil"/>
              <w:bottom w:val="single" w:color="auto" w:sz="8" w:space="0"/>
              <w:right w:val="single" w:color="auto" w:sz="4" w:space="0"/>
            </w:tcBorders>
            <w:noWrap w:val="0"/>
            <w:vAlign w:val="center"/>
          </w:tcPr>
          <w:p>
            <w:pPr>
              <w:widowControl/>
              <w:spacing w:line="360" w:lineRule="auto"/>
              <w:jc w:val="left"/>
              <w:rPr>
                <w:rFonts w:ascii="仿宋_GB2312" w:eastAsia="仿宋_GB2312"/>
                <w:color w:val="auto"/>
                <w:kern w:val="0"/>
                <w:sz w:val="24"/>
                <w:highlight w:val="none"/>
              </w:rPr>
            </w:pPr>
            <w:r>
              <w:rPr>
                <w:rFonts w:hint="eastAsia" w:ascii="仿宋_GB2312" w:eastAsia="仿宋_GB2312"/>
                <w:color w:val="auto"/>
                <w:kern w:val="0"/>
                <w:sz w:val="24"/>
                <w:highlight w:val="none"/>
              </w:rPr>
              <w:t>　</w:t>
            </w:r>
          </w:p>
        </w:tc>
      </w:tr>
      <w:tr>
        <w:tblPrEx>
          <w:tblCellMar>
            <w:top w:w="0" w:type="dxa"/>
            <w:left w:w="108" w:type="dxa"/>
            <w:bottom w:w="0" w:type="dxa"/>
            <w:right w:w="108" w:type="dxa"/>
          </w:tblCellMar>
        </w:tblPrEx>
        <w:trPr>
          <w:trHeight w:val="583" w:hRule="atLeast"/>
        </w:trPr>
        <w:tc>
          <w:tcPr>
            <w:tcW w:w="26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物业公司代表</w:t>
            </w:r>
          </w:p>
        </w:tc>
        <w:tc>
          <w:tcPr>
            <w:tcW w:w="7199" w:type="dxa"/>
            <w:gridSpan w:val="3"/>
            <w:tcBorders>
              <w:top w:val="single" w:color="auto" w:sz="8" w:space="0"/>
              <w:left w:val="nil"/>
              <w:bottom w:val="nil"/>
              <w:right w:val="single" w:color="auto" w:sz="4"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　</w:t>
            </w:r>
          </w:p>
        </w:tc>
      </w:tr>
      <w:tr>
        <w:tblPrEx>
          <w:tblCellMar>
            <w:top w:w="0" w:type="dxa"/>
            <w:left w:w="108" w:type="dxa"/>
            <w:bottom w:w="0" w:type="dxa"/>
            <w:right w:w="108" w:type="dxa"/>
          </w:tblCellMar>
        </w:tblPrEx>
        <w:trPr>
          <w:trHeight w:val="2674" w:hRule="atLeast"/>
        </w:trPr>
        <w:tc>
          <w:tcPr>
            <w:tcW w:w="2661"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存在问题与建议</w:t>
            </w:r>
          </w:p>
        </w:tc>
        <w:tc>
          <w:tcPr>
            <w:tcW w:w="7199" w:type="dxa"/>
            <w:gridSpan w:val="3"/>
            <w:tcBorders>
              <w:top w:val="single" w:color="auto" w:sz="8"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　</w:t>
            </w:r>
          </w:p>
        </w:tc>
      </w:tr>
      <w:tr>
        <w:tblPrEx>
          <w:tblCellMar>
            <w:top w:w="0" w:type="dxa"/>
            <w:left w:w="108" w:type="dxa"/>
            <w:bottom w:w="0" w:type="dxa"/>
            <w:right w:w="108" w:type="dxa"/>
          </w:tblCellMar>
        </w:tblPrEx>
        <w:trPr>
          <w:trHeight w:val="3535" w:hRule="atLeast"/>
        </w:trPr>
        <w:tc>
          <w:tcPr>
            <w:tcW w:w="266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整改情况</w:t>
            </w:r>
          </w:p>
        </w:tc>
        <w:tc>
          <w:tcPr>
            <w:tcW w:w="7199" w:type="dxa"/>
            <w:gridSpan w:val="3"/>
            <w:tcBorders>
              <w:top w:val="single" w:color="auto" w:sz="4" w:space="0"/>
              <w:left w:val="nil"/>
              <w:bottom w:val="single" w:color="auto" w:sz="8" w:space="0"/>
              <w:right w:val="single" w:color="000000" w:sz="8" w:space="0"/>
            </w:tcBorders>
            <w:noWrap w:val="0"/>
            <w:vAlign w:val="center"/>
          </w:tcPr>
          <w:p>
            <w:pPr>
              <w:widowControl/>
              <w:spacing w:line="360" w:lineRule="auto"/>
              <w:jc w:val="center"/>
              <w:rPr>
                <w:rFonts w:ascii="仿宋_GB2312" w:eastAsia="仿宋_GB2312"/>
                <w:color w:val="auto"/>
                <w:kern w:val="0"/>
                <w:sz w:val="24"/>
                <w:highlight w:val="none"/>
              </w:rPr>
            </w:pPr>
            <w:r>
              <w:rPr>
                <w:rFonts w:hint="eastAsia" w:ascii="仿宋_GB2312" w:eastAsia="仿宋_GB2312"/>
                <w:color w:val="auto"/>
                <w:kern w:val="0"/>
                <w:sz w:val="24"/>
                <w:highlight w:val="none"/>
              </w:rPr>
              <w:t>　</w:t>
            </w:r>
          </w:p>
        </w:tc>
      </w:tr>
      <w:tr>
        <w:tblPrEx>
          <w:tblCellMar>
            <w:top w:w="0" w:type="dxa"/>
            <w:left w:w="108" w:type="dxa"/>
            <w:bottom w:w="0" w:type="dxa"/>
            <w:right w:w="108" w:type="dxa"/>
          </w:tblCellMar>
        </w:tblPrEx>
        <w:trPr>
          <w:trHeight w:val="474" w:hRule="atLeast"/>
        </w:trPr>
        <w:tc>
          <w:tcPr>
            <w:tcW w:w="9860" w:type="dxa"/>
            <w:gridSpan w:val="4"/>
            <w:tcBorders>
              <w:top w:val="nil"/>
              <w:left w:val="nil"/>
              <w:bottom w:val="nil"/>
              <w:right w:val="nil"/>
            </w:tcBorders>
            <w:noWrap w:val="0"/>
            <w:vAlign w:val="center"/>
          </w:tcPr>
          <w:p>
            <w:pPr>
              <w:widowControl/>
              <w:spacing w:line="360" w:lineRule="auto"/>
              <w:jc w:val="left"/>
              <w:rPr>
                <w:rFonts w:ascii="仿宋_GB2312" w:eastAsia="仿宋_GB2312"/>
                <w:color w:val="auto"/>
                <w:kern w:val="0"/>
                <w:sz w:val="24"/>
                <w:highlight w:val="none"/>
              </w:rPr>
            </w:pPr>
            <w:r>
              <w:rPr>
                <w:rFonts w:hint="eastAsia" w:ascii="仿宋_GB2312" w:eastAsia="仿宋_GB2312"/>
                <w:color w:val="auto"/>
                <w:kern w:val="0"/>
                <w:sz w:val="24"/>
                <w:highlight w:val="none"/>
              </w:rPr>
              <w:t>备注：整改情况由物业公司填写并反馈检查小组。</w:t>
            </w:r>
          </w:p>
          <w:p>
            <w:pPr>
              <w:widowControl/>
              <w:spacing w:line="360" w:lineRule="auto"/>
              <w:jc w:val="left"/>
              <w:rPr>
                <w:rFonts w:ascii="仿宋_GB2312" w:eastAsia="仿宋_GB2312"/>
                <w:color w:val="auto"/>
                <w:kern w:val="0"/>
                <w:sz w:val="24"/>
                <w:highlight w:val="none"/>
              </w:rPr>
            </w:pPr>
          </w:p>
          <w:p>
            <w:pPr>
              <w:widowControl/>
              <w:spacing w:line="360" w:lineRule="auto"/>
              <w:jc w:val="left"/>
              <w:rPr>
                <w:rFonts w:ascii="仿宋_GB2312" w:eastAsia="仿宋_GB2312"/>
                <w:color w:val="auto"/>
                <w:kern w:val="0"/>
                <w:sz w:val="24"/>
                <w:highlight w:val="none"/>
              </w:rPr>
            </w:pPr>
          </w:p>
        </w:tc>
      </w:tr>
    </w:tbl>
    <w:p>
      <w:pPr>
        <w:pStyle w:val="809"/>
        <w:spacing w:line="360" w:lineRule="auto"/>
        <w:ind w:firstLine="0" w:firstLineChars="0"/>
        <w:jc w:val="left"/>
        <w:rPr>
          <w:rFonts w:ascii="仿宋_GB2312" w:eastAsia="仿宋_GB2312"/>
          <w:bCs/>
          <w:color w:val="auto"/>
          <w:sz w:val="24"/>
          <w:highlight w:val="none"/>
        </w:rPr>
      </w:pPr>
      <w:r>
        <w:rPr>
          <w:rFonts w:ascii="仿宋_GB2312" w:hAnsi="仿宋_GB2312" w:eastAsia="仿宋_GB2312" w:cs="仿宋_GB2312"/>
          <w:bCs/>
          <w:color w:val="auto"/>
          <w:sz w:val="24"/>
          <w:highlight w:val="none"/>
        </w:rPr>
        <w:t>★</w:t>
      </w:r>
      <w:r>
        <w:rPr>
          <w:rFonts w:hint="eastAsia" w:ascii="仿宋_GB2312" w:eastAsia="仿宋_GB2312"/>
          <w:b/>
          <w:color w:val="auto"/>
          <w:kern w:val="0"/>
          <w:sz w:val="24"/>
          <w:highlight w:val="none"/>
        </w:rPr>
        <w:t>附件4：</w:t>
      </w:r>
      <w:r>
        <w:rPr>
          <w:rFonts w:hint="eastAsia" w:ascii="仿宋_GB2312" w:eastAsia="仿宋_GB2312"/>
          <w:bCs/>
          <w:color w:val="auto"/>
          <w:sz w:val="24"/>
          <w:highlight w:val="none"/>
          <w:lang w:eastAsia="zh-CN"/>
        </w:rPr>
        <w:t>柳州职业技术学院</w:t>
      </w:r>
      <w:r>
        <w:rPr>
          <w:rFonts w:hint="eastAsia" w:ascii="仿宋_GB2312" w:eastAsia="仿宋_GB2312"/>
          <w:bCs/>
          <w:color w:val="auto"/>
          <w:sz w:val="24"/>
          <w:highlight w:val="none"/>
        </w:rPr>
        <w:t>物业服务考核办法</w:t>
      </w:r>
    </w:p>
    <w:p>
      <w:pPr>
        <w:pStyle w:val="809"/>
        <w:spacing w:line="360" w:lineRule="auto"/>
        <w:ind w:firstLine="0" w:firstLineChars="0"/>
        <w:jc w:val="left"/>
        <w:rPr>
          <w:rFonts w:hint="eastAsia" w:ascii="仿宋_GB2312" w:hAnsi="仿宋_GB2312" w:eastAsia="仿宋_GB2312" w:cs="仿宋_GB2312"/>
          <w:bCs/>
          <w:color w:val="auto"/>
          <w:sz w:val="24"/>
          <w:highlight w:val="none"/>
        </w:rPr>
      </w:pPr>
    </w:p>
    <w:p>
      <w:pPr>
        <w:adjustRightInd w:val="0"/>
        <w:snapToGrid w:val="0"/>
        <w:spacing w:line="360" w:lineRule="auto"/>
        <w:ind w:firstLine="482" w:firstLineChars="200"/>
        <w:jc w:val="center"/>
        <w:rPr>
          <w:rFonts w:hint="eastAsia" w:ascii="仿宋_GB2312" w:hAnsi="仿宋_GB2312" w:eastAsia="仿宋_GB2312" w:cs="仿宋_GB2312"/>
          <w:b/>
          <w:bCs w:val="0"/>
          <w:color w:val="auto"/>
          <w:sz w:val="24"/>
          <w:highlight w:val="none"/>
        </w:rPr>
      </w:pPr>
      <w:r>
        <w:rPr>
          <w:rFonts w:hint="eastAsia" w:ascii="仿宋_GB2312" w:hAnsi="仿宋_GB2312" w:eastAsia="仿宋_GB2312" w:cs="仿宋_GB2312"/>
          <w:b/>
          <w:bCs w:val="0"/>
          <w:color w:val="auto"/>
          <w:sz w:val="24"/>
          <w:highlight w:val="none"/>
          <w:lang w:eastAsia="zh-CN"/>
        </w:rPr>
        <w:t>柳州职业技术学院</w:t>
      </w:r>
      <w:r>
        <w:rPr>
          <w:rFonts w:hint="eastAsia" w:ascii="仿宋_GB2312" w:hAnsi="仿宋_GB2312" w:eastAsia="仿宋_GB2312" w:cs="仿宋_GB2312"/>
          <w:b/>
          <w:bCs w:val="0"/>
          <w:color w:val="auto"/>
          <w:sz w:val="24"/>
          <w:highlight w:val="none"/>
        </w:rPr>
        <w:t>物业服务考核办法</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为了提高物业服务质量和工作效率，根据学校的实际情况，制定本考核办法。对物业服务中心日常工作不到位、不达标、或有违约现象，将依据合同约定，作出相应的违约处理。</w:t>
      </w:r>
    </w:p>
    <w:p>
      <w:pPr>
        <w:adjustRightInd w:val="0"/>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违约处理规定：合同执行期间，如果有下列情形，学校有权从物业管理服务费中视情节轻重予以扣减</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 xml:space="preserve"> 如涉及分包服务商管理责任</w:t>
      </w:r>
      <w:r>
        <w:rPr>
          <w:rFonts w:hint="eastAsia" w:ascii="仿宋_GB2312" w:hAnsi="仿宋_GB2312" w:eastAsia="仿宋_GB2312" w:cs="仿宋_GB2312"/>
          <w:color w:val="auto"/>
          <w:sz w:val="24"/>
          <w:highlight w:val="none"/>
          <w:lang w:eastAsia="zh-CN"/>
        </w:rPr>
        <w:t>的</w:t>
      </w:r>
      <w:r>
        <w:rPr>
          <w:rFonts w:hint="eastAsia" w:ascii="仿宋_GB2312" w:hAnsi="仿宋_GB2312" w:eastAsia="仿宋_GB2312" w:cs="仿宋_GB2312"/>
          <w:color w:val="auto"/>
          <w:sz w:val="24"/>
          <w:highlight w:val="none"/>
        </w:rPr>
        <w:t>，中标</w:t>
      </w:r>
      <w:r>
        <w:rPr>
          <w:rFonts w:hint="eastAsia" w:ascii="仿宋_GB2312" w:hAnsi="仿宋_GB2312" w:eastAsia="仿宋_GB2312" w:cs="仿宋_GB2312"/>
          <w:color w:val="auto"/>
          <w:sz w:val="24"/>
          <w:highlight w:val="none"/>
          <w:lang w:eastAsia="zh-CN"/>
        </w:rPr>
        <w:t>人</w:t>
      </w:r>
      <w:r>
        <w:rPr>
          <w:rFonts w:hint="eastAsia" w:ascii="仿宋_GB2312" w:hAnsi="仿宋_GB2312" w:eastAsia="仿宋_GB2312" w:cs="仿宋_GB2312"/>
          <w:color w:val="auto"/>
          <w:sz w:val="24"/>
          <w:highlight w:val="none"/>
        </w:rPr>
        <w:t>需按照学校的扣款处</w:t>
      </w:r>
      <w:r>
        <w:rPr>
          <w:rFonts w:hint="eastAsia" w:ascii="仿宋_GB2312" w:hAnsi="仿宋_GB2312" w:eastAsia="仿宋_GB2312" w:cs="仿宋_GB2312"/>
          <w:color w:val="auto"/>
          <w:sz w:val="24"/>
          <w:highlight w:val="none"/>
          <w:lang w:eastAsia="zh-CN"/>
        </w:rPr>
        <w:t>罚</w:t>
      </w:r>
      <w:r>
        <w:rPr>
          <w:rFonts w:hint="eastAsia" w:ascii="仿宋_GB2312" w:hAnsi="仿宋_GB2312" w:eastAsia="仿宋_GB2312" w:cs="仿宋_GB2312"/>
          <w:color w:val="auto"/>
          <w:sz w:val="24"/>
          <w:highlight w:val="none"/>
        </w:rPr>
        <w:t>标准进行处</w:t>
      </w:r>
      <w:r>
        <w:rPr>
          <w:rFonts w:hint="eastAsia" w:ascii="仿宋_GB2312" w:hAnsi="仿宋_GB2312" w:eastAsia="仿宋_GB2312" w:cs="仿宋_GB2312"/>
          <w:color w:val="auto"/>
          <w:sz w:val="24"/>
          <w:highlight w:val="none"/>
          <w:lang w:eastAsia="zh-CN"/>
        </w:rPr>
        <w:t>罚</w:t>
      </w:r>
      <w:r>
        <w:rPr>
          <w:rFonts w:hint="eastAsia" w:ascii="仿宋_GB2312" w:hAnsi="仿宋_GB2312" w:eastAsia="仿宋_GB2312" w:cs="仿宋_GB2312"/>
          <w:color w:val="auto"/>
          <w:sz w:val="24"/>
          <w:highlight w:val="none"/>
        </w:rPr>
        <w:t>，不得另行加</w:t>
      </w:r>
      <w:r>
        <w:rPr>
          <w:rFonts w:hint="eastAsia" w:ascii="仿宋_GB2312" w:hAnsi="仿宋_GB2312" w:eastAsia="仿宋_GB2312" w:cs="仿宋_GB2312"/>
          <w:color w:val="auto"/>
          <w:sz w:val="24"/>
          <w:highlight w:val="none"/>
          <w:lang w:eastAsia="zh-CN"/>
        </w:rPr>
        <w:t>重</w:t>
      </w:r>
      <w:r>
        <w:rPr>
          <w:rFonts w:hint="eastAsia" w:ascii="仿宋_GB2312" w:hAnsi="仿宋_GB2312" w:eastAsia="仿宋_GB2312" w:cs="仿宋_GB2312"/>
          <w:color w:val="auto"/>
          <w:sz w:val="24"/>
          <w:highlight w:val="none"/>
        </w:rPr>
        <w:t>处罚</w:t>
      </w:r>
      <w:r>
        <w:rPr>
          <w:rFonts w:hint="eastAsia" w:ascii="仿宋_GB2312" w:hAnsi="仿宋_GB2312" w:eastAsia="仿宋_GB2312" w:cs="仿宋_GB2312"/>
          <w:color w:val="auto"/>
          <w:sz w:val="24"/>
          <w:highlight w:val="none"/>
          <w:lang w:eastAsia="zh-CN"/>
        </w:rPr>
        <w:t>，以下涉及到的扣减物业服务费均作为中标人支付的违约金</w:t>
      </w:r>
      <w:r>
        <w:rPr>
          <w:rFonts w:hint="eastAsia" w:ascii="仿宋_GB2312" w:hAnsi="仿宋_GB2312" w:eastAsia="仿宋_GB2312" w:cs="仿宋_GB2312"/>
          <w:color w:val="auto"/>
          <w:sz w:val="24"/>
          <w:highlight w:val="none"/>
        </w:rPr>
        <w:t>。</w:t>
      </w:r>
    </w:p>
    <w:p>
      <w:pPr>
        <w:adjustRightInd w:val="0"/>
        <w:snapToGrid w:val="0"/>
        <w:spacing w:line="360" w:lineRule="auto"/>
        <w:ind w:firstLine="482" w:firstLineChars="200"/>
        <w:jc w:val="lef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eastAsia="zh-CN"/>
        </w:rPr>
        <w:t>一类</w:t>
      </w:r>
    </w:p>
    <w:p>
      <w:pPr>
        <w:numPr>
          <w:ilvl w:val="0"/>
          <w:numId w:val="3"/>
        </w:num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检查发现</w:t>
      </w:r>
      <w:r>
        <w:rPr>
          <w:rFonts w:hint="eastAsia" w:ascii="仿宋_GB2312" w:hAnsi="仿宋_GB2312" w:eastAsia="仿宋_GB2312" w:cs="仿宋_GB2312"/>
          <w:color w:val="auto"/>
          <w:sz w:val="24"/>
          <w:highlight w:val="none"/>
          <w:lang w:val="en-US" w:eastAsia="zh-CN"/>
        </w:rPr>
        <w:t>各</w:t>
      </w:r>
      <w:r>
        <w:rPr>
          <w:rFonts w:hint="eastAsia" w:ascii="仿宋_GB2312" w:hAnsi="仿宋_GB2312" w:eastAsia="仿宋_GB2312" w:cs="仿宋_GB2312"/>
          <w:color w:val="auto"/>
          <w:sz w:val="24"/>
          <w:highlight w:val="none"/>
          <w:lang w:eastAsia="zh-CN"/>
        </w:rPr>
        <w:t>岗位</w:t>
      </w:r>
      <w:r>
        <w:rPr>
          <w:rFonts w:hint="eastAsia" w:ascii="仿宋_GB2312" w:hAnsi="仿宋_GB2312" w:eastAsia="仿宋_GB2312" w:cs="仿宋_GB2312"/>
          <w:color w:val="auto"/>
          <w:sz w:val="24"/>
          <w:highlight w:val="none"/>
        </w:rPr>
        <w:t>值班室卫生不合格或室内物品摆放凌乱，每次扣减当月物业服务费50元；</w:t>
      </w:r>
    </w:p>
    <w:p>
      <w:pPr>
        <w:numPr>
          <w:ilvl w:val="0"/>
          <w:numId w:val="3"/>
        </w:numPr>
        <w:adjustRightInd w:val="0"/>
        <w:snapToGrid w:val="0"/>
        <w:spacing w:line="360" w:lineRule="auto"/>
        <w:ind w:left="0" w:leftChars="0"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检查发现</w:t>
      </w:r>
      <w:r>
        <w:rPr>
          <w:rFonts w:hint="eastAsia" w:ascii="仿宋_GB2312" w:hAnsi="仿宋_GB2312" w:eastAsia="仿宋_GB2312" w:cs="仿宋_GB2312"/>
          <w:color w:val="auto"/>
          <w:sz w:val="24"/>
          <w:highlight w:val="none"/>
        </w:rPr>
        <w:t>各岗位人员在值班期间出现有脱鞋、抽烟等不雅观行为的，或有喝茶聊天、吃零食、</w:t>
      </w:r>
      <w:r>
        <w:rPr>
          <w:rFonts w:hint="eastAsia" w:ascii="仿宋_GB2312" w:hAnsi="仿宋_GB2312" w:eastAsia="仿宋_GB2312" w:cs="仿宋_GB2312"/>
          <w:color w:val="auto"/>
          <w:sz w:val="24"/>
          <w:highlight w:val="none"/>
          <w:lang w:val="en-US" w:eastAsia="zh-CN"/>
        </w:rPr>
        <w:t>玩</w:t>
      </w:r>
      <w:r>
        <w:rPr>
          <w:rFonts w:hint="eastAsia" w:ascii="仿宋_GB2312" w:hAnsi="仿宋_GB2312" w:eastAsia="仿宋_GB2312" w:cs="仿宋_GB2312"/>
          <w:color w:val="auto"/>
          <w:sz w:val="24"/>
          <w:highlight w:val="none"/>
        </w:rPr>
        <w:t>手机、</w:t>
      </w:r>
      <w:r>
        <w:rPr>
          <w:rFonts w:hint="eastAsia" w:ascii="仿宋_GB2312" w:hAnsi="仿宋_GB2312" w:eastAsia="仿宋_GB2312" w:cs="仿宋_GB2312"/>
          <w:color w:val="auto"/>
          <w:sz w:val="24"/>
          <w:highlight w:val="none"/>
          <w:lang w:val="en-US" w:eastAsia="zh-CN"/>
        </w:rPr>
        <w:t>睡觉</w:t>
      </w:r>
      <w:r>
        <w:rPr>
          <w:rFonts w:hint="eastAsia" w:ascii="仿宋_GB2312" w:hAnsi="仿宋_GB2312" w:eastAsia="仿宋_GB2312" w:cs="仿宋_GB2312"/>
          <w:color w:val="auto"/>
          <w:sz w:val="24"/>
          <w:highlight w:val="none"/>
        </w:rPr>
        <w:t>等</w:t>
      </w:r>
      <w:r>
        <w:rPr>
          <w:rFonts w:hint="eastAsia" w:ascii="仿宋_GB2312" w:hAnsi="仿宋_GB2312" w:eastAsia="仿宋_GB2312" w:cs="仿宋_GB2312"/>
          <w:color w:val="auto"/>
          <w:sz w:val="24"/>
          <w:highlight w:val="none"/>
          <w:lang w:val="en-US" w:eastAsia="zh-CN"/>
        </w:rPr>
        <w:t>做</w:t>
      </w:r>
      <w:r>
        <w:rPr>
          <w:rFonts w:hint="eastAsia" w:ascii="仿宋_GB2312" w:hAnsi="仿宋_GB2312" w:eastAsia="仿宋_GB2312" w:cs="仿宋_GB2312"/>
          <w:color w:val="auto"/>
          <w:sz w:val="24"/>
          <w:highlight w:val="none"/>
        </w:rPr>
        <w:t>与工作无关的事，每人每次扣减当月物业服务费50元；</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、检查发现宿管未按规定做好物品登记检查</w:t>
      </w:r>
      <w:r>
        <w:rPr>
          <w:rFonts w:hint="eastAsia" w:ascii="仿宋_GB2312" w:hAnsi="仿宋_GB2312" w:eastAsia="仿宋_GB2312" w:cs="仿宋_GB2312"/>
          <w:color w:val="auto"/>
          <w:sz w:val="24"/>
          <w:highlight w:val="none"/>
          <w:lang w:val="en-US" w:eastAsia="zh-CN"/>
        </w:rPr>
        <w:t>或</w:t>
      </w:r>
      <w:r>
        <w:rPr>
          <w:rFonts w:hint="eastAsia" w:ascii="仿宋_GB2312" w:hAnsi="仿宋_GB2312" w:eastAsia="仿宋_GB2312" w:cs="仿宋_GB2312"/>
          <w:color w:val="auto"/>
          <w:sz w:val="24"/>
          <w:highlight w:val="none"/>
        </w:rPr>
        <w:t>外来人员登记检查工作的，每次扣减当月物业服务费50元；</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、检查发现校园内或在各秩序维护管辖区域内有乱停乱放车辆的，无证摆摊设点的, 每处扣减当月物业服务费50元；</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检查发现保洁区域内发现有烟头、纸屑等垃圾</w:t>
      </w:r>
      <w:r>
        <w:rPr>
          <w:rFonts w:hint="eastAsia" w:ascii="仿宋_GB2312" w:hAnsi="仿宋_GB2312" w:eastAsia="仿宋_GB2312" w:cs="仿宋_GB2312"/>
          <w:color w:val="auto"/>
          <w:sz w:val="24"/>
          <w:highlight w:val="none"/>
          <w:lang w:val="en-US" w:eastAsia="zh-CN"/>
        </w:rPr>
        <w:t>未及时清扫的</w:t>
      </w:r>
      <w:r>
        <w:rPr>
          <w:rFonts w:hint="eastAsia" w:ascii="仿宋_GB2312" w:hAnsi="仿宋_GB2312" w:eastAsia="仿宋_GB2312" w:cs="仿宋_GB2312"/>
          <w:color w:val="auto"/>
          <w:sz w:val="24"/>
          <w:highlight w:val="none"/>
        </w:rPr>
        <w:t>，每处扣减当月物业服务费50元；</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、检查发现保洁区域内的下排水口（含地漏）由于未及时清理造成堵塞的或天台面上有垃圾、淤泥、杂草的，每处扣减当月物业服务费50元；</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highlight w:val="none"/>
        </w:rPr>
        <w:t>、检查发现保洁区域内的公共设施、地板、地脚线、楼梯、扶手、天花板等有明显灰尘或蜘蛛网等垃圾未清理的，每处扣减当月物业服务费50元；</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、检查发现饮水机上有喝剩的茶叶、树叶、包装袋等垃圾</w:t>
      </w:r>
      <w:r>
        <w:rPr>
          <w:rFonts w:hint="eastAsia" w:ascii="仿宋_GB2312" w:hAnsi="仿宋_GB2312" w:eastAsia="仿宋_GB2312" w:cs="仿宋_GB2312"/>
          <w:color w:val="auto"/>
          <w:sz w:val="24"/>
          <w:highlight w:val="none"/>
          <w:lang w:val="en-US" w:eastAsia="zh-CN"/>
        </w:rPr>
        <w:t>或</w:t>
      </w:r>
      <w:r>
        <w:rPr>
          <w:rFonts w:hint="eastAsia" w:ascii="仿宋_GB2312" w:hAnsi="仿宋_GB2312" w:eastAsia="仿宋_GB2312" w:cs="仿宋_GB2312"/>
          <w:color w:val="auto"/>
          <w:sz w:val="24"/>
          <w:highlight w:val="none"/>
        </w:rPr>
        <w:t>污垢</w:t>
      </w:r>
      <w:r>
        <w:rPr>
          <w:rFonts w:hint="eastAsia" w:ascii="仿宋_GB2312" w:hAnsi="仿宋_GB2312" w:eastAsia="仿宋_GB2312" w:cs="仿宋_GB2312"/>
          <w:color w:val="auto"/>
          <w:sz w:val="24"/>
          <w:highlight w:val="none"/>
          <w:lang w:val="en-US" w:eastAsia="zh-CN"/>
        </w:rPr>
        <w:t>未及时清理</w:t>
      </w:r>
      <w:r>
        <w:rPr>
          <w:rFonts w:hint="eastAsia" w:ascii="仿宋_GB2312" w:hAnsi="仿宋_GB2312" w:eastAsia="仿宋_GB2312" w:cs="仿宋_GB2312"/>
          <w:color w:val="auto"/>
          <w:sz w:val="24"/>
          <w:highlight w:val="none"/>
        </w:rPr>
        <w:t>的，每处扣减当月物业服务费50元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9、</w:t>
      </w:r>
      <w:r>
        <w:rPr>
          <w:rFonts w:hint="eastAsia" w:ascii="仿宋_GB2312" w:hAnsi="仿宋_GB2312" w:eastAsia="仿宋_GB2312" w:cs="仿宋_GB2312"/>
          <w:color w:val="auto"/>
          <w:sz w:val="24"/>
          <w:highlight w:val="none"/>
        </w:rPr>
        <w:t>检查发现绿化区域有白色垃圾或者枯枝、落叶等杂物未及时清理的，每处扣减当月物业服务费50元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、检查发现小广告在24小时内未清理的，每处扣减当月物业服务费50元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11</w:t>
      </w:r>
      <w:r>
        <w:rPr>
          <w:rFonts w:hint="eastAsia" w:ascii="仿宋_GB2312" w:hAnsi="仿宋_GB2312" w:eastAsia="仿宋_GB2312" w:cs="仿宋_GB2312"/>
          <w:color w:val="auto"/>
          <w:sz w:val="24"/>
          <w:highlight w:val="none"/>
        </w:rPr>
        <w:t>、检查发现</w:t>
      </w:r>
      <w:r>
        <w:rPr>
          <w:rFonts w:hint="eastAsia" w:ascii="仿宋_GB2312" w:hAnsi="仿宋_GB2312" w:eastAsia="仿宋_GB2312" w:cs="仿宋_GB2312"/>
          <w:color w:val="auto"/>
          <w:sz w:val="24"/>
          <w:highlight w:val="none"/>
          <w:lang w:val="en-US" w:eastAsia="zh-CN"/>
        </w:rPr>
        <w:t>垃圾</w:t>
      </w:r>
      <w:r>
        <w:rPr>
          <w:rFonts w:hint="eastAsia" w:ascii="仿宋_GB2312" w:hAnsi="仿宋_GB2312" w:eastAsia="仿宋_GB2312" w:cs="仿宋_GB2312"/>
          <w:color w:val="auto"/>
          <w:sz w:val="24"/>
          <w:highlight w:val="none"/>
        </w:rPr>
        <w:t>圾桶表面有明显污渍、灰尘， 垃圾四分之三未清理或有垃圾散落的，每处扣减当月物业服务费50元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rPr>
        <w:t>、检查发现厕所卫生不合格，如镜面有污迹；洗手盆有明显污迹、灰尘杂物未清理；门窗管线积尘明显；地板有积水，室内有蜘蛛网，大小便盆未清洁有异味或尿渍等，每处扣减当月物业服务费50元；</w:t>
      </w:r>
    </w:p>
    <w:p>
      <w:pPr>
        <w:adjustRightInd w:val="0"/>
        <w:snapToGrid w:val="0"/>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、检查中发现保洁工具未按规定放到指定场所而乱摆乱放的或工具间工具摆放不整齐，存放垃圾杂物的，每处扣减当月物业服务费</w:t>
      </w:r>
      <w:r>
        <w:rPr>
          <w:rFonts w:hint="eastAsia" w:ascii="仿宋_GB2312" w:hAnsi="仿宋_GB2312" w:eastAsia="仿宋_GB2312" w:cs="仿宋_GB2312"/>
          <w:color w:val="auto"/>
          <w:sz w:val="24"/>
          <w:highlight w:val="none"/>
          <w:lang w:val="en-US" w:eastAsia="zh-CN"/>
        </w:rPr>
        <w:t>50</w:t>
      </w:r>
      <w:r>
        <w:rPr>
          <w:rFonts w:hint="eastAsia" w:ascii="仿宋_GB2312" w:hAnsi="仿宋_GB2312" w:eastAsia="仿宋_GB2312" w:cs="仿宋_GB2312"/>
          <w:color w:val="auto"/>
          <w:sz w:val="24"/>
          <w:highlight w:val="none"/>
        </w:rPr>
        <w:t>元；</w:t>
      </w:r>
    </w:p>
    <w:p>
      <w:pPr>
        <w:spacing w:line="360" w:lineRule="auto"/>
        <w:ind w:firstLine="480" w:firstLineChars="200"/>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lang w:val="en-US" w:eastAsia="zh-CN"/>
        </w:rPr>
        <w:t>14、每年应不低于2次对宿舍风扇、空调过滤网进行清洁，并做好工作记录，每发现1处长期未清理的，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50</w:t>
      </w:r>
      <w:r>
        <w:rPr>
          <w:rFonts w:hint="eastAsia" w:ascii="仿宋_GB2312" w:hAnsi="仿宋_GB2312" w:eastAsia="仿宋_GB2312" w:cs="仿宋_GB2312"/>
          <w:bCs/>
          <w:color w:val="auto"/>
          <w:sz w:val="24"/>
          <w:highlight w:val="none"/>
        </w:rPr>
        <w:t>元</w:t>
      </w:r>
    </w:p>
    <w:p>
      <w:pPr>
        <w:spacing w:line="360" w:lineRule="auto"/>
        <w:ind w:firstLine="480" w:firstLineChars="200"/>
        <w:jc w:val="left"/>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color w:val="auto"/>
          <w:sz w:val="24"/>
          <w:highlight w:val="none"/>
          <w:lang w:val="en-US" w:eastAsia="zh-CN"/>
        </w:rPr>
        <w:t>15、</w:t>
      </w:r>
      <w:r>
        <w:rPr>
          <w:rFonts w:hint="eastAsia" w:ascii="仿宋_GB2312" w:hAnsi="仿宋_GB2312" w:eastAsia="仿宋_GB2312" w:cs="仿宋_GB2312"/>
          <w:color w:val="auto"/>
          <w:sz w:val="24"/>
          <w:highlight w:val="none"/>
          <w:lang w:eastAsia="zh-CN"/>
        </w:rPr>
        <w:t>做好公共照明设施的控制，根据不同季节时段、假期对公共照明进行控制，对</w:t>
      </w:r>
      <w:r>
        <w:rPr>
          <w:rFonts w:hint="eastAsia" w:ascii="仿宋_GB2312" w:hAnsi="仿宋_GB2312" w:eastAsia="仿宋_GB2312" w:cs="仿宋_GB2312"/>
          <w:color w:val="auto"/>
          <w:sz w:val="24"/>
          <w:highlight w:val="none"/>
          <w:lang w:val="en-US" w:eastAsia="zh-CN"/>
        </w:rPr>
        <w:t>不符合节能目录内的灯具协助校方及时更换，对不合理的照明控制进行简单改造升级更换，</w:t>
      </w:r>
      <w:r>
        <w:rPr>
          <w:rFonts w:hint="eastAsia" w:ascii="仿宋_GB2312" w:hAnsi="仿宋_GB2312" w:eastAsia="仿宋_GB2312" w:cs="仿宋_GB2312"/>
          <w:bCs/>
          <w:color w:val="auto"/>
          <w:sz w:val="24"/>
          <w:highlight w:val="none"/>
          <w:lang w:val="en-US" w:eastAsia="zh-CN"/>
        </w:rPr>
        <w:t>检查</w:t>
      </w:r>
      <w:r>
        <w:rPr>
          <w:rFonts w:hint="eastAsia" w:ascii="仿宋_GB2312" w:hAnsi="仿宋_GB2312" w:eastAsia="仿宋_GB2312" w:cs="仿宋_GB2312"/>
          <w:bCs/>
          <w:color w:val="auto"/>
          <w:sz w:val="24"/>
          <w:highlight w:val="none"/>
        </w:rPr>
        <w:t>发现公共区域白天不需要灯光地域仍有不灭灯的现象，</w:t>
      </w:r>
      <w:r>
        <w:rPr>
          <w:rFonts w:hint="eastAsia" w:ascii="仿宋_GB2312" w:hAnsi="仿宋_GB2312" w:eastAsia="仿宋_GB2312" w:cs="仿宋_GB2312"/>
          <w:bCs/>
          <w:color w:val="auto"/>
          <w:sz w:val="24"/>
          <w:highlight w:val="none"/>
          <w:lang w:val="en-US" w:eastAsia="zh-CN"/>
        </w:rPr>
        <w:t>或不按灯光管理要求控制公共照明的，每处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50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lang w:val="en-US" w:eastAsia="zh-CN"/>
        </w:rPr>
        <w:t>公共区域有</w:t>
      </w:r>
      <w:r>
        <w:rPr>
          <w:rFonts w:hint="eastAsia" w:ascii="仿宋_GB2312" w:hAnsi="仿宋_GB2312" w:eastAsia="仿宋_GB2312" w:cs="仿宋_GB2312"/>
          <w:color w:val="auto"/>
          <w:sz w:val="24"/>
          <w:highlight w:val="none"/>
          <w:lang w:val="en-US" w:eastAsia="zh-CN"/>
        </w:rPr>
        <w:t>不符合节能目录内的灯具的，每处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50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16、</w:t>
      </w:r>
      <w:r>
        <w:rPr>
          <w:rFonts w:hint="eastAsia" w:ascii="仿宋_GB2312" w:hAnsi="仿宋_GB2312" w:eastAsia="仿宋_GB2312" w:cs="仿宋_GB2312"/>
          <w:color w:val="auto"/>
          <w:sz w:val="24"/>
          <w:highlight w:val="none"/>
        </w:rPr>
        <w:t>在校园内</w:t>
      </w:r>
      <w:r>
        <w:rPr>
          <w:rFonts w:hint="eastAsia" w:ascii="仿宋_GB2312" w:hAnsi="仿宋_GB2312" w:eastAsia="仿宋_GB2312" w:cs="仿宋_GB2312"/>
          <w:color w:val="auto"/>
          <w:sz w:val="24"/>
          <w:highlight w:val="none"/>
          <w:lang w:eastAsia="zh-CN"/>
        </w:rPr>
        <w:t>定期</w:t>
      </w:r>
      <w:r>
        <w:rPr>
          <w:rFonts w:hint="eastAsia" w:ascii="仿宋_GB2312" w:hAnsi="仿宋_GB2312" w:eastAsia="仿宋_GB2312" w:cs="仿宋_GB2312"/>
          <w:color w:val="auto"/>
          <w:sz w:val="24"/>
          <w:highlight w:val="none"/>
        </w:rPr>
        <w:t>开展节水节电知识和政策的宣传，</w:t>
      </w:r>
      <w:r>
        <w:rPr>
          <w:rFonts w:hint="eastAsia" w:ascii="仿宋_GB2312" w:hAnsi="仿宋_GB2312" w:eastAsia="仿宋_GB2312" w:cs="仿宋_GB2312"/>
          <w:color w:val="auto"/>
          <w:sz w:val="24"/>
          <w:highlight w:val="none"/>
          <w:lang w:val="en-US" w:eastAsia="zh-CN"/>
        </w:rPr>
        <w:t>做好公共区域的节能标识管理，</w:t>
      </w:r>
      <w:r>
        <w:rPr>
          <w:rFonts w:hint="eastAsia" w:ascii="仿宋_GB2312" w:hAnsi="仿宋_GB2312" w:eastAsia="仿宋_GB2312" w:cs="仿宋_GB2312"/>
          <w:color w:val="auto"/>
          <w:kern w:val="2"/>
          <w:sz w:val="24"/>
          <w:szCs w:val="24"/>
          <w:highlight w:val="none"/>
          <w:lang w:bidi="ar"/>
        </w:rPr>
        <w:t>设置节电、随手关灯、减少使用电梯、空调温度设定、节约用水等节约行为提醒标识</w:t>
      </w:r>
      <w:r>
        <w:rPr>
          <w:rFonts w:hint="eastAsia" w:ascii="仿宋_GB2312" w:hAnsi="仿宋_GB2312" w:eastAsia="仿宋_GB2312" w:cs="仿宋_GB2312"/>
          <w:color w:val="auto"/>
          <w:kern w:val="2"/>
          <w:sz w:val="24"/>
          <w:szCs w:val="24"/>
          <w:highlight w:val="none"/>
          <w:lang w:eastAsia="zh-CN" w:bidi="ar"/>
        </w:rPr>
        <w:t>，</w:t>
      </w:r>
      <w:r>
        <w:rPr>
          <w:rFonts w:hint="eastAsia" w:ascii="仿宋_GB2312" w:hAnsi="仿宋_GB2312" w:eastAsia="仿宋_GB2312" w:cs="仿宋_GB2312"/>
          <w:color w:val="auto"/>
          <w:sz w:val="24"/>
          <w:highlight w:val="none"/>
          <w:lang w:val="en-US" w:eastAsia="zh-CN"/>
        </w:rPr>
        <w:t>发现1处未有标识的，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50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p>
    <w:p>
      <w:pPr>
        <w:adjustRightInd w:val="0"/>
        <w:snapToGrid w:val="0"/>
        <w:spacing w:line="360" w:lineRule="auto"/>
        <w:ind w:firstLine="482" w:firstLineChars="200"/>
        <w:jc w:val="lef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eastAsia="zh-CN"/>
        </w:rPr>
        <w:t>二类</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1、检查发现</w:t>
      </w:r>
      <w:r>
        <w:rPr>
          <w:rFonts w:hint="eastAsia" w:ascii="仿宋_GB2312" w:hAnsi="仿宋_GB2312" w:eastAsia="仿宋_GB2312" w:cs="仿宋_GB2312"/>
          <w:color w:val="auto"/>
          <w:sz w:val="24"/>
          <w:highlight w:val="none"/>
        </w:rPr>
        <w:t>各岗位人员在办公室（值班室）或休息室内违规使用电器或给电动车充电的，没收充电器和违规电器，并每人每次扣减当月物业服务费</w:t>
      </w:r>
      <w:r>
        <w:rPr>
          <w:rFonts w:hint="eastAsia" w:ascii="仿宋_GB2312" w:hAnsi="仿宋_GB2312" w:eastAsia="仿宋_GB2312" w:cs="仿宋_GB2312"/>
          <w:color w:val="auto"/>
          <w:sz w:val="24"/>
          <w:highlight w:val="none"/>
          <w:lang w:val="en-US" w:eastAsia="zh-CN"/>
        </w:rPr>
        <w:t>100</w:t>
      </w:r>
      <w:r>
        <w:rPr>
          <w:rFonts w:hint="eastAsia" w:ascii="仿宋_GB2312" w:hAnsi="仿宋_GB2312" w:eastAsia="仿宋_GB2312" w:cs="仿宋_GB2312"/>
          <w:color w:val="auto"/>
          <w:sz w:val="24"/>
          <w:highlight w:val="none"/>
        </w:rPr>
        <w:t>元；</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US" w:eastAsia="zh-CN"/>
        </w:rPr>
        <w:t>检查发现</w:t>
      </w:r>
      <w:r>
        <w:rPr>
          <w:rFonts w:hint="eastAsia" w:ascii="仿宋_GB2312" w:hAnsi="仿宋_GB2312" w:eastAsia="仿宋_GB2312" w:cs="仿宋_GB2312"/>
          <w:color w:val="auto"/>
          <w:sz w:val="24"/>
          <w:highlight w:val="none"/>
        </w:rPr>
        <w:t>各岗位人员上班期间不穿工作服（或在值班区域换工作服）的</w:t>
      </w:r>
      <w:r>
        <w:rPr>
          <w:rFonts w:hint="eastAsia" w:ascii="仿宋_GB2312" w:hAnsi="仿宋_GB2312" w:eastAsia="仿宋_GB2312" w:cs="仿宋_GB2312"/>
          <w:color w:val="auto"/>
          <w:sz w:val="24"/>
          <w:highlight w:val="none"/>
          <w:lang w:val="en-US" w:eastAsia="zh-CN"/>
        </w:rPr>
        <w:t>或未配置相应工具的</w:t>
      </w:r>
      <w:r>
        <w:rPr>
          <w:rFonts w:hint="eastAsia" w:ascii="仿宋_GB2312" w:hAnsi="仿宋_GB2312" w:eastAsia="仿宋_GB2312" w:cs="仿宋_GB2312"/>
          <w:color w:val="auto"/>
          <w:sz w:val="24"/>
          <w:highlight w:val="none"/>
        </w:rPr>
        <w:t>，每人每次扣减当月物业服务费</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检查发现未按时检查消防器材和汇报消防器材情况，每处扣减当月物业服务费</w:t>
      </w:r>
      <w:r>
        <w:rPr>
          <w:rFonts w:hint="eastAsia" w:ascii="仿宋_GB2312" w:hAnsi="仿宋_GB2312" w:eastAsia="仿宋_GB2312" w:cs="仿宋_GB2312"/>
          <w:color w:val="auto"/>
          <w:sz w:val="24"/>
          <w:highlight w:val="none"/>
          <w:lang w:val="en-US" w:eastAsia="zh-CN"/>
        </w:rPr>
        <w:t>100</w:t>
      </w:r>
      <w:r>
        <w:rPr>
          <w:rFonts w:hint="eastAsia" w:ascii="仿宋_GB2312" w:hAnsi="仿宋_GB2312" w:eastAsia="仿宋_GB2312" w:cs="仿宋_GB2312"/>
          <w:color w:val="auto"/>
          <w:sz w:val="24"/>
          <w:highlight w:val="none"/>
        </w:rPr>
        <w:t>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检查发现宿管对宿舍区域内乱贴广告、乱画或散发传单未加制止、清理的，每次扣减当月物业服务费</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5、 </w:t>
      </w:r>
      <w:r>
        <w:rPr>
          <w:rFonts w:hint="eastAsia" w:ascii="仿宋_GB2312" w:hAnsi="仿宋_GB2312" w:eastAsia="仿宋_GB2312" w:cs="仿宋_GB2312"/>
          <w:color w:val="auto"/>
          <w:sz w:val="24"/>
          <w:highlight w:val="none"/>
        </w:rPr>
        <w:t>检查发现大门岗秩序维护员未对来访人员或车辆做好登记工作就放行的，每次扣减当月物业服务费</w:t>
      </w:r>
      <w:r>
        <w:rPr>
          <w:rFonts w:hint="eastAsia" w:ascii="仿宋_GB2312" w:hAnsi="仿宋_GB2312" w:eastAsia="仿宋_GB2312" w:cs="仿宋_GB2312"/>
          <w:color w:val="auto"/>
          <w:sz w:val="24"/>
          <w:highlight w:val="none"/>
          <w:lang w:val="en-US" w:eastAsia="zh-CN"/>
        </w:rPr>
        <w:t>100</w:t>
      </w:r>
      <w:r>
        <w:rPr>
          <w:rFonts w:hint="eastAsia" w:ascii="仿宋_GB2312" w:hAnsi="仿宋_GB2312" w:eastAsia="仿宋_GB2312" w:cs="仿宋_GB2312"/>
          <w:color w:val="auto"/>
          <w:sz w:val="24"/>
          <w:highlight w:val="none"/>
        </w:rPr>
        <w:t>元；</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检查发现宿管</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秩序维护员出现岗位空缺</w:t>
      </w:r>
      <w:r>
        <w:rPr>
          <w:rFonts w:hint="eastAsia" w:ascii="仿宋_GB2312" w:hAnsi="仿宋_GB2312" w:eastAsia="仿宋_GB2312" w:cs="仿宋_GB2312"/>
          <w:color w:val="auto"/>
          <w:sz w:val="24"/>
          <w:highlight w:val="none"/>
          <w:lang w:val="en-US" w:eastAsia="zh-CN"/>
        </w:rPr>
        <w:t>现象</w:t>
      </w:r>
      <w:r>
        <w:rPr>
          <w:rFonts w:hint="eastAsia" w:ascii="仿宋_GB2312" w:hAnsi="仿宋_GB2312" w:eastAsia="仿宋_GB2312" w:cs="仿宋_GB2312"/>
          <w:color w:val="auto"/>
          <w:sz w:val="24"/>
          <w:highlight w:val="none"/>
        </w:rPr>
        <w:t>的，每次扣减当月物业服务费</w:t>
      </w:r>
      <w:r>
        <w:rPr>
          <w:rFonts w:hint="eastAsia" w:ascii="仿宋_GB2312" w:hAnsi="仿宋_GB2312" w:eastAsia="仿宋_GB2312" w:cs="仿宋_GB2312"/>
          <w:color w:val="auto"/>
          <w:sz w:val="24"/>
          <w:highlight w:val="none"/>
          <w:lang w:val="en-US" w:eastAsia="zh-CN"/>
        </w:rPr>
        <w:t>200</w:t>
      </w:r>
      <w:r>
        <w:rPr>
          <w:rFonts w:hint="eastAsia" w:ascii="仿宋_GB2312" w:hAnsi="仿宋_GB2312" w:eastAsia="仿宋_GB2312" w:cs="仿宋_GB2312"/>
          <w:color w:val="auto"/>
          <w:sz w:val="24"/>
          <w:highlight w:val="none"/>
        </w:rPr>
        <w:t>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highlight w:val="none"/>
        </w:rPr>
        <w:t>检查发现大门岗秩序维护员没有做到每一班双岗值班的，每次扣减当月物业服务费</w:t>
      </w:r>
      <w:r>
        <w:rPr>
          <w:rFonts w:hint="eastAsia" w:ascii="仿宋_GB2312" w:hAnsi="仿宋_GB2312" w:eastAsia="仿宋_GB2312" w:cs="仿宋_GB2312"/>
          <w:color w:val="auto"/>
          <w:sz w:val="24"/>
          <w:highlight w:val="none"/>
          <w:lang w:val="en-US" w:eastAsia="zh-CN"/>
        </w:rPr>
        <w:t>200</w:t>
      </w:r>
      <w:r>
        <w:rPr>
          <w:rFonts w:hint="eastAsia" w:ascii="仿宋_GB2312" w:hAnsi="仿宋_GB2312" w:eastAsia="仿宋_GB2312" w:cs="仿宋_GB2312"/>
          <w:color w:val="auto"/>
          <w:sz w:val="24"/>
          <w:highlight w:val="none"/>
        </w:rPr>
        <w:t>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检查发现校园内随意拉线给电动车充电而没有加以阻止的，每处扣减当月物业服务费</w:t>
      </w:r>
      <w:r>
        <w:rPr>
          <w:rFonts w:hint="eastAsia" w:ascii="仿宋_GB2312" w:hAnsi="仿宋_GB2312" w:eastAsia="仿宋_GB2312" w:cs="仿宋_GB2312"/>
          <w:color w:val="auto"/>
          <w:sz w:val="24"/>
          <w:highlight w:val="none"/>
          <w:lang w:val="en-US" w:eastAsia="zh-CN"/>
        </w:rPr>
        <w:t>200</w:t>
      </w:r>
      <w:r>
        <w:rPr>
          <w:rFonts w:hint="eastAsia" w:ascii="仿宋_GB2312" w:hAnsi="仿宋_GB2312" w:eastAsia="仿宋_GB2312" w:cs="仿宋_GB2312"/>
          <w:color w:val="auto"/>
          <w:sz w:val="24"/>
          <w:highlight w:val="none"/>
        </w:rPr>
        <w:t>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9、检查发现未及时清理绿化区域内杂草的，</w:t>
      </w:r>
      <w:r>
        <w:rPr>
          <w:rFonts w:hint="eastAsia" w:ascii="仿宋_GB2312" w:hAnsi="仿宋_GB2312" w:eastAsia="仿宋_GB2312" w:cs="仿宋_GB2312"/>
          <w:color w:val="auto"/>
          <w:sz w:val="24"/>
          <w:highlight w:val="none"/>
        </w:rPr>
        <w:t>每次扣减当月物业服务费</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00元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检查发现保洁员</w:t>
      </w:r>
      <w:r>
        <w:rPr>
          <w:rFonts w:hint="eastAsia" w:ascii="仿宋_GB2312" w:hAnsi="仿宋_GB2312" w:eastAsia="仿宋_GB2312" w:cs="仿宋_GB2312"/>
          <w:color w:val="auto"/>
          <w:sz w:val="24"/>
          <w:highlight w:val="none"/>
          <w:lang w:val="en-US" w:eastAsia="zh-CN"/>
        </w:rPr>
        <w:t>未按学校要求</w:t>
      </w:r>
      <w:r>
        <w:rPr>
          <w:rFonts w:hint="eastAsia" w:ascii="仿宋_GB2312" w:hAnsi="仿宋_GB2312" w:eastAsia="仿宋_GB2312" w:cs="仿宋_GB2312"/>
          <w:color w:val="auto"/>
          <w:sz w:val="24"/>
          <w:highlight w:val="none"/>
        </w:rPr>
        <w:t>对生活垃圾进行分类</w:t>
      </w:r>
      <w:r>
        <w:rPr>
          <w:rFonts w:hint="eastAsia" w:ascii="仿宋_GB2312" w:hAnsi="仿宋_GB2312" w:eastAsia="仿宋_GB2312" w:cs="仿宋_GB2312"/>
          <w:color w:val="auto"/>
          <w:sz w:val="24"/>
          <w:highlight w:val="none"/>
          <w:lang w:val="en-US" w:eastAsia="zh-CN"/>
        </w:rPr>
        <w:t>复核等相关工作</w:t>
      </w:r>
      <w:r>
        <w:rPr>
          <w:rFonts w:hint="eastAsia" w:ascii="仿宋_GB2312" w:hAnsi="仿宋_GB2312" w:eastAsia="仿宋_GB2312" w:cs="仿宋_GB2312"/>
          <w:color w:val="auto"/>
          <w:sz w:val="24"/>
          <w:highlight w:val="none"/>
        </w:rPr>
        <w:t>的，每次扣减当月物业服务费200元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11</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检查发现</w:t>
      </w:r>
      <w:r>
        <w:rPr>
          <w:rFonts w:hint="eastAsia" w:ascii="仿宋_GB2312" w:hAnsi="仿宋_GB2312" w:eastAsia="仿宋_GB2312" w:cs="仿宋_GB2312"/>
          <w:color w:val="auto"/>
          <w:sz w:val="24"/>
          <w:highlight w:val="none"/>
        </w:rPr>
        <w:t>维修维护人员没有执行</w:t>
      </w:r>
      <w:r>
        <w:rPr>
          <w:rFonts w:hint="eastAsia" w:ascii="仿宋_GB2312" w:hAnsi="仿宋_GB2312" w:eastAsia="仿宋_GB2312" w:cs="仿宋_GB2312"/>
          <w:color w:val="auto"/>
          <w:sz w:val="24"/>
          <w:highlight w:val="none"/>
          <w:lang w:val="en-US" w:eastAsia="zh-CN"/>
        </w:rPr>
        <w:t>24</w:t>
      </w:r>
      <w:r>
        <w:rPr>
          <w:rFonts w:hint="eastAsia" w:ascii="仿宋_GB2312" w:hAnsi="仿宋_GB2312" w:eastAsia="仿宋_GB2312" w:cs="仿宋_GB2312"/>
          <w:color w:val="auto"/>
          <w:sz w:val="24"/>
          <w:highlight w:val="none"/>
        </w:rPr>
        <w:t>小时</w:t>
      </w:r>
      <w:r>
        <w:rPr>
          <w:rFonts w:hint="eastAsia" w:ascii="仿宋_GB2312" w:hAnsi="仿宋_GB2312" w:eastAsia="仿宋_GB2312" w:cs="仿宋_GB2312"/>
          <w:color w:val="auto"/>
          <w:sz w:val="24"/>
          <w:highlight w:val="none"/>
          <w:lang w:val="en-US" w:eastAsia="zh-CN"/>
        </w:rPr>
        <w:t>值班的</w:t>
      </w:r>
      <w:r>
        <w:rPr>
          <w:rFonts w:hint="eastAsia" w:ascii="仿宋_GB2312" w:hAnsi="仿宋_GB2312" w:eastAsia="仿宋_GB2312" w:cs="仿宋_GB2312"/>
          <w:color w:val="auto"/>
          <w:sz w:val="24"/>
          <w:highlight w:val="none"/>
        </w:rPr>
        <w:t>，每次扣减当月物业服务费</w:t>
      </w:r>
      <w:r>
        <w:rPr>
          <w:rFonts w:hint="eastAsia" w:ascii="仿宋_GB2312" w:hAnsi="仿宋_GB2312" w:eastAsia="仿宋_GB2312" w:cs="仿宋_GB2312"/>
          <w:color w:val="auto"/>
          <w:sz w:val="24"/>
          <w:highlight w:val="none"/>
          <w:lang w:val="en-US" w:eastAsia="zh-CN"/>
        </w:rPr>
        <w:t>200</w:t>
      </w:r>
      <w:r>
        <w:rPr>
          <w:rFonts w:hint="eastAsia" w:ascii="仿宋_GB2312" w:hAnsi="仿宋_GB2312" w:eastAsia="仿宋_GB2312" w:cs="仿宋_GB2312"/>
          <w:color w:val="auto"/>
          <w:sz w:val="24"/>
          <w:highlight w:val="none"/>
        </w:rPr>
        <w:t>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12、凡被院内通报，经查实属物业公司责任的，每起扣减当月物业服务费200元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13、</w:t>
      </w:r>
      <w:r>
        <w:rPr>
          <w:rFonts w:hint="eastAsia" w:ascii="仿宋_GB2312" w:hAnsi="仿宋_GB2312" w:eastAsia="仿宋_GB2312" w:cs="仿宋_GB2312"/>
          <w:color w:val="auto"/>
          <w:sz w:val="24"/>
          <w:highlight w:val="none"/>
        </w:rPr>
        <w:t>对于校方报修的问题，未按校方要求（“非常紧急”的事项，接报后20分钟内到达现场展开维修并于1小时内处理好，“紧急”的事项接报后24小时内展开维修并处理好，“一般”的事项，48小时内处理好）、超过三倍规定时间仍未处理好的，每件维修事项扣减当月物业服务费200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14、未</w:t>
      </w:r>
      <w:r>
        <w:rPr>
          <w:rFonts w:hint="eastAsia" w:ascii="仿宋_GB2312" w:hAnsi="仿宋_GB2312" w:eastAsia="仿宋_GB2312" w:cs="仿宋_GB2312"/>
          <w:color w:val="auto"/>
          <w:sz w:val="24"/>
          <w:highlight w:val="none"/>
          <w:lang w:val="en-US" w:eastAsia="zh-CN"/>
        </w:rPr>
        <w:t>做好学生宿舍的空调、风扇、灯具、饮用水和热水等设备设施日常检查和维护（每周不低于2次），跟踪维修情况，没有形成检查记录的或因维护超时受到投诉的，</w:t>
      </w:r>
      <w:r>
        <w:rPr>
          <w:rFonts w:hint="eastAsia" w:ascii="仿宋_GB2312" w:hAnsi="仿宋_GB2312" w:eastAsia="仿宋_GB2312" w:cs="仿宋_GB2312"/>
          <w:color w:val="auto"/>
          <w:sz w:val="24"/>
          <w:highlight w:val="none"/>
        </w:rPr>
        <w:t>每起扣减当月物业服务费</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00元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15、各服务管理模块月度考核未达到90分以上的，每少1分扣减当月服务费200元。</w:t>
      </w:r>
    </w:p>
    <w:p>
      <w:pPr>
        <w:adjustRightInd w:val="0"/>
        <w:snapToGrid w:val="0"/>
        <w:spacing w:line="360" w:lineRule="auto"/>
        <w:ind w:firstLine="482" w:firstLineChars="200"/>
        <w:jc w:val="lef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eastAsia="zh-CN"/>
        </w:rPr>
        <w:t>三类</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新增工作人员或工作人员离职一星期内须通知校方</w:t>
      </w:r>
      <w:r>
        <w:rPr>
          <w:rFonts w:hint="eastAsia" w:ascii="仿宋_GB2312" w:hAnsi="仿宋_GB2312" w:eastAsia="仿宋_GB2312" w:cs="仿宋_GB2312"/>
          <w:color w:val="auto"/>
          <w:sz w:val="24"/>
          <w:highlight w:val="none"/>
          <w:lang w:eastAsia="zh-CN"/>
        </w:rPr>
        <w:t>（管理人员另行规定）</w:t>
      </w:r>
      <w:r>
        <w:rPr>
          <w:rFonts w:hint="eastAsia" w:ascii="仿宋_GB2312" w:hAnsi="仿宋_GB2312" w:eastAsia="仿宋_GB2312" w:cs="仿宋_GB2312"/>
          <w:color w:val="auto"/>
          <w:sz w:val="24"/>
          <w:highlight w:val="none"/>
        </w:rPr>
        <w:t>，没有按时通知校方，予以扣减当月物业服务费的200元/人；学校有权利抽查物业公司每月人员使用明细表、工资明细表、缴纳保险费用明细表（需求项目内容由校方提供），发现虚假报表，予以扣减当月物业费500元/人</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600" w:firstLineChars="2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、检查发现垃圾</w:t>
      </w:r>
      <w:r>
        <w:rPr>
          <w:rFonts w:hint="eastAsia" w:ascii="仿宋_GB2312" w:hAnsi="仿宋_GB2312" w:eastAsia="仿宋_GB2312" w:cs="仿宋_GB2312"/>
          <w:color w:val="auto"/>
          <w:sz w:val="24"/>
          <w:highlight w:val="none"/>
          <w:lang w:val="en-US" w:eastAsia="zh-CN"/>
        </w:rPr>
        <w:t>中转站（</w:t>
      </w:r>
      <w:r>
        <w:rPr>
          <w:rFonts w:hint="eastAsia" w:ascii="仿宋_GB2312" w:hAnsi="仿宋_GB2312" w:eastAsia="仿宋_GB2312" w:cs="仿宋_GB2312"/>
          <w:color w:val="auto"/>
          <w:sz w:val="24"/>
          <w:highlight w:val="none"/>
        </w:rPr>
        <w:t>存放点</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卫生不合格，不按时清洗消毒，地面有污渍、有垃圾散落或异味严重影响学校生活的，每处扣减当月物业服务费500元；</w:t>
      </w:r>
    </w:p>
    <w:p>
      <w:pPr>
        <w:adjustRightInd w:val="0"/>
        <w:snapToGrid w:val="0"/>
        <w:spacing w:line="360" w:lineRule="auto"/>
        <w:ind w:firstLine="600" w:firstLineChars="2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、检查发现宿管对学生携带酒、易燃易爆或其它违禁物品进入宿舍未加制止、未向学生所在</w:t>
      </w:r>
      <w:r>
        <w:rPr>
          <w:rFonts w:hint="eastAsia" w:ascii="仿宋_GB2312" w:hAnsi="仿宋_GB2312" w:eastAsia="仿宋_GB2312" w:cs="仿宋_GB2312"/>
          <w:color w:val="auto"/>
          <w:sz w:val="24"/>
          <w:highlight w:val="none"/>
          <w:lang w:val="en-US" w:eastAsia="zh-CN"/>
        </w:rPr>
        <w:t>学院</w:t>
      </w:r>
      <w:r>
        <w:rPr>
          <w:rFonts w:hint="eastAsia" w:ascii="仿宋_GB2312" w:hAnsi="仿宋_GB2312" w:eastAsia="仿宋_GB2312" w:cs="仿宋_GB2312"/>
          <w:color w:val="auto"/>
          <w:sz w:val="24"/>
          <w:highlight w:val="none"/>
        </w:rPr>
        <w:t>反馈的，每次扣减当月物业服务费</w:t>
      </w:r>
      <w:r>
        <w:rPr>
          <w:rFonts w:hint="eastAsia" w:ascii="仿宋_GB2312" w:hAnsi="仿宋_GB2312" w:eastAsia="仿宋_GB2312" w:cs="仿宋_GB2312"/>
          <w:color w:val="auto"/>
          <w:sz w:val="24"/>
          <w:highlight w:val="none"/>
          <w:lang w:val="en-US" w:eastAsia="zh-CN"/>
        </w:rPr>
        <w:t>500</w:t>
      </w:r>
      <w:r>
        <w:rPr>
          <w:rFonts w:hint="eastAsia" w:ascii="仿宋_GB2312" w:hAnsi="仿宋_GB2312" w:eastAsia="仿宋_GB2312" w:cs="仿宋_GB2312"/>
          <w:color w:val="auto"/>
          <w:sz w:val="24"/>
          <w:highlight w:val="none"/>
        </w:rPr>
        <w:t>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、检查发现秩序维护员酒后上岗或上岗喝酒, 每人每次扣减当月物业服务费50</w:t>
      </w:r>
      <w:r>
        <w:rPr>
          <w:rFonts w:hint="eastAsia" w:ascii="仿宋_GB2312" w:hAnsi="仿宋_GB2312" w:eastAsia="仿宋_GB2312" w:cs="仿宋_GB2312"/>
          <w:color w:val="auto"/>
          <w:sz w:val="24"/>
          <w:highlight w:val="none"/>
          <w:lang w:val="en-US" w:eastAsia="zh-CN"/>
        </w:rPr>
        <w:t>0</w:t>
      </w:r>
      <w:r>
        <w:rPr>
          <w:rFonts w:hint="eastAsia" w:ascii="仿宋_GB2312" w:hAnsi="仿宋_GB2312" w:eastAsia="仿宋_GB2312" w:cs="仿宋_GB2312"/>
          <w:color w:val="auto"/>
          <w:sz w:val="24"/>
          <w:highlight w:val="none"/>
        </w:rPr>
        <w:t>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、凡受到师生对物业服务投诉（含校内外），经查属实的，每起扣减当月物业服务费500元。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6、检查发现未按要求对绿植进行修剪、施肥、浇水的，</w:t>
      </w:r>
      <w:r>
        <w:rPr>
          <w:rFonts w:hint="eastAsia" w:ascii="仿宋_GB2312" w:hAnsi="仿宋_GB2312" w:eastAsia="仿宋_GB2312" w:cs="仿宋_GB2312"/>
          <w:color w:val="auto"/>
          <w:sz w:val="24"/>
          <w:highlight w:val="none"/>
        </w:rPr>
        <w:t>每次扣减当月物业服务费</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00元</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7、检查发现因物业公司原因造成树木、花草等枯死，绿化设施损毁的，由物业公司按绿化标准恢复，不能恢复而造成损失的由物业公司负责赔偿。</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工作中存在有不文明现象，包括管理人员或其他工作人员到校方办公室闹事、语言粗俗等其他过激行为，予以扣减当月物业服务费500元；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9</w:t>
      </w:r>
      <w:r>
        <w:rPr>
          <w:rFonts w:hint="eastAsia" w:ascii="仿宋_GB2312" w:hAnsi="仿宋_GB2312" w:eastAsia="仿宋_GB2312" w:cs="仿宋_GB2312"/>
          <w:color w:val="auto"/>
          <w:sz w:val="24"/>
          <w:highlight w:val="none"/>
        </w:rPr>
        <w:t>、没有及时报告事件或有意隐瞒事件，甚至知情不报三类任一项的，予以扣减当月物业服务费500元；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10、未</w:t>
      </w:r>
      <w:r>
        <w:rPr>
          <w:rFonts w:hint="eastAsia" w:ascii="仿宋_GB2312" w:hAnsi="仿宋_GB2312" w:eastAsia="仿宋_GB2312" w:cs="仿宋_GB2312"/>
          <w:color w:val="auto"/>
          <w:sz w:val="24"/>
          <w:highlight w:val="none"/>
          <w:lang w:val="en-US" w:eastAsia="zh-CN"/>
        </w:rPr>
        <w:t>做好</w:t>
      </w:r>
      <w:r>
        <w:rPr>
          <w:rFonts w:hint="eastAsia" w:ascii="仿宋_GB2312" w:hAnsi="仿宋_GB2312" w:eastAsia="仿宋_GB2312" w:cs="仿宋_GB2312"/>
          <w:color w:val="auto"/>
          <w:sz w:val="24"/>
          <w:highlight w:val="none"/>
        </w:rPr>
        <w:t>变电箱、开闭所</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强电房、楼层电箱</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水泵房</w:t>
      </w:r>
      <w:r>
        <w:rPr>
          <w:rFonts w:hint="eastAsia" w:ascii="仿宋_GB2312" w:hAnsi="仿宋_GB2312" w:eastAsia="仿宋_GB2312" w:cs="仿宋_GB2312"/>
          <w:color w:val="auto"/>
          <w:sz w:val="24"/>
          <w:highlight w:val="none"/>
          <w:lang w:val="en-US" w:eastAsia="zh-CN"/>
        </w:rPr>
        <w:t>及厕所等用能设备设施日常检查和维护（每周不低于2次），没有形成检查记录的或因维护超时受到投诉的，</w:t>
      </w:r>
      <w:r>
        <w:rPr>
          <w:rFonts w:hint="eastAsia" w:ascii="仿宋_GB2312" w:hAnsi="仿宋_GB2312" w:eastAsia="仿宋_GB2312" w:cs="仿宋_GB2312"/>
          <w:color w:val="auto"/>
          <w:sz w:val="24"/>
          <w:highlight w:val="none"/>
        </w:rPr>
        <w:t>每起扣减当月物业服务费</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00元</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造成重大损失的扣500元，并追究相关责任；</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11、配合校方做好各项用能器具管理和统计工作，建立用能器具管理台帐，包含电表、水表、冲水水箱，尿斗，水龙头、开闭所及变电房内开关等用能设备设施管理</w:t>
      </w:r>
      <w:r>
        <w:rPr>
          <w:rFonts w:hint="eastAsia" w:ascii="仿宋_GB2312" w:hAnsi="仿宋_GB2312" w:eastAsia="仿宋_GB2312" w:cs="仿宋_GB2312"/>
          <w:color w:val="auto"/>
          <w:sz w:val="24"/>
          <w:highlight w:val="none"/>
        </w:rPr>
        <w:t>，在接手</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个月内建立相关档案</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缺少台帐档案的，每项</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500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color w:val="auto"/>
          <w:sz w:val="24"/>
          <w:highlight w:val="none"/>
          <w:lang w:val="en-US" w:eastAsia="zh-CN"/>
        </w:rPr>
        <w:t>档案资料与实际误差超过10%的，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200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p>
    <w:p>
      <w:pPr>
        <w:numPr>
          <w:ilvl w:val="0"/>
          <w:numId w:val="0"/>
        </w:num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rPr>
        <w:t>熟悉校区内水电供应网线及管道走向，在接手</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个月内建立</w:t>
      </w:r>
      <w:r>
        <w:rPr>
          <w:rFonts w:hint="eastAsia" w:ascii="仿宋_GB2312" w:hAnsi="仿宋_GB2312" w:eastAsia="仿宋_GB2312" w:cs="仿宋_GB2312"/>
          <w:color w:val="auto"/>
          <w:sz w:val="24"/>
          <w:highlight w:val="none"/>
          <w:lang w:val="en-US" w:eastAsia="zh-CN"/>
        </w:rPr>
        <w:t>一、二、三级表具管线</w:t>
      </w:r>
      <w:r>
        <w:rPr>
          <w:rFonts w:hint="eastAsia" w:ascii="仿宋_GB2312" w:hAnsi="仿宋_GB2312" w:eastAsia="仿宋_GB2312" w:cs="仿宋_GB2312"/>
          <w:color w:val="auto"/>
          <w:sz w:val="24"/>
          <w:highlight w:val="none"/>
        </w:rPr>
        <w:t>相关档案</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bCs/>
          <w:color w:val="auto"/>
          <w:sz w:val="24"/>
          <w:highlight w:val="none"/>
          <w:lang w:val="en-US" w:eastAsia="zh-CN"/>
        </w:rPr>
        <w:t>明确管线走向标识，应在开闭所、水泵房、配电房内有对应管线路图纸说明，阀闸、空开等控制设施做好管控区域标识，</w:t>
      </w:r>
      <w:r>
        <w:rPr>
          <w:rFonts w:hint="eastAsia" w:ascii="仿宋_GB2312" w:hAnsi="仿宋_GB2312" w:eastAsia="仿宋_GB2312" w:cs="仿宋_GB2312"/>
          <w:color w:val="auto"/>
          <w:sz w:val="24"/>
          <w:highlight w:val="none"/>
          <w:lang w:val="en-US" w:eastAsia="zh-CN"/>
        </w:rPr>
        <w:t>缺少水电管网图的，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500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color w:val="auto"/>
          <w:sz w:val="24"/>
          <w:highlight w:val="none"/>
          <w:lang w:val="en-US" w:eastAsia="zh-CN"/>
        </w:rPr>
        <w:t>档案资料与实际误差超过10%的，</w:t>
      </w:r>
      <w:r>
        <w:rPr>
          <w:rFonts w:hint="eastAsia" w:ascii="仿宋_GB2312" w:hAnsi="仿宋_GB2312" w:eastAsia="仿宋_GB2312" w:cs="仿宋_GB2312"/>
          <w:bCs/>
          <w:color w:val="auto"/>
          <w:sz w:val="24"/>
          <w:highlight w:val="none"/>
        </w:rPr>
        <w:t>扣减当月物业服务费</w:t>
      </w:r>
      <w:r>
        <w:rPr>
          <w:rFonts w:hint="eastAsia" w:ascii="仿宋_GB2312" w:hAnsi="仿宋_GB2312" w:eastAsia="仿宋_GB2312" w:cs="仿宋_GB2312"/>
          <w:bCs/>
          <w:color w:val="auto"/>
          <w:sz w:val="24"/>
          <w:highlight w:val="none"/>
          <w:lang w:val="en-US" w:eastAsia="zh-CN"/>
        </w:rPr>
        <w:t>200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lang w:val="en-US" w:eastAsia="zh-CN"/>
        </w:rPr>
        <w:t>缺少阀闸、空开控制设施标识的，每处扣减50元；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13、</w:t>
      </w:r>
      <w:r>
        <w:rPr>
          <w:rFonts w:hint="eastAsia" w:ascii="仿宋_GB2312" w:hAnsi="仿宋_GB2312" w:eastAsia="仿宋_GB2312" w:cs="仿宋_GB2312"/>
          <w:color w:val="auto"/>
          <w:sz w:val="24"/>
          <w:highlight w:val="none"/>
        </w:rPr>
        <w:t>每月不按时抄水电表（每月5日前完成上个月的抄表工作），或水电表的数据（含费用核算数据）准确率低于90%的，视具体情况扣减当月物业服务费100-1000元。</w:t>
      </w:r>
    </w:p>
    <w:p>
      <w:pPr>
        <w:adjustRightInd w:val="0"/>
        <w:snapToGrid w:val="0"/>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14、</w:t>
      </w:r>
      <w:r>
        <w:rPr>
          <w:rFonts w:hint="eastAsia" w:ascii="仿宋_GB2312" w:hAnsi="仿宋_GB2312" w:eastAsia="仿宋_GB2312" w:cs="仿宋_GB2312"/>
          <w:color w:val="auto"/>
          <w:sz w:val="24"/>
          <w:highlight w:val="none"/>
          <w:lang w:eastAsia="zh-CN"/>
        </w:rPr>
        <w:t>结合学校的实际情况，加强对水电使用的管控，由于物业管理原因出现不按规定关灯，长流水等现象，造成水电浪费的，视具体情况扣减当月物业服务费</w:t>
      </w:r>
      <w:r>
        <w:rPr>
          <w:rFonts w:hint="eastAsia" w:ascii="仿宋_GB2312" w:hAnsi="仿宋_GB2312" w:eastAsia="仿宋_GB2312" w:cs="仿宋_GB2312"/>
          <w:color w:val="auto"/>
          <w:sz w:val="24"/>
          <w:highlight w:val="none"/>
          <w:lang w:val="en-US" w:eastAsia="zh-CN"/>
        </w:rPr>
        <w:t>500</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000元；</w:t>
      </w:r>
    </w:p>
    <w:p>
      <w:pPr>
        <w:adjustRightInd w:val="0"/>
        <w:snapToGrid w:val="0"/>
        <w:spacing w:line="360" w:lineRule="auto"/>
        <w:ind w:firstLine="482"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bCs/>
          <w:color w:val="auto"/>
          <w:sz w:val="24"/>
          <w:highlight w:val="none"/>
          <w:lang w:eastAsia="zh-CN"/>
        </w:rPr>
        <w:t>四类</w:t>
      </w:r>
    </w:p>
    <w:p>
      <w:pPr>
        <w:adjustRightInd w:val="0"/>
        <w:snapToGrid w:val="0"/>
        <w:spacing w:line="360" w:lineRule="auto"/>
        <w:ind w:firstLine="480" w:firstLineChars="200"/>
        <w:jc w:val="lef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color w:val="auto"/>
          <w:sz w:val="24"/>
          <w:highlight w:val="none"/>
          <w:lang w:val="en-US" w:eastAsia="zh-CN"/>
        </w:rPr>
        <w:t>1、未</w:t>
      </w:r>
      <w:r>
        <w:rPr>
          <w:rFonts w:hint="eastAsia" w:ascii="仿宋_GB2312" w:hAnsi="仿宋_GB2312" w:eastAsia="仿宋_GB2312" w:cs="仿宋_GB2312"/>
          <w:color w:val="auto"/>
          <w:sz w:val="24"/>
          <w:highlight w:val="none"/>
        </w:rPr>
        <w:t>按时上交年工作计划和总结、假期工作计划和总结、月工作计划和总结、活动方案、培训方案（资料）、人员信息表（如实上报）、回函、情况说明以及其他相关信息材料，予以扣减当月物业服务费1000元；</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2、未执行招标文件、合同规定任务的，或对学校后勤保障处、保卫处、学生工作处等部门要求整改的问题未在规定时间内完成整改的，学校有权扣减月物业管理服务费2000元，直至执行、整改为止；</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、未经校方同意，进场2个月内不按规定配备齐各岗位所需物品的（详见：附件6</w:t>
      </w:r>
      <w:r>
        <w:rPr>
          <w:rFonts w:hint="eastAsia" w:ascii="仿宋_GB2312" w:hAnsi="仿宋_GB2312" w:eastAsia="仿宋_GB2312" w:cs="仿宋_GB2312"/>
          <w:color w:val="auto"/>
          <w:sz w:val="24"/>
          <w:highlight w:val="none"/>
          <w:lang w:eastAsia="zh-CN"/>
        </w:rPr>
        <w:t>《</w:t>
      </w:r>
      <w:r>
        <w:rPr>
          <w:rFonts w:hint="eastAsia" w:ascii="仿宋_GB2312" w:eastAsia="仿宋_GB2312" w:cs="Times New Roman"/>
          <w:color w:val="auto"/>
          <w:sz w:val="24"/>
          <w:highlight w:val="none"/>
        </w:rPr>
        <w:t>中标人投入本项目</w:t>
      </w:r>
      <w:r>
        <w:rPr>
          <w:rFonts w:hint="eastAsia" w:ascii="仿宋_GB2312" w:eastAsia="仿宋_GB2312" w:cs="Times New Roman"/>
          <w:color w:val="auto"/>
          <w:sz w:val="24"/>
          <w:highlight w:val="none"/>
          <w:lang w:eastAsia="zh-CN"/>
        </w:rPr>
        <w:t>的</w:t>
      </w:r>
      <w:r>
        <w:rPr>
          <w:rFonts w:hint="eastAsia" w:ascii="仿宋_GB2312" w:eastAsia="仿宋_GB2312" w:cs="Times New Roman"/>
          <w:color w:val="auto"/>
          <w:sz w:val="24"/>
          <w:highlight w:val="none"/>
        </w:rPr>
        <w:t>设备</w:t>
      </w:r>
      <w:r>
        <w:rPr>
          <w:rFonts w:hint="eastAsia" w:ascii="仿宋_GB2312" w:hAnsi="仿宋_GB2312" w:eastAsia="仿宋_GB2312" w:cs="仿宋_GB2312"/>
          <w:color w:val="auto"/>
          <w:sz w:val="24"/>
          <w:highlight w:val="none"/>
          <w:lang w:eastAsia="zh-CN"/>
        </w:rPr>
        <w:t>》以及</w:t>
      </w:r>
      <w:r>
        <w:rPr>
          <w:rFonts w:hint="eastAsia" w:ascii="仿宋_GB2312" w:hAnsi="仿宋_GB2312" w:eastAsia="仿宋_GB2312" w:cs="仿宋_GB2312"/>
          <w:color w:val="auto"/>
          <w:sz w:val="24"/>
          <w:highlight w:val="none"/>
        </w:rPr>
        <w:t>中标人</w:t>
      </w:r>
      <w:r>
        <w:rPr>
          <w:rFonts w:hint="eastAsia" w:ascii="仿宋_GB2312" w:hAnsi="仿宋_GB2312" w:eastAsia="仿宋_GB2312" w:cs="仿宋_GB2312"/>
          <w:color w:val="auto"/>
          <w:sz w:val="24"/>
          <w:highlight w:val="none"/>
          <w:lang w:eastAsia="zh-CN"/>
        </w:rPr>
        <w:t>在投标文件中</w:t>
      </w:r>
      <w:r>
        <w:rPr>
          <w:rFonts w:hint="eastAsia" w:ascii="仿宋_GB2312" w:hAnsi="仿宋_GB2312" w:eastAsia="仿宋_GB2312" w:cs="仿宋_GB2312"/>
          <w:color w:val="auto"/>
          <w:sz w:val="24"/>
          <w:highlight w:val="none"/>
        </w:rPr>
        <w:t>承诺配置的设备），每缺少一种设备予以扣减当月物业服务费</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000-20000元（具体金额视所缺设备种类和数量决定），直到配齐为此；</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w:t>
      </w:r>
      <w:r>
        <w:rPr>
          <w:rStyle w:val="810"/>
          <w:rFonts w:hint="eastAsia" w:ascii="仿宋_GB2312" w:hAnsi="仿宋_GB2312" w:eastAsia="仿宋_GB2312" w:cs="仿宋_GB2312"/>
          <w:color w:val="auto"/>
          <w:sz w:val="24"/>
          <w:highlight w:val="none"/>
        </w:rPr>
        <w:t>未经校方书面同意，</w:t>
      </w:r>
      <w:r>
        <w:rPr>
          <w:rFonts w:hint="eastAsia" w:ascii="仿宋_GB2312" w:hAnsi="仿宋_GB2312" w:eastAsia="仿宋_GB2312" w:cs="仿宋_GB2312"/>
          <w:color w:val="auto"/>
          <w:sz w:val="24"/>
          <w:highlight w:val="none"/>
        </w:rPr>
        <w:t>擅自更换物业经理、主管</w:t>
      </w:r>
      <w:r>
        <w:rPr>
          <w:rFonts w:hint="eastAsia" w:ascii="仿宋_GB2312" w:hAnsi="仿宋_GB2312" w:eastAsia="仿宋_GB2312" w:cs="仿宋_GB2312"/>
          <w:color w:val="auto"/>
          <w:sz w:val="24"/>
          <w:highlight w:val="none"/>
          <w:lang w:val="en-US" w:eastAsia="zh-CN"/>
        </w:rPr>
        <w:t>的</w:t>
      </w:r>
      <w:r>
        <w:rPr>
          <w:rFonts w:hint="eastAsia" w:ascii="仿宋_GB2312" w:hAnsi="仿宋_GB2312" w:eastAsia="仿宋_GB2312" w:cs="仿宋_GB2312"/>
          <w:color w:val="auto"/>
          <w:sz w:val="24"/>
          <w:highlight w:val="none"/>
        </w:rPr>
        <w:t>，每人每次扣减物业服务费5万元；</w:t>
      </w:r>
    </w:p>
    <w:p>
      <w:pPr>
        <w:adjustRightInd w:val="0"/>
        <w:snapToGrid w:val="0"/>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szCs w:val="24"/>
          <w:highlight w:val="none"/>
          <w:lang w:val="en-US" w:eastAsia="zh-CN"/>
        </w:rPr>
        <w:t>物业服务人员的学历、工作经验、岗位证书等未达到合同及承诺的标准要求，项目经理、项目经理助理每人扣减当月服务费1万元，主管每人扣减当月服务费6000元，其他关键岗位人员每人扣减当月服务费1000元，直到达到相关标准要求为止；</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、由于物业公司失职造成学校及学生物品损坏的，由物业公司负责修复；不能修复的或者造成物品被盗、丢失的，经核实后，由物业承担</w:t>
      </w:r>
      <w:r>
        <w:rPr>
          <w:rFonts w:hint="eastAsia" w:ascii="仿宋_GB2312" w:hAnsi="仿宋_GB2312" w:eastAsia="仿宋_GB2312" w:cs="仿宋_GB2312"/>
          <w:color w:val="auto"/>
          <w:sz w:val="24"/>
          <w:highlight w:val="none"/>
          <w:lang w:eastAsia="zh-CN"/>
        </w:rPr>
        <w:t>相关费用</w:t>
      </w:r>
      <w:r>
        <w:rPr>
          <w:rFonts w:hint="eastAsia" w:ascii="仿宋_GB2312" w:hAnsi="仿宋_GB2312" w:eastAsia="仿宋_GB2312" w:cs="仿宋_GB2312"/>
          <w:color w:val="auto"/>
          <w:sz w:val="24"/>
          <w:highlight w:val="none"/>
        </w:rPr>
        <w:t>；</w:t>
      </w:r>
    </w:p>
    <w:p>
      <w:pPr>
        <w:adjustRightInd w:val="0"/>
        <w:snapToGrid w:val="0"/>
        <w:spacing w:line="360" w:lineRule="auto"/>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highlight w:val="none"/>
        </w:rPr>
        <w:t>、物业服务中心日常工作不到位、不达标，对物业公司按扣减当月物业服务费总和的5%</w:t>
      </w:r>
      <w:r>
        <w:rPr>
          <w:rFonts w:hint="eastAsia" w:ascii="仿宋_GB2312" w:hAnsi="仿宋_GB2312" w:eastAsia="仿宋_GB2312" w:cs="仿宋_GB2312"/>
          <w:color w:val="auto"/>
          <w:sz w:val="24"/>
          <w:highlight w:val="none"/>
          <w:lang w:val="en-US" w:eastAsia="zh-CN"/>
        </w:rPr>
        <w:t>作为违约金</w:t>
      </w:r>
      <w:r>
        <w:rPr>
          <w:rFonts w:hint="eastAsia" w:ascii="仿宋_GB2312" w:hAnsi="仿宋_GB2312" w:eastAsia="仿宋_GB2312" w:cs="仿宋_GB2312"/>
          <w:color w:val="auto"/>
          <w:sz w:val="24"/>
          <w:highlight w:val="none"/>
          <w:lang w:eastAsia="zh-CN"/>
        </w:rPr>
        <w:t>。</w:t>
      </w:r>
    </w:p>
    <w:p>
      <w:pPr>
        <w:adjustRightInd w:val="0"/>
        <w:snapToGrid w:val="0"/>
        <w:spacing w:line="360" w:lineRule="auto"/>
        <w:jc w:val="left"/>
        <w:rPr>
          <w:rFonts w:hint="default" w:ascii="仿宋_GB2312" w:hAnsi="Calibri" w:eastAsia="仿宋_GB2312"/>
          <w:color w:val="auto"/>
          <w:sz w:val="24"/>
          <w:highlight w:val="none"/>
          <w:lang w:val="en-US" w:eastAsia="zh-CN"/>
        </w:rPr>
      </w:pPr>
    </w:p>
    <w:p>
      <w:pPr>
        <w:pStyle w:val="20"/>
        <w:rPr>
          <w:rFonts w:hint="default" w:ascii="仿宋_GB2312" w:hAnsi="Calibri" w:eastAsia="仿宋_GB2312"/>
          <w:color w:val="auto"/>
          <w:sz w:val="24"/>
          <w:highlight w:val="none"/>
          <w:lang w:val="en-US" w:eastAsia="zh-CN"/>
        </w:rPr>
      </w:pPr>
    </w:p>
    <w:p>
      <w:pPr>
        <w:rPr>
          <w:rFonts w:hint="default" w:ascii="仿宋_GB2312" w:hAnsi="Calibri" w:eastAsia="仿宋_GB2312"/>
          <w:color w:val="auto"/>
          <w:sz w:val="24"/>
          <w:highlight w:val="none"/>
          <w:lang w:val="en-US" w:eastAsia="zh-CN"/>
        </w:rPr>
      </w:pPr>
    </w:p>
    <w:p>
      <w:pPr>
        <w:pStyle w:val="20"/>
        <w:rPr>
          <w:rFonts w:hint="default"/>
          <w:color w:val="auto"/>
          <w:highlight w:val="none"/>
          <w:lang w:val="en-US" w:eastAsia="zh-CN"/>
        </w:rPr>
      </w:pPr>
    </w:p>
    <w:p>
      <w:pPr>
        <w:adjustRightInd w:val="0"/>
        <w:snapToGrid w:val="0"/>
        <w:spacing w:line="360" w:lineRule="auto"/>
        <w:ind w:firstLine="360" w:firstLineChars="150"/>
        <w:jc w:val="left"/>
        <w:rPr>
          <w:rFonts w:ascii="仿宋_GB2312" w:hAnsi="Calibri" w:eastAsia="仿宋_GB2312"/>
          <w:color w:val="auto"/>
          <w:sz w:val="24"/>
          <w:highlight w:val="none"/>
        </w:rPr>
      </w:pPr>
      <w:r>
        <w:rPr>
          <w:rFonts w:ascii="仿宋_GB2312" w:hAnsi="仿宋_GB2312" w:eastAsia="仿宋_GB2312" w:cs="仿宋_GB2312"/>
          <w:bCs/>
          <w:color w:val="auto"/>
          <w:sz w:val="24"/>
          <w:highlight w:val="none"/>
        </w:rPr>
        <w:t>★</w:t>
      </w:r>
      <w:r>
        <w:rPr>
          <w:rFonts w:hint="eastAsia" w:ascii="仿宋_GB2312" w:hAnsi="Calibri" w:eastAsia="仿宋_GB2312"/>
          <w:b/>
          <w:bCs/>
          <w:color w:val="auto"/>
          <w:sz w:val="24"/>
          <w:highlight w:val="none"/>
        </w:rPr>
        <w:t>附件</w:t>
      </w:r>
      <w:r>
        <w:rPr>
          <w:rFonts w:hint="eastAsia" w:ascii="仿宋_GB2312" w:hAnsi="Calibri" w:eastAsia="仿宋_GB2312"/>
          <w:b/>
          <w:bCs/>
          <w:color w:val="auto"/>
          <w:sz w:val="24"/>
          <w:highlight w:val="none"/>
          <w:lang w:val="en-US" w:eastAsia="zh-CN"/>
        </w:rPr>
        <w:t>5</w:t>
      </w:r>
      <w:r>
        <w:rPr>
          <w:rFonts w:hint="eastAsia" w:ascii="仿宋_GB2312" w:hAnsi="Calibri" w:eastAsia="仿宋_GB2312"/>
          <w:b/>
          <w:bCs/>
          <w:color w:val="auto"/>
          <w:sz w:val="24"/>
          <w:highlight w:val="none"/>
        </w:rPr>
        <w:t>：整改通知单</w:t>
      </w:r>
    </w:p>
    <w:p>
      <w:pPr>
        <w:adjustRightInd w:val="0"/>
        <w:snapToGrid w:val="0"/>
        <w:spacing w:line="360" w:lineRule="auto"/>
        <w:ind w:firstLine="361" w:firstLineChars="150"/>
        <w:jc w:val="center"/>
        <w:rPr>
          <w:rFonts w:ascii="仿宋_GB2312" w:hAnsi="Calibri" w:eastAsia="仿宋_GB2312"/>
          <w:b/>
          <w:bCs/>
          <w:color w:val="auto"/>
          <w:sz w:val="24"/>
          <w:highlight w:val="none"/>
        </w:rPr>
      </w:pPr>
      <w:r>
        <w:rPr>
          <w:rFonts w:hint="eastAsia" w:ascii="仿宋_GB2312" w:hAnsi="Calibri" w:eastAsia="仿宋_GB2312"/>
          <w:b/>
          <w:bCs/>
          <w:color w:val="auto"/>
          <w:sz w:val="24"/>
          <w:highlight w:val="none"/>
        </w:rPr>
        <w:t>整改通知单</w:t>
      </w:r>
    </w:p>
    <w:tbl>
      <w:tblPr>
        <w:tblStyle w:val="48"/>
        <w:tblW w:w="0" w:type="auto"/>
        <w:tblInd w:w="113" w:type="dxa"/>
        <w:tblLayout w:type="autofit"/>
        <w:tblCellMar>
          <w:top w:w="0" w:type="dxa"/>
          <w:left w:w="108" w:type="dxa"/>
          <w:bottom w:w="0" w:type="dxa"/>
          <w:right w:w="108" w:type="dxa"/>
        </w:tblCellMar>
      </w:tblPr>
      <w:tblGrid>
        <w:gridCol w:w="1235"/>
        <w:gridCol w:w="1520"/>
        <w:gridCol w:w="814"/>
        <w:gridCol w:w="1445"/>
        <w:gridCol w:w="4115"/>
      </w:tblGrid>
      <w:tr>
        <w:tblPrEx>
          <w:tblCellMar>
            <w:top w:w="0" w:type="dxa"/>
            <w:left w:w="108" w:type="dxa"/>
            <w:bottom w:w="0" w:type="dxa"/>
            <w:right w:w="108" w:type="dxa"/>
          </w:tblCellMar>
        </w:tblPrEx>
        <w:trPr>
          <w:trHeight w:val="679" w:hRule="atLeast"/>
        </w:trPr>
        <w:tc>
          <w:tcPr>
            <w:tcW w:w="539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存根</w:t>
            </w:r>
          </w:p>
        </w:tc>
        <w:tc>
          <w:tcPr>
            <w:tcW w:w="447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b/>
                <w:bCs/>
                <w:color w:val="auto"/>
                <w:kern w:val="0"/>
                <w:sz w:val="24"/>
                <w:highlight w:val="none"/>
              </w:rPr>
            </w:pPr>
            <w:r>
              <w:rPr>
                <w:rFonts w:hint="eastAsia" w:ascii="仿宋_GB2312" w:hAnsi="宋体" w:eastAsia="仿宋_GB2312"/>
                <w:b/>
                <w:bCs/>
                <w:color w:val="auto"/>
                <w:kern w:val="0"/>
                <w:sz w:val="24"/>
                <w:highlight w:val="none"/>
                <w:lang w:eastAsia="zh-CN"/>
              </w:rPr>
              <w:t>柳州职业技术学院</w:t>
            </w:r>
            <w:r>
              <w:rPr>
                <w:rFonts w:hint="eastAsia" w:ascii="仿宋_GB2312" w:eastAsia="仿宋_GB2312"/>
                <w:b/>
                <w:bCs/>
                <w:color w:val="auto"/>
                <w:kern w:val="0"/>
                <w:sz w:val="24"/>
                <w:highlight w:val="none"/>
                <w:u w:val="single"/>
              </w:rPr>
              <w:t xml:space="preserve">         </w:t>
            </w:r>
            <w:r>
              <w:rPr>
                <w:rFonts w:hint="eastAsia" w:ascii="仿宋_GB2312" w:hAnsi="宋体" w:eastAsia="仿宋_GB2312"/>
                <w:b/>
                <w:bCs/>
                <w:color w:val="auto"/>
                <w:kern w:val="0"/>
                <w:sz w:val="24"/>
                <w:highlight w:val="none"/>
              </w:rPr>
              <w:t>检查组检查限期整改通知</w:t>
            </w:r>
          </w:p>
        </w:tc>
      </w:tr>
      <w:tr>
        <w:tblPrEx>
          <w:tblCellMar>
            <w:top w:w="0" w:type="dxa"/>
            <w:left w:w="108" w:type="dxa"/>
            <w:bottom w:w="0" w:type="dxa"/>
            <w:right w:w="108" w:type="dxa"/>
          </w:tblCellMar>
        </w:tblPrEx>
        <w:trPr>
          <w:trHeight w:val="424"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整改编号</w:t>
            </w:r>
          </w:p>
        </w:tc>
        <w:tc>
          <w:tcPr>
            <w:tcW w:w="1656" w:type="dxa"/>
            <w:tcBorders>
              <w:top w:val="nil"/>
              <w:left w:val="nil"/>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　</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检查日期</w:t>
            </w:r>
          </w:p>
        </w:tc>
        <w:tc>
          <w:tcPr>
            <w:tcW w:w="1573" w:type="dxa"/>
            <w:tcBorders>
              <w:top w:val="nil"/>
              <w:left w:val="nil"/>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编号：</w:t>
            </w:r>
          </w:p>
        </w:tc>
      </w:tr>
      <w:tr>
        <w:tblPrEx>
          <w:tblCellMar>
            <w:top w:w="0" w:type="dxa"/>
            <w:left w:w="108" w:type="dxa"/>
            <w:bottom w:w="0" w:type="dxa"/>
            <w:right w:w="108" w:type="dxa"/>
          </w:tblCellMar>
        </w:tblPrEx>
        <w:trPr>
          <w:trHeight w:val="469"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接收单位</w:t>
            </w:r>
          </w:p>
        </w:tc>
        <w:tc>
          <w:tcPr>
            <w:tcW w:w="4080" w:type="dxa"/>
            <w:gridSpan w:val="3"/>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经查，你单位存在：</w:t>
            </w:r>
          </w:p>
          <w:p>
            <w:pPr>
              <w:widowControl/>
              <w:spacing w:after="240" w:line="360" w:lineRule="auto"/>
              <w:jc w:val="left"/>
              <w:rPr>
                <w:rFonts w:hint="eastAsia" w:ascii="仿宋_GB2312" w:hAnsi="宋体" w:eastAsia="仿宋_GB2312" w:cs="宋体"/>
                <w:color w:val="auto"/>
                <w:kern w:val="0"/>
                <w:sz w:val="24"/>
                <w:highlight w:val="none"/>
                <w:lang w:eastAsia="zh-CN"/>
              </w:rPr>
            </w:pPr>
          </w:p>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1.</w:t>
            </w:r>
          </w:p>
          <w:p>
            <w:pPr>
              <w:widowControl/>
              <w:spacing w:after="240" w:line="360" w:lineRule="auto"/>
              <w:jc w:val="left"/>
              <w:rPr>
                <w:rFonts w:hint="eastAsia" w:ascii="仿宋_GB2312" w:hAnsi="宋体" w:eastAsia="仿宋_GB2312" w:cs="宋体"/>
                <w:color w:val="auto"/>
                <w:kern w:val="0"/>
                <w:sz w:val="24"/>
                <w:highlight w:val="none"/>
                <w:lang w:eastAsia="zh-CN"/>
              </w:rPr>
            </w:pPr>
          </w:p>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问题，</w:t>
            </w:r>
          </w:p>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 xml:space="preserve">    </w:t>
            </w:r>
          </w:p>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 xml:space="preserve">    请你们立即整改。我处将自通知书下发之日起，随时复查，整改情况请你们及时向我处反馈。                              </w:t>
            </w:r>
          </w:p>
          <w:p>
            <w:pPr>
              <w:widowControl/>
              <w:spacing w:after="240" w:line="360" w:lineRule="auto"/>
              <w:jc w:val="left"/>
              <w:rPr>
                <w:rFonts w:hint="eastAsia" w:ascii="仿宋_GB2312" w:hAnsi="宋体" w:eastAsia="仿宋_GB2312" w:cs="宋体"/>
                <w:color w:val="auto"/>
                <w:kern w:val="0"/>
                <w:sz w:val="24"/>
                <w:highlight w:val="none"/>
                <w:lang w:eastAsia="zh-CN"/>
              </w:rPr>
            </w:pPr>
          </w:p>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 xml:space="preserve">特此通知。 </w:t>
            </w:r>
          </w:p>
          <w:p>
            <w:pPr>
              <w:widowControl/>
              <w:spacing w:after="240" w:line="360" w:lineRule="auto"/>
              <w:jc w:val="left"/>
              <w:rPr>
                <w:rFonts w:hint="eastAsia" w:ascii="仿宋_GB2312" w:hAnsi="宋体" w:eastAsia="仿宋_GB2312" w:cs="宋体"/>
                <w:color w:val="auto"/>
                <w:kern w:val="0"/>
                <w:sz w:val="24"/>
                <w:highlight w:val="none"/>
                <w:lang w:eastAsia="zh-CN"/>
              </w:rPr>
            </w:pPr>
          </w:p>
          <w:p>
            <w:pPr>
              <w:widowControl/>
              <w:spacing w:after="240" w:line="360" w:lineRule="auto"/>
              <w:jc w:val="left"/>
              <w:rPr>
                <w:rFonts w:hint="eastAsia" w:ascii="仿宋_GB2312" w:hAnsi="宋体" w:eastAsia="仿宋_GB2312" w:cs="宋体"/>
                <w:color w:val="auto"/>
                <w:kern w:val="0"/>
                <w:sz w:val="24"/>
                <w:highlight w:val="none"/>
                <w:lang w:eastAsia="zh-CN"/>
              </w:rPr>
            </w:pPr>
          </w:p>
          <w:p>
            <w:pPr>
              <w:widowControl/>
              <w:spacing w:after="240" w:line="360" w:lineRule="auto"/>
              <w:jc w:val="left"/>
              <w:rPr>
                <w:rFonts w:hint="eastAsia" w:ascii="仿宋_GB2312" w:hAnsi="宋体" w:eastAsia="仿宋_GB2312" w:cs="宋体"/>
                <w:color w:val="auto"/>
                <w:kern w:val="0"/>
                <w:sz w:val="24"/>
                <w:highlight w:val="none"/>
                <w:lang w:eastAsia="zh-CN"/>
              </w:rPr>
            </w:pPr>
          </w:p>
          <w:p>
            <w:pPr>
              <w:widowControl/>
              <w:spacing w:after="240" w:line="360" w:lineRule="auto"/>
              <w:jc w:val="left"/>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 xml:space="preserve">   </w:t>
            </w:r>
            <w:r>
              <w:rPr>
                <w:rFonts w:hint="eastAsia" w:ascii="仿宋_GB2312" w:hAnsi="宋体" w:eastAsia="仿宋_GB2312" w:cs="宋体"/>
                <w:color w:val="auto"/>
                <w:kern w:val="0"/>
                <w:sz w:val="24"/>
                <w:highlight w:val="none"/>
                <w:lang w:eastAsia="zh-CN"/>
              </w:rPr>
              <w:t>柳州职业技术学院</w:t>
            </w:r>
            <w:r>
              <w:rPr>
                <w:rFonts w:hint="eastAsia" w:ascii="仿宋_GB2312" w:hAnsi="宋体" w:eastAsia="仿宋_GB2312" w:cs="宋体"/>
                <w:color w:val="auto"/>
                <w:kern w:val="0"/>
                <w:sz w:val="24"/>
                <w:highlight w:val="none"/>
                <w:u w:val="single"/>
              </w:rPr>
              <w:t xml:space="preserve">         </w:t>
            </w:r>
            <w:r>
              <w:rPr>
                <w:rFonts w:hint="eastAsia" w:ascii="仿宋_GB2312" w:hAnsi="宋体" w:eastAsia="仿宋_GB2312" w:cs="宋体"/>
                <w:color w:val="auto"/>
                <w:kern w:val="0"/>
                <w:sz w:val="24"/>
                <w:highlight w:val="none"/>
              </w:rPr>
              <w:t xml:space="preserve">检查组                                                         </w:t>
            </w:r>
          </w:p>
          <w:p>
            <w:pPr>
              <w:widowControl/>
              <w:spacing w:after="240"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xml:space="preserve">                  年   月    日</w:t>
            </w:r>
          </w:p>
        </w:tc>
      </w:tr>
      <w:tr>
        <w:tblPrEx>
          <w:tblCellMar>
            <w:top w:w="0" w:type="dxa"/>
            <w:left w:w="108" w:type="dxa"/>
            <w:bottom w:w="0" w:type="dxa"/>
            <w:right w:w="108" w:type="dxa"/>
          </w:tblCellMar>
        </w:tblPrEx>
        <w:trPr>
          <w:trHeight w:val="469"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接收人签名</w:t>
            </w:r>
          </w:p>
        </w:tc>
        <w:tc>
          <w:tcPr>
            <w:tcW w:w="4080" w:type="dxa"/>
            <w:gridSpan w:val="3"/>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469"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联系电话</w:t>
            </w:r>
          </w:p>
        </w:tc>
        <w:tc>
          <w:tcPr>
            <w:tcW w:w="4080" w:type="dxa"/>
            <w:gridSpan w:val="3"/>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904" w:hRule="atLeast"/>
        </w:trPr>
        <w:tc>
          <w:tcPr>
            <w:tcW w:w="1316"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存在问题</w:t>
            </w:r>
          </w:p>
        </w:tc>
        <w:tc>
          <w:tcPr>
            <w:tcW w:w="408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743" w:hRule="atLeast"/>
        </w:trPr>
        <w:tc>
          <w:tcPr>
            <w:tcW w:w="13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0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642" w:hRule="atLeast"/>
        </w:trPr>
        <w:tc>
          <w:tcPr>
            <w:tcW w:w="13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0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619" w:hRule="atLeast"/>
        </w:trPr>
        <w:tc>
          <w:tcPr>
            <w:tcW w:w="13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0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468" w:hRule="atLeast"/>
        </w:trPr>
        <w:tc>
          <w:tcPr>
            <w:tcW w:w="131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0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471"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依据</w:t>
            </w:r>
          </w:p>
        </w:tc>
        <w:tc>
          <w:tcPr>
            <w:tcW w:w="4080" w:type="dxa"/>
            <w:gridSpan w:val="3"/>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563"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扣除金额</w:t>
            </w:r>
          </w:p>
        </w:tc>
        <w:tc>
          <w:tcPr>
            <w:tcW w:w="4080" w:type="dxa"/>
            <w:gridSpan w:val="3"/>
            <w:tcBorders>
              <w:top w:val="single" w:color="auto" w:sz="4" w:space="0"/>
              <w:left w:val="nil"/>
              <w:bottom w:val="single" w:color="auto" w:sz="4" w:space="0"/>
              <w:right w:val="single" w:color="000000"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无</w:t>
            </w: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415" w:hRule="atLeast"/>
        </w:trPr>
        <w:tc>
          <w:tcPr>
            <w:tcW w:w="131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通知日期</w:t>
            </w:r>
          </w:p>
        </w:tc>
        <w:tc>
          <w:tcPr>
            <w:tcW w:w="4080" w:type="dxa"/>
            <w:gridSpan w:val="3"/>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　</w:t>
            </w: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r>
        <w:tblPrEx>
          <w:tblCellMar>
            <w:top w:w="0" w:type="dxa"/>
            <w:left w:w="108" w:type="dxa"/>
            <w:bottom w:w="0" w:type="dxa"/>
            <w:right w:w="108" w:type="dxa"/>
          </w:tblCellMar>
        </w:tblPrEx>
        <w:trPr>
          <w:trHeight w:val="469" w:hRule="atLeast"/>
        </w:trPr>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检查人员</w:t>
            </w:r>
          </w:p>
        </w:tc>
        <w:tc>
          <w:tcPr>
            <w:tcW w:w="16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审核</w:t>
            </w:r>
          </w:p>
        </w:tc>
        <w:tc>
          <w:tcPr>
            <w:tcW w:w="1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w:t>
            </w:r>
          </w:p>
        </w:tc>
        <w:tc>
          <w:tcPr>
            <w:tcW w:w="44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 xml:space="preserve">                               </w:t>
            </w:r>
          </w:p>
          <w:p>
            <w:pPr>
              <w:widowControl/>
              <w:spacing w:line="360" w:lineRule="auto"/>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 xml:space="preserve">                                  </w:t>
            </w:r>
          </w:p>
        </w:tc>
      </w:tr>
      <w:tr>
        <w:tblPrEx>
          <w:tblCellMar>
            <w:top w:w="0" w:type="dxa"/>
            <w:left w:w="108" w:type="dxa"/>
            <w:bottom w:w="0" w:type="dxa"/>
            <w:right w:w="108" w:type="dxa"/>
          </w:tblCellMar>
        </w:tblPrEx>
        <w:trPr>
          <w:trHeight w:val="468" w:hRule="atLeast"/>
        </w:trPr>
        <w:tc>
          <w:tcPr>
            <w:tcW w:w="1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1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c>
          <w:tcPr>
            <w:tcW w:w="4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仿宋_GB2312" w:hAnsi="宋体" w:eastAsia="仿宋_GB2312" w:cs="宋体"/>
                <w:color w:val="auto"/>
                <w:kern w:val="0"/>
                <w:sz w:val="24"/>
                <w:highlight w:val="none"/>
              </w:rPr>
            </w:pPr>
          </w:p>
        </w:tc>
      </w:tr>
    </w:tbl>
    <w:p>
      <w:pPr>
        <w:spacing w:line="360" w:lineRule="auto"/>
        <w:jc w:val="left"/>
        <w:rPr>
          <w:rFonts w:hint="eastAsia" w:ascii="仿宋_GB2312" w:hAnsi="Calibri" w:eastAsia="仿宋_GB2312"/>
          <w:b/>
          <w:bCs/>
          <w:color w:val="auto"/>
          <w:sz w:val="24"/>
          <w:highlight w:val="none"/>
        </w:rPr>
      </w:pPr>
    </w:p>
    <w:p>
      <w:pPr>
        <w:spacing w:line="360" w:lineRule="auto"/>
        <w:jc w:val="left"/>
        <w:rPr>
          <w:rFonts w:hint="eastAsia" w:ascii="仿宋_GB2312" w:hAnsi="Calibri" w:eastAsia="仿宋_GB2312"/>
          <w:color w:val="auto"/>
          <w:sz w:val="24"/>
          <w:highlight w:val="none"/>
          <w:lang w:eastAsia="zh-CN"/>
        </w:rPr>
      </w:pPr>
      <w:r>
        <w:rPr>
          <w:rFonts w:ascii="仿宋_GB2312" w:hAnsi="仿宋_GB2312" w:eastAsia="仿宋_GB2312" w:cs="仿宋_GB2312"/>
          <w:bCs/>
          <w:color w:val="auto"/>
          <w:sz w:val="24"/>
          <w:highlight w:val="none"/>
        </w:rPr>
        <w:t>★</w:t>
      </w:r>
      <w:r>
        <w:rPr>
          <w:rFonts w:hint="eastAsia" w:ascii="仿宋_GB2312" w:hAnsi="Calibri" w:eastAsia="仿宋_GB2312"/>
          <w:b/>
          <w:bCs/>
          <w:color w:val="auto"/>
          <w:sz w:val="24"/>
          <w:highlight w:val="none"/>
        </w:rPr>
        <w:t>附件</w:t>
      </w:r>
      <w:r>
        <w:rPr>
          <w:rFonts w:hint="eastAsia" w:ascii="仿宋_GB2312" w:hAnsi="Calibri" w:eastAsia="仿宋_GB2312"/>
          <w:b/>
          <w:bCs/>
          <w:color w:val="auto"/>
          <w:sz w:val="24"/>
          <w:highlight w:val="none"/>
          <w:lang w:val="en-US" w:eastAsia="zh-CN"/>
        </w:rPr>
        <w:t>6</w:t>
      </w:r>
      <w:r>
        <w:rPr>
          <w:rFonts w:hint="eastAsia" w:ascii="仿宋_GB2312" w:hAnsi="Calibri" w:eastAsia="仿宋_GB2312"/>
          <w:b/>
          <w:bCs/>
          <w:color w:val="auto"/>
          <w:sz w:val="24"/>
          <w:highlight w:val="none"/>
        </w:rPr>
        <w:t>：中标</w:t>
      </w:r>
      <w:r>
        <w:rPr>
          <w:rFonts w:hint="eastAsia" w:ascii="仿宋_GB2312" w:hAnsi="Calibri" w:eastAsia="仿宋_GB2312"/>
          <w:b/>
          <w:bCs/>
          <w:color w:val="auto"/>
          <w:sz w:val="24"/>
          <w:highlight w:val="none"/>
          <w:lang w:eastAsia="zh-CN"/>
        </w:rPr>
        <w:t>人</w:t>
      </w:r>
      <w:r>
        <w:rPr>
          <w:rFonts w:hint="eastAsia" w:ascii="仿宋_GB2312" w:hAnsi="Calibri" w:eastAsia="仿宋_GB2312"/>
          <w:b/>
          <w:bCs/>
          <w:color w:val="auto"/>
          <w:sz w:val="24"/>
          <w:highlight w:val="none"/>
        </w:rPr>
        <w:t>投入本项目</w:t>
      </w:r>
      <w:r>
        <w:rPr>
          <w:rFonts w:hint="eastAsia" w:ascii="仿宋_GB2312" w:hAnsi="Calibri" w:eastAsia="仿宋_GB2312"/>
          <w:b/>
          <w:bCs/>
          <w:color w:val="auto"/>
          <w:sz w:val="24"/>
          <w:highlight w:val="none"/>
          <w:lang w:eastAsia="zh-CN"/>
        </w:rPr>
        <w:t>的</w:t>
      </w:r>
      <w:r>
        <w:rPr>
          <w:rFonts w:hint="eastAsia" w:ascii="仿宋_GB2312" w:hAnsi="Calibri" w:eastAsia="仿宋_GB2312"/>
          <w:b/>
          <w:bCs/>
          <w:color w:val="auto"/>
          <w:sz w:val="24"/>
          <w:highlight w:val="none"/>
        </w:rPr>
        <w:t>设备</w:t>
      </w:r>
      <w:r>
        <w:rPr>
          <w:rFonts w:hint="eastAsia" w:ascii="仿宋_GB2312" w:hAnsi="Calibri" w:eastAsia="仿宋_GB2312"/>
          <w:b/>
          <w:bCs/>
          <w:color w:val="auto"/>
          <w:sz w:val="24"/>
          <w:highlight w:val="none"/>
          <w:lang w:eastAsia="zh-CN"/>
        </w:rPr>
        <w:t>：</w:t>
      </w:r>
    </w:p>
    <w:p>
      <w:pPr>
        <w:spacing w:line="360" w:lineRule="auto"/>
        <w:jc w:val="left"/>
        <w:rPr>
          <w:rFonts w:hint="eastAsia" w:ascii="仿宋_GB2312" w:hAnsi="Calibri" w:eastAsia="仿宋_GB2312"/>
          <w:color w:val="auto"/>
          <w:sz w:val="24"/>
          <w:highlight w:val="none"/>
          <w:lang w:val="en-US" w:eastAsia="zh-CN"/>
        </w:rPr>
      </w:pPr>
      <w:r>
        <w:rPr>
          <w:rFonts w:hint="eastAsia" w:ascii="仿宋_GB2312" w:hAnsi="Calibri" w:eastAsia="仿宋_GB2312"/>
          <w:color w:val="auto"/>
          <w:sz w:val="24"/>
          <w:highlight w:val="none"/>
          <w:lang w:val="en-US" w:eastAsia="zh-CN"/>
        </w:rPr>
        <w:t xml:space="preserve">  1.</w:t>
      </w:r>
      <w:r>
        <w:rPr>
          <w:rFonts w:hint="eastAsia" w:ascii="仿宋_GB2312" w:hAnsi="Calibri" w:eastAsia="仿宋_GB2312"/>
          <w:color w:val="auto"/>
          <w:sz w:val="24"/>
          <w:highlight w:val="none"/>
        </w:rPr>
        <w:t>投入本项目设备不得与</w:t>
      </w:r>
      <w:r>
        <w:rPr>
          <w:rFonts w:hint="eastAsia" w:ascii="仿宋_GB2312" w:hAnsi="Calibri" w:eastAsia="仿宋_GB2312"/>
          <w:color w:val="auto"/>
          <w:sz w:val="24"/>
          <w:highlight w:val="none"/>
          <w:lang w:eastAsia="zh-CN"/>
        </w:rPr>
        <w:t>本项目除外的服务区域</w:t>
      </w:r>
      <w:r>
        <w:rPr>
          <w:rFonts w:hint="eastAsia" w:ascii="仿宋_GB2312" w:hAnsi="Calibri" w:eastAsia="仿宋_GB2312"/>
          <w:color w:val="auto"/>
          <w:sz w:val="24"/>
          <w:highlight w:val="none"/>
        </w:rPr>
        <w:t>共用、共享</w:t>
      </w:r>
      <w:r>
        <w:rPr>
          <w:rFonts w:hint="eastAsia" w:ascii="仿宋_GB2312" w:hAnsi="Calibri" w:eastAsia="仿宋_GB2312"/>
          <w:color w:val="auto"/>
          <w:sz w:val="24"/>
          <w:highlight w:val="none"/>
          <w:lang w:eastAsia="zh-CN"/>
        </w:rPr>
        <w:t>；</w:t>
      </w:r>
    </w:p>
    <w:p>
      <w:pPr>
        <w:spacing w:line="360" w:lineRule="auto"/>
        <w:ind w:firstLine="240" w:firstLineChars="100"/>
        <w:jc w:val="left"/>
        <w:rPr>
          <w:rFonts w:ascii="仿宋_GB2312" w:hAnsi="Calibri" w:eastAsia="仿宋_GB2312"/>
          <w:color w:val="auto"/>
          <w:sz w:val="24"/>
          <w:highlight w:val="none"/>
        </w:rPr>
      </w:pPr>
      <w:r>
        <w:rPr>
          <w:rFonts w:hint="eastAsia" w:ascii="仿宋_GB2312" w:hAnsi="Calibri" w:eastAsia="仿宋_GB2312"/>
          <w:color w:val="auto"/>
          <w:sz w:val="24"/>
          <w:highlight w:val="none"/>
          <w:lang w:val="en-US" w:eastAsia="zh-CN"/>
        </w:rPr>
        <w:t>2.</w:t>
      </w:r>
      <w:r>
        <w:rPr>
          <w:rFonts w:hint="eastAsia" w:ascii="仿宋_GB2312" w:hAnsi="Calibri" w:eastAsia="仿宋_GB2312"/>
          <w:color w:val="auto"/>
          <w:sz w:val="24"/>
          <w:highlight w:val="none"/>
          <w:lang w:eastAsia="zh-CN"/>
        </w:rPr>
        <w:t>投入本项目的设备包括但不限于以下设备：</w:t>
      </w:r>
    </w:p>
    <w:tbl>
      <w:tblPr>
        <w:tblStyle w:val="48"/>
        <w:tblW w:w="0" w:type="auto"/>
        <w:jc w:val="center"/>
        <w:tblLayout w:type="autofit"/>
        <w:tblCellMar>
          <w:top w:w="0" w:type="dxa"/>
          <w:left w:w="108" w:type="dxa"/>
          <w:bottom w:w="0" w:type="dxa"/>
          <w:right w:w="108" w:type="dxa"/>
        </w:tblCellMar>
      </w:tblPr>
      <w:tblGrid>
        <w:gridCol w:w="2168"/>
        <w:gridCol w:w="844"/>
        <w:gridCol w:w="814"/>
        <w:gridCol w:w="800"/>
        <w:gridCol w:w="1600"/>
        <w:gridCol w:w="2296"/>
      </w:tblGrid>
      <w:tr>
        <w:tblPrEx>
          <w:tblCellMar>
            <w:top w:w="0" w:type="dxa"/>
            <w:left w:w="108" w:type="dxa"/>
            <w:bottom w:w="0" w:type="dxa"/>
            <w:right w:w="108" w:type="dxa"/>
          </w:tblCellMar>
        </w:tblPrEx>
        <w:trPr>
          <w:trHeight w:val="588" w:hRule="atLeast"/>
          <w:jc w:val="center"/>
        </w:trPr>
        <w:tc>
          <w:tcPr>
            <w:tcW w:w="2168"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名称</w:t>
            </w:r>
          </w:p>
        </w:tc>
        <w:tc>
          <w:tcPr>
            <w:tcW w:w="844" w:type="dxa"/>
            <w:tcBorders>
              <w:top w:val="single" w:color="auto" w:sz="8" w:space="0"/>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合计数量</w:t>
            </w:r>
          </w:p>
        </w:tc>
        <w:tc>
          <w:tcPr>
            <w:tcW w:w="814" w:type="dxa"/>
            <w:tcBorders>
              <w:top w:val="single" w:color="auto" w:sz="8" w:space="0"/>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社湾校区</w:t>
            </w:r>
          </w:p>
        </w:tc>
        <w:tc>
          <w:tcPr>
            <w:tcW w:w="800" w:type="dxa"/>
            <w:tcBorders>
              <w:top w:val="single" w:color="auto" w:sz="8" w:space="0"/>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官塘校区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使用频率</w:t>
            </w:r>
          </w:p>
        </w:tc>
        <w:tc>
          <w:tcPr>
            <w:tcW w:w="2296"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备注</w:t>
            </w: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电动垃圾清扫车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2辆</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每个工作日2次以上</w:t>
            </w:r>
          </w:p>
        </w:tc>
        <w:tc>
          <w:tcPr>
            <w:tcW w:w="2296"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使用年限3 年以内（</w:t>
            </w:r>
            <w:r>
              <w:rPr>
                <w:rFonts w:hint="eastAsia" w:ascii="仿宋_GB2312" w:hAnsi="仿宋_GB2312" w:eastAsia="仿宋_GB2312" w:cs="仿宋_GB2312"/>
                <w:color w:val="auto"/>
                <w:sz w:val="24"/>
                <w:highlight w:val="none"/>
                <w:lang w:eastAsia="zh-CN"/>
              </w:rPr>
              <w:t>以票据时间为准</w:t>
            </w:r>
            <w:r>
              <w:rPr>
                <w:rFonts w:hint="eastAsia" w:ascii="仿宋_GB2312" w:hAnsi="仿宋_GB2312" w:eastAsia="仿宋_GB2312" w:cs="仿宋_GB2312"/>
                <w:color w:val="auto"/>
                <w:kern w:val="0"/>
                <w:sz w:val="24"/>
                <w:szCs w:val="24"/>
                <w:highlight w:val="none"/>
              </w:rPr>
              <w:t>）</w:t>
            </w:r>
          </w:p>
        </w:tc>
      </w:tr>
      <w:tr>
        <w:tblPrEx>
          <w:tblCellMar>
            <w:top w:w="0" w:type="dxa"/>
            <w:left w:w="108" w:type="dxa"/>
            <w:bottom w:w="0" w:type="dxa"/>
            <w:right w:w="108" w:type="dxa"/>
          </w:tblCellMar>
        </w:tblPrEx>
        <w:trPr>
          <w:trHeight w:val="495"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电动垃圾清运车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1辆</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0</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每个工作日4次以上</w:t>
            </w:r>
          </w:p>
        </w:tc>
        <w:tc>
          <w:tcPr>
            <w:tcW w:w="2296"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highlight w:val="none"/>
                <w:lang w:eastAsia="zh-CN"/>
              </w:rPr>
              <w:t>将</w:t>
            </w:r>
            <w:r>
              <w:rPr>
                <w:rFonts w:hint="eastAsia" w:ascii="仿宋_GB2312" w:hAnsi="仿宋_GB2312" w:eastAsia="仿宋_GB2312" w:cs="仿宋_GB2312"/>
                <w:color w:val="auto"/>
                <w:sz w:val="24"/>
                <w:highlight w:val="none"/>
                <w:lang w:val="en-US" w:eastAsia="zh-CN"/>
              </w:rPr>
              <w:t>240桶垃圾运到校内垃圾存放点</w:t>
            </w: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外场电动快速保洁车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2辆</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每个工作日4次以上</w:t>
            </w:r>
          </w:p>
        </w:tc>
        <w:tc>
          <w:tcPr>
            <w:tcW w:w="2296"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外围快速保洁，清理明显的垃圾，重大活动保障</w:t>
            </w: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全自动洗地机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3</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每个工作日1次以上</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919"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尘推车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5台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4</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每个工作日2次以上</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吸尘吸水一体机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返新机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磨地机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快速保洁车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35台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15</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20</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多功能榨水车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Style w:val="811"/>
                <w:rFonts w:hint="eastAsia" w:ascii="仿宋_GB2312" w:hAnsi="仿宋_GB2312" w:eastAsia="仿宋_GB2312" w:cs="仿宋_GB2312"/>
                <w:color w:val="auto"/>
                <w:sz w:val="24"/>
                <w:szCs w:val="24"/>
                <w:highlight w:val="none"/>
                <w:lang w:val="en-US" w:eastAsia="zh-CN" w:bidi="ar"/>
              </w:rPr>
              <w:t>2</w:t>
            </w:r>
            <w:r>
              <w:rPr>
                <w:rFonts w:hint="eastAsia" w:ascii="仿宋_GB2312" w:hAnsi="仿宋_GB2312" w:eastAsia="仿宋_GB2312" w:cs="仿宋_GB2312"/>
                <w:i w:val="0"/>
                <w:iCs w:val="0"/>
                <w:color w:val="auto"/>
                <w:kern w:val="0"/>
                <w:sz w:val="24"/>
                <w:szCs w:val="24"/>
                <w:highlight w:val="none"/>
                <w:u w:val="none"/>
                <w:lang w:val="en-US" w:eastAsia="zh-CN" w:bidi="ar"/>
              </w:rPr>
              <w:t>5</w:t>
            </w:r>
            <w:r>
              <w:rPr>
                <w:rStyle w:val="812"/>
                <w:rFonts w:hint="eastAsia" w:ascii="仿宋_GB2312" w:hAnsi="仿宋_GB2312" w:eastAsia="仿宋_GB2312" w:cs="仿宋_GB2312"/>
                <w:color w:val="auto"/>
                <w:sz w:val="24"/>
                <w:szCs w:val="24"/>
                <w:highlight w:val="none"/>
                <w:lang w:val="en-US" w:eastAsia="zh-CN" w:bidi="ar"/>
              </w:rPr>
              <w:t>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15</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10</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树叶吹风机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高压水枪</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8把</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1092"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警用巡逻车（两轮电动）</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4辆</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使用年限3 年以内（</w:t>
            </w:r>
            <w:r>
              <w:rPr>
                <w:rFonts w:hint="eastAsia" w:ascii="仿宋_GB2312" w:hAnsi="仿宋_GB2312" w:eastAsia="仿宋_GB2312" w:cs="仿宋_GB2312"/>
                <w:color w:val="auto"/>
                <w:sz w:val="24"/>
                <w:highlight w:val="none"/>
                <w:lang w:eastAsia="zh-CN"/>
              </w:rPr>
              <w:t>以票据时间为准</w:t>
            </w:r>
            <w:r>
              <w:rPr>
                <w:rFonts w:hint="eastAsia" w:ascii="仿宋_GB2312" w:hAnsi="仿宋_GB2312" w:eastAsia="仿宋_GB2312" w:cs="仿宋_GB2312"/>
                <w:color w:val="auto"/>
                <w:kern w:val="0"/>
                <w:sz w:val="24"/>
                <w:szCs w:val="24"/>
                <w:highlight w:val="none"/>
              </w:rPr>
              <w:t>）</w:t>
            </w: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警用巡逻车（四轮电动）</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1辆</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0</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对讲机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60台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30</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30</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升降机（8米以上）</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厕所维修窥视摄像头</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2个</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电焊机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角磨机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ppr管热熔机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可移动抽水泵</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8000w便携汽油发电机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管道疏通机（大）</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管道疏通机（小）</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电锤</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2个</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冲击钻</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4个</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打药机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旋刀剪草机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割灌机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lang w:val="en-US" w:eastAsia="zh-CN"/>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碎枝机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草坪机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0</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绿化电动清运车</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高枝绿篱机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高枝锯</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2台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常态化</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草坪打孔机</w:t>
            </w:r>
          </w:p>
        </w:tc>
        <w:tc>
          <w:tcPr>
            <w:tcW w:w="84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1台</w:t>
            </w:r>
          </w:p>
        </w:tc>
        <w:tc>
          <w:tcPr>
            <w:tcW w:w="814"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0</w:t>
            </w:r>
          </w:p>
        </w:tc>
        <w:tc>
          <w:tcPr>
            <w:tcW w:w="80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按需</w:t>
            </w: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759"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电工工具</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水工工具</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木工工具</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人字梯</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头盔、警棍等</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防爆用具、强光手电、反光背心等</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90"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大、小垃圾袋</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拖把、尘推、扫把、簸萁、玻璃刮</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小垃圾桶</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洗手液、</w:t>
            </w:r>
            <w:r>
              <w:rPr>
                <w:rFonts w:hint="eastAsia" w:ascii="仿宋_GB2312" w:hAnsi="仿宋_GB2312" w:eastAsia="仿宋_GB2312" w:cs="仿宋_GB2312"/>
                <w:color w:val="auto"/>
                <w:kern w:val="0"/>
                <w:sz w:val="24"/>
                <w:szCs w:val="24"/>
                <w:highlight w:val="none"/>
              </w:rPr>
              <w:t>清洁剂、底面腊、不锈钢油、空气清新剂、卫生球、全能水等</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绿化养护农药肥料等</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绿化养护配套工具</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劳动保护用品</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办公桌椅</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77"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电脑</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打印机</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3" w:hRule="atLeast"/>
          <w:jc w:val="center"/>
        </w:trPr>
        <w:tc>
          <w:tcPr>
            <w:tcW w:w="2168"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沙发茶几</w:t>
            </w:r>
            <w:r>
              <w:rPr>
                <w:rFonts w:hint="eastAsia" w:ascii="仿宋_GB2312" w:hAnsi="仿宋_GB2312" w:eastAsia="仿宋_GB2312" w:cs="仿宋_GB2312"/>
                <w:color w:val="auto"/>
                <w:kern w:val="0"/>
                <w:sz w:val="24"/>
                <w:szCs w:val="24"/>
                <w:highlight w:val="none"/>
                <w:lang w:eastAsia="zh-CN"/>
              </w:rPr>
              <w:t>文件柜等</w:t>
            </w:r>
          </w:p>
        </w:tc>
        <w:tc>
          <w:tcPr>
            <w:tcW w:w="844"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按</w:t>
            </w:r>
            <w:r>
              <w:rPr>
                <w:rFonts w:hint="eastAsia" w:ascii="仿宋_GB2312" w:hAnsi="仿宋_GB2312" w:eastAsia="仿宋_GB2312" w:cs="仿宋_GB2312"/>
                <w:color w:val="auto"/>
                <w:kern w:val="0"/>
                <w:sz w:val="24"/>
                <w:szCs w:val="24"/>
                <w:highlight w:val="none"/>
                <w:lang w:eastAsia="zh-CN"/>
              </w:rPr>
              <w:t>需</w:t>
            </w:r>
            <w:r>
              <w:rPr>
                <w:rFonts w:hint="eastAsia" w:ascii="仿宋_GB2312" w:hAnsi="仿宋_GB2312" w:eastAsia="仿宋_GB2312" w:cs="仿宋_GB2312"/>
                <w:color w:val="auto"/>
                <w:kern w:val="0"/>
                <w:sz w:val="24"/>
                <w:szCs w:val="24"/>
                <w:highlight w:val="none"/>
              </w:rPr>
              <w:t>购买</w:t>
            </w:r>
          </w:p>
        </w:tc>
        <w:tc>
          <w:tcPr>
            <w:tcW w:w="814"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800" w:type="dxa"/>
            <w:tcBorders>
              <w:top w:val="nil"/>
              <w:left w:val="nil"/>
              <w:bottom w:val="single" w:color="auto" w:sz="8" w:space="0"/>
              <w:right w:val="single" w:color="auto" w:sz="8"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1600" w:type="dxa"/>
            <w:tcBorders>
              <w:top w:val="nil"/>
              <w:left w:val="nil"/>
              <w:bottom w:val="single" w:color="auto" w:sz="8" w:space="0"/>
              <w:right w:val="nil"/>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c>
          <w:tcPr>
            <w:tcW w:w="2296"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szCs w:val="24"/>
                <w:highlight w:val="none"/>
              </w:rPr>
            </w:pPr>
          </w:p>
        </w:tc>
      </w:tr>
    </w:tbl>
    <w:p>
      <w:pPr>
        <w:rPr>
          <w:color w:val="auto"/>
          <w:highlight w:val="none"/>
        </w:rPr>
      </w:pPr>
    </w:p>
    <w:p>
      <w:pPr>
        <w:rPr>
          <w:color w:val="auto"/>
          <w:highlight w:val="none"/>
        </w:rPr>
        <w:sectPr>
          <w:pgSz w:w="11906" w:h="16838"/>
          <w:pgMar w:top="1440" w:right="1440" w:bottom="1440" w:left="1440" w:header="851" w:footer="992" w:gutter="0"/>
          <w:cols w:space="720" w:num="1"/>
          <w:docGrid w:linePitch="312" w:charSpace="0"/>
        </w:sectPr>
      </w:pPr>
    </w:p>
    <w:p>
      <w:pPr>
        <w:pStyle w:val="4"/>
        <w:spacing w:line="276" w:lineRule="auto"/>
        <w:jc w:val="center"/>
        <w:rPr>
          <w:color w:val="auto"/>
          <w:sz w:val="32"/>
          <w:szCs w:val="32"/>
          <w:highlight w:val="none"/>
        </w:rPr>
      </w:pPr>
      <w:bookmarkStart w:id="25" w:name="_Toc29711"/>
      <w:r>
        <w:rPr>
          <w:rFonts w:hint="eastAsia"/>
          <w:color w:val="auto"/>
          <w:sz w:val="32"/>
          <w:szCs w:val="32"/>
          <w:highlight w:val="none"/>
        </w:rPr>
        <w:t>第三章 投标人须知</w:t>
      </w:r>
      <w:bookmarkEnd w:id="25"/>
    </w:p>
    <w:p>
      <w:pPr>
        <w:spacing w:line="276"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前附表</w:t>
      </w:r>
    </w:p>
    <w:tbl>
      <w:tblPr>
        <w:tblStyle w:val="48"/>
        <w:tblW w:w="9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jc w:val="center"/>
              <w:rPr>
                <w:rFonts w:ascii="仿宋_GB2312" w:eastAsia="仿宋_GB2312"/>
                <w:b/>
                <w:color w:val="auto"/>
                <w:sz w:val="24"/>
                <w:highlight w:val="none"/>
              </w:rPr>
            </w:pPr>
            <w:r>
              <w:rPr>
                <w:rFonts w:hint="eastAsia" w:ascii="仿宋_GB2312" w:eastAsia="仿宋_GB2312"/>
                <w:b/>
                <w:color w:val="auto"/>
                <w:sz w:val="24"/>
                <w:highlight w:val="none"/>
              </w:rPr>
              <w:t>序号</w:t>
            </w:r>
          </w:p>
        </w:tc>
        <w:tc>
          <w:tcPr>
            <w:tcW w:w="8232" w:type="dxa"/>
          </w:tcPr>
          <w:p>
            <w:pPr>
              <w:spacing w:line="400" w:lineRule="exact"/>
              <w:jc w:val="center"/>
              <w:rPr>
                <w:rFonts w:ascii="仿宋_GB2312" w:eastAsia="仿宋_GB2312"/>
                <w:b/>
                <w:color w:val="auto"/>
                <w:sz w:val="24"/>
                <w:highlight w:val="none"/>
              </w:rPr>
            </w:pPr>
            <w:r>
              <w:rPr>
                <w:rFonts w:hint="eastAsia" w:ascii="仿宋_GB2312" w:eastAsia="仿宋_GB2312"/>
                <w:b/>
                <w:color w:val="auto"/>
                <w:sz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8232" w:type="dxa"/>
            <w:vAlign w:val="center"/>
          </w:tcPr>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项目名称：</w:t>
            </w:r>
            <w:r>
              <w:rPr>
                <w:rFonts w:hint="eastAsia" w:ascii="仿宋_GB2312" w:hAnsi="宋体" w:eastAsia="仿宋_GB2312"/>
                <w:color w:val="auto"/>
                <w:sz w:val="24"/>
                <w:highlight w:val="none"/>
                <w:lang w:eastAsia="zh-CN"/>
              </w:rPr>
              <w:t>柳州职业技术学院</w:t>
            </w:r>
            <w:r>
              <w:rPr>
                <w:rFonts w:ascii="仿宋_GB2312" w:hAnsi="宋体" w:eastAsia="仿宋_GB2312"/>
                <w:color w:val="auto"/>
                <w:sz w:val="24"/>
                <w:highlight w:val="none"/>
              </w:rPr>
              <w:t>物业管理服务采购</w:t>
            </w:r>
          </w:p>
          <w:p>
            <w:pPr>
              <w:spacing w:line="400" w:lineRule="exact"/>
              <w:rPr>
                <w:rFonts w:hint="eastAsia" w:ascii="仿宋_GB2312" w:eastAsia="仿宋_GB2312"/>
                <w:color w:val="auto"/>
                <w:sz w:val="24"/>
                <w:highlight w:val="none"/>
                <w:lang w:eastAsia="zh-CN"/>
              </w:rPr>
            </w:pPr>
            <w:r>
              <w:rPr>
                <w:rFonts w:hint="eastAsia" w:ascii="仿宋_GB2312" w:eastAsia="仿宋_GB2312"/>
                <w:color w:val="auto"/>
                <w:sz w:val="24"/>
                <w:highlight w:val="none"/>
              </w:rPr>
              <w:t>项目编号：</w:t>
            </w:r>
            <w:r>
              <w:rPr>
                <w:rFonts w:hint="eastAsia" w:ascii="仿宋_GB2312" w:hAnsi="宋体" w:eastAsia="仿宋_GB2312"/>
                <w:color w:val="auto"/>
                <w:sz w:val="24"/>
                <w:highlight w:val="none"/>
                <w:lang w:eastAsia="zh-CN"/>
              </w:rPr>
              <w:t>LZZC2024-G3-990697-LZJC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2</w:t>
            </w:r>
          </w:p>
        </w:tc>
        <w:tc>
          <w:tcPr>
            <w:tcW w:w="8232" w:type="dxa"/>
          </w:tcPr>
          <w:p>
            <w:pPr>
              <w:autoSpaceDE w:val="0"/>
              <w:autoSpaceDN w:val="0"/>
              <w:spacing w:line="400" w:lineRule="exact"/>
              <w:textAlignment w:val="bottom"/>
              <w:rPr>
                <w:rFonts w:ascii="仿宋_GB2312" w:eastAsia="仿宋_GB2312"/>
                <w:color w:val="auto"/>
                <w:sz w:val="24"/>
                <w:highlight w:val="none"/>
              </w:rPr>
            </w:pPr>
            <w:r>
              <w:rPr>
                <w:rFonts w:hint="eastAsia" w:ascii="仿宋_GB2312" w:eastAsia="仿宋_GB2312"/>
                <w:color w:val="auto"/>
                <w:sz w:val="24"/>
                <w:highlight w:val="none"/>
              </w:rPr>
              <w:t>采购资金来源：财政性资金</w:t>
            </w:r>
          </w:p>
          <w:p>
            <w:pPr>
              <w:autoSpaceDE w:val="0"/>
              <w:autoSpaceDN w:val="0"/>
              <w:spacing w:line="400" w:lineRule="exact"/>
              <w:textAlignment w:val="bottom"/>
              <w:rPr>
                <w:rFonts w:hint="eastAsia" w:ascii="仿宋_GB2312" w:eastAsia="仿宋_GB2312"/>
                <w:color w:val="auto"/>
                <w:sz w:val="24"/>
                <w:highlight w:val="none"/>
              </w:rPr>
            </w:pPr>
            <w:r>
              <w:rPr>
                <w:rFonts w:hint="eastAsia" w:ascii="仿宋_GB2312" w:eastAsia="仿宋_GB2312"/>
                <w:color w:val="auto"/>
                <w:sz w:val="24"/>
                <w:highlight w:val="none"/>
              </w:rPr>
              <w:t>预算资金（人民币）：</w:t>
            </w:r>
          </w:p>
          <w:p>
            <w:pPr>
              <w:autoSpaceDE w:val="0"/>
              <w:autoSpaceDN w:val="0"/>
              <w:spacing w:line="400" w:lineRule="exact"/>
              <w:textAlignment w:val="bottom"/>
              <w:rPr>
                <w:rFonts w:ascii="仿宋_GB2312" w:eastAsia="仿宋_GB2312"/>
                <w:color w:val="auto"/>
                <w:sz w:val="24"/>
                <w:highlight w:val="none"/>
              </w:rPr>
            </w:pPr>
            <w:r>
              <w:rPr>
                <w:rFonts w:ascii="仿宋_GB2312" w:eastAsia="仿宋_GB2312"/>
                <w:color w:val="auto"/>
                <w:sz w:val="24"/>
                <w:highlight w:val="none"/>
              </w:rPr>
              <w:t>叁仟叁佰壹拾伍万壹仟陆佰肆拾肆元整</w:t>
            </w:r>
            <w:r>
              <w:rPr>
                <w:rFonts w:hint="eastAsia" w:ascii="仿宋_GB2312" w:eastAsia="仿宋_GB2312"/>
                <w:color w:val="auto"/>
                <w:sz w:val="24"/>
                <w:highlight w:val="none"/>
              </w:rPr>
              <w:t>（¥</w:t>
            </w:r>
            <w:r>
              <w:rPr>
                <w:rFonts w:ascii="仿宋_GB2312" w:eastAsia="仿宋_GB2312"/>
                <w:color w:val="auto"/>
                <w:sz w:val="24"/>
                <w:highlight w:val="none"/>
              </w:rPr>
              <w:t>33</w:t>
            </w:r>
            <w:r>
              <w:rPr>
                <w:rFonts w:hint="eastAsia" w:ascii="仿宋_GB2312" w:eastAsia="仿宋_GB2312"/>
                <w:color w:val="auto"/>
                <w:sz w:val="24"/>
                <w:highlight w:val="none"/>
                <w:lang w:val="en-US" w:eastAsia="zh-CN"/>
              </w:rPr>
              <w:t>,</w:t>
            </w:r>
            <w:r>
              <w:rPr>
                <w:rFonts w:ascii="仿宋_GB2312" w:eastAsia="仿宋_GB2312"/>
                <w:color w:val="auto"/>
                <w:sz w:val="24"/>
                <w:highlight w:val="none"/>
              </w:rPr>
              <w:t>151</w:t>
            </w:r>
            <w:r>
              <w:rPr>
                <w:rFonts w:hint="eastAsia" w:ascii="仿宋_GB2312" w:eastAsia="仿宋_GB2312"/>
                <w:color w:val="auto"/>
                <w:sz w:val="24"/>
                <w:highlight w:val="none"/>
                <w:lang w:val="en-US" w:eastAsia="zh-CN"/>
              </w:rPr>
              <w:t>,</w:t>
            </w:r>
            <w:r>
              <w:rPr>
                <w:rFonts w:ascii="仿宋_GB2312" w:eastAsia="仿宋_GB2312"/>
                <w:color w:val="auto"/>
                <w:sz w:val="24"/>
                <w:highlight w:val="none"/>
              </w:rPr>
              <w:t>644</w:t>
            </w:r>
            <w:r>
              <w:rPr>
                <w:rFonts w:hint="eastAsia" w:ascii="仿宋_GB2312" w:eastAsia="仿宋_GB2312"/>
                <w:color w:val="auto"/>
                <w:sz w:val="24"/>
                <w:highlight w:val="none"/>
                <w:lang w:val="en-US" w:eastAsia="zh-CN"/>
              </w:rPr>
              <w:t>.00</w:t>
            </w:r>
            <w:r>
              <w:rPr>
                <w:rFonts w:hint="eastAsia" w:ascii="仿宋_GB2312"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3</w:t>
            </w:r>
          </w:p>
        </w:tc>
        <w:tc>
          <w:tcPr>
            <w:tcW w:w="8232" w:type="dxa"/>
            <w:vAlign w:val="center"/>
          </w:tcPr>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投标报价及费用：</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1.本项目投标应以人民币报价；</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2.不论投标结果如何，投标人均应自行承担所有与投标有关的全部费用；</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3.本次招标文件和代理服务费用全免。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4</w:t>
            </w:r>
          </w:p>
        </w:tc>
        <w:tc>
          <w:tcPr>
            <w:tcW w:w="8232" w:type="dxa"/>
            <w:vAlign w:val="center"/>
          </w:tcPr>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投标保证金为：本项目无需提交投标保证金。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5</w:t>
            </w:r>
          </w:p>
        </w:tc>
        <w:tc>
          <w:tcPr>
            <w:tcW w:w="8232" w:type="dxa"/>
            <w:vAlign w:val="center"/>
          </w:tcPr>
          <w:p>
            <w:pPr>
              <w:spacing w:line="400" w:lineRule="exact"/>
              <w:rPr>
                <w:rFonts w:ascii="仿宋_GB2312" w:eastAsia="仿宋_GB2312"/>
                <w:color w:val="auto"/>
                <w:sz w:val="24"/>
                <w:highlight w:val="none"/>
              </w:rPr>
            </w:pPr>
            <w:r>
              <w:rPr>
                <w:rFonts w:hint="eastAsia" w:ascii="仿宋_GB2312" w:hAnsi="宋体" w:eastAsia="仿宋_GB2312"/>
                <w:color w:val="auto"/>
                <w:sz w:val="24"/>
                <w:highlight w:val="none"/>
              </w:rPr>
              <w:t>答疑与澄清：投标人如认为招标文件表述不清晰或对政府采购活动事项有疑问的，应当以书面形式向采购人提出询问、澄清；答疑内容是招标文件的组成部分，并将以书面形式送达所有已获取招标文件的投标人；采购人或采购代理机构可以视采购具体情况，延长</w:t>
            </w:r>
            <w:r>
              <w:rPr>
                <w:rFonts w:hint="eastAsia" w:ascii="仿宋_GB2312" w:eastAsia="仿宋_GB2312"/>
                <w:color w:val="auto"/>
                <w:sz w:val="24"/>
                <w:highlight w:val="none"/>
              </w:rPr>
              <w:t>招标文件提供期限，并在财政部门指定的政府采购信息发布媒体上发布公告。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6</w:t>
            </w:r>
          </w:p>
        </w:tc>
        <w:tc>
          <w:tcPr>
            <w:tcW w:w="8232" w:type="dxa"/>
            <w:vAlign w:val="center"/>
          </w:tcPr>
          <w:p>
            <w:pPr>
              <w:spacing w:line="400" w:lineRule="exact"/>
              <w:rPr>
                <w:rFonts w:hint="eastAsia" w:ascii="仿宋_GB2312" w:hAnsi="宋体" w:eastAsia="仿宋_GB2312"/>
                <w:b/>
                <w:bCs/>
                <w:color w:val="auto"/>
                <w:sz w:val="24"/>
                <w:highlight w:val="none"/>
              </w:rPr>
            </w:pPr>
            <w:r>
              <w:rPr>
                <w:rStyle w:val="50"/>
                <w:rFonts w:hint="eastAsia" w:ascii="仿宋_GB2312" w:hAnsi="宋体" w:eastAsia="仿宋_GB2312"/>
                <w:b/>
                <w:bCs/>
                <w:color w:val="auto"/>
                <w:sz w:val="24"/>
                <w:highlight w:val="none"/>
              </w:rPr>
              <w:t>本项目属于面向中小企业预留份额采购项目，中标人为</w:t>
            </w:r>
            <w:r>
              <w:rPr>
                <w:rStyle w:val="50"/>
                <w:rFonts w:hint="eastAsia" w:ascii="仿宋_GB2312" w:hAnsi="宋体" w:eastAsia="仿宋_GB2312"/>
                <w:b/>
                <w:bCs/>
                <w:color w:val="auto"/>
                <w:sz w:val="24"/>
                <w:highlight w:val="none"/>
                <w:lang w:val="en-US" w:eastAsia="zh-CN"/>
              </w:rPr>
              <w:t>大</w:t>
            </w:r>
            <w:r>
              <w:rPr>
                <w:rStyle w:val="50"/>
                <w:rFonts w:hint="eastAsia" w:ascii="仿宋_GB2312" w:hAnsi="宋体" w:eastAsia="仿宋_GB2312"/>
                <w:b/>
                <w:bCs/>
                <w:color w:val="auto"/>
                <w:sz w:val="24"/>
                <w:highlight w:val="none"/>
              </w:rPr>
              <w:t>型企业的，须将采购项目合同金额</w:t>
            </w:r>
            <w:r>
              <w:rPr>
                <w:rStyle w:val="50"/>
                <w:rFonts w:hint="eastAsia" w:ascii="仿宋_GB2312" w:hAnsi="宋体" w:eastAsia="仿宋_GB2312"/>
                <w:b/>
                <w:bCs/>
                <w:color w:val="auto"/>
                <w:sz w:val="24"/>
                <w:highlight w:val="none"/>
                <w:lang w:val="en-US" w:eastAsia="zh-CN"/>
              </w:rPr>
              <w:t>40</w:t>
            </w:r>
            <w:r>
              <w:rPr>
                <w:rStyle w:val="50"/>
                <w:rFonts w:hint="eastAsia" w:ascii="仿宋_GB2312" w:hAnsi="宋体" w:eastAsia="仿宋_GB2312"/>
                <w:b/>
                <w:bCs/>
                <w:color w:val="auto"/>
                <w:sz w:val="24"/>
                <w:highlight w:val="none"/>
              </w:rPr>
              <w:t>%</w:t>
            </w:r>
            <w:r>
              <w:rPr>
                <w:rStyle w:val="50"/>
                <w:rFonts w:hint="eastAsia" w:ascii="仿宋_GB2312" w:hAnsi="宋体" w:eastAsia="仿宋_GB2312"/>
                <w:b/>
                <w:bCs/>
                <w:color w:val="auto"/>
                <w:sz w:val="24"/>
                <w:highlight w:val="none"/>
                <w:lang w:val="en-US" w:eastAsia="zh-CN"/>
              </w:rPr>
              <w:t>以上</w:t>
            </w:r>
            <w:r>
              <w:rPr>
                <w:rStyle w:val="50"/>
                <w:rFonts w:hint="eastAsia" w:ascii="仿宋_GB2312" w:hAnsi="宋体" w:eastAsia="仿宋_GB2312"/>
                <w:b/>
                <w:bCs/>
                <w:color w:val="auto"/>
                <w:sz w:val="24"/>
                <w:highlight w:val="none"/>
              </w:rPr>
              <w:t>分包给</w:t>
            </w:r>
            <w:r>
              <w:rPr>
                <w:rStyle w:val="50"/>
                <w:rFonts w:hint="eastAsia" w:ascii="仿宋_GB2312" w:hAnsi="宋体" w:eastAsia="仿宋_GB2312"/>
                <w:b/>
                <w:bCs/>
                <w:color w:val="auto"/>
                <w:sz w:val="24"/>
                <w:highlight w:val="none"/>
                <w:lang w:val="en-US" w:eastAsia="zh-CN"/>
              </w:rPr>
              <w:t>中小</w:t>
            </w:r>
            <w:r>
              <w:rPr>
                <w:rStyle w:val="50"/>
                <w:rFonts w:hint="eastAsia" w:ascii="仿宋_GB2312" w:hAnsi="宋体" w:eastAsia="仿宋_GB2312"/>
                <w:b/>
                <w:bCs/>
                <w:color w:val="auto"/>
                <w:sz w:val="24"/>
                <w:highlight w:val="none"/>
              </w:rPr>
              <w:t>企业实施</w:t>
            </w:r>
            <w:r>
              <w:rPr>
                <w:rStyle w:val="50"/>
                <w:rFonts w:hint="eastAsia" w:ascii="仿宋_GB2312" w:hAnsi="宋体" w:eastAsia="仿宋_GB2312"/>
                <w:b/>
                <w:bCs/>
                <w:color w:val="auto"/>
                <w:sz w:val="24"/>
                <w:highlight w:val="none"/>
                <w:lang w:eastAsia="zh-CN"/>
              </w:rPr>
              <w:t>，如中标人本身为中小企业，提供所有标的服务均由自身承接，视同符合资格条件，无需再向中小企业分包</w:t>
            </w:r>
            <w:r>
              <w:rPr>
                <w:rStyle w:val="50"/>
                <w:rFonts w:hint="eastAsia" w:ascii="仿宋_GB2312" w:hAnsi="宋体" w:eastAsia="仿宋_GB2312"/>
                <w:b/>
                <w:bCs/>
                <w:color w:val="auto"/>
                <w:sz w:val="24"/>
                <w:highlight w:val="none"/>
              </w:rPr>
              <w:t>。监狱企业、残疾人福利单位视同小型、微型企业：</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投标人、</w:t>
            </w:r>
            <w:r>
              <w:rPr>
                <w:rFonts w:hint="eastAsia" w:ascii="仿宋_GB2312" w:eastAsia="仿宋_GB2312"/>
                <w:color w:val="auto"/>
                <w:sz w:val="24"/>
                <w:highlight w:val="none"/>
                <w:lang w:eastAsia="zh-CN"/>
              </w:rPr>
              <w:t>分包供应商属于</w:t>
            </w:r>
            <w:r>
              <w:rPr>
                <w:rFonts w:hint="eastAsia" w:ascii="仿宋_GB2312" w:eastAsia="仿宋_GB2312"/>
                <w:b w:val="0"/>
                <w:bCs w:val="0"/>
                <w:color w:val="auto"/>
                <w:sz w:val="24"/>
                <w:highlight w:val="none"/>
                <w:lang w:val="en-US" w:eastAsia="zh-CN"/>
              </w:rPr>
              <w:t>中小</w:t>
            </w:r>
            <w:r>
              <w:rPr>
                <w:rFonts w:hint="eastAsia" w:ascii="仿宋_GB2312" w:eastAsia="仿宋_GB2312"/>
                <w:color w:val="auto"/>
                <w:sz w:val="24"/>
                <w:highlight w:val="none"/>
              </w:rPr>
              <w:t>企业</w:t>
            </w:r>
            <w:r>
              <w:rPr>
                <w:rFonts w:hint="eastAsia" w:ascii="仿宋_GB2312" w:eastAsia="仿宋_GB2312"/>
                <w:color w:val="auto"/>
                <w:sz w:val="24"/>
                <w:highlight w:val="none"/>
                <w:lang w:eastAsia="zh-CN"/>
              </w:rPr>
              <w:t>的，</w:t>
            </w:r>
            <w:r>
              <w:rPr>
                <w:rFonts w:hint="eastAsia" w:ascii="仿宋_GB2312" w:eastAsia="仿宋_GB2312"/>
                <w:color w:val="auto"/>
                <w:sz w:val="24"/>
                <w:highlight w:val="none"/>
              </w:rPr>
              <w:t>以</w:t>
            </w:r>
            <w:r>
              <w:rPr>
                <w:rFonts w:hint="eastAsia" w:ascii="仿宋_GB2312" w:eastAsia="仿宋_GB2312"/>
                <w:color w:val="auto"/>
                <w:sz w:val="24"/>
                <w:highlight w:val="none"/>
                <w:lang w:val="en-US" w:eastAsia="zh-CN"/>
              </w:rPr>
              <w:t>投标人</w:t>
            </w:r>
            <w:r>
              <w:rPr>
                <w:rFonts w:hint="eastAsia" w:ascii="仿宋_GB2312" w:eastAsia="仿宋_GB2312"/>
                <w:color w:val="auto"/>
                <w:sz w:val="24"/>
                <w:highlight w:val="none"/>
              </w:rPr>
              <w:t>填写的《中小企业声明函》为判定标准（格式见</w:t>
            </w:r>
            <w:r>
              <w:rPr>
                <w:rFonts w:hint="eastAsia" w:ascii="仿宋_GB2312" w:eastAsia="仿宋_GB2312"/>
                <w:color w:val="auto"/>
                <w:sz w:val="24"/>
                <w:highlight w:val="none"/>
                <w:lang w:val="en-US" w:eastAsia="zh-CN"/>
              </w:rPr>
              <w:t>公开招标文件</w:t>
            </w:r>
            <w:r>
              <w:rPr>
                <w:rFonts w:hint="eastAsia" w:ascii="仿宋_GB2312" w:eastAsia="仿宋_GB2312"/>
                <w:color w:val="auto"/>
                <w:sz w:val="24"/>
                <w:highlight w:val="none"/>
              </w:rPr>
              <w:t>第</w:t>
            </w:r>
            <w:r>
              <w:rPr>
                <w:rFonts w:hint="eastAsia" w:ascii="仿宋_GB2312" w:eastAsia="仿宋_GB2312"/>
                <w:color w:val="auto"/>
                <w:sz w:val="24"/>
                <w:highlight w:val="none"/>
                <w:lang w:val="en-US" w:eastAsia="zh-CN"/>
              </w:rPr>
              <w:t>六</w:t>
            </w:r>
            <w:r>
              <w:rPr>
                <w:rFonts w:hint="eastAsia" w:ascii="仿宋_GB2312" w:eastAsia="仿宋_GB2312"/>
                <w:color w:val="auto"/>
                <w:sz w:val="24"/>
                <w:highlight w:val="none"/>
              </w:rPr>
              <w:t>章）；</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color w:val="auto"/>
                <w:sz w:val="24"/>
                <w:highlight w:val="none"/>
                <w:lang w:val="en-US" w:eastAsia="zh-CN"/>
              </w:rPr>
              <w:t>投标人、</w:t>
            </w:r>
            <w:r>
              <w:rPr>
                <w:rFonts w:hint="eastAsia" w:ascii="仿宋_GB2312" w:eastAsia="仿宋_GB2312"/>
                <w:color w:val="auto"/>
                <w:sz w:val="24"/>
                <w:highlight w:val="none"/>
                <w:lang w:eastAsia="zh-CN"/>
              </w:rPr>
              <w:t>分包供应商属于</w:t>
            </w:r>
            <w:r>
              <w:rPr>
                <w:rFonts w:hint="eastAsia" w:ascii="仿宋_GB2312" w:eastAsia="仿宋_GB2312"/>
                <w:color w:val="auto"/>
                <w:sz w:val="24"/>
                <w:highlight w:val="none"/>
              </w:rPr>
              <w:t>残疾人福利性单位</w:t>
            </w:r>
            <w:r>
              <w:rPr>
                <w:rFonts w:hint="eastAsia" w:ascii="仿宋_GB2312" w:eastAsia="仿宋_GB2312"/>
                <w:color w:val="auto"/>
                <w:sz w:val="24"/>
                <w:highlight w:val="none"/>
                <w:lang w:eastAsia="zh-CN"/>
              </w:rPr>
              <w:t>的，</w:t>
            </w:r>
            <w:r>
              <w:rPr>
                <w:rFonts w:hint="eastAsia" w:ascii="仿宋_GB2312" w:eastAsia="仿宋_GB2312"/>
                <w:color w:val="auto"/>
                <w:sz w:val="24"/>
                <w:highlight w:val="none"/>
              </w:rPr>
              <w:t>以</w:t>
            </w:r>
            <w:r>
              <w:rPr>
                <w:rFonts w:hint="eastAsia" w:ascii="仿宋_GB2312" w:eastAsia="仿宋_GB2312"/>
                <w:color w:val="auto"/>
                <w:sz w:val="24"/>
                <w:highlight w:val="none"/>
                <w:lang w:val="en-US" w:eastAsia="zh-CN"/>
              </w:rPr>
              <w:t>投标人</w:t>
            </w:r>
            <w:r>
              <w:rPr>
                <w:rFonts w:hint="eastAsia" w:ascii="仿宋_GB2312" w:eastAsia="仿宋_GB2312"/>
                <w:color w:val="auto"/>
                <w:sz w:val="24"/>
                <w:highlight w:val="none"/>
              </w:rPr>
              <w:t>提供的《残疾人福利性单位声明函》为判定标准（格式见</w:t>
            </w:r>
            <w:r>
              <w:rPr>
                <w:rFonts w:hint="eastAsia" w:ascii="仿宋_GB2312" w:eastAsia="仿宋_GB2312"/>
                <w:color w:val="auto"/>
                <w:sz w:val="24"/>
                <w:highlight w:val="none"/>
                <w:lang w:val="en-US" w:eastAsia="zh-CN"/>
              </w:rPr>
              <w:t>公开招标文件</w:t>
            </w:r>
            <w:r>
              <w:rPr>
                <w:rFonts w:hint="eastAsia" w:ascii="仿宋_GB2312" w:eastAsia="仿宋_GB2312"/>
                <w:color w:val="auto"/>
                <w:sz w:val="24"/>
                <w:highlight w:val="none"/>
              </w:rPr>
              <w:t>第</w:t>
            </w:r>
            <w:r>
              <w:rPr>
                <w:rFonts w:hint="eastAsia" w:ascii="仿宋_GB2312" w:eastAsia="仿宋_GB2312"/>
                <w:color w:val="auto"/>
                <w:sz w:val="24"/>
                <w:highlight w:val="none"/>
                <w:lang w:val="en-US" w:eastAsia="zh-CN"/>
              </w:rPr>
              <w:t>六</w:t>
            </w:r>
            <w:r>
              <w:rPr>
                <w:rFonts w:hint="eastAsia" w:ascii="仿宋_GB2312" w:eastAsia="仿宋_GB2312"/>
                <w:color w:val="auto"/>
                <w:sz w:val="24"/>
                <w:highlight w:val="none"/>
              </w:rPr>
              <w:t>章）；</w:t>
            </w:r>
          </w:p>
          <w:p>
            <w:pPr>
              <w:spacing w:before="0" w:beforeAutospacing="0" w:after="0" w:afterAutospacing="0" w:line="400" w:lineRule="exact"/>
              <w:rPr>
                <w:rFonts w:hint="eastAsia" w:ascii="仿宋_GB2312" w:eastAsia="仿宋_GB2312"/>
                <w:color w:val="auto"/>
                <w:highlight w:val="none"/>
              </w:rPr>
            </w:pPr>
            <w:r>
              <w:rPr>
                <w:rFonts w:hint="eastAsia" w:ascii="仿宋_GB2312" w:eastAsia="仿宋_GB2312"/>
                <w:color w:val="auto"/>
                <w:sz w:val="24"/>
                <w:highlight w:val="none"/>
              </w:rPr>
              <w:t>3.</w:t>
            </w:r>
            <w:r>
              <w:rPr>
                <w:rFonts w:hint="eastAsia" w:ascii="仿宋_GB2312" w:eastAsia="仿宋_GB2312"/>
                <w:color w:val="auto"/>
                <w:sz w:val="24"/>
                <w:highlight w:val="none"/>
                <w:lang w:val="en-US" w:eastAsia="zh-CN"/>
              </w:rPr>
              <w:t>投标人、</w:t>
            </w:r>
            <w:r>
              <w:rPr>
                <w:rFonts w:hint="eastAsia" w:ascii="仿宋_GB2312" w:eastAsia="仿宋_GB2312"/>
                <w:color w:val="auto"/>
                <w:sz w:val="24"/>
                <w:highlight w:val="none"/>
                <w:lang w:eastAsia="zh-CN"/>
              </w:rPr>
              <w:t>分包供应商属于</w:t>
            </w:r>
            <w:r>
              <w:rPr>
                <w:rFonts w:hint="eastAsia" w:ascii="仿宋_GB2312" w:eastAsia="仿宋_GB2312"/>
                <w:color w:val="auto"/>
                <w:sz w:val="24"/>
                <w:highlight w:val="none"/>
              </w:rPr>
              <w:t>监狱企业</w:t>
            </w:r>
            <w:r>
              <w:rPr>
                <w:rFonts w:hint="eastAsia" w:ascii="仿宋_GB2312" w:eastAsia="仿宋_GB2312"/>
                <w:color w:val="auto"/>
                <w:sz w:val="24"/>
                <w:highlight w:val="none"/>
                <w:lang w:eastAsia="zh-CN"/>
              </w:rPr>
              <w:t>的，以</w:t>
            </w:r>
            <w:r>
              <w:rPr>
                <w:rFonts w:hint="eastAsia" w:ascii="仿宋_GB2312" w:eastAsia="仿宋_GB2312"/>
                <w:color w:val="auto"/>
                <w:sz w:val="24"/>
                <w:highlight w:val="none"/>
                <w:lang w:val="en-US" w:eastAsia="zh-CN"/>
              </w:rPr>
              <w:t>投标人</w:t>
            </w:r>
            <w:r>
              <w:rPr>
                <w:rFonts w:hint="eastAsia" w:ascii="仿宋_GB2312" w:eastAsia="仿宋_GB2312"/>
                <w:color w:val="auto"/>
                <w:sz w:val="24"/>
                <w:highlight w:val="none"/>
              </w:rPr>
              <w:t>提供由省级以上监狱管理局、戒毒管理局（含新疆生产建设兵团）出具的属于监狱企业的证明文件为判定标准。</w:t>
            </w:r>
            <w:r>
              <w:rPr>
                <w:rFonts w:hint="eastAsia" w:ascii="仿宋_GB2312" w:eastAsia="仿宋_GB2312"/>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7</w:t>
            </w:r>
          </w:p>
        </w:tc>
        <w:tc>
          <w:tcPr>
            <w:tcW w:w="8232" w:type="dxa"/>
            <w:vAlign w:val="center"/>
          </w:tcPr>
          <w:p>
            <w:pPr>
              <w:pStyle w:val="540"/>
              <w:spacing w:before="0" w:beforeAutospacing="0" w:after="0" w:afterAutospacing="0" w:line="460" w:lineRule="atLeast"/>
              <w:rPr>
                <w:rFonts w:hint="eastAsia" w:ascii="仿宋_GB2312" w:eastAsia="仿宋_GB2312"/>
                <w:b/>
                <w:bCs/>
                <w:color w:val="auto"/>
                <w:highlight w:val="none"/>
                <w:lang w:eastAsia="zh-CN"/>
              </w:rPr>
            </w:pPr>
            <w:r>
              <w:rPr>
                <w:rStyle w:val="541"/>
                <w:rFonts w:hint="eastAsia" w:ascii="仿宋_GB2312" w:eastAsia="仿宋_GB2312"/>
                <w:color w:val="auto"/>
                <w:highlight w:val="none"/>
              </w:rPr>
              <w:t>电子投标文件：</w:t>
            </w:r>
          </w:p>
          <w:p>
            <w:pPr>
              <w:pStyle w:val="540"/>
              <w:spacing w:before="0" w:beforeAutospacing="0" w:after="0" w:afterAutospacing="0" w:line="460" w:lineRule="atLeast"/>
              <w:rPr>
                <w:rFonts w:hint="eastAsia" w:ascii="仿宋_GB2312" w:eastAsia="仿宋_GB2312"/>
                <w:b/>
                <w:bCs/>
                <w:color w:val="auto"/>
                <w:highlight w:val="none"/>
                <w:lang w:eastAsia="zh-CN"/>
              </w:rPr>
            </w:pPr>
            <w:r>
              <w:rPr>
                <w:rStyle w:val="541"/>
                <w:rFonts w:hint="eastAsia" w:ascii="仿宋_GB2312" w:eastAsia="仿宋_GB2312"/>
                <w:color w:val="auto"/>
                <w:highlight w:val="none"/>
              </w:rPr>
              <w:t>1.投标人应按照本项目公开招标文件和广西政府采购云平台的要求，通过“广西政府采购云平台客户端”编制、加密电子投标文件，并于提交投标文件截止时间前在广西政府采购云平台上提交加密的电子投标文件。</w:t>
            </w:r>
          </w:p>
          <w:p>
            <w:pPr>
              <w:pStyle w:val="540"/>
              <w:spacing w:before="0" w:beforeAutospacing="0" w:after="0" w:afterAutospacing="0" w:line="460" w:lineRule="atLeast"/>
              <w:rPr>
                <w:rFonts w:hint="eastAsia" w:ascii="仿宋_GB2312" w:eastAsia="仿宋_GB2312"/>
                <w:b/>
                <w:bCs/>
                <w:color w:val="auto"/>
                <w:highlight w:val="none"/>
                <w:lang w:eastAsia="zh-CN"/>
              </w:rPr>
            </w:pPr>
            <w:r>
              <w:rPr>
                <w:rStyle w:val="541"/>
                <w:rFonts w:hint="eastAsia" w:ascii="仿宋_GB2312" w:eastAsia="仿宋_GB2312"/>
                <w:color w:val="auto"/>
                <w:highlight w:val="none"/>
              </w:rPr>
              <w:t>2.未按规定传输提交电子投标文件的将被广西政府采购云平台拒绝。</w:t>
            </w:r>
          </w:p>
          <w:p>
            <w:pPr>
              <w:pStyle w:val="540"/>
              <w:spacing w:before="0" w:beforeAutospacing="0" w:after="0" w:afterAutospacing="0" w:line="460" w:lineRule="atLeast"/>
              <w:rPr>
                <w:rFonts w:ascii="仿宋_GB2312" w:eastAsia="仿宋_GB2312"/>
                <w:color w:val="auto"/>
                <w:highlight w:val="none"/>
              </w:rPr>
            </w:pPr>
            <w:r>
              <w:rPr>
                <w:rStyle w:val="541"/>
                <w:rFonts w:hint="eastAsia" w:ascii="仿宋_GB2312" w:eastAsia="仿宋_GB2312"/>
                <w:color w:val="auto"/>
                <w:highlight w:val="none"/>
              </w:rPr>
              <w:t>3.电子投标文件成功提交后，投标人可自行打印投标文件接收回执。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8</w:t>
            </w:r>
          </w:p>
        </w:tc>
        <w:tc>
          <w:tcPr>
            <w:tcW w:w="8232" w:type="dxa"/>
            <w:vAlign w:val="center"/>
          </w:tcPr>
          <w:p>
            <w:pPr>
              <w:pStyle w:val="561"/>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投标文件提交截止时间及地点：详见公开招标公告。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9</w:t>
            </w:r>
          </w:p>
        </w:tc>
        <w:tc>
          <w:tcPr>
            <w:tcW w:w="8232" w:type="dxa"/>
            <w:vAlign w:val="center"/>
          </w:tcPr>
          <w:p>
            <w:pPr>
              <w:pStyle w:val="581"/>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开标时间：详见公开招标公告。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10</w:t>
            </w:r>
          </w:p>
        </w:tc>
        <w:tc>
          <w:tcPr>
            <w:tcW w:w="8232" w:type="dxa"/>
            <w:vAlign w:val="center"/>
          </w:tcPr>
          <w:p>
            <w:pPr>
              <w:pStyle w:val="601"/>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电子投标文件解密时间：采购代理机构开启解密标书后30分钟内，投标人必须在此时间段内登录广西政府采购云平台，用“项目采购-开标评标”功能完成电子投标文件的解密。若投标人在规定时间内未按时解密的，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11</w:t>
            </w:r>
          </w:p>
        </w:tc>
        <w:tc>
          <w:tcPr>
            <w:tcW w:w="8232" w:type="dxa"/>
            <w:vAlign w:val="center"/>
          </w:tcPr>
          <w:p>
            <w:pPr>
              <w:pStyle w:val="621"/>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评标方法：综合评分法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12</w:t>
            </w:r>
          </w:p>
        </w:tc>
        <w:tc>
          <w:tcPr>
            <w:tcW w:w="8232" w:type="dxa"/>
            <w:vAlign w:val="center"/>
          </w:tcPr>
          <w:p>
            <w:pPr>
              <w:pStyle w:val="641"/>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发布媒体：中国政府采购网（www.ccgp.gov.cn）、广西壮族自治区政府采购网（zfcg.gxzf.gov.cn）、柳州市政府采购网（zfcg.lzscz.liuzhou.gov.cn）。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13</w:t>
            </w:r>
          </w:p>
        </w:tc>
        <w:tc>
          <w:tcPr>
            <w:tcW w:w="8232" w:type="dxa"/>
            <w:vAlign w:val="center"/>
          </w:tcPr>
          <w:p>
            <w:pPr>
              <w:pStyle w:val="661"/>
              <w:spacing w:before="0" w:beforeAutospacing="0" w:after="0" w:afterAutospacing="0" w:line="460" w:lineRule="atLeast"/>
              <w:rPr>
                <w:rFonts w:hint="eastAsia" w:ascii="仿宋_GB2312" w:eastAsia="仿宋_GB2312"/>
                <w:color w:val="auto"/>
                <w:highlight w:val="none"/>
                <w:lang w:eastAsia="zh-CN"/>
              </w:rPr>
            </w:pPr>
            <w:r>
              <w:rPr>
                <w:rStyle w:val="662"/>
                <w:rFonts w:hint="eastAsia" w:ascii="仿宋_GB2312" w:eastAsia="仿宋_GB2312"/>
                <w:color w:val="auto"/>
                <w:highlight w:val="none"/>
              </w:rPr>
              <w:t>一、信用信息使用规则：</w:t>
            </w:r>
          </w:p>
          <w:p>
            <w:pPr>
              <w:pStyle w:val="661"/>
              <w:spacing w:before="0" w:beforeAutospacing="0" w:after="0" w:afterAutospacing="0" w:line="460" w:lineRule="atLeast"/>
              <w:rPr>
                <w:rFonts w:hint="eastAsia" w:ascii="仿宋_GB2312" w:eastAsia="仿宋_GB2312"/>
                <w:color w:val="auto"/>
                <w:highlight w:val="none"/>
                <w:lang w:eastAsia="zh-CN"/>
              </w:rPr>
            </w:pPr>
            <w:r>
              <w:rPr>
                <w:rFonts w:hint="eastAsia" w:ascii="仿宋_GB2312" w:eastAsia="仿宋_GB2312"/>
                <w:color w:val="auto"/>
                <w:highlight w:val="none"/>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pStyle w:val="661"/>
              <w:spacing w:before="0" w:beforeAutospacing="0" w:after="0" w:afterAutospacing="0" w:line="460" w:lineRule="atLeast"/>
              <w:rPr>
                <w:rFonts w:hint="eastAsia" w:ascii="仿宋_GB2312" w:eastAsia="仿宋_GB2312"/>
                <w:b/>
                <w:bCs/>
                <w:color w:val="auto"/>
                <w:highlight w:val="none"/>
                <w:lang w:eastAsia="zh-CN"/>
              </w:rPr>
            </w:pPr>
            <w:r>
              <w:rPr>
                <w:rStyle w:val="662"/>
                <w:rFonts w:hint="eastAsia" w:ascii="仿宋_GB2312" w:eastAsia="仿宋_GB2312"/>
                <w:color w:val="auto"/>
                <w:highlight w:val="none"/>
              </w:rPr>
              <w:t>二、甄别方式：</w:t>
            </w:r>
          </w:p>
          <w:p>
            <w:pPr>
              <w:pStyle w:val="661"/>
              <w:spacing w:before="0" w:beforeAutospacing="0" w:after="0" w:afterAutospacing="0" w:line="460" w:lineRule="atLeast"/>
              <w:rPr>
                <w:rFonts w:hint="eastAsia" w:ascii="仿宋_GB2312" w:eastAsia="仿宋_GB2312"/>
                <w:b/>
                <w:bCs/>
                <w:color w:val="auto"/>
                <w:highlight w:val="none"/>
                <w:lang w:eastAsia="zh-CN"/>
              </w:rPr>
            </w:pPr>
            <w:r>
              <w:rPr>
                <w:rStyle w:val="662"/>
                <w:rFonts w:hint="eastAsia" w:ascii="仿宋_GB2312" w:eastAsia="仿宋_GB2312"/>
                <w:color w:val="auto"/>
                <w:highlight w:val="none"/>
              </w:rPr>
              <w:t>1.在本项目资格性审查时，采购人将对投标人信用进行查询，并按照以上信用信息使用规则处理；</w:t>
            </w:r>
          </w:p>
          <w:p>
            <w:pPr>
              <w:pStyle w:val="661"/>
              <w:spacing w:before="0" w:beforeAutospacing="0" w:after="0" w:afterAutospacing="0" w:line="460" w:lineRule="atLeast"/>
              <w:rPr>
                <w:rFonts w:hint="eastAsia" w:ascii="仿宋_GB2312" w:eastAsia="仿宋_GB2312"/>
                <w:b/>
                <w:bCs/>
                <w:color w:val="auto"/>
                <w:highlight w:val="none"/>
                <w:lang w:eastAsia="zh-CN"/>
              </w:rPr>
            </w:pPr>
            <w:r>
              <w:rPr>
                <w:rStyle w:val="662"/>
                <w:rFonts w:hint="eastAsia" w:ascii="仿宋_GB2312" w:eastAsia="仿宋_GB2312"/>
                <w:color w:val="auto"/>
                <w:highlight w:val="none"/>
              </w:rPr>
              <w:t>2.在中标通知书发出前，采购人或者采购代理机构将对中标人信用进行查询，并按照以上信用信息使用规则处理；</w:t>
            </w:r>
          </w:p>
          <w:p>
            <w:pPr>
              <w:pStyle w:val="661"/>
              <w:spacing w:before="0" w:beforeAutospacing="0" w:after="0" w:afterAutospacing="0" w:line="460" w:lineRule="atLeast"/>
              <w:rPr>
                <w:rFonts w:ascii="仿宋_GB2312" w:eastAsia="仿宋_GB2312"/>
                <w:color w:val="auto"/>
                <w:highlight w:val="none"/>
              </w:rPr>
            </w:pPr>
            <w:r>
              <w:rPr>
                <w:rStyle w:val="662"/>
                <w:rFonts w:hint="eastAsia" w:ascii="仿宋_GB2312" w:eastAsia="仿宋_GB2312"/>
                <w:color w:val="auto"/>
                <w:highlight w:val="none"/>
              </w:rPr>
              <w:t>3.根据《财政部关于〈中华人民共和国政府采购法实施条例〉第十九条第一款“较大数额罚款”具体适用问题的意见》（财库〔2022〕3 号），“较大数额罚款”认定为200万元以上的罚款，法律、行政法规以及国务院有关部门明确规定相关领域“较大数额罚款”标准高于200万元的，从其规定。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14</w:t>
            </w:r>
          </w:p>
        </w:tc>
        <w:tc>
          <w:tcPr>
            <w:tcW w:w="8232" w:type="dxa"/>
            <w:vAlign w:val="center"/>
          </w:tcPr>
          <w:p>
            <w:pPr>
              <w:pStyle w:val="682"/>
              <w:spacing w:before="0" w:beforeAutospacing="0" w:after="0" w:afterAutospacing="0" w:line="460" w:lineRule="atLeast"/>
              <w:rPr>
                <w:rFonts w:hint="eastAsia" w:ascii="仿宋_GB2312" w:eastAsia="仿宋_GB2312"/>
                <w:color w:val="auto"/>
                <w:highlight w:val="none"/>
                <w:lang w:eastAsia="zh-CN"/>
              </w:rPr>
            </w:pPr>
            <w:r>
              <w:rPr>
                <w:rFonts w:hint="eastAsia" w:ascii="仿宋_GB2312" w:eastAsia="仿宋_GB2312"/>
                <w:color w:val="auto"/>
                <w:highlight w:val="none"/>
              </w:rPr>
              <w:t>中标公告及中标通知书：采购代理机构在采购人依法确认中标人后两个工作日内发布中标公告和中标通知书。</w:t>
            </w:r>
          </w:p>
          <w:p>
            <w:pPr>
              <w:pStyle w:val="682"/>
              <w:spacing w:before="0" w:beforeAutospacing="0" w:after="0" w:afterAutospacing="0" w:line="460" w:lineRule="atLeast"/>
              <w:rPr>
                <w:rFonts w:ascii="仿宋_GB2312" w:eastAsia="仿宋_GB2312"/>
                <w:color w:val="auto"/>
                <w:highlight w:val="none"/>
              </w:rPr>
            </w:pPr>
            <w:r>
              <w:rPr>
                <w:rStyle w:val="683"/>
                <w:rFonts w:hint="eastAsia" w:ascii="仿宋_GB2312" w:eastAsia="仿宋_GB2312"/>
                <w:color w:val="auto"/>
                <w:highlight w:val="none"/>
              </w:rPr>
              <w:t>根据《柳州市财政局 人民银行柳州市中心支行 关于进一步做好线上“政采贷”融资工作的通知》（柳财采〔2022〕19号），供应商可凭中标通知书、政府采购合同，通过中征应收账款融资服务平台向银行在线申请“政采贷”融资。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15</w:t>
            </w:r>
          </w:p>
        </w:tc>
        <w:tc>
          <w:tcPr>
            <w:tcW w:w="8232" w:type="dxa"/>
            <w:vAlign w:val="center"/>
          </w:tcPr>
          <w:p>
            <w:pPr>
              <w:pStyle w:val="703"/>
              <w:spacing w:before="0" w:beforeAutospacing="0" w:after="0" w:afterAutospacing="0" w:line="460" w:lineRule="atLeast"/>
              <w:rPr>
                <w:rFonts w:ascii="仿宋_GB2312" w:eastAsia="仿宋_GB2312"/>
                <w:color w:val="auto"/>
                <w:highlight w:val="none"/>
              </w:rPr>
            </w:pPr>
            <w:r>
              <w:rPr>
                <w:rStyle w:val="704"/>
                <w:rFonts w:hint="eastAsia" w:ascii="仿宋_GB2312" w:eastAsia="仿宋_GB2312"/>
                <w:color w:val="auto"/>
                <w:highlight w:val="none"/>
              </w:rPr>
              <w:t>签订合同时间：中标通知书发出后</w:t>
            </w:r>
            <w:r>
              <w:rPr>
                <w:rStyle w:val="704"/>
                <w:rFonts w:hint="eastAsia" w:ascii="仿宋_GB2312" w:eastAsia="仿宋_GB2312"/>
                <w:color w:val="auto"/>
                <w:highlight w:val="none"/>
                <w:u w:val="single"/>
              </w:rPr>
              <w:t>25</w:t>
            </w:r>
            <w:r>
              <w:rPr>
                <w:rStyle w:val="704"/>
                <w:rFonts w:hint="eastAsia" w:ascii="仿宋_GB2312" w:eastAsia="仿宋_GB2312"/>
                <w:color w:val="auto"/>
                <w:highlight w:val="none"/>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16</w:t>
            </w:r>
          </w:p>
        </w:tc>
        <w:tc>
          <w:tcPr>
            <w:tcW w:w="8232" w:type="dxa"/>
            <w:vAlign w:val="center"/>
          </w:tcPr>
          <w:p>
            <w:pPr>
              <w:pStyle w:val="724"/>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投标文件有效期：投标截止日期后</w:t>
            </w:r>
            <w:r>
              <w:rPr>
                <w:rFonts w:hint="eastAsia" w:ascii="仿宋_GB2312" w:eastAsia="仿宋_GB2312"/>
                <w:color w:val="auto"/>
                <w:highlight w:val="none"/>
                <w:u w:val="single"/>
              </w:rPr>
              <w:t>不得少于90天</w:t>
            </w:r>
            <w:r>
              <w:rPr>
                <w:rFonts w:hint="eastAsia" w:ascii="仿宋_GB2312" w:eastAsia="仿宋_GB2312"/>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17</w:t>
            </w:r>
          </w:p>
        </w:tc>
        <w:tc>
          <w:tcPr>
            <w:tcW w:w="8232" w:type="dxa"/>
            <w:vAlign w:val="center"/>
          </w:tcPr>
          <w:p>
            <w:pPr>
              <w:pStyle w:val="744"/>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解释：本招标文件的解释权属于采购代理机构。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18</w:t>
            </w:r>
          </w:p>
        </w:tc>
        <w:tc>
          <w:tcPr>
            <w:tcW w:w="8232" w:type="dxa"/>
            <w:vAlign w:val="center"/>
          </w:tcPr>
          <w:p>
            <w:pPr>
              <w:pStyle w:val="764"/>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文件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19</w:t>
            </w:r>
          </w:p>
        </w:tc>
        <w:tc>
          <w:tcPr>
            <w:tcW w:w="8232" w:type="dxa"/>
            <w:vAlign w:val="center"/>
          </w:tcPr>
          <w:p>
            <w:pPr>
              <w:pStyle w:val="784"/>
              <w:spacing w:before="0" w:beforeAutospacing="0" w:after="0" w:afterAutospacing="0" w:line="460" w:lineRule="atLeast"/>
              <w:rPr>
                <w:rFonts w:hint="eastAsia" w:ascii="仿宋_GB2312" w:eastAsia="仿宋_GB2312"/>
                <w:color w:val="auto"/>
                <w:highlight w:val="none"/>
                <w:lang w:eastAsia="zh-CN"/>
              </w:rPr>
            </w:pPr>
            <w:r>
              <w:rPr>
                <w:rFonts w:hint="eastAsia" w:ascii="仿宋_GB2312" w:eastAsia="仿宋_GB2312"/>
                <w:color w:val="auto"/>
                <w:highlight w:val="none"/>
              </w:rPr>
              <w:t>1.本招标文件中描述投标人的“公章”是指投标人的CA电子签章。</w:t>
            </w:r>
          </w:p>
          <w:p>
            <w:pPr>
              <w:pStyle w:val="784"/>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2.本招标文件描述的投标人“签字”是投标人的法定代表人或授权委托代理人的电子签名或电子签章或手写签名或盖章。涉及的法定代表人或授权委托代理人签字的内容，如果投标人没有法定代表人或授权委托代理人电子签名或电子签章，投标人可以线下签字或盖章后扫描上传。</w:t>
            </w:r>
          </w:p>
        </w:tc>
      </w:tr>
    </w:tbl>
    <w:p>
      <w:pPr>
        <w:spacing w:line="360" w:lineRule="auto"/>
        <w:jc w:val="center"/>
        <w:rPr>
          <w:b/>
          <w:color w:val="auto"/>
          <w:sz w:val="32"/>
          <w:szCs w:val="32"/>
          <w:highlight w:val="none"/>
        </w:rPr>
        <w:sectPr>
          <w:pgSz w:w="11906" w:h="16838"/>
          <w:pgMar w:top="1440" w:right="1440" w:bottom="1440" w:left="1440" w:header="851" w:footer="992" w:gutter="0"/>
          <w:cols w:space="720" w:num="1"/>
          <w:docGrid w:linePitch="312" w:charSpace="0"/>
        </w:sectPr>
      </w:pPr>
    </w:p>
    <w:p>
      <w:pPr>
        <w:spacing w:line="360" w:lineRule="auto"/>
        <w:jc w:val="center"/>
        <w:rPr>
          <w:b/>
          <w:color w:val="auto"/>
          <w:sz w:val="32"/>
          <w:szCs w:val="32"/>
          <w:highlight w:val="none"/>
        </w:rPr>
      </w:pPr>
      <w:r>
        <w:rPr>
          <w:rFonts w:hint="eastAsia"/>
          <w:b/>
          <w:color w:val="auto"/>
          <w:sz w:val="32"/>
          <w:szCs w:val="32"/>
          <w:highlight w:val="none"/>
        </w:rPr>
        <w:t>投标人须知</w:t>
      </w:r>
    </w:p>
    <w:p>
      <w:pPr>
        <w:spacing w:line="300" w:lineRule="exact"/>
        <w:jc w:val="center"/>
        <w:rPr>
          <w:b/>
          <w:color w:val="auto"/>
          <w:sz w:val="32"/>
          <w:szCs w:val="32"/>
          <w:highlight w:val="none"/>
        </w:rPr>
      </w:pPr>
    </w:p>
    <w:p>
      <w:pPr>
        <w:pStyle w:val="27"/>
        <w:snapToGrid w:val="0"/>
        <w:spacing w:line="360" w:lineRule="exact"/>
        <w:ind w:right="-330" w:rightChars="-157"/>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一、总  则</w:t>
      </w:r>
    </w:p>
    <w:p>
      <w:pPr>
        <w:snapToGrid w:val="0"/>
        <w:spacing w:line="360" w:lineRule="exact"/>
        <w:ind w:right="-330" w:rightChars="-157" w:firstLine="472" w:firstLineChars="196"/>
        <w:jc w:val="left"/>
        <w:outlineLvl w:val="1"/>
        <w:rPr>
          <w:rFonts w:ascii="仿宋_GB2312" w:eastAsia="仿宋_GB2312"/>
          <w:b/>
          <w:color w:val="auto"/>
          <w:sz w:val="24"/>
          <w:highlight w:val="none"/>
        </w:rPr>
      </w:pPr>
      <w:bookmarkStart w:id="26" w:name="_Toc254970527"/>
      <w:bookmarkStart w:id="27" w:name="_Toc254970668"/>
      <w:r>
        <w:rPr>
          <w:rFonts w:hint="eastAsia" w:ascii="仿宋_GB2312" w:eastAsia="仿宋_GB2312"/>
          <w:b/>
          <w:color w:val="auto"/>
          <w:sz w:val="24"/>
          <w:highlight w:val="none"/>
        </w:rPr>
        <w:t>1. 适用范围</w:t>
      </w:r>
      <w:bookmarkEnd w:id="26"/>
      <w:bookmarkEnd w:id="27"/>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1.1本招标文件适用于</w:t>
      </w:r>
      <w:r>
        <w:rPr>
          <w:rFonts w:hint="eastAsia" w:ascii="仿宋_GB2312" w:hAnsi="宋体" w:eastAsia="仿宋_GB2312"/>
          <w:color w:val="auto"/>
          <w:sz w:val="24"/>
          <w:highlight w:val="none"/>
          <w:u w:val="single"/>
          <w:lang w:eastAsia="zh-CN"/>
        </w:rPr>
        <w:t>柳州职业技术学院</w:t>
      </w:r>
      <w:r>
        <w:rPr>
          <w:rFonts w:hint="eastAsia" w:ascii="仿宋_GB2312" w:hAnsi="宋体" w:eastAsia="仿宋_GB2312"/>
          <w:color w:val="auto"/>
          <w:sz w:val="24"/>
          <w:highlight w:val="none"/>
          <w:u w:val="single"/>
        </w:rPr>
        <w:t>物业管理服务采购</w:t>
      </w:r>
      <w:r>
        <w:rPr>
          <w:rFonts w:hint="eastAsia" w:ascii="仿宋_GB2312" w:hAnsi="宋体" w:eastAsia="仿宋_GB2312"/>
          <w:bCs/>
          <w:color w:val="auto"/>
          <w:sz w:val="24"/>
          <w:szCs w:val="24"/>
          <w:highlight w:val="none"/>
        </w:rPr>
        <w:t>项目的招标、投标、评标、定标、验收、合同履约、付款等行为（法律、法规另有规定的，从其规定）。</w:t>
      </w:r>
    </w:p>
    <w:p>
      <w:pPr>
        <w:snapToGrid w:val="0"/>
        <w:spacing w:line="360" w:lineRule="exact"/>
        <w:ind w:right="-330" w:rightChars="-157" w:firstLine="354" w:firstLineChars="147"/>
        <w:jc w:val="left"/>
        <w:outlineLvl w:val="1"/>
        <w:rPr>
          <w:rFonts w:ascii="仿宋_GB2312" w:eastAsia="仿宋_GB2312"/>
          <w:b/>
          <w:color w:val="auto"/>
          <w:sz w:val="24"/>
          <w:highlight w:val="none"/>
        </w:rPr>
      </w:pPr>
      <w:bookmarkStart w:id="28" w:name="_Toc254970528"/>
      <w:bookmarkStart w:id="29" w:name="_Toc254970669"/>
      <w:r>
        <w:rPr>
          <w:rFonts w:hint="eastAsia" w:ascii="仿宋_GB2312" w:eastAsia="仿宋_GB2312"/>
          <w:b/>
          <w:color w:val="auto"/>
          <w:sz w:val="24"/>
          <w:highlight w:val="none"/>
        </w:rPr>
        <w:t>2.定义</w:t>
      </w:r>
      <w:bookmarkEnd w:id="28"/>
      <w:bookmarkEnd w:id="29"/>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2.1“采购人”是指：</w:t>
      </w:r>
      <w:r>
        <w:rPr>
          <w:rFonts w:hint="eastAsia" w:ascii="仿宋_GB2312" w:hAnsi="宋体" w:eastAsia="仿宋_GB2312"/>
          <w:color w:val="auto"/>
          <w:sz w:val="24"/>
          <w:highlight w:val="none"/>
          <w:u w:val="single"/>
          <w:lang w:eastAsia="zh-CN"/>
        </w:rPr>
        <w:t>柳州职业技术学院</w:t>
      </w:r>
      <w:r>
        <w:rPr>
          <w:rFonts w:hint="eastAsia" w:ascii="仿宋_GB2312" w:hAnsi="宋体" w:eastAsia="仿宋_GB2312"/>
          <w:bCs/>
          <w:color w:val="auto"/>
          <w:sz w:val="24"/>
          <w:szCs w:val="24"/>
          <w:highlight w:val="none"/>
        </w:rPr>
        <w:t>；“采购代理机构”是指</w:t>
      </w:r>
      <w:r>
        <w:rPr>
          <w:rFonts w:hint="eastAsia" w:ascii="仿宋_GB2312" w:hAnsi="宋体" w:eastAsia="仿宋_GB2312"/>
          <w:bCs/>
          <w:color w:val="auto"/>
          <w:sz w:val="24"/>
          <w:szCs w:val="24"/>
          <w:highlight w:val="none"/>
          <w:u w:val="single"/>
        </w:rPr>
        <w:t>柳州市政府集中采购中心</w:t>
      </w:r>
      <w:r>
        <w:rPr>
          <w:rFonts w:hint="eastAsia" w:ascii="仿宋_GB2312" w:hAnsi="宋体" w:eastAsia="仿宋_GB2312"/>
          <w:bCs/>
          <w:color w:val="auto"/>
          <w:sz w:val="24"/>
          <w:szCs w:val="24"/>
          <w:highlight w:val="none"/>
        </w:rPr>
        <w:t>。</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2.2“投标人”系指响应本公开招标文件要求，参加投标的法人或其他组织或自然人。如果该投标人在本次投标中中标，即成为“中标人”。“分包供应商”系指按照法律规定和合同约定，承担分包服务内容，并与投标人订立分包意向协议的具有相应资质或资格的单位</w:t>
      </w:r>
      <w:r>
        <w:rPr>
          <w:rFonts w:hint="eastAsia" w:ascii="仿宋_GB2312" w:hAnsi="宋体" w:eastAsia="仿宋_GB2312"/>
          <w:bCs/>
          <w:color w:val="auto"/>
          <w:sz w:val="24"/>
          <w:szCs w:val="24"/>
          <w:highlight w:val="none"/>
          <w:lang w:eastAsia="zh-CN"/>
        </w:rPr>
        <w:t>。</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2.3“产品”系指投标人按招标文件规定，须向采购人提供的一切设备（含安装）、保险、税金、备品备件、工具、手册及其它有关技术资料和材料。</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2.4“</w:t>
      </w:r>
      <w:bookmarkStart w:id="30" w:name="_Hlk93567071"/>
      <w:r>
        <w:rPr>
          <w:rFonts w:hint="eastAsia" w:ascii="仿宋_GB2312" w:hAnsi="宋体" w:eastAsia="仿宋_GB2312"/>
          <w:bCs/>
          <w:color w:val="auto"/>
          <w:sz w:val="24"/>
          <w:szCs w:val="24"/>
          <w:highlight w:val="none"/>
        </w:rPr>
        <w:t>服务”</w:t>
      </w:r>
      <w:bookmarkEnd w:id="30"/>
      <w:r>
        <w:rPr>
          <w:rFonts w:hint="eastAsia" w:ascii="仿宋_GB2312" w:hAnsi="宋体" w:eastAsia="仿宋_GB2312"/>
          <w:bCs/>
          <w:color w:val="auto"/>
          <w:sz w:val="24"/>
          <w:szCs w:val="24"/>
          <w:highlight w:val="none"/>
        </w:rPr>
        <w:t>系指除货物和工程以外的其他政府采购对象。</w:t>
      </w:r>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2.5“项目”系指投标人按招标文件规定向采购人提供的产品和服务。</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2.6“签字”系指投标人的法定代表人或授权委托代理人的电子签名或电子签章或手写签名或盖章，表示同意、认可、承担责任或义务的行为。</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2.7“电子投标文件”系指完整的投标文件，内容包括资格文件、报价要求文件、商务技术文件。</w:t>
      </w:r>
    </w:p>
    <w:p>
      <w:pPr>
        <w:pStyle w:val="27"/>
        <w:widowControl/>
        <w:snapToGrid w:val="0"/>
        <w:spacing w:line="400" w:lineRule="exact"/>
        <w:ind w:firstLine="480" w:firstLineChars="200"/>
        <w:rPr>
          <w:rFonts w:ascii="仿宋_GB2312" w:hAnsi="宋体" w:eastAsia="仿宋_GB2312"/>
          <w:bCs/>
          <w:color w:val="auto"/>
          <w:sz w:val="24"/>
          <w:highlight w:val="none"/>
        </w:rPr>
      </w:pPr>
      <w:r>
        <w:rPr>
          <w:rFonts w:hint="eastAsia" w:ascii="仿宋_GB2312" w:hAnsi="宋体" w:eastAsia="仿宋_GB2312"/>
          <w:bCs/>
          <w:color w:val="auto"/>
          <w:sz w:val="24"/>
          <w:highlight w:val="none"/>
        </w:rPr>
        <w:t>2.8“</w:t>
      </w:r>
      <w:r>
        <w:rPr>
          <w:rFonts w:hint="eastAsia" w:ascii="仿宋_GB2312" w:hAnsi="仿宋_GB2312" w:eastAsia="仿宋_GB2312" w:cs="仿宋_GB2312"/>
          <w:color w:val="auto"/>
          <w:kern w:val="0"/>
          <w:sz w:val="24"/>
          <w:highlight w:val="none"/>
        </w:rPr>
        <w:t>★</w:t>
      </w:r>
      <w:r>
        <w:rPr>
          <w:rFonts w:hint="eastAsia" w:ascii="仿宋_GB2312" w:hAnsi="宋体" w:eastAsia="仿宋_GB2312"/>
          <w:bCs/>
          <w:color w:val="auto"/>
          <w:sz w:val="24"/>
          <w:highlight w:val="none"/>
        </w:rPr>
        <w:t>”系指本次采购项目“第二章 采购需求”中的实质性要求。</w:t>
      </w:r>
    </w:p>
    <w:p>
      <w:pPr>
        <w:pStyle w:val="27"/>
        <w:widowControl/>
        <w:snapToGrid w:val="0"/>
        <w:spacing w:line="400" w:lineRule="exact"/>
        <w:ind w:firstLine="480" w:firstLineChars="200"/>
        <w:rPr>
          <w:rFonts w:ascii="仿宋_GB2312" w:hAnsi="宋体" w:eastAsia="仿宋_GB2312"/>
          <w:bCs/>
          <w:color w:val="auto"/>
          <w:sz w:val="24"/>
          <w:highlight w:val="none"/>
        </w:rPr>
      </w:pPr>
      <w:r>
        <w:rPr>
          <w:rFonts w:hint="eastAsia" w:ascii="仿宋_GB2312" w:hAnsi="宋体" w:eastAsia="仿宋_GB2312"/>
          <w:bCs/>
          <w:color w:val="auto"/>
          <w:sz w:val="24"/>
          <w:highlight w:val="none"/>
        </w:rPr>
        <w:t>2.</w:t>
      </w:r>
      <w:r>
        <w:rPr>
          <w:rFonts w:ascii="仿宋_GB2312" w:hAnsi="宋体" w:eastAsia="仿宋_GB2312"/>
          <w:bCs/>
          <w:color w:val="auto"/>
          <w:sz w:val="24"/>
          <w:highlight w:val="none"/>
        </w:rPr>
        <w:t>9</w:t>
      </w:r>
      <w:r>
        <w:rPr>
          <w:rFonts w:hint="eastAsia" w:ascii="仿宋_GB2312" w:hAnsi="宋体" w:eastAsia="仿宋_GB2312"/>
          <w:bCs/>
          <w:color w:val="auto"/>
          <w:sz w:val="24"/>
          <w:highlight w:val="none"/>
        </w:rPr>
        <w:t xml:space="preserve"> 公开招标文件中所称的“以上”、“以下”、“内”、“以内”、“届满”，包括本数；所称的“不满”、“不足”、“以外”，不包括本数。</w:t>
      </w:r>
    </w:p>
    <w:p>
      <w:pPr>
        <w:pStyle w:val="27"/>
        <w:widowControl/>
        <w:snapToGrid w:val="0"/>
        <w:spacing w:line="400" w:lineRule="exact"/>
        <w:ind w:firstLine="480" w:firstLineChars="200"/>
        <w:rPr>
          <w:rFonts w:ascii="仿宋_GB2312" w:hAnsi="宋体" w:eastAsia="仿宋_GB2312"/>
          <w:bCs/>
          <w:color w:val="auto"/>
          <w:sz w:val="24"/>
          <w:highlight w:val="none"/>
        </w:rPr>
      </w:pPr>
      <w:r>
        <w:rPr>
          <w:rFonts w:hint="eastAsia" w:ascii="仿宋_GB2312" w:hAnsi="宋体" w:eastAsia="仿宋_GB2312"/>
          <w:bCs/>
          <w:color w:val="auto"/>
          <w:sz w:val="24"/>
          <w:highlight w:val="none"/>
        </w:rPr>
        <w:t>2.10“法定代表人”系指投标人的法定代表人、负责人或自然人。</w:t>
      </w:r>
    </w:p>
    <w:p>
      <w:pPr>
        <w:snapToGrid w:val="0"/>
        <w:spacing w:line="400" w:lineRule="exact"/>
        <w:ind w:firstLine="482" w:firstLineChars="200"/>
        <w:jc w:val="left"/>
        <w:rPr>
          <w:rFonts w:ascii="仿宋_GB2312" w:eastAsia="仿宋_GB2312"/>
          <w:b/>
          <w:color w:val="auto"/>
          <w:sz w:val="24"/>
          <w:highlight w:val="none"/>
        </w:rPr>
      </w:pPr>
      <w:bookmarkStart w:id="31" w:name="_Toc254970670"/>
      <w:bookmarkStart w:id="32" w:name="_Toc254970529"/>
      <w:bookmarkStart w:id="33" w:name="_Toc254970534"/>
      <w:bookmarkStart w:id="34" w:name="_Toc254970675"/>
      <w:bookmarkStart w:id="35" w:name="_Toc254970536"/>
      <w:bookmarkStart w:id="36" w:name="_Toc254970677"/>
      <w:r>
        <w:rPr>
          <w:rFonts w:hint="eastAsia" w:ascii="仿宋_GB2312" w:eastAsia="仿宋_GB2312"/>
          <w:b/>
          <w:color w:val="auto"/>
          <w:sz w:val="24"/>
          <w:highlight w:val="none"/>
        </w:rPr>
        <w:t>3.招标方式</w:t>
      </w:r>
      <w:bookmarkEnd w:id="31"/>
      <w:bookmarkEnd w:id="32"/>
    </w:p>
    <w:p>
      <w:pPr>
        <w:snapToGrid w:val="0"/>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3.1公开招标方式。</w:t>
      </w:r>
    </w:p>
    <w:p>
      <w:pPr>
        <w:snapToGrid w:val="0"/>
        <w:spacing w:line="400" w:lineRule="exact"/>
        <w:ind w:firstLine="482" w:firstLineChars="200"/>
        <w:jc w:val="left"/>
        <w:rPr>
          <w:rFonts w:ascii="仿宋_GB2312" w:eastAsia="仿宋_GB2312"/>
          <w:b/>
          <w:color w:val="auto"/>
          <w:sz w:val="24"/>
          <w:highlight w:val="none"/>
        </w:rPr>
      </w:pPr>
      <w:bookmarkStart w:id="37" w:name="_Toc254970671"/>
      <w:bookmarkStart w:id="38" w:name="_Toc254970530"/>
      <w:r>
        <w:rPr>
          <w:rFonts w:hint="eastAsia" w:ascii="仿宋_GB2312" w:eastAsia="仿宋_GB2312"/>
          <w:b/>
          <w:color w:val="auto"/>
          <w:sz w:val="24"/>
          <w:highlight w:val="none"/>
        </w:rPr>
        <w:t>4.投标委托</w:t>
      </w:r>
      <w:bookmarkEnd w:id="37"/>
      <w:bookmarkEnd w:id="38"/>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4.1如投标人代表不是法定代表人，须有法定代表人出具的授权委托书（格式见第六章投标文件格式）。</w:t>
      </w:r>
      <w:bookmarkStart w:id="39" w:name="_Toc254970672"/>
      <w:bookmarkStart w:id="40" w:name="_Toc254970531"/>
    </w:p>
    <w:p>
      <w:pPr>
        <w:snapToGrid w:val="0"/>
        <w:spacing w:line="400" w:lineRule="exact"/>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5.投标费用</w:t>
      </w:r>
      <w:bookmarkEnd w:id="39"/>
      <w:bookmarkEnd w:id="40"/>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5.1投标人均应自行承担所有与投标有关的全部费用（招标文件有相关规定的除外）。</w:t>
      </w:r>
    </w:p>
    <w:p>
      <w:pPr>
        <w:snapToGrid w:val="0"/>
        <w:spacing w:line="400" w:lineRule="exact"/>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6.联合体投标</w:t>
      </w:r>
    </w:p>
    <w:p>
      <w:pPr>
        <w:snapToGrid w:val="0"/>
        <w:spacing w:line="400" w:lineRule="exact"/>
        <w:ind w:firstLine="420"/>
        <w:jc w:val="left"/>
        <w:rPr>
          <w:rFonts w:ascii="仿宋_GB2312" w:eastAsia="仿宋_GB2312"/>
          <w:color w:val="auto"/>
          <w:sz w:val="24"/>
          <w:highlight w:val="none"/>
        </w:rPr>
      </w:pPr>
      <w:r>
        <w:rPr>
          <w:rFonts w:hint="eastAsia" w:ascii="仿宋_GB2312" w:eastAsia="仿宋_GB2312"/>
          <w:color w:val="auto"/>
          <w:sz w:val="24"/>
          <w:highlight w:val="none"/>
        </w:rPr>
        <w:t>6.1本项目</w:t>
      </w:r>
      <w:r>
        <w:rPr>
          <w:rFonts w:hint="eastAsia" w:ascii="仿宋_GB2312" w:eastAsia="仿宋_GB2312"/>
          <w:color w:val="auto"/>
          <w:sz w:val="24"/>
          <w:highlight w:val="none"/>
          <w:u w:val="single"/>
        </w:rPr>
        <w:t>不接受</w:t>
      </w:r>
      <w:r>
        <w:rPr>
          <w:rFonts w:hint="eastAsia" w:ascii="仿宋_GB2312" w:eastAsia="仿宋_GB2312"/>
          <w:color w:val="auto"/>
          <w:sz w:val="24"/>
          <w:highlight w:val="none"/>
        </w:rPr>
        <w:t>联合体投标。</w:t>
      </w:r>
    </w:p>
    <w:p>
      <w:pPr>
        <w:snapToGrid w:val="0"/>
        <w:spacing w:line="400" w:lineRule="exact"/>
        <w:ind w:firstLine="470" w:firstLineChars="195"/>
        <w:rPr>
          <w:rFonts w:ascii="仿宋_GB2312" w:eastAsia="仿宋_GB2312"/>
          <w:b/>
          <w:color w:val="auto"/>
          <w:kern w:val="0"/>
          <w:sz w:val="24"/>
          <w:highlight w:val="none"/>
        </w:rPr>
      </w:pPr>
      <w:r>
        <w:rPr>
          <w:rFonts w:hint="eastAsia" w:ascii="仿宋_GB2312" w:eastAsia="仿宋_GB2312"/>
          <w:b/>
          <w:color w:val="auto"/>
          <w:sz w:val="24"/>
          <w:highlight w:val="none"/>
        </w:rPr>
        <w:t>7.</w:t>
      </w:r>
      <w:r>
        <w:rPr>
          <w:rFonts w:hint="eastAsia" w:ascii="仿宋_GB2312" w:eastAsia="仿宋_GB2312"/>
          <w:b/>
          <w:color w:val="auto"/>
          <w:kern w:val="0"/>
          <w:sz w:val="24"/>
          <w:highlight w:val="none"/>
        </w:rPr>
        <w:t xml:space="preserve">转包与分包             </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7.1本项目不允许转包。</w:t>
      </w:r>
    </w:p>
    <w:p>
      <w:pPr>
        <w:pStyle w:val="27"/>
        <w:snapToGrid w:val="0"/>
        <w:spacing w:line="400" w:lineRule="exact"/>
        <w:ind w:firstLine="480" w:firstLineChars="200"/>
        <w:rPr>
          <w:rFonts w:hint="eastAsia" w:ascii="仿宋_GB2312" w:hAnsi="宋体" w:eastAsia="宋体"/>
          <w:bCs/>
          <w:color w:val="auto"/>
          <w:sz w:val="24"/>
          <w:szCs w:val="24"/>
          <w:highlight w:val="none"/>
          <w:lang w:eastAsia="zh-CN"/>
        </w:rPr>
      </w:pPr>
      <w:r>
        <w:rPr>
          <w:rFonts w:hint="eastAsia" w:ascii="仿宋_GB2312" w:hAnsi="宋体" w:eastAsia="仿宋_GB2312"/>
          <w:bCs/>
          <w:color w:val="auto"/>
          <w:sz w:val="24"/>
          <w:szCs w:val="24"/>
          <w:highlight w:val="none"/>
        </w:rPr>
        <w:t>7.2本项目允许大型企业向</w:t>
      </w:r>
      <w:r>
        <w:rPr>
          <w:rFonts w:hint="eastAsia" w:ascii="仿宋_GB2312" w:hAnsi="宋体" w:eastAsia="仿宋_GB2312"/>
          <w:bCs/>
          <w:color w:val="auto"/>
          <w:sz w:val="24"/>
          <w:szCs w:val="24"/>
          <w:highlight w:val="none"/>
          <w:lang w:eastAsia="zh-CN"/>
        </w:rPr>
        <w:t>中小</w:t>
      </w:r>
      <w:r>
        <w:rPr>
          <w:rFonts w:hint="eastAsia" w:ascii="仿宋_GB2312" w:hAnsi="宋体" w:eastAsia="仿宋_GB2312"/>
          <w:bCs/>
          <w:color w:val="auto"/>
          <w:sz w:val="24"/>
          <w:szCs w:val="24"/>
          <w:highlight w:val="none"/>
        </w:rPr>
        <w:t>企业分包</w:t>
      </w:r>
      <w:r>
        <w:rPr>
          <w:rFonts w:hint="eastAsia" w:ascii="仿宋_GB2312" w:hAnsi="宋体" w:eastAsia="仿宋_GB2312" w:cs="宋体"/>
          <w:color w:val="auto"/>
          <w:kern w:val="0"/>
          <w:sz w:val="24"/>
          <w:highlight w:val="none"/>
          <w:lang w:eastAsia="zh-CN"/>
        </w:rPr>
        <w:t>（分包内容仅限于</w:t>
      </w:r>
      <w:r>
        <w:rPr>
          <w:rFonts w:hint="eastAsia" w:ascii="仿宋_GB2312" w:hAnsi="Calibri" w:eastAsia="仿宋_GB2312"/>
          <w:color w:val="auto"/>
          <w:sz w:val="24"/>
          <w:highlight w:val="none"/>
          <w:lang w:val="en-US" w:eastAsia="zh-CN"/>
        </w:rPr>
        <w:t>工程主管、保洁主管、绿化主管、</w:t>
      </w:r>
      <w:r>
        <w:rPr>
          <w:rFonts w:hint="eastAsia" w:ascii="仿宋_GB2312" w:eastAsia="仿宋_GB2312"/>
          <w:color w:val="auto"/>
          <w:sz w:val="24"/>
          <w:highlight w:val="none"/>
        </w:rPr>
        <w:t>维修</w:t>
      </w:r>
      <w:r>
        <w:rPr>
          <w:rFonts w:hint="eastAsia" w:ascii="仿宋_GB2312" w:eastAsia="仿宋_GB2312"/>
          <w:color w:val="auto"/>
          <w:sz w:val="24"/>
          <w:highlight w:val="none"/>
          <w:lang w:eastAsia="zh-CN"/>
        </w:rPr>
        <w:t>维护人员、</w:t>
      </w:r>
      <w:r>
        <w:rPr>
          <w:rFonts w:hint="eastAsia" w:ascii="仿宋_GB2312" w:hAnsi="Calibri" w:eastAsia="仿宋_GB2312"/>
          <w:color w:val="auto"/>
          <w:sz w:val="24"/>
          <w:highlight w:val="none"/>
        </w:rPr>
        <w:t>保洁员</w:t>
      </w:r>
      <w:r>
        <w:rPr>
          <w:rFonts w:hint="eastAsia" w:ascii="仿宋_GB2312" w:hAnsi="Calibri" w:eastAsia="仿宋_GB2312"/>
          <w:color w:val="auto"/>
          <w:sz w:val="24"/>
          <w:highlight w:val="none"/>
          <w:lang w:eastAsia="zh-CN"/>
        </w:rPr>
        <w:t>、绿化养护员</w:t>
      </w:r>
      <w:r>
        <w:rPr>
          <w:rFonts w:hint="eastAsia" w:ascii="仿宋_GB2312" w:hAnsi="Calibri" w:eastAsia="仿宋_GB2312"/>
          <w:color w:val="auto"/>
          <w:sz w:val="24"/>
          <w:highlight w:val="none"/>
          <w:lang w:val="en-US" w:eastAsia="zh-CN"/>
        </w:rPr>
        <w:t>服务内容</w:t>
      </w:r>
      <w:r>
        <w:rPr>
          <w:rFonts w:hint="eastAsia" w:ascii="仿宋_GB2312" w:hAnsi="宋体" w:eastAsia="仿宋_GB2312" w:cs="宋体"/>
          <w:color w:val="auto"/>
          <w:kern w:val="0"/>
          <w:sz w:val="24"/>
          <w:highlight w:val="none"/>
          <w:lang w:eastAsia="zh-CN"/>
        </w:rPr>
        <w:t>）</w:t>
      </w:r>
      <w:r>
        <w:rPr>
          <w:rFonts w:hint="eastAsia"/>
          <w:color w:val="auto"/>
          <w:highlight w:val="none"/>
          <w:lang w:eastAsia="zh-CN"/>
        </w:rPr>
        <w:t>；</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7.2.1享受扶持政策获得政府采购合同的，小微企业不得将合同分包给大中型企业，中型企业不得将合同分包给大型企业。</w:t>
      </w:r>
    </w:p>
    <w:p>
      <w:pPr>
        <w:snapToGrid w:val="0"/>
        <w:spacing w:line="400" w:lineRule="exact"/>
        <w:ind w:firstLine="472" w:firstLineChars="196"/>
        <w:jc w:val="left"/>
        <w:outlineLvl w:val="1"/>
        <w:rPr>
          <w:rFonts w:ascii="仿宋_GB2312" w:eastAsia="仿宋_GB2312"/>
          <w:b/>
          <w:color w:val="auto"/>
          <w:sz w:val="24"/>
          <w:highlight w:val="none"/>
        </w:rPr>
      </w:pPr>
      <w:bookmarkStart w:id="41" w:name="_Toc254970532"/>
      <w:bookmarkStart w:id="42" w:name="_Toc254970673"/>
      <w:r>
        <w:rPr>
          <w:rFonts w:hint="eastAsia" w:ascii="仿宋_GB2312" w:eastAsia="仿宋_GB2312"/>
          <w:b/>
          <w:color w:val="auto"/>
          <w:sz w:val="24"/>
          <w:highlight w:val="none"/>
        </w:rPr>
        <w:t>8.特别说明</w:t>
      </w:r>
      <w:bookmarkEnd w:id="41"/>
      <w:bookmarkEnd w:id="42"/>
    </w:p>
    <w:p>
      <w:pPr>
        <w:pStyle w:val="27"/>
        <w:snapToGrid w:val="0"/>
        <w:spacing w:line="400" w:lineRule="exact"/>
        <w:ind w:firstLine="480" w:firstLineChars="200"/>
        <w:rPr>
          <w:rFonts w:ascii="仿宋_GB2312" w:hAnsi="宋体" w:eastAsia="仿宋_GB2312"/>
          <w:bCs/>
          <w:color w:val="auto"/>
          <w:sz w:val="24"/>
          <w:szCs w:val="24"/>
          <w:highlight w:val="none"/>
        </w:rPr>
      </w:pPr>
      <w:bookmarkStart w:id="43" w:name="_Toc254970674"/>
      <w:bookmarkStart w:id="44" w:name="_Toc254970533"/>
      <w:r>
        <w:rPr>
          <w:rFonts w:hint="eastAsia" w:ascii="仿宋_GB2312" w:hAnsi="宋体" w:eastAsia="仿宋_GB2312"/>
          <w:bCs/>
          <w:color w:val="auto"/>
          <w:sz w:val="24"/>
          <w:szCs w:val="24"/>
          <w:highlight w:val="none"/>
        </w:rPr>
        <w:t>8.1投标人投标所使用的资格、信誉、荣誉、业绩与企业认证必须为投标人所拥有。投标人投标的采购项目负责人必须为投标人员工（或必须本投标人或其控股公司员工）。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8.2投标人应仔细阅读招标文件的所有内容，按照招标文件的要求提交投标文件，并对所提供的全部资料的真实性承担法律责任。</w:t>
      </w:r>
    </w:p>
    <w:p>
      <w:pPr>
        <w:pStyle w:val="27"/>
        <w:spacing w:line="40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8.3关联供应商不得参加同一合同项下的政府采购活动，否则投标文件将被视为无效：</w:t>
      </w:r>
    </w:p>
    <w:p>
      <w:pPr>
        <w:pStyle w:val="27"/>
        <w:snapToGrid w:val="0"/>
        <w:spacing w:line="400" w:lineRule="exact"/>
        <w:ind w:firstLine="480" w:firstLineChars="200"/>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8.3.1 单位负责人为同一人或者存在直接控股、管理关系的不同供应商，不得参加同一合同项下的政府采购活动。</w:t>
      </w:r>
    </w:p>
    <w:p>
      <w:pPr>
        <w:pStyle w:val="27"/>
        <w:widowControl/>
        <w:snapToGrid w:val="0"/>
        <w:spacing w:line="400" w:lineRule="exact"/>
        <w:ind w:firstLine="480" w:firstLineChars="200"/>
        <w:outlineLvl w:val="1"/>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8.3.2接受分包合同的中小企业与</w:t>
      </w:r>
      <w:r>
        <w:rPr>
          <w:rFonts w:hint="eastAsia" w:ascii="仿宋_GB2312" w:hAnsi="宋体" w:eastAsia="仿宋_GB2312"/>
          <w:color w:val="auto"/>
          <w:sz w:val="24"/>
          <w:szCs w:val="24"/>
          <w:highlight w:val="none"/>
          <w:lang w:val="en-US" w:eastAsia="zh-CN"/>
        </w:rPr>
        <w:t>投标人（中标后即中标人）</w:t>
      </w:r>
      <w:r>
        <w:rPr>
          <w:rFonts w:hint="eastAsia" w:ascii="仿宋_GB2312" w:hAnsi="宋体" w:eastAsia="仿宋_GB2312"/>
          <w:color w:val="auto"/>
          <w:sz w:val="24"/>
          <w:szCs w:val="24"/>
          <w:highlight w:val="none"/>
        </w:rPr>
        <w:t>之间不得存在直接控股、管理关系。</w:t>
      </w:r>
    </w:p>
    <w:p>
      <w:pPr>
        <w:pStyle w:val="27"/>
        <w:widowControl/>
        <w:snapToGrid w:val="0"/>
        <w:spacing w:line="400" w:lineRule="exact"/>
        <w:ind w:firstLine="480" w:firstLineChars="200"/>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8.4除单一来源采购项目外，为采购项目提供整体设计、规范编制或者项目管理、监理、检测等服务的供应商，不得再参加该采购项目的其他采购活动。</w:t>
      </w:r>
    </w:p>
    <w:bookmarkEnd w:id="43"/>
    <w:bookmarkEnd w:id="44"/>
    <w:p>
      <w:pPr>
        <w:pStyle w:val="27"/>
        <w:snapToGrid w:val="0"/>
        <w:spacing w:line="400" w:lineRule="exact"/>
        <w:ind w:firstLine="472" w:firstLineChars="196"/>
        <w:outlineLvl w:val="1"/>
        <w:rPr>
          <w:rFonts w:ascii="仿宋_GB2312" w:hAnsi="宋体" w:eastAsia="仿宋_GB2312"/>
          <w:b/>
          <w:bCs/>
          <w:color w:val="auto"/>
          <w:sz w:val="24"/>
          <w:szCs w:val="24"/>
          <w:highlight w:val="none"/>
        </w:rPr>
      </w:pPr>
      <w:r>
        <w:rPr>
          <w:rFonts w:hint="eastAsia" w:ascii="仿宋_GB2312" w:hAnsi="宋体" w:eastAsia="仿宋_GB2312"/>
          <w:b/>
          <w:bCs/>
          <w:color w:val="auto"/>
          <w:sz w:val="24"/>
          <w:szCs w:val="24"/>
          <w:highlight w:val="none"/>
        </w:rPr>
        <w:t>9.</w:t>
      </w:r>
      <w:r>
        <w:rPr>
          <w:rFonts w:hint="eastAsia" w:ascii="仿宋_GB2312" w:hAnsi="宋体" w:eastAsia="仿宋_GB2312" w:cs="宋体"/>
          <w:b/>
          <w:color w:val="auto"/>
          <w:sz w:val="24"/>
          <w:szCs w:val="24"/>
          <w:highlight w:val="none"/>
        </w:rPr>
        <w:t>质疑和投诉</w:t>
      </w:r>
    </w:p>
    <w:p>
      <w:pPr>
        <w:pStyle w:val="27"/>
        <w:snapToGrid w:val="0"/>
        <w:spacing w:line="400" w:lineRule="exact"/>
        <w:ind w:firstLine="482" w:firstLineChars="200"/>
        <w:rPr>
          <w:rFonts w:ascii="仿宋_GB2312" w:hAnsi="宋体" w:eastAsia="仿宋_GB2312"/>
          <w:bCs/>
          <w:color w:val="auto"/>
          <w:sz w:val="24"/>
          <w:szCs w:val="24"/>
          <w:highlight w:val="none"/>
        </w:rPr>
      </w:pPr>
      <w:r>
        <w:rPr>
          <w:rFonts w:hint="eastAsia" w:ascii="仿宋_GB2312" w:hAnsi="宋体" w:eastAsia="仿宋_GB2312"/>
          <w:b/>
          <w:color w:val="auto"/>
          <w:sz w:val="24"/>
          <w:highlight w:val="none"/>
        </w:rPr>
        <w:t>注：投标人对电子标项目提出质疑和投诉的，应按照《政府采购质疑和投诉办法》（财政部令第94号）规定的方式提交质疑和投诉。</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9.1投标人认为招标文件、招标过程或中标结果使自己的合法权益受到损害的，可以在知道或者应知其权益受到损害之日起七个工作日内，以书面形式向采购人或采购代理机构提出质疑。权益受到损害之日是：</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9.1.1对可以质疑的采购文件提出质疑的，为收到采购文件之日或者采购文件公告期限届满之日；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9.1.2对采购过程提出质疑的，为各采购程序环节结束之日；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9.1.3对成交结果提出质疑的，为成交结果公告期限届满之日。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投标人对采购人或采购代理机构的答复不满意或者采购人、采购代理机构未在规定时间内作出答复的，可以在答复期满后十五个工作日内向同级政府采购监管部门投诉。</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 xml:space="preserve">9.2采购人或采购代理机构（采购代理机构应当按照有关规定就采购人委托授权范围内的事项）在收到供应商的书面质疑后七个工作日内作出答复，但答复的内容不得涉及商业秘密。 </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9.3质疑、投诉应当采用书面形式，质疑函、投诉书均应明确阐述招标文件、招标过程或中标结果中使自己合法权益受到损害的实质性内容，提供相关事实依据和证据及其来源或线索，便于有关单位调查、答复和处理。</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9.4质疑书面要求</w:t>
      </w:r>
    </w:p>
    <w:p>
      <w:pPr>
        <w:pStyle w:val="27"/>
        <w:spacing w:line="40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bCs/>
          <w:color w:val="auto"/>
          <w:sz w:val="24"/>
          <w:szCs w:val="24"/>
          <w:highlight w:val="none"/>
        </w:rPr>
        <w:t>9.4.1质疑人质疑时须提交质疑</w:t>
      </w:r>
      <w:r>
        <w:rPr>
          <w:rFonts w:ascii="仿宋_GB2312" w:hAnsi="宋体" w:eastAsia="仿宋_GB2312"/>
          <w:color w:val="auto"/>
          <w:sz w:val="24"/>
          <w:szCs w:val="24"/>
          <w:highlight w:val="none"/>
        </w:rPr>
        <w:t>函</w:t>
      </w:r>
      <w:r>
        <w:rPr>
          <w:rFonts w:hint="eastAsia" w:ascii="仿宋_GB2312" w:hAnsi="宋体" w:eastAsia="仿宋_GB2312"/>
          <w:color w:val="auto"/>
          <w:sz w:val="24"/>
          <w:szCs w:val="24"/>
          <w:highlight w:val="none"/>
        </w:rPr>
        <w:t>和必要的证明材料</w:t>
      </w:r>
      <w:r>
        <w:rPr>
          <w:rFonts w:hint="eastAsia" w:ascii="仿宋_GB2312" w:eastAsia="仿宋_GB2312"/>
          <w:color w:val="auto"/>
          <w:sz w:val="24"/>
          <w:highlight w:val="none"/>
        </w:rPr>
        <w:t>，</w:t>
      </w:r>
      <w:r>
        <w:rPr>
          <w:rFonts w:hint="eastAsia" w:ascii="仿宋_GB2312" w:hAnsi="宋体" w:eastAsia="仿宋_GB2312"/>
          <w:color w:val="auto"/>
          <w:sz w:val="24"/>
          <w:szCs w:val="24"/>
          <w:highlight w:val="none"/>
        </w:rPr>
        <w:t>供应商须在法定质疑期内一次性提出针对同一采购程序环节的质疑。</w:t>
      </w:r>
      <w:r>
        <w:rPr>
          <w:rFonts w:hint="eastAsia" w:ascii="仿宋_GB2312" w:hAnsi="宋体" w:eastAsia="仿宋_GB2312"/>
          <w:bCs/>
          <w:color w:val="auto"/>
          <w:sz w:val="24"/>
          <w:szCs w:val="24"/>
          <w:highlight w:val="none"/>
        </w:rPr>
        <w:t>质疑函至少包括下列主要内容：</w:t>
      </w:r>
    </w:p>
    <w:p>
      <w:pPr>
        <w:pStyle w:val="27"/>
        <w:numPr>
          <w:ilvl w:val="0"/>
          <w:numId w:val="4"/>
        </w:numPr>
        <w:tabs>
          <w:tab w:val="left" w:pos="1150"/>
          <w:tab w:val="left" w:pos="1350"/>
        </w:tabs>
        <w:spacing w:line="400" w:lineRule="exact"/>
        <w:rPr>
          <w:rFonts w:ascii="仿宋_GB2312" w:hAnsi="宋体" w:eastAsia="仿宋_GB2312"/>
          <w:color w:val="auto"/>
          <w:sz w:val="24"/>
          <w:szCs w:val="24"/>
          <w:highlight w:val="none"/>
        </w:rPr>
      </w:pPr>
      <w:bookmarkStart w:id="45" w:name="_Hlk93567609"/>
      <w:r>
        <w:rPr>
          <w:rFonts w:hint="eastAsia" w:ascii="仿宋_GB2312" w:hAnsi="宋体" w:eastAsia="仿宋_GB2312"/>
          <w:color w:val="auto"/>
          <w:sz w:val="24"/>
          <w:szCs w:val="24"/>
          <w:highlight w:val="none"/>
        </w:rPr>
        <w:t>供应商的姓名或名称、地址、邮编、联系人及联系电话</w:t>
      </w:r>
      <w:bookmarkEnd w:id="45"/>
      <w:r>
        <w:rPr>
          <w:rFonts w:hint="eastAsia" w:ascii="仿宋_GB2312" w:hAnsi="宋体" w:eastAsia="仿宋_GB2312"/>
          <w:color w:val="auto"/>
          <w:sz w:val="24"/>
          <w:szCs w:val="24"/>
          <w:highlight w:val="none"/>
        </w:rPr>
        <w:t>；</w:t>
      </w:r>
    </w:p>
    <w:p>
      <w:pPr>
        <w:pStyle w:val="27"/>
        <w:numPr>
          <w:ilvl w:val="0"/>
          <w:numId w:val="4"/>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质疑项目的名称、编号；</w:t>
      </w:r>
    </w:p>
    <w:p>
      <w:pPr>
        <w:pStyle w:val="27"/>
        <w:numPr>
          <w:ilvl w:val="0"/>
          <w:numId w:val="4"/>
        </w:numPr>
        <w:spacing w:line="400" w:lineRule="exact"/>
        <w:rPr>
          <w:rFonts w:ascii="仿宋_GB2312" w:hAnsi="宋体" w:eastAsia="仿宋_GB2312"/>
          <w:color w:val="auto"/>
          <w:sz w:val="24"/>
          <w:szCs w:val="24"/>
          <w:highlight w:val="none"/>
        </w:rPr>
      </w:pPr>
      <w:bookmarkStart w:id="46" w:name="_Hlk93567704"/>
      <w:r>
        <w:rPr>
          <w:rFonts w:hint="eastAsia" w:ascii="仿宋_GB2312" w:hAnsi="宋体" w:eastAsia="仿宋_GB2312"/>
          <w:color w:val="auto"/>
          <w:sz w:val="24"/>
          <w:szCs w:val="24"/>
          <w:highlight w:val="none"/>
        </w:rPr>
        <w:t>具体、明确的质疑事项和与质疑事项相关的请求；</w:t>
      </w:r>
    </w:p>
    <w:bookmarkEnd w:id="46"/>
    <w:p>
      <w:pPr>
        <w:pStyle w:val="27"/>
        <w:numPr>
          <w:ilvl w:val="0"/>
          <w:numId w:val="4"/>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事实依据；</w:t>
      </w:r>
    </w:p>
    <w:p>
      <w:pPr>
        <w:pStyle w:val="27"/>
        <w:numPr>
          <w:ilvl w:val="0"/>
          <w:numId w:val="4"/>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必要的法律依据；</w:t>
      </w:r>
    </w:p>
    <w:p>
      <w:pPr>
        <w:pStyle w:val="27"/>
        <w:numPr>
          <w:ilvl w:val="0"/>
          <w:numId w:val="4"/>
        </w:numPr>
        <w:spacing w:line="400" w:lineRule="exact"/>
        <w:ind w:left="1025" w:hanging="59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提出质疑的日期。</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供应商为自然人的，应当由本人签字；供应商为法人或者其他组织的，应当由法定代表人、主要负责人，或其授权代表签字或者盖章，并加盖公章。</w:t>
      </w:r>
    </w:p>
    <w:p>
      <w:pPr>
        <w:pStyle w:val="27"/>
        <w:spacing w:line="40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bCs/>
          <w:color w:val="auto"/>
          <w:sz w:val="24"/>
          <w:szCs w:val="24"/>
          <w:highlight w:val="none"/>
        </w:rPr>
        <w:t>代理人提出质疑和投诉，应当提交供应商签署的授权委托书。</w:t>
      </w:r>
    </w:p>
    <w:p>
      <w:pPr>
        <w:snapToGrid w:val="0"/>
        <w:spacing w:line="400" w:lineRule="exact"/>
        <w:ind w:firstLine="480" w:firstLineChars="200"/>
        <w:jc w:val="left"/>
        <w:rPr>
          <w:rFonts w:ascii="仿宋_GB2312" w:eastAsia="仿宋_GB2312" w:cs="Courier New"/>
          <w:color w:val="auto"/>
          <w:sz w:val="24"/>
          <w:highlight w:val="none"/>
        </w:rPr>
      </w:pPr>
      <w:bookmarkStart w:id="47" w:name="_Hlk101434311"/>
      <w:r>
        <w:rPr>
          <w:rFonts w:hint="eastAsia" w:ascii="仿宋_GB2312" w:eastAsia="仿宋_GB2312" w:cs="Courier New"/>
          <w:color w:val="auto"/>
          <w:sz w:val="24"/>
          <w:highlight w:val="none"/>
        </w:rPr>
        <w:t>9.5接收质疑函的方式：质疑人必须以书面形式向采购人、采购代理机构提出质疑，质疑人至我中心提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9.6联系部门：柳州市政府集中采购中心监督科。</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9.7联系电话：0772-2992103。</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9.8通讯地址：广西</w:t>
      </w:r>
      <w:r>
        <w:rPr>
          <w:rFonts w:ascii="仿宋_GB2312" w:eastAsia="仿宋_GB2312" w:cs="Courier New"/>
          <w:color w:val="auto"/>
          <w:sz w:val="24"/>
          <w:highlight w:val="none"/>
        </w:rPr>
        <w:t>柳州市三中路6</w:t>
      </w:r>
      <w:r>
        <w:rPr>
          <w:rFonts w:hint="eastAsia" w:ascii="仿宋_GB2312" w:eastAsia="仿宋_GB2312" w:cs="Courier New"/>
          <w:color w:val="auto"/>
          <w:sz w:val="24"/>
          <w:highlight w:val="none"/>
        </w:rPr>
        <w:t>4-2</w:t>
      </w:r>
      <w:r>
        <w:rPr>
          <w:rFonts w:ascii="仿宋_GB2312" w:eastAsia="仿宋_GB2312" w:cs="Courier New"/>
          <w:color w:val="auto"/>
          <w:sz w:val="24"/>
          <w:highlight w:val="none"/>
        </w:rPr>
        <w:t>号</w:t>
      </w:r>
      <w:r>
        <w:rPr>
          <w:rFonts w:hint="eastAsia" w:ascii="仿宋_GB2312" w:eastAsia="仿宋_GB2312" w:cs="Courier New"/>
          <w:color w:val="auto"/>
          <w:sz w:val="24"/>
          <w:highlight w:val="none"/>
        </w:rPr>
        <w:t>。</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9.9现场提交质疑办理业务时间：工作日8时00分到12时00分，15时00分到18时 00分，业务时间以外、双休日和法定节假日不办理业务。</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9.10投诉的书面要求</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9.10.1符合《政府采购质疑和投诉办法》（财政部第94号令）要求。</w:t>
      </w:r>
    </w:p>
    <w:p>
      <w:pPr>
        <w:pStyle w:val="27"/>
        <w:snapToGrid w:val="0"/>
        <w:spacing w:line="360" w:lineRule="exact"/>
        <w:ind w:right="-330" w:rightChars="-157"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二、招标文件</w:t>
      </w:r>
      <w:bookmarkEnd w:id="33"/>
      <w:bookmarkEnd w:id="34"/>
    </w:p>
    <w:p>
      <w:pPr>
        <w:snapToGrid w:val="0"/>
        <w:spacing w:line="360" w:lineRule="exact"/>
        <w:ind w:right="-330" w:rightChars="-157" w:firstLine="472" w:firstLineChars="196"/>
        <w:jc w:val="left"/>
        <w:rPr>
          <w:rFonts w:eastAsia="仿宋_GB2312" w:asciiTheme="minorHAnsi" w:hAnsiTheme="minorHAnsi"/>
          <w:b/>
          <w:color w:val="auto"/>
          <w:sz w:val="24"/>
          <w:highlight w:val="none"/>
          <w:lang w:val="en-GB"/>
        </w:rPr>
      </w:pPr>
      <w:r>
        <w:rPr>
          <w:rFonts w:hint="eastAsia" w:ascii="仿宋_GB2312" w:eastAsia="仿宋_GB2312" w:cs="Courier New"/>
          <w:b/>
          <w:color w:val="auto"/>
          <w:sz w:val="24"/>
          <w:highlight w:val="none"/>
        </w:rPr>
        <w:t>10.招标文件的构成</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（1）公开招标公告；</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（2）采购需求；</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（3）投标人须知；</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（4）评标方法及评标标准；</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（5）合同主要条款及验收书格式；</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（6）投标文件格式。</w:t>
      </w:r>
    </w:p>
    <w:p>
      <w:pPr>
        <w:snapToGrid w:val="0"/>
        <w:spacing w:line="400" w:lineRule="exact"/>
        <w:ind w:firstLine="472" w:firstLineChars="196"/>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11.投标人的风险</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11.1投标人没有按照招标文件要求提供全部资料，或者投标人没有对招标文件在各方面作出实质性响应是投标人的风险，并可能导致其投标被拒绝。</w:t>
      </w:r>
    </w:p>
    <w:p>
      <w:pPr>
        <w:snapToGrid w:val="0"/>
        <w:spacing w:line="400" w:lineRule="exact"/>
        <w:ind w:firstLine="472" w:firstLineChars="196"/>
        <w:jc w:val="left"/>
        <w:rPr>
          <w:rFonts w:ascii="仿宋_GB2312" w:eastAsia="仿宋_GB2312"/>
          <w:b/>
          <w:color w:val="auto"/>
          <w:sz w:val="24"/>
          <w:highlight w:val="none"/>
        </w:rPr>
      </w:pPr>
      <w:r>
        <w:rPr>
          <w:rFonts w:hint="eastAsia" w:ascii="仿宋_GB2312" w:eastAsia="仿宋_GB2312" w:cs="Courier New"/>
          <w:b/>
          <w:color w:val="auto"/>
          <w:sz w:val="24"/>
          <w:highlight w:val="none"/>
        </w:rPr>
        <w:t>12.招标文件的澄清与修改</w:t>
      </w:r>
      <w:r>
        <w:rPr>
          <w:rFonts w:hint="eastAsia" w:ascii="仿宋_GB2312" w:eastAsia="仿宋_GB2312"/>
          <w:b/>
          <w:color w:val="auto"/>
          <w:sz w:val="24"/>
          <w:highlight w:val="none"/>
        </w:rPr>
        <w:t xml:space="preserve"> </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12.1投标人应认真阅读本招标文件，发现其中有误或有不合理要求的，投标人必须以书面形式询问采购人或采购代理机构。采购代理机构对已发出的招标文件进行必要澄清、答复、修改或补充的，应当在招标文件要求提交投标文件截止时间十五日前，在财政部门指定的政府采购信息发布媒体上发布更正公告，并以书面形式通知所有获取招标文件的供应商。该澄清或者修改的内容为招标文件的组成部分。</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12.2采购人或采购代理机构以书面形式答复投标人询问的问题，除书面答复以外的其他澄清方式及澄清内容均无效。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12.3招标文件澄清、答复、修改、补充的内容为招标文件的组成部分。当招标文件与招标文件的答复、澄清、修改、补充通知就同一内容的表述不一致时，以最后发出的书面文件为准。</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12.4招标文件的澄清、答复、修改或补充都应该通过本采购代理机构以法定形式发布，采购人非通过代理机构，不得擅自澄清、答复、修改或补充招标文件。</w:t>
      </w:r>
    </w:p>
    <w:p>
      <w:pPr>
        <w:snapToGrid w:val="0"/>
        <w:spacing w:line="360" w:lineRule="exact"/>
        <w:ind w:right="-330" w:rightChars="-157"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12.5</w:t>
      </w:r>
      <w:r>
        <w:rPr>
          <w:rFonts w:hint="eastAsia" w:ascii="仿宋_GB2312" w:hAnsi="宋体" w:eastAsia="仿宋_GB2312"/>
          <w:color w:val="auto"/>
          <w:sz w:val="24"/>
          <w:highlight w:val="none"/>
        </w:rPr>
        <w:t>采购人或采购代理机构可以视采购具体情况，延长</w:t>
      </w:r>
      <w:r>
        <w:rPr>
          <w:rFonts w:hint="eastAsia" w:ascii="仿宋_GB2312" w:eastAsia="仿宋_GB2312"/>
          <w:color w:val="auto"/>
          <w:sz w:val="24"/>
          <w:highlight w:val="none"/>
        </w:rPr>
        <w:t>招标文件提供期限，并在财政部门指定的政府采购信息发布媒体上发布公告</w:t>
      </w:r>
      <w:r>
        <w:rPr>
          <w:rFonts w:hint="eastAsia" w:ascii="仿宋_GB2312" w:eastAsia="仿宋_GB2312" w:cs="Courier New"/>
          <w:color w:val="auto"/>
          <w:sz w:val="24"/>
          <w:highlight w:val="none"/>
        </w:rPr>
        <w:t>。</w:t>
      </w:r>
    </w:p>
    <w:p>
      <w:pPr>
        <w:snapToGrid w:val="0"/>
        <w:spacing w:line="360" w:lineRule="exact"/>
        <w:ind w:right="-330" w:rightChars="-157" w:firstLine="472" w:firstLineChars="196"/>
        <w:jc w:val="left"/>
        <w:rPr>
          <w:rFonts w:ascii="仿宋_GB2312" w:eastAsia="仿宋_GB2312" w:cs="Courier New"/>
          <w:b/>
          <w:color w:val="auto"/>
          <w:sz w:val="24"/>
          <w:highlight w:val="none"/>
        </w:rPr>
      </w:pPr>
      <w:bookmarkStart w:id="48" w:name="_Toc254970676"/>
      <w:bookmarkStart w:id="49" w:name="_Toc254970535"/>
      <w:r>
        <w:rPr>
          <w:rFonts w:hint="eastAsia" w:ascii="仿宋_GB2312" w:eastAsia="仿宋_GB2312" w:cs="Courier New"/>
          <w:b/>
          <w:color w:val="auto"/>
          <w:sz w:val="24"/>
          <w:highlight w:val="none"/>
        </w:rPr>
        <w:t>三、投标文件的编制</w:t>
      </w:r>
      <w:bookmarkEnd w:id="48"/>
      <w:bookmarkEnd w:id="49"/>
    </w:p>
    <w:p>
      <w:pPr>
        <w:snapToGrid w:val="0"/>
        <w:spacing w:line="360" w:lineRule="exact"/>
        <w:ind w:right="-330" w:rightChars="-157" w:firstLine="472" w:firstLineChars="196"/>
        <w:jc w:val="left"/>
        <w:rPr>
          <w:rFonts w:ascii="仿宋_GB2312" w:eastAsia="仿宋_GB2312"/>
          <w:b/>
          <w:color w:val="auto"/>
          <w:sz w:val="24"/>
          <w:highlight w:val="none"/>
        </w:rPr>
      </w:pPr>
      <w:r>
        <w:rPr>
          <w:rFonts w:hint="eastAsia" w:ascii="仿宋_GB2312" w:eastAsia="仿宋_GB2312" w:cs="Courier New"/>
          <w:b/>
          <w:color w:val="auto"/>
          <w:sz w:val="24"/>
          <w:highlight w:val="none"/>
        </w:rPr>
        <w:t>13.投标文件的组成</w:t>
      </w:r>
    </w:p>
    <w:p>
      <w:pPr>
        <w:snapToGrid w:val="0"/>
        <w:spacing w:line="400" w:lineRule="exact"/>
        <w:ind w:firstLine="482" w:firstLineChars="200"/>
        <w:jc w:val="left"/>
        <w:rPr>
          <w:rFonts w:ascii="仿宋_GB2312" w:eastAsia="仿宋_GB2312"/>
          <w:b/>
          <w:bCs/>
          <w:color w:val="auto"/>
          <w:sz w:val="24"/>
          <w:highlight w:val="none"/>
        </w:rPr>
      </w:pPr>
      <w:r>
        <w:rPr>
          <w:rFonts w:hint="eastAsia" w:ascii="仿宋_GB2312" w:eastAsia="仿宋_GB2312"/>
          <w:b/>
          <w:bCs/>
          <w:color w:val="auto"/>
          <w:sz w:val="24"/>
          <w:highlight w:val="none"/>
        </w:rPr>
        <w:t>13.1投标文件由资格文件、报价要求文件、商务技术文件三部分组成。</w:t>
      </w:r>
    </w:p>
    <w:bookmarkEnd w:id="35"/>
    <w:bookmarkEnd w:id="36"/>
    <w:p>
      <w:pPr>
        <w:snapToGrid w:val="0"/>
        <w:spacing w:line="360" w:lineRule="exact"/>
        <w:ind w:right="-330" w:rightChars="-157" w:firstLine="472" w:firstLineChars="196"/>
        <w:jc w:val="left"/>
        <w:rPr>
          <w:rFonts w:ascii="仿宋_GB2312" w:eastAsia="仿宋_GB2312" w:cs="Courier New"/>
          <w:b/>
          <w:color w:val="auto"/>
          <w:sz w:val="24"/>
          <w:highlight w:val="none"/>
        </w:rPr>
      </w:pPr>
      <w:r>
        <w:rPr>
          <w:rFonts w:hint="eastAsia" w:ascii="仿宋_GB2312" w:eastAsia="仿宋_GB2312"/>
          <w:b/>
          <w:color w:val="auto"/>
          <w:sz w:val="24"/>
          <w:highlight w:val="none"/>
        </w:rPr>
        <w:t>13.1.</w:t>
      </w:r>
      <w:r>
        <w:rPr>
          <w:rFonts w:ascii="仿宋_GB2312" w:eastAsia="仿宋_GB2312"/>
          <w:b/>
          <w:color w:val="auto"/>
          <w:sz w:val="24"/>
          <w:highlight w:val="none"/>
        </w:rPr>
        <w:t>1</w:t>
      </w:r>
      <w:r>
        <w:rPr>
          <w:rFonts w:hint="eastAsia" w:ascii="仿宋_GB2312" w:eastAsia="仿宋_GB2312" w:cs="Courier New"/>
          <w:b/>
          <w:bCs/>
          <w:color w:val="auto"/>
          <w:sz w:val="24"/>
          <w:highlight w:val="none"/>
        </w:rPr>
        <w:t>资格文件</w:t>
      </w:r>
    </w:p>
    <w:p>
      <w:pPr>
        <w:snapToGrid w:val="0"/>
        <w:spacing w:line="340" w:lineRule="exact"/>
        <w:ind w:right="-330" w:rightChars="-157" w:firstLine="472" w:firstLineChars="196"/>
        <w:jc w:val="left"/>
        <w:rPr>
          <w:rFonts w:ascii="仿宋_GB2312" w:hAnsi="宋体" w:eastAsia="仿宋_GB2312" w:cs="Courier New"/>
          <w:color w:val="auto"/>
          <w:sz w:val="24"/>
          <w:highlight w:val="none"/>
        </w:rPr>
      </w:pPr>
      <w:r>
        <w:rPr>
          <w:rFonts w:hint="eastAsia" w:ascii="仿宋_GB2312" w:hAnsi="宋体" w:eastAsia="仿宋_GB2312"/>
          <w:b/>
          <w:bCs/>
          <w:color w:val="auto"/>
          <w:sz w:val="24"/>
          <w:highlight w:val="none"/>
        </w:rPr>
        <w:t>注：以下各项必须提供并加盖投标人CA电子签章、按照第六章格式要求签字，否则其投标无效。</w:t>
      </w:r>
    </w:p>
    <w:p>
      <w:pPr>
        <w:pStyle w:val="276"/>
        <w:spacing w:before="0" w:beforeAutospacing="0" w:after="0" w:afterAutospacing="0" w:line="360" w:lineRule="atLeast"/>
        <w:rPr>
          <w:rFonts w:ascii="仿宋_GB2312" w:eastAsia="仿宋_GB2312"/>
          <w:color w:val="auto"/>
          <w:highlight w:val="none"/>
        </w:rPr>
      </w:pPr>
      <w:r>
        <w:rPr>
          <w:rFonts w:hint="eastAsia" w:ascii="仿宋_GB2312" w:eastAsia="仿宋_GB2312"/>
          <w:color w:val="auto"/>
          <w:highlight w:val="none"/>
        </w:rPr>
        <w:t>  （1）法定代表人身份证明书（</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27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（2）法定代表人授权委托书（</w:t>
      </w:r>
      <w:r>
        <w:rPr>
          <w:rFonts w:hint="eastAsia" w:ascii="仿宋_GB2312" w:eastAsia="仿宋_GB2312"/>
          <w:b/>
          <w:bCs/>
          <w:color w:val="auto"/>
          <w:highlight w:val="none"/>
        </w:rPr>
        <w:t>委托代理时必须提供</w:t>
      </w:r>
      <w:r>
        <w:rPr>
          <w:rFonts w:hint="eastAsia" w:ascii="仿宋_GB2312" w:eastAsia="仿宋_GB2312"/>
          <w:color w:val="auto"/>
          <w:highlight w:val="none"/>
        </w:rPr>
        <w:t>，格式见第六章）；</w:t>
      </w:r>
    </w:p>
    <w:p>
      <w:pPr>
        <w:pStyle w:val="27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（3）投标人资格声明函（</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27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（4）投标人有效主体资格证明（如营业执照、事业单位法人证书、执业许可证、自然人身份证等）（</w:t>
      </w:r>
      <w:r>
        <w:rPr>
          <w:rFonts w:hint="eastAsia" w:ascii="仿宋_GB2312" w:eastAsia="仿宋_GB2312"/>
          <w:b/>
          <w:bCs/>
          <w:color w:val="auto"/>
          <w:highlight w:val="none"/>
        </w:rPr>
        <w:t>必须提供</w:t>
      </w:r>
      <w:r>
        <w:rPr>
          <w:rFonts w:hint="eastAsia" w:ascii="仿宋_GB2312" w:eastAsia="仿宋_GB2312"/>
          <w:color w:val="auto"/>
          <w:highlight w:val="none"/>
        </w:rPr>
        <w:t>）；</w:t>
      </w:r>
    </w:p>
    <w:p>
      <w:pPr>
        <w:tabs>
          <w:tab w:val="left" w:pos="3870"/>
          <w:tab w:val="left" w:pos="4085"/>
        </w:tabs>
        <w:snapToGrid w:val="0"/>
        <w:spacing w:line="400" w:lineRule="exact"/>
        <w:ind w:firstLine="420" w:firstLineChars="200"/>
        <w:jc w:val="left"/>
        <w:rPr>
          <w:rFonts w:ascii="仿宋_GB2312" w:hAnsi="宋体" w:eastAsia="仿宋_GB2312"/>
          <w:b/>
          <w:bCs/>
          <w:color w:val="auto"/>
          <w:sz w:val="24"/>
          <w:highlight w:val="none"/>
        </w:rPr>
      </w:pPr>
      <w:r>
        <w:rPr>
          <w:rFonts w:hint="eastAsia" w:ascii="仿宋_GB2312" w:eastAsia="仿宋_GB2312"/>
          <w:color w:val="auto"/>
          <w:highlight w:val="none"/>
        </w:rPr>
        <w:t>  </w:t>
      </w:r>
      <w:r>
        <w:rPr>
          <w:rFonts w:hint="eastAsia" w:ascii="仿宋_GB2312" w:hAnsi="宋体" w:eastAsia="仿宋_GB2312"/>
          <w:color w:val="auto"/>
          <w:sz w:val="24"/>
          <w:highlight w:val="none"/>
        </w:rPr>
        <w:t>（5）</w:t>
      </w:r>
      <w:r>
        <w:rPr>
          <w:rFonts w:hint="eastAsia" w:ascii="仿宋_GB2312" w:hAnsi="宋体" w:eastAsia="仿宋_GB2312"/>
          <w:b/>
          <w:bCs/>
          <w:color w:val="auto"/>
          <w:sz w:val="24"/>
          <w:highlight w:val="none"/>
          <w:lang w:val="en-GB"/>
        </w:rPr>
        <w:t>本项目属于</w:t>
      </w:r>
      <w:r>
        <w:rPr>
          <w:rFonts w:hint="eastAsia" w:ascii="仿宋_GB2312" w:hAnsi="宋体" w:eastAsia="仿宋_GB2312"/>
          <w:b/>
          <w:bCs/>
          <w:color w:val="auto"/>
          <w:sz w:val="24"/>
          <w:highlight w:val="none"/>
        </w:rPr>
        <w:t>预留份额给</w:t>
      </w:r>
      <w:r>
        <w:rPr>
          <w:rFonts w:hint="eastAsia" w:ascii="仿宋_GB2312" w:hAnsi="宋体" w:eastAsia="仿宋_GB2312" w:cs="Courier New"/>
          <w:b/>
          <w:bCs/>
          <w:color w:val="auto"/>
          <w:sz w:val="24"/>
          <w:szCs w:val="21"/>
          <w:highlight w:val="none"/>
          <w:lang w:val="en-US" w:eastAsia="zh-CN"/>
        </w:rPr>
        <w:t>中小</w:t>
      </w:r>
      <w:r>
        <w:rPr>
          <w:rFonts w:hint="eastAsia" w:ascii="仿宋_GB2312" w:hAnsi="宋体" w:eastAsia="仿宋_GB2312"/>
          <w:b/>
          <w:bCs/>
          <w:color w:val="auto"/>
          <w:sz w:val="24"/>
          <w:highlight w:val="none"/>
          <w:lang w:val="en-GB"/>
        </w:rPr>
        <w:t>企业采购项目</w:t>
      </w:r>
      <w:r>
        <w:rPr>
          <w:rFonts w:hint="eastAsia" w:ascii="仿宋_GB2312" w:hAnsi="宋体" w:eastAsia="仿宋_GB2312"/>
          <w:b/>
          <w:bCs/>
          <w:color w:val="auto"/>
          <w:sz w:val="24"/>
          <w:highlight w:val="none"/>
        </w:rPr>
        <w:t>，投标人必须提供以下</w:t>
      </w:r>
      <w:r>
        <w:rPr>
          <w:rFonts w:hint="eastAsia" w:ascii="仿宋_GB2312" w:hAnsi="宋体" w:eastAsia="仿宋_GB2312" w:cs="Courier New"/>
          <w:b/>
          <w:bCs/>
          <w:color w:val="auto"/>
          <w:sz w:val="24"/>
          <w:szCs w:val="21"/>
          <w:highlight w:val="none"/>
          <w:lang w:val="en-US" w:eastAsia="zh-CN"/>
        </w:rPr>
        <w:t>中小</w:t>
      </w:r>
      <w:r>
        <w:rPr>
          <w:rFonts w:hint="eastAsia" w:ascii="仿宋_GB2312" w:hAnsi="宋体" w:eastAsia="仿宋_GB2312"/>
          <w:b/>
          <w:bCs/>
          <w:color w:val="auto"/>
          <w:sz w:val="24"/>
          <w:highlight w:val="none"/>
        </w:rPr>
        <w:t>企业证明材料之一：</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①中小企业声明函（</w:t>
      </w:r>
      <w:r>
        <w:rPr>
          <w:rFonts w:hint="eastAsia" w:ascii="仿宋_GB2312" w:hAnsi="宋体" w:eastAsia="仿宋_GB2312"/>
          <w:b/>
          <w:bCs/>
          <w:color w:val="auto"/>
          <w:sz w:val="24"/>
          <w:highlight w:val="none"/>
        </w:rPr>
        <w:t>必须提供</w:t>
      </w:r>
      <w:r>
        <w:rPr>
          <w:rFonts w:hint="eastAsia" w:ascii="仿宋_GB2312" w:hAnsi="宋体" w:eastAsia="仿宋_GB2312"/>
          <w:color w:val="auto"/>
          <w:sz w:val="24"/>
          <w:highlight w:val="none"/>
        </w:rPr>
        <w:t>，格式见第六章）；</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②残疾人福利性单位声明函（服务由残疾人福利性单位承接的必须提供，格式见第六章）；</w:t>
      </w:r>
    </w:p>
    <w:p>
      <w:pPr>
        <w:snapToGrid w:val="0"/>
        <w:spacing w:line="400" w:lineRule="exact"/>
        <w:ind w:firstLine="42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③监狱企业由省级以上监狱管理局、戒毒管理局（含新疆生产建设兵团）出具的属于监狱企业的证明文件（服务由监狱企业承接的必须提供）；</w:t>
      </w:r>
    </w:p>
    <w:p>
      <w:pPr>
        <w:pStyle w:val="276"/>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hAnsi="宋体" w:eastAsia="仿宋_GB2312"/>
          <w:color w:val="auto"/>
          <w:sz w:val="24"/>
          <w:highlight w:val="none"/>
        </w:rPr>
        <w:t>（6）分包承诺书（分包时必须提供，格式见第六章）。</w:t>
      </w:r>
    </w:p>
    <w:p>
      <w:pPr>
        <w:snapToGrid w:val="0"/>
        <w:spacing w:line="400" w:lineRule="exact"/>
        <w:ind w:firstLine="420"/>
        <w:jc w:val="left"/>
        <w:rPr>
          <w:rFonts w:ascii="仿宋_GB2312" w:eastAsia="仿宋_GB2312" w:cs="Courier New"/>
          <w:b/>
          <w:bCs/>
          <w:color w:val="auto"/>
          <w:sz w:val="24"/>
          <w:highlight w:val="none"/>
        </w:rPr>
      </w:pPr>
      <w:r>
        <w:rPr>
          <w:rFonts w:hint="eastAsia" w:ascii="仿宋_GB2312" w:eastAsia="仿宋_GB2312" w:cs="Courier New"/>
          <w:b/>
          <w:bCs/>
          <w:color w:val="auto"/>
          <w:sz w:val="24"/>
          <w:highlight w:val="none"/>
        </w:rPr>
        <w:t>13.1.2报价要求文件</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b/>
          <w:bCs/>
          <w:color w:val="auto"/>
          <w:sz w:val="24"/>
          <w:highlight w:val="none"/>
        </w:rPr>
        <w:t>注：以下各项必须提供并加盖投标人</w:t>
      </w:r>
      <w:r>
        <w:rPr>
          <w:rFonts w:hint="eastAsia" w:ascii="仿宋_GB2312" w:hAnsi="宋体" w:eastAsia="仿宋_GB2312"/>
          <w:b/>
          <w:bCs/>
          <w:color w:val="auto"/>
          <w:sz w:val="24"/>
          <w:highlight w:val="none"/>
        </w:rPr>
        <w:t>CA电子签章</w:t>
      </w:r>
      <w:r>
        <w:rPr>
          <w:rFonts w:hint="eastAsia" w:ascii="仿宋_GB2312" w:eastAsia="仿宋_GB2312" w:cs="Courier New"/>
          <w:b/>
          <w:bCs/>
          <w:color w:val="auto"/>
          <w:sz w:val="24"/>
          <w:highlight w:val="none"/>
        </w:rPr>
        <w:t>、</w:t>
      </w:r>
      <w:r>
        <w:rPr>
          <w:rFonts w:hint="eastAsia" w:ascii="仿宋_GB2312" w:eastAsia="仿宋_GB2312"/>
          <w:b/>
          <w:bCs/>
          <w:color w:val="auto"/>
          <w:sz w:val="24"/>
          <w:highlight w:val="none"/>
        </w:rPr>
        <w:t>按照第六章格式要求签字，</w:t>
      </w:r>
      <w:r>
        <w:rPr>
          <w:rFonts w:hint="eastAsia" w:ascii="仿宋_GB2312" w:eastAsia="仿宋_GB2312" w:cs="Courier New"/>
          <w:b/>
          <w:bCs/>
          <w:color w:val="auto"/>
          <w:sz w:val="24"/>
          <w:highlight w:val="none"/>
        </w:rPr>
        <w:t>否则其投标无效。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（1）开标一览表（</w:t>
      </w:r>
      <w:r>
        <w:rPr>
          <w:rFonts w:hint="eastAsia" w:ascii="仿宋_GB2312" w:eastAsia="仿宋_GB2312"/>
          <w:b/>
          <w:bCs/>
          <w:color w:val="auto"/>
          <w:sz w:val="24"/>
          <w:highlight w:val="none"/>
        </w:rPr>
        <w:t>必须提供</w:t>
      </w:r>
      <w:r>
        <w:rPr>
          <w:rFonts w:hint="eastAsia" w:ascii="仿宋_GB2312" w:eastAsia="仿宋_GB2312"/>
          <w:color w:val="auto"/>
          <w:sz w:val="24"/>
          <w:highlight w:val="none"/>
        </w:rPr>
        <w:t>，格式见第六章</w:t>
      </w:r>
      <w:r>
        <w:rPr>
          <w:rFonts w:hint="eastAsia" w:ascii="仿宋_GB2312" w:eastAsia="仿宋_GB2312" w:cs="Courier New"/>
          <w:color w:val="auto"/>
          <w:sz w:val="24"/>
          <w:highlight w:val="none"/>
        </w:rPr>
        <w:t>）；</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（2）投标报价明细表（</w:t>
      </w:r>
      <w:r>
        <w:rPr>
          <w:rFonts w:hint="eastAsia" w:ascii="仿宋_GB2312" w:eastAsia="仿宋_GB2312"/>
          <w:b/>
          <w:bCs/>
          <w:color w:val="auto"/>
          <w:sz w:val="24"/>
          <w:highlight w:val="none"/>
        </w:rPr>
        <w:t>必须提供，</w:t>
      </w:r>
      <w:r>
        <w:rPr>
          <w:rFonts w:hint="eastAsia" w:ascii="仿宋_GB2312" w:eastAsia="仿宋_GB2312"/>
          <w:color w:val="auto"/>
          <w:sz w:val="24"/>
          <w:highlight w:val="none"/>
        </w:rPr>
        <w:t>格式见第六章</w:t>
      </w:r>
      <w:r>
        <w:rPr>
          <w:rFonts w:hint="eastAsia" w:ascii="仿宋_GB2312" w:eastAsia="仿宋_GB2312" w:cs="Courier New"/>
          <w:color w:val="auto"/>
          <w:sz w:val="24"/>
          <w:highlight w:val="none"/>
        </w:rPr>
        <w:t>）。</w:t>
      </w:r>
    </w:p>
    <w:p>
      <w:pPr>
        <w:snapToGrid w:val="0"/>
        <w:spacing w:line="340" w:lineRule="exact"/>
        <w:ind w:right="-330" w:rightChars="-157" w:firstLine="441" w:firstLineChars="183"/>
        <w:jc w:val="left"/>
        <w:rPr>
          <w:rFonts w:ascii="仿宋_GB2312" w:eastAsia="仿宋_GB2312" w:cs="Courier New"/>
          <w:b/>
          <w:color w:val="auto"/>
          <w:sz w:val="24"/>
          <w:highlight w:val="none"/>
        </w:rPr>
      </w:pPr>
      <w:r>
        <w:rPr>
          <w:rFonts w:hint="eastAsia" w:ascii="仿宋_GB2312" w:eastAsia="仿宋_GB2312"/>
          <w:b/>
          <w:color w:val="auto"/>
          <w:sz w:val="24"/>
          <w:highlight w:val="none"/>
        </w:rPr>
        <w:t>13.1.3商务技术文件</w:t>
      </w:r>
    </w:p>
    <w:p>
      <w:pPr>
        <w:snapToGrid w:val="0"/>
        <w:spacing w:line="340" w:lineRule="exact"/>
        <w:ind w:right="-330" w:rightChars="-157" w:firstLine="472" w:firstLineChars="196"/>
        <w:jc w:val="left"/>
        <w:rPr>
          <w:rFonts w:ascii="仿宋_GB2312" w:hAnsi="宋体" w:eastAsia="仿宋_GB2312" w:cs="Courier New"/>
          <w:color w:val="auto"/>
          <w:sz w:val="24"/>
          <w:highlight w:val="none"/>
        </w:rPr>
      </w:pPr>
      <w:bookmarkStart w:id="50" w:name="_Hlk517112171"/>
      <w:bookmarkStart w:id="51" w:name="_Toc254970537"/>
      <w:bookmarkStart w:id="52" w:name="_Toc254970678"/>
      <w:bookmarkStart w:id="53" w:name="_Hlk517112217"/>
      <w:r>
        <w:rPr>
          <w:rFonts w:hint="eastAsia" w:ascii="仿宋_GB2312" w:hAnsi="宋体" w:eastAsia="仿宋_GB2312"/>
          <w:b/>
          <w:bCs/>
          <w:color w:val="auto"/>
          <w:sz w:val="24"/>
          <w:highlight w:val="none"/>
        </w:rPr>
        <w:t>注：以下第（1）至第（4）项必须提供并加盖投标人CA电子签章、并按照第六章格式要求签字，否则投标无效。其余各项如有请提供，同时要加盖投标人CA电子签章，否则该材料被视为无效。</w:t>
      </w:r>
    </w:p>
    <w:bookmarkEnd w:id="50"/>
    <w:p>
      <w:pPr>
        <w:pStyle w:val="296"/>
        <w:spacing w:before="0" w:beforeAutospacing="0" w:after="0" w:afterAutospacing="0" w:line="360" w:lineRule="atLeast"/>
        <w:rPr>
          <w:rFonts w:ascii="仿宋_GB2312" w:eastAsia="仿宋_GB2312"/>
          <w:color w:val="auto"/>
          <w:highlight w:val="none"/>
        </w:rPr>
      </w:pPr>
      <w:r>
        <w:rPr>
          <w:rFonts w:hint="eastAsia" w:ascii="仿宋_GB2312" w:eastAsia="仿宋_GB2312"/>
          <w:color w:val="auto"/>
          <w:highlight w:val="none"/>
        </w:rPr>
        <w:t>  （1）投标函（</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（2）项目要求及服务需求响应表（</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（3）商务响应表（</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（4）拟投入服务团队承诺函（</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（5）拟投入服务团队一览表（如有，格式见第六章）；</w:t>
      </w:r>
    </w:p>
    <w:p>
      <w:pPr>
        <w:pStyle w:val="296"/>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6</w:t>
      </w:r>
      <w:r>
        <w:rPr>
          <w:rFonts w:hint="eastAsia" w:ascii="仿宋_GB2312" w:eastAsia="仿宋_GB2312"/>
          <w:color w:val="auto"/>
          <w:highlight w:val="none"/>
          <w:lang w:eastAsia="zh-CN"/>
        </w:rPr>
        <w:t>）</w:t>
      </w:r>
      <w:r>
        <w:rPr>
          <w:rFonts w:hint="eastAsia" w:ascii="仿宋_GB2312" w:eastAsia="仿宋_GB2312"/>
          <w:color w:val="auto"/>
          <w:highlight w:val="none"/>
        </w:rPr>
        <w:t>针对本项目的理解分析和工作方案（如有，格式见第六章）；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7</w:t>
      </w:r>
      <w:r>
        <w:rPr>
          <w:rFonts w:hint="eastAsia" w:ascii="仿宋_GB2312" w:eastAsia="仿宋_GB2312"/>
          <w:color w:val="auto"/>
          <w:highlight w:val="none"/>
        </w:rPr>
        <w:t>）针对本项目的管理模式和管理机制（如有，格式见第六章）；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8</w:t>
      </w:r>
      <w:r>
        <w:rPr>
          <w:rFonts w:hint="eastAsia" w:ascii="仿宋_GB2312" w:eastAsia="仿宋_GB2312"/>
          <w:color w:val="auto"/>
          <w:highlight w:val="none"/>
        </w:rPr>
        <w:t>）物业服务方案（如有，格式见第六章）；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9</w:t>
      </w:r>
      <w:r>
        <w:rPr>
          <w:rFonts w:hint="eastAsia" w:ascii="仿宋_GB2312" w:eastAsia="仿宋_GB2312"/>
          <w:color w:val="auto"/>
          <w:highlight w:val="none"/>
        </w:rPr>
        <w:t>）应急预案和应急配合方案（如有，格式见第六章）；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0</w:t>
      </w:r>
      <w:r>
        <w:rPr>
          <w:rFonts w:hint="eastAsia" w:ascii="仿宋_GB2312" w:eastAsia="仿宋_GB2312"/>
          <w:color w:val="auto"/>
          <w:highlight w:val="none"/>
        </w:rPr>
        <w:t>）人员管理及稳定性方案（如有，格式见第六章）；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 xml:space="preserve">  （11）</w:t>
      </w:r>
      <w:r>
        <w:rPr>
          <w:rFonts w:hint="eastAsia" w:ascii="仿宋_GB2312" w:eastAsia="仿宋_GB2312"/>
          <w:color w:val="auto"/>
          <w:highlight w:val="none"/>
        </w:rPr>
        <w:t>垃圾分类实施方案（如有，格式见第六章）；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12</w:t>
      </w:r>
      <w:r>
        <w:rPr>
          <w:rFonts w:hint="eastAsia" w:ascii="仿宋_GB2312" w:eastAsia="仿宋_GB2312"/>
          <w:color w:val="auto"/>
          <w:highlight w:val="none"/>
          <w:lang w:eastAsia="zh-CN"/>
        </w:rPr>
        <w:t>）</w:t>
      </w:r>
      <w:r>
        <w:rPr>
          <w:rFonts w:hint="eastAsia" w:ascii="仿宋_GB2312" w:eastAsia="仿宋_GB2312"/>
          <w:color w:val="auto"/>
          <w:highlight w:val="none"/>
        </w:rPr>
        <w:t>信息化管理方案（如有，格式见第六章）；</w:t>
      </w:r>
    </w:p>
    <w:p>
      <w:pPr>
        <w:pStyle w:val="296"/>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13</w:t>
      </w:r>
      <w:r>
        <w:rPr>
          <w:rFonts w:hint="eastAsia" w:ascii="仿宋_GB2312" w:eastAsia="仿宋_GB2312"/>
          <w:color w:val="auto"/>
          <w:highlight w:val="none"/>
          <w:lang w:eastAsia="zh-CN"/>
        </w:rPr>
        <w:t>）</w:t>
      </w:r>
      <w:r>
        <w:rPr>
          <w:rFonts w:hint="eastAsia" w:ascii="仿宋_GB2312" w:eastAsia="仿宋_GB2312"/>
          <w:color w:val="auto"/>
          <w:highlight w:val="none"/>
        </w:rPr>
        <w:t>校园文化建设方案（如有，格式见第六章）；</w:t>
      </w:r>
    </w:p>
    <w:p>
      <w:pPr>
        <w:pStyle w:val="296"/>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eastAsia="仿宋_GB2312"/>
          <w:color w:val="auto"/>
          <w:highlight w:val="none"/>
        </w:rPr>
        <w:t>（1</w:t>
      </w:r>
      <w:r>
        <w:rPr>
          <w:rFonts w:hint="eastAsia" w:ascii="仿宋_GB2312" w:eastAsia="仿宋_GB2312"/>
          <w:color w:val="auto"/>
          <w:highlight w:val="none"/>
          <w:lang w:val="en-US" w:eastAsia="zh-CN"/>
        </w:rPr>
        <w:t>4</w:t>
      </w:r>
      <w:r>
        <w:rPr>
          <w:rFonts w:hint="eastAsia" w:ascii="仿宋_GB2312" w:eastAsia="仿宋_GB2312"/>
          <w:color w:val="auto"/>
          <w:highlight w:val="none"/>
        </w:rPr>
        <w:t>）投标人同类项目经验一览表（如有，格式见第六章）；</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5</w:t>
      </w:r>
      <w:r>
        <w:rPr>
          <w:rFonts w:hint="eastAsia" w:ascii="仿宋_GB2312" w:eastAsia="仿宋_GB2312"/>
          <w:color w:val="auto"/>
          <w:highlight w:val="none"/>
        </w:rPr>
        <w:t>）投标人具备有效的通过质量管理体系认证证书（如有）；</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6</w:t>
      </w:r>
      <w:r>
        <w:rPr>
          <w:rFonts w:hint="eastAsia" w:ascii="仿宋_GB2312" w:eastAsia="仿宋_GB2312"/>
          <w:color w:val="auto"/>
          <w:highlight w:val="none"/>
        </w:rPr>
        <w:t>）投标人具备有效的通过职业健康安全管理体系认证证书（如有）；</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7</w:t>
      </w:r>
      <w:r>
        <w:rPr>
          <w:rFonts w:hint="eastAsia" w:ascii="仿宋_GB2312" w:eastAsia="仿宋_GB2312"/>
          <w:color w:val="auto"/>
          <w:highlight w:val="none"/>
        </w:rPr>
        <w:t>）投标人具备有效的通过环境管理体系认证证书（如有）；</w:t>
      </w:r>
    </w:p>
    <w:p>
      <w:pPr>
        <w:pStyle w:val="296"/>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18</w:t>
      </w:r>
      <w:r>
        <w:rPr>
          <w:rFonts w:hint="eastAsia" w:ascii="仿宋_GB2312" w:eastAsia="仿宋_GB2312"/>
          <w:color w:val="auto"/>
          <w:highlight w:val="none"/>
          <w:lang w:eastAsia="zh-CN"/>
        </w:rPr>
        <w:t>）</w:t>
      </w:r>
      <w:r>
        <w:rPr>
          <w:rFonts w:hint="eastAsia" w:ascii="仿宋_GB2312" w:eastAsia="仿宋_GB2312"/>
          <w:color w:val="auto"/>
          <w:highlight w:val="none"/>
        </w:rPr>
        <w:t>投标人具备有效的通过生活垃圾分类能力认证证书（如有）；</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19</w:t>
      </w:r>
      <w:r>
        <w:rPr>
          <w:rFonts w:hint="eastAsia" w:ascii="仿宋_GB2312" w:eastAsia="仿宋_GB2312"/>
          <w:color w:val="auto"/>
          <w:highlight w:val="none"/>
        </w:rPr>
        <w:t>）投标人对本项目的合理化建议和改进措施（如有，格式自拟）；</w:t>
      </w:r>
    </w:p>
    <w:p>
      <w:pPr>
        <w:pStyle w:val="296"/>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20</w:t>
      </w:r>
      <w:r>
        <w:rPr>
          <w:rFonts w:hint="eastAsia" w:ascii="仿宋_GB2312" w:eastAsia="仿宋_GB2312"/>
          <w:color w:val="auto"/>
          <w:highlight w:val="none"/>
        </w:rPr>
        <w:t>）投标人认为必要提供的声明及文件资料（如有，格式自拟）。</w:t>
      </w:r>
    </w:p>
    <w:bookmarkEnd w:id="51"/>
    <w:bookmarkEnd w:id="52"/>
    <w:bookmarkEnd w:id="53"/>
    <w:p>
      <w:pPr>
        <w:snapToGrid w:val="0"/>
        <w:spacing w:line="400" w:lineRule="exact"/>
        <w:ind w:firstLine="422" w:firstLineChars="175"/>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14.投标文件的语言及计量</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14.1投标文件以及投标人与采购代理机构就有关投标事宜的所有来往函电，均应以中文汉语书写。除签字、盖章、专用名称等特殊情形外，以中文汉语以外的文字表述的投标文件视同未提供。</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14.2投标计量单位，招标文件已有明确规定的，使用招标文件规定的计量单位；招标文件没有规定的，应采用中华人民共和国法定计量单位，否则视同未响应。</w:t>
      </w:r>
    </w:p>
    <w:p>
      <w:pPr>
        <w:snapToGrid w:val="0"/>
        <w:spacing w:line="400" w:lineRule="exact"/>
        <w:ind w:firstLine="422" w:firstLineChars="175"/>
        <w:jc w:val="left"/>
        <w:rPr>
          <w:rFonts w:ascii="仿宋_GB2312" w:eastAsia="仿宋_GB2312" w:cs="Courier New"/>
          <w:b/>
          <w:color w:val="auto"/>
          <w:sz w:val="24"/>
          <w:highlight w:val="none"/>
        </w:rPr>
      </w:pPr>
      <w:bookmarkStart w:id="54" w:name="_Toc254970679"/>
      <w:bookmarkStart w:id="55" w:name="_Toc254970538"/>
      <w:r>
        <w:rPr>
          <w:rFonts w:hint="eastAsia" w:ascii="仿宋_GB2312" w:eastAsia="仿宋_GB2312" w:cs="Courier New"/>
          <w:b/>
          <w:color w:val="auto"/>
          <w:sz w:val="24"/>
          <w:highlight w:val="none"/>
        </w:rPr>
        <w:t>15.投标报价</w:t>
      </w:r>
      <w:bookmarkEnd w:id="54"/>
      <w:bookmarkEnd w:id="55"/>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15.1投标报价应按招标文件中相关附表格式填写。</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15.2投标报价是履行合同的最终价格。</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15.3投标文件只允许有一个总报价，有选择的或有条件的报价将不予接受。</w:t>
      </w:r>
    </w:p>
    <w:p>
      <w:pPr>
        <w:snapToGrid w:val="0"/>
        <w:spacing w:line="400" w:lineRule="exact"/>
        <w:ind w:firstLine="422" w:firstLineChars="175"/>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16.投标文件的有效期</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16.1 投标截止日期后不得少于90天，投标文件应保持有效。有效期不足的投标文件将被拒绝，视为投标无效。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16.2在特殊情况下，采购人可与投标人协商延长投标书的有效期，这种要求和答复均以书面形式进行。</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 xml:space="preserve">16.3投标人可拒绝接受延长有效期要求，同意延长有效期的投标人不能修改投标文件其它内容。 </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16.4投标人的投标文件在投标有效期内保持有效；如中标，投标文件至合同履行完毕止均应保持有效。</w:t>
      </w:r>
    </w:p>
    <w:p>
      <w:pPr>
        <w:spacing w:line="400" w:lineRule="exact"/>
        <w:ind w:firstLine="472" w:firstLineChars="196"/>
        <w:rPr>
          <w:rFonts w:ascii="仿宋_GB2312" w:eastAsia="仿宋_GB2312" w:cs="Courier New"/>
          <w:b/>
          <w:color w:val="auto"/>
          <w:sz w:val="24"/>
          <w:highlight w:val="none"/>
        </w:rPr>
      </w:pPr>
      <w:bookmarkStart w:id="56" w:name="_Toc254970541"/>
      <w:bookmarkStart w:id="57" w:name="_Toc254970682"/>
      <w:r>
        <w:rPr>
          <w:rFonts w:hint="eastAsia" w:ascii="仿宋_GB2312" w:eastAsia="仿宋_GB2312" w:cs="Courier New"/>
          <w:b/>
          <w:color w:val="auto"/>
          <w:sz w:val="24"/>
          <w:highlight w:val="none"/>
        </w:rPr>
        <w:t>17.投标保证金</w:t>
      </w:r>
      <w:bookmarkEnd w:id="56"/>
      <w:bookmarkEnd w:id="57"/>
    </w:p>
    <w:p>
      <w:pPr>
        <w:snapToGrid w:val="0"/>
        <w:spacing w:line="400" w:lineRule="exact"/>
        <w:ind w:firstLine="420"/>
        <w:jc w:val="left"/>
        <w:rPr>
          <w:rFonts w:ascii="仿宋_GB2312" w:eastAsia="仿宋_GB2312" w:cs="Courier New"/>
          <w:color w:val="auto"/>
          <w:sz w:val="24"/>
          <w:highlight w:val="none"/>
        </w:rPr>
      </w:pPr>
      <w:bookmarkStart w:id="58" w:name="_Toc254970542"/>
      <w:bookmarkStart w:id="59" w:name="_Toc254970683"/>
      <w:r>
        <w:rPr>
          <w:rFonts w:hint="eastAsia" w:ascii="仿宋_GB2312" w:eastAsia="仿宋_GB2312" w:cs="Courier New"/>
          <w:color w:val="auto"/>
          <w:sz w:val="24"/>
          <w:highlight w:val="none"/>
        </w:rPr>
        <w:t>17.1本项目无需提交投标保证金。</w:t>
      </w:r>
    </w:p>
    <w:p>
      <w:pPr>
        <w:snapToGrid w:val="0"/>
        <w:spacing w:line="400" w:lineRule="exact"/>
        <w:ind w:firstLine="422" w:firstLineChars="175"/>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18.电子投标文件的</w:t>
      </w:r>
      <w:bookmarkEnd w:id="58"/>
      <w:bookmarkEnd w:id="59"/>
      <w:r>
        <w:rPr>
          <w:rFonts w:hint="eastAsia" w:ascii="仿宋_GB2312" w:eastAsia="仿宋_GB2312" w:cs="Courier New"/>
          <w:b/>
          <w:color w:val="auto"/>
          <w:sz w:val="24"/>
          <w:highlight w:val="none"/>
        </w:rPr>
        <w:t>编制、加密要求</w:t>
      </w:r>
    </w:p>
    <w:p>
      <w:pPr>
        <w:spacing w:line="360" w:lineRule="auto"/>
        <w:ind w:firstLine="480" w:firstLineChars="200"/>
        <w:rPr>
          <w:rFonts w:ascii="仿宋_GB2312" w:eastAsia="仿宋_GB2312"/>
          <w:color w:val="auto"/>
          <w:sz w:val="24"/>
          <w:highlight w:val="none"/>
        </w:rPr>
      </w:pPr>
      <w:r>
        <w:rPr>
          <w:rFonts w:hint="eastAsia" w:ascii="仿宋_GB2312" w:eastAsia="仿宋_GB2312" w:cs="Courier New"/>
          <w:color w:val="auto"/>
          <w:sz w:val="24"/>
          <w:highlight w:val="none"/>
        </w:rPr>
        <w:t>18.1投标人应按本招标文件规定的格式</w:t>
      </w:r>
      <w:r>
        <w:rPr>
          <w:rFonts w:hint="eastAsia" w:ascii="仿宋_GB2312" w:eastAsia="仿宋_GB2312"/>
          <w:color w:val="auto"/>
          <w:sz w:val="24"/>
          <w:highlight w:val="none"/>
        </w:rPr>
        <w:t>、顺序和广西政府采购云平台“政府采购项目电子交易管理操作指南-供应商”的有关要求编制电子投标文件并进行关联定位，以便评标委员会在评审时，点击评审项可直接定位到该评审项内容；如电子投标文件因内容不完整、投标人</w:t>
      </w:r>
      <w:r>
        <w:rPr>
          <w:rFonts w:hint="eastAsia" w:ascii="仿宋_GB2312" w:hAnsi="宋体" w:eastAsia="仿宋_GB2312"/>
          <w:color w:val="auto"/>
          <w:sz w:val="24"/>
          <w:highlight w:val="none"/>
        </w:rPr>
        <w:t>未设置或设置关联点错误导致</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投标文件被误读、漏读或者查找不到相关内容，</w:t>
      </w:r>
      <w:r>
        <w:rPr>
          <w:rFonts w:hint="eastAsia" w:ascii="仿宋_GB2312" w:eastAsia="仿宋_GB2312"/>
          <w:color w:val="auto"/>
          <w:sz w:val="24"/>
          <w:highlight w:val="none"/>
        </w:rPr>
        <w:t>导致评标委员会在评审时做出对投标人不利的评审，所引起的后果由投标人自行承担。</w:t>
      </w:r>
    </w:p>
    <w:p>
      <w:pPr>
        <w:spacing w:line="360" w:lineRule="auto"/>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18.2公开招标文件中规定须由投标人在规定处盖章的，投标人应加盖CA电子签章，否则视为投标无效。</w:t>
      </w:r>
    </w:p>
    <w:p>
      <w:pPr>
        <w:spacing w:line="360" w:lineRule="auto"/>
        <w:ind w:firstLine="482" w:firstLineChars="200"/>
        <w:rPr>
          <w:rFonts w:ascii="仿宋_GB2312" w:eastAsia="仿宋_GB2312"/>
          <w:b/>
          <w:color w:val="auto"/>
          <w:sz w:val="24"/>
          <w:highlight w:val="none"/>
        </w:rPr>
      </w:pPr>
      <w:r>
        <w:rPr>
          <w:rFonts w:hint="eastAsia" w:ascii="仿宋_GB2312" w:eastAsia="仿宋_GB2312"/>
          <w:b/>
          <w:bCs/>
          <w:color w:val="auto"/>
          <w:sz w:val="24"/>
          <w:highlight w:val="none"/>
        </w:rPr>
        <w:t>18.3公开招标文件描述的投标人“签字”是投标人的法定代表人或授权委托代理人的电子签名或电子签章或手写签名或盖章。涉及的法定代表人或授权委托代理人签字的内容，如果投标人没有法定代表人或授权委托代理人电子签名或电子签章，投标人可以线下签字或盖章后扫描上传，</w:t>
      </w:r>
      <w:r>
        <w:rPr>
          <w:rFonts w:hint="eastAsia" w:ascii="仿宋_GB2312" w:eastAsia="仿宋_GB2312"/>
          <w:b/>
          <w:color w:val="auto"/>
          <w:sz w:val="24"/>
          <w:highlight w:val="none"/>
        </w:rPr>
        <w:t>否则视为投标无效。</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18.4电子投标文件不得涂改，若有修改错漏处，须加盖投标人CA电子签章或者法定代表人或授权委托代理人签字。电子投标文件因扫描不清晰或乱码或表达不清所引起的后果由投标人负责。</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18.5</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投标文件所提供的相关材料的尺寸和清晰度应该能够在电脑上被阅读、识别和判断。</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18.6</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投标文件内容无法阅读、识别和判断的，视为未提供。</w:t>
      </w:r>
    </w:p>
    <w:p>
      <w:pPr>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18.7</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投标文件的容量大小须符合广西政府采购云平台客户端规定。</w:t>
      </w:r>
    </w:p>
    <w:p>
      <w:pPr>
        <w:snapToGrid w:val="0"/>
        <w:spacing w:line="44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18.8电子投标文件的加密要求</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投标文件应按广西政府采购云平台客户端软件有关规定加密，否则广西政府采购云平台将拒收</w:t>
      </w:r>
      <w:r>
        <w:rPr>
          <w:rFonts w:hint="eastAsia" w:ascii="仿宋_GB2312" w:eastAsia="仿宋_GB2312" w:cs="Courier New"/>
          <w:color w:val="auto"/>
          <w:sz w:val="24"/>
          <w:highlight w:val="none"/>
        </w:rPr>
        <w:t>，由此造成的风险由投标人承担。</w:t>
      </w:r>
    </w:p>
    <w:p>
      <w:pPr>
        <w:snapToGrid w:val="0"/>
        <w:spacing w:line="400" w:lineRule="exact"/>
        <w:ind w:firstLine="422" w:firstLineChars="175"/>
        <w:jc w:val="left"/>
        <w:rPr>
          <w:rFonts w:ascii="仿宋_GB2312" w:eastAsia="仿宋_GB2312"/>
          <w:b/>
          <w:color w:val="auto"/>
          <w:sz w:val="24"/>
          <w:highlight w:val="none"/>
        </w:rPr>
      </w:pPr>
      <w:r>
        <w:rPr>
          <w:rFonts w:hint="eastAsia" w:ascii="仿宋_GB2312" w:eastAsia="仿宋_GB2312" w:cs="Courier New"/>
          <w:b/>
          <w:color w:val="auto"/>
          <w:sz w:val="24"/>
          <w:highlight w:val="none"/>
        </w:rPr>
        <w:t>19.电子投标文件的提交、修改、撤回和解密</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bookmarkStart w:id="60" w:name="_Toc254970684"/>
      <w:bookmarkStart w:id="61" w:name="_Toc254970543"/>
      <w:r>
        <w:rPr>
          <w:rFonts w:hint="eastAsia" w:ascii="仿宋_GB2312" w:hAnsi="宋体" w:eastAsia="仿宋_GB2312"/>
          <w:color w:val="auto"/>
          <w:sz w:val="24"/>
          <w:highlight w:val="none"/>
        </w:rPr>
        <w:t>19.1本项目实行“网上投标、电子评标”，投标人应于提交投标文件截止时间前在广西政府采购云平台上提交已经加密的电子投标文件。</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19.2未按规定上传的电子投标文件将被广西政府采购云平台拒收，由此造成电子投标文件解密失败或被误投的风险由投标人自行承担。</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19.3 投标人应当在提交截止时间前完成电子投标文件的提交，提交截止时间前可以补充、修改或者撤回电子投标文件。补充或者修改电子投标文件的，应当先行撤回原文件，补充、修改、加密后重新传输提交。提交截止时间前未完成传输的，视为撤回电子投标文件。提交截止时间后上传的文件，将被广西政府采购云平台拒收。</w:t>
      </w:r>
    </w:p>
    <w:p>
      <w:pPr>
        <w:tabs>
          <w:tab w:val="left" w:pos="3870"/>
          <w:tab w:val="left" w:pos="4085"/>
        </w:tabs>
        <w:snapToGrid w:val="0"/>
        <w:spacing w:line="420" w:lineRule="exact"/>
        <w:ind w:firstLine="482" w:firstLineChars="200"/>
        <w:jc w:val="left"/>
        <w:rPr>
          <w:rFonts w:ascii="仿宋_GB2312" w:hAnsi="宋体" w:eastAsia="仿宋_GB2312"/>
          <w:color w:val="auto"/>
          <w:sz w:val="24"/>
          <w:highlight w:val="none"/>
        </w:rPr>
      </w:pPr>
      <w:r>
        <w:rPr>
          <w:rFonts w:hint="eastAsia" w:ascii="仿宋_GB2312" w:hAnsi="宋体" w:eastAsia="仿宋_GB2312"/>
          <w:b/>
          <w:bCs/>
          <w:color w:val="auto"/>
          <w:sz w:val="24"/>
          <w:highlight w:val="none"/>
        </w:rPr>
        <w:t>19.4</w:t>
      </w:r>
      <w:r>
        <w:rPr>
          <w:rFonts w:hint="eastAsia" w:ascii="仿宋_GB2312" w:eastAsia="仿宋_GB2312"/>
          <w:b/>
          <w:bCs/>
          <w:color w:val="auto"/>
          <w:sz w:val="24"/>
          <w:highlight w:val="none"/>
        </w:rPr>
        <w:t>电子投标文件成功提交后，投标人可自行打印投标文件接收回执。</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19.5截标后，广西政府采购云平台电子交易平台自动提取所有投标人的电子投标文件，采购代理机构向各投标人发出解密通知，投标人须在采购代理机构开启解密标书后30分钟内对上传广西政府采购云平台的投标文件进行解密。</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非广西政府采购云平台技术原因造成的投标人超过解密时限未完成解密的，或投标文件无法解密或解密失败，视为投标人放弃投标，投标无效。</w:t>
      </w:r>
    </w:p>
    <w:p>
      <w:pPr>
        <w:snapToGrid w:val="0"/>
        <w:spacing w:line="400" w:lineRule="exact"/>
        <w:ind w:firstLine="354" w:firstLineChars="147"/>
        <w:jc w:val="left"/>
        <w:rPr>
          <w:rFonts w:ascii="仿宋_GB2312" w:eastAsia="仿宋_GB2312"/>
          <w:b/>
          <w:color w:val="auto"/>
          <w:sz w:val="24"/>
          <w:highlight w:val="none"/>
        </w:rPr>
      </w:pPr>
      <w:r>
        <w:rPr>
          <w:rFonts w:hint="eastAsia" w:ascii="仿宋_GB2312" w:eastAsia="仿宋_GB2312" w:cs="Courier New"/>
          <w:b/>
          <w:color w:val="auto"/>
          <w:sz w:val="24"/>
          <w:highlight w:val="none"/>
        </w:rPr>
        <w:t>20.投标无效的情形</w:t>
      </w:r>
      <w:bookmarkEnd w:id="60"/>
      <w:bookmarkEnd w:id="61"/>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20.1实质上没有响应招标文件要求和条件的投标将被视为无效投标。投标人不得通过修正或撤消不合要求的偏离或保留从而使其投标成为实质上响应的投标，除资格证明文件外经评标委员会认定属于28.澄清问题的形式规定情形的，应当允许其在评标结束之前通过广西政府采购云平台进行澄清或者补正，澄清或者补正投标文件必须以书面形式进行。限期内不补正或经补正后仍不符合招标文件要求的，应认定其投标无效。投标人澄清、补正投标文件后，不影响评标委员会对其投标文件所作的评价和评分结果。</w:t>
      </w:r>
    </w:p>
    <w:p>
      <w:pPr>
        <w:snapToGrid w:val="0"/>
        <w:spacing w:line="400" w:lineRule="exact"/>
        <w:ind w:firstLine="472" w:firstLineChars="196"/>
        <w:rPr>
          <w:rFonts w:ascii="仿宋_GB2312" w:eastAsia="仿宋_GB2312"/>
          <w:b/>
          <w:bCs/>
          <w:color w:val="auto"/>
          <w:sz w:val="24"/>
          <w:highlight w:val="none"/>
        </w:rPr>
      </w:pPr>
      <w:r>
        <w:rPr>
          <w:rFonts w:hint="eastAsia" w:ascii="仿宋_GB2312" w:eastAsia="仿宋_GB2312"/>
          <w:b/>
          <w:color w:val="auto"/>
          <w:sz w:val="24"/>
          <w:highlight w:val="none"/>
        </w:rPr>
        <w:t>20.1.1投标人存在下列情况之一的，投标无效：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（1）投标文件未按招标文件要求签署、盖章的；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（2）不具备招标文件中规定的资格要求的；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（3）报价超过招标文件中规定的预算金额或者最高限价的；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（4）投标文件含有采购人不能接受的附加条件的；</w:t>
      </w:r>
    </w:p>
    <w:p>
      <w:pPr>
        <w:snapToGrid w:val="0"/>
        <w:spacing w:line="400" w:lineRule="exact"/>
        <w:ind w:firstLine="420"/>
        <w:jc w:val="left"/>
        <w:rPr>
          <w:rFonts w:ascii="仿宋_GB2312" w:eastAsia="仿宋_GB2312" w:cs="Courier New"/>
          <w:b/>
          <w:bCs/>
          <w:color w:val="auto"/>
          <w:sz w:val="24"/>
          <w:highlight w:val="none"/>
        </w:rPr>
      </w:pPr>
      <w:r>
        <w:rPr>
          <w:rFonts w:hint="eastAsia" w:ascii="仿宋_GB2312" w:eastAsia="仿宋_GB2312" w:cs="Courier New"/>
          <w:b/>
          <w:bCs/>
          <w:color w:val="auto"/>
          <w:sz w:val="24"/>
          <w:highlight w:val="none"/>
        </w:rPr>
        <w:t>（5）投标人在线制作电子投标文件时填写的报价金额与解密后“电子加密投标文件”中《开标一览表》填写的金额不一致并拒绝按公开招标文件要求接受调整的；</w:t>
      </w:r>
    </w:p>
    <w:p>
      <w:pPr>
        <w:snapToGrid w:val="0"/>
        <w:spacing w:line="360" w:lineRule="exact"/>
        <w:ind w:right="-330" w:rightChars="-157"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（6）法律、法规和招标文件规定的其他无效情形。</w:t>
      </w:r>
    </w:p>
    <w:p>
      <w:pPr>
        <w:snapToGrid w:val="0"/>
        <w:spacing w:line="350" w:lineRule="exact"/>
        <w:ind w:right="-330" w:rightChars="-157"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20.1.2在资格性审查时，如发现下列情形之一的，投标文件将被视为无效：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（1）资格证明文件不全的，或者不符合招标文件标明的资格要求的；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（2）无法定代表人或其授权委托代理人签字，或未提供法定代表人授权委托书或者填写项目不齐全的；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（3）委托代理人与法定代表人授权委托书中的代理人不符的。</w:t>
      </w:r>
    </w:p>
    <w:p>
      <w:pPr>
        <w:snapToGrid w:val="0"/>
        <w:spacing w:line="340" w:lineRule="exact"/>
        <w:ind w:right="-330" w:rightChars="-157"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20.1.3在符合性评审时，如发现下列情形之一的，投标文件将被视为无效：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（1）投标有效期、服务期限、付款方式等商务条款不能满足招标文件要求的；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（2）投标人就采购需求中标记 “★”符号的实质性响应内容发生负偏离一项以上的；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（3）投标技术方案不明确，存在一个或一个以上备选（替代）投标方案的；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（4）未采用人民币报价或者未按照招标文件标明的币种报价的；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（5）报价超出最高限价，或者超出采购预算金额的；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（6）投标报价具有选择性，或者开标价格与投标文件承诺的优惠（折扣）价格不一致的；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7）评标委员会认为投标人的报价明显低于其他通过符合性审查投标人的报价，有可能影响产品质量或者不能诚信履约的，应当通过广西政府采购云平台发起询标函，要求其在评标现场合理的时间内通过广西政府采购云平台提供书面说明，必要时提交相关证明材料；投标人不能证明其报价合理性的，评标委员会应当将其作为无效投标处理。</w:t>
      </w:r>
    </w:p>
    <w:p>
      <w:pPr>
        <w:snapToGrid w:val="0"/>
        <w:spacing w:line="400" w:lineRule="exact"/>
        <w:ind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20.1.4在评审时有下列情形之一的视为投标人相互串通投标，投标文件将被视为无效：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（1）不同投标人的投标文件由同一单位或者个人编制；或不同投标人报名（获取文件）的IP地址一致的；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（2）不同投标人委托同一单位或者个人办理投标事宜；</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（3）不同的投标人的投标文件载明的项目管理成员或者联系人员为同一个人；</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（4）不同投标人的投标文件异常一致或投标报价呈规律性差异；</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（5）不同投标人的投标文件相互混装。</w:t>
      </w:r>
    </w:p>
    <w:p>
      <w:pPr>
        <w:snapToGrid w:val="0"/>
        <w:spacing w:line="400" w:lineRule="exact"/>
        <w:ind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20.1.5被拒绝的投标文件为无效。</w:t>
      </w:r>
    </w:p>
    <w:p>
      <w:pPr>
        <w:spacing w:line="46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20.2特别说明</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20.2.1广西政府采购云平台如对电子化开评标程序有调整的，按调整后的程序操作。</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20.2.2评审在严格保密的情况下进行，任何一方不得透露与评审有关的其他投标人的技术资料、价格和其他信息。</w:t>
      </w:r>
    </w:p>
    <w:p>
      <w:pPr>
        <w:spacing w:line="460" w:lineRule="exact"/>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20.3可中止电子交易活动的情形</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采购过程中出现以下情形，导致广西政府采购云平台无法正常运行，或者无法保证电子交易的公平、公正和安全时，采购代理机构可中止电子交易活动：</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20.3.1广西政府采购云平台发生故障而无法登录访问的；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20.3.2广西政府采购云平台应用或数据库出现错误，不能进行正常操作的；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20.3.3广西政府采购云平台发现严重安全漏洞，有潜在泄密危险的；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20.3.4病毒发作导致不能进行正常操作的；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20.3.5其他无法保证电子交易的公平、公正和安全的情况。</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snapToGrid w:val="0"/>
        <w:spacing w:line="400" w:lineRule="exact"/>
        <w:ind w:firstLine="472" w:firstLineChars="196"/>
        <w:rPr>
          <w:rFonts w:ascii="仿宋_GB2312" w:eastAsia="仿宋_GB2312" w:cs="Courier New"/>
          <w:b/>
          <w:color w:val="auto"/>
          <w:sz w:val="24"/>
          <w:highlight w:val="none"/>
        </w:rPr>
      </w:pPr>
      <w:r>
        <w:rPr>
          <w:rFonts w:hint="eastAsia" w:ascii="仿宋_GB2312" w:eastAsia="仿宋_GB2312" w:cs="Courier New"/>
          <w:b/>
          <w:color w:val="auto"/>
          <w:sz w:val="24"/>
          <w:highlight w:val="none"/>
        </w:rPr>
        <w:t>四、开标</w:t>
      </w:r>
    </w:p>
    <w:p>
      <w:pPr>
        <w:pStyle w:val="27"/>
        <w:snapToGrid w:val="0"/>
        <w:spacing w:line="400" w:lineRule="exact"/>
        <w:ind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21.开标准备</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21.1采购代理机构按公开招标文件规定的时间、地点通过“广西政府采购云平台”组织开标、开启解密电子投标文件，所有投标人均应当准时在线出席开标会。投标人因未在线参加开标而导致电子投标文件无法按时解密等一切后果由投标人自行承担。</w:t>
      </w:r>
    </w:p>
    <w:p>
      <w:pPr>
        <w:pStyle w:val="27"/>
        <w:snapToGrid w:val="0"/>
        <w:spacing w:line="400" w:lineRule="exact"/>
        <w:ind w:firstLine="482" w:firstLineChars="2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22.开标程序</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22.1开标会由采购代理机构主持；</w:t>
      </w:r>
    </w:p>
    <w:p>
      <w:pPr>
        <w:snapToGrid w:val="0"/>
        <w:spacing w:line="400" w:lineRule="exact"/>
        <w:ind w:firstLine="420"/>
        <w:jc w:val="left"/>
        <w:rPr>
          <w:rFonts w:ascii="仿宋_GB2312" w:hAnsi="宋体" w:eastAsia="仿宋_GB2312"/>
          <w:color w:val="auto"/>
          <w:sz w:val="24"/>
          <w:highlight w:val="none"/>
        </w:rPr>
      </w:pPr>
      <w:r>
        <w:rPr>
          <w:rFonts w:hint="eastAsia" w:ascii="仿宋_GB2312" w:eastAsia="仿宋_GB2312" w:cs="Courier New"/>
          <w:color w:val="auto"/>
          <w:sz w:val="24"/>
          <w:highlight w:val="none"/>
        </w:rPr>
        <w:t>22.2</w:t>
      </w:r>
      <w:r>
        <w:rPr>
          <w:rFonts w:hint="eastAsia" w:ascii="仿宋_GB2312" w:hAnsi="宋体" w:eastAsia="仿宋_GB2312"/>
          <w:color w:val="auto"/>
          <w:sz w:val="24"/>
          <w:highlight w:val="none"/>
        </w:rPr>
        <w:t>截标后，广西政府采购云平台电子交易平台自动提取所有投标人的电子投标文件，采购代理机构向各投标人发出解密通知，投标人须在采购代理机构开启解密标书后30分钟内对上传广西政府采购云平台的投标文件进行解密。非广西政府采购云平台技术原因造成的投标人超过解密时限未完成解密的，或投标文件无法解密或解密失败，视为投标人放弃投标，投标无效。</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22.3电子投标文件解密结束，开启报价要求文件。投标人在线制作投标文件时填写的报价金额与解密后“电子加密投标文件”中《开标一览表》填写的金额不一致的，以解密后“电子加密投标文件”中《开标一览表》填写的金额为准，投标人拒绝接受此调整的，按无效投标处理。</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22.4公开报价；</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22.5报价确认：采购代理机构开启签字时段，投标人应及时通过CA证书对报价记录表进行确认。未在规定时间内确认的，视同认可开标结果；</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22.6开标会结束。</w:t>
      </w:r>
    </w:p>
    <w:p>
      <w:pPr>
        <w:snapToGrid w:val="0"/>
        <w:spacing w:line="370" w:lineRule="exact"/>
        <w:ind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五、资格性审查</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23.采购人应当依法对投标人的资格进行审查。</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24.合格投标人不足三家的，不得评标。</w:t>
      </w:r>
    </w:p>
    <w:p>
      <w:pPr>
        <w:pStyle w:val="27"/>
        <w:snapToGrid w:val="0"/>
        <w:spacing w:line="370" w:lineRule="exact"/>
        <w:ind w:firstLine="472" w:firstLineChars="196"/>
        <w:rPr>
          <w:rFonts w:ascii="仿宋_GB2312" w:hAnsi="宋体" w:eastAsia="仿宋_GB2312"/>
          <w:b/>
          <w:color w:val="auto"/>
          <w:sz w:val="24"/>
          <w:szCs w:val="24"/>
          <w:highlight w:val="none"/>
        </w:rPr>
      </w:pPr>
      <w:bookmarkStart w:id="62" w:name="_Toc254970686"/>
      <w:bookmarkStart w:id="63" w:name="_Toc254970545"/>
      <w:r>
        <w:rPr>
          <w:rFonts w:hint="eastAsia" w:ascii="仿宋_GB2312" w:hAnsi="宋体" w:eastAsia="仿宋_GB2312"/>
          <w:b/>
          <w:color w:val="auto"/>
          <w:sz w:val="24"/>
          <w:szCs w:val="24"/>
          <w:highlight w:val="none"/>
        </w:rPr>
        <w:t>六、评标</w:t>
      </w:r>
      <w:bookmarkEnd w:id="62"/>
      <w:bookmarkEnd w:id="63"/>
    </w:p>
    <w:p>
      <w:pPr>
        <w:pStyle w:val="27"/>
        <w:snapToGrid w:val="0"/>
        <w:spacing w:line="370" w:lineRule="exact"/>
        <w:ind w:left="720" w:leftChars="228" w:hanging="241" w:hangingChars="1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25.组建评标委员会</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25.1本项目评标委员会由采购人代表和评审专家组成。</w:t>
      </w:r>
    </w:p>
    <w:p>
      <w:pPr>
        <w:pStyle w:val="27"/>
        <w:snapToGrid w:val="0"/>
        <w:spacing w:line="370" w:lineRule="exact"/>
        <w:ind w:left="720" w:leftChars="228" w:hanging="241" w:hangingChars="1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26.评标的方式</w:t>
      </w:r>
    </w:p>
    <w:p>
      <w:pPr>
        <w:snapToGrid w:val="0"/>
        <w:spacing w:line="370" w:lineRule="exact"/>
        <w:ind w:firstLine="420"/>
        <w:jc w:val="left"/>
        <w:rPr>
          <w:rFonts w:ascii="仿宋_GB2312" w:eastAsia="仿宋_GB2312"/>
          <w:color w:val="auto"/>
          <w:sz w:val="24"/>
          <w:highlight w:val="none"/>
        </w:rPr>
      </w:pPr>
      <w:r>
        <w:rPr>
          <w:rFonts w:hint="eastAsia" w:ascii="仿宋_GB2312" w:eastAsia="仿宋_GB2312" w:cs="Courier New"/>
          <w:color w:val="auto"/>
          <w:sz w:val="24"/>
          <w:highlight w:val="none"/>
        </w:rPr>
        <w:t>26.1本项目采用不公开方式评标，评标的依据为招标文件和投标文件。</w:t>
      </w:r>
    </w:p>
    <w:p>
      <w:pPr>
        <w:pStyle w:val="27"/>
        <w:snapToGrid w:val="0"/>
        <w:spacing w:line="370" w:lineRule="exact"/>
        <w:ind w:left="720" w:leftChars="228" w:hanging="241" w:hangingChars="1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27.</w:t>
      </w:r>
      <w:r>
        <w:rPr>
          <w:rFonts w:hint="eastAsia" w:ascii="仿宋_GB2312" w:hAnsi="宋体" w:eastAsia="仿宋_GB2312"/>
          <w:b/>
          <w:bCs/>
          <w:color w:val="auto"/>
          <w:sz w:val="24"/>
          <w:szCs w:val="24"/>
          <w:highlight w:val="none"/>
        </w:rPr>
        <w:t>评标程序</w:t>
      </w:r>
    </w:p>
    <w:p>
      <w:pPr>
        <w:snapToGrid w:val="0"/>
        <w:spacing w:line="370" w:lineRule="exact"/>
        <w:ind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27.1符合性审查</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（1）评标委员会审查、评价投标文件是否符合招标文件的商务、技术等实质性要求。</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（2）评标委员会将根据投标人的投标文件进行审查、核对，如有疑问，评标委员会将通过广西政府采购云平台，以询标函的方式要求投标人在线对相关问题进行澄清或者说明。</w:t>
      </w:r>
    </w:p>
    <w:p>
      <w:pPr>
        <w:snapToGrid w:val="0"/>
        <w:spacing w:line="370" w:lineRule="exact"/>
        <w:ind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27.2投标文件的比较和评价</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（1）各投标人的技术得分为所有评委的有效评分的算术平均数。</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（2）评标委员会完成评标后，评委对各部分得分汇总，计算出本项目最终得分等。评标委员会按评标标准推荐中标候选人同时起草评标报告。</w:t>
      </w:r>
    </w:p>
    <w:p>
      <w:pPr>
        <w:snapToGrid w:val="0"/>
        <w:spacing w:line="37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28.澄清问题的形式</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28.1对于投标文件中含义不明确、同类问题表述不一致或者有明显文字和计算错误的内容，评标委员会应当通过广西政府采购云平台发起电子询标函，以书面形式要求投标人在规定的时间内作出必要的澄清、说明或者补正。</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28.2投标人应当在规定时间内通过广西政府采购云平台进行澄清、说明或者补正，并加盖投标人CA电子签章。投标人的澄清、说明或者补正不得超出投标文件的范围或者改变投标文件的实质性内容。</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28.3投标人超过规定时间或者拒绝澄清或者澄清的内容改变了投标文件的实质性内容的，评标委员会有权视该投标文件无效。</w:t>
      </w:r>
    </w:p>
    <w:p>
      <w:pPr>
        <w:snapToGrid w:val="0"/>
        <w:spacing w:line="37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29.错误修正</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29.1投标文件报价出现前后不一致的，除招标文件另有规定外，按照下列规定修正：</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（1）投标文件中开标一览表（报价表）内容与投标文件中相应内容不一致的，以开标一览表（报价表）为准；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（2）大写金额和小写金额不一致的，以大写金额为准；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（3）单价金额小数点或者百分比有明显错位的，以开标一览表的总价为准，并修改单价；</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（4）总价金额与按单价汇总金额不一致的，以单价金额计算结果为准。</w:t>
      </w:r>
    </w:p>
    <w:p>
      <w:pPr>
        <w:snapToGrid w:val="0"/>
        <w:spacing w:line="370" w:lineRule="exact"/>
        <w:ind w:firstLine="420"/>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同时出现两种以上不一致的，按照前款规定的顺序修正。评标委员会通过广西政府采购云平台发起询标函，投标人在规定时间内通过广西政府采购云平台确认，投标人的确认应当加盖投标人CA电子签章。修正后的报价按照87号令第五十一条第二款的规定经投标人确认后产生约束力，投标人不确认的，其投标无效。</w:t>
      </w:r>
    </w:p>
    <w:p>
      <w:pPr>
        <w:pStyle w:val="27"/>
        <w:tabs>
          <w:tab w:val="left" w:pos="630"/>
        </w:tabs>
        <w:snapToGrid w:val="0"/>
        <w:spacing w:line="370" w:lineRule="exact"/>
        <w:ind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30.评标原则和评标方法</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30.2本项目评标方法是综合评分法，具体评标内容及评标标准等详见第四章：评标方法及评标标准。</w:t>
      </w:r>
    </w:p>
    <w:p>
      <w:pPr>
        <w:pStyle w:val="27"/>
        <w:snapToGrid w:val="0"/>
        <w:spacing w:line="370" w:lineRule="exact"/>
        <w:ind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31.评标过程的监控</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31.1本项目评标过程实行全程录音、录像监控（或政府采购监督管理部门工作人员进行现场监督），投标人在评标过程中所进行的试图影响评标结果的不公正活动，可能导致其投标被拒绝。</w:t>
      </w:r>
    </w:p>
    <w:p>
      <w:pPr>
        <w:pStyle w:val="27"/>
        <w:snapToGrid w:val="0"/>
        <w:spacing w:line="370" w:lineRule="exact"/>
        <w:ind w:firstLine="482" w:firstLineChars="200"/>
        <w:rPr>
          <w:rFonts w:ascii="仿宋_GB2312" w:hAnsi="宋体" w:eastAsia="仿宋_GB2312"/>
          <w:color w:val="auto"/>
          <w:sz w:val="24"/>
          <w:szCs w:val="24"/>
          <w:highlight w:val="none"/>
        </w:rPr>
      </w:pPr>
      <w:r>
        <w:rPr>
          <w:rFonts w:hint="eastAsia" w:ascii="仿宋_GB2312" w:hAnsi="宋体" w:eastAsia="仿宋_GB2312"/>
          <w:b/>
          <w:color w:val="auto"/>
          <w:sz w:val="24"/>
          <w:szCs w:val="24"/>
          <w:highlight w:val="none"/>
        </w:rPr>
        <w:t>七、评标结果</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32.采购人或者采购代理机构核对评标结果。</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33.采购人或者采购代理机构在公告中标结果的同时，对未通过资格审查的投标人，应当告知其未通过的原因；采用综合评分法评审的，还应当告知未中标人本人的评审得分与排序。</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34.采购人或者采购代理机构在评标结束后2个工作日内将评标报告送采购人，采购人在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35.采购人或采购代理机构应当自中标人确定之日起2个工作日内，在中国政府采购网、广西壮族自治区政府采购网、柳州市政府采购网发布中标公告。在发布中标公告的同时，向中标人发出中标通知书。</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36.在中标通知书发出前，采购人或采购代理机构应当对中标人信用进行查询，并按照信用信息使用规则处理。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37.投标人对中标公告有异议的，应当在中标公告</w:t>
      </w:r>
      <w:r>
        <w:rPr>
          <w:rFonts w:hint="eastAsia" w:ascii="仿宋_GB2312" w:hAnsi="宋体" w:eastAsia="仿宋_GB2312"/>
          <w:bCs/>
          <w:color w:val="auto"/>
          <w:sz w:val="24"/>
          <w:highlight w:val="none"/>
        </w:rPr>
        <w:t>期限届满</w:t>
      </w:r>
      <w:r>
        <w:rPr>
          <w:rFonts w:hint="eastAsia" w:ascii="仿宋_GB2312" w:eastAsia="仿宋_GB2312" w:cs="Courier New"/>
          <w:color w:val="auto"/>
          <w:sz w:val="24"/>
          <w:highlight w:val="none"/>
        </w:rPr>
        <w:t>之日起七个工作日内，以书面形式向采购人或采购代理机构提出质疑，并及时索要书面回执。</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38.采购人或采购代理机构（采购代理机构应当按照有关规定就采购人委托授权范围内的事项）在收到投标人的书面质疑后七个工作日内作出答复，但答复的内容不得涉及商业秘密。</w:t>
      </w:r>
    </w:p>
    <w:p>
      <w:pPr>
        <w:pStyle w:val="27"/>
        <w:snapToGrid w:val="0"/>
        <w:spacing w:line="370" w:lineRule="exact"/>
        <w:ind w:firstLine="472" w:firstLineChars="196"/>
        <w:rPr>
          <w:rFonts w:ascii="仿宋_GB2312" w:hAnsi="宋体" w:eastAsia="仿宋_GB2312"/>
          <w:b/>
          <w:color w:val="auto"/>
          <w:sz w:val="24"/>
          <w:szCs w:val="24"/>
          <w:highlight w:val="none"/>
        </w:rPr>
      </w:pPr>
      <w:bookmarkStart w:id="64" w:name="_Toc254970688"/>
      <w:bookmarkStart w:id="65" w:name="_Toc254970547"/>
      <w:r>
        <w:rPr>
          <w:rFonts w:hint="eastAsia" w:ascii="仿宋_GB2312" w:hAnsi="宋体" w:eastAsia="仿宋_GB2312"/>
          <w:b/>
          <w:color w:val="auto"/>
          <w:sz w:val="24"/>
          <w:szCs w:val="24"/>
          <w:highlight w:val="none"/>
        </w:rPr>
        <w:t>八、</w:t>
      </w:r>
      <w:bookmarkEnd w:id="64"/>
      <w:bookmarkEnd w:id="65"/>
      <w:r>
        <w:rPr>
          <w:rFonts w:hint="eastAsia" w:ascii="仿宋_GB2312" w:hAnsi="宋体" w:eastAsia="仿宋_GB2312"/>
          <w:b/>
          <w:color w:val="auto"/>
          <w:sz w:val="24"/>
          <w:szCs w:val="24"/>
          <w:highlight w:val="none"/>
        </w:rPr>
        <w:t>签订合同</w:t>
      </w:r>
    </w:p>
    <w:p>
      <w:pPr>
        <w:pStyle w:val="27"/>
        <w:snapToGrid w:val="0"/>
        <w:spacing w:line="370" w:lineRule="exact"/>
        <w:ind w:firstLine="472" w:firstLineChars="196"/>
        <w:rPr>
          <w:rFonts w:ascii="仿宋_GB2312" w:hAnsi="宋体" w:eastAsia="仿宋_GB2312"/>
          <w:b/>
          <w:bCs/>
          <w:color w:val="auto"/>
          <w:sz w:val="24"/>
          <w:szCs w:val="24"/>
          <w:highlight w:val="none"/>
        </w:rPr>
      </w:pPr>
      <w:r>
        <w:rPr>
          <w:rFonts w:hint="eastAsia" w:ascii="仿宋_GB2312" w:hAnsi="宋体" w:eastAsia="仿宋_GB2312"/>
          <w:b/>
          <w:color w:val="auto"/>
          <w:sz w:val="24"/>
          <w:szCs w:val="24"/>
          <w:highlight w:val="none"/>
        </w:rPr>
        <w:t>39.合同授予标准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39.1合同将授予被确定实质上响应招标文件要求，具备履行合同能力，综合评分排名第一的投标人。</w:t>
      </w:r>
    </w:p>
    <w:p>
      <w:pPr>
        <w:snapToGrid w:val="0"/>
        <w:spacing w:line="370" w:lineRule="exact"/>
        <w:ind w:firstLine="420"/>
        <w:jc w:val="left"/>
        <w:rPr>
          <w:rFonts w:ascii="仿宋_GB2312" w:eastAsia="仿宋_GB2312" w:cs="Courier New"/>
          <w:b/>
          <w:bCs/>
          <w:color w:val="auto"/>
          <w:sz w:val="24"/>
          <w:highlight w:val="none"/>
        </w:rPr>
      </w:pPr>
      <w:r>
        <w:rPr>
          <w:rFonts w:hint="eastAsia" w:ascii="仿宋_GB2312" w:eastAsia="仿宋_GB2312" w:cs="Courier New"/>
          <w:b/>
          <w:bCs/>
          <w:color w:val="auto"/>
          <w:sz w:val="24"/>
          <w:highlight w:val="none"/>
        </w:rPr>
        <w:t>40.签订合同</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40.1中标人接到中标通知书后，应按有关规定与采购人签订合同。</w:t>
      </w:r>
    </w:p>
    <w:p>
      <w:pPr>
        <w:snapToGrid w:val="0"/>
        <w:spacing w:line="360" w:lineRule="exact"/>
        <w:ind w:right="-470" w:rightChars="-224" w:firstLine="420"/>
        <w:jc w:val="left"/>
        <w:rPr>
          <w:rFonts w:ascii="仿宋_GB2312" w:eastAsia="仿宋_GB2312" w:cs="Courier New"/>
          <w:color w:val="auto"/>
          <w:sz w:val="24"/>
          <w:highlight w:val="none"/>
        </w:rPr>
        <w:sectPr>
          <w:pgSz w:w="11906" w:h="16838"/>
          <w:pgMar w:top="1440" w:right="1440" w:bottom="1440" w:left="1440" w:header="851" w:footer="992" w:gutter="0"/>
          <w:cols w:space="720" w:num="1"/>
          <w:docGrid w:linePitch="312" w:charSpace="0"/>
        </w:sectPr>
      </w:pPr>
      <w:r>
        <w:rPr>
          <w:rFonts w:hint="eastAsia" w:ascii="仿宋_GB2312" w:eastAsia="仿宋_GB2312" w:cs="Courier New"/>
          <w:color w:val="auto"/>
          <w:sz w:val="24"/>
          <w:highlight w:val="none"/>
        </w:rPr>
        <w:t>40.2中标人因不可抗力或者自身原因不能履行采购合同的，采购人或采购代理机构应将该情况报政府采购监督管理部门，从合格的中标候选人中另行确定中标人或重新开展政府采购活动</w:t>
      </w:r>
      <w:bookmarkEnd w:id="47"/>
      <w:r>
        <w:rPr>
          <w:rFonts w:hint="eastAsia" w:ascii="仿宋_GB2312" w:eastAsia="仿宋_GB2312" w:cs="Courier New"/>
          <w:color w:val="auto"/>
          <w:sz w:val="24"/>
          <w:highlight w:val="none"/>
        </w:rPr>
        <w:t>。</w:t>
      </w:r>
      <w:bookmarkStart w:id="66" w:name="_Toc254970689"/>
      <w:bookmarkStart w:id="67" w:name="_Toc254970548"/>
      <w:bookmarkStart w:id="68" w:name="_Toc49757845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jc w:val="center"/>
        <w:rPr>
          <w:color w:val="auto"/>
          <w:sz w:val="30"/>
          <w:szCs w:val="30"/>
          <w:highlight w:val="none"/>
        </w:rPr>
      </w:pPr>
      <w:bookmarkStart w:id="69" w:name="_Toc27328"/>
      <w:r>
        <w:rPr>
          <w:rFonts w:hint="eastAsia"/>
          <w:color w:val="auto"/>
          <w:sz w:val="30"/>
          <w:szCs w:val="30"/>
          <w:highlight w:val="none"/>
        </w:rPr>
        <w:t xml:space="preserve">第四章 </w:t>
      </w:r>
      <w:bookmarkEnd w:id="66"/>
      <w:bookmarkEnd w:id="67"/>
      <w:r>
        <w:rPr>
          <w:rFonts w:hint="eastAsia"/>
          <w:color w:val="auto"/>
          <w:sz w:val="30"/>
          <w:szCs w:val="30"/>
          <w:highlight w:val="none"/>
        </w:rPr>
        <w:t>评标方法及评标标准</w:t>
      </w:r>
      <w:bookmarkEnd w:id="68"/>
      <w:r>
        <w:rPr>
          <w:color w:val="auto"/>
          <w:highlight w:val="none"/>
        </w:rPr>
        <w:tab/>
      </w:r>
    </w:p>
    <w:p>
      <w:pPr>
        <w:tabs>
          <w:tab w:val="left" w:pos="3055"/>
        </w:tabs>
        <w:jc w:val="center"/>
        <w:rPr>
          <w:b/>
          <w:color w:val="auto"/>
          <w:sz w:val="30"/>
          <w:szCs w:val="30"/>
          <w:highlight w:val="none"/>
        </w:rPr>
      </w:pPr>
      <w:r>
        <w:rPr>
          <w:color w:val="auto"/>
          <w:highlight w:val="none"/>
        </w:rPr>
        <w:br w:type="page"/>
      </w:r>
      <w:r>
        <w:rPr>
          <w:rFonts w:hint="eastAsia" w:ascii="宋体" w:hAnsi="宋体" w:cs="Courier New"/>
          <w:b/>
          <w:bCs/>
          <w:color w:val="auto"/>
          <w:sz w:val="32"/>
          <w:szCs w:val="32"/>
          <w:highlight w:val="none"/>
        </w:rPr>
        <w:t>评标方法及评标标准</w:t>
      </w:r>
    </w:p>
    <w:p>
      <w:pPr>
        <w:spacing w:line="390" w:lineRule="exact"/>
        <w:ind w:right="-168" w:rightChars="-80"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一、评标原则</w:t>
      </w:r>
    </w:p>
    <w:p>
      <w:pPr>
        <w:spacing w:line="390" w:lineRule="exact"/>
        <w:ind w:right="-168" w:rightChars="-80"/>
        <w:rPr>
          <w:rFonts w:ascii="仿宋_GB2312" w:eastAsia="仿宋_GB2312"/>
          <w:color w:val="auto"/>
          <w:sz w:val="24"/>
          <w:highlight w:val="none"/>
        </w:rPr>
      </w:pPr>
      <w:r>
        <w:rPr>
          <w:rFonts w:hint="eastAsia" w:ascii="仿宋_GB2312" w:eastAsia="仿宋_GB2312"/>
          <w:color w:val="auto"/>
          <w:sz w:val="24"/>
          <w:highlight w:val="none"/>
        </w:rPr>
        <w:t xml:space="preserve">    （一）评委构成：本招标采购项目的评委分别由依法组成的评审专家、采购人代表共</w:t>
      </w:r>
      <w:r>
        <w:rPr>
          <w:rFonts w:hint="eastAsia" w:ascii="仿宋_GB2312" w:eastAsia="仿宋_GB2312"/>
          <w:color w:val="auto"/>
          <w:sz w:val="24"/>
          <w:highlight w:val="none"/>
          <w:lang w:eastAsia="zh-CN"/>
        </w:rPr>
        <w:t>七</w:t>
      </w:r>
      <w:r>
        <w:rPr>
          <w:rFonts w:hint="eastAsia" w:ascii="仿宋_GB2312" w:eastAsia="仿宋_GB2312"/>
          <w:color w:val="auto"/>
          <w:sz w:val="24"/>
          <w:highlight w:val="none"/>
        </w:rPr>
        <w:t>人或以上单数构成，其中专家人数不少于评标委员会成员总数的三分之二。</w:t>
      </w:r>
    </w:p>
    <w:p>
      <w:pPr>
        <w:spacing w:line="390" w:lineRule="exact"/>
        <w:ind w:right="-168" w:rightChars="-80" w:firstLine="435"/>
        <w:rPr>
          <w:rFonts w:ascii="仿宋_GB2312" w:eastAsia="仿宋_GB2312"/>
          <w:b/>
          <w:color w:val="auto"/>
          <w:sz w:val="24"/>
          <w:highlight w:val="none"/>
        </w:rPr>
      </w:pPr>
      <w:r>
        <w:rPr>
          <w:rFonts w:hint="eastAsia" w:ascii="仿宋_GB2312" w:eastAsia="仿宋_GB2312"/>
          <w:b/>
          <w:color w:val="auto"/>
          <w:sz w:val="24"/>
          <w:highlight w:val="none"/>
        </w:rPr>
        <w:t>（二）评标依据：评委将以招投标文件为评标依据，对投标人的价格、服务方案、信誉、业绩等方面按百分制打分。</w:t>
      </w:r>
    </w:p>
    <w:p>
      <w:pPr>
        <w:spacing w:line="390" w:lineRule="exact"/>
        <w:ind w:right="-168" w:rightChars="-80" w:firstLine="435"/>
        <w:rPr>
          <w:rFonts w:ascii="仿宋_GB2312" w:eastAsia="仿宋_GB2312"/>
          <w:color w:val="auto"/>
          <w:sz w:val="24"/>
          <w:highlight w:val="none"/>
        </w:rPr>
      </w:pPr>
      <w:r>
        <w:rPr>
          <w:rFonts w:hint="eastAsia" w:ascii="仿宋_GB2312" w:eastAsia="仿宋_GB2312"/>
          <w:color w:val="auto"/>
          <w:sz w:val="24"/>
          <w:highlight w:val="none"/>
        </w:rPr>
        <w:t>（三）评标方式：以封闭方式进行。</w:t>
      </w:r>
    </w:p>
    <w:p>
      <w:pPr>
        <w:spacing w:line="390" w:lineRule="exact"/>
        <w:ind w:right="-168" w:rightChars="-80" w:firstLine="435"/>
        <w:rPr>
          <w:rFonts w:ascii="仿宋_GB2312" w:eastAsia="仿宋_GB2312"/>
          <w:color w:val="auto"/>
          <w:sz w:val="24"/>
          <w:highlight w:val="none"/>
        </w:rPr>
      </w:pPr>
      <w:r>
        <w:rPr>
          <w:rFonts w:hint="eastAsia" w:ascii="仿宋_GB2312" w:eastAsia="仿宋_GB2312"/>
          <w:color w:val="auto"/>
          <w:sz w:val="24"/>
          <w:highlight w:val="none"/>
        </w:rPr>
        <w:t>（四）评标委员会认为投标人的报价明显低于其他通过符合性审查投标人的报价，有可能影响产品质量或者不能诚信履约的，</w:t>
      </w:r>
      <w:r>
        <w:rPr>
          <w:rFonts w:hint="eastAsia" w:ascii="仿宋_GB2312" w:eastAsia="仿宋_GB2312" w:cs="Courier New"/>
          <w:color w:val="auto"/>
          <w:sz w:val="24"/>
          <w:highlight w:val="none"/>
        </w:rPr>
        <w:t>应当通过广西政府采购云平台发起询标函，要求其在评标现场合理的时间内通过广西政府采购云平台提供书面说明</w:t>
      </w:r>
      <w:r>
        <w:rPr>
          <w:rFonts w:hint="eastAsia" w:ascii="仿宋_GB2312" w:eastAsia="仿宋_GB2312"/>
          <w:color w:val="auto"/>
          <w:sz w:val="24"/>
          <w:highlight w:val="none"/>
        </w:rPr>
        <w:t xml:space="preserve">，必要时提交相关证明材料；投标人不能证明其报价合理性的，评标委员会应当将其作为无效投标处理。     </w:t>
      </w:r>
    </w:p>
    <w:p>
      <w:pPr>
        <w:spacing w:line="390" w:lineRule="exact"/>
        <w:ind w:right="-168" w:rightChars="-80" w:firstLine="435"/>
        <w:rPr>
          <w:rFonts w:ascii="仿宋_GB2312" w:eastAsia="仿宋_GB2312"/>
          <w:b/>
          <w:bCs/>
          <w:color w:val="auto"/>
          <w:sz w:val="24"/>
          <w:highlight w:val="none"/>
        </w:rPr>
      </w:pPr>
      <w:r>
        <w:rPr>
          <w:rFonts w:hint="eastAsia" w:ascii="仿宋_GB2312" w:eastAsia="仿宋_GB2312"/>
          <w:b/>
          <w:bCs/>
          <w:color w:val="auto"/>
          <w:sz w:val="24"/>
          <w:highlight w:val="none"/>
        </w:rPr>
        <w:t>二、评标方法</w:t>
      </w:r>
      <w:r>
        <w:rPr>
          <w:rFonts w:ascii="仿宋_GB2312" w:eastAsia="仿宋_GB2312"/>
          <w:b/>
          <w:bCs/>
          <w:color w:val="auto"/>
          <w:sz w:val="24"/>
          <w:highlight w:val="none"/>
        </w:rPr>
        <w:tab/>
      </w:r>
    </w:p>
    <w:p>
      <w:pPr>
        <w:spacing w:line="390" w:lineRule="exact"/>
        <w:ind w:right="-168" w:rightChars="-80" w:firstLine="435"/>
        <w:rPr>
          <w:rFonts w:ascii="仿宋_GB2312" w:eastAsia="仿宋_GB2312"/>
          <w:color w:val="auto"/>
          <w:sz w:val="24"/>
          <w:highlight w:val="none"/>
        </w:rPr>
      </w:pPr>
      <w:r>
        <w:rPr>
          <w:rFonts w:hint="eastAsia" w:ascii="仿宋_GB2312" w:eastAsia="仿宋_GB2312"/>
          <w:color w:val="auto"/>
          <w:sz w:val="24"/>
          <w:highlight w:val="none"/>
        </w:rPr>
        <w:t>（一）对进入详评的，采用百分制综合评分法。</w:t>
      </w:r>
    </w:p>
    <w:p>
      <w:pPr>
        <w:spacing w:line="400" w:lineRule="atLeast"/>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（二）计分办法（分值计算保留小数点后两位，第三位四舍五入）</w:t>
      </w:r>
      <w:r>
        <w:rPr>
          <w:rFonts w:hint="eastAsia" w:ascii="仿宋_GB2312" w:hAnsi="宋体" w:eastAsia="仿宋_GB2312"/>
          <w:color w:val="auto"/>
          <w:sz w:val="24"/>
          <w:highlight w:val="none"/>
        </w:rPr>
        <w:t>：</w:t>
      </w:r>
    </w:p>
    <w:tbl>
      <w:tblPr>
        <w:tblStyle w:val="48"/>
        <w:tblW w:w="4803" w:type="pct"/>
        <w:tblInd w:w="0" w:type="dxa"/>
        <w:tblLayout w:type="autofit"/>
        <w:tblCellMar>
          <w:top w:w="15" w:type="dxa"/>
          <w:left w:w="15" w:type="dxa"/>
          <w:bottom w:w="15" w:type="dxa"/>
          <w:right w:w="15" w:type="dxa"/>
        </w:tblCellMar>
      </w:tblPr>
      <w:tblGrid>
        <w:gridCol w:w="789"/>
        <w:gridCol w:w="1020"/>
        <w:gridCol w:w="6461"/>
        <w:gridCol w:w="603"/>
        <w:gridCol w:w="1347"/>
      </w:tblGrid>
      <w:tr>
        <w:tblPrEx>
          <w:tblCellMar>
            <w:top w:w="15" w:type="dxa"/>
            <w:left w:w="15" w:type="dxa"/>
            <w:bottom w:w="15" w:type="dxa"/>
            <w:right w:w="15" w:type="dxa"/>
          </w:tblCellMar>
        </w:tblPrEx>
        <w:trPr>
          <w:trHeight w:val="682" w:hRule="atLeast"/>
        </w:trPr>
        <w:tc>
          <w:tcPr>
            <w:tcW w:w="0" w:type="auto"/>
            <w:gridSpan w:val="5"/>
            <w:tcBorders>
              <w:top w:val="single" w:color="333333" w:sz="6" w:space="0"/>
              <w:left w:val="single" w:color="333333" w:sz="6" w:space="0"/>
              <w:bottom w:val="single" w:color="333333" w:sz="6" w:space="0"/>
              <w:right w:val="single" w:color="333333" w:sz="6" w:space="0"/>
            </w:tcBorders>
            <w:shd w:val="clear" w:color="auto" w:fill="E6E6E6"/>
            <w:noWrap/>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32"/>
                <w:szCs w:val="32"/>
                <w:highlight w:val="none"/>
              </w:rPr>
            </w:pPr>
            <w:r>
              <w:rPr>
                <w:rFonts w:hint="eastAsia" w:ascii="仿宋_GB2312" w:hAnsi="Times New Roman" w:eastAsia="仿宋_GB2312" w:cs="Times New Roman"/>
                <w:b/>
                <w:bCs/>
                <w:color w:val="auto"/>
                <w:sz w:val="32"/>
                <w:szCs w:val="32"/>
                <w:highlight w:val="none"/>
              </w:rPr>
              <w:t>客观分</w:t>
            </w:r>
          </w:p>
        </w:tc>
      </w:tr>
      <w:tr>
        <w:tblPrEx>
          <w:tblCellMar>
            <w:top w:w="15" w:type="dxa"/>
            <w:left w:w="15" w:type="dxa"/>
            <w:bottom w:w="15" w:type="dxa"/>
            <w:right w:w="15" w:type="dxa"/>
          </w:tblCellMar>
        </w:tblPrEx>
        <w:trPr>
          <w:trHeight w:val="813" w:hRule="atLeast"/>
        </w:trPr>
        <w:tc>
          <w:tcPr>
            <w:tcW w:w="38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评分项</w:t>
            </w: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评审因素</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评分标准说明</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分值</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对应的响应文件格式</w:t>
            </w:r>
          </w:p>
        </w:tc>
      </w:tr>
      <w:tr>
        <w:tblPrEx>
          <w:tblCellMar>
            <w:top w:w="15" w:type="dxa"/>
            <w:left w:w="15" w:type="dxa"/>
            <w:bottom w:w="15" w:type="dxa"/>
            <w:right w:w="15" w:type="dxa"/>
          </w:tblCellMar>
        </w:tblPrEx>
        <w:trPr>
          <w:trHeight w:val="1923" w:hRule="atLeast"/>
        </w:trPr>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价格分</w:t>
            </w: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价格</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 xml:space="preserve"> 1.满足招标文件要求且投标价格最低的投标报价为评标基准价，其投标人的报价分为最高分</w:t>
            </w:r>
            <w:r>
              <w:rPr>
                <w:rFonts w:hint="eastAsia" w:ascii="仿宋_GB2312" w:eastAsia="仿宋_GB2312" w:cs="Times New Roman"/>
                <w:color w:val="auto"/>
                <w:sz w:val="21"/>
                <w:szCs w:val="24"/>
                <w:highlight w:val="none"/>
                <w:lang w:val="en-US" w:eastAsia="zh-CN"/>
              </w:rPr>
              <w:t>20</w:t>
            </w:r>
            <w:r>
              <w:rPr>
                <w:rFonts w:hint="eastAsia" w:ascii="仿宋_GB2312" w:hAnsi="Times New Roman" w:eastAsia="仿宋_GB2312" w:cs="Times New Roman"/>
                <w:color w:val="auto"/>
                <w:sz w:val="21"/>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2.其他投标人的报价得分按以下公式计算：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报价得分=（评标基准价／某投标人投标报价）×</w:t>
            </w:r>
            <w:r>
              <w:rPr>
                <w:rFonts w:hint="eastAsia" w:ascii="仿宋_GB2312" w:eastAsia="仿宋_GB2312" w:cs="Times New Roman"/>
                <w:color w:val="auto"/>
                <w:sz w:val="21"/>
                <w:szCs w:val="24"/>
                <w:highlight w:val="none"/>
                <w:lang w:val="en-US" w:eastAsia="zh-CN"/>
              </w:rPr>
              <w:t>20</w:t>
            </w:r>
            <w:r>
              <w:rPr>
                <w:rFonts w:hint="eastAsia" w:ascii="仿宋_GB2312" w:hAnsi="Times New Roman" w:eastAsia="仿宋_GB2312" w:cs="Times New Roman"/>
                <w:color w:val="auto"/>
                <w:sz w:val="21"/>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注：预留份额给</w:t>
            </w:r>
            <w:r>
              <w:rPr>
                <w:rFonts w:hint="eastAsia" w:ascii="仿宋_GB2312" w:hAnsi="Times New Roman" w:eastAsia="仿宋_GB2312" w:cs="Times New Roman"/>
                <w:b/>
                <w:bCs/>
                <w:color w:val="auto"/>
                <w:sz w:val="21"/>
                <w:szCs w:val="24"/>
                <w:highlight w:val="none"/>
                <w:lang w:val="en-US" w:eastAsia="zh-CN"/>
              </w:rPr>
              <w:t>中小</w:t>
            </w:r>
            <w:r>
              <w:rPr>
                <w:rFonts w:hint="eastAsia" w:ascii="仿宋_GB2312" w:hAnsi="Times New Roman" w:eastAsia="仿宋_GB2312" w:cs="Times New Roman"/>
                <w:b/>
                <w:bCs/>
                <w:color w:val="auto"/>
                <w:sz w:val="21"/>
                <w:szCs w:val="24"/>
                <w:highlight w:val="none"/>
              </w:rPr>
              <w:t>企业的采购项目，不再执行价格评审优惠的扶持政策</w:t>
            </w:r>
            <w:r>
              <w:rPr>
                <w:rFonts w:hint="eastAsia" w:ascii="仿宋_GB2312" w:hAnsi="Times New Roman" w:eastAsia="仿宋_GB2312" w:cs="Times New Roman"/>
                <w:color w:val="auto"/>
                <w:sz w:val="21"/>
                <w:szCs w:val="24"/>
                <w:highlight w:val="none"/>
              </w:rPr>
              <w:t xml:space="preserve">。 </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default" w:ascii="仿宋_GB2312" w:hAnsi="Times New Roman" w:eastAsia="宋体" w:cs="Times New Roman"/>
                <w:b/>
                <w:bCs/>
                <w:color w:val="auto"/>
                <w:sz w:val="21"/>
                <w:szCs w:val="24"/>
                <w:highlight w:val="none"/>
                <w:lang w:val="en-US" w:eastAsia="zh-CN"/>
              </w:rPr>
            </w:pPr>
            <w:r>
              <w:rPr>
                <w:rFonts w:hint="eastAsia" w:ascii="仿宋_GB2312" w:eastAsia="仿宋_GB2312" w:cs="Times New Roman"/>
                <w:b/>
                <w:bCs/>
                <w:color w:val="auto"/>
                <w:sz w:val="21"/>
                <w:szCs w:val="24"/>
                <w:highlight w:val="none"/>
                <w:lang w:val="en-US" w:eastAsia="zh-CN"/>
              </w:rPr>
              <w:t>20</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p>
        </w:tc>
      </w:tr>
      <w:tr>
        <w:tblPrEx>
          <w:tblCellMar>
            <w:top w:w="15" w:type="dxa"/>
            <w:left w:w="15" w:type="dxa"/>
            <w:bottom w:w="15" w:type="dxa"/>
            <w:right w:w="15" w:type="dxa"/>
          </w:tblCellMar>
        </w:tblPrEx>
        <w:trPr>
          <w:trHeight w:val="1368" w:hRule="atLeast"/>
        </w:trPr>
        <w:tc>
          <w:tcPr>
            <w:tcW w:w="0" w:type="auto"/>
            <w:vMerge w:val="restart"/>
            <w:tcBorders>
              <w:top w:val="single" w:color="333333" w:sz="6" w:space="0"/>
              <w:left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 xml:space="preserve">人员配置方案 </w:t>
            </w: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中心主任（项目经理</w:t>
            </w:r>
            <w:r>
              <w:rPr>
                <w:rFonts w:hint="eastAsia" w:ascii="仿宋_GB2312" w:hAnsi="Times New Roman" w:eastAsia="仿宋_GB2312" w:cs="Times New Roman"/>
                <w:b/>
                <w:bCs/>
                <w:color w:val="auto"/>
                <w:sz w:val="21"/>
                <w:szCs w:val="24"/>
                <w:highlight w:val="none"/>
                <w:lang w:val="en-US" w:eastAsia="zh-CN"/>
              </w:rPr>
              <w:t xml:space="preserve"> 1人</w:t>
            </w:r>
            <w:r>
              <w:rPr>
                <w:rFonts w:hint="eastAsia" w:ascii="仿宋_GB2312" w:hAnsi="Times New Roman" w:eastAsia="仿宋_GB2312" w:cs="Times New Roman"/>
                <w:b/>
                <w:bCs/>
                <w:color w:val="auto"/>
                <w:sz w:val="21"/>
                <w:szCs w:val="24"/>
                <w:highlight w:val="none"/>
              </w:rPr>
              <w:t>）</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val="en-US" w:eastAsia="zh-CN"/>
              </w:rPr>
              <w:t>1.具有</w:t>
            </w:r>
            <w:r>
              <w:rPr>
                <w:rFonts w:hint="eastAsia" w:ascii="仿宋_GB2312" w:eastAsia="仿宋_GB2312" w:cs="Times New Roman"/>
                <w:color w:val="auto"/>
                <w:sz w:val="21"/>
                <w:szCs w:val="24"/>
                <w:highlight w:val="none"/>
                <w:lang w:val="en-US" w:eastAsia="zh-CN"/>
              </w:rPr>
              <w:t>全日制本科以上</w:t>
            </w:r>
            <w:r>
              <w:rPr>
                <w:rFonts w:hint="eastAsia" w:ascii="仿宋_GB2312" w:hAnsi="Times New Roman" w:eastAsia="仿宋_GB2312" w:cs="Times New Roman"/>
                <w:color w:val="auto"/>
                <w:sz w:val="21"/>
                <w:szCs w:val="24"/>
                <w:highlight w:val="none"/>
                <w:lang w:val="en-US" w:eastAsia="zh-CN"/>
              </w:rPr>
              <w:t>学历得1分</w:t>
            </w:r>
            <w:r>
              <w:rPr>
                <w:rFonts w:hint="eastAsia" w:ascii="仿宋_GB2312" w:eastAsia="仿宋_GB2312" w:cs="Times New Roman"/>
                <w:color w:val="auto"/>
                <w:sz w:val="21"/>
                <w:szCs w:val="24"/>
                <w:highlight w:val="none"/>
                <w:lang w:val="en-US" w:eastAsia="zh-CN"/>
              </w:rPr>
              <w:t>，满分1分</w:t>
            </w:r>
            <w:r>
              <w:rPr>
                <w:rFonts w:hint="eastAsia" w:ascii="仿宋_GB2312" w:hAnsi="Times New Roman" w:eastAsia="仿宋_GB2312" w:cs="Times New Roman"/>
                <w:color w:val="auto"/>
                <w:sz w:val="21"/>
                <w:szCs w:val="24"/>
                <w:highlight w:val="none"/>
                <w:lang w:val="en-US" w:eastAsia="zh-CN"/>
              </w:rPr>
              <w:t>；</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rPr>
              <w:t>2.具有中级以上职称证书得</w:t>
            </w:r>
            <w:r>
              <w:rPr>
                <w:rFonts w:hint="eastAsia" w:ascii="仿宋_GB2312" w:hAnsi="Times New Roman" w:eastAsia="仿宋_GB2312" w:cs="Times New Roman"/>
                <w:color w:val="auto"/>
                <w:sz w:val="21"/>
                <w:szCs w:val="24"/>
                <w:highlight w:val="none"/>
                <w:lang w:val="en-US" w:eastAsia="zh-CN"/>
              </w:rPr>
              <w:t>1</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val="en-US" w:eastAsia="zh-CN"/>
              </w:rPr>
              <w:t>，满分1分</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3.具有</w:t>
            </w:r>
            <w:r>
              <w:rPr>
                <w:rFonts w:hint="eastAsia" w:ascii="仿宋_GB2312" w:eastAsia="仿宋_GB2312" w:cs="Times New Roman"/>
                <w:color w:val="auto"/>
                <w:sz w:val="21"/>
                <w:szCs w:val="24"/>
                <w:highlight w:val="none"/>
                <w:lang w:eastAsia="zh-CN"/>
              </w:rPr>
              <w:t>学校物业</w:t>
            </w:r>
            <w:r>
              <w:rPr>
                <w:rFonts w:hint="eastAsia" w:ascii="仿宋_GB2312" w:hAnsi="Times New Roman" w:eastAsia="仿宋_GB2312" w:cs="Times New Roman"/>
                <w:color w:val="auto"/>
                <w:sz w:val="21"/>
                <w:szCs w:val="24"/>
                <w:highlight w:val="none"/>
              </w:rPr>
              <w:t>项目经理工作经验，</w:t>
            </w:r>
            <w:r>
              <w:rPr>
                <w:rFonts w:hint="eastAsia" w:ascii="仿宋_GB2312" w:eastAsia="仿宋_GB2312" w:cs="Times New Roman"/>
                <w:color w:val="auto"/>
                <w:sz w:val="21"/>
                <w:szCs w:val="24"/>
                <w:highlight w:val="none"/>
                <w:lang w:eastAsia="zh-CN"/>
              </w:rPr>
              <w:t>累计</w:t>
            </w:r>
            <w:r>
              <w:rPr>
                <w:rFonts w:hint="eastAsia" w:ascii="仿宋_GB2312" w:hAnsi="Times New Roman" w:eastAsia="仿宋_GB2312" w:cs="Times New Roman"/>
                <w:color w:val="auto"/>
                <w:sz w:val="21"/>
                <w:szCs w:val="24"/>
                <w:highlight w:val="none"/>
                <w:lang w:val="en-US" w:eastAsia="zh-CN"/>
              </w:rPr>
              <w:t>6</w:t>
            </w:r>
            <w:r>
              <w:rPr>
                <w:rFonts w:hint="eastAsia" w:ascii="仿宋_GB2312" w:hAnsi="Times New Roman" w:eastAsia="仿宋_GB2312" w:cs="Times New Roman"/>
                <w:color w:val="auto"/>
                <w:sz w:val="21"/>
                <w:szCs w:val="24"/>
                <w:highlight w:val="none"/>
              </w:rPr>
              <w:t>（含）-10（不含）年得</w:t>
            </w:r>
            <w:r>
              <w:rPr>
                <w:rFonts w:hint="eastAsia" w:ascii="仿宋_GB2312" w:eastAsia="仿宋_GB2312" w:cs="Times New Roman"/>
                <w:color w:val="auto"/>
                <w:sz w:val="21"/>
                <w:szCs w:val="24"/>
                <w:highlight w:val="none"/>
                <w:lang w:val="en-US" w:eastAsia="zh-CN"/>
              </w:rPr>
              <w:t>0.5</w:t>
            </w:r>
            <w:r>
              <w:rPr>
                <w:rFonts w:hint="eastAsia" w:ascii="仿宋_GB2312" w:hAnsi="Times New Roman" w:eastAsia="仿宋_GB2312" w:cs="Times New Roman"/>
                <w:color w:val="auto"/>
                <w:sz w:val="21"/>
                <w:szCs w:val="24"/>
                <w:highlight w:val="none"/>
              </w:rPr>
              <w:t>分，10年以上得</w:t>
            </w:r>
            <w:r>
              <w:rPr>
                <w:rFonts w:hint="eastAsia" w:ascii="仿宋_GB2312" w:eastAsia="仿宋_GB2312" w:cs="Times New Roman"/>
                <w:color w:val="auto"/>
                <w:sz w:val="21"/>
                <w:szCs w:val="24"/>
                <w:highlight w:val="none"/>
                <w:lang w:val="en-US" w:eastAsia="zh-CN"/>
              </w:rPr>
              <w:t>1</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val="en-US" w:eastAsia="zh-CN"/>
              </w:rPr>
              <w:t>，满分1分</w:t>
            </w:r>
            <w:r>
              <w:rPr>
                <w:rFonts w:hint="eastAsia" w:ascii="仿宋_GB2312" w:hAnsi="Times New Roman" w:eastAsia="仿宋_GB2312" w:cs="Times New Roman"/>
                <w:color w:val="auto"/>
                <w:sz w:val="21"/>
                <w:szCs w:val="24"/>
                <w:highlight w:val="none"/>
              </w:rPr>
              <w:t xml:space="preserve">。 </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3</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506" w:hRule="atLeast"/>
        </w:trPr>
        <w:tc>
          <w:tcPr>
            <w:tcW w:w="0" w:type="auto"/>
            <w:vMerge w:val="continue"/>
            <w:tcBorders>
              <w:left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中心主任助理（项目经理助理</w:t>
            </w:r>
            <w:r>
              <w:rPr>
                <w:rFonts w:hint="eastAsia" w:ascii="仿宋_GB2312" w:hAnsi="Times New Roman" w:eastAsia="仿宋_GB2312" w:cs="Times New Roman"/>
                <w:b/>
                <w:bCs/>
                <w:color w:val="auto"/>
                <w:sz w:val="21"/>
                <w:szCs w:val="24"/>
                <w:highlight w:val="none"/>
                <w:lang w:val="en-US" w:eastAsia="zh-CN"/>
              </w:rPr>
              <w:t xml:space="preserve"> 2人</w:t>
            </w:r>
            <w:r>
              <w:rPr>
                <w:rFonts w:hint="eastAsia" w:ascii="仿宋_GB2312" w:hAnsi="Times New Roman" w:eastAsia="仿宋_GB2312" w:cs="Times New Roman"/>
                <w:b/>
                <w:bCs/>
                <w:color w:val="auto"/>
                <w:sz w:val="21"/>
                <w:szCs w:val="24"/>
                <w:highlight w:val="none"/>
              </w:rPr>
              <w:t>）</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rPr>
              <w:t>1.</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具有全日制本科以上学历得0.5分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仿宋_GB2312" w:hAnsi="Times New Roman" w:eastAsia="仿宋_GB2312" w:cs="Times New Roman"/>
                <w:color w:val="auto"/>
                <w:sz w:val="21"/>
                <w:szCs w:val="24"/>
                <w:highlight w:val="none"/>
              </w:rPr>
            </w:pPr>
            <w:r>
              <w:rPr>
                <w:rFonts w:hint="eastAsia" w:ascii="仿宋_GB2312" w:eastAsia="仿宋_GB2312" w:cs="Times New Roman"/>
                <w:color w:val="auto"/>
                <w:sz w:val="21"/>
                <w:szCs w:val="24"/>
                <w:highlight w:val="none"/>
                <w:lang w:val="en-US" w:eastAsia="zh-CN"/>
              </w:rPr>
              <w:t>2</w:t>
            </w:r>
            <w:r>
              <w:rPr>
                <w:rFonts w:hint="eastAsia" w:ascii="仿宋_GB2312" w:hAnsi="Times New Roman" w:eastAsia="仿宋_GB2312" w:cs="Times New Roman"/>
                <w:color w:val="auto"/>
                <w:sz w:val="21"/>
                <w:szCs w:val="24"/>
                <w:highlight w:val="none"/>
              </w:rPr>
              <w:t>.</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w:t>
            </w:r>
            <w:r>
              <w:rPr>
                <w:rFonts w:hint="eastAsia" w:ascii="仿宋_GB2312" w:eastAsia="仿宋_GB2312" w:cs="Times New Roman"/>
                <w:color w:val="auto"/>
                <w:sz w:val="21"/>
                <w:szCs w:val="24"/>
                <w:highlight w:val="none"/>
                <w:lang w:eastAsia="zh-CN"/>
              </w:rPr>
              <w:t>累计</w:t>
            </w:r>
            <w:r>
              <w:rPr>
                <w:rFonts w:hint="eastAsia" w:ascii="仿宋_GB2312" w:hAnsi="Times New Roman" w:eastAsia="仿宋_GB2312" w:cs="Times New Roman"/>
                <w:color w:val="auto"/>
                <w:sz w:val="21"/>
                <w:szCs w:val="24"/>
                <w:highlight w:val="none"/>
              </w:rPr>
              <w:t>6年以上</w:t>
            </w:r>
            <w:r>
              <w:rPr>
                <w:rFonts w:hint="eastAsia" w:ascii="仿宋_GB2312" w:eastAsia="仿宋_GB2312" w:cs="Times New Roman"/>
                <w:color w:val="auto"/>
                <w:sz w:val="21"/>
                <w:szCs w:val="24"/>
                <w:highlight w:val="none"/>
                <w:lang w:eastAsia="zh-CN"/>
              </w:rPr>
              <w:t>学校物业项目经理</w:t>
            </w:r>
            <w:r>
              <w:rPr>
                <w:rFonts w:hint="eastAsia" w:ascii="仿宋_GB2312" w:eastAsia="仿宋_GB2312" w:cs="Times New Roman"/>
                <w:color w:val="auto"/>
                <w:sz w:val="21"/>
                <w:szCs w:val="24"/>
                <w:highlight w:val="none"/>
                <w:lang w:val="en-US" w:eastAsia="zh-CN"/>
              </w:rPr>
              <w:t>或经理</w:t>
            </w:r>
            <w:r>
              <w:rPr>
                <w:rFonts w:hint="eastAsia" w:ascii="仿宋_GB2312" w:eastAsia="仿宋_GB2312" w:cs="Times New Roman"/>
                <w:color w:val="auto"/>
                <w:sz w:val="21"/>
                <w:szCs w:val="24"/>
                <w:highlight w:val="none"/>
                <w:lang w:eastAsia="zh-CN"/>
              </w:rPr>
              <w:t>助理</w:t>
            </w:r>
            <w:r>
              <w:rPr>
                <w:rFonts w:hint="eastAsia" w:ascii="仿宋_GB2312" w:hAnsi="Times New Roman" w:eastAsia="仿宋_GB2312" w:cs="Times New Roman"/>
                <w:color w:val="auto"/>
                <w:sz w:val="21"/>
                <w:szCs w:val="24"/>
                <w:highlight w:val="none"/>
              </w:rPr>
              <w:t>工作经验得</w:t>
            </w:r>
            <w:r>
              <w:rPr>
                <w:rFonts w:hint="eastAsia" w:ascii="仿宋_GB2312" w:hAnsi="Times New Roman" w:eastAsia="仿宋_GB2312" w:cs="Times New Roman"/>
                <w:color w:val="auto"/>
                <w:sz w:val="21"/>
                <w:szCs w:val="24"/>
                <w:highlight w:val="none"/>
                <w:lang w:val="en-US" w:eastAsia="zh-CN"/>
              </w:rPr>
              <w:t>0.5</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2</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425" w:hRule="atLeast"/>
        </w:trPr>
        <w:tc>
          <w:tcPr>
            <w:tcW w:w="0" w:type="auto"/>
            <w:vMerge w:val="continue"/>
            <w:tcBorders>
              <w:left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工程主管</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val="en-US" w:eastAsia="zh-CN"/>
              </w:rPr>
              <w:t>1.</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具有本科</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全日制或</w:t>
            </w:r>
            <w:r>
              <w:rPr>
                <w:rFonts w:hint="eastAsia" w:ascii="仿宋_GB2312" w:eastAsia="仿宋_GB2312" w:cs="Times New Roman"/>
                <w:color w:val="auto"/>
                <w:sz w:val="21"/>
                <w:szCs w:val="24"/>
                <w:highlight w:val="none"/>
                <w:lang w:eastAsia="zh-CN"/>
              </w:rPr>
              <w:t>非</w:t>
            </w:r>
            <w:r>
              <w:rPr>
                <w:rFonts w:hint="eastAsia" w:ascii="仿宋_GB2312" w:hAnsi="Times New Roman" w:eastAsia="仿宋_GB2312" w:cs="Times New Roman"/>
                <w:color w:val="auto"/>
                <w:sz w:val="21"/>
                <w:szCs w:val="24"/>
                <w:highlight w:val="none"/>
              </w:rPr>
              <w:t>全日制</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以上学历得0.5分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ascii="仿宋_GB2312" w:hAnsi="Times New Roman" w:eastAsia="仿宋_GB2312" w:cs="Times New Roman"/>
                <w:color w:val="auto"/>
                <w:sz w:val="21"/>
                <w:szCs w:val="24"/>
                <w:highlight w:val="none"/>
              </w:rPr>
            </w:pPr>
            <w:r>
              <w:rPr>
                <w:rFonts w:hint="eastAsia" w:ascii="仿宋_GB2312" w:eastAsia="仿宋_GB2312" w:cs="Times New Roman"/>
                <w:color w:val="auto"/>
                <w:sz w:val="21"/>
                <w:szCs w:val="24"/>
                <w:highlight w:val="none"/>
                <w:lang w:val="en-US" w:eastAsia="zh-CN"/>
              </w:rPr>
              <w:t>2</w:t>
            </w:r>
            <w:r>
              <w:rPr>
                <w:rFonts w:hint="eastAsia" w:ascii="仿宋_GB2312" w:hAnsi="Times New Roman" w:eastAsia="仿宋_GB2312" w:cs="Times New Roman"/>
                <w:color w:val="auto"/>
                <w:sz w:val="21"/>
                <w:szCs w:val="24"/>
                <w:highlight w:val="none"/>
              </w:rPr>
              <w:t>.</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w:t>
            </w:r>
            <w:r>
              <w:rPr>
                <w:rFonts w:hint="eastAsia" w:ascii="仿宋_GB2312" w:eastAsia="仿宋_GB2312" w:cs="Times New Roman"/>
                <w:color w:val="auto"/>
                <w:sz w:val="21"/>
                <w:szCs w:val="24"/>
                <w:highlight w:val="none"/>
                <w:lang w:eastAsia="zh-CN"/>
              </w:rPr>
              <w:t>累计</w:t>
            </w:r>
            <w:r>
              <w:rPr>
                <w:rFonts w:hint="eastAsia" w:ascii="仿宋_GB2312" w:hAnsi="Times New Roman" w:eastAsia="仿宋_GB2312" w:cs="Times New Roman"/>
                <w:color w:val="auto"/>
                <w:sz w:val="21"/>
                <w:szCs w:val="24"/>
                <w:highlight w:val="none"/>
              </w:rPr>
              <w:t>5年以上</w:t>
            </w:r>
            <w:r>
              <w:rPr>
                <w:rFonts w:hint="eastAsia" w:ascii="仿宋_GB2312" w:eastAsia="仿宋_GB2312" w:cs="Times New Roman"/>
                <w:color w:val="auto"/>
                <w:sz w:val="21"/>
                <w:szCs w:val="24"/>
                <w:highlight w:val="none"/>
                <w:lang w:eastAsia="zh-CN"/>
              </w:rPr>
              <w:t>物业</w:t>
            </w:r>
            <w:r>
              <w:rPr>
                <w:rFonts w:hint="eastAsia" w:ascii="仿宋_GB2312" w:hAnsi="Times New Roman" w:eastAsia="仿宋_GB2312" w:cs="Times New Roman"/>
                <w:color w:val="auto"/>
                <w:sz w:val="21"/>
                <w:szCs w:val="24"/>
                <w:highlight w:val="none"/>
                <w:lang w:eastAsia="zh-CN"/>
              </w:rPr>
              <w:t>工程主管工作经验</w:t>
            </w:r>
            <w:r>
              <w:rPr>
                <w:rFonts w:hint="eastAsia" w:ascii="仿宋_GB2312" w:hAnsi="Times New Roman" w:eastAsia="仿宋_GB2312" w:cs="Times New Roman"/>
                <w:color w:val="auto"/>
                <w:sz w:val="21"/>
                <w:szCs w:val="24"/>
                <w:highlight w:val="none"/>
              </w:rPr>
              <w:t>得</w:t>
            </w:r>
            <w:r>
              <w:rPr>
                <w:rFonts w:hint="eastAsia" w:ascii="仿宋_GB2312" w:hAnsi="Times New Roman" w:eastAsia="仿宋_GB2312" w:cs="Times New Roman"/>
                <w:color w:val="auto"/>
                <w:sz w:val="21"/>
                <w:szCs w:val="24"/>
                <w:highlight w:val="none"/>
                <w:lang w:val="en-US" w:eastAsia="zh-CN"/>
              </w:rPr>
              <w:t>0.5</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2</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645" w:hRule="atLeast"/>
        </w:trPr>
        <w:tc>
          <w:tcPr>
            <w:tcW w:w="0" w:type="auto"/>
            <w:vMerge w:val="continue"/>
            <w:tcBorders>
              <w:left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秩序维护主管</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lang w:val="en-US" w:eastAsia="zh-CN"/>
              </w:rPr>
              <w:t>2人</w:t>
            </w:r>
            <w:r>
              <w:rPr>
                <w:rFonts w:hint="eastAsia" w:ascii="仿宋_GB2312" w:hAnsi="Times New Roman" w:eastAsia="仿宋_GB2312" w:cs="Times New Roman"/>
                <w:b/>
                <w:bCs/>
                <w:color w:val="auto"/>
                <w:sz w:val="21"/>
                <w:szCs w:val="24"/>
                <w:highlight w:val="none"/>
                <w:lang w:eastAsia="zh-CN"/>
              </w:rPr>
              <w:t>）</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val="en-US" w:eastAsia="zh-CN"/>
              </w:rPr>
              <w:t>1.</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具有本科</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全日制或</w:t>
            </w:r>
            <w:r>
              <w:rPr>
                <w:rFonts w:hint="eastAsia" w:ascii="仿宋_GB2312" w:eastAsia="仿宋_GB2312" w:cs="Times New Roman"/>
                <w:color w:val="auto"/>
                <w:sz w:val="21"/>
                <w:szCs w:val="24"/>
                <w:highlight w:val="none"/>
                <w:lang w:eastAsia="zh-CN"/>
              </w:rPr>
              <w:t>非</w:t>
            </w:r>
            <w:r>
              <w:rPr>
                <w:rFonts w:hint="eastAsia" w:ascii="仿宋_GB2312" w:hAnsi="Times New Roman" w:eastAsia="仿宋_GB2312" w:cs="Times New Roman"/>
                <w:color w:val="auto"/>
                <w:sz w:val="21"/>
                <w:szCs w:val="24"/>
                <w:highlight w:val="none"/>
              </w:rPr>
              <w:t>全日制</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以上学历得0.5分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eastAsia="仿宋_GB2312" w:cs="Times New Roman"/>
                <w:color w:val="auto"/>
                <w:sz w:val="21"/>
                <w:szCs w:val="24"/>
                <w:highlight w:val="none"/>
                <w:lang w:val="en-US" w:eastAsia="zh-CN"/>
              </w:rPr>
              <w:t>2</w:t>
            </w:r>
            <w:r>
              <w:rPr>
                <w:rFonts w:hint="eastAsia" w:ascii="仿宋_GB2312" w:hAnsi="Times New Roman" w:eastAsia="仿宋_GB2312" w:cs="Times New Roman"/>
                <w:color w:val="auto"/>
                <w:sz w:val="21"/>
                <w:szCs w:val="24"/>
                <w:highlight w:val="none"/>
              </w:rPr>
              <w:t>.</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w:t>
            </w:r>
            <w:r>
              <w:rPr>
                <w:rFonts w:hint="eastAsia" w:ascii="仿宋_GB2312" w:eastAsia="仿宋_GB2312" w:cs="Times New Roman"/>
                <w:color w:val="auto"/>
                <w:sz w:val="21"/>
                <w:szCs w:val="24"/>
                <w:highlight w:val="none"/>
                <w:lang w:eastAsia="zh-CN"/>
              </w:rPr>
              <w:t>累计</w:t>
            </w:r>
            <w:r>
              <w:rPr>
                <w:rFonts w:hint="eastAsia" w:ascii="仿宋_GB2312" w:hAnsi="Times New Roman" w:eastAsia="仿宋_GB2312" w:cs="Times New Roman"/>
                <w:color w:val="auto"/>
                <w:sz w:val="21"/>
                <w:szCs w:val="24"/>
                <w:highlight w:val="none"/>
              </w:rPr>
              <w:t>5年以上</w:t>
            </w:r>
            <w:r>
              <w:rPr>
                <w:rFonts w:hint="eastAsia" w:ascii="仿宋_GB2312" w:eastAsia="仿宋_GB2312" w:cs="Times New Roman"/>
                <w:color w:val="auto"/>
                <w:sz w:val="21"/>
                <w:szCs w:val="24"/>
                <w:highlight w:val="none"/>
                <w:lang w:eastAsia="zh-CN"/>
              </w:rPr>
              <w:t>物业</w:t>
            </w:r>
            <w:r>
              <w:rPr>
                <w:rFonts w:hint="eastAsia" w:ascii="仿宋_GB2312" w:hAnsi="Times New Roman" w:eastAsia="仿宋_GB2312" w:cs="Times New Roman"/>
                <w:color w:val="auto"/>
                <w:sz w:val="21"/>
                <w:szCs w:val="24"/>
                <w:highlight w:val="none"/>
                <w:lang w:eastAsia="zh-CN"/>
              </w:rPr>
              <w:t>秩序维护主管</w:t>
            </w:r>
            <w:r>
              <w:rPr>
                <w:rFonts w:hint="eastAsia" w:ascii="仿宋_GB2312" w:hAnsi="Times New Roman" w:eastAsia="仿宋_GB2312" w:cs="Times New Roman"/>
                <w:color w:val="auto"/>
                <w:sz w:val="21"/>
                <w:szCs w:val="24"/>
                <w:highlight w:val="none"/>
              </w:rPr>
              <w:t>工作经验得</w:t>
            </w:r>
            <w:r>
              <w:rPr>
                <w:rFonts w:hint="eastAsia" w:ascii="仿宋_GB2312" w:hAnsi="Times New Roman" w:eastAsia="仿宋_GB2312" w:cs="Times New Roman"/>
                <w:color w:val="auto"/>
                <w:sz w:val="21"/>
                <w:szCs w:val="24"/>
                <w:highlight w:val="none"/>
                <w:lang w:val="en-US" w:eastAsia="zh-CN"/>
              </w:rPr>
              <w:t>0.5</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2</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645" w:hRule="atLeast"/>
        </w:trPr>
        <w:tc>
          <w:tcPr>
            <w:tcW w:w="0" w:type="auto"/>
            <w:vMerge w:val="continue"/>
            <w:tcBorders>
              <w:left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宿管主管</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lang w:val="en-US" w:eastAsia="zh-CN"/>
              </w:rPr>
              <w:t>2人</w:t>
            </w:r>
            <w:r>
              <w:rPr>
                <w:rFonts w:hint="eastAsia" w:ascii="仿宋_GB2312" w:hAnsi="Times New Roman" w:eastAsia="仿宋_GB2312" w:cs="Times New Roman"/>
                <w:b/>
                <w:bCs/>
                <w:color w:val="auto"/>
                <w:sz w:val="21"/>
                <w:szCs w:val="24"/>
                <w:highlight w:val="none"/>
                <w:lang w:eastAsia="zh-CN"/>
              </w:rPr>
              <w:t>）</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val="en-US" w:eastAsia="zh-CN"/>
              </w:rPr>
              <w:t>1.</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具有本科</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全日制或</w:t>
            </w:r>
            <w:r>
              <w:rPr>
                <w:rFonts w:hint="eastAsia" w:ascii="仿宋_GB2312" w:eastAsia="仿宋_GB2312" w:cs="Times New Roman"/>
                <w:color w:val="auto"/>
                <w:sz w:val="21"/>
                <w:szCs w:val="24"/>
                <w:highlight w:val="none"/>
                <w:lang w:eastAsia="zh-CN"/>
              </w:rPr>
              <w:t>非</w:t>
            </w:r>
            <w:r>
              <w:rPr>
                <w:rFonts w:hint="eastAsia" w:ascii="仿宋_GB2312" w:hAnsi="Times New Roman" w:eastAsia="仿宋_GB2312" w:cs="Times New Roman"/>
                <w:color w:val="auto"/>
                <w:sz w:val="21"/>
                <w:szCs w:val="24"/>
                <w:highlight w:val="none"/>
              </w:rPr>
              <w:t>全日制</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以上学历得0.5分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3.</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w:t>
            </w:r>
            <w:r>
              <w:rPr>
                <w:rFonts w:hint="eastAsia" w:ascii="仿宋_GB2312" w:eastAsia="仿宋_GB2312" w:cs="Times New Roman"/>
                <w:color w:val="auto"/>
                <w:sz w:val="21"/>
                <w:szCs w:val="24"/>
                <w:highlight w:val="none"/>
                <w:lang w:eastAsia="zh-CN"/>
              </w:rPr>
              <w:t>累计</w:t>
            </w:r>
            <w:r>
              <w:rPr>
                <w:rFonts w:hint="eastAsia" w:ascii="仿宋_GB2312" w:hAnsi="Times New Roman" w:eastAsia="仿宋_GB2312" w:cs="Times New Roman"/>
                <w:color w:val="auto"/>
                <w:sz w:val="21"/>
                <w:szCs w:val="24"/>
                <w:highlight w:val="none"/>
              </w:rPr>
              <w:t>5年以上</w:t>
            </w:r>
            <w:r>
              <w:rPr>
                <w:rFonts w:hint="eastAsia" w:ascii="仿宋_GB2312" w:eastAsia="仿宋_GB2312" w:cs="Times New Roman"/>
                <w:color w:val="auto"/>
                <w:sz w:val="21"/>
                <w:szCs w:val="24"/>
                <w:highlight w:val="none"/>
                <w:lang w:eastAsia="zh-CN"/>
              </w:rPr>
              <w:t>物业宿管主管</w:t>
            </w:r>
            <w:r>
              <w:rPr>
                <w:rFonts w:hint="eastAsia" w:ascii="仿宋_GB2312" w:hAnsi="Times New Roman" w:eastAsia="仿宋_GB2312" w:cs="Times New Roman"/>
                <w:color w:val="auto"/>
                <w:sz w:val="21"/>
                <w:szCs w:val="24"/>
                <w:highlight w:val="none"/>
              </w:rPr>
              <w:t>工作经验得</w:t>
            </w:r>
            <w:r>
              <w:rPr>
                <w:rFonts w:hint="eastAsia" w:ascii="仿宋_GB2312" w:hAnsi="Times New Roman" w:eastAsia="仿宋_GB2312" w:cs="Times New Roman"/>
                <w:color w:val="auto"/>
                <w:sz w:val="21"/>
                <w:szCs w:val="24"/>
                <w:highlight w:val="none"/>
                <w:lang w:val="en-US" w:eastAsia="zh-CN"/>
              </w:rPr>
              <w:t>0.5</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2</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645" w:hRule="atLeast"/>
        </w:trPr>
        <w:tc>
          <w:tcPr>
            <w:tcW w:w="0" w:type="auto"/>
            <w:vMerge w:val="continue"/>
            <w:tcBorders>
              <w:left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保洁主管</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val="en-US" w:eastAsia="zh-CN"/>
              </w:rPr>
              <w:t>1.</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具有本科</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全日制或</w:t>
            </w:r>
            <w:r>
              <w:rPr>
                <w:rFonts w:hint="eastAsia" w:ascii="仿宋_GB2312" w:eastAsia="仿宋_GB2312" w:cs="Times New Roman"/>
                <w:color w:val="auto"/>
                <w:sz w:val="21"/>
                <w:szCs w:val="24"/>
                <w:highlight w:val="none"/>
                <w:lang w:eastAsia="zh-CN"/>
              </w:rPr>
              <w:t>非</w:t>
            </w:r>
            <w:r>
              <w:rPr>
                <w:rFonts w:hint="eastAsia" w:ascii="仿宋_GB2312" w:hAnsi="Times New Roman" w:eastAsia="仿宋_GB2312" w:cs="Times New Roman"/>
                <w:color w:val="auto"/>
                <w:sz w:val="21"/>
                <w:szCs w:val="24"/>
                <w:highlight w:val="none"/>
              </w:rPr>
              <w:t>全日制</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以上学历得0.5分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eastAsia="仿宋_GB2312" w:cs="Times New Roman"/>
                <w:color w:val="auto"/>
                <w:sz w:val="21"/>
                <w:szCs w:val="24"/>
                <w:highlight w:val="none"/>
                <w:lang w:val="en-US" w:eastAsia="zh-CN"/>
              </w:rPr>
              <w:t>2</w:t>
            </w:r>
            <w:r>
              <w:rPr>
                <w:rFonts w:hint="eastAsia" w:ascii="仿宋_GB2312" w:hAnsi="Times New Roman" w:eastAsia="仿宋_GB2312" w:cs="Times New Roman"/>
                <w:color w:val="auto"/>
                <w:sz w:val="21"/>
                <w:szCs w:val="24"/>
                <w:highlight w:val="none"/>
              </w:rPr>
              <w:t>.</w:t>
            </w:r>
            <w:r>
              <w:rPr>
                <w:rFonts w:hint="eastAsia" w:ascii="仿宋_GB2312" w:eastAsia="仿宋_GB2312" w:cs="Times New Roman"/>
                <w:color w:val="auto"/>
                <w:sz w:val="21"/>
                <w:szCs w:val="24"/>
                <w:highlight w:val="none"/>
                <w:lang w:eastAsia="zh-CN"/>
              </w:rPr>
              <w:t>每有一人</w:t>
            </w:r>
            <w:r>
              <w:rPr>
                <w:rFonts w:hint="eastAsia" w:ascii="仿宋_GB2312" w:hAnsi="Times New Roman" w:eastAsia="仿宋_GB2312" w:cs="Times New Roman"/>
                <w:color w:val="auto"/>
                <w:sz w:val="21"/>
                <w:szCs w:val="24"/>
                <w:highlight w:val="none"/>
              </w:rPr>
              <w:t>具有</w:t>
            </w:r>
            <w:r>
              <w:rPr>
                <w:rFonts w:hint="eastAsia" w:ascii="仿宋_GB2312" w:eastAsia="仿宋_GB2312" w:cs="Times New Roman"/>
                <w:color w:val="auto"/>
                <w:sz w:val="21"/>
                <w:szCs w:val="24"/>
                <w:highlight w:val="none"/>
                <w:lang w:eastAsia="zh-CN"/>
              </w:rPr>
              <w:t>累计</w:t>
            </w:r>
            <w:r>
              <w:rPr>
                <w:rFonts w:hint="eastAsia" w:ascii="仿宋_GB2312" w:hAnsi="Times New Roman" w:eastAsia="仿宋_GB2312" w:cs="Times New Roman"/>
                <w:color w:val="auto"/>
                <w:sz w:val="21"/>
                <w:szCs w:val="24"/>
                <w:highlight w:val="none"/>
              </w:rPr>
              <w:t>5年以上</w:t>
            </w:r>
            <w:r>
              <w:rPr>
                <w:rFonts w:hint="eastAsia" w:ascii="仿宋_GB2312" w:eastAsia="仿宋_GB2312" w:cs="Times New Roman"/>
                <w:color w:val="auto"/>
                <w:sz w:val="21"/>
                <w:szCs w:val="24"/>
                <w:highlight w:val="none"/>
                <w:lang w:eastAsia="zh-CN"/>
              </w:rPr>
              <w:t>物业</w:t>
            </w:r>
            <w:r>
              <w:rPr>
                <w:rFonts w:hint="eastAsia" w:ascii="仿宋_GB2312" w:hAnsi="Times New Roman" w:eastAsia="仿宋_GB2312" w:cs="Times New Roman"/>
                <w:color w:val="auto"/>
                <w:sz w:val="21"/>
                <w:szCs w:val="24"/>
                <w:highlight w:val="none"/>
              </w:rPr>
              <w:t>保洁主管工作经验得</w:t>
            </w:r>
            <w:r>
              <w:rPr>
                <w:rFonts w:hint="eastAsia" w:ascii="仿宋_GB2312" w:hAnsi="Times New Roman" w:eastAsia="仿宋_GB2312" w:cs="Times New Roman"/>
                <w:color w:val="auto"/>
                <w:sz w:val="21"/>
                <w:szCs w:val="24"/>
                <w:highlight w:val="none"/>
                <w:lang w:val="en-US" w:eastAsia="zh-CN"/>
              </w:rPr>
              <w:t>0.5</w:t>
            </w:r>
            <w:r>
              <w:rPr>
                <w:rFonts w:hint="eastAsia" w:ascii="仿宋_GB2312" w:hAnsi="Times New Roman" w:eastAsia="仿宋_GB2312" w:cs="Times New Roman"/>
                <w:color w:val="auto"/>
                <w:sz w:val="21"/>
                <w:szCs w:val="24"/>
                <w:highlight w:val="none"/>
              </w:rPr>
              <w:t>分</w:t>
            </w:r>
            <w:r>
              <w:rPr>
                <w:rFonts w:hint="eastAsia" w:ascii="仿宋_GB2312" w:eastAsia="仿宋_GB2312" w:cs="Times New Roman"/>
                <w:color w:val="auto"/>
                <w:sz w:val="21"/>
                <w:szCs w:val="24"/>
                <w:highlight w:val="none"/>
                <w:lang w:eastAsia="zh-CN"/>
              </w:rPr>
              <w:t>，满分</w:t>
            </w:r>
            <w:r>
              <w:rPr>
                <w:rFonts w:hint="eastAsia" w:ascii="仿宋_GB2312" w:eastAsia="仿宋_GB2312" w:cs="Times New Roman"/>
                <w:color w:val="auto"/>
                <w:sz w:val="21"/>
                <w:szCs w:val="24"/>
                <w:highlight w:val="none"/>
                <w:lang w:val="en-US" w:eastAsia="zh-CN"/>
              </w:rPr>
              <w:t>1分</w:t>
            </w:r>
            <w:r>
              <w:rPr>
                <w:rFonts w:hint="eastAsia" w:ascii="仿宋_GB2312" w:hAnsi="Times New Roman" w:eastAsia="仿宋_GB2312" w:cs="Times New Roman"/>
                <w:color w:val="auto"/>
                <w:sz w:val="21"/>
                <w:szCs w:val="24"/>
                <w:highlight w:val="none"/>
              </w:rPr>
              <w:t xml:space="preserve">。 </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2</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675" w:hRule="atLeast"/>
        </w:trPr>
        <w:tc>
          <w:tcPr>
            <w:tcW w:w="0" w:type="auto"/>
            <w:vMerge w:val="continue"/>
            <w:tcBorders>
              <w:left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绿化主管</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lang w:val="en-US" w:eastAsia="zh-CN"/>
              </w:rPr>
              <w:t>1.</w:t>
            </w:r>
            <w:r>
              <w:rPr>
                <w:rFonts w:hint="eastAsia" w:ascii="仿宋_GB2312" w:hAnsi="Times New Roman" w:eastAsia="仿宋_GB2312" w:cs="Times New Roman"/>
                <w:color w:val="auto"/>
                <w:sz w:val="21"/>
                <w:szCs w:val="24"/>
                <w:highlight w:val="none"/>
              </w:rPr>
              <w:t>具有本科</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全日制或</w:t>
            </w:r>
            <w:r>
              <w:rPr>
                <w:rFonts w:hint="eastAsia" w:ascii="仿宋_GB2312" w:eastAsia="仿宋_GB2312" w:cs="Times New Roman"/>
                <w:color w:val="auto"/>
                <w:sz w:val="21"/>
                <w:szCs w:val="24"/>
                <w:highlight w:val="none"/>
                <w:lang w:eastAsia="zh-CN"/>
              </w:rPr>
              <w:t>非</w:t>
            </w:r>
            <w:r>
              <w:rPr>
                <w:rFonts w:hint="eastAsia" w:ascii="仿宋_GB2312" w:hAnsi="Times New Roman" w:eastAsia="仿宋_GB2312" w:cs="Times New Roman"/>
                <w:color w:val="auto"/>
                <w:sz w:val="21"/>
                <w:szCs w:val="24"/>
                <w:highlight w:val="none"/>
              </w:rPr>
              <w:t>全日制</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以上学历得0.5分</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满分0.5分</w:t>
            </w:r>
            <w:r>
              <w:rPr>
                <w:rFonts w:hint="eastAsia" w:ascii="仿宋_GB2312" w:hAnsi="Times New Roman" w:eastAsia="仿宋_GB2312" w:cs="Times New Roman"/>
                <w:color w:val="auto"/>
                <w:sz w:val="21"/>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eastAsia="仿宋_GB2312"/>
                <w:color w:val="auto"/>
                <w:highlight w:val="none"/>
                <w:lang w:eastAsia="zh-CN"/>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1"/>
                <w:szCs w:val="21"/>
                <w:highlight w:val="none"/>
                <w:lang w:val="en-US" w:eastAsia="zh-CN"/>
              </w:rPr>
              <w:t>持</w:t>
            </w:r>
            <w:r>
              <w:rPr>
                <w:rFonts w:hint="eastAsia" w:ascii="仿宋_GB2312" w:hAnsi="仿宋_GB2312" w:eastAsia="仿宋_GB2312" w:cs="仿宋_GB2312"/>
                <w:color w:val="auto"/>
                <w:sz w:val="21"/>
                <w:szCs w:val="21"/>
                <w:highlight w:val="none"/>
              </w:rPr>
              <w:t>有</w:t>
            </w:r>
            <w:r>
              <w:rPr>
                <w:rFonts w:hint="eastAsia" w:ascii="仿宋_GB2312" w:hAnsi="仿宋_GB2312" w:eastAsia="仿宋_GB2312" w:cs="仿宋_GB2312"/>
                <w:color w:val="auto"/>
                <w:sz w:val="21"/>
                <w:szCs w:val="21"/>
                <w:highlight w:val="none"/>
                <w:lang w:eastAsia="zh-CN"/>
              </w:rPr>
              <w:t>中级</w:t>
            </w:r>
            <w:r>
              <w:rPr>
                <w:rFonts w:hint="eastAsia" w:ascii="仿宋_GB2312" w:hAnsi="仿宋_GB2312" w:eastAsia="仿宋_GB2312" w:cs="仿宋_GB2312"/>
                <w:color w:val="auto"/>
                <w:sz w:val="21"/>
                <w:szCs w:val="21"/>
                <w:highlight w:val="none"/>
                <w:lang w:val="en-US" w:eastAsia="zh-CN"/>
              </w:rPr>
              <w:t>/四级以上园林绿化工证书得0.5分</w:t>
            </w:r>
            <w:r>
              <w:rPr>
                <w:rFonts w:hint="eastAsia" w:ascii="仿宋_GB2312" w:eastAsia="仿宋_GB2312" w:cs="Times New Roman"/>
                <w:color w:val="auto"/>
                <w:sz w:val="21"/>
                <w:szCs w:val="24"/>
                <w:highlight w:val="none"/>
                <w:lang w:eastAsia="zh-CN"/>
              </w:rPr>
              <w:t>，</w:t>
            </w:r>
            <w:r>
              <w:rPr>
                <w:rFonts w:hint="eastAsia" w:ascii="仿宋_GB2312" w:eastAsia="仿宋_GB2312" w:cs="Times New Roman"/>
                <w:color w:val="auto"/>
                <w:sz w:val="21"/>
                <w:szCs w:val="24"/>
                <w:highlight w:val="none"/>
                <w:lang w:val="en-US" w:eastAsia="zh-CN"/>
              </w:rPr>
              <w:t>满分0.5分</w:t>
            </w:r>
            <w:r>
              <w:rPr>
                <w:rFonts w:hint="eastAsia" w:ascii="仿宋_GB2312" w:hAnsi="仿宋_GB2312" w:eastAsia="仿宋_GB2312" w:cs="仿宋_GB2312"/>
                <w:color w:val="auto"/>
                <w:sz w:val="24"/>
                <w:szCs w:val="24"/>
                <w:highlight w:val="none"/>
                <w:lang w:eastAsia="zh-CN"/>
              </w:rPr>
              <w:t>。</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val="en-US" w:eastAsia="zh-CN"/>
              </w:rPr>
            </w:pPr>
            <w:r>
              <w:rPr>
                <w:rFonts w:hint="eastAsia" w:ascii="仿宋_GB2312" w:eastAsia="仿宋_GB2312" w:cs="Times New Roman"/>
                <w:b/>
                <w:bCs/>
                <w:color w:val="auto"/>
                <w:sz w:val="21"/>
                <w:szCs w:val="24"/>
                <w:highlight w:val="none"/>
                <w:lang w:val="en-US" w:eastAsia="zh-CN"/>
              </w:rPr>
              <w:t>1</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405" w:hRule="atLeast"/>
        </w:trPr>
        <w:tc>
          <w:tcPr>
            <w:tcW w:w="0" w:type="auto"/>
            <w:vMerge w:val="continue"/>
            <w:tcBorders>
              <w:left w:val="single" w:color="333333" w:sz="6" w:space="0"/>
              <w:bottom w:val="single" w:color="auto" w:sz="4"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auto" w:sz="4"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专业骨干人员</w:t>
            </w:r>
          </w:p>
        </w:tc>
        <w:tc>
          <w:tcPr>
            <w:tcW w:w="3161" w:type="pct"/>
            <w:tcBorders>
              <w:top w:val="single" w:color="333333" w:sz="6" w:space="0"/>
              <w:left w:val="single" w:color="333333" w:sz="6" w:space="0"/>
              <w:bottom w:val="single" w:color="auto" w:sz="4" w:space="0"/>
              <w:right w:val="single" w:color="333333" w:sz="6" w:space="0"/>
            </w:tcBorders>
            <w:noWrap w:val="0"/>
            <w:tcMar>
              <w:top w:w="120" w:type="dxa"/>
              <w:left w:w="75" w:type="dxa"/>
              <w:bottom w:w="120" w:type="dxa"/>
              <w:right w:w="75" w:type="dxa"/>
            </w:tcMar>
            <w:vAlign w:val="center"/>
          </w:tcPr>
          <w:p>
            <w:pPr>
              <w:pStyle w:val="18"/>
              <w:ind w:firstLine="420" w:firstLineChars="200"/>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1.在采购需求（2人）的基础上，维修维护人员每增加一人持有中级/四级以上电工或维修电工证得0.5分，满分1分；</w:t>
            </w:r>
          </w:p>
          <w:p>
            <w:pPr>
              <w:pStyle w:val="18"/>
              <w:keepNext w:val="0"/>
              <w:keepLines w:val="0"/>
              <w:pageBreakBefore w:val="0"/>
              <w:widowControl w:val="0"/>
              <w:kinsoku/>
              <w:wordWrap/>
              <w:overflowPunct/>
              <w:topLinePunct w:val="0"/>
              <w:autoSpaceDE/>
              <w:autoSpaceDN/>
              <w:bidi w:val="0"/>
              <w:adjustRightInd/>
              <w:snapToGrid/>
              <w:spacing w:line="400" w:lineRule="exact"/>
              <w:ind w:firstLineChars="200"/>
              <w:jc w:val="both"/>
              <w:textAlignment w:val="auto"/>
              <w:rPr>
                <w:rFonts w:hint="default" w:eastAsia="仿宋_GB2312"/>
                <w:color w:val="auto"/>
                <w:highlight w:val="none"/>
                <w:lang w:val="en-US" w:eastAsia="zh-CN"/>
              </w:rPr>
            </w:pPr>
            <w:r>
              <w:rPr>
                <w:rFonts w:hint="eastAsia" w:ascii="仿宋_GB2312" w:hAnsi="仿宋_GB2312" w:eastAsia="仿宋_GB2312" w:cs="仿宋_GB2312"/>
                <w:color w:val="auto"/>
                <w:szCs w:val="21"/>
                <w:highlight w:val="none"/>
                <w:lang w:val="en-US" w:eastAsia="zh-CN"/>
              </w:rPr>
              <w:t>2.维修维护人员每有一人持有特种作业操作证（制冷与空调作业）得0.5分，满分1分。</w:t>
            </w:r>
          </w:p>
        </w:tc>
        <w:tc>
          <w:tcPr>
            <w:tcW w:w="295" w:type="pct"/>
            <w:tcBorders>
              <w:top w:val="single" w:color="333333" w:sz="6" w:space="0"/>
              <w:left w:val="single" w:color="333333" w:sz="6" w:space="0"/>
              <w:bottom w:val="single" w:color="auto" w:sz="4"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2</w:t>
            </w:r>
          </w:p>
        </w:tc>
        <w:tc>
          <w:tcPr>
            <w:tcW w:w="658" w:type="pct"/>
            <w:tcBorders>
              <w:top w:val="single" w:color="333333" w:sz="6" w:space="0"/>
              <w:left w:val="single" w:color="333333" w:sz="6" w:space="0"/>
              <w:bottom w:val="single" w:color="auto" w:sz="4"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拟投入服务团队人员一览表</w:t>
            </w:r>
          </w:p>
        </w:tc>
      </w:tr>
      <w:tr>
        <w:tblPrEx>
          <w:tblCellMar>
            <w:top w:w="15" w:type="dxa"/>
            <w:left w:w="15" w:type="dxa"/>
            <w:bottom w:w="15" w:type="dxa"/>
            <w:right w:w="15" w:type="dxa"/>
          </w:tblCellMar>
        </w:tblPrEx>
        <w:trPr>
          <w:trHeight w:val="1091"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注：投标人</w:t>
            </w:r>
            <w:r>
              <w:rPr>
                <w:rFonts w:hint="eastAsia" w:ascii="仿宋_GB2312" w:hAnsi="Times New Roman" w:eastAsia="仿宋_GB2312" w:cs="Times New Roman"/>
                <w:b/>
                <w:bCs/>
                <w:color w:val="auto"/>
                <w:sz w:val="21"/>
                <w:szCs w:val="24"/>
                <w:highlight w:val="none"/>
                <w:lang w:eastAsia="zh-CN"/>
              </w:rPr>
              <w:t>须</w:t>
            </w:r>
            <w:r>
              <w:rPr>
                <w:rFonts w:hint="eastAsia" w:ascii="仿宋_GB2312" w:hAnsi="Times New Roman" w:eastAsia="仿宋_GB2312" w:cs="Times New Roman"/>
                <w:b/>
                <w:bCs/>
                <w:color w:val="auto"/>
                <w:sz w:val="21"/>
                <w:szCs w:val="24"/>
                <w:highlight w:val="none"/>
              </w:rPr>
              <w:t>提供以上人员学历、</w:t>
            </w:r>
            <w:r>
              <w:rPr>
                <w:rFonts w:hint="eastAsia" w:ascii="仿宋_GB2312" w:eastAsia="仿宋_GB2312" w:cs="Times New Roman"/>
                <w:b/>
                <w:bCs/>
                <w:color w:val="auto"/>
                <w:sz w:val="21"/>
                <w:szCs w:val="24"/>
                <w:highlight w:val="none"/>
                <w:lang w:val="en-US" w:eastAsia="zh-CN"/>
              </w:rPr>
              <w:t>相关证书</w:t>
            </w:r>
            <w:r>
              <w:rPr>
                <w:rFonts w:hint="eastAsia" w:ascii="仿宋_GB2312" w:hAnsi="Times New Roman" w:eastAsia="仿宋_GB2312" w:cs="Times New Roman"/>
                <w:b/>
                <w:bCs/>
                <w:color w:val="auto"/>
                <w:sz w:val="21"/>
                <w:szCs w:val="24"/>
                <w:highlight w:val="none"/>
              </w:rPr>
              <w:t>、工作经验证明材料（能够体现工作经验的合同或物业业主单位的证明）</w:t>
            </w:r>
            <w:r>
              <w:rPr>
                <w:rFonts w:hint="eastAsia" w:ascii="仿宋_GB2312" w:eastAsia="仿宋_GB2312" w:cs="Times New Roman"/>
                <w:b/>
                <w:bCs/>
                <w:color w:val="auto"/>
                <w:sz w:val="21"/>
                <w:szCs w:val="24"/>
                <w:highlight w:val="none"/>
                <w:lang w:eastAsia="zh-CN"/>
              </w:rPr>
              <w:t>等</w:t>
            </w:r>
            <w:r>
              <w:rPr>
                <w:rFonts w:hint="eastAsia" w:ascii="仿宋_GB2312" w:eastAsia="仿宋_GB2312" w:cs="Times New Roman"/>
                <w:b/>
                <w:bCs/>
                <w:color w:val="auto"/>
                <w:sz w:val="21"/>
                <w:szCs w:val="24"/>
                <w:highlight w:val="none"/>
                <w:lang w:val="en-US" w:eastAsia="zh-CN"/>
              </w:rPr>
              <w:t>材料</w:t>
            </w:r>
            <w:r>
              <w:rPr>
                <w:rFonts w:hint="eastAsia" w:ascii="仿宋_GB2312" w:hAnsi="Times New Roman" w:eastAsia="仿宋_GB2312" w:cs="Times New Roman"/>
                <w:b/>
                <w:bCs/>
                <w:color w:val="auto"/>
                <w:sz w:val="21"/>
                <w:szCs w:val="24"/>
                <w:highlight w:val="none"/>
              </w:rPr>
              <w:t>并</w:t>
            </w:r>
            <w:r>
              <w:rPr>
                <w:rFonts w:hint="eastAsia" w:ascii="仿宋_GB2312" w:eastAsia="仿宋_GB2312" w:cs="Times New Roman"/>
                <w:b/>
                <w:bCs/>
                <w:color w:val="auto"/>
                <w:sz w:val="21"/>
                <w:szCs w:val="24"/>
                <w:highlight w:val="none"/>
                <w:lang w:eastAsia="zh-CN"/>
              </w:rPr>
              <w:t>加盖</w:t>
            </w:r>
            <w:r>
              <w:rPr>
                <w:rFonts w:hint="eastAsia" w:ascii="仿宋_GB2312" w:hAnsi="Times New Roman" w:eastAsia="仿宋_GB2312" w:cs="Times New Roman"/>
                <w:b/>
                <w:bCs/>
                <w:color w:val="auto"/>
                <w:sz w:val="21"/>
                <w:szCs w:val="24"/>
                <w:highlight w:val="none"/>
              </w:rPr>
              <w:t>投标人CA电子签章，</w:t>
            </w:r>
            <w:r>
              <w:rPr>
                <w:rFonts w:hint="eastAsia" w:ascii="仿宋_GB2312" w:eastAsia="仿宋_GB2312" w:cs="Times New Roman"/>
                <w:b/>
                <w:bCs/>
                <w:color w:val="auto"/>
                <w:sz w:val="21"/>
                <w:szCs w:val="24"/>
                <w:highlight w:val="none"/>
                <w:lang w:val="en-US" w:eastAsia="zh-CN"/>
              </w:rPr>
              <w:t>未提供</w:t>
            </w:r>
            <w:r>
              <w:rPr>
                <w:rFonts w:hint="eastAsia" w:ascii="仿宋_GB2312" w:hAnsi="Times New Roman" w:eastAsia="仿宋_GB2312" w:cs="Times New Roman"/>
                <w:b/>
                <w:bCs/>
                <w:color w:val="auto"/>
                <w:sz w:val="21"/>
                <w:szCs w:val="24"/>
                <w:highlight w:val="none"/>
              </w:rPr>
              <w:t>的，对应加分项不予计分。</w:t>
            </w:r>
          </w:p>
        </w:tc>
      </w:tr>
      <w:tr>
        <w:tblPrEx>
          <w:tblCellMar>
            <w:top w:w="15" w:type="dxa"/>
            <w:left w:w="15" w:type="dxa"/>
            <w:bottom w:w="15" w:type="dxa"/>
            <w:right w:w="15" w:type="dxa"/>
          </w:tblCellMar>
        </w:tblPrEx>
        <w:trPr>
          <w:trHeight w:val="604" w:hRule="atLeast"/>
        </w:trPr>
        <w:tc>
          <w:tcPr>
            <w:tcW w:w="0" w:type="auto"/>
            <w:tcBorders>
              <w:top w:val="single" w:color="auto" w:sz="4"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业绩分</w:t>
            </w:r>
          </w:p>
        </w:tc>
        <w:tc>
          <w:tcPr>
            <w:tcW w:w="0" w:type="auto"/>
            <w:tcBorders>
              <w:top w:val="single" w:color="auto" w:sz="4"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同类项目经验</w:t>
            </w:r>
          </w:p>
        </w:tc>
        <w:tc>
          <w:tcPr>
            <w:tcW w:w="3161" w:type="pct"/>
            <w:tcBorders>
              <w:top w:val="single" w:color="auto" w:sz="4"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400" w:lineRule="exact"/>
              <w:ind w:firstLine="42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投标人2020年1月1日起至今承接的</w:t>
            </w:r>
            <w:r>
              <w:rPr>
                <w:rFonts w:hint="eastAsia" w:ascii="仿宋_GB2312" w:hAnsi="仿宋_GB2312" w:eastAsia="仿宋_GB2312" w:cs="仿宋_GB2312"/>
                <w:color w:val="auto"/>
                <w:highlight w:val="none"/>
                <w:lang w:val="en-US" w:eastAsia="zh-CN"/>
              </w:rPr>
              <w:t>同类物业</w:t>
            </w:r>
            <w:r>
              <w:rPr>
                <w:rFonts w:hint="eastAsia" w:ascii="仿宋_GB2312" w:hAnsi="仿宋_GB2312" w:eastAsia="仿宋_GB2312" w:cs="仿宋_GB2312"/>
                <w:color w:val="auto"/>
                <w:highlight w:val="none"/>
              </w:rPr>
              <w:t>服务项目，每有一项得</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8</w:t>
            </w:r>
            <w:r>
              <w:rPr>
                <w:rFonts w:hint="eastAsia" w:ascii="仿宋_GB2312" w:hAnsi="仿宋_GB2312" w:eastAsia="仿宋_GB2312" w:cs="仿宋_GB2312"/>
                <w:color w:val="auto"/>
                <w:highlight w:val="none"/>
              </w:rPr>
              <w:t>分；</w:t>
            </w:r>
          </w:p>
          <w:p>
            <w:pPr>
              <w:spacing w:line="400" w:lineRule="exact"/>
              <w:ind w:firstLine="422" w:firstLineChars="200"/>
              <w:rPr>
                <w:color w:val="auto"/>
                <w:highlight w:val="none"/>
              </w:rPr>
            </w:pPr>
            <w:r>
              <w:rPr>
                <w:rFonts w:hint="eastAsia" w:ascii="仿宋_GB2312" w:hAnsi="仿宋_GB2312" w:eastAsia="仿宋_GB2312" w:cs="仿宋_GB2312"/>
                <w:b/>
                <w:bCs/>
                <w:color w:val="auto"/>
                <w:highlight w:val="none"/>
              </w:rPr>
              <w:t>注：1.同类物业项目是指服务内容包含</w:t>
            </w:r>
            <w:r>
              <w:rPr>
                <w:rFonts w:hint="eastAsia" w:ascii="仿宋_GB2312" w:hAnsi="仿宋_GB2312" w:eastAsia="仿宋_GB2312" w:cs="仿宋_GB2312"/>
                <w:b/>
                <w:bCs/>
                <w:color w:val="auto"/>
                <w:highlight w:val="none"/>
                <w:lang w:eastAsia="zh-CN"/>
              </w:rPr>
              <w:t>秩序维护、</w:t>
            </w:r>
            <w:r>
              <w:rPr>
                <w:rFonts w:hint="eastAsia" w:ascii="仿宋_GB2312" w:hAnsi="仿宋_GB2312" w:eastAsia="仿宋_GB2312" w:cs="仿宋_GB2312"/>
                <w:b/>
                <w:bCs/>
                <w:color w:val="auto"/>
                <w:highlight w:val="none"/>
              </w:rPr>
              <w:t>维修、宿舍管理、保洁、</w:t>
            </w:r>
            <w:r>
              <w:rPr>
                <w:rFonts w:hint="eastAsia" w:ascii="仿宋_GB2312" w:hAnsi="仿宋_GB2312" w:eastAsia="仿宋_GB2312" w:cs="仿宋_GB2312"/>
                <w:b/>
                <w:bCs/>
                <w:color w:val="auto"/>
                <w:highlight w:val="none"/>
                <w:lang w:eastAsia="zh-CN"/>
              </w:rPr>
              <w:t>绿化养护等</w:t>
            </w:r>
            <w:r>
              <w:rPr>
                <w:rFonts w:hint="eastAsia" w:ascii="仿宋_GB2312" w:hAnsi="仿宋_GB2312" w:eastAsia="仿宋_GB2312" w:cs="仿宋_GB2312"/>
                <w:b/>
                <w:bCs/>
                <w:color w:val="auto"/>
                <w:highlight w:val="none"/>
              </w:rPr>
              <w:t>服务内容</w:t>
            </w:r>
            <w:r>
              <w:rPr>
                <w:rFonts w:hint="eastAsia" w:ascii="仿宋_GB2312" w:hAnsi="仿宋_GB2312" w:eastAsia="仿宋_GB2312" w:cs="仿宋_GB2312"/>
                <w:b/>
                <w:bCs/>
                <w:color w:val="auto"/>
                <w:highlight w:val="none"/>
                <w:lang w:eastAsia="zh-CN"/>
              </w:rPr>
              <w:t>（不少于其中</w:t>
            </w:r>
            <w:r>
              <w:rPr>
                <w:rFonts w:hint="eastAsia" w:ascii="仿宋_GB2312" w:hAnsi="仿宋_GB2312" w:eastAsia="仿宋_GB2312" w:cs="仿宋_GB2312"/>
                <w:b/>
                <w:bCs/>
                <w:color w:val="auto"/>
                <w:highlight w:val="none"/>
                <w:lang w:val="en-US" w:eastAsia="zh-CN"/>
              </w:rPr>
              <w:t>3项</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rPr>
              <w:t>的物业项目；</w:t>
            </w:r>
          </w:p>
          <w:p>
            <w:pPr>
              <w:spacing w:line="400" w:lineRule="exact"/>
              <w:ind w:firstLine="42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2.承接时间以合同签订时间为准。</w:t>
            </w:r>
          </w:p>
          <w:p>
            <w:pPr>
              <w:keepNext w:val="0"/>
              <w:keepLines w:val="0"/>
              <w:pageBreakBefore w:val="0"/>
              <w:widowControl/>
              <w:kinsoku/>
              <w:wordWrap/>
              <w:overflowPunct/>
              <w:topLinePunct w:val="0"/>
              <w:autoSpaceDE/>
              <w:autoSpaceDN/>
              <w:bidi w:val="0"/>
              <w:adjustRightInd/>
              <w:snapToGrid/>
              <w:spacing w:line="240" w:lineRule="auto"/>
              <w:ind w:firstLine="422" w:firstLineChars="200"/>
              <w:jc w:val="left"/>
              <w:textAlignment w:val="auto"/>
              <w:rPr>
                <w:rFonts w:ascii="仿宋_GB2312" w:hAnsi="Times New Roman" w:eastAsia="仿宋_GB2312" w:cs="Times New Roman"/>
                <w:color w:val="auto"/>
                <w:sz w:val="21"/>
                <w:szCs w:val="24"/>
                <w:highlight w:val="none"/>
              </w:rPr>
            </w:pPr>
            <w:r>
              <w:rPr>
                <w:rFonts w:hint="eastAsia" w:ascii="仿宋_GB2312" w:hAnsi="仿宋_GB2312" w:eastAsia="仿宋_GB2312" w:cs="仿宋_GB2312"/>
                <w:b/>
                <w:bCs/>
                <w:color w:val="auto"/>
                <w:highlight w:val="none"/>
              </w:rPr>
              <w:t>3.投标人提供上述合同等材料并加盖投标人CA电子签章，否则不予计分。</w:t>
            </w:r>
          </w:p>
        </w:tc>
        <w:tc>
          <w:tcPr>
            <w:tcW w:w="295" w:type="pct"/>
            <w:tcBorders>
              <w:top w:val="single" w:color="auto" w:sz="4"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default" w:ascii="仿宋_GB2312" w:hAnsi="Times New Roman" w:eastAsia="仿宋_GB2312" w:cs="Times New Roman"/>
                <w:b/>
                <w:bCs/>
                <w:color w:val="auto"/>
                <w:sz w:val="21"/>
                <w:szCs w:val="24"/>
                <w:highlight w:val="none"/>
                <w:lang w:val="en-US" w:eastAsia="zh-CN"/>
              </w:rPr>
            </w:pPr>
            <w:r>
              <w:rPr>
                <w:rFonts w:hint="eastAsia" w:ascii="仿宋_GB2312" w:hAnsi="Times New Roman" w:eastAsia="仿宋_GB2312" w:cs="Times New Roman"/>
                <w:b/>
                <w:bCs/>
                <w:color w:val="auto"/>
                <w:sz w:val="21"/>
                <w:szCs w:val="24"/>
                <w:highlight w:val="none"/>
                <w:lang w:val="en-US" w:eastAsia="zh-CN"/>
              </w:rPr>
              <w:t>8</w:t>
            </w:r>
          </w:p>
        </w:tc>
        <w:tc>
          <w:tcPr>
            <w:tcW w:w="658" w:type="pct"/>
            <w:tcBorders>
              <w:top w:val="single" w:color="auto" w:sz="4"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投标人同类项目经验一览表</w:t>
            </w:r>
          </w:p>
        </w:tc>
      </w:tr>
      <w:tr>
        <w:tblPrEx>
          <w:tblCellMar>
            <w:top w:w="15" w:type="dxa"/>
            <w:left w:w="15" w:type="dxa"/>
            <w:bottom w:w="15" w:type="dxa"/>
            <w:right w:w="15" w:type="dxa"/>
          </w:tblCellMar>
        </w:tblPrEx>
        <w:trPr>
          <w:trHeight w:val="1645" w:hRule="atLeast"/>
        </w:trPr>
        <w:tc>
          <w:tcPr>
            <w:tcW w:w="0" w:type="auto"/>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0" w:type="auto"/>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体系认证</w:t>
            </w:r>
          </w:p>
        </w:tc>
        <w:tc>
          <w:tcPr>
            <w:tcW w:w="316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rPr>
              <w:t>企业</w:t>
            </w:r>
            <w:r>
              <w:rPr>
                <w:rFonts w:hint="eastAsia" w:ascii="仿宋_GB2312" w:eastAsia="仿宋_GB2312" w:cs="Times New Roman"/>
                <w:color w:val="auto"/>
                <w:sz w:val="21"/>
                <w:szCs w:val="24"/>
                <w:highlight w:val="none"/>
                <w:lang w:val="en-US" w:eastAsia="zh-CN"/>
              </w:rPr>
              <w:t>具备有效</w:t>
            </w:r>
            <w:r>
              <w:rPr>
                <w:rFonts w:hint="eastAsia" w:ascii="仿宋_GB2312" w:hAnsi="Times New Roman" w:eastAsia="仿宋_GB2312" w:cs="Times New Roman"/>
                <w:color w:val="auto"/>
                <w:sz w:val="21"/>
                <w:szCs w:val="24"/>
                <w:highlight w:val="none"/>
              </w:rPr>
              <w:t>通过质量管理体系认证、环境管理体系认证、职业健康安全管理体系认证、</w:t>
            </w:r>
            <w:r>
              <w:rPr>
                <w:rFonts w:hint="eastAsia" w:ascii="仿宋_GB2312" w:hAnsi="Times New Roman" w:eastAsia="仿宋_GB2312" w:cs="Times New Roman"/>
                <w:color w:val="auto"/>
                <w:sz w:val="21"/>
                <w:szCs w:val="24"/>
                <w:highlight w:val="none"/>
                <w:lang w:eastAsia="zh-CN"/>
              </w:rPr>
              <w:t>生活垃圾分类服务能力认证</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每有一项得1分，满分</w:t>
            </w:r>
            <w:r>
              <w:rPr>
                <w:rFonts w:hint="eastAsia" w:ascii="仿宋_GB2312" w:eastAsia="仿宋_GB2312" w:cs="Times New Roman"/>
                <w:color w:val="auto"/>
                <w:sz w:val="21"/>
                <w:szCs w:val="24"/>
                <w:highlight w:val="none"/>
                <w:lang w:val="en-US" w:eastAsia="zh-CN"/>
              </w:rPr>
              <w:t>4</w:t>
            </w:r>
            <w:r>
              <w:rPr>
                <w:rFonts w:hint="eastAsia" w:ascii="仿宋_GB2312" w:hAnsi="Times New Roman" w:eastAsia="仿宋_GB2312" w:cs="Times New Roman"/>
                <w:color w:val="auto"/>
                <w:sz w:val="21"/>
                <w:szCs w:val="24"/>
                <w:highlight w:val="none"/>
              </w:rPr>
              <w:t xml:space="preserve">分。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注：</w:t>
            </w:r>
            <w:r>
              <w:rPr>
                <w:rFonts w:hint="eastAsia" w:ascii="仿宋_GB2312" w:eastAsia="仿宋_GB2312" w:cs="Times New Roman"/>
                <w:b/>
                <w:bCs/>
                <w:color w:val="auto"/>
                <w:sz w:val="21"/>
                <w:szCs w:val="24"/>
                <w:highlight w:val="none"/>
                <w:lang w:val="en-US" w:eastAsia="zh-CN"/>
              </w:rPr>
              <w:t>投标人</w:t>
            </w:r>
            <w:r>
              <w:rPr>
                <w:rFonts w:hint="eastAsia" w:ascii="仿宋_GB2312" w:hAnsi="仿宋_GB2312" w:eastAsia="仿宋_GB2312" w:cs="仿宋_GB2312"/>
                <w:b/>
                <w:bCs/>
                <w:color w:val="auto"/>
                <w:highlight w:val="none"/>
              </w:rPr>
              <w:t>提供上述证书</w:t>
            </w:r>
            <w:r>
              <w:rPr>
                <w:rFonts w:hint="eastAsia" w:ascii="仿宋_GB2312" w:hAnsi="仿宋_GB2312" w:eastAsia="仿宋_GB2312" w:cs="仿宋_GB2312"/>
                <w:b/>
                <w:bCs/>
                <w:color w:val="auto"/>
                <w:highlight w:val="none"/>
                <w:lang w:val="en-US" w:eastAsia="zh-CN"/>
              </w:rPr>
              <w:t>材料</w:t>
            </w:r>
            <w:r>
              <w:rPr>
                <w:rFonts w:hint="eastAsia" w:ascii="仿宋_GB2312" w:hAnsi="仿宋_GB2312" w:eastAsia="仿宋_GB2312" w:cs="仿宋_GB2312"/>
                <w:b/>
                <w:bCs/>
                <w:color w:val="auto"/>
                <w:highlight w:val="none"/>
              </w:rPr>
              <w:t>并加盖</w:t>
            </w:r>
            <w:r>
              <w:rPr>
                <w:rFonts w:hint="eastAsia" w:ascii="仿宋_GB2312" w:hAnsi="仿宋_GB2312" w:eastAsia="仿宋_GB2312" w:cs="仿宋_GB2312"/>
                <w:b/>
                <w:bCs/>
                <w:color w:val="auto"/>
                <w:highlight w:val="none"/>
                <w:lang w:val="en-US" w:eastAsia="zh-CN"/>
              </w:rPr>
              <w:t>投标人CA电子签章</w:t>
            </w:r>
            <w:r>
              <w:rPr>
                <w:rFonts w:hint="eastAsia" w:ascii="仿宋_GB2312" w:hAnsi="仿宋_GB2312" w:eastAsia="仿宋_GB2312" w:cs="仿宋_GB2312"/>
                <w:b/>
                <w:bCs/>
                <w:color w:val="auto"/>
                <w:highlight w:val="none"/>
              </w:rPr>
              <w:t>，否则不予计分</w:t>
            </w:r>
            <w:r>
              <w:rPr>
                <w:rFonts w:hint="eastAsia" w:ascii="仿宋_GB2312" w:hAnsi="Times New Roman" w:eastAsia="仿宋_GB2312" w:cs="Times New Roman"/>
                <w:b/>
                <w:bCs/>
                <w:color w:val="auto"/>
                <w:sz w:val="21"/>
                <w:szCs w:val="24"/>
                <w:highlight w:val="none"/>
              </w:rPr>
              <w:t xml:space="preserve">。 </w:t>
            </w:r>
          </w:p>
        </w:tc>
        <w:tc>
          <w:tcPr>
            <w:tcW w:w="295"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4</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相关认证证书材料</w:t>
            </w:r>
          </w:p>
        </w:tc>
      </w:tr>
      <w:tr>
        <w:tblPrEx>
          <w:tblCellMar>
            <w:top w:w="15" w:type="dxa"/>
            <w:left w:w="15" w:type="dxa"/>
            <w:bottom w:w="15" w:type="dxa"/>
            <w:right w:w="15" w:type="dxa"/>
          </w:tblCellMar>
        </w:tblPrEx>
        <w:trPr>
          <w:trHeight w:val="551" w:hRule="atLeast"/>
        </w:trPr>
        <w:tc>
          <w:tcPr>
            <w:tcW w:w="4046" w:type="pct"/>
            <w:gridSpan w:val="3"/>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客观分总分</w:t>
            </w:r>
          </w:p>
        </w:tc>
        <w:tc>
          <w:tcPr>
            <w:tcW w:w="295" w:type="pc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line="240" w:lineRule="auto"/>
              <w:ind w:firstLine="0" w:firstLineChars="0"/>
              <w:jc w:val="center"/>
              <w:rPr>
                <w:rFonts w:hint="default" w:ascii="仿宋_GB2312" w:hAnsi="Times New Roman" w:eastAsia="仿宋_GB2312" w:cs="Times New Roman"/>
                <w:b/>
                <w:bCs/>
                <w:color w:val="auto"/>
                <w:sz w:val="21"/>
                <w:szCs w:val="24"/>
                <w:highlight w:val="none"/>
                <w:lang w:val="en-US" w:eastAsia="zh-CN"/>
              </w:rPr>
            </w:pPr>
            <w:r>
              <w:rPr>
                <w:rFonts w:hint="eastAsia" w:ascii="仿宋_GB2312" w:eastAsia="仿宋_GB2312" w:cs="Times New Roman"/>
                <w:b/>
                <w:bCs/>
                <w:color w:val="auto"/>
                <w:sz w:val="21"/>
                <w:szCs w:val="24"/>
                <w:highlight w:val="none"/>
                <w:lang w:val="en-US" w:eastAsia="zh-CN"/>
              </w:rPr>
              <w:t>48</w:t>
            </w:r>
          </w:p>
        </w:tc>
        <w:tc>
          <w:tcPr>
            <w:tcW w:w="65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default" w:ascii="仿宋_GB2312" w:hAnsi="Times New Roman" w:eastAsia="仿宋_GB2312" w:cs="Times New Roman"/>
                <w:b/>
                <w:bCs/>
                <w:color w:val="auto"/>
                <w:sz w:val="21"/>
                <w:szCs w:val="24"/>
                <w:highlight w:val="none"/>
                <w:lang w:val="en-US" w:eastAsia="zh-CN"/>
              </w:rPr>
            </w:pPr>
          </w:p>
        </w:tc>
      </w:tr>
    </w:tbl>
    <w:p>
      <w:pPr>
        <w:spacing w:line="240" w:lineRule="auto"/>
        <w:ind w:firstLine="0" w:firstLineChars="0"/>
        <w:jc w:val="both"/>
        <w:rPr>
          <w:rFonts w:ascii="仿宋_GB2312" w:hAnsi="Times New Roman" w:eastAsia="仿宋_GB2312" w:cs="Times New Roman"/>
          <w:color w:val="auto"/>
          <w:sz w:val="21"/>
          <w:szCs w:val="24"/>
          <w:highlight w:val="none"/>
        </w:rPr>
      </w:pPr>
    </w:p>
    <w:tbl>
      <w:tblPr>
        <w:tblStyle w:val="48"/>
        <w:tblW w:w="4803" w:type="pct"/>
        <w:tblInd w:w="0" w:type="dxa"/>
        <w:tblLayout w:type="autofit"/>
        <w:tblCellMar>
          <w:top w:w="15" w:type="dxa"/>
          <w:left w:w="15" w:type="dxa"/>
          <w:bottom w:w="15" w:type="dxa"/>
          <w:right w:w="15" w:type="dxa"/>
        </w:tblCellMar>
      </w:tblPr>
      <w:tblGrid>
        <w:gridCol w:w="793"/>
        <w:gridCol w:w="1020"/>
        <w:gridCol w:w="6470"/>
        <w:gridCol w:w="605"/>
        <w:gridCol w:w="1332"/>
      </w:tblGrid>
      <w:tr>
        <w:tblPrEx>
          <w:tblCellMar>
            <w:top w:w="15" w:type="dxa"/>
            <w:left w:w="15" w:type="dxa"/>
            <w:bottom w:w="15" w:type="dxa"/>
            <w:right w:w="15" w:type="dxa"/>
          </w:tblCellMar>
        </w:tblPrEx>
        <w:trPr>
          <w:trHeight w:val="665" w:hRule="atLeast"/>
        </w:trPr>
        <w:tc>
          <w:tcPr>
            <w:tcW w:w="0" w:type="auto"/>
            <w:gridSpan w:val="5"/>
            <w:tcBorders>
              <w:top w:val="single" w:color="333333" w:sz="6" w:space="0"/>
              <w:left w:val="single" w:color="333333" w:sz="6" w:space="0"/>
              <w:bottom w:val="single" w:color="333333" w:sz="6" w:space="0"/>
              <w:right w:val="single" w:color="333333" w:sz="6" w:space="0"/>
            </w:tcBorders>
            <w:shd w:val="clear" w:color="auto" w:fill="E6E6E6"/>
            <w:noWrap/>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32"/>
                <w:szCs w:val="32"/>
                <w:highlight w:val="none"/>
              </w:rPr>
            </w:pPr>
            <w:r>
              <w:rPr>
                <w:rFonts w:hint="eastAsia" w:ascii="仿宋_GB2312" w:hAnsi="Times New Roman" w:eastAsia="仿宋_GB2312" w:cs="Times New Roman"/>
                <w:b/>
                <w:bCs/>
                <w:color w:val="auto"/>
                <w:sz w:val="32"/>
                <w:szCs w:val="32"/>
                <w:highlight w:val="none"/>
              </w:rPr>
              <w:t>主观分</w:t>
            </w:r>
          </w:p>
        </w:tc>
      </w:tr>
      <w:tr>
        <w:tblPrEx>
          <w:tblCellMar>
            <w:top w:w="15" w:type="dxa"/>
            <w:left w:w="15" w:type="dxa"/>
            <w:bottom w:w="15" w:type="dxa"/>
            <w:right w:w="15" w:type="dxa"/>
          </w:tblCellMar>
        </w:tblPrEx>
        <w:trPr>
          <w:trHeight w:val="793" w:hRule="atLeast"/>
        </w:trPr>
        <w:tc>
          <w:tcPr>
            <w:tcW w:w="388"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评分项</w:t>
            </w: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评审因素</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评分标准说明</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分值</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对应的响应文件格式</w:t>
            </w:r>
          </w:p>
        </w:tc>
      </w:tr>
      <w:tr>
        <w:tblPrEx>
          <w:tblCellMar>
            <w:top w:w="15" w:type="dxa"/>
            <w:left w:w="15" w:type="dxa"/>
            <w:bottom w:w="15" w:type="dxa"/>
            <w:right w:w="15" w:type="dxa"/>
          </w:tblCellMar>
        </w:tblPrEx>
        <w:trPr>
          <w:trHeight w:val="2683" w:hRule="atLeast"/>
        </w:trPr>
        <w:tc>
          <w:tcPr>
            <w:tcW w:w="0" w:type="auto"/>
            <w:vMerge w:val="restar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服务方案</w:t>
            </w: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针对本项目的理解分析和工作</w:t>
            </w:r>
            <w:r>
              <w:rPr>
                <w:rFonts w:hint="eastAsia" w:ascii="仿宋_GB2312" w:eastAsia="仿宋_GB2312" w:cs="Times New Roman"/>
                <w:b/>
                <w:bCs/>
                <w:color w:val="auto"/>
                <w:sz w:val="21"/>
                <w:szCs w:val="24"/>
                <w:highlight w:val="none"/>
                <w:lang w:val="en-US" w:eastAsia="zh-CN"/>
              </w:rPr>
              <w:t>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一档（</w:t>
            </w:r>
            <w:r>
              <w:rPr>
                <w:rFonts w:hint="eastAsia" w:ascii="仿宋_GB2312" w:eastAsia="仿宋_GB2312" w:cs="Times New Roman"/>
                <w:b/>
                <w:bCs/>
                <w:color w:val="auto"/>
                <w:sz w:val="21"/>
                <w:szCs w:val="24"/>
                <w:highlight w:val="none"/>
                <w:lang w:val="en-US" w:eastAsia="zh-CN"/>
              </w:rPr>
              <w:t>7</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对项目需求理解透彻，方案针对需求，</w:t>
            </w:r>
            <w:r>
              <w:rPr>
                <w:rFonts w:hint="eastAsia" w:ascii="仿宋_GB2312" w:hAnsi="仿宋_GB2312" w:eastAsia="仿宋_GB2312" w:cs="仿宋_GB2312"/>
                <w:b w:val="0"/>
                <w:bCs w:val="0"/>
                <w:color w:val="auto"/>
                <w:highlight w:val="none"/>
              </w:rPr>
              <w:t>重点贴合实际</w:t>
            </w:r>
            <w:r>
              <w:rPr>
                <w:rFonts w:hint="eastAsia" w:ascii="仿宋_GB2312" w:hAnsi="仿宋_GB2312" w:eastAsia="仿宋_GB2312" w:cs="仿宋_GB2312"/>
                <w:b w:val="0"/>
                <w:bCs w:val="0"/>
                <w:color w:val="auto"/>
                <w:highlight w:val="none"/>
                <w:lang w:eastAsia="zh-CN"/>
              </w:rPr>
              <w:t>、</w:t>
            </w:r>
            <w:r>
              <w:rPr>
                <w:rFonts w:hint="eastAsia" w:ascii="仿宋_GB2312" w:hAnsi="Times New Roman" w:eastAsia="仿宋_GB2312" w:cs="Times New Roman"/>
                <w:color w:val="auto"/>
                <w:sz w:val="21"/>
                <w:szCs w:val="24"/>
                <w:highlight w:val="none"/>
              </w:rPr>
              <w:t>难点定位准确</w:t>
            </w:r>
            <w:r>
              <w:rPr>
                <w:rFonts w:hint="eastAsia" w:ascii="仿宋_GB2312" w:eastAsia="仿宋_GB2312" w:cs="Times New Roman"/>
                <w:color w:val="auto"/>
                <w:sz w:val="21"/>
                <w:szCs w:val="24"/>
                <w:highlight w:val="none"/>
                <w:lang w:eastAsia="zh-CN"/>
              </w:rPr>
              <w:t>，</w:t>
            </w:r>
            <w:r>
              <w:rPr>
                <w:rFonts w:hint="eastAsia" w:ascii="仿宋_GB2312" w:hAnsi="仿宋_GB2312" w:eastAsia="仿宋_GB2312" w:cs="仿宋_GB2312"/>
                <w:b w:val="0"/>
                <w:bCs w:val="0"/>
                <w:color w:val="auto"/>
                <w:highlight w:val="none"/>
              </w:rPr>
              <w:t>符合本项目实施情况</w:t>
            </w:r>
            <w:r>
              <w:rPr>
                <w:rFonts w:hint="eastAsia" w:ascii="仿宋_GB2312" w:hAnsi="仿宋_GB2312" w:eastAsia="仿宋_GB2312" w:cs="仿宋_GB2312"/>
                <w:b w:val="0"/>
                <w:bCs w:val="0"/>
                <w:color w:val="auto"/>
                <w:highlight w:val="none"/>
                <w:lang w:eastAsia="zh-CN"/>
              </w:rPr>
              <w:t>，</w:t>
            </w:r>
            <w:r>
              <w:rPr>
                <w:rFonts w:hint="eastAsia" w:ascii="仿宋_GB2312" w:hAnsi="Times New Roman" w:eastAsia="仿宋_GB2312" w:cs="Times New Roman"/>
                <w:color w:val="auto"/>
                <w:sz w:val="21"/>
                <w:szCs w:val="24"/>
                <w:highlight w:val="none"/>
              </w:rPr>
              <w:t xml:space="preserve">分析合理，措施得力，内容严谨、详细、有明显优势；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二档（</w:t>
            </w:r>
            <w:r>
              <w:rPr>
                <w:rFonts w:hint="eastAsia" w:ascii="仿宋_GB2312"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需求理解到位，方案基本满足采购需求，难点分析较合理；解决措施可行、较详细；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三档（</w:t>
            </w:r>
            <w:r>
              <w:rPr>
                <w:rFonts w:hint="eastAsia" w:ascii="仿宋_GB2312" w:hAnsi="Times New Roman" w:eastAsia="仿宋_GB2312" w:cs="Times New Roman"/>
                <w:b/>
                <w:bCs/>
                <w:color w:val="auto"/>
                <w:sz w:val="21"/>
                <w:szCs w:val="24"/>
                <w:highlight w:val="none"/>
                <w:lang w:val="en-US" w:eastAsia="zh-CN"/>
              </w:rPr>
              <w:t>1</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需求理解不够到位，方案和解决措施可行性和合理性较差。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lang w:val="en-US" w:eastAsia="zh-CN"/>
              </w:rPr>
              <w:t>注：1.该方案内容包括：</w:t>
            </w:r>
            <w:r>
              <w:rPr>
                <w:rFonts w:hint="eastAsia" w:ascii="仿宋_GB2312" w:hAnsi="Times New Roman" w:eastAsia="仿宋_GB2312" w:cs="Times New Roman"/>
                <w:b/>
                <w:bCs/>
                <w:color w:val="auto"/>
                <w:sz w:val="21"/>
                <w:szCs w:val="24"/>
                <w:highlight w:val="none"/>
              </w:rPr>
              <w:t>（1）针对本项目服务内容进行理解分析；（2）针对项目特点提出工作思路及方案； （3）分析工作中可能出现的服务重点和难点；（4）提出服务重点和难点相应解决措施。</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default" w:ascii="仿宋_GB2312" w:hAnsi="Times New Roman" w:eastAsia="仿宋_GB2312" w:cs="Times New Roman"/>
                <w:color w:val="auto"/>
                <w:sz w:val="21"/>
                <w:szCs w:val="24"/>
                <w:highlight w:val="none"/>
                <w:lang w:val="en-US" w:eastAsia="zh-CN"/>
              </w:rPr>
            </w:pPr>
            <w:r>
              <w:rPr>
                <w:rFonts w:hint="default" w:ascii="仿宋_GB2312" w:hAnsi="Times New Roman" w:eastAsia="仿宋_GB2312" w:cs="Times New Roman"/>
                <w:b/>
                <w:bCs/>
                <w:color w:val="auto"/>
                <w:sz w:val="21"/>
                <w:szCs w:val="24"/>
                <w:highlight w:val="none"/>
                <w:lang w:val="en-US" w:eastAsia="zh-CN"/>
              </w:rPr>
              <w:t>2.未提供方案或提供的内容与本项目无关的得0分。</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7</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针对本项目的理解分析和工作</w:t>
            </w:r>
            <w:r>
              <w:rPr>
                <w:rFonts w:hint="eastAsia" w:ascii="仿宋_GB2312" w:eastAsia="仿宋_GB2312" w:cs="Times New Roman"/>
                <w:color w:val="auto"/>
                <w:sz w:val="21"/>
                <w:szCs w:val="24"/>
                <w:highlight w:val="none"/>
                <w:lang w:val="en-US" w:eastAsia="zh-CN"/>
              </w:rPr>
              <w:t>方案</w:t>
            </w:r>
          </w:p>
        </w:tc>
      </w:tr>
      <w:tr>
        <w:tblPrEx>
          <w:tblCellMar>
            <w:top w:w="15" w:type="dxa"/>
            <w:left w:w="15" w:type="dxa"/>
            <w:bottom w:w="15" w:type="dxa"/>
            <w:right w:w="15" w:type="dxa"/>
          </w:tblCellMar>
        </w:tblPrEx>
        <w:trPr>
          <w:trHeight w:val="2683"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针对本项目的管理模式和管理机制</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一档（</w:t>
            </w:r>
            <w:r>
              <w:rPr>
                <w:rFonts w:hint="eastAsia" w:ascii="仿宋_GB2312" w:eastAsia="仿宋_GB2312" w:cs="Times New Roman"/>
                <w:b/>
                <w:bCs/>
                <w:color w:val="auto"/>
                <w:sz w:val="21"/>
                <w:szCs w:val="24"/>
                <w:highlight w:val="none"/>
                <w:lang w:val="en-US" w:eastAsia="zh-CN"/>
              </w:rPr>
              <w:t>7</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方案针对</w:t>
            </w:r>
            <w:r>
              <w:rPr>
                <w:rFonts w:hint="eastAsia" w:ascii="仿宋_GB2312" w:eastAsia="仿宋_GB2312"/>
                <w:color w:val="auto"/>
                <w:highlight w:val="none"/>
              </w:rPr>
              <w:t>本项目服务内容</w:t>
            </w:r>
            <w:r>
              <w:rPr>
                <w:rFonts w:hint="eastAsia" w:ascii="仿宋_GB2312" w:eastAsia="仿宋_GB2312"/>
                <w:color w:val="auto"/>
                <w:highlight w:val="none"/>
                <w:lang w:eastAsia="zh-CN"/>
              </w:rPr>
              <w:t>及</w:t>
            </w:r>
            <w:r>
              <w:rPr>
                <w:rFonts w:hint="eastAsia" w:ascii="仿宋_GB2312" w:hAnsi="Times New Roman" w:eastAsia="仿宋_GB2312" w:cs="Times New Roman"/>
                <w:color w:val="auto"/>
                <w:sz w:val="21"/>
                <w:szCs w:val="24"/>
                <w:highlight w:val="none"/>
              </w:rPr>
              <w:t>需求，</w:t>
            </w:r>
            <w:r>
              <w:rPr>
                <w:rFonts w:hint="eastAsia" w:ascii="仿宋_GB2312" w:hAnsi="仿宋_GB2312" w:eastAsia="仿宋_GB2312" w:cs="仿宋_GB2312"/>
                <w:color w:val="auto"/>
                <w:sz w:val="21"/>
                <w:szCs w:val="21"/>
                <w:highlight w:val="none"/>
              </w:rPr>
              <w:t>岗位责任制度在采购需求的基础上进一步细化，</w:t>
            </w:r>
            <w:r>
              <w:rPr>
                <w:rFonts w:hint="eastAsia" w:ascii="仿宋_GB2312" w:hAnsi="Times New Roman" w:eastAsia="仿宋_GB2312" w:cs="Times New Roman"/>
                <w:color w:val="auto"/>
                <w:sz w:val="21"/>
                <w:szCs w:val="24"/>
                <w:highlight w:val="none"/>
              </w:rPr>
              <w:t>切合实际，</w:t>
            </w:r>
            <w:r>
              <w:rPr>
                <w:rFonts w:hint="eastAsia" w:ascii="仿宋_GB2312" w:eastAsia="仿宋_GB2312"/>
                <w:color w:val="auto"/>
                <w:highlight w:val="none"/>
              </w:rPr>
              <w:t>具体实施能高度配合采购人相关工作，</w:t>
            </w:r>
            <w:r>
              <w:rPr>
                <w:rFonts w:hint="eastAsia" w:ascii="仿宋_GB2312" w:hAnsi="Times New Roman" w:eastAsia="仿宋_GB2312" w:cs="Times New Roman"/>
                <w:color w:val="auto"/>
                <w:sz w:val="21"/>
                <w:szCs w:val="24"/>
                <w:highlight w:val="none"/>
              </w:rPr>
              <w:t xml:space="preserve">科学合理，各项管理制度完善、详细、可行；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二档（</w:t>
            </w:r>
            <w:r>
              <w:rPr>
                <w:rFonts w:hint="eastAsia" w:ascii="仿宋_GB2312"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方案能较好满足采购需求，具有一定的科学合理性，各项管理制度较完善、详细；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三档（</w:t>
            </w:r>
            <w:r>
              <w:rPr>
                <w:rFonts w:hint="eastAsia" w:ascii="仿宋_GB2312" w:hAnsi="Times New Roman" w:eastAsia="仿宋_GB2312" w:cs="Times New Roman"/>
                <w:b/>
                <w:bCs/>
                <w:color w:val="auto"/>
                <w:sz w:val="21"/>
                <w:szCs w:val="24"/>
                <w:highlight w:val="none"/>
                <w:lang w:val="en-US" w:eastAsia="zh-CN"/>
              </w:rPr>
              <w:t>1</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基本满足采购需求，管理制度内容简单，操作基本可行。</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lang w:val="en-US" w:eastAsia="zh-CN"/>
              </w:rPr>
              <w:t>注：1.该方案内容包括：</w:t>
            </w:r>
            <w:r>
              <w:rPr>
                <w:rFonts w:hint="eastAsia" w:ascii="仿宋_GB2312" w:hAnsi="Times New Roman" w:eastAsia="仿宋_GB2312" w:cs="Times New Roman"/>
                <w:b/>
                <w:bCs/>
                <w:color w:val="auto"/>
                <w:sz w:val="21"/>
                <w:szCs w:val="24"/>
                <w:highlight w:val="none"/>
              </w:rPr>
              <w:t>（1）岗位责任制度；（2）服务沟通机制；（3）工作记录及档案管理（包括交接验收资料、巡视记录、档案管理、投诉与处理记录、其它管理与服务活动记录等）</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ascii="仿宋_GB2312" w:hAnsi="Times New Roman" w:eastAsia="仿宋_GB2312" w:cs="Times New Roman"/>
                <w:color w:val="auto"/>
                <w:sz w:val="21"/>
                <w:szCs w:val="24"/>
                <w:highlight w:val="none"/>
              </w:rPr>
            </w:pPr>
            <w:r>
              <w:rPr>
                <w:rFonts w:hint="default" w:ascii="仿宋_GB2312" w:hAnsi="Times New Roman" w:eastAsia="仿宋_GB2312" w:cs="Times New Roman"/>
                <w:b/>
                <w:bCs/>
                <w:color w:val="auto"/>
                <w:sz w:val="21"/>
                <w:szCs w:val="24"/>
                <w:highlight w:val="none"/>
                <w:lang w:val="en-US" w:eastAsia="zh-CN"/>
              </w:rPr>
              <w:t>2.未提供方案或提供的内容与本项目无关的得0分。</w:t>
            </w:r>
            <w:r>
              <w:rPr>
                <w:rFonts w:hint="eastAsia" w:ascii="仿宋_GB2312" w:hAnsi="Times New Roman" w:eastAsia="仿宋_GB2312" w:cs="Times New Roman"/>
                <w:color w:val="auto"/>
                <w:sz w:val="21"/>
                <w:szCs w:val="24"/>
                <w:highlight w:val="none"/>
              </w:rPr>
              <w:t xml:space="preserve"> </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7</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针对本项目的管理模式和管理机制</w:t>
            </w:r>
          </w:p>
        </w:tc>
      </w:tr>
      <w:tr>
        <w:tblPrEx>
          <w:tblCellMar>
            <w:top w:w="15" w:type="dxa"/>
            <w:left w:w="15" w:type="dxa"/>
            <w:bottom w:w="15" w:type="dxa"/>
            <w:right w:w="15" w:type="dxa"/>
          </w:tblCellMar>
        </w:tblPrEx>
        <w:trPr>
          <w:trHeight w:val="1603"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物业服务方案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pStyle w:val="818"/>
              <w:spacing w:line="400" w:lineRule="exact"/>
              <w:ind w:firstLine="422" w:firstLineChars="200"/>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一档（</w:t>
            </w:r>
            <w:r>
              <w:rPr>
                <w:rFonts w:hint="eastAsia" w:ascii="仿宋_GB2312" w:hAnsi="Times New Roman" w:eastAsia="仿宋_GB2312" w:cs="Times New Roman"/>
                <w:b/>
                <w:bCs/>
                <w:color w:val="auto"/>
                <w:sz w:val="21"/>
                <w:szCs w:val="24"/>
                <w:highlight w:val="none"/>
                <w:lang w:val="en-US" w:eastAsia="zh-CN"/>
              </w:rPr>
              <w:t>10</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各项方案完全</w:t>
            </w:r>
            <w:r>
              <w:rPr>
                <w:rFonts w:hint="eastAsia" w:ascii="仿宋_GB2312" w:eastAsia="仿宋_GB2312" w:cs="Times New Roman"/>
                <w:color w:val="auto"/>
                <w:sz w:val="21"/>
                <w:szCs w:val="24"/>
                <w:highlight w:val="none"/>
                <w:lang w:eastAsia="zh-CN"/>
              </w:rPr>
              <w:t>适用且优于</w:t>
            </w:r>
            <w:r>
              <w:rPr>
                <w:rFonts w:hint="eastAsia" w:ascii="仿宋_GB2312" w:hAnsi="Times New Roman" w:eastAsia="仿宋_GB2312" w:cs="Times New Roman"/>
                <w:color w:val="auto"/>
                <w:sz w:val="21"/>
                <w:szCs w:val="24"/>
                <w:highlight w:val="none"/>
              </w:rPr>
              <w:t>采购需求，</w:t>
            </w:r>
            <w:r>
              <w:rPr>
                <w:rFonts w:hint="eastAsia" w:ascii="仿宋_GB2312" w:hAnsi="仿宋_GB2312" w:eastAsia="仿宋_GB2312" w:cs="仿宋_GB2312"/>
                <w:color w:val="auto"/>
                <w:sz w:val="21"/>
                <w:szCs w:val="21"/>
                <w:highlight w:val="none"/>
              </w:rPr>
              <w:t>对</w:t>
            </w:r>
            <w:r>
              <w:rPr>
                <w:rFonts w:hint="eastAsia" w:ascii="仿宋_GB2312" w:hAnsi="仿宋_GB2312" w:eastAsia="仿宋_GB2312" w:cs="仿宋_GB2312"/>
                <w:color w:val="auto"/>
                <w:kern w:val="2"/>
                <w:sz w:val="21"/>
                <w:szCs w:val="21"/>
                <w:highlight w:val="none"/>
              </w:rPr>
              <w:t>需求中所涉及各项服务内容即综合管理方案</w:t>
            </w:r>
            <w:r>
              <w:rPr>
                <w:rFonts w:hint="eastAsia" w:ascii="仿宋_GB2312" w:hAnsi="仿宋_GB2312" w:eastAsia="仿宋_GB2312" w:cs="仿宋_GB2312"/>
                <w:color w:val="auto"/>
                <w:kern w:val="2"/>
                <w:sz w:val="21"/>
                <w:szCs w:val="21"/>
                <w:highlight w:val="none"/>
                <w:lang w:eastAsia="zh-CN"/>
              </w:rPr>
              <w:t>、学生公寓（宿舍）管理方案、校园内安全防范管理方案等内容</w:t>
            </w:r>
            <w:r>
              <w:rPr>
                <w:rFonts w:hint="eastAsia" w:ascii="仿宋_GB2312" w:hAnsi="仿宋_GB2312" w:eastAsia="仿宋_GB2312" w:cs="仿宋_GB2312"/>
                <w:color w:val="auto"/>
                <w:kern w:val="2"/>
                <w:sz w:val="21"/>
                <w:szCs w:val="21"/>
                <w:highlight w:val="none"/>
              </w:rPr>
              <w:t>描述丰富详细，</w:t>
            </w:r>
            <w:r>
              <w:rPr>
                <w:rFonts w:hint="eastAsia" w:ascii="仿宋_GB2312" w:hAnsi="仿宋_GB2312" w:eastAsia="仿宋_GB2312" w:cs="仿宋_GB2312"/>
                <w:b w:val="0"/>
                <w:bCs w:val="0"/>
                <w:color w:val="auto"/>
                <w:highlight w:val="none"/>
                <w:lang w:val="en-US" w:eastAsia="zh-CN"/>
              </w:rPr>
              <w:t>方案具</w:t>
            </w:r>
            <w:r>
              <w:rPr>
                <w:rFonts w:hint="eastAsia" w:ascii="仿宋_GB2312" w:hAnsi="仿宋_GB2312" w:eastAsia="仿宋_GB2312" w:cs="仿宋_GB2312"/>
                <w:b w:val="0"/>
                <w:bCs w:val="0"/>
                <w:color w:val="auto"/>
                <w:highlight w:val="none"/>
              </w:rPr>
              <w:t>有创新</w:t>
            </w:r>
            <w:r>
              <w:rPr>
                <w:rFonts w:hint="eastAsia" w:ascii="仿宋_GB2312" w:hAnsi="仿宋_GB2312" w:eastAsia="仿宋_GB2312" w:cs="仿宋_GB2312"/>
                <w:b w:val="0"/>
                <w:bCs w:val="0"/>
                <w:color w:val="auto"/>
                <w:highlight w:val="none"/>
                <w:lang w:eastAsia="zh-CN"/>
              </w:rPr>
              <w:t>性，</w:t>
            </w:r>
            <w:r>
              <w:rPr>
                <w:rFonts w:hint="eastAsia" w:ascii="仿宋_GB2312" w:hAnsi="Times New Roman" w:eastAsia="仿宋_GB2312" w:cs="Times New Roman"/>
                <w:color w:val="auto"/>
                <w:sz w:val="21"/>
                <w:szCs w:val="24"/>
                <w:highlight w:val="none"/>
              </w:rPr>
              <w:t>切合实际，科学合理，描述准确；</w:t>
            </w:r>
            <w:r>
              <w:rPr>
                <w:rFonts w:hint="eastAsia" w:ascii="仿宋_GB2312" w:hAnsi="仿宋_GB2312" w:eastAsia="仿宋_GB2312" w:cs="仿宋_GB2312"/>
                <w:b w:val="0"/>
                <w:bCs w:val="0"/>
                <w:color w:val="auto"/>
                <w:highlight w:val="none"/>
              </w:rPr>
              <w:t>各项工作</w:t>
            </w:r>
            <w:r>
              <w:rPr>
                <w:rFonts w:hint="eastAsia" w:ascii="仿宋_GB2312" w:hAnsi="Times New Roman" w:eastAsia="仿宋_GB2312" w:cs="Times New Roman"/>
                <w:color w:val="auto"/>
                <w:sz w:val="21"/>
                <w:szCs w:val="24"/>
                <w:highlight w:val="none"/>
              </w:rPr>
              <w:t xml:space="preserve">内容完善可行、针对性强；各个部门之间相互配合，联动性强；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二档（</w:t>
            </w:r>
            <w:r>
              <w:rPr>
                <w:rFonts w:hint="eastAsia" w:ascii="仿宋_GB2312" w:hAnsi="Times New Roman" w:eastAsia="仿宋_GB2312" w:cs="Times New Roman"/>
                <w:b/>
                <w:bCs/>
                <w:color w:val="auto"/>
                <w:sz w:val="21"/>
                <w:szCs w:val="24"/>
                <w:highlight w:val="none"/>
                <w:lang w:val="en-US" w:eastAsia="zh-CN"/>
              </w:rPr>
              <w:t>7</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方案能较好满足采购需求，对需求中所涉及各项服务内容有较为详细阐述</w:t>
            </w:r>
            <w:r>
              <w:rPr>
                <w:rFonts w:hint="eastAsia" w:ascii="仿宋_GB2312" w:eastAsia="仿宋_GB2312" w:cs="Times New Roman"/>
                <w:color w:val="auto"/>
                <w:sz w:val="21"/>
                <w:szCs w:val="24"/>
                <w:highlight w:val="none"/>
                <w:lang w:eastAsia="zh-CN"/>
              </w:rPr>
              <w:t>，</w:t>
            </w:r>
            <w:r>
              <w:rPr>
                <w:rFonts w:hint="eastAsia" w:ascii="仿宋_GB2312" w:hAnsi="Times New Roman" w:eastAsia="仿宋_GB2312" w:cs="Times New Roman"/>
                <w:color w:val="auto"/>
                <w:sz w:val="21"/>
                <w:szCs w:val="24"/>
                <w:highlight w:val="none"/>
              </w:rPr>
              <w:t xml:space="preserve">符合实际，具有一定的合理性，内容详细，针对性、可操作性较强；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三档（</w:t>
            </w:r>
            <w:r>
              <w:rPr>
                <w:rFonts w:hint="eastAsia" w:ascii="仿宋_GB2312" w:hAnsi="Times New Roman"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方案基本满足采购需求，科学合理性较弱，方案一般、简单，基本能操作。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eastAsia="仿宋_GB2312"/>
                <w:color w:val="auto"/>
                <w:highlight w:val="none"/>
                <w:lang w:val="en-US" w:eastAsia="zh-CN"/>
              </w:rPr>
            </w:pPr>
            <w:r>
              <w:rPr>
                <w:rFonts w:hint="eastAsia" w:ascii="仿宋_GB2312" w:hAnsi="Times New Roman" w:eastAsia="仿宋_GB2312" w:cs="Times New Roman"/>
                <w:color w:val="auto"/>
                <w:sz w:val="21"/>
                <w:szCs w:val="24"/>
                <w:highlight w:val="none"/>
                <w:lang w:val="en-US" w:eastAsia="zh-CN"/>
              </w:rPr>
              <w:t xml:space="preserve"> </w:t>
            </w:r>
            <w:r>
              <w:rPr>
                <w:rFonts w:hint="eastAsia" w:ascii="仿宋_GB2312" w:hAnsi="Times New Roman" w:eastAsia="仿宋_GB2312" w:cs="Times New Roman"/>
                <w:b/>
                <w:bCs/>
                <w:color w:val="auto"/>
                <w:sz w:val="21"/>
                <w:szCs w:val="24"/>
                <w:highlight w:val="none"/>
                <w:lang w:val="en-US" w:eastAsia="zh-CN"/>
              </w:rPr>
              <w:t>注：1.该方案内容包括：</w:t>
            </w:r>
            <w:r>
              <w:rPr>
                <w:rFonts w:hint="eastAsia" w:ascii="仿宋_GB2312" w:hAnsi="Times New Roman" w:eastAsia="仿宋_GB2312" w:cs="Times New Roman"/>
                <w:b/>
                <w:bCs/>
                <w:color w:val="auto"/>
                <w:sz w:val="21"/>
                <w:szCs w:val="24"/>
                <w:highlight w:val="none"/>
              </w:rPr>
              <w:t>（1）综合管理方案（公共业务受理、投诉处理、节能管理、档案管理、会议室的管理、标识管理等）；（2）学生公寓（宿舍）管理方案； （3）校园内安全防范管理方案；（4）校园房屋及设施设备的维护维修管理方案；（5）校园卫生保洁方案；（6）</w:t>
            </w:r>
            <w:r>
              <w:rPr>
                <w:rFonts w:hint="eastAsia" w:ascii="仿宋_GB2312" w:hAnsi="Times New Roman" w:eastAsia="仿宋_GB2312" w:cs="Times New Roman"/>
                <w:b/>
                <w:bCs/>
                <w:color w:val="auto"/>
                <w:sz w:val="21"/>
                <w:szCs w:val="24"/>
                <w:highlight w:val="none"/>
                <w:lang w:eastAsia="zh-CN"/>
              </w:rPr>
              <w:t>校园绿化养护方案；（</w:t>
            </w:r>
            <w:r>
              <w:rPr>
                <w:rFonts w:hint="eastAsia" w:ascii="仿宋_GB2312" w:hAnsi="Times New Roman" w:eastAsia="仿宋_GB2312" w:cs="Times New Roman"/>
                <w:b/>
                <w:bCs/>
                <w:color w:val="auto"/>
                <w:sz w:val="21"/>
                <w:szCs w:val="24"/>
                <w:highlight w:val="none"/>
                <w:lang w:val="en-US" w:eastAsia="zh-CN"/>
              </w:rPr>
              <w:t>7</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rPr>
              <w:t>寒暑假工作方案</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lang w:val="en-US" w:eastAsia="zh-CN"/>
              </w:rPr>
              <w:t>8</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rPr>
              <w:t>进场</w:t>
            </w:r>
            <w:r>
              <w:rPr>
                <w:rFonts w:hint="eastAsia" w:ascii="仿宋_GB2312" w:hAnsi="Times New Roman" w:eastAsia="仿宋_GB2312" w:cs="Times New Roman"/>
                <w:b/>
                <w:bCs/>
                <w:color w:val="auto"/>
                <w:sz w:val="21"/>
                <w:szCs w:val="24"/>
                <w:highlight w:val="none"/>
                <w:lang w:eastAsia="zh-CN"/>
              </w:rPr>
              <w:t>、退场</w:t>
            </w:r>
            <w:r>
              <w:rPr>
                <w:rFonts w:hint="eastAsia" w:ascii="仿宋_GB2312" w:hAnsi="Times New Roman" w:eastAsia="仿宋_GB2312" w:cs="Times New Roman"/>
                <w:b/>
                <w:bCs/>
                <w:color w:val="auto"/>
                <w:sz w:val="21"/>
                <w:szCs w:val="24"/>
                <w:highlight w:val="none"/>
              </w:rPr>
              <w:t>交接方案</w:t>
            </w:r>
            <w:r>
              <w:rPr>
                <w:rFonts w:hint="eastAsia" w:ascii="仿宋_GB2312" w:hAnsi="Times New Roman" w:eastAsia="仿宋_GB2312" w:cs="Times New Roman"/>
                <w:b/>
                <w:bCs/>
                <w:color w:val="auto"/>
                <w:sz w:val="21"/>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val="en-US" w:eastAsia="zh-CN"/>
              </w:rPr>
            </w:pPr>
            <w:r>
              <w:rPr>
                <w:rFonts w:hint="default" w:ascii="仿宋_GB2312" w:hAnsi="Times New Roman" w:eastAsia="仿宋_GB2312" w:cs="Times New Roman"/>
                <w:b/>
                <w:bCs/>
                <w:color w:val="auto"/>
                <w:sz w:val="21"/>
                <w:szCs w:val="24"/>
                <w:highlight w:val="none"/>
                <w:lang w:val="en-US" w:eastAsia="zh-CN"/>
              </w:rPr>
              <w:t>2.未提供方案或提供的内容与本项目无关的得0分。</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default" w:ascii="仿宋_GB2312" w:hAnsi="Times New Roman" w:eastAsia="仿宋_GB2312" w:cs="Times New Roman"/>
                <w:b/>
                <w:bCs/>
                <w:color w:val="auto"/>
                <w:sz w:val="21"/>
                <w:szCs w:val="24"/>
                <w:highlight w:val="none"/>
                <w:lang w:val="en-US" w:eastAsia="zh-CN"/>
              </w:rPr>
            </w:pPr>
            <w:r>
              <w:rPr>
                <w:rFonts w:hint="eastAsia" w:ascii="仿宋_GB2312" w:hAnsi="Times New Roman" w:eastAsia="仿宋_GB2312" w:cs="Times New Roman"/>
                <w:b/>
                <w:bCs/>
                <w:color w:val="auto"/>
                <w:sz w:val="21"/>
                <w:szCs w:val="24"/>
                <w:highlight w:val="none"/>
                <w:lang w:val="en-US" w:eastAsia="zh-CN"/>
              </w:rPr>
              <w:t>10</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物业服务方案</w:t>
            </w:r>
          </w:p>
        </w:tc>
      </w:tr>
      <w:tr>
        <w:tblPrEx>
          <w:tblCellMar>
            <w:top w:w="15" w:type="dxa"/>
            <w:left w:w="15" w:type="dxa"/>
            <w:bottom w:w="15" w:type="dxa"/>
            <w:right w:w="15" w:type="dxa"/>
          </w:tblCellMar>
        </w:tblPrEx>
        <w:trPr>
          <w:trHeight w:val="498"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应急预案和应急配合方案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一档（</w:t>
            </w:r>
            <w:r>
              <w:rPr>
                <w:rFonts w:hint="eastAsia" w:ascii="仿宋_GB2312" w:eastAsia="仿宋_GB2312" w:cs="Times New Roman"/>
                <w:b/>
                <w:bCs/>
                <w:color w:val="auto"/>
                <w:sz w:val="21"/>
                <w:szCs w:val="24"/>
                <w:highlight w:val="none"/>
                <w:lang w:val="en-US" w:eastAsia="zh-CN"/>
              </w:rPr>
              <w:t>6</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方案符合本项目需求，报告程序、处理措施、注意事项及相关记录科学合理，可操作性强，内容全面、详尽，针对性强，有完善的相应应急预案、流程；联动联防机制保障力度强，应急措施从项目实际出发，针对性强，实施性强</w:t>
            </w:r>
            <w:r>
              <w:rPr>
                <w:rFonts w:hint="eastAsia" w:ascii="仿宋_GB2312" w:hAnsi="Times New Roman" w:eastAsia="仿宋_GB2312" w:cs="Times New Roman"/>
                <w:color w:val="auto"/>
                <w:sz w:val="21"/>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二档（</w:t>
            </w:r>
            <w:r>
              <w:rPr>
                <w:rFonts w:hint="eastAsia" w:ascii="仿宋_GB2312"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方案具有一定的科学性、可操作性较强，内容</w:t>
            </w:r>
            <w:r>
              <w:rPr>
                <w:rFonts w:hint="eastAsia" w:ascii="仿宋_GB2312" w:eastAsia="仿宋_GB2312" w:cs="Times New Roman"/>
                <w:color w:val="auto"/>
                <w:sz w:val="21"/>
                <w:szCs w:val="24"/>
                <w:highlight w:val="none"/>
                <w:lang w:eastAsia="zh-CN"/>
              </w:rPr>
              <w:t>较</w:t>
            </w:r>
            <w:r>
              <w:rPr>
                <w:rFonts w:hint="eastAsia" w:ascii="仿宋_GB2312" w:hAnsi="Times New Roman" w:eastAsia="仿宋_GB2312" w:cs="Times New Roman"/>
                <w:color w:val="auto"/>
                <w:sz w:val="21"/>
                <w:szCs w:val="24"/>
                <w:highlight w:val="none"/>
              </w:rPr>
              <w:t>全面、详尽，应急措施</w:t>
            </w:r>
            <w:r>
              <w:rPr>
                <w:rFonts w:hint="eastAsia" w:ascii="仿宋_GB2312" w:eastAsia="仿宋_GB2312" w:cs="Times New Roman"/>
                <w:color w:val="auto"/>
                <w:sz w:val="21"/>
                <w:szCs w:val="24"/>
                <w:highlight w:val="none"/>
                <w:lang w:eastAsia="zh-CN"/>
              </w:rPr>
              <w:t>较</w:t>
            </w:r>
            <w:r>
              <w:rPr>
                <w:rFonts w:hint="eastAsia" w:ascii="仿宋_GB2312" w:hAnsi="Times New Roman" w:eastAsia="仿宋_GB2312" w:cs="Times New Roman"/>
                <w:color w:val="auto"/>
                <w:sz w:val="21"/>
                <w:szCs w:val="24"/>
                <w:highlight w:val="none"/>
              </w:rPr>
              <w:t xml:space="preserve">可行、有保障，有相应的预案演练方案、流程；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val="en-US" w:eastAsia="zh-CN"/>
              </w:rPr>
            </w:pPr>
            <w:r>
              <w:rPr>
                <w:rFonts w:hint="eastAsia" w:ascii="仿宋_GB2312" w:hAnsi="Times New Roman" w:eastAsia="仿宋_GB2312" w:cs="Times New Roman"/>
                <w:b/>
                <w:bCs/>
                <w:color w:val="auto"/>
                <w:sz w:val="21"/>
                <w:szCs w:val="24"/>
                <w:highlight w:val="none"/>
              </w:rPr>
              <w:t>三档（</w:t>
            </w:r>
            <w:r>
              <w:rPr>
                <w:rFonts w:hint="eastAsia" w:ascii="仿宋_GB2312" w:eastAsia="仿宋_GB2312" w:cs="Times New Roman"/>
                <w:b/>
                <w:bCs/>
                <w:color w:val="auto"/>
                <w:sz w:val="21"/>
                <w:szCs w:val="24"/>
                <w:highlight w:val="none"/>
                <w:lang w:val="en-US" w:eastAsia="zh-CN"/>
              </w:rPr>
              <w:t>2</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方案有</w:t>
            </w:r>
            <w:r>
              <w:rPr>
                <w:rFonts w:hint="eastAsia" w:ascii="仿宋_GB2312" w:eastAsia="仿宋_GB2312" w:cs="Times New Roman"/>
                <w:color w:val="auto"/>
                <w:sz w:val="21"/>
                <w:szCs w:val="24"/>
                <w:highlight w:val="none"/>
                <w:lang w:eastAsia="zh-CN"/>
              </w:rPr>
              <w:t>基本</w:t>
            </w:r>
            <w:r>
              <w:rPr>
                <w:rFonts w:hint="eastAsia" w:ascii="仿宋_GB2312" w:hAnsi="Times New Roman" w:eastAsia="仿宋_GB2312" w:cs="Times New Roman"/>
                <w:color w:val="auto"/>
                <w:sz w:val="21"/>
                <w:szCs w:val="24"/>
                <w:highlight w:val="none"/>
              </w:rPr>
              <w:t>符合本项目的应急措施，各项措施</w:t>
            </w:r>
            <w:r>
              <w:rPr>
                <w:rFonts w:hint="eastAsia" w:ascii="仿宋_GB2312" w:eastAsia="仿宋_GB2312" w:cs="Times New Roman"/>
                <w:color w:val="auto"/>
                <w:sz w:val="21"/>
                <w:szCs w:val="24"/>
                <w:highlight w:val="none"/>
                <w:lang w:eastAsia="zh-CN"/>
              </w:rPr>
              <w:t>简单</w:t>
            </w:r>
            <w:r>
              <w:rPr>
                <w:rFonts w:hint="eastAsia" w:ascii="仿宋_GB2312" w:hAnsi="Times New Roman" w:eastAsia="仿宋_GB2312" w:cs="Times New Roman"/>
                <w:color w:val="auto"/>
                <w:sz w:val="21"/>
                <w:szCs w:val="24"/>
                <w:highlight w:val="none"/>
              </w:rPr>
              <w:t>，内容</w:t>
            </w:r>
            <w:r>
              <w:rPr>
                <w:rFonts w:hint="eastAsia" w:ascii="仿宋_GB2312" w:eastAsia="仿宋_GB2312" w:cs="Times New Roman"/>
                <w:color w:val="auto"/>
                <w:sz w:val="21"/>
                <w:szCs w:val="24"/>
                <w:highlight w:val="none"/>
                <w:lang w:eastAsia="zh-CN"/>
              </w:rPr>
              <w:t>一般</w:t>
            </w:r>
            <w:r>
              <w:rPr>
                <w:rFonts w:hint="eastAsia" w:ascii="仿宋_GB2312" w:hAnsi="Times New Roman" w:eastAsia="仿宋_GB2312" w:cs="Times New Roman"/>
                <w:color w:val="auto"/>
                <w:sz w:val="21"/>
                <w:szCs w:val="24"/>
                <w:highlight w:val="none"/>
              </w:rPr>
              <w:t>。</w:t>
            </w:r>
            <w:r>
              <w:rPr>
                <w:rFonts w:hint="eastAsia" w:ascii="仿宋_GB2312" w:hAnsi="Times New Roman" w:eastAsia="仿宋_GB2312" w:cs="Times New Roman"/>
                <w:color w:val="auto"/>
                <w:sz w:val="21"/>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b/>
                <w:bCs/>
                <w:color w:val="auto"/>
                <w:sz w:val="21"/>
                <w:szCs w:val="24"/>
                <w:highlight w:val="none"/>
                <w:lang w:eastAsia="zh-CN"/>
              </w:rPr>
            </w:pPr>
            <w:r>
              <w:rPr>
                <w:rFonts w:hint="eastAsia" w:ascii="仿宋_GB2312" w:hAnsi="Times New Roman" w:eastAsia="仿宋_GB2312" w:cs="Times New Roman"/>
                <w:b/>
                <w:bCs/>
                <w:color w:val="auto"/>
                <w:sz w:val="21"/>
                <w:szCs w:val="24"/>
                <w:highlight w:val="none"/>
                <w:lang w:val="en-US" w:eastAsia="zh-CN"/>
              </w:rPr>
              <w:t>注：1.该方案内容包括：</w:t>
            </w:r>
            <w:r>
              <w:rPr>
                <w:rFonts w:hint="eastAsia" w:ascii="仿宋_GB2312" w:hAnsi="Times New Roman" w:eastAsia="仿宋_GB2312" w:cs="Times New Roman"/>
                <w:b/>
                <w:bCs/>
                <w:color w:val="auto"/>
                <w:sz w:val="21"/>
                <w:szCs w:val="24"/>
                <w:highlight w:val="none"/>
              </w:rPr>
              <w:t>（1）校园安全方面；（2）突发火灾及停电方面；（3）设备故障方面；（4）公共卫生方面</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lang w:val="en-US" w:eastAsia="zh-CN"/>
              </w:rPr>
              <w:t>5</w:t>
            </w:r>
            <w:r>
              <w:rPr>
                <w:rFonts w:hint="eastAsia" w:ascii="仿宋_GB2312" w:hAnsi="Times New Roman" w:eastAsia="仿宋_GB2312" w:cs="Times New Roman"/>
                <w:b/>
                <w:bCs/>
                <w:color w:val="auto"/>
                <w:sz w:val="21"/>
                <w:szCs w:val="24"/>
                <w:highlight w:val="none"/>
                <w:lang w:eastAsia="zh-CN"/>
              </w:rPr>
              <w:t>）绿化养护</w:t>
            </w:r>
            <w:r>
              <w:rPr>
                <w:rFonts w:hint="eastAsia" w:ascii="仿宋_GB2312" w:eastAsia="仿宋_GB2312" w:cs="Times New Roman"/>
                <w:b/>
                <w:bCs/>
                <w:color w:val="auto"/>
                <w:sz w:val="21"/>
                <w:szCs w:val="24"/>
                <w:highlight w:val="none"/>
                <w:lang w:eastAsia="zh-CN"/>
              </w:rPr>
              <w:t>应急预案</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default" w:ascii="仿宋_GB2312" w:hAnsi="Times New Roman" w:eastAsia="仿宋_GB2312" w:cs="Times New Roman"/>
                <w:b/>
                <w:bCs/>
                <w:color w:val="auto"/>
                <w:sz w:val="21"/>
                <w:szCs w:val="24"/>
                <w:highlight w:val="none"/>
                <w:lang w:val="en-US" w:eastAsia="zh-CN"/>
              </w:rPr>
              <w:t>2.未提供方案或提供的内容与本项目无关的得0分。</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6</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应急预案和应急配合方案</w:t>
            </w:r>
          </w:p>
        </w:tc>
      </w:tr>
      <w:tr>
        <w:tblPrEx>
          <w:tblCellMar>
            <w:top w:w="15" w:type="dxa"/>
            <w:left w:w="15" w:type="dxa"/>
            <w:bottom w:w="15" w:type="dxa"/>
            <w:right w:w="15" w:type="dxa"/>
          </w:tblCellMar>
        </w:tblPrEx>
        <w:trPr>
          <w:trHeight w:val="1446"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人员管理</w:t>
            </w:r>
            <w:r>
              <w:rPr>
                <w:rFonts w:hint="eastAsia" w:ascii="仿宋_GB2312" w:hAnsi="Times New Roman" w:eastAsia="仿宋_GB2312" w:cs="Times New Roman"/>
                <w:b/>
                <w:bCs/>
                <w:color w:val="auto"/>
                <w:sz w:val="21"/>
                <w:szCs w:val="24"/>
                <w:highlight w:val="none"/>
                <w:lang w:eastAsia="zh-CN"/>
              </w:rPr>
              <w:t>及稳定性</w:t>
            </w:r>
            <w:r>
              <w:rPr>
                <w:rFonts w:hint="eastAsia" w:ascii="仿宋_GB2312" w:hAnsi="Times New Roman" w:eastAsia="仿宋_GB2312" w:cs="Times New Roman"/>
                <w:b/>
                <w:bCs/>
                <w:color w:val="auto"/>
                <w:sz w:val="21"/>
                <w:szCs w:val="24"/>
                <w:highlight w:val="none"/>
              </w:rPr>
              <w:t>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一档（</w:t>
            </w:r>
            <w:r>
              <w:rPr>
                <w:rFonts w:hint="eastAsia" w:ascii="仿宋_GB2312" w:eastAsia="仿宋_GB2312" w:cs="Times New Roman"/>
                <w:b/>
                <w:bCs/>
                <w:color w:val="auto"/>
                <w:sz w:val="21"/>
                <w:szCs w:val="24"/>
                <w:highlight w:val="none"/>
                <w:lang w:val="en-US" w:eastAsia="zh-CN"/>
              </w:rPr>
              <w:t>6</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方案科学合理，方案针对需求，切合实际，稳定性、针对性强，方案详细、全面、可行；各项管理制度完善、详细、可行；人员考核制度与奖惩制度相配，制度能有效激励服务人员积极工作；</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二档（</w:t>
            </w:r>
            <w:r>
              <w:rPr>
                <w:rFonts w:hint="eastAsia" w:ascii="仿宋_GB2312"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方案能较好服务本项目，服务团队组建方案具有一定的合理性稳定性、针对性较强，方案较详细、可行，有针对本项目的职前培训方案；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三档（</w:t>
            </w:r>
            <w:r>
              <w:rPr>
                <w:rFonts w:hint="eastAsia" w:ascii="仿宋_GB2312" w:eastAsia="仿宋_GB2312" w:cs="Times New Roman"/>
                <w:b/>
                <w:bCs/>
                <w:color w:val="auto"/>
                <w:sz w:val="21"/>
                <w:szCs w:val="24"/>
                <w:highlight w:val="none"/>
                <w:lang w:val="en-US" w:eastAsia="zh-CN"/>
              </w:rPr>
              <w:t>2</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方案一般，基本满足项目服务要求。方案满足采购需求，管理制度内容简单，操作基本可行。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b/>
                <w:bCs/>
                <w:color w:val="auto"/>
                <w:sz w:val="21"/>
                <w:szCs w:val="24"/>
                <w:highlight w:val="none"/>
                <w:lang w:eastAsia="zh-CN"/>
              </w:rPr>
            </w:pPr>
            <w:r>
              <w:rPr>
                <w:rFonts w:hint="eastAsia" w:ascii="仿宋_GB2312" w:hAnsi="Times New Roman" w:eastAsia="仿宋_GB2312" w:cs="Times New Roman"/>
                <w:b/>
                <w:bCs/>
                <w:color w:val="auto"/>
                <w:sz w:val="21"/>
                <w:szCs w:val="24"/>
                <w:highlight w:val="none"/>
                <w:lang w:val="en-US" w:eastAsia="zh-CN"/>
              </w:rPr>
              <w:t>注：1.该方案内容包括：</w:t>
            </w:r>
            <w:r>
              <w:rPr>
                <w:rFonts w:hint="eastAsia" w:ascii="仿宋_GB2312" w:hAnsi="Times New Roman" w:eastAsia="仿宋_GB2312" w:cs="Times New Roman"/>
                <w:b/>
                <w:bCs/>
                <w:color w:val="auto"/>
                <w:sz w:val="21"/>
                <w:szCs w:val="24"/>
                <w:highlight w:val="none"/>
              </w:rPr>
              <w:t>（1）服务团队组建方案；（</w:t>
            </w:r>
            <w:r>
              <w:rPr>
                <w:rFonts w:hint="eastAsia" w:ascii="仿宋_GB2312" w:hAnsi="Times New Roman" w:eastAsia="仿宋_GB2312" w:cs="Times New Roman"/>
                <w:b/>
                <w:bCs/>
                <w:color w:val="auto"/>
                <w:sz w:val="21"/>
                <w:szCs w:val="24"/>
                <w:highlight w:val="none"/>
                <w:lang w:val="en-US" w:eastAsia="zh-CN"/>
              </w:rPr>
              <w:t>2</w:t>
            </w:r>
            <w:r>
              <w:rPr>
                <w:rFonts w:hint="eastAsia" w:ascii="仿宋_GB2312" w:hAnsi="Times New Roman" w:eastAsia="仿宋_GB2312" w:cs="Times New Roman"/>
                <w:b/>
                <w:bCs/>
                <w:color w:val="auto"/>
                <w:sz w:val="21"/>
                <w:szCs w:val="24"/>
                <w:highlight w:val="none"/>
              </w:rPr>
              <w:t>）人员考核制度；（</w:t>
            </w:r>
            <w:r>
              <w:rPr>
                <w:rFonts w:hint="eastAsia" w:ascii="仿宋_GB2312" w:hAnsi="Times New Roman" w:eastAsia="仿宋_GB2312" w:cs="Times New Roman"/>
                <w:b/>
                <w:bCs/>
                <w:color w:val="auto"/>
                <w:sz w:val="21"/>
                <w:szCs w:val="24"/>
                <w:highlight w:val="none"/>
                <w:lang w:val="en-US" w:eastAsia="zh-CN"/>
              </w:rPr>
              <w:t>3</w:t>
            </w:r>
            <w:r>
              <w:rPr>
                <w:rFonts w:hint="eastAsia" w:ascii="仿宋_GB2312" w:hAnsi="Times New Roman" w:eastAsia="仿宋_GB2312" w:cs="Times New Roman"/>
                <w:b/>
                <w:bCs/>
                <w:color w:val="auto"/>
                <w:sz w:val="21"/>
                <w:szCs w:val="24"/>
                <w:highlight w:val="none"/>
              </w:rPr>
              <w:t>）培训制度；（</w:t>
            </w:r>
            <w:r>
              <w:rPr>
                <w:rFonts w:hint="eastAsia" w:ascii="仿宋_GB2312" w:hAnsi="Times New Roman"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）奖惩制度</w:t>
            </w:r>
            <w:r>
              <w:rPr>
                <w:rFonts w:hint="eastAsia" w:ascii="仿宋_GB2312" w:hAnsi="Times New Roman" w:eastAsia="仿宋_GB2312" w:cs="Times New Roman"/>
                <w:b/>
                <w:bCs/>
                <w:color w:val="auto"/>
                <w:sz w:val="21"/>
                <w:szCs w:val="24"/>
                <w:highlight w:val="none"/>
                <w:lang w:eastAsia="zh-CN"/>
              </w:rPr>
              <w:t>；</w:t>
            </w:r>
            <w:r>
              <w:rPr>
                <w:rFonts w:hint="eastAsia" w:ascii="仿宋_GB2312" w:hAnsi="Times New Roman" w:eastAsia="仿宋_GB2312" w:cs="Times New Roman"/>
                <w:b/>
                <w:bCs/>
                <w:color w:val="auto"/>
                <w:sz w:val="21"/>
                <w:szCs w:val="24"/>
                <w:highlight w:val="none"/>
              </w:rPr>
              <w:t>（</w:t>
            </w:r>
            <w:r>
              <w:rPr>
                <w:rFonts w:hint="eastAsia" w:ascii="仿宋_GB2312" w:hAnsi="Times New Roman" w:eastAsia="仿宋_GB2312" w:cs="Times New Roman"/>
                <w:b/>
                <w:bCs/>
                <w:color w:val="auto"/>
                <w:sz w:val="21"/>
                <w:szCs w:val="24"/>
                <w:highlight w:val="none"/>
                <w:lang w:val="en-US" w:eastAsia="zh-CN"/>
              </w:rPr>
              <w:t>5</w:t>
            </w:r>
            <w:r>
              <w:rPr>
                <w:rFonts w:hint="eastAsia" w:ascii="仿宋_GB2312" w:hAnsi="Times New Roman" w:eastAsia="仿宋_GB2312" w:cs="Times New Roman"/>
                <w:b/>
                <w:bCs/>
                <w:color w:val="auto"/>
                <w:sz w:val="21"/>
                <w:szCs w:val="24"/>
                <w:highlight w:val="none"/>
              </w:rPr>
              <w:t>）人员稳定性方案及承诺</w:t>
            </w:r>
            <w:r>
              <w:rPr>
                <w:rFonts w:hint="eastAsia" w:ascii="仿宋_GB2312" w:hAnsi="Times New Roman" w:eastAsia="仿宋_GB2312" w:cs="Times New Roman"/>
                <w:b/>
                <w:bCs/>
                <w:color w:val="auto"/>
                <w:sz w:val="21"/>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default" w:ascii="仿宋_GB2312" w:hAnsi="Times New Roman" w:eastAsia="仿宋_GB2312" w:cs="Times New Roman"/>
                <w:b/>
                <w:bCs/>
                <w:color w:val="auto"/>
                <w:sz w:val="21"/>
                <w:szCs w:val="24"/>
                <w:highlight w:val="none"/>
                <w:lang w:val="en-US" w:eastAsia="zh-CN"/>
              </w:rPr>
              <w:t>2.未提供方案或提供的内容与本项目无关的得0分。</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eastAsia="仿宋_GB2312" w:cs="Times New Roman"/>
                <w:b/>
                <w:bCs/>
                <w:color w:val="auto"/>
                <w:sz w:val="21"/>
                <w:szCs w:val="24"/>
                <w:highlight w:val="none"/>
                <w:lang w:val="en-US" w:eastAsia="zh-CN"/>
              </w:rPr>
              <w:t>6</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人员管理方案</w:t>
            </w:r>
          </w:p>
        </w:tc>
      </w:tr>
      <w:tr>
        <w:tblPrEx>
          <w:tblCellMar>
            <w:top w:w="15" w:type="dxa"/>
            <w:left w:w="15" w:type="dxa"/>
            <w:bottom w:w="15" w:type="dxa"/>
            <w:right w:w="15" w:type="dxa"/>
          </w:tblCellMar>
        </w:tblPrEx>
        <w:trPr>
          <w:trHeight w:val="2413"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垃圾分类实施方案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一档（</w:t>
            </w:r>
            <w:r>
              <w:rPr>
                <w:rFonts w:hint="eastAsia" w:ascii="仿宋_GB2312" w:eastAsia="仿宋_GB2312" w:cs="Times New Roman"/>
                <w:b/>
                <w:bCs/>
                <w:color w:val="auto"/>
                <w:sz w:val="21"/>
                <w:szCs w:val="24"/>
                <w:highlight w:val="none"/>
                <w:lang w:val="en-US" w:eastAsia="zh-CN"/>
              </w:rPr>
              <w:t>6</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垃圾分类实施方案</w:t>
            </w:r>
            <w:r>
              <w:rPr>
                <w:rFonts w:hint="eastAsia" w:ascii="仿宋_GB2312" w:eastAsia="仿宋_GB2312" w:cs="Times New Roman"/>
                <w:color w:val="auto"/>
                <w:sz w:val="21"/>
                <w:szCs w:val="24"/>
                <w:highlight w:val="none"/>
                <w:lang w:eastAsia="zh-CN"/>
              </w:rPr>
              <w:t>明确清晰，</w:t>
            </w:r>
            <w:r>
              <w:rPr>
                <w:rFonts w:hint="eastAsia" w:ascii="仿宋_GB2312" w:hAnsi="Times New Roman" w:eastAsia="仿宋_GB2312" w:cs="Times New Roman"/>
                <w:color w:val="auto"/>
                <w:sz w:val="21"/>
                <w:szCs w:val="24"/>
                <w:highlight w:val="none"/>
              </w:rPr>
              <w:t xml:space="preserve">科学合理，切合实际，稳定性、针对性强，方案详细、全面、可行；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二档（</w:t>
            </w:r>
            <w:r>
              <w:rPr>
                <w:rFonts w:hint="eastAsia" w:ascii="仿宋_GB2312" w:eastAsia="仿宋_GB2312" w:cs="Times New Roman"/>
                <w:b/>
                <w:bCs/>
                <w:color w:val="auto"/>
                <w:sz w:val="21"/>
                <w:szCs w:val="24"/>
                <w:highlight w:val="none"/>
                <w:lang w:val="en-US" w:eastAsia="zh-CN"/>
              </w:rPr>
              <w:t>4</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垃圾分类实施方案具有一定的合理性稳定性、针对性较强，方案较详细、可行；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b/>
                <w:bCs/>
                <w:color w:val="auto"/>
                <w:sz w:val="21"/>
                <w:szCs w:val="24"/>
                <w:highlight w:val="none"/>
              </w:rPr>
              <w:t>三档（</w:t>
            </w:r>
            <w:r>
              <w:rPr>
                <w:rFonts w:hint="eastAsia" w:ascii="仿宋_GB2312" w:eastAsia="仿宋_GB2312" w:cs="Times New Roman"/>
                <w:b/>
                <w:bCs/>
                <w:color w:val="auto"/>
                <w:sz w:val="21"/>
                <w:szCs w:val="24"/>
                <w:highlight w:val="none"/>
                <w:lang w:val="en-US" w:eastAsia="zh-CN"/>
              </w:rPr>
              <w:t>2</w:t>
            </w:r>
            <w:r>
              <w:rPr>
                <w:rFonts w:hint="eastAsia" w:ascii="仿宋_GB2312" w:hAnsi="Times New Roman" w:eastAsia="仿宋_GB2312" w:cs="Times New Roman"/>
                <w:b/>
                <w:bCs/>
                <w:color w:val="auto"/>
                <w:sz w:val="21"/>
                <w:szCs w:val="24"/>
                <w:highlight w:val="none"/>
              </w:rPr>
              <w:t>分）：</w:t>
            </w:r>
            <w:r>
              <w:rPr>
                <w:rFonts w:hint="eastAsia" w:ascii="仿宋_GB2312" w:hAnsi="Times New Roman" w:eastAsia="仿宋_GB2312" w:cs="Times New Roman"/>
                <w:color w:val="auto"/>
                <w:sz w:val="21"/>
                <w:szCs w:val="24"/>
                <w:highlight w:val="none"/>
              </w:rPr>
              <w:t xml:space="preserve">垃圾分类实施方案一般，基本满足垃圾分类工作要求。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b/>
                <w:bCs/>
                <w:color w:val="auto"/>
                <w:sz w:val="21"/>
                <w:szCs w:val="24"/>
                <w:highlight w:val="none"/>
                <w:lang w:val="en-US" w:eastAsia="zh-CN"/>
              </w:rPr>
              <w:t>注：1.该方案内容包括：</w:t>
            </w:r>
            <w:r>
              <w:rPr>
                <w:rFonts w:hint="eastAsia" w:ascii="仿宋_GB2312" w:hAnsi="Times New Roman" w:eastAsia="仿宋_GB2312" w:cs="Times New Roman"/>
                <w:b/>
                <w:bCs/>
                <w:color w:val="auto"/>
                <w:sz w:val="21"/>
                <w:szCs w:val="24"/>
                <w:highlight w:val="none"/>
              </w:rPr>
              <w:t>针对项目的两个校区实际情况提供垃圾分类实施方案；</w:t>
            </w:r>
            <w:r>
              <w:rPr>
                <w:rFonts w:hint="eastAsia" w:ascii="仿宋_GB2312" w:hAnsi="Times New Roman" w:eastAsia="仿宋_GB2312" w:cs="Times New Roman"/>
                <w:color w:val="auto"/>
                <w:sz w:val="21"/>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default" w:ascii="仿宋_GB2312" w:hAnsi="Times New Roman" w:eastAsia="仿宋_GB2312" w:cs="Times New Roman"/>
                <w:b/>
                <w:bCs/>
                <w:color w:val="auto"/>
                <w:sz w:val="21"/>
                <w:szCs w:val="24"/>
                <w:highlight w:val="none"/>
                <w:lang w:val="en-US" w:eastAsia="zh-CN"/>
              </w:rPr>
            </w:pPr>
            <w:r>
              <w:rPr>
                <w:rFonts w:hint="default" w:ascii="仿宋_GB2312" w:hAnsi="Times New Roman" w:eastAsia="仿宋_GB2312" w:cs="Times New Roman"/>
                <w:b/>
                <w:bCs/>
                <w:color w:val="auto"/>
                <w:sz w:val="21"/>
                <w:szCs w:val="24"/>
                <w:highlight w:val="none"/>
                <w:lang w:val="en-US" w:eastAsia="zh-CN"/>
              </w:rPr>
              <w:t>2.未提供方案或提供的内容与本项目无关的得0分。</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val="en-US" w:eastAsia="zh-CN"/>
              </w:rPr>
            </w:pPr>
            <w:r>
              <w:rPr>
                <w:rFonts w:hint="eastAsia" w:ascii="仿宋_GB2312" w:eastAsia="仿宋_GB2312" w:cs="Times New Roman"/>
                <w:b/>
                <w:bCs/>
                <w:color w:val="auto"/>
                <w:sz w:val="21"/>
                <w:szCs w:val="24"/>
                <w:highlight w:val="none"/>
                <w:lang w:val="en-US" w:eastAsia="zh-CN"/>
              </w:rPr>
              <w:t>6</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垃圾分类实施方案</w:t>
            </w:r>
          </w:p>
        </w:tc>
      </w:tr>
      <w:tr>
        <w:tblPrEx>
          <w:tblCellMar>
            <w:top w:w="15" w:type="dxa"/>
            <w:left w:w="15" w:type="dxa"/>
            <w:bottom w:w="15" w:type="dxa"/>
            <w:right w:w="15" w:type="dxa"/>
          </w:tblCellMar>
        </w:tblPrEx>
        <w:trPr>
          <w:trHeight w:val="2451"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信息化管理方案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pStyle w:val="8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仿宋_GB2312" w:hAnsi="Times New Roman" w:eastAsia="仿宋_GB2312" w:cs="Times New Roman"/>
                <w:b w:val="0"/>
                <w:bCs w:val="0"/>
                <w:color w:val="auto"/>
                <w:sz w:val="21"/>
                <w:szCs w:val="24"/>
                <w:highlight w:val="none"/>
              </w:rPr>
            </w:pPr>
            <w:r>
              <w:rPr>
                <w:rFonts w:hint="eastAsia" w:ascii="仿宋_GB2312" w:hAnsi="Times New Roman" w:eastAsia="仿宋_GB2312" w:cs="Times New Roman"/>
                <w:b/>
                <w:bCs/>
                <w:color w:val="auto"/>
                <w:sz w:val="21"/>
                <w:szCs w:val="24"/>
                <w:highlight w:val="none"/>
              </w:rPr>
              <w:t>一档（7分）：</w:t>
            </w:r>
            <w:r>
              <w:rPr>
                <w:rFonts w:hint="eastAsia" w:ascii="仿宋_GB2312" w:hAnsi="Times New Roman" w:eastAsia="仿宋_GB2312" w:cs="Times New Roman"/>
                <w:b w:val="0"/>
                <w:bCs w:val="0"/>
                <w:color w:val="auto"/>
                <w:sz w:val="21"/>
                <w:szCs w:val="24"/>
                <w:highlight w:val="none"/>
              </w:rPr>
              <w:t>在二档的基础上， 信息化管理软件具备先进的拓展功能，包括不限于人力资源管理功能、应急预案管理功能、大数据采集分析功能等（</w:t>
            </w:r>
            <w:r>
              <w:rPr>
                <w:rFonts w:hint="eastAsia" w:ascii="仿宋_GB2312" w:hAnsi="Times New Roman" w:eastAsia="仿宋_GB2312" w:cs="Times New Roman"/>
                <w:b w:val="0"/>
                <w:bCs w:val="0"/>
                <w:color w:val="auto"/>
                <w:sz w:val="21"/>
                <w:szCs w:val="24"/>
                <w:highlight w:val="none"/>
                <w:lang w:eastAsia="zh-CN"/>
              </w:rPr>
              <w:t>需</w:t>
            </w:r>
            <w:r>
              <w:rPr>
                <w:rFonts w:hint="eastAsia" w:ascii="仿宋_GB2312" w:hAnsi="Times New Roman" w:eastAsia="仿宋_GB2312" w:cs="Times New Roman"/>
                <w:b w:val="0"/>
                <w:bCs w:val="0"/>
                <w:color w:val="auto"/>
                <w:sz w:val="21"/>
                <w:szCs w:val="24"/>
                <w:highlight w:val="none"/>
              </w:rPr>
              <w:t>提供</w:t>
            </w:r>
            <w:r>
              <w:rPr>
                <w:rFonts w:hint="eastAsia" w:ascii="仿宋_GB2312" w:hAnsi="Times New Roman" w:eastAsia="仿宋_GB2312" w:cs="Times New Roman"/>
                <w:b w:val="0"/>
                <w:bCs w:val="0"/>
                <w:color w:val="auto"/>
                <w:sz w:val="21"/>
                <w:szCs w:val="24"/>
                <w:highlight w:val="none"/>
                <w:lang w:eastAsia="zh-CN"/>
              </w:rPr>
              <w:t>拓展功能对应的软件页面截图</w:t>
            </w:r>
            <w:r>
              <w:rPr>
                <w:rFonts w:hint="eastAsia" w:ascii="仿宋_GB2312" w:hAnsi="Times New Roman" w:eastAsia="仿宋_GB2312" w:cs="Times New Roman"/>
                <w:b w:val="0"/>
                <w:bCs w:val="0"/>
                <w:color w:val="auto"/>
                <w:sz w:val="21"/>
                <w:szCs w:val="24"/>
                <w:highlight w:val="none"/>
              </w:rPr>
              <w:t>），</w:t>
            </w:r>
            <w:r>
              <w:rPr>
                <w:rFonts w:hint="eastAsia" w:ascii="仿宋_GB2312" w:hAnsi="Times New Roman" w:eastAsia="仿宋_GB2312" w:cs="Times New Roman"/>
                <w:b w:val="0"/>
                <w:bCs w:val="0"/>
                <w:color w:val="auto"/>
                <w:sz w:val="21"/>
                <w:szCs w:val="24"/>
                <w:highlight w:val="none"/>
                <w:lang w:eastAsia="zh-CN"/>
              </w:rPr>
              <w:t>并</w:t>
            </w:r>
            <w:r>
              <w:rPr>
                <w:rFonts w:hint="eastAsia" w:ascii="仿宋_GB2312" w:hAnsi="Times New Roman" w:eastAsia="仿宋_GB2312" w:cs="Times New Roman"/>
                <w:b w:val="0"/>
                <w:bCs w:val="0"/>
                <w:color w:val="auto"/>
                <w:sz w:val="21"/>
                <w:szCs w:val="24"/>
                <w:highlight w:val="none"/>
              </w:rPr>
              <w:t>承诺能根据合同要求和本项目的实际需求进行功能拓展。</w:t>
            </w:r>
          </w:p>
          <w:p>
            <w:pPr>
              <w:pStyle w:val="8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仿宋_GB2312" w:hAnsi="Times New Roman" w:eastAsia="仿宋_GB2312" w:cs="Times New Roman"/>
                <w:b w:val="0"/>
                <w:bCs w:val="0"/>
                <w:color w:val="auto"/>
                <w:sz w:val="21"/>
                <w:szCs w:val="24"/>
                <w:highlight w:val="none"/>
              </w:rPr>
            </w:pPr>
            <w:r>
              <w:rPr>
                <w:rFonts w:hint="eastAsia" w:ascii="仿宋_GB2312" w:hAnsi="Times New Roman" w:eastAsia="仿宋_GB2312" w:cs="Times New Roman"/>
                <w:b/>
                <w:bCs/>
                <w:color w:val="auto"/>
                <w:sz w:val="21"/>
                <w:szCs w:val="24"/>
                <w:highlight w:val="none"/>
              </w:rPr>
              <w:t>二档（5分）：</w:t>
            </w:r>
            <w:r>
              <w:rPr>
                <w:rFonts w:hint="eastAsia" w:ascii="仿宋_GB2312" w:hAnsi="Times New Roman" w:eastAsia="仿宋_GB2312" w:cs="Times New Roman"/>
                <w:b w:val="0"/>
                <w:bCs w:val="0"/>
                <w:color w:val="auto"/>
                <w:sz w:val="21"/>
                <w:szCs w:val="24"/>
                <w:highlight w:val="none"/>
              </w:rPr>
              <w:t>在三档的基础上，信息化管理软件在同类物业服务项目中实施使用（需提供相关证明材料），</w:t>
            </w:r>
            <w:r>
              <w:rPr>
                <w:rFonts w:hint="eastAsia" w:ascii="仿宋_GB2312" w:hAnsi="Times New Roman" w:eastAsia="仿宋_GB2312" w:cs="Times New Roman"/>
                <w:b w:val="0"/>
                <w:bCs w:val="0"/>
                <w:color w:val="auto"/>
                <w:sz w:val="21"/>
                <w:szCs w:val="24"/>
                <w:highlight w:val="none"/>
                <w:lang w:eastAsia="zh-CN"/>
              </w:rPr>
              <w:t>并提供针对本项目的信息化</w:t>
            </w:r>
            <w:r>
              <w:rPr>
                <w:rFonts w:hint="eastAsia" w:ascii="仿宋_GB2312" w:hAnsi="Times New Roman" w:eastAsia="仿宋_GB2312" w:cs="Times New Roman"/>
                <w:b w:val="0"/>
                <w:bCs w:val="0"/>
                <w:color w:val="auto"/>
                <w:sz w:val="21"/>
                <w:szCs w:val="24"/>
                <w:highlight w:val="none"/>
              </w:rPr>
              <w:t>管理方案</w:t>
            </w:r>
            <w:r>
              <w:rPr>
                <w:rFonts w:hint="eastAsia" w:ascii="仿宋_GB2312" w:hAnsi="Times New Roman" w:eastAsia="仿宋_GB2312" w:cs="Times New Roman"/>
                <w:b w:val="0"/>
                <w:bCs w:val="0"/>
                <w:color w:val="auto"/>
                <w:sz w:val="21"/>
                <w:szCs w:val="24"/>
                <w:highlight w:val="none"/>
                <w:lang w:eastAsia="zh-CN"/>
              </w:rPr>
              <w:t>，方案紧扣实际，</w:t>
            </w:r>
            <w:r>
              <w:rPr>
                <w:rFonts w:hint="eastAsia" w:ascii="仿宋_GB2312" w:hAnsi="Times New Roman" w:eastAsia="仿宋_GB2312" w:cs="Times New Roman"/>
                <w:b w:val="0"/>
                <w:bCs w:val="0"/>
                <w:color w:val="auto"/>
                <w:sz w:val="21"/>
                <w:szCs w:val="24"/>
                <w:highlight w:val="none"/>
              </w:rPr>
              <w:t>能有效提高服务质量。</w:t>
            </w:r>
          </w:p>
          <w:p>
            <w:pPr>
              <w:pStyle w:val="8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both"/>
              <w:textAlignment w:val="auto"/>
              <w:rPr>
                <w:rFonts w:hint="eastAsia" w:ascii="仿宋_GB2312" w:hAnsi="Times New Roman" w:eastAsia="仿宋_GB2312" w:cs="Times New Roman"/>
                <w:b w:val="0"/>
                <w:bCs w:val="0"/>
                <w:color w:val="auto"/>
                <w:sz w:val="21"/>
                <w:szCs w:val="24"/>
                <w:highlight w:val="none"/>
              </w:rPr>
            </w:pPr>
            <w:r>
              <w:rPr>
                <w:rFonts w:hint="eastAsia" w:ascii="仿宋_GB2312" w:hAnsi="Times New Roman" w:eastAsia="仿宋_GB2312" w:cs="Times New Roman"/>
                <w:b/>
                <w:bCs/>
                <w:color w:val="auto"/>
                <w:sz w:val="21"/>
                <w:szCs w:val="24"/>
                <w:highlight w:val="none"/>
              </w:rPr>
              <w:t>三档（3分）：</w:t>
            </w:r>
            <w:r>
              <w:rPr>
                <w:rFonts w:hint="eastAsia" w:ascii="仿宋_GB2312" w:hAnsi="Times New Roman" w:eastAsia="仿宋_GB2312" w:cs="Times New Roman"/>
                <w:b w:val="0"/>
                <w:bCs w:val="0"/>
                <w:color w:val="auto"/>
                <w:sz w:val="21"/>
                <w:szCs w:val="24"/>
                <w:highlight w:val="none"/>
              </w:rPr>
              <w:t>信息化管理软</w:t>
            </w:r>
            <w:r>
              <w:rPr>
                <w:rFonts w:hint="eastAsia" w:ascii="仿宋_GB2312" w:hAnsi="Times New Roman" w:eastAsia="仿宋_GB2312" w:cs="Times New Roman"/>
                <w:b w:val="0"/>
                <w:bCs w:val="0"/>
                <w:color w:val="auto"/>
                <w:sz w:val="21"/>
                <w:szCs w:val="24"/>
                <w:highlight w:val="none"/>
                <w:lang w:eastAsia="zh-CN"/>
              </w:rPr>
              <w:t>件具有</w:t>
            </w:r>
            <w:r>
              <w:rPr>
                <w:rFonts w:hint="eastAsia" w:ascii="仿宋_GB2312" w:hAnsi="Times New Roman" w:eastAsia="仿宋_GB2312" w:cs="Times New Roman"/>
                <w:b w:val="0"/>
                <w:bCs w:val="0"/>
                <w:color w:val="auto"/>
                <w:sz w:val="21"/>
                <w:szCs w:val="24"/>
                <w:highlight w:val="none"/>
              </w:rPr>
              <w:t>日常报修、耗材管理、保洁品质检查、校园安全检查、消防巡查、学生公寓</w:t>
            </w:r>
            <w:r>
              <w:rPr>
                <w:rFonts w:hint="eastAsia" w:ascii="仿宋_GB2312" w:hAnsi="Times New Roman" w:eastAsia="仿宋_GB2312" w:cs="Times New Roman"/>
                <w:b w:val="0"/>
                <w:bCs w:val="0"/>
                <w:color w:val="auto"/>
                <w:sz w:val="21"/>
                <w:szCs w:val="24"/>
                <w:highlight w:val="none"/>
                <w:lang w:eastAsia="zh-CN"/>
              </w:rPr>
              <w:t>住宿</w:t>
            </w:r>
            <w:r>
              <w:rPr>
                <w:rFonts w:hint="eastAsia" w:ascii="仿宋_GB2312" w:hAnsi="Times New Roman" w:eastAsia="仿宋_GB2312" w:cs="Times New Roman"/>
                <w:b w:val="0"/>
                <w:bCs w:val="0"/>
                <w:color w:val="auto"/>
                <w:sz w:val="21"/>
                <w:szCs w:val="24"/>
                <w:highlight w:val="none"/>
              </w:rPr>
              <w:t>管理等功能</w:t>
            </w:r>
            <w:r>
              <w:rPr>
                <w:rFonts w:hint="eastAsia" w:ascii="仿宋_GB2312" w:hAnsi="Times New Roman" w:eastAsia="仿宋_GB2312" w:cs="Times New Roman"/>
                <w:b w:val="0"/>
                <w:bCs w:val="0"/>
                <w:color w:val="auto"/>
                <w:sz w:val="21"/>
                <w:szCs w:val="24"/>
                <w:highlight w:val="none"/>
                <w:lang w:eastAsia="zh-CN"/>
              </w:rPr>
              <w:t>，并</w:t>
            </w:r>
            <w:r>
              <w:rPr>
                <w:rFonts w:hint="eastAsia" w:ascii="仿宋_GB2312" w:hAnsi="Times New Roman" w:eastAsia="仿宋_GB2312" w:cs="Times New Roman"/>
                <w:b w:val="0"/>
                <w:bCs w:val="0"/>
                <w:color w:val="auto"/>
                <w:sz w:val="21"/>
                <w:szCs w:val="24"/>
                <w:highlight w:val="none"/>
              </w:rPr>
              <w:t>提供</w:t>
            </w:r>
            <w:r>
              <w:rPr>
                <w:rFonts w:hint="eastAsia" w:ascii="仿宋_GB2312" w:hAnsi="Times New Roman" w:eastAsia="仿宋_GB2312" w:cs="Times New Roman"/>
                <w:b w:val="0"/>
                <w:bCs w:val="0"/>
                <w:color w:val="auto"/>
                <w:sz w:val="21"/>
                <w:szCs w:val="24"/>
                <w:highlight w:val="none"/>
                <w:lang w:eastAsia="zh-CN"/>
              </w:rPr>
              <w:t>以上功能</w:t>
            </w:r>
            <w:r>
              <w:rPr>
                <w:rFonts w:hint="eastAsia" w:ascii="仿宋_GB2312" w:hAnsi="Times New Roman" w:eastAsia="仿宋_GB2312" w:cs="Times New Roman"/>
                <w:b w:val="0"/>
                <w:bCs w:val="0"/>
                <w:color w:val="auto"/>
                <w:sz w:val="21"/>
                <w:szCs w:val="24"/>
                <w:highlight w:val="none"/>
              </w:rPr>
              <w:t>对应软件页面的实际截图</w:t>
            </w:r>
            <w:r>
              <w:rPr>
                <w:rFonts w:hint="eastAsia" w:ascii="仿宋_GB2312" w:hAnsi="Times New Roman" w:eastAsia="仿宋_GB2312" w:cs="Times New Roman"/>
                <w:b w:val="0"/>
                <w:bCs w:val="0"/>
                <w:color w:val="auto"/>
                <w:sz w:val="21"/>
                <w:szCs w:val="24"/>
                <w:highlight w:val="none"/>
                <w:lang w:eastAsia="zh-CN"/>
              </w:rPr>
              <w:t>（</w:t>
            </w:r>
            <w:r>
              <w:rPr>
                <w:rFonts w:hint="eastAsia" w:ascii="仿宋_GB2312" w:hAnsi="Times New Roman" w:eastAsia="仿宋_GB2312" w:cs="Times New Roman"/>
                <w:b w:val="0"/>
                <w:bCs w:val="0"/>
                <w:color w:val="auto"/>
                <w:sz w:val="21"/>
                <w:szCs w:val="24"/>
                <w:highlight w:val="none"/>
              </w:rPr>
              <w:t>少提供</w:t>
            </w:r>
            <w:r>
              <w:rPr>
                <w:rFonts w:hint="eastAsia" w:ascii="仿宋_GB2312" w:hAnsi="Times New Roman" w:eastAsia="仿宋_GB2312" w:cs="Times New Roman"/>
                <w:b w:val="0"/>
                <w:bCs w:val="0"/>
                <w:color w:val="auto"/>
                <w:sz w:val="21"/>
                <w:szCs w:val="24"/>
                <w:highlight w:val="none"/>
                <w:lang w:eastAsia="zh-CN"/>
              </w:rPr>
              <w:t>功能截图的本项</w:t>
            </w:r>
            <w:r>
              <w:rPr>
                <w:rFonts w:hint="eastAsia" w:ascii="仿宋_GB2312" w:hAnsi="Times New Roman" w:eastAsia="仿宋_GB2312" w:cs="Times New Roman"/>
                <w:b w:val="0"/>
                <w:bCs w:val="0"/>
                <w:color w:val="auto"/>
                <w:sz w:val="21"/>
                <w:szCs w:val="24"/>
                <w:highlight w:val="none"/>
              </w:rPr>
              <w:t>不得分）。</w:t>
            </w:r>
          </w:p>
          <w:p>
            <w:pPr>
              <w:pStyle w:val="80"/>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2" w:firstLineChars="200"/>
              <w:jc w:val="both"/>
              <w:textAlignment w:val="auto"/>
              <w:rPr>
                <w:rFonts w:hint="eastAsia" w:ascii="仿宋_GB2312" w:hAnsi="Times New Roman" w:eastAsia="仿宋_GB2312" w:cs="Times New Roman"/>
                <w:b/>
                <w:bCs/>
                <w:color w:val="auto"/>
                <w:sz w:val="21"/>
                <w:szCs w:val="24"/>
                <w:highlight w:val="none"/>
                <w:lang w:eastAsia="zh-CN"/>
              </w:rPr>
            </w:pPr>
            <w:r>
              <w:rPr>
                <w:rFonts w:hint="eastAsia" w:ascii="仿宋_GB2312" w:hAnsi="Times New Roman" w:eastAsia="仿宋_GB2312" w:cs="Times New Roman"/>
                <w:b/>
                <w:bCs/>
                <w:color w:val="auto"/>
                <w:sz w:val="21"/>
                <w:szCs w:val="24"/>
                <w:highlight w:val="none"/>
              </w:rPr>
              <w:t>注：</w:t>
            </w:r>
            <w:r>
              <w:rPr>
                <w:rFonts w:hint="eastAsia" w:ascii="仿宋_GB2312" w:hAnsi="Times New Roman" w:eastAsia="仿宋_GB2312" w:cs="Times New Roman"/>
                <w:b/>
                <w:bCs/>
                <w:color w:val="auto"/>
                <w:sz w:val="21"/>
                <w:szCs w:val="24"/>
                <w:highlight w:val="none"/>
                <w:lang w:val="en-US" w:eastAsia="zh-CN"/>
              </w:rPr>
              <w:t>1.</w:t>
            </w:r>
            <w:r>
              <w:rPr>
                <w:rFonts w:hint="eastAsia" w:ascii="仿宋_GB2312" w:hAnsi="Times New Roman" w:eastAsia="仿宋_GB2312" w:cs="Times New Roman"/>
                <w:b/>
                <w:bCs/>
                <w:color w:val="auto"/>
                <w:sz w:val="21"/>
                <w:szCs w:val="24"/>
                <w:highlight w:val="none"/>
              </w:rPr>
              <w:t>上述所提供的证明材料均不得遮挡涂黑，否则不得分</w:t>
            </w:r>
            <w:r>
              <w:rPr>
                <w:rFonts w:hint="eastAsia" w:ascii="仿宋_GB2312" w:hAnsi="Times New Roman" w:eastAsia="仿宋_GB2312" w:cs="Times New Roman"/>
                <w:b/>
                <w:bCs/>
                <w:color w:val="auto"/>
                <w:sz w:val="21"/>
                <w:szCs w:val="24"/>
                <w:highlight w:val="none"/>
                <w:lang w:eastAsia="zh-CN"/>
              </w:rPr>
              <w:t>；</w:t>
            </w:r>
          </w:p>
          <w:p>
            <w:pPr>
              <w:pStyle w:val="80"/>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22" w:firstLineChars="200"/>
              <w:jc w:val="both"/>
              <w:textAlignment w:val="auto"/>
              <w:rPr>
                <w:rFonts w:hint="eastAsia" w:ascii="仿宋_GB2312" w:hAnsi="Times New Roman" w:eastAsia="仿宋_GB2312" w:cs="Times New Roman"/>
                <w:b/>
                <w:bCs/>
                <w:color w:val="auto"/>
                <w:sz w:val="21"/>
                <w:szCs w:val="24"/>
                <w:highlight w:val="none"/>
              </w:rPr>
            </w:pPr>
            <w:r>
              <w:rPr>
                <w:rFonts w:hint="eastAsia" w:ascii="仿宋_GB2312" w:hAnsi="仿宋_GB2312" w:eastAsia="仿宋_GB2312" w:cs="仿宋_GB2312"/>
                <w:b/>
                <w:bCs/>
                <w:color w:val="auto"/>
                <w:highlight w:val="none"/>
                <w:lang w:val="en-US" w:eastAsia="zh-CN"/>
              </w:rPr>
              <w:t>2.</w:t>
            </w:r>
            <w:r>
              <w:rPr>
                <w:rFonts w:hint="eastAsia" w:ascii="仿宋_GB2312" w:hAnsi="仿宋_GB2312" w:eastAsia="仿宋_GB2312" w:cs="仿宋_GB2312"/>
                <w:b/>
                <w:bCs/>
                <w:color w:val="auto"/>
                <w:highlight w:val="none"/>
              </w:rPr>
              <w:t>未提供方案或提供的内容与本项目无关的得0分。</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lang w:eastAsia="zh-CN"/>
              </w:rPr>
            </w:pPr>
            <w:r>
              <w:rPr>
                <w:rFonts w:hint="eastAsia" w:ascii="仿宋_GB2312" w:hAnsi="Times New Roman" w:eastAsia="仿宋_GB2312" w:cs="Times New Roman"/>
                <w:b/>
                <w:bCs/>
                <w:color w:val="auto"/>
                <w:sz w:val="21"/>
                <w:szCs w:val="24"/>
                <w:highlight w:val="none"/>
                <w:lang w:val="en-US" w:eastAsia="zh-CN"/>
              </w:rPr>
              <w:t>7</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信息化管理方案</w:t>
            </w:r>
          </w:p>
        </w:tc>
      </w:tr>
      <w:tr>
        <w:tblPrEx>
          <w:tblCellMar>
            <w:top w:w="15" w:type="dxa"/>
            <w:left w:w="15" w:type="dxa"/>
            <w:bottom w:w="15" w:type="dxa"/>
            <w:right w:w="15" w:type="dxa"/>
          </w:tblCellMar>
        </w:tblPrEx>
        <w:trPr>
          <w:trHeight w:val="1333" w:hRule="atLeast"/>
        </w:trPr>
        <w:tc>
          <w:tcPr>
            <w:tcW w:w="0" w:type="auto"/>
            <w:vMerge w:val="continue"/>
            <w:tcBorders>
              <w:top w:val="single" w:color="333333" w:sz="6" w:space="0"/>
              <w:left w:val="single" w:color="333333" w:sz="6" w:space="0"/>
              <w:bottom w:val="single" w:color="333333" w:sz="6" w:space="0"/>
              <w:right w:val="single" w:color="333333" w:sz="6" w:space="0"/>
            </w:tcBorders>
            <w:noWrap w:val="0"/>
            <w:vAlign w:val="center"/>
          </w:tcPr>
          <w:p>
            <w:pPr>
              <w:spacing w:line="240" w:lineRule="auto"/>
              <w:ind w:firstLine="0" w:firstLineChars="0"/>
              <w:jc w:val="both"/>
              <w:rPr>
                <w:rFonts w:ascii="仿宋_GB2312" w:hAnsi="Times New Roman" w:eastAsia="仿宋_GB2312" w:cs="Times New Roman"/>
                <w:b/>
                <w:bCs/>
                <w:color w:val="auto"/>
                <w:sz w:val="21"/>
                <w:szCs w:val="24"/>
                <w:highlight w:val="none"/>
              </w:rPr>
            </w:pPr>
          </w:p>
        </w:tc>
        <w:tc>
          <w:tcPr>
            <w:tcW w:w="499"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校园文化建设方案</w:t>
            </w:r>
          </w:p>
        </w:tc>
        <w:tc>
          <w:tcPr>
            <w:tcW w:w="3163"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eastAsia="zh-CN"/>
              </w:rPr>
              <w:t>1.投标人针对本项目提出具有针对性、可行性的校园文化建设方案，包括但不限于三全育人方面、开展校园文化活动方面、营造校园文化氛围方面等。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仿宋_GB2312" w:hAnsi="Times New Roman" w:eastAsia="仿宋_GB2312" w:cs="Times New Roman"/>
                <w:color w:val="auto"/>
                <w:sz w:val="21"/>
                <w:szCs w:val="24"/>
                <w:highlight w:val="none"/>
                <w:lang w:eastAsia="zh-CN"/>
              </w:rPr>
            </w:pPr>
            <w:r>
              <w:rPr>
                <w:rFonts w:hint="eastAsia" w:ascii="仿宋_GB2312" w:hAnsi="Times New Roman" w:eastAsia="仿宋_GB2312" w:cs="Times New Roman"/>
                <w:color w:val="auto"/>
                <w:sz w:val="21"/>
                <w:szCs w:val="24"/>
                <w:highlight w:val="none"/>
                <w:lang w:eastAsia="zh-CN"/>
              </w:rPr>
              <w:t>每提供一项得1分，最高得3分。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2" w:firstLineChars="200"/>
              <w:jc w:val="both"/>
              <w:textAlignment w:val="auto"/>
              <w:rPr>
                <w:rFonts w:hint="default" w:ascii="仿宋_GB2312" w:hAnsi="Times New Roman" w:eastAsia="仿宋_GB2312" w:cs="Times New Roman"/>
                <w:b/>
                <w:bCs/>
                <w:color w:val="auto"/>
                <w:sz w:val="21"/>
                <w:szCs w:val="24"/>
                <w:highlight w:val="none"/>
                <w:lang w:val="en-US" w:eastAsia="zh-CN"/>
              </w:rPr>
            </w:pPr>
            <w:r>
              <w:rPr>
                <w:rFonts w:hint="eastAsia" w:ascii="仿宋_GB2312" w:hAnsi="仿宋_GB2312" w:eastAsia="仿宋_GB2312" w:cs="仿宋_GB2312"/>
                <w:b/>
                <w:bCs/>
                <w:color w:val="auto"/>
                <w:highlight w:val="none"/>
              </w:rPr>
              <w:t>注：未提供方案或提供的内容与本项目无关的得0分。</w:t>
            </w:r>
            <w:r>
              <w:rPr>
                <w:rFonts w:hint="eastAsia" w:ascii="仿宋_GB2312" w:hAnsi="Times New Roman" w:eastAsia="仿宋_GB2312" w:cs="Times New Roman"/>
                <w:b/>
                <w:bCs/>
                <w:color w:val="auto"/>
                <w:sz w:val="21"/>
                <w:szCs w:val="24"/>
                <w:highlight w:val="none"/>
                <w:lang w:val="en-US" w:eastAsia="zh-CN"/>
              </w:rPr>
              <w:t xml:space="preserve">  </w:t>
            </w:r>
          </w:p>
        </w:tc>
        <w:tc>
          <w:tcPr>
            <w:tcW w:w="296"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lang w:val="en-US" w:eastAsia="zh-CN"/>
              </w:rPr>
              <w:t>3</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hint="eastAsia" w:ascii="仿宋_GB2312" w:hAnsi="Times New Roman" w:eastAsia="仿宋_GB2312" w:cs="Times New Roman"/>
                <w:color w:val="auto"/>
                <w:sz w:val="21"/>
                <w:szCs w:val="24"/>
                <w:highlight w:val="none"/>
              </w:rPr>
            </w:pPr>
            <w:r>
              <w:rPr>
                <w:rFonts w:hint="eastAsia" w:ascii="仿宋_GB2312" w:hAnsi="Times New Roman" w:eastAsia="仿宋_GB2312" w:cs="Times New Roman"/>
                <w:color w:val="auto"/>
                <w:sz w:val="21"/>
                <w:szCs w:val="24"/>
                <w:highlight w:val="none"/>
              </w:rPr>
              <w:t>校园文化建设方案</w:t>
            </w:r>
          </w:p>
        </w:tc>
      </w:tr>
      <w:tr>
        <w:tblPrEx>
          <w:tblCellMar>
            <w:top w:w="15" w:type="dxa"/>
            <w:left w:w="15" w:type="dxa"/>
            <w:bottom w:w="15" w:type="dxa"/>
            <w:right w:w="15" w:type="dxa"/>
          </w:tblCellMar>
        </w:tblPrEx>
        <w:trPr>
          <w:trHeight w:val="538" w:hRule="atLeast"/>
        </w:trPr>
        <w:tc>
          <w:tcPr>
            <w:tcW w:w="4051" w:type="pct"/>
            <w:gridSpan w:val="3"/>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r>
              <w:rPr>
                <w:rFonts w:hint="eastAsia" w:ascii="仿宋_GB2312" w:hAnsi="Times New Roman" w:eastAsia="仿宋_GB2312" w:cs="Times New Roman"/>
                <w:b/>
                <w:bCs/>
                <w:color w:val="auto"/>
                <w:sz w:val="21"/>
                <w:szCs w:val="24"/>
                <w:highlight w:val="none"/>
              </w:rPr>
              <w:t>主观分总分</w:t>
            </w:r>
          </w:p>
        </w:tc>
        <w:tc>
          <w:tcPr>
            <w:tcW w:w="296" w:type="pc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line="240" w:lineRule="auto"/>
              <w:ind w:firstLine="0" w:firstLineChars="0"/>
              <w:jc w:val="center"/>
              <w:rPr>
                <w:rFonts w:hint="default" w:ascii="仿宋_GB2312" w:hAnsi="Times New Roman" w:eastAsia="仿宋_GB2312" w:cs="Times New Roman"/>
                <w:b/>
                <w:bCs/>
                <w:color w:val="auto"/>
                <w:sz w:val="21"/>
                <w:szCs w:val="24"/>
                <w:highlight w:val="none"/>
                <w:lang w:val="en-US" w:eastAsia="zh-CN"/>
              </w:rPr>
            </w:pPr>
            <w:r>
              <w:rPr>
                <w:rFonts w:hint="eastAsia" w:ascii="仿宋_GB2312" w:eastAsia="仿宋_GB2312" w:cs="Times New Roman"/>
                <w:b/>
                <w:bCs/>
                <w:color w:val="auto"/>
                <w:sz w:val="21"/>
                <w:szCs w:val="24"/>
                <w:highlight w:val="none"/>
                <w:lang w:val="en-US" w:eastAsia="zh-CN"/>
              </w:rPr>
              <w:t>52</w:t>
            </w:r>
          </w:p>
        </w:tc>
        <w:tc>
          <w:tcPr>
            <w:tcW w:w="651" w:type="pct"/>
            <w:tcBorders>
              <w:top w:val="single" w:color="333333" w:sz="6" w:space="0"/>
              <w:left w:val="single" w:color="333333" w:sz="6" w:space="0"/>
              <w:bottom w:val="single" w:color="333333" w:sz="6" w:space="0"/>
              <w:right w:val="single" w:color="333333" w:sz="6" w:space="0"/>
            </w:tcBorders>
            <w:noWrap w:val="0"/>
            <w:tcMar>
              <w:top w:w="120" w:type="dxa"/>
              <w:left w:w="75" w:type="dxa"/>
              <w:bottom w:w="120" w:type="dxa"/>
              <w:right w:w="75" w:type="dxa"/>
            </w:tcMar>
            <w:vAlign w:val="center"/>
          </w:tcPr>
          <w:p>
            <w:pPr>
              <w:spacing w:line="240" w:lineRule="auto"/>
              <w:ind w:firstLine="0" w:firstLineChars="0"/>
              <w:jc w:val="center"/>
              <w:rPr>
                <w:rFonts w:ascii="仿宋_GB2312" w:hAnsi="Times New Roman" w:eastAsia="仿宋_GB2312" w:cs="Times New Roman"/>
                <w:b/>
                <w:bCs/>
                <w:color w:val="auto"/>
                <w:sz w:val="21"/>
                <w:szCs w:val="24"/>
                <w:highlight w:val="none"/>
              </w:rPr>
            </w:pPr>
          </w:p>
        </w:tc>
      </w:tr>
    </w:tbl>
    <w:p>
      <w:pPr>
        <w:pStyle w:val="2"/>
        <w:ind w:left="0" w:leftChars="0" w:firstLine="0" w:firstLineChars="0"/>
        <w:rPr>
          <w:color w:val="auto"/>
          <w:highlight w:val="none"/>
        </w:rPr>
      </w:pPr>
    </w:p>
    <w:p>
      <w:pPr>
        <w:spacing w:line="390" w:lineRule="exact"/>
        <w:ind w:right="-168" w:rightChars="-80" w:firstLine="236" w:firstLineChars="98"/>
        <w:rPr>
          <w:rFonts w:ascii="仿宋_GB2312" w:eastAsia="仿宋_GB2312"/>
          <w:b/>
          <w:color w:val="auto"/>
          <w:sz w:val="24"/>
          <w:highlight w:val="none"/>
        </w:rPr>
      </w:pPr>
      <w:r>
        <w:rPr>
          <w:rFonts w:hint="eastAsia" w:ascii="仿宋_GB2312" w:eastAsia="仿宋_GB2312"/>
          <w:b/>
          <w:color w:val="auto"/>
          <w:sz w:val="24"/>
          <w:highlight w:val="none"/>
        </w:rPr>
        <w:t>（三）总得分=客观分+主观分</w:t>
      </w:r>
    </w:p>
    <w:p>
      <w:pPr>
        <w:adjustRightInd w:val="0"/>
        <w:spacing w:line="400" w:lineRule="exact"/>
        <w:ind w:firstLine="482" w:firstLineChars="200"/>
        <w:jc w:val="left"/>
        <w:textAlignment w:val="baseline"/>
        <w:rPr>
          <w:rFonts w:ascii="仿宋_GB2312" w:hAnsi="宋体" w:eastAsia="仿宋_GB2312"/>
          <w:b/>
          <w:color w:val="auto"/>
          <w:kern w:val="0"/>
          <w:sz w:val="24"/>
          <w:highlight w:val="none"/>
        </w:rPr>
      </w:pPr>
      <w:bookmarkStart w:id="70" w:name="gxebd_pack_1_EvalFactorScoreEnd"/>
      <w:bookmarkEnd w:id="70"/>
      <w:r>
        <w:rPr>
          <w:rFonts w:hint="eastAsia" w:ascii="仿宋_GB2312" w:hAnsi="宋体" w:eastAsia="仿宋_GB2312"/>
          <w:b/>
          <w:color w:val="auto"/>
          <w:kern w:val="0"/>
          <w:sz w:val="24"/>
          <w:highlight w:val="none"/>
        </w:rPr>
        <w:t>三、中标标准及中标候选人推荐原则</w:t>
      </w:r>
    </w:p>
    <w:p>
      <w:pPr>
        <w:adjustRightInd w:val="0"/>
        <w:spacing w:line="400" w:lineRule="exact"/>
        <w:ind w:firstLine="482" w:firstLineChars="200"/>
        <w:jc w:val="left"/>
        <w:textAlignment w:val="baseline"/>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评标委员会将根据综合得分由高到低排列次序（得分相同时，以投标报价由低到高顺序排列；得分相同且投标报价相同的，按技术指标优劣顺序排列）并推荐综合得分前三名为中标候选人。采购人应当确定评审委员会推荐排名第一的中标候选人为中标人。排名第一的中标候选人放弃中标、因不可抗力提出不能履行合同的，采购人或采购代理机构应将该情况报政府采购监督管理部门，从合格的中标候选人中另行确定中标人或重新开展政府采购活动。</w:t>
      </w:r>
    </w:p>
    <w:p>
      <w:pPr>
        <w:pStyle w:val="27"/>
        <w:spacing w:line="360" w:lineRule="exact"/>
        <w:ind w:firstLine="482" w:firstLineChars="200"/>
        <w:rPr>
          <w:rFonts w:hAnsi="宋体"/>
          <w:b/>
          <w:bCs/>
          <w:color w:val="auto"/>
          <w:highlight w:val="none"/>
        </w:rPr>
        <w:sectPr>
          <w:pgSz w:w="11906" w:h="16838"/>
          <w:pgMar w:top="1440" w:right="566" w:bottom="1440" w:left="851" w:header="851" w:footer="992" w:gutter="0"/>
          <w:cols w:space="720" w:num="1"/>
          <w:docGrid w:linePitch="312" w:charSpace="0"/>
        </w:sectPr>
      </w:pPr>
      <w:r>
        <w:rPr>
          <w:rFonts w:hint="eastAsia" w:ascii="仿宋_GB2312" w:hAnsi="宋体" w:eastAsia="仿宋_GB2312"/>
          <w:b/>
          <w:color w:val="auto"/>
          <w:kern w:val="0"/>
          <w:sz w:val="24"/>
          <w:highlight w:val="none"/>
        </w:rPr>
        <w:t>在中标通知书发出前，采购人或采购代理机构应当对中标人信用进行查询，并按照信用信息使用规则处理。当中标人属于信用信息使用规则中应被拒绝参与政府采购活动的情形时，采购人或采购代理机构应将该情况报政府采购监督管理部门，从合格的中标候选人中另行确定中标人或重新开展政府采购活动</w:t>
      </w:r>
      <w:r>
        <w:rPr>
          <w:rFonts w:hint="eastAsia" w:ascii="仿宋_GB2312" w:hAnsi="宋体" w:eastAsia="仿宋_GB2312"/>
          <w:b/>
          <w:bCs/>
          <w:color w:val="auto"/>
          <w:sz w:val="24"/>
          <w:highlight w:val="none"/>
        </w:rPr>
        <w:t>。</w:t>
      </w: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pStyle w:val="4"/>
        <w:jc w:val="center"/>
        <w:rPr>
          <w:rFonts w:ascii="仿宋_GB2312" w:eastAsia="仿宋_GB2312"/>
          <w:b w:val="0"/>
          <w:bCs w:val="0"/>
          <w:color w:val="auto"/>
          <w:sz w:val="32"/>
          <w:szCs w:val="32"/>
          <w:highlight w:val="none"/>
        </w:rPr>
      </w:pPr>
      <w:bookmarkStart w:id="71" w:name="_Toc497578453"/>
      <w:bookmarkStart w:id="72" w:name="_Toc21458"/>
      <w:r>
        <w:rPr>
          <w:rFonts w:hint="eastAsia"/>
          <w:color w:val="auto"/>
          <w:sz w:val="30"/>
          <w:szCs w:val="30"/>
          <w:highlight w:val="none"/>
        </w:rPr>
        <w:t>第五章 合同主要条款格式及广西壮族自治区政府采购项目合同验收书格式</w:t>
      </w:r>
      <w:bookmarkEnd w:id="71"/>
      <w:bookmarkEnd w:id="72"/>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rPr>
          <w:rFonts w:ascii="仿宋_GB2312" w:hAnsi="华文中宋" w:eastAsia="仿宋_GB2312"/>
          <w:bCs/>
          <w:color w:val="auto"/>
          <w:sz w:val="32"/>
          <w:szCs w:val="32"/>
          <w:highlight w:val="none"/>
        </w:rPr>
      </w:pPr>
    </w:p>
    <w:p>
      <w:pPr>
        <w:snapToGrid w:val="0"/>
        <w:rPr>
          <w:rFonts w:ascii="仿宋_GB2312" w:hAnsi="华文中宋" w:eastAsia="仿宋_GB2312"/>
          <w:bCs/>
          <w:color w:val="auto"/>
          <w:sz w:val="32"/>
          <w:szCs w:val="32"/>
          <w:highlight w:val="none"/>
        </w:rPr>
      </w:pPr>
    </w:p>
    <w:p>
      <w:pPr>
        <w:snapToGrid w:val="0"/>
        <w:jc w:val="left"/>
        <w:rPr>
          <w:rFonts w:ascii="仿宋_GB2312" w:eastAsia="仿宋_GB2312"/>
          <w:b/>
          <w:color w:val="auto"/>
          <w:sz w:val="24"/>
          <w:highlight w:val="none"/>
        </w:rPr>
      </w:pPr>
      <w:r>
        <w:rPr>
          <w:rFonts w:hint="eastAsia" w:ascii="仿宋_GB2312" w:eastAsia="仿宋_GB2312"/>
          <w:b/>
          <w:color w:val="auto"/>
          <w:sz w:val="24"/>
          <w:highlight w:val="none"/>
        </w:rPr>
        <w:br w:type="page"/>
      </w:r>
      <w:r>
        <w:rPr>
          <w:rFonts w:hint="eastAsia" w:ascii="仿宋_GB2312" w:hAnsi="华文中宋" w:eastAsia="仿宋_GB2312"/>
          <w:bCs/>
          <w:color w:val="auto"/>
          <w:sz w:val="32"/>
          <w:szCs w:val="32"/>
          <w:highlight w:val="none"/>
        </w:rPr>
        <w:t xml:space="preserve">  </w:t>
      </w:r>
      <w:r>
        <w:rPr>
          <w:rFonts w:hint="eastAsia" w:ascii="仿宋_GB2312" w:eastAsia="仿宋_GB2312"/>
          <w:b/>
          <w:color w:val="auto"/>
          <w:sz w:val="24"/>
          <w:highlight w:val="none"/>
        </w:rPr>
        <w:t>合同使用说明：1.根据《中华人民共和国政府采购法》、《</w:t>
      </w:r>
      <w:r>
        <w:rPr>
          <w:rFonts w:hint="eastAsia" w:ascii="仿宋_GB2312" w:eastAsia="仿宋_GB2312"/>
          <w:b/>
          <w:bCs/>
          <w:color w:val="auto"/>
          <w:sz w:val="24"/>
          <w:highlight w:val="none"/>
        </w:rPr>
        <w:t>中华人民共和国民法典</w:t>
      </w:r>
      <w:r>
        <w:rPr>
          <w:rFonts w:hint="eastAsia" w:ascii="仿宋_GB2312" w:eastAsia="仿宋_GB2312"/>
          <w:b/>
          <w:color w:val="auto"/>
          <w:sz w:val="24"/>
          <w:highlight w:val="none"/>
        </w:rPr>
        <w:t>》等法律、法规规定，按照招标文件规定条款和中标人投标文件及其承诺，甲乙双方签订本合同。</w:t>
      </w:r>
    </w:p>
    <w:p>
      <w:pPr>
        <w:snapToGrid w:val="0"/>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2.本合同</w:t>
      </w:r>
      <w:r>
        <w:rPr>
          <w:rFonts w:hint="eastAsia" w:ascii="仿宋_GB2312" w:eastAsia="仿宋_GB2312"/>
          <w:b/>
          <w:color w:val="auto"/>
          <w:sz w:val="24"/>
          <w:highlight w:val="none"/>
          <w:lang w:val="en-US" w:eastAsia="zh-CN"/>
        </w:rPr>
        <w:t>为</w:t>
      </w:r>
      <w:r>
        <w:rPr>
          <w:rFonts w:ascii="仿宋_GB2312" w:eastAsia="仿宋_GB2312"/>
          <w:b/>
          <w:color w:val="auto"/>
          <w:sz w:val="24"/>
          <w:highlight w:val="none"/>
        </w:rPr>
        <w:t>中小企业</w:t>
      </w:r>
      <w:r>
        <w:rPr>
          <w:rFonts w:hint="eastAsia" w:ascii="仿宋_GB2312" w:eastAsia="仿宋_GB2312"/>
          <w:b/>
          <w:color w:val="auto"/>
          <w:sz w:val="24"/>
          <w:highlight w:val="none"/>
        </w:rPr>
        <w:t>预留合同。</w:t>
      </w:r>
    </w:p>
    <w:p>
      <w:pPr>
        <w:pStyle w:val="27"/>
        <w:spacing w:line="400" w:lineRule="exact"/>
        <w:jc w:val="left"/>
        <w:rPr>
          <w:b/>
          <w:color w:val="auto"/>
          <w:sz w:val="32"/>
          <w:highlight w:val="none"/>
        </w:rPr>
      </w:pPr>
    </w:p>
    <w:p>
      <w:pPr>
        <w:spacing w:line="400" w:lineRule="exact"/>
        <w:jc w:val="center"/>
        <w:rPr>
          <w:rFonts w:cs="Courier New"/>
          <w:b/>
          <w:bCs/>
          <w:color w:val="auto"/>
          <w:sz w:val="32"/>
          <w:szCs w:val="32"/>
          <w:highlight w:val="none"/>
        </w:rPr>
      </w:pPr>
      <w:r>
        <w:rPr>
          <w:rFonts w:hint="eastAsia" w:hAnsi="Courier New" w:cs="Courier New"/>
          <w:b/>
          <w:color w:val="auto"/>
          <w:sz w:val="32"/>
          <w:szCs w:val="21"/>
          <w:highlight w:val="none"/>
        </w:rPr>
        <w:t xml:space="preserve">合同书 </w:t>
      </w:r>
    </w:p>
    <w:p>
      <w:pPr>
        <w:snapToGrid w:val="0"/>
        <w:spacing w:line="400" w:lineRule="exact"/>
        <w:ind w:right="480" w:firstLine="6600" w:firstLineChars="2750"/>
        <w:rPr>
          <w:rFonts w:ascii="仿宋_GB2312" w:eastAsia="仿宋_GB2312"/>
          <w:bCs/>
          <w:color w:val="auto"/>
          <w:sz w:val="24"/>
          <w:highlight w:val="none"/>
          <w:u w:val="single"/>
        </w:rPr>
      </w:pPr>
      <w:r>
        <w:rPr>
          <w:rFonts w:hint="eastAsia" w:ascii="仿宋_GB2312" w:eastAsia="仿宋_GB2312"/>
          <w:bCs/>
          <w:color w:val="auto"/>
          <w:sz w:val="24"/>
          <w:highlight w:val="none"/>
        </w:rPr>
        <w:t>合同编号：XXXX</w:t>
      </w:r>
    </w:p>
    <w:p>
      <w:pPr>
        <w:snapToGrid w:val="0"/>
        <w:spacing w:line="400" w:lineRule="exact"/>
        <w:rPr>
          <w:rFonts w:ascii="仿宋_GB2312" w:eastAsia="仿宋_GB2312"/>
          <w:color w:val="auto"/>
          <w:sz w:val="24"/>
          <w:highlight w:val="none"/>
          <w:u w:val="single"/>
        </w:rPr>
      </w:pPr>
      <w:r>
        <w:rPr>
          <w:rFonts w:hint="eastAsia" w:ascii="仿宋_GB2312" w:eastAsia="仿宋_GB2312"/>
          <w:color w:val="auto"/>
          <w:sz w:val="24"/>
          <w:highlight w:val="none"/>
        </w:rPr>
        <w:t>采购单位（甲方）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r>
        <w:rPr>
          <w:rFonts w:hint="eastAsia" w:ascii="仿宋_GB2312" w:eastAsia="仿宋_GB2312"/>
          <w:color w:val="auto"/>
          <w:spacing w:val="-20"/>
          <w:sz w:val="24"/>
          <w:highlight w:val="none"/>
        </w:rPr>
        <w:t>采 购 计 划 表 编 号：</w:t>
      </w:r>
      <w:r>
        <w:rPr>
          <w:rFonts w:hint="eastAsia" w:ascii="仿宋_GB2312" w:eastAsia="仿宋_GB2312"/>
          <w:color w:val="auto"/>
          <w:sz w:val="24"/>
          <w:highlight w:val="none"/>
          <w:u w:val="single"/>
        </w:rPr>
        <w:t xml:space="preserve">             </w:t>
      </w:r>
    </w:p>
    <w:p>
      <w:pPr>
        <w:snapToGrid w:val="0"/>
        <w:spacing w:line="400" w:lineRule="exact"/>
        <w:rPr>
          <w:rFonts w:ascii="仿宋_GB2312" w:eastAsia="仿宋_GB2312"/>
          <w:color w:val="auto"/>
          <w:spacing w:val="-20"/>
          <w:sz w:val="24"/>
          <w:highlight w:val="none"/>
        </w:rPr>
      </w:pPr>
      <w:r>
        <w:rPr>
          <w:rFonts w:hint="eastAsia" w:ascii="仿宋_GB2312" w:eastAsia="仿宋_GB2312"/>
          <w:color w:val="auto"/>
          <w:sz w:val="24"/>
          <w:highlight w:val="none"/>
        </w:rPr>
        <w:t>供 应 商（乙方）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napToGrid w:val="0"/>
        <w:spacing w:line="400" w:lineRule="exact"/>
        <w:rPr>
          <w:rFonts w:ascii="仿宋_GB2312" w:eastAsia="仿宋_GB2312"/>
          <w:color w:val="auto"/>
          <w:sz w:val="24"/>
          <w:highlight w:val="none"/>
          <w:u w:val="single"/>
        </w:rPr>
      </w:pPr>
      <w:r>
        <w:rPr>
          <w:rFonts w:hint="eastAsia" w:ascii="仿宋_GB2312" w:eastAsia="仿宋_GB2312"/>
          <w:color w:val="auto"/>
          <w:sz w:val="24"/>
          <w:highlight w:val="none"/>
        </w:rPr>
        <w:t>项目名称及编号：</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napToGrid w:val="0"/>
        <w:spacing w:line="400" w:lineRule="exact"/>
        <w:rPr>
          <w:rFonts w:ascii="仿宋_GB2312" w:eastAsia="仿宋_GB2312"/>
          <w:color w:val="auto"/>
          <w:sz w:val="24"/>
          <w:highlight w:val="none"/>
          <w:u w:val="single"/>
        </w:rPr>
      </w:pPr>
      <w:r>
        <w:rPr>
          <w:rFonts w:hint="eastAsia" w:ascii="仿宋_GB2312" w:eastAsia="仿宋_GB2312"/>
          <w:color w:val="auto"/>
          <w:sz w:val="24"/>
          <w:highlight w:val="none"/>
        </w:rPr>
        <w:t>签  订  地  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签 订 时 间：</w:t>
      </w:r>
      <w:r>
        <w:rPr>
          <w:rFonts w:hint="eastAsia" w:ascii="仿宋_GB2312" w:eastAsia="仿宋_GB2312"/>
          <w:color w:val="auto"/>
          <w:sz w:val="24"/>
          <w:highlight w:val="none"/>
          <w:u w:val="single"/>
        </w:rPr>
        <w:t xml:space="preserve">     年    月   日   </w:t>
      </w:r>
    </w:p>
    <w:p>
      <w:pPr>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根据《中华人民共和国政府采购法》、《中华人民共和国民法典》等法律、法规规定，按照招投标文件规定条款和中标供应商承诺，就甲方委托乙方提供</w:t>
      </w:r>
      <w:r>
        <w:rPr>
          <w:rFonts w:hint="eastAsia" w:ascii="仿宋_GB2312" w:hAnsi="宋体" w:eastAsia="仿宋_GB2312"/>
          <w:color w:val="auto"/>
          <w:sz w:val="24"/>
          <w:highlight w:val="none"/>
          <w:u w:val="single"/>
          <w:lang w:eastAsia="zh-CN"/>
        </w:rPr>
        <w:t>柳州职业技术学院</w:t>
      </w:r>
      <w:r>
        <w:rPr>
          <w:rFonts w:ascii="仿宋_GB2312" w:hAnsi="宋体" w:eastAsia="仿宋_GB2312"/>
          <w:color w:val="auto"/>
          <w:sz w:val="24"/>
          <w:highlight w:val="none"/>
          <w:u w:val="single"/>
        </w:rPr>
        <w:t>物业管理服务采购</w:t>
      </w:r>
      <w:r>
        <w:rPr>
          <w:rFonts w:hint="eastAsia" w:ascii="仿宋_GB2312" w:eastAsia="仿宋_GB2312"/>
          <w:color w:val="auto"/>
          <w:sz w:val="24"/>
          <w:highlight w:val="none"/>
        </w:rPr>
        <w:t>之相关事宜，达成以下协议，并承诺共同遵守。</w:t>
      </w:r>
    </w:p>
    <w:p>
      <w:pPr>
        <w:numPr>
          <w:ilvl w:val="0"/>
          <w:numId w:val="5"/>
        </w:numPr>
        <w:adjustRightInd w:val="0"/>
        <w:spacing w:line="400" w:lineRule="exact"/>
        <w:jc w:val="left"/>
        <w:textAlignment w:val="baseline"/>
        <w:rPr>
          <w:rFonts w:ascii="仿宋_GB2312" w:eastAsia="仿宋_GB2312"/>
          <w:b/>
          <w:color w:val="auto"/>
          <w:sz w:val="24"/>
          <w:highlight w:val="none"/>
        </w:rPr>
      </w:pPr>
      <w:r>
        <w:rPr>
          <w:rFonts w:hint="eastAsia" w:ascii="仿宋_GB2312" w:eastAsia="仿宋_GB2312"/>
          <w:b/>
          <w:color w:val="auto"/>
          <w:sz w:val="24"/>
          <w:highlight w:val="none"/>
        </w:rPr>
        <w:t xml:space="preserve"> 合同标的</w:t>
      </w:r>
    </w:p>
    <w:tbl>
      <w:tblPr>
        <w:tblStyle w:val="48"/>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201"/>
        <w:gridCol w:w="3803"/>
        <w:gridCol w:w="589"/>
        <w:gridCol w:w="648"/>
        <w:gridCol w:w="120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610"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序号</w:t>
            </w:r>
          </w:p>
        </w:tc>
        <w:tc>
          <w:tcPr>
            <w:tcW w:w="1201"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服务名称</w:t>
            </w:r>
          </w:p>
        </w:tc>
        <w:tc>
          <w:tcPr>
            <w:tcW w:w="3803"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服务内容</w:t>
            </w:r>
          </w:p>
        </w:tc>
        <w:tc>
          <w:tcPr>
            <w:tcW w:w="589"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数量</w:t>
            </w:r>
          </w:p>
        </w:tc>
        <w:tc>
          <w:tcPr>
            <w:tcW w:w="648"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单位</w:t>
            </w:r>
          </w:p>
        </w:tc>
        <w:tc>
          <w:tcPr>
            <w:tcW w:w="1206"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单价（元）</w:t>
            </w:r>
          </w:p>
        </w:tc>
        <w:tc>
          <w:tcPr>
            <w:tcW w:w="1207"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610" w:type="dxa"/>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201" w:type="dxa"/>
            <w:vAlign w:val="center"/>
          </w:tcPr>
          <w:p>
            <w:pPr>
              <w:snapToGrid w:val="0"/>
              <w:spacing w:line="400" w:lineRule="exact"/>
              <w:jc w:val="center"/>
              <w:rPr>
                <w:rFonts w:ascii="仿宋_GB2312" w:eastAsia="仿宋_GB2312"/>
                <w:color w:val="auto"/>
                <w:sz w:val="24"/>
                <w:highlight w:val="none"/>
              </w:rPr>
            </w:pPr>
          </w:p>
        </w:tc>
        <w:tc>
          <w:tcPr>
            <w:tcW w:w="3803" w:type="dxa"/>
            <w:vAlign w:val="center"/>
          </w:tcPr>
          <w:p>
            <w:pPr>
              <w:snapToGrid w:val="0"/>
              <w:spacing w:line="400" w:lineRule="exact"/>
              <w:jc w:val="center"/>
              <w:rPr>
                <w:rFonts w:ascii="仿宋_GB2312" w:eastAsia="仿宋_GB2312"/>
                <w:color w:val="auto"/>
                <w:kern w:val="0"/>
                <w:sz w:val="24"/>
                <w:highlight w:val="none"/>
              </w:rPr>
            </w:pPr>
          </w:p>
        </w:tc>
        <w:tc>
          <w:tcPr>
            <w:tcW w:w="589" w:type="dxa"/>
            <w:vAlign w:val="center"/>
          </w:tcPr>
          <w:p>
            <w:pPr>
              <w:snapToGrid w:val="0"/>
              <w:spacing w:line="400" w:lineRule="exact"/>
              <w:jc w:val="center"/>
              <w:rPr>
                <w:rFonts w:ascii="仿宋_GB2312" w:eastAsia="仿宋_GB2312"/>
                <w:color w:val="auto"/>
                <w:sz w:val="24"/>
                <w:highlight w:val="none"/>
              </w:rPr>
            </w:pPr>
          </w:p>
        </w:tc>
        <w:tc>
          <w:tcPr>
            <w:tcW w:w="648" w:type="dxa"/>
            <w:vAlign w:val="center"/>
          </w:tcPr>
          <w:p>
            <w:pPr>
              <w:snapToGrid w:val="0"/>
              <w:spacing w:line="400" w:lineRule="exact"/>
              <w:jc w:val="center"/>
              <w:rPr>
                <w:rFonts w:ascii="仿宋_GB2312" w:eastAsia="仿宋_GB2312"/>
                <w:color w:val="auto"/>
                <w:sz w:val="24"/>
                <w:highlight w:val="none"/>
              </w:rPr>
            </w:pPr>
          </w:p>
        </w:tc>
        <w:tc>
          <w:tcPr>
            <w:tcW w:w="1206" w:type="dxa"/>
            <w:vAlign w:val="center"/>
          </w:tcPr>
          <w:p>
            <w:pPr>
              <w:snapToGrid w:val="0"/>
              <w:spacing w:line="400" w:lineRule="exact"/>
              <w:jc w:val="center"/>
              <w:rPr>
                <w:rFonts w:ascii="仿宋_GB2312" w:eastAsia="仿宋_GB2312"/>
                <w:color w:val="auto"/>
                <w:sz w:val="24"/>
                <w:highlight w:val="none"/>
              </w:rPr>
            </w:pPr>
          </w:p>
        </w:tc>
        <w:tc>
          <w:tcPr>
            <w:tcW w:w="1207" w:type="dxa"/>
            <w:vAlign w:val="center"/>
          </w:tcPr>
          <w:p>
            <w:pPr>
              <w:snapToGrid w:val="0"/>
              <w:spacing w:line="400" w:lineRule="exact"/>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264" w:type="dxa"/>
            <w:gridSpan w:val="7"/>
            <w:vAlign w:val="center"/>
          </w:tcPr>
          <w:p>
            <w:pPr>
              <w:snapToGrid w:val="0"/>
              <w:spacing w:line="400" w:lineRule="exact"/>
              <w:jc w:val="left"/>
              <w:rPr>
                <w:rFonts w:ascii="仿宋_GB2312" w:eastAsia="仿宋_GB2312"/>
                <w:color w:val="auto"/>
                <w:sz w:val="24"/>
                <w:highlight w:val="none"/>
                <w:u w:val="single"/>
              </w:rPr>
            </w:pPr>
            <w:r>
              <w:rPr>
                <w:rFonts w:hint="eastAsia" w:ascii="仿宋_GB2312" w:eastAsia="仿宋_GB2312"/>
                <w:color w:val="auto"/>
                <w:sz w:val="24"/>
                <w:highlight w:val="none"/>
              </w:rPr>
              <w:t>人民币合计金额（大写）                          （小写）¥</w:t>
            </w:r>
            <w:r>
              <w:rPr>
                <w:rFonts w:hint="eastAsia" w:ascii="仿宋_GB2312" w:eastAsia="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264" w:type="dxa"/>
            <w:gridSpan w:val="7"/>
            <w:vAlign w:val="center"/>
          </w:tcPr>
          <w:p>
            <w:pPr>
              <w:snapToGrid w:val="0"/>
              <w:spacing w:line="400" w:lineRule="exact"/>
              <w:jc w:val="left"/>
              <w:rPr>
                <w:rFonts w:ascii="仿宋_GB2312" w:eastAsia="仿宋_GB2312"/>
                <w:color w:val="auto"/>
                <w:sz w:val="24"/>
                <w:highlight w:val="none"/>
              </w:rPr>
            </w:pPr>
            <w:r>
              <w:rPr>
                <w:rFonts w:hint="eastAsia" w:ascii="仿宋_GB2312" w:eastAsia="仿宋_GB2312"/>
                <w:color w:val="auto"/>
                <w:sz w:val="24"/>
                <w:highlight w:val="none"/>
              </w:rPr>
              <w:t>服务交接时间：自合同约定提供服务之日起</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日内办理完服务交接手续。</w:t>
            </w:r>
          </w:p>
        </w:tc>
      </w:tr>
    </w:tbl>
    <w:p>
      <w:pPr>
        <w:tabs>
          <w:tab w:val="left" w:pos="851"/>
          <w:tab w:val="left" w:pos="993"/>
          <w:tab w:val="left" w:pos="1134"/>
        </w:tabs>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合同合计金额包括为了实施和完成服务所需的各种费用及合同包含的所有风险、责任等各项应有的费用。如招投标文件对其另有规定的，从其规定。</w:t>
      </w:r>
    </w:p>
    <w:p>
      <w:pPr>
        <w:spacing w:line="400" w:lineRule="exact"/>
        <w:ind w:firstLine="590" w:firstLineChars="245"/>
        <w:jc w:val="left"/>
        <w:rPr>
          <w:rFonts w:ascii="仿宋_GB2312" w:eastAsia="仿宋_GB2312"/>
          <w:b/>
          <w:color w:val="auto"/>
          <w:sz w:val="24"/>
          <w:highlight w:val="none"/>
        </w:rPr>
      </w:pPr>
      <w:r>
        <w:rPr>
          <w:rFonts w:hint="eastAsia" w:ascii="仿宋_GB2312" w:eastAsia="仿宋_GB2312"/>
          <w:b/>
          <w:color w:val="auto"/>
          <w:sz w:val="24"/>
          <w:highlight w:val="none"/>
        </w:rPr>
        <w:t>第二条  服务基本情况：</w:t>
      </w:r>
    </w:p>
    <w:p>
      <w:pPr>
        <w:spacing w:line="400" w:lineRule="exact"/>
        <w:ind w:firstLine="588" w:firstLineChars="245"/>
        <w:jc w:val="left"/>
        <w:rPr>
          <w:rFonts w:ascii="仿宋_GB2312" w:eastAsia="仿宋_GB2312"/>
          <w:color w:val="auto"/>
          <w:sz w:val="24"/>
          <w:highlight w:val="none"/>
        </w:rPr>
      </w:pPr>
      <w:r>
        <w:rPr>
          <w:rFonts w:hint="eastAsia" w:ascii="仿宋_GB2312" w:eastAsia="仿宋_GB2312"/>
          <w:color w:val="auto"/>
          <w:sz w:val="24"/>
          <w:highlight w:val="none"/>
        </w:rPr>
        <w:t>（一）具体管理范围及构成详见本项目采购文件中第二章《采购需求》的相关内容。</w:t>
      </w:r>
    </w:p>
    <w:p>
      <w:pPr>
        <w:spacing w:line="400" w:lineRule="exact"/>
        <w:ind w:firstLine="590" w:firstLineChars="245"/>
        <w:jc w:val="left"/>
        <w:rPr>
          <w:rFonts w:ascii="仿宋_GB2312" w:eastAsia="仿宋_GB2312"/>
          <w:b/>
          <w:color w:val="auto"/>
          <w:sz w:val="24"/>
          <w:highlight w:val="none"/>
        </w:rPr>
      </w:pPr>
      <w:r>
        <w:rPr>
          <w:rFonts w:hint="eastAsia" w:ascii="仿宋_GB2312" w:eastAsia="仿宋_GB2312"/>
          <w:b/>
          <w:color w:val="auto"/>
          <w:sz w:val="24"/>
          <w:highlight w:val="none"/>
        </w:rPr>
        <w:t>（二）乙方提供的管理服务包括以下内容：</w:t>
      </w:r>
    </w:p>
    <w:p>
      <w:pPr>
        <w:spacing w:line="400" w:lineRule="exact"/>
        <w:ind w:firstLine="588" w:firstLineChars="245"/>
        <w:jc w:val="left"/>
        <w:rPr>
          <w:rFonts w:ascii="仿宋_GB2312" w:eastAsia="仿宋_GB2312"/>
          <w:color w:val="auto"/>
          <w:sz w:val="24"/>
          <w:highlight w:val="none"/>
          <w:u w:val="single"/>
        </w:rPr>
      </w:pPr>
      <w:r>
        <w:rPr>
          <w:rFonts w:hint="eastAsia" w:ascii="仿宋_GB2312" w:eastAsia="仿宋_GB2312"/>
          <w:color w:val="auto"/>
          <w:sz w:val="24"/>
          <w:highlight w:val="none"/>
        </w:rPr>
        <w:t>1.</w:t>
      </w:r>
      <w:r>
        <w:rPr>
          <w:rFonts w:hint="eastAsia" w:ascii="仿宋_GB2312" w:eastAsia="仿宋_GB2312"/>
          <w:color w:val="auto"/>
          <w:sz w:val="24"/>
          <w:highlight w:val="none"/>
          <w:u w:val="single"/>
        </w:rPr>
        <w:t>具体服务内容包含乙方投标文件承诺服务内容。</w:t>
      </w:r>
      <w:r>
        <w:rPr>
          <w:rFonts w:hint="eastAsia" w:ascii="仿宋_GB2312" w:eastAsia="仿宋_GB2312"/>
          <w:color w:val="auto"/>
          <w:sz w:val="24"/>
          <w:highlight w:val="none"/>
        </w:rPr>
        <w:t xml:space="preserve">                           </w:t>
      </w:r>
    </w:p>
    <w:p>
      <w:pPr>
        <w:spacing w:line="400" w:lineRule="exact"/>
        <w:ind w:firstLine="588" w:firstLineChars="245"/>
        <w:jc w:val="left"/>
        <w:rPr>
          <w:rFonts w:ascii="仿宋_GB2312" w:eastAsia="仿宋_GB2312"/>
          <w:color w:val="auto"/>
          <w:sz w:val="24"/>
          <w:highlight w:val="none"/>
          <w:u w:val="single"/>
        </w:rPr>
      </w:pPr>
      <w:r>
        <w:rPr>
          <w:rFonts w:hint="eastAsia" w:ascii="仿宋_GB2312" w:eastAsia="仿宋_GB2312"/>
          <w:color w:val="auto"/>
          <w:sz w:val="24"/>
          <w:highlight w:val="none"/>
        </w:rPr>
        <w:t>2.</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pacing w:line="400" w:lineRule="exact"/>
        <w:ind w:firstLine="588" w:firstLineChars="245"/>
        <w:jc w:val="left"/>
        <w:rPr>
          <w:rFonts w:ascii="仿宋_GB2312" w:eastAsia="仿宋_GB2312"/>
          <w:color w:val="auto"/>
          <w:sz w:val="24"/>
          <w:highlight w:val="none"/>
          <w:u w:val="single"/>
        </w:rPr>
      </w:pPr>
      <w:r>
        <w:rPr>
          <w:rFonts w:hint="eastAsia" w:ascii="仿宋_GB2312" w:eastAsia="仿宋_GB2312"/>
          <w:color w:val="auto"/>
          <w:sz w:val="24"/>
          <w:highlight w:val="none"/>
        </w:rPr>
        <w:t>3.</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tabs>
          <w:tab w:val="left" w:pos="851"/>
          <w:tab w:val="left" w:pos="993"/>
          <w:tab w:val="left" w:pos="1134"/>
        </w:tabs>
        <w:spacing w:line="400" w:lineRule="exact"/>
        <w:ind w:left="481" w:leftChars="229" w:firstLine="120" w:firstLineChars="50"/>
        <w:jc w:val="left"/>
        <w:rPr>
          <w:rFonts w:ascii="仿宋_GB2312" w:eastAsia="仿宋_GB2312"/>
          <w:color w:val="auto"/>
          <w:sz w:val="24"/>
          <w:highlight w:val="none"/>
        </w:rPr>
      </w:pPr>
      <w:r>
        <w:rPr>
          <w:rFonts w:hint="eastAsia" w:ascii="仿宋_GB2312" w:eastAsia="仿宋_GB2312"/>
          <w:b/>
          <w:bCs/>
          <w:color w:val="auto"/>
          <w:kern w:val="0"/>
          <w:sz w:val="24"/>
          <w:highlight w:val="none"/>
        </w:rPr>
        <w:t xml:space="preserve">第三条  </w:t>
      </w:r>
      <w:r>
        <w:rPr>
          <w:rFonts w:hint="eastAsia" w:ascii="仿宋_GB2312" w:eastAsia="仿宋_GB2312"/>
          <w:b/>
          <w:color w:val="auto"/>
          <w:sz w:val="24"/>
          <w:highlight w:val="none"/>
        </w:rPr>
        <w:t>服务期限、服务人数及工作时间</w:t>
      </w:r>
    </w:p>
    <w:p>
      <w:pPr>
        <w:tabs>
          <w:tab w:val="left" w:pos="851"/>
          <w:tab w:val="left" w:pos="993"/>
          <w:tab w:val="left" w:pos="1134"/>
        </w:tabs>
        <w:spacing w:line="400" w:lineRule="exact"/>
        <w:ind w:left="481" w:leftChars="229" w:firstLine="120" w:firstLineChars="50"/>
        <w:jc w:val="left"/>
        <w:rPr>
          <w:rFonts w:ascii="仿宋_GB2312" w:eastAsia="仿宋_GB2312"/>
          <w:color w:val="auto"/>
          <w:sz w:val="24"/>
          <w:highlight w:val="none"/>
        </w:rPr>
      </w:pPr>
      <w:r>
        <w:rPr>
          <w:rFonts w:hint="eastAsia" w:ascii="仿宋_GB2312" w:eastAsia="仿宋_GB2312"/>
          <w:color w:val="auto"/>
          <w:sz w:val="24"/>
          <w:highlight w:val="none"/>
        </w:rPr>
        <w:t>（一）服务期限：</w:t>
      </w:r>
      <w:r>
        <w:rPr>
          <w:rFonts w:hint="eastAsia" w:ascii="仿宋_GB2312" w:eastAsia="仿宋_GB2312"/>
          <w:color w:val="auto"/>
          <w:sz w:val="24"/>
          <w:highlight w:val="none"/>
          <w:u w:val="single"/>
        </w:rPr>
        <w:t>自   年   月  日起至     年  月   日止，共     年</w:t>
      </w:r>
      <w:r>
        <w:rPr>
          <w:rFonts w:hint="eastAsia" w:ascii="仿宋_GB2312" w:eastAsia="仿宋_GB2312"/>
          <w:color w:val="auto"/>
          <w:sz w:val="24"/>
          <w:highlight w:val="none"/>
        </w:rPr>
        <w:t>。</w:t>
      </w:r>
    </w:p>
    <w:p>
      <w:pPr>
        <w:snapToGrid w:val="0"/>
        <w:spacing w:line="400" w:lineRule="exact"/>
        <w:ind w:firstLine="600" w:firstLineChars="250"/>
        <w:jc w:val="left"/>
        <w:rPr>
          <w:rFonts w:ascii="仿宋_GB2312" w:eastAsia="仿宋_GB2312" w:cs="Arial"/>
          <w:bCs/>
          <w:color w:val="auto"/>
          <w:sz w:val="24"/>
          <w:szCs w:val="21"/>
          <w:highlight w:val="none"/>
        </w:rPr>
      </w:pPr>
      <w:r>
        <w:rPr>
          <w:rFonts w:hint="eastAsia" w:ascii="仿宋_GB2312" w:eastAsia="仿宋_GB2312" w:cs="Courier New"/>
          <w:color w:val="auto"/>
          <w:sz w:val="24"/>
          <w:szCs w:val="21"/>
          <w:highlight w:val="none"/>
        </w:rPr>
        <w:t>（二）服务人数：乙方向甲方派服务</w:t>
      </w:r>
      <w:r>
        <w:rPr>
          <w:rFonts w:hint="eastAsia" w:ascii="仿宋_GB2312" w:eastAsia="仿宋_GB2312" w:cs="Arial"/>
          <w:bCs/>
          <w:color w:val="auto"/>
          <w:sz w:val="24"/>
          <w:szCs w:val="21"/>
          <w:highlight w:val="none"/>
        </w:rPr>
        <w:t>人员</w:t>
      </w:r>
      <w:r>
        <w:rPr>
          <w:rFonts w:hint="eastAsia" w:ascii="仿宋_GB2312" w:eastAsia="仿宋_GB2312" w:cs="Courier New"/>
          <w:color w:val="auto"/>
          <w:sz w:val="24"/>
          <w:szCs w:val="21"/>
          <w:highlight w:val="none"/>
          <w:u w:val="single"/>
        </w:rPr>
        <w:t xml:space="preserve">    </w:t>
      </w:r>
      <w:r>
        <w:rPr>
          <w:rFonts w:hint="eastAsia" w:ascii="仿宋_GB2312" w:eastAsia="仿宋_GB2312" w:cs="Courier New"/>
          <w:color w:val="auto"/>
          <w:sz w:val="24"/>
          <w:szCs w:val="21"/>
          <w:highlight w:val="none"/>
        </w:rPr>
        <w:t>名。</w:t>
      </w:r>
    </w:p>
    <w:p>
      <w:pPr>
        <w:tabs>
          <w:tab w:val="left" w:pos="851"/>
          <w:tab w:val="left" w:pos="993"/>
          <w:tab w:val="left" w:pos="1134"/>
        </w:tabs>
        <w:spacing w:line="400" w:lineRule="exact"/>
        <w:ind w:left="481" w:leftChars="229" w:firstLine="120" w:firstLineChars="50"/>
        <w:jc w:val="left"/>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第四条  质量保证</w:t>
      </w:r>
    </w:p>
    <w:p>
      <w:pPr>
        <w:pStyle w:val="2"/>
        <w:rPr>
          <w:color w:val="auto"/>
          <w:highlight w:val="none"/>
        </w:rPr>
      </w:pPr>
      <w:r>
        <w:rPr>
          <w:rFonts w:hint="eastAsia" w:ascii="仿宋_GB2312" w:eastAsia="仿宋_GB2312"/>
          <w:bCs/>
          <w:color w:val="auto"/>
          <w:kern w:val="0"/>
          <w:sz w:val="24"/>
          <w:highlight w:val="none"/>
        </w:rPr>
        <w:t>乙方提供的服务质量标准按国家和地方政府的规定和本合同约定的服务质量要求及乙方在投标文件中的承诺执行。</w:t>
      </w:r>
    </w:p>
    <w:p>
      <w:pPr>
        <w:spacing w:line="400" w:lineRule="exact"/>
        <w:ind w:firstLine="590" w:firstLineChars="245"/>
        <w:jc w:val="left"/>
        <w:rPr>
          <w:rFonts w:ascii="仿宋_GB2312" w:eastAsia="仿宋_GB2312"/>
          <w:b/>
          <w:color w:val="auto"/>
          <w:sz w:val="24"/>
          <w:highlight w:val="none"/>
        </w:rPr>
      </w:pPr>
      <w:r>
        <w:rPr>
          <w:rFonts w:hint="eastAsia" w:ascii="仿宋_GB2312" w:eastAsia="仿宋_GB2312"/>
          <w:b/>
          <w:color w:val="auto"/>
          <w:sz w:val="24"/>
          <w:highlight w:val="none"/>
        </w:rPr>
        <w:t>第五条  服务费及支付</w:t>
      </w:r>
    </w:p>
    <w:p>
      <w:pPr>
        <w:snapToGrid w:val="0"/>
        <w:spacing w:line="400" w:lineRule="exact"/>
        <w:ind w:firstLine="600" w:firstLineChars="250"/>
        <w:jc w:val="left"/>
        <w:rPr>
          <w:rFonts w:ascii="仿宋_GB2312" w:eastAsia="仿宋_GB2312"/>
          <w:color w:val="auto"/>
          <w:sz w:val="24"/>
          <w:highlight w:val="none"/>
        </w:rPr>
      </w:pPr>
      <w:r>
        <w:rPr>
          <w:rFonts w:hint="eastAsia" w:ascii="仿宋_GB2312" w:eastAsia="仿宋_GB2312"/>
          <w:color w:val="auto"/>
          <w:sz w:val="24"/>
          <w:highlight w:val="none"/>
        </w:rPr>
        <w:t>（一）资金性质：</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napToGrid w:val="0"/>
        <w:spacing w:line="400" w:lineRule="exact"/>
        <w:ind w:firstLine="600" w:firstLineChars="250"/>
        <w:jc w:val="left"/>
        <w:rPr>
          <w:rFonts w:ascii="仿宋_GB2312" w:eastAsia="仿宋_GB2312"/>
          <w:color w:val="auto"/>
          <w:sz w:val="24"/>
          <w:highlight w:val="none"/>
        </w:rPr>
      </w:pPr>
      <w:r>
        <w:rPr>
          <w:rFonts w:hint="eastAsia" w:ascii="仿宋_GB2312" w:eastAsia="仿宋_GB2312"/>
          <w:color w:val="auto"/>
          <w:sz w:val="24"/>
          <w:highlight w:val="none"/>
        </w:rPr>
        <w:t>（二）合同总金额：（大写）</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（小写）¥</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tabs>
          <w:tab w:val="left" w:pos="851"/>
          <w:tab w:val="left" w:pos="993"/>
          <w:tab w:val="left" w:pos="1134"/>
        </w:tabs>
        <w:spacing w:line="400" w:lineRule="exact"/>
        <w:ind w:firstLine="600" w:firstLineChars="250"/>
        <w:jc w:val="left"/>
        <w:rPr>
          <w:rFonts w:ascii="仿宋_GB2312" w:eastAsia="仿宋_GB2312"/>
          <w:color w:val="auto"/>
          <w:sz w:val="24"/>
          <w:highlight w:val="none"/>
        </w:rPr>
      </w:pPr>
      <w:r>
        <w:rPr>
          <w:rFonts w:hint="eastAsia" w:ascii="仿宋_GB2312" w:eastAsia="仿宋_GB2312"/>
          <w:color w:val="auto"/>
          <w:sz w:val="24"/>
          <w:highlight w:val="none"/>
        </w:rPr>
        <w:t>（三）支付办法：</w:t>
      </w:r>
    </w:p>
    <w:p>
      <w:pPr>
        <w:spacing w:line="400" w:lineRule="exact"/>
        <w:ind w:firstLine="588" w:firstLineChars="245"/>
        <w:jc w:val="left"/>
        <w:rPr>
          <w:rFonts w:ascii="仿宋_GB2312" w:eastAsia="仿宋_GB2312"/>
          <w:color w:val="auto"/>
          <w:sz w:val="24"/>
          <w:highlight w:val="none"/>
        </w:rPr>
      </w:pPr>
      <w:r>
        <w:rPr>
          <w:rFonts w:hint="eastAsia" w:ascii="仿宋_GB2312" w:eastAsia="仿宋_GB2312" w:cs="Arial"/>
          <w:bCs/>
          <w:color w:val="auto"/>
          <w:sz w:val="24"/>
          <w:highlight w:val="none"/>
        </w:rPr>
        <w:t>本项目合同正式生效之日起，甲方按</w:t>
      </w:r>
      <w:r>
        <w:rPr>
          <w:rFonts w:hint="eastAsia" w:ascii="仿宋_GB2312" w:eastAsia="仿宋_GB2312" w:cs="Arial"/>
          <w:bCs/>
          <w:color w:val="auto"/>
          <w:sz w:val="24"/>
          <w:highlight w:val="none"/>
          <w:u w:val="single"/>
        </w:rPr>
        <w:t xml:space="preserve">      </w:t>
      </w:r>
      <w:r>
        <w:rPr>
          <w:rFonts w:hint="eastAsia" w:ascii="仿宋_GB2312" w:eastAsia="仿宋_GB2312" w:cs="Arial"/>
          <w:bCs/>
          <w:color w:val="auto"/>
          <w:sz w:val="24"/>
          <w:highlight w:val="none"/>
        </w:rPr>
        <w:t>向中标人支付服务费。</w:t>
      </w:r>
      <w:r>
        <w:rPr>
          <w:rFonts w:hint="eastAsia" w:ascii="仿宋_GB2312" w:eastAsia="仿宋_GB2312"/>
          <w:color w:val="auto"/>
          <w:sz w:val="24"/>
          <w:highlight w:val="none"/>
        </w:rPr>
        <w:t>具体支付约定见本项目采购文件中第二章《采购需求》的相关内容。</w:t>
      </w:r>
    </w:p>
    <w:p>
      <w:pPr>
        <w:tabs>
          <w:tab w:val="left" w:pos="851"/>
          <w:tab w:val="left" w:pos="993"/>
          <w:tab w:val="left" w:pos="1134"/>
        </w:tabs>
        <w:spacing w:line="400" w:lineRule="exact"/>
        <w:ind w:firstLine="600" w:firstLineChars="250"/>
        <w:jc w:val="left"/>
        <w:rPr>
          <w:rFonts w:ascii="仿宋_GB2312" w:eastAsia="仿宋_GB2312"/>
          <w:color w:val="auto"/>
          <w:sz w:val="24"/>
          <w:highlight w:val="none"/>
        </w:rPr>
      </w:pPr>
      <w:r>
        <w:rPr>
          <w:rFonts w:hint="eastAsia" w:ascii="仿宋_GB2312" w:eastAsia="仿宋_GB2312"/>
          <w:color w:val="auto"/>
          <w:sz w:val="24"/>
          <w:highlight w:val="none"/>
        </w:rPr>
        <w:t>（四）支付方式：转账或电汇形式</w:t>
      </w:r>
    </w:p>
    <w:p>
      <w:pPr>
        <w:tabs>
          <w:tab w:val="left" w:pos="851"/>
          <w:tab w:val="left" w:pos="993"/>
          <w:tab w:val="left" w:pos="1134"/>
        </w:tabs>
        <w:spacing w:line="400" w:lineRule="exact"/>
        <w:ind w:firstLine="600" w:firstLineChars="250"/>
        <w:jc w:val="left"/>
        <w:rPr>
          <w:rFonts w:ascii="仿宋_GB2312" w:eastAsia="仿宋_GB2312"/>
          <w:color w:val="auto"/>
          <w:sz w:val="24"/>
          <w:highlight w:val="none"/>
        </w:rPr>
      </w:pPr>
      <w:r>
        <w:rPr>
          <w:rFonts w:hint="eastAsia" w:ascii="仿宋_GB2312" w:eastAsia="仿宋_GB2312"/>
          <w:color w:val="auto"/>
          <w:sz w:val="24"/>
          <w:highlight w:val="none"/>
        </w:rPr>
        <w:t>（五）甲方将服务费付至乙方指定的以下银行账号：</w:t>
      </w:r>
    </w:p>
    <w:p>
      <w:pPr>
        <w:spacing w:line="400" w:lineRule="exact"/>
        <w:ind w:left="480" w:firstLine="200"/>
        <w:jc w:val="left"/>
        <w:rPr>
          <w:rFonts w:ascii="仿宋_GB2312" w:eastAsia="仿宋_GB2312"/>
          <w:color w:val="auto"/>
          <w:sz w:val="24"/>
          <w:highlight w:val="none"/>
          <w:u w:val="single"/>
        </w:rPr>
      </w:pPr>
      <w:r>
        <w:rPr>
          <w:rFonts w:hint="eastAsia" w:ascii="仿宋_GB2312" w:eastAsia="仿宋_GB2312"/>
          <w:color w:val="auto"/>
          <w:sz w:val="24"/>
          <w:highlight w:val="none"/>
        </w:rPr>
        <w:t>开户名：</w:t>
      </w:r>
      <w:r>
        <w:rPr>
          <w:rFonts w:hint="eastAsia" w:ascii="仿宋_GB2312" w:eastAsia="仿宋_GB2312"/>
          <w:color w:val="auto"/>
          <w:sz w:val="24"/>
          <w:highlight w:val="none"/>
          <w:u w:val="single"/>
        </w:rPr>
        <w:t xml:space="preserve">                                   </w:t>
      </w:r>
    </w:p>
    <w:p>
      <w:pPr>
        <w:spacing w:line="400" w:lineRule="exact"/>
        <w:ind w:left="480" w:firstLine="200"/>
        <w:jc w:val="left"/>
        <w:rPr>
          <w:rFonts w:ascii="仿宋_GB2312" w:eastAsia="仿宋_GB2312"/>
          <w:color w:val="auto"/>
          <w:sz w:val="24"/>
          <w:highlight w:val="none"/>
        </w:rPr>
      </w:pPr>
      <w:r>
        <w:rPr>
          <w:rFonts w:hint="eastAsia" w:ascii="仿宋_GB2312" w:eastAsia="仿宋_GB2312"/>
          <w:color w:val="auto"/>
          <w:sz w:val="24"/>
          <w:highlight w:val="none"/>
        </w:rPr>
        <w:t>开户银行：</w:t>
      </w:r>
      <w:r>
        <w:rPr>
          <w:rFonts w:hint="eastAsia" w:ascii="仿宋_GB2312" w:eastAsia="仿宋_GB2312"/>
          <w:color w:val="auto"/>
          <w:sz w:val="24"/>
          <w:highlight w:val="none"/>
          <w:u w:val="single"/>
        </w:rPr>
        <w:t xml:space="preserve">                                 </w:t>
      </w:r>
    </w:p>
    <w:p>
      <w:pPr>
        <w:spacing w:line="400" w:lineRule="exact"/>
        <w:ind w:left="480" w:firstLine="200"/>
        <w:jc w:val="left"/>
        <w:rPr>
          <w:rFonts w:ascii="仿宋_GB2312" w:eastAsia="仿宋_GB2312"/>
          <w:color w:val="auto"/>
          <w:sz w:val="24"/>
          <w:highlight w:val="none"/>
          <w:u w:val="single"/>
        </w:rPr>
      </w:pPr>
      <w:r>
        <w:rPr>
          <w:rFonts w:hint="eastAsia" w:ascii="仿宋_GB2312" w:eastAsia="仿宋_GB2312"/>
          <w:color w:val="auto"/>
          <w:sz w:val="24"/>
          <w:highlight w:val="none"/>
        </w:rPr>
        <w:t>账号：</w:t>
      </w:r>
      <w:r>
        <w:rPr>
          <w:rFonts w:hint="eastAsia" w:ascii="仿宋_GB2312" w:eastAsia="仿宋_GB2312"/>
          <w:color w:val="auto"/>
          <w:sz w:val="24"/>
          <w:highlight w:val="none"/>
          <w:u w:val="single"/>
        </w:rPr>
        <w:t xml:space="preserve">                                     </w:t>
      </w:r>
    </w:p>
    <w:p>
      <w:pPr>
        <w:spacing w:line="400" w:lineRule="exact"/>
        <w:ind w:firstLine="472" w:firstLineChars="196"/>
        <w:jc w:val="left"/>
        <w:rPr>
          <w:rFonts w:hint="eastAsia" w:ascii="仿宋_GB2312" w:hAnsi="Times New Roman" w:eastAsia="仿宋_GB2312" w:cs="Times New Roman"/>
          <w:b/>
          <w:color w:val="auto"/>
          <w:sz w:val="24"/>
          <w:highlight w:val="none"/>
          <w:lang w:val="en-US" w:eastAsia="zh-CN"/>
        </w:rPr>
      </w:pPr>
      <w:r>
        <w:rPr>
          <w:rFonts w:hint="eastAsia" w:ascii="仿宋_GB2312" w:hAnsi="Times New Roman" w:eastAsia="仿宋_GB2312" w:cs="Times New Roman"/>
          <w:b/>
          <w:color w:val="auto"/>
          <w:sz w:val="24"/>
          <w:highlight w:val="none"/>
          <w:lang w:val="en-US" w:eastAsia="zh-CN"/>
        </w:rPr>
        <w:t>第六条 履约保证金</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eastAsia="zh-CN"/>
        </w:rPr>
        <w:t>（一）</w:t>
      </w:r>
      <w:r>
        <w:rPr>
          <w:rFonts w:hint="eastAsia" w:ascii="仿宋_GB2312" w:hAnsi="Times New Roman" w:eastAsia="仿宋_GB2312" w:cs="Times New Roman"/>
          <w:color w:val="auto"/>
          <w:sz w:val="24"/>
          <w:highlight w:val="none"/>
        </w:rPr>
        <w:t>合同签订前2日内，</w:t>
      </w:r>
      <w:r>
        <w:rPr>
          <w:rFonts w:hint="eastAsia" w:ascii="仿宋_GB2312" w:eastAsia="仿宋_GB2312" w:cs="Times New Roman"/>
          <w:color w:val="auto"/>
          <w:sz w:val="24"/>
          <w:highlight w:val="none"/>
          <w:lang w:val="en-US" w:eastAsia="zh-CN"/>
        </w:rPr>
        <w:t>乙方</w:t>
      </w:r>
      <w:r>
        <w:rPr>
          <w:rFonts w:hint="eastAsia" w:ascii="仿宋_GB2312" w:hAnsi="Times New Roman" w:eastAsia="仿宋_GB2312" w:cs="Times New Roman"/>
          <w:color w:val="auto"/>
          <w:sz w:val="24"/>
          <w:highlight w:val="none"/>
        </w:rPr>
        <w:t>必须向</w:t>
      </w:r>
      <w:r>
        <w:rPr>
          <w:rFonts w:hint="eastAsia" w:ascii="仿宋_GB2312" w:eastAsia="仿宋_GB2312" w:cs="Times New Roman"/>
          <w:color w:val="auto"/>
          <w:sz w:val="24"/>
          <w:highlight w:val="none"/>
          <w:lang w:val="en-US" w:eastAsia="zh-CN"/>
        </w:rPr>
        <w:t>甲方</w:t>
      </w:r>
      <w:r>
        <w:rPr>
          <w:rFonts w:hint="eastAsia" w:ascii="仿宋_GB2312" w:hAnsi="Times New Roman" w:eastAsia="仿宋_GB2312" w:cs="Times New Roman"/>
          <w:color w:val="auto"/>
          <w:sz w:val="24"/>
          <w:highlight w:val="none"/>
        </w:rPr>
        <w:t>缴纳履约保证金，履约保证金</w:t>
      </w:r>
      <w:r>
        <w:rPr>
          <w:rFonts w:hint="eastAsia" w:ascii="仿宋_GB2312" w:eastAsia="仿宋_GB2312" w:cs="Times New Roman"/>
          <w:color w:val="auto"/>
          <w:sz w:val="24"/>
          <w:highlight w:val="none"/>
          <w:lang w:val="en-US" w:eastAsia="zh-CN"/>
        </w:rPr>
        <w:t>为</w:t>
      </w:r>
      <w:r>
        <w:rPr>
          <w:rFonts w:hint="eastAsia" w:ascii="仿宋_GB2312" w:hAnsi="Times New Roman" w:eastAsia="仿宋_GB2312" w:cs="Times New Roman"/>
          <w:color w:val="auto"/>
          <w:sz w:val="24"/>
          <w:highlight w:val="none"/>
        </w:rPr>
        <w:t>中标金额的5%（中型企业按本项目政府采购合同金额的2%收取，小微企业免收履约保证金）。若乙方不按双方签订的合同履约，甲方没收其全部履约保证金，并按合同相关条款追究乙方责任。履约保证金在乙方服务期届满</w:t>
      </w:r>
      <w:r>
        <w:rPr>
          <w:rFonts w:hint="eastAsia" w:ascii="仿宋_GB2312" w:hAnsi="仿宋_GB2312" w:eastAsia="仿宋_GB2312" w:cs="仿宋_GB2312"/>
          <w:color w:val="auto"/>
          <w:sz w:val="24"/>
          <w:highlight w:val="none"/>
          <w:lang w:eastAsia="zh-CN"/>
        </w:rPr>
        <w:t>，经采购人确认验收且考核合格之日</w:t>
      </w:r>
      <w:r>
        <w:rPr>
          <w:rFonts w:hint="eastAsia" w:ascii="仿宋_GB2312" w:hAnsi="仿宋_GB2312" w:eastAsia="仿宋_GB2312" w:cs="仿宋_GB2312"/>
          <w:color w:val="auto"/>
          <w:sz w:val="24"/>
          <w:highlight w:val="none"/>
          <w:lang w:val="en-US" w:eastAsia="zh-CN"/>
        </w:rPr>
        <w:t>后，</w:t>
      </w:r>
      <w:r>
        <w:rPr>
          <w:rFonts w:hint="eastAsia" w:ascii="仿宋_GB2312" w:hAnsi="仿宋_GB2312" w:eastAsia="仿宋_GB2312" w:cs="仿宋_GB2312"/>
          <w:color w:val="auto"/>
          <w:sz w:val="24"/>
          <w:highlight w:val="none"/>
          <w:lang w:eastAsia="zh-CN"/>
        </w:rPr>
        <w:t>并</w:t>
      </w:r>
      <w:r>
        <w:rPr>
          <w:rFonts w:hint="eastAsia" w:ascii="仿宋_GB2312" w:hAnsi="Times New Roman" w:eastAsia="仿宋_GB2312" w:cs="Times New Roman"/>
          <w:color w:val="auto"/>
          <w:sz w:val="24"/>
          <w:highlight w:val="none"/>
        </w:rPr>
        <w:t>且在收到</w:t>
      </w:r>
      <w:r>
        <w:rPr>
          <w:rFonts w:hint="eastAsia" w:ascii="仿宋_GB2312" w:hAnsi="Times New Roman" w:eastAsia="仿宋_GB2312" w:cs="Times New Roman"/>
          <w:color w:val="auto"/>
          <w:sz w:val="24"/>
          <w:highlight w:val="none"/>
          <w:lang w:eastAsia="zh-CN"/>
        </w:rPr>
        <w:t>乙方</w:t>
      </w:r>
      <w:r>
        <w:rPr>
          <w:rFonts w:hint="eastAsia" w:ascii="仿宋_GB2312" w:hAnsi="Times New Roman" w:eastAsia="仿宋_GB2312" w:cs="Times New Roman"/>
          <w:color w:val="auto"/>
          <w:sz w:val="24"/>
          <w:highlight w:val="none"/>
        </w:rPr>
        <w:t>退回履约保证金函件后5个工作日内，由</w:t>
      </w:r>
      <w:r>
        <w:rPr>
          <w:rFonts w:hint="eastAsia" w:ascii="仿宋_GB2312" w:hAnsi="Times New Roman" w:eastAsia="仿宋_GB2312" w:cs="Times New Roman"/>
          <w:color w:val="auto"/>
          <w:sz w:val="24"/>
          <w:highlight w:val="none"/>
          <w:lang w:eastAsia="zh-CN"/>
        </w:rPr>
        <w:t>甲方</w:t>
      </w:r>
      <w:r>
        <w:rPr>
          <w:rFonts w:hint="eastAsia" w:ascii="仿宋_GB2312" w:hAnsi="Times New Roman" w:eastAsia="仿宋_GB2312" w:cs="Times New Roman"/>
          <w:color w:val="auto"/>
          <w:sz w:val="24"/>
          <w:highlight w:val="none"/>
        </w:rPr>
        <w:t>办理履约保证金退还手续（不计息）。</w:t>
      </w:r>
      <w:r>
        <w:rPr>
          <w:rFonts w:hint="eastAsia" w:ascii="仿宋_GB2312" w:hAnsi="Times New Roman" w:eastAsia="仿宋_GB2312" w:cs="Times New Roman"/>
          <w:color w:val="auto"/>
          <w:sz w:val="24"/>
          <w:highlight w:val="none"/>
          <w:lang w:val="en-US" w:eastAsia="zh-CN"/>
        </w:rPr>
        <w:t xml:space="preserve">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eastAsia="zh-CN"/>
        </w:rPr>
        <w:t>（二）</w:t>
      </w:r>
      <w:r>
        <w:rPr>
          <w:rFonts w:hint="eastAsia" w:ascii="仿宋_GB2312" w:hAnsi="Times New Roman" w:eastAsia="仿宋_GB2312" w:cs="Times New Roman"/>
          <w:color w:val="auto"/>
          <w:sz w:val="24"/>
          <w:highlight w:val="none"/>
        </w:rPr>
        <w:t>履约保证金账户：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名  称：</w:t>
      </w:r>
      <w:r>
        <w:rPr>
          <w:rFonts w:hint="eastAsia" w:ascii="仿宋_GB2312" w:eastAsia="仿宋_GB2312" w:cs="Times New Roman"/>
          <w:color w:val="auto"/>
          <w:sz w:val="24"/>
          <w:highlight w:val="none"/>
          <w:lang w:eastAsia="zh-CN"/>
        </w:rPr>
        <w:t>柳州职业技术学院</w:t>
      </w:r>
      <w:r>
        <w:rPr>
          <w:rFonts w:hint="eastAsia" w:ascii="仿宋_GB2312" w:hAnsi="Times New Roman" w:eastAsia="仿宋_GB2312" w:cs="Times New Roman"/>
          <w:color w:val="auto"/>
          <w:sz w:val="24"/>
          <w:highlight w:val="none"/>
        </w:rPr>
        <w:t>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开户行：交通银行西江支行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账  号：452060600018120020185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eastAsia="仿宋_GB2312" w:cs="Times New Roman"/>
          <w:color w:val="auto"/>
          <w:sz w:val="24"/>
          <w:highlight w:val="none"/>
          <w:lang w:val="en-US" w:eastAsia="zh-CN"/>
        </w:rPr>
        <w:t>乙方</w:t>
      </w:r>
      <w:r>
        <w:rPr>
          <w:rFonts w:hint="eastAsia" w:ascii="仿宋_GB2312" w:hAnsi="Times New Roman" w:eastAsia="仿宋_GB2312" w:cs="Times New Roman"/>
          <w:color w:val="auto"/>
          <w:sz w:val="24"/>
          <w:highlight w:val="none"/>
        </w:rPr>
        <w:t>自主选择以电汇、转账、支票、本票、汇票等非现金形式缴纳履约保证金，缴纳时请注明采购项目名称及项目编号。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eastAsia="仿宋_GB2312" w:cs="Times New Roman"/>
          <w:color w:val="auto"/>
          <w:sz w:val="24"/>
          <w:highlight w:val="none"/>
          <w:lang w:val="en-US" w:eastAsia="zh-CN"/>
        </w:rPr>
        <w:t>乙方</w:t>
      </w:r>
      <w:r>
        <w:rPr>
          <w:rFonts w:hint="eastAsia" w:ascii="仿宋_GB2312" w:hAnsi="Times New Roman" w:eastAsia="仿宋_GB2312" w:cs="Times New Roman"/>
          <w:color w:val="auto"/>
          <w:sz w:val="24"/>
          <w:highlight w:val="none"/>
        </w:rPr>
        <w:t>在履约保证金缴纳后，持银行回执复印件、中标通知书与</w:t>
      </w:r>
      <w:r>
        <w:rPr>
          <w:rFonts w:hint="eastAsia" w:ascii="仿宋_GB2312" w:eastAsia="仿宋_GB2312" w:cs="Times New Roman"/>
          <w:color w:val="auto"/>
          <w:sz w:val="24"/>
          <w:highlight w:val="none"/>
          <w:lang w:val="en-US" w:eastAsia="zh-CN"/>
        </w:rPr>
        <w:t>甲方</w:t>
      </w:r>
      <w:r>
        <w:rPr>
          <w:rFonts w:hint="eastAsia" w:ascii="仿宋_GB2312" w:hAnsi="Times New Roman" w:eastAsia="仿宋_GB2312" w:cs="Times New Roman"/>
          <w:color w:val="auto"/>
          <w:sz w:val="24"/>
          <w:highlight w:val="none"/>
        </w:rPr>
        <w:t>签订政府采购合同。
</w:t>
      </w:r>
    </w:p>
    <w:p>
      <w:pPr>
        <w:keepNext w:val="0"/>
        <w:keepLines w:val="0"/>
        <w:pageBreakBefore w:val="0"/>
        <w:widowControl w:val="0"/>
        <w:tabs>
          <w:tab w:val="left" w:pos="851"/>
          <w:tab w:val="left" w:pos="993"/>
          <w:tab w:val="left" w:pos="1134"/>
        </w:tabs>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注：发生违约行为时，履约保证金作为违约金进行扣除。</w:t>
      </w:r>
    </w:p>
    <w:p>
      <w:pPr>
        <w:spacing w:line="400" w:lineRule="exact"/>
        <w:ind w:firstLine="482" w:firstLineChars="200"/>
        <w:jc w:val="left"/>
        <w:rPr>
          <w:rFonts w:hint="eastAsia" w:ascii="仿宋_GB2312" w:hAnsi="Times New Roman" w:eastAsia="仿宋_GB2312" w:cs="Times New Roman"/>
          <w:b/>
          <w:color w:val="auto"/>
          <w:sz w:val="24"/>
          <w:highlight w:val="none"/>
          <w:lang w:val="en-US" w:eastAsia="zh-CN"/>
        </w:rPr>
      </w:pPr>
      <w:r>
        <w:rPr>
          <w:rFonts w:hint="eastAsia" w:ascii="仿宋_GB2312" w:hAnsi="Times New Roman" w:eastAsia="仿宋_GB2312" w:cs="Times New Roman"/>
          <w:b/>
          <w:color w:val="auto"/>
          <w:sz w:val="24"/>
          <w:highlight w:val="none"/>
          <w:lang w:val="en-US" w:eastAsia="zh-CN"/>
        </w:rPr>
        <w:t>第七条  税费</w:t>
      </w:r>
    </w:p>
    <w:p>
      <w:pPr>
        <w:spacing w:line="400" w:lineRule="exact"/>
        <w:ind w:firstLine="588" w:firstLineChars="245"/>
        <w:jc w:val="left"/>
        <w:rPr>
          <w:rFonts w:ascii="仿宋_GB2312" w:eastAsia="仿宋_GB2312"/>
          <w:color w:val="auto"/>
          <w:sz w:val="24"/>
          <w:highlight w:val="none"/>
        </w:rPr>
      </w:pPr>
      <w:r>
        <w:rPr>
          <w:rFonts w:hint="eastAsia" w:ascii="仿宋_GB2312" w:eastAsia="仿宋_GB2312"/>
          <w:color w:val="auto"/>
          <w:sz w:val="24"/>
          <w:highlight w:val="none"/>
        </w:rPr>
        <w:t>本合同执行中相关的一切税费均由乙方负担。</w:t>
      </w:r>
    </w:p>
    <w:p>
      <w:pPr>
        <w:spacing w:line="400" w:lineRule="exact"/>
        <w:ind w:firstLine="472" w:firstLineChars="196"/>
        <w:jc w:val="left"/>
        <w:rPr>
          <w:rFonts w:ascii="仿宋_GB2312" w:eastAsia="仿宋_GB2312"/>
          <w:b/>
          <w:color w:val="auto"/>
          <w:sz w:val="24"/>
          <w:highlight w:val="none"/>
        </w:rPr>
      </w:pPr>
      <w:r>
        <w:rPr>
          <w:rFonts w:hint="eastAsia" w:ascii="仿宋_GB2312" w:eastAsia="仿宋_GB2312"/>
          <w:b/>
          <w:color w:val="auto"/>
          <w:sz w:val="24"/>
          <w:highlight w:val="none"/>
        </w:rPr>
        <w:t>第</w:t>
      </w:r>
      <w:r>
        <w:rPr>
          <w:rFonts w:hint="eastAsia" w:ascii="仿宋_GB2312" w:eastAsia="仿宋_GB2312"/>
          <w:b/>
          <w:color w:val="auto"/>
          <w:sz w:val="24"/>
          <w:highlight w:val="none"/>
          <w:lang w:eastAsia="zh-CN"/>
        </w:rPr>
        <w:t>八</w:t>
      </w:r>
      <w:r>
        <w:rPr>
          <w:rFonts w:hint="eastAsia" w:ascii="仿宋_GB2312" w:eastAsia="仿宋_GB2312"/>
          <w:b/>
          <w:color w:val="auto"/>
          <w:sz w:val="24"/>
          <w:highlight w:val="none"/>
        </w:rPr>
        <w:t>条  甲方的权利和义务</w:t>
      </w:r>
    </w:p>
    <w:p>
      <w:pPr>
        <w:spacing w:line="400" w:lineRule="exact"/>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（一）</w:t>
      </w:r>
      <w:r>
        <w:rPr>
          <w:rFonts w:hint="eastAsia" w:ascii="仿宋_GB2312" w:eastAsia="仿宋_GB2312"/>
          <w:color w:val="auto"/>
          <w:sz w:val="24"/>
          <w:highlight w:val="none"/>
          <w:u w:val="single"/>
        </w:rPr>
        <w:t>包含招标文件的第二章《采购需求》中约定的甲方的权利和义务。</w:t>
      </w:r>
      <w:r>
        <w:rPr>
          <w:rFonts w:hint="eastAsia" w:ascii="仿宋_GB2312" w:eastAsia="仿宋_GB2312"/>
          <w:color w:val="auto"/>
          <w:sz w:val="24"/>
          <w:highlight w:val="none"/>
        </w:rPr>
        <w:t xml:space="preserve">           </w:t>
      </w:r>
    </w:p>
    <w:p>
      <w:pPr>
        <w:spacing w:line="400" w:lineRule="exact"/>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（二）</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pacing w:line="400" w:lineRule="exact"/>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（三）</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pacing w:line="400" w:lineRule="exact"/>
        <w:ind w:firstLine="472" w:firstLineChars="196"/>
        <w:jc w:val="left"/>
        <w:rPr>
          <w:rFonts w:ascii="仿宋_GB2312" w:eastAsia="仿宋_GB2312"/>
          <w:b/>
          <w:color w:val="auto"/>
          <w:sz w:val="24"/>
          <w:highlight w:val="none"/>
        </w:rPr>
      </w:pPr>
      <w:r>
        <w:rPr>
          <w:rFonts w:hint="eastAsia" w:ascii="仿宋_GB2312" w:eastAsia="仿宋_GB2312"/>
          <w:b/>
          <w:color w:val="auto"/>
          <w:sz w:val="24"/>
          <w:highlight w:val="none"/>
        </w:rPr>
        <w:t>第</w:t>
      </w:r>
      <w:r>
        <w:rPr>
          <w:rFonts w:hint="eastAsia" w:ascii="仿宋_GB2312" w:eastAsia="仿宋_GB2312"/>
          <w:b/>
          <w:color w:val="auto"/>
          <w:sz w:val="24"/>
          <w:highlight w:val="none"/>
          <w:lang w:eastAsia="zh-CN"/>
        </w:rPr>
        <w:t>九</w:t>
      </w:r>
      <w:r>
        <w:rPr>
          <w:rFonts w:hint="eastAsia" w:ascii="仿宋_GB2312" w:eastAsia="仿宋_GB2312"/>
          <w:b/>
          <w:color w:val="auto"/>
          <w:sz w:val="24"/>
          <w:highlight w:val="none"/>
        </w:rPr>
        <w:t>条  乙方的权利和义务</w:t>
      </w:r>
    </w:p>
    <w:p>
      <w:pPr>
        <w:spacing w:line="400" w:lineRule="exact"/>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（一）</w:t>
      </w:r>
      <w:r>
        <w:rPr>
          <w:rFonts w:hint="eastAsia" w:ascii="仿宋_GB2312" w:eastAsia="仿宋_GB2312"/>
          <w:color w:val="auto"/>
          <w:sz w:val="24"/>
          <w:highlight w:val="none"/>
          <w:u w:val="single"/>
        </w:rPr>
        <w:t>包含招标文件的第二章《采购需求》中约定的乙方的权利和义务。</w:t>
      </w:r>
      <w:r>
        <w:rPr>
          <w:rFonts w:hint="eastAsia" w:ascii="仿宋_GB2312" w:eastAsia="仿宋_GB2312"/>
          <w:color w:val="auto"/>
          <w:sz w:val="24"/>
          <w:highlight w:val="none"/>
        </w:rPr>
        <w:t xml:space="preserve">           </w:t>
      </w:r>
    </w:p>
    <w:p>
      <w:pPr>
        <w:spacing w:line="400" w:lineRule="exact"/>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（二）</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pacing w:line="400" w:lineRule="exact"/>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（三）</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napToGrid w:val="0"/>
        <w:spacing w:line="400" w:lineRule="exact"/>
        <w:ind w:firstLine="472" w:firstLineChars="196"/>
        <w:jc w:val="left"/>
        <w:rPr>
          <w:rFonts w:ascii="仿宋_GB2312" w:eastAsia="仿宋_GB2312"/>
          <w:b/>
          <w:color w:val="auto"/>
          <w:sz w:val="24"/>
          <w:highlight w:val="none"/>
        </w:rPr>
      </w:pPr>
      <w:r>
        <w:rPr>
          <w:rFonts w:hint="eastAsia" w:ascii="仿宋_GB2312" w:eastAsia="仿宋_GB2312"/>
          <w:b/>
          <w:color w:val="auto"/>
          <w:sz w:val="24"/>
          <w:highlight w:val="none"/>
        </w:rPr>
        <w:t>第</w:t>
      </w:r>
      <w:r>
        <w:rPr>
          <w:rFonts w:hint="eastAsia" w:ascii="仿宋_GB2312" w:eastAsia="仿宋_GB2312"/>
          <w:b/>
          <w:color w:val="auto"/>
          <w:sz w:val="24"/>
          <w:highlight w:val="none"/>
          <w:lang w:eastAsia="zh-CN"/>
        </w:rPr>
        <w:t>十</w:t>
      </w:r>
      <w:r>
        <w:rPr>
          <w:rFonts w:hint="eastAsia" w:ascii="仿宋_GB2312" w:eastAsia="仿宋_GB2312"/>
          <w:b/>
          <w:color w:val="auto"/>
          <w:sz w:val="24"/>
          <w:highlight w:val="none"/>
        </w:rPr>
        <w:t>条  违约责任</w:t>
      </w:r>
    </w:p>
    <w:p>
      <w:pPr>
        <w:tabs>
          <w:tab w:val="left" w:pos="567"/>
        </w:tabs>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（一）合同双方均应按约定履行，如存在逾期提供服务或逾期付款的，每逾期一日应按逾期提供服务所对应的款项或逾期应付款的</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3</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‰支付违约金；逾期超过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30</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日的，守约方有权解除合同，并要求违约方按合同总价款的</w:t>
      </w:r>
      <w:r>
        <w:rPr>
          <w:rFonts w:hint="default" w:ascii="仿宋_GB2312" w:eastAsia="仿宋_GB2312"/>
          <w:color w:val="auto"/>
          <w:sz w:val="24"/>
          <w:highlight w:val="none"/>
          <w:u w:val="single"/>
          <w:lang w:val="en-US"/>
        </w:rPr>
        <w:t xml:space="preserve"> </w:t>
      </w:r>
      <w:r>
        <w:rPr>
          <w:rFonts w:hint="eastAsia" w:ascii="仿宋_GB2312" w:eastAsia="仿宋_GB2312"/>
          <w:color w:val="auto"/>
          <w:sz w:val="24"/>
          <w:highlight w:val="none"/>
          <w:u w:val="single"/>
          <w:lang w:val="en-US" w:eastAsia="zh-CN"/>
        </w:rPr>
        <w:t>5</w:t>
      </w:r>
      <w:r>
        <w:rPr>
          <w:rFonts w:hint="default" w:ascii="仿宋_GB2312" w:eastAsia="仿宋_GB2312"/>
          <w:color w:val="auto"/>
          <w:sz w:val="24"/>
          <w:highlight w:val="none"/>
          <w:u w:val="single"/>
          <w:lang w:val="en-US"/>
        </w:rPr>
        <w:t xml:space="preserve"> </w:t>
      </w:r>
      <w:r>
        <w:rPr>
          <w:rFonts w:hint="eastAsia" w:ascii="仿宋_GB2312" w:eastAsia="仿宋_GB2312"/>
          <w:color w:val="auto"/>
          <w:sz w:val="24"/>
          <w:highlight w:val="none"/>
        </w:rPr>
        <w:t>%支付违约金；</w:t>
      </w:r>
    </w:p>
    <w:p>
      <w:pPr>
        <w:tabs>
          <w:tab w:val="left" w:pos="567"/>
        </w:tabs>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（二）</w:t>
      </w:r>
      <w:r>
        <w:rPr>
          <w:rFonts w:hint="eastAsia" w:ascii="仿宋_GB2312" w:eastAsia="仿宋_GB2312"/>
          <w:color w:val="auto"/>
          <w:sz w:val="24"/>
          <w:highlight w:val="none"/>
        </w:rPr>
        <w:t>乙方未按合同约定全面提供服务的，对于未完成部分，甲方有权不予付款，并要求乙方按未完成部分价款的</w:t>
      </w:r>
      <w:r>
        <w:rPr>
          <w:rFonts w:hint="default" w:ascii="仿宋_GB2312" w:eastAsia="仿宋_GB2312"/>
          <w:color w:val="auto"/>
          <w:sz w:val="24"/>
          <w:highlight w:val="none"/>
          <w:u w:val="single"/>
          <w:lang w:val="en-US"/>
        </w:rPr>
        <w:t xml:space="preserve"> </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%支付违约金。如未完成部分与整个合同的履行有直接影响，导致合同无法履行或无法实现合同目的的，甲方有权解除合同，并要求乙方按合同总价款的</w:t>
      </w:r>
      <w:r>
        <w:rPr>
          <w:rFonts w:hint="eastAsia" w:ascii="仿宋_GB2312" w:eastAsia="仿宋_GB2312"/>
          <w:color w:val="auto"/>
          <w:sz w:val="24"/>
          <w:highlight w:val="none"/>
          <w:u w:val="single"/>
        </w:rPr>
        <w:t xml:space="preserve"> </w:t>
      </w:r>
      <w:r>
        <w:rPr>
          <w:rFonts w:hint="eastAsia" w:eastAsia="仿宋_GB2312"/>
          <w:color w:val="auto"/>
          <w:sz w:val="24"/>
          <w:highlight w:val="none"/>
          <w:lang w:val="en-US" w:eastAsia="zh-CN"/>
        </w:rPr>
        <w:t>5</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%支付违约金；</w:t>
      </w:r>
    </w:p>
    <w:p>
      <w:pPr>
        <w:tabs>
          <w:tab w:val="left" w:pos="567"/>
        </w:tabs>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（三）</w:t>
      </w:r>
      <w:r>
        <w:rPr>
          <w:rFonts w:hint="eastAsia" w:ascii="仿宋_GB2312" w:eastAsia="仿宋_GB2312"/>
          <w:color w:val="auto"/>
          <w:sz w:val="24"/>
          <w:highlight w:val="none"/>
        </w:rPr>
        <w:t>1.如乙方提供的服务不符合合同约定，甲方有权解除合同，并要求乙方按合同总价款的</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%支付违约金。2.如甲方同意由乙方继续履行合同或重新提供符合合同约定服务的，乙方除继续履行外，仍需按合同总价款的</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%支付违约金（此项违约金的设置比例不得高于前款所约定的违约金比例）；</w:t>
      </w:r>
    </w:p>
    <w:p>
      <w:pPr>
        <w:tabs>
          <w:tab w:val="left" w:pos="567"/>
        </w:tabs>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（四）</w:t>
      </w:r>
      <w:r>
        <w:rPr>
          <w:rFonts w:hint="eastAsia" w:ascii="仿宋_GB2312" w:eastAsia="仿宋_GB2312"/>
          <w:color w:val="auto"/>
          <w:sz w:val="24"/>
          <w:highlight w:val="none"/>
        </w:rPr>
        <w:t>若乙方违约，造成甲方的损失超过违约金额的，乙方应赔偿甲方超出违约金部分的损失；</w:t>
      </w:r>
    </w:p>
    <w:p>
      <w:pPr>
        <w:tabs>
          <w:tab w:val="left" w:pos="567"/>
        </w:tabs>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（五）合同一方违约，另一方为主张权利而支付的费用（该包括但不限于诉讼费、律师费、公告费等），由违约方承担。</w:t>
      </w:r>
    </w:p>
    <w:p>
      <w:pPr>
        <w:tabs>
          <w:tab w:val="left" w:pos="567"/>
        </w:tabs>
        <w:spacing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（六）违约金的约定支付比例按相关法律法规规定自行约定。</w:t>
      </w:r>
    </w:p>
    <w:p>
      <w:pPr>
        <w:tabs>
          <w:tab w:val="left" w:pos="851"/>
          <w:tab w:val="left" w:pos="993"/>
          <w:tab w:val="left" w:pos="1134"/>
        </w:tabs>
        <w:spacing w:line="400" w:lineRule="exact"/>
        <w:ind w:firstLine="480" w:firstLineChars="200"/>
        <w:jc w:val="left"/>
        <w:rPr>
          <w:color w:val="auto"/>
          <w:highlight w:val="none"/>
        </w:rPr>
      </w:pPr>
      <w:r>
        <w:rPr>
          <w:rFonts w:hint="eastAsia" w:ascii="仿宋_GB2312" w:eastAsia="仿宋_GB2312"/>
          <w:color w:val="auto"/>
          <w:sz w:val="24"/>
          <w:highlight w:val="none"/>
          <w:lang w:val="en-US" w:eastAsia="zh-CN"/>
        </w:rPr>
        <w:t>（七）</w:t>
      </w:r>
      <w:r>
        <w:rPr>
          <w:rFonts w:hint="eastAsia" w:ascii="仿宋_GB2312" w:eastAsia="仿宋_GB2312"/>
          <w:color w:val="auto"/>
          <w:sz w:val="24"/>
          <w:highlight w:val="none"/>
        </w:rPr>
        <w:t>如</w:t>
      </w:r>
      <w:r>
        <w:rPr>
          <w:rFonts w:hint="eastAsia" w:ascii="仿宋_GB2312" w:eastAsia="仿宋_GB2312"/>
          <w:color w:val="auto"/>
          <w:sz w:val="24"/>
          <w:highlight w:val="none"/>
          <w:lang w:eastAsia="zh-CN"/>
        </w:rPr>
        <w:t>上述违约责任与招标文件第二章《采购需求》有冲突的，以《采购需求》为准。</w:t>
      </w:r>
    </w:p>
    <w:p>
      <w:pPr>
        <w:spacing w:line="400" w:lineRule="exact"/>
        <w:ind w:firstLine="354" w:firstLineChars="147"/>
        <w:jc w:val="left"/>
        <w:rPr>
          <w:rFonts w:ascii="仿宋_GB2312" w:eastAsia="仿宋_GB2312"/>
          <w:b/>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一</w:t>
      </w:r>
      <w:r>
        <w:rPr>
          <w:rFonts w:hint="eastAsia" w:ascii="仿宋_GB2312" w:eastAsia="仿宋_GB2312"/>
          <w:b/>
          <w:color w:val="auto"/>
          <w:sz w:val="24"/>
          <w:highlight w:val="none"/>
        </w:rPr>
        <w:t>条  不可抗力事件处理</w:t>
      </w:r>
    </w:p>
    <w:p>
      <w:pPr>
        <w:snapToGrid w:val="0"/>
        <w:spacing w:line="400" w:lineRule="exact"/>
        <w:ind w:firstLine="480" w:firstLineChars="200"/>
        <w:rPr>
          <w:rFonts w:ascii="仿宋_GB2312" w:eastAsia="仿宋_GB2312" w:cs="Courier New"/>
          <w:color w:val="auto"/>
          <w:sz w:val="24"/>
          <w:szCs w:val="21"/>
          <w:highlight w:val="none"/>
        </w:rPr>
      </w:pPr>
      <w:r>
        <w:rPr>
          <w:rFonts w:hint="eastAsia" w:ascii="仿宋_GB2312" w:eastAsia="仿宋_GB2312"/>
          <w:color w:val="auto"/>
          <w:sz w:val="24"/>
          <w:highlight w:val="none"/>
        </w:rPr>
        <w:t>（一）</w:t>
      </w:r>
      <w:r>
        <w:rPr>
          <w:rFonts w:hint="eastAsia" w:ascii="仿宋_GB2312" w:eastAsia="仿宋_GB2312" w:cs="Courier New"/>
          <w:color w:val="auto"/>
          <w:sz w:val="24"/>
          <w:szCs w:val="21"/>
          <w:highlight w:val="none"/>
        </w:rPr>
        <w:t>在合同有效期内，任何一方因不可抗力事件导致不能履行合同，则合同履行期可延长，其延长期与不可抗力影响期相同。</w:t>
      </w:r>
    </w:p>
    <w:p>
      <w:pPr>
        <w:snapToGrid w:val="0"/>
        <w:spacing w:line="400" w:lineRule="exact"/>
        <w:ind w:firstLine="480" w:firstLineChars="200"/>
        <w:rPr>
          <w:rFonts w:ascii="仿宋_GB2312" w:eastAsia="仿宋_GB2312" w:cs="Courier New"/>
          <w:color w:val="auto"/>
          <w:sz w:val="24"/>
          <w:szCs w:val="21"/>
          <w:highlight w:val="none"/>
        </w:rPr>
      </w:pPr>
      <w:r>
        <w:rPr>
          <w:rFonts w:hint="eastAsia" w:ascii="仿宋_GB2312" w:eastAsia="仿宋_GB2312" w:cs="Courier New"/>
          <w:color w:val="auto"/>
          <w:sz w:val="24"/>
          <w:szCs w:val="21"/>
          <w:highlight w:val="none"/>
        </w:rPr>
        <w:t>（二）不可抗力事件发生后，应立即通知对方，并寄送有关权威机构出具的证明。</w:t>
      </w:r>
    </w:p>
    <w:p>
      <w:pPr>
        <w:snapToGrid w:val="0"/>
        <w:spacing w:line="400" w:lineRule="exact"/>
        <w:ind w:firstLine="480" w:firstLineChars="200"/>
        <w:rPr>
          <w:rFonts w:ascii="仿宋_GB2312" w:eastAsia="仿宋_GB2312" w:cs="Courier New"/>
          <w:color w:val="auto"/>
          <w:sz w:val="24"/>
          <w:szCs w:val="21"/>
          <w:highlight w:val="none"/>
        </w:rPr>
      </w:pPr>
      <w:r>
        <w:rPr>
          <w:rFonts w:hint="eastAsia" w:ascii="仿宋_GB2312" w:eastAsia="仿宋_GB2312" w:cs="Courier New"/>
          <w:color w:val="auto"/>
          <w:sz w:val="24"/>
          <w:szCs w:val="21"/>
          <w:highlight w:val="none"/>
        </w:rPr>
        <w:t>（三）不可抗力事件延续30天以上，双方应通过友好协商，确定是否继续履行合同。</w:t>
      </w:r>
    </w:p>
    <w:p>
      <w:pPr>
        <w:spacing w:line="400" w:lineRule="exact"/>
        <w:ind w:firstLine="472" w:firstLineChars="196"/>
        <w:jc w:val="left"/>
        <w:rPr>
          <w:rFonts w:ascii="仿宋_GB2312" w:eastAsia="仿宋_GB2312"/>
          <w:b/>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二</w:t>
      </w:r>
      <w:r>
        <w:rPr>
          <w:rFonts w:hint="eastAsia" w:ascii="仿宋_GB2312" w:eastAsia="仿宋_GB2312"/>
          <w:b/>
          <w:color w:val="auto"/>
          <w:sz w:val="24"/>
          <w:highlight w:val="none"/>
        </w:rPr>
        <w:t>条  争议解决</w:t>
      </w:r>
    </w:p>
    <w:p>
      <w:pPr>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（一）因履行本合同引起的或与本合同有关的争议，甲乙双方应首先通过友好协商解决，如果协商不能解决，可向甲方住所地的人民法院提起诉讼。</w:t>
      </w:r>
    </w:p>
    <w:p>
      <w:pPr>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（二）诉讼期间，本合同继续履行</w:t>
      </w:r>
    </w:p>
    <w:p>
      <w:pPr>
        <w:spacing w:line="400" w:lineRule="exact"/>
        <w:ind w:firstLine="472" w:firstLineChars="196"/>
        <w:jc w:val="left"/>
        <w:rPr>
          <w:rFonts w:ascii="仿宋_GB2312" w:eastAsia="仿宋_GB2312"/>
          <w:b/>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三</w:t>
      </w:r>
      <w:r>
        <w:rPr>
          <w:rFonts w:hint="eastAsia" w:ascii="仿宋_GB2312" w:eastAsia="仿宋_GB2312"/>
          <w:b/>
          <w:color w:val="auto"/>
          <w:sz w:val="24"/>
          <w:highlight w:val="none"/>
        </w:rPr>
        <w:t>条  合同生效及其它</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（一）合同经双方法定代表人或授权代表签字并加盖单位公章后生效。</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（二）合同执行中涉及采购资金和采购内容修改或补充的，须经财政监督管理部门审批，并签书面补充协议报财政监督管理部门备案，方可作为主合同不可分割的一部分。</w:t>
      </w:r>
    </w:p>
    <w:p>
      <w:pPr>
        <w:snapToGrid w:val="0"/>
        <w:spacing w:line="400" w:lineRule="exact"/>
        <w:ind w:firstLine="470" w:firstLineChars="196"/>
        <w:jc w:val="left"/>
        <w:rPr>
          <w:rFonts w:ascii="仿宋_GB2312" w:eastAsia="仿宋_GB2312"/>
          <w:color w:val="auto"/>
          <w:sz w:val="24"/>
          <w:highlight w:val="none"/>
        </w:rPr>
      </w:pPr>
      <w:r>
        <w:rPr>
          <w:rFonts w:hint="eastAsia" w:ascii="仿宋_GB2312" w:eastAsia="仿宋_GB2312"/>
          <w:color w:val="auto"/>
          <w:sz w:val="24"/>
          <w:highlight w:val="none"/>
        </w:rPr>
        <w:t>（三）本合同未尽事宜，遵照《中华人民共和国民法典》有关条文执行。</w:t>
      </w:r>
    </w:p>
    <w:p>
      <w:pPr>
        <w:snapToGrid w:val="0"/>
        <w:spacing w:line="400" w:lineRule="exact"/>
        <w:ind w:firstLine="472" w:firstLineChars="196"/>
        <w:jc w:val="left"/>
        <w:rPr>
          <w:rFonts w:ascii="仿宋_GB2312" w:eastAsia="仿宋_GB2312"/>
          <w:b/>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四</w:t>
      </w:r>
      <w:r>
        <w:rPr>
          <w:rFonts w:hint="eastAsia" w:ascii="仿宋_GB2312" w:eastAsia="仿宋_GB2312"/>
          <w:b/>
          <w:color w:val="auto"/>
          <w:sz w:val="24"/>
          <w:highlight w:val="none"/>
        </w:rPr>
        <w:t>条  合同的变更、终止与转让</w:t>
      </w:r>
    </w:p>
    <w:p>
      <w:pPr>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（一）除《中华人民共和国政府采购法》第五十条规定的情形外，本合同一经签订，甲乙双方不得擅自变更、中止或终止。</w:t>
      </w:r>
    </w:p>
    <w:p>
      <w:pPr>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（二）乙方不得擅自转让其应履行的合同义务。</w:t>
      </w:r>
    </w:p>
    <w:p>
      <w:pPr>
        <w:snapToGrid w:val="0"/>
        <w:spacing w:line="400" w:lineRule="exact"/>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五</w:t>
      </w:r>
      <w:r>
        <w:rPr>
          <w:rFonts w:hint="eastAsia" w:ascii="仿宋_GB2312" w:eastAsia="仿宋_GB2312"/>
          <w:b/>
          <w:color w:val="auto"/>
          <w:sz w:val="24"/>
          <w:highlight w:val="none"/>
        </w:rPr>
        <w:t>条  签订本合同依据</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kern w:val="0"/>
          <w:sz w:val="24"/>
          <w:highlight w:val="none"/>
        </w:rPr>
        <w:t>（一）</w:t>
      </w:r>
      <w:r>
        <w:rPr>
          <w:rFonts w:hint="eastAsia" w:ascii="仿宋_GB2312" w:eastAsia="仿宋_GB2312"/>
          <w:color w:val="auto"/>
          <w:sz w:val="24"/>
          <w:highlight w:val="none"/>
        </w:rPr>
        <w:t>政府采购招标文件；</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kern w:val="0"/>
          <w:sz w:val="24"/>
          <w:highlight w:val="none"/>
        </w:rPr>
        <w:t>（二）</w:t>
      </w:r>
      <w:r>
        <w:rPr>
          <w:rFonts w:hint="eastAsia" w:ascii="仿宋_GB2312" w:eastAsia="仿宋_GB2312"/>
          <w:color w:val="auto"/>
          <w:sz w:val="24"/>
          <w:highlight w:val="none"/>
        </w:rPr>
        <w:t>乙方提供的采购投标（或应答）文件；</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kern w:val="0"/>
          <w:sz w:val="24"/>
          <w:highlight w:val="none"/>
        </w:rPr>
        <w:t>（三）</w:t>
      </w:r>
      <w:r>
        <w:rPr>
          <w:rFonts w:hint="eastAsia" w:ascii="仿宋_GB2312" w:eastAsia="仿宋_GB2312"/>
          <w:color w:val="auto"/>
          <w:sz w:val="24"/>
          <w:highlight w:val="none"/>
        </w:rPr>
        <w:t>投标承诺书；</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kern w:val="0"/>
          <w:sz w:val="24"/>
          <w:highlight w:val="none"/>
        </w:rPr>
        <w:t>（四）</w:t>
      </w:r>
      <w:r>
        <w:rPr>
          <w:rFonts w:hint="eastAsia" w:ascii="仿宋_GB2312" w:eastAsia="仿宋_GB2312"/>
          <w:color w:val="auto"/>
          <w:sz w:val="24"/>
          <w:highlight w:val="none"/>
        </w:rPr>
        <w:t>中标或成交通知书。</w:t>
      </w:r>
    </w:p>
    <w:p>
      <w:pPr>
        <w:snapToGrid w:val="0"/>
        <w:spacing w:line="40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六</w:t>
      </w:r>
      <w:r>
        <w:rPr>
          <w:rFonts w:hint="eastAsia" w:ascii="仿宋_GB2312" w:eastAsia="仿宋_GB2312"/>
          <w:b/>
          <w:color w:val="auto"/>
          <w:sz w:val="24"/>
          <w:highlight w:val="none"/>
        </w:rPr>
        <w:t>条  合同组成部分及解释顺序</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下列文件作为合同的组成部分，互为补充和解释，如有不清楚或相互矛盾之处，以下面所列顺序在前的为准。</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（一）双方签订的补充协议、双方协商同意的变更、纪要、协议；</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kern w:val="0"/>
          <w:sz w:val="24"/>
          <w:highlight w:val="none"/>
        </w:rPr>
        <w:t>（二）</w:t>
      </w:r>
      <w:r>
        <w:rPr>
          <w:rFonts w:hint="eastAsia" w:ascii="仿宋_GB2312" w:eastAsia="仿宋_GB2312"/>
          <w:color w:val="auto"/>
          <w:sz w:val="24"/>
          <w:highlight w:val="none"/>
        </w:rPr>
        <w:t>本合同书（含分包意向协议）；</w:t>
      </w:r>
    </w:p>
    <w:p>
      <w:pPr>
        <w:snapToGrid w:val="0"/>
        <w:spacing w:line="400" w:lineRule="exact"/>
        <w:ind w:firstLine="480" w:firstLineChars="200"/>
        <w:rPr>
          <w:rFonts w:hint="eastAsia" w:ascii="仿宋_GB2312" w:eastAsia="仿宋_GB2312"/>
          <w:color w:val="auto"/>
          <w:sz w:val="24"/>
          <w:highlight w:val="none"/>
        </w:rPr>
      </w:pPr>
      <w:r>
        <w:rPr>
          <w:rFonts w:hint="eastAsia" w:ascii="仿宋_GB2312" w:eastAsia="仿宋_GB2312"/>
          <w:color w:val="auto"/>
          <w:kern w:val="0"/>
          <w:sz w:val="24"/>
          <w:highlight w:val="none"/>
        </w:rPr>
        <w:t>（三）</w:t>
      </w:r>
      <w:r>
        <w:rPr>
          <w:rFonts w:hint="eastAsia" w:ascii="仿宋_GB2312" w:eastAsia="仿宋_GB2312"/>
          <w:color w:val="auto"/>
          <w:sz w:val="24"/>
          <w:highlight w:val="none"/>
        </w:rPr>
        <w:t>中标或成交通知书；</w:t>
      </w:r>
    </w:p>
    <w:p>
      <w:pPr>
        <w:snapToGrid w:val="0"/>
        <w:spacing w:line="400" w:lineRule="exact"/>
        <w:ind w:firstLine="480" w:firstLineChars="200"/>
        <w:rPr>
          <w:rFonts w:ascii="仿宋_GB2312" w:eastAsia="仿宋_GB2312"/>
          <w:color w:val="auto"/>
          <w:sz w:val="24"/>
          <w:highlight w:val="none"/>
        </w:rPr>
      </w:pPr>
      <w:r>
        <w:rPr>
          <w:rFonts w:hint="eastAsia" w:ascii="仿宋_GB2312" w:eastAsia="仿宋_GB2312"/>
          <w:color w:val="auto"/>
          <w:kern w:val="0"/>
          <w:sz w:val="24"/>
          <w:highlight w:val="none"/>
        </w:rPr>
        <w:t>（</w:t>
      </w:r>
      <w:r>
        <w:rPr>
          <w:rFonts w:hint="eastAsia" w:ascii="仿宋_GB2312" w:eastAsia="仿宋_GB2312"/>
          <w:color w:val="auto"/>
          <w:kern w:val="0"/>
          <w:sz w:val="24"/>
          <w:highlight w:val="none"/>
          <w:lang w:val="en-US" w:eastAsia="zh-CN"/>
        </w:rPr>
        <w:t>四</w:t>
      </w:r>
      <w:r>
        <w:rPr>
          <w:rFonts w:hint="eastAsia" w:ascii="仿宋_GB2312" w:eastAsia="仿宋_GB2312"/>
          <w:color w:val="auto"/>
          <w:kern w:val="0"/>
          <w:sz w:val="24"/>
          <w:highlight w:val="none"/>
        </w:rPr>
        <w:t>）</w:t>
      </w:r>
      <w:r>
        <w:rPr>
          <w:rFonts w:hint="eastAsia" w:ascii="仿宋_GB2312" w:eastAsia="仿宋_GB2312"/>
          <w:color w:val="auto"/>
          <w:sz w:val="24"/>
          <w:highlight w:val="none"/>
        </w:rPr>
        <w:t>投标文件及承诺。</w:t>
      </w:r>
    </w:p>
    <w:p>
      <w:pPr>
        <w:spacing w:line="400" w:lineRule="exact"/>
        <w:ind w:firstLine="472" w:firstLineChars="196"/>
        <w:rPr>
          <w:rFonts w:ascii="仿宋_GB2312" w:eastAsia="仿宋_GB2312"/>
          <w:color w:val="auto"/>
          <w:sz w:val="24"/>
          <w:highlight w:val="none"/>
        </w:rPr>
      </w:pPr>
      <w:r>
        <w:rPr>
          <w:rFonts w:hint="eastAsia" w:ascii="仿宋_GB2312" w:eastAsia="仿宋_GB2312"/>
          <w:b/>
          <w:color w:val="auto"/>
          <w:sz w:val="24"/>
          <w:highlight w:val="none"/>
        </w:rPr>
        <w:t>第十</w:t>
      </w:r>
      <w:r>
        <w:rPr>
          <w:rFonts w:hint="eastAsia" w:ascii="仿宋_GB2312" w:eastAsia="仿宋_GB2312"/>
          <w:b/>
          <w:color w:val="auto"/>
          <w:sz w:val="24"/>
          <w:highlight w:val="none"/>
          <w:lang w:eastAsia="zh-CN"/>
        </w:rPr>
        <w:t>七</w:t>
      </w:r>
      <w:r>
        <w:rPr>
          <w:rFonts w:hint="eastAsia" w:ascii="仿宋_GB2312" w:eastAsia="仿宋_GB2312"/>
          <w:b/>
          <w:color w:val="auto"/>
          <w:sz w:val="24"/>
          <w:highlight w:val="none"/>
        </w:rPr>
        <w:t>条</w:t>
      </w:r>
      <w:r>
        <w:rPr>
          <w:rFonts w:hint="eastAsia" w:ascii="仿宋_GB2312" w:eastAsia="仿宋_GB2312"/>
          <w:color w:val="auto"/>
          <w:sz w:val="24"/>
          <w:highlight w:val="none"/>
        </w:rPr>
        <w:t xml:space="preserve">  本合同一式</w:t>
      </w:r>
      <w:r>
        <w:rPr>
          <w:rFonts w:hint="eastAsia" w:ascii="仿宋_GB2312" w:hAnsi="宋体" w:eastAsia="仿宋_GB2312"/>
          <w:color w:val="auto"/>
          <w:sz w:val="24"/>
          <w:highlight w:val="none"/>
          <w:u w:val="single"/>
        </w:rPr>
        <w:t xml:space="preserve">   </w:t>
      </w:r>
      <w:r>
        <w:rPr>
          <w:rFonts w:hint="eastAsia" w:ascii="仿宋_GB2312" w:eastAsia="仿宋_GB2312"/>
          <w:color w:val="auto"/>
          <w:sz w:val="24"/>
          <w:highlight w:val="none"/>
        </w:rPr>
        <w:t>份，具有同等法律效力，采购代理机构</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份，</w:t>
      </w:r>
      <w:r>
        <w:rPr>
          <w:rFonts w:hint="eastAsia" w:ascii="仿宋_GB2312" w:hAnsi="宋体" w:eastAsia="仿宋_GB2312"/>
          <w:color w:val="auto"/>
          <w:sz w:val="24"/>
          <w:highlight w:val="none"/>
        </w:rPr>
        <w:t>甲方</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份，乙方</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w:t>
      </w:r>
      <w:r>
        <w:rPr>
          <w:rFonts w:hint="eastAsia" w:ascii="仿宋_GB2312" w:eastAsia="仿宋_GB2312"/>
          <w:color w:val="auto"/>
          <w:sz w:val="24"/>
          <w:highlight w:val="none"/>
        </w:rPr>
        <w:t>（可根据需要另增加）。</w:t>
      </w:r>
    </w:p>
    <w:tbl>
      <w:tblPr>
        <w:tblStyle w:val="4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2"/>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 xml:space="preserve">甲方（章）           </w:t>
            </w:r>
          </w:p>
          <w:p>
            <w:pPr>
              <w:snapToGrid w:val="0"/>
              <w:spacing w:line="320" w:lineRule="exact"/>
              <w:ind w:firstLine="480" w:firstLineChars="200"/>
              <w:rPr>
                <w:rFonts w:ascii="仿宋_GB2312" w:eastAsia="仿宋_GB2312"/>
                <w:color w:val="auto"/>
                <w:sz w:val="24"/>
                <w:highlight w:val="none"/>
              </w:rPr>
            </w:pPr>
          </w:p>
          <w:p>
            <w:pPr>
              <w:snapToGrid w:val="0"/>
              <w:spacing w:line="320" w:lineRule="exact"/>
              <w:ind w:firstLine="480" w:firstLineChars="200"/>
              <w:jc w:val="right"/>
              <w:rPr>
                <w:rFonts w:ascii="仿宋_GB2312" w:eastAsia="仿宋_GB2312"/>
                <w:color w:val="auto"/>
                <w:sz w:val="24"/>
                <w:highlight w:val="none"/>
              </w:rPr>
            </w:pPr>
            <w:r>
              <w:rPr>
                <w:rFonts w:hint="eastAsia" w:ascii="仿宋_GB2312" w:eastAsia="仿宋_GB2312"/>
                <w:color w:val="auto"/>
                <w:sz w:val="24"/>
                <w:highlight w:val="none"/>
              </w:rPr>
              <w:t>年   月   日</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 xml:space="preserve">乙方（章）              </w:t>
            </w:r>
          </w:p>
          <w:p>
            <w:pPr>
              <w:snapToGrid w:val="0"/>
              <w:spacing w:line="320" w:lineRule="exact"/>
              <w:ind w:firstLine="480" w:firstLineChars="200"/>
              <w:rPr>
                <w:rFonts w:ascii="仿宋_GB2312" w:eastAsia="仿宋_GB2312"/>
                <w:color w:val="auto"/>
                <w:sz w:val="24"/>
                <w:highlight w:val="none"/>
              </w:rPr>
            </w:pPr>
          </w:p>
          <w:p>
            <w:pPr>
              <w:snapToGrid w:val="0"/>
              <w:spacing w:line="320" w:lineRule="exact"/>
              <w:ind w:firstLine="480" w:firstLineChars="200"/>
              <w:jc w:val="right"/>
              <w:rPr>
                <w:rFonts w:ascii="仿宋_GB2312" w:eastAsia="仿宋_GB2312"/>
                <w:color w:val="auto"/>
                <w:sz w:val="24"/>
                <w:highlight w:val="none"/>
              </w:rPr>
            </w:pPr>
            <w:r>
              <w:rPr>
                <w:rFonts w:hint="eastAsia" w:ascii="仿宋_GB2312" w:eastAsia="仿宋_GB2312"/>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单位地址：</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法定代表人：</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委托代理人：</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    话：</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电子邮箱：</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开户银行：</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账    号：</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邮政编码：</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9242" w:type="dxa"/>
            <w:gridSpan w:val="2"/>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经办人：</w:t>
            </w:r>
          </w:p>
          <w:p>
            <w:pPr>
              <w:snapToGrid w:val="0"/>
              <w:spacing w:line="320" w:lineRule="exact"/>
              <w:ind w:firstLine="480" w:firstLineChars="200"/>
              <w:jc w:val="right"/>
              <w:rPr>
                <w:rFonts w:ascii="仿宋_GB2312" w:eastAsia="仿宋_GB2312"/>
                <w:color w:val="auto"/>
                <w:sz w:val="24"/>
                <w:highlight w:val="none"/>
              </w:rPr>
            </w:pPr>
            <w:r>
              <w:rPr>
                <w:rFonts w:hint="eastAsia" w:ascii="仿宋_GB2312" w:eastAsia="仿宋_GB2312"/>
                <w:color w:val="auto"/>
                <w:sz w:val="24"/>
                <w:highlight w:val="none"/>
              </w:rPr>
              <w:t>年    月    日</w:t>
            </w:r>
          </w:p>
        </w:tc>
      </w:tr>
    </w:tbl>
    <w:p>
      <w:pPr>
        <w:spacing w:line="360" w:lineRule="exact"/>
        <w:ind w:left="420" w:leftChars="200" w:firstLine="360" w:firstLineChars="150"/>
        <w:jc w:val="left"/>
        <w:rPr>
          <w:rFonts w:ascii="仿宋_GB2312" w:eastAsia="仿宋_GB2312"/>
          <w:color w:val="auto"/>
          <w:sz w:val="24"/>
          <w:highlight w:val="none"/>
        </w:rPr>
      </w:pPr>
    </w:p>
    <w:p>
      <w:pPr>
        <w:snapToGrid w:val="0"/>
        <w:rPr>
          <w:rFonts w:ascii="仿宋_GB2312" w:eastAsia="仿宋_GB2312"/>
          <w:b/>
          <w:bCs/>
          <w:color w:val="auto"/>
          <w:sz w:val="24"/>
          <w:highlight w:val="none"/>
        </w:rPr>
      </w:pPr>
    </w:p>
    <w:p>
      <w:pPr>
        <w:widowControl/>
        <w:jc w:val="left"/>
        <w:rPr>
          <w:rFonts w:ascii="仿宋_GB2312" w:hAnsi="华文中宋" w:eastAsia="仿宋_GB2312"/>
          <w:bCs/>
          <w:color w:val="auto"/>
          <w:sz w:val="32"/>
          <w:szCs w:val="32"/>
          <w:highlight w:val="none"/>
        </w:rPr>
      </w:pPr>
    </w:p>
    <w:p>
      <w:pPr>
        <w:spacing w:line="276" w:lineRule="auto"/>
        <w:rPr>
          <w:rFonts w:ascii="仿宋_GB2312" w:hAnsi="华文中宋" w:eastAsia="仿宋_GB2312"/>
          <w:bCs/>
          <w:color w:val="auto"/>
          <w:sz w:val="32"/>
          <w:szCs w:val="32"/>
          <w:highlight w:val="none"/>
        </w:rPr>
      </w:pPr>
    </w:p>
    <w:p>
      <w:pPr>
        <w:spacing w:line="276" w:lineRule="auto"/>
        <w:jc w:val="center"/>
        <w:rPr>
          <w:rFonts w:ascii="仿宋_GB2312" w:eastAsia="仿宋_GB2312"/>
          <w:b/>
          <w:color w:val="auto"/>
          <w:sz w:val="44"/>
          <w:szCs w:val="44"/>
          <w:highlight w:val="none"/>
        </w:rPr>
      </w:pPr>
      <w:r>
        <w:rPr>
          <w:rFonts w:ascii="仿宋_GB2312" w:eastAsia="仿宋_GB2312"/>
          <w:b/>
          <w:color w:val="auto"/>
          <w:sz w:val="44"/>
          <w:szCs w:val="44"/>
          <w:highlight w:val="none"/>
        </w:rPr>
        <w:br w:type="page"/>
      </w:r>
      <w:r>
        <w:rPr>
          <w:rFonts w:hint="eastAsia" w:ascii="仿宋_GB2312" w:eastAsia="仿宋_GB2312"/>
          <w:b/>
          <w:color w:val="auto"/>
          <w:sz w:val="44"/>
          <w:szCs w:val="44"/>
          <w:highlight w:val="none"/>
        </w:rPr>
        <w:t>合 同 附 件</w:t>
      </w:r>
    </w:p>
    <w:p>
      <w:pPr>
        <w:snapToGrid w:val="0"/>
        <w:spacing w:line="276" w:lineRule="auto"/>
        <w:jc w:val="center"/>
        <w:rPr>
          <w:rFonts w:ascii="仿宋_GB2312" w:eastAsia="仿宋_GB2312"/>
          <w:b/>
          <w:color w:val="auto"/>
          <w:sz w:val="24"/>
          <w:highlight w:val="none"/>
        </w:rPr>
      </w:pPr>
      <w:r>
        <w:rPr>
          <w:rFonts w:hint="eastAsia" w:ascii="仿宋_GB2312" w:eastAsia="仿宋_GB2312"/>
          <w:b/>
          <w:color w:val="auto"/>
          <w:sz w:val="24"/>
          <w:highlight w:val="none"/>
        </w:rPr>
        <w:t>（服务类）</w:t>
      </w:r>
    </w:p>
    <w:tbl>
      <w:tblPr>
        <w:tblStyle w:val="48"/>
        <w:tblW w:w="9242" w:type="dxa"/>
        <w:tblInd w:w="0" w:type="dxa"/>
        <w:tblLayout w:type="fixed"/>
        <w:tblCellMar>
          <w:top w:w="0" w:type="dxa"/>
          <w:left w:w="108" w:type="dxa"/>
          <w:bottom w:w="0" w:type="dxa"/>
          <w:right w:w="108" w:type="dxa"/>
        </w:tblCellMar>
      </w:tblPr>
      <w:tblGrid>
        <w:gridCol w:w="4766"/>
        <w:gridCol w:w="4476"/>
      </w:tblGrid>
      <w:tr>
        <w:tblPrEx>
          <w:tblCellMar>
            <w:top w:w="0" w:type="dxa"/>
            <w:left w:w="108" w:type="dxa"/>
            <w:bottom w:w="0" w:type="dxa"/>
            <w:right w:w="108" w:type="dxa"/>
          </w:tblCellMar>
        </w:tblPrEx>
        <w:trPr>
          <w:trHeight w:val="2072" w:hRule="atLeast"/>
        </w:trPr>
        <w:tc>
          <w:tcPr>
            <w:tcW w:w="924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1.供应商承诺具体事项：</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133" w:hRule="atLeast"/>
        </w:trPr>
        <w:tc>
          <w:tcPr>
            <w:tcW w:w="924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2.服务期责任：</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702" w:hRule="atLeast"/>
        </w:trPr>
        <w:tc>
          <w:tcPr>
            <w:tcW w:w="924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3.其他具体事项：</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577" w:hRule="atLeast"/>
        </w:trPr>
        <w:tc>
          <w:tcPr>
            <w:tcW w:w="476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甲方（章）</w:t>
            </w: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                 年   月   日 </w:t>
            </w:r>
          </w:p>
        </w:tc>
        <w:tc>
          <w:tcPr>
            <w:tcW w:w="447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乙方（章）</w:t>
            </w: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                年   月   日</w:t>
            </w:r>
          </w:p>
        </w:tc>
      </w:tr>
    </w:tbl>
    <w:p>
      <w:pPr>
        <w:snapToGrid w:val="0"/>
        <w:spacing w:line="276" w:lineRule="auto"/>
        <w:rPr>
          <w:rFonts w:ascii="仿宋_GB2312" w:eastAsia="仿宋_GB2312"/>
          <w:color w:val="auto"/>
          <w:sz w:val="24"/>
          <w:highlight w:val="none"/>
        </w:rPr>
      </w:pPr>
      <w:r>
        <w:rPr>
          <w:rFonts w:hint="eastAsia" w:ascii="仿宋_GB2312" w:eastAsia="仿宋_GB2312"/>
          <w:b/>
          <w:color w:val="auto"/>
          <w:sz w:val="24"/>
          <w:highlight w:val="none"/>
        </w:rPr>
        <w:t>注：</w:t>
      </w:r>
      <w:r>
        <w:rPr>
          <w:rFonts w:hint="eastAsia" w:ascii="仿宋_GB2312" w:eastAsia="仿宋_GB2312"/>
          <w:color w:val="auto"/>
          <w:sz w:val="24"/>
          <w:highlight w:val="none"/>
        </w:rPr>
        <w:t>填不下时可另加附页</w:t>
      </w:r>
    </w:p>
    <w:p>
      <w:pPr>
        <w:spacing w:line="276" w:lineRule="auto"/>
        <w:jc w:val="center"/>
        <w:rPr>
          <w:rFonts w:ascii="仿宋_GB2312" w:hAnsi="华文中宋" w:eastAsia="仿宋_GB2312"/>
          <w:bCs/>
          <w:color w:val="auto"/>
          <w:sz w:val="32"/>
          <w:szCs w:val="32"/>
          <w:highlight w:val="none"/>
        </w:rPr>
      </w:pPr>
    </w:p>
    <w:p>
      <w:pPr>
        <w:spacing w:line="276" w:lineRule="auto"/>
        <w:jc w:val="center"/>
        <w:rPr>
          <w:rFonts w:ascii="仿宋_GB2312" w:hAnsi="华文中宋" w:eastAsia="仿宋_GB2312"/>
          <w:bCs/>
          <w:color w:val="auto"/>
          <w:sz w:val="32"/>
          <w:szCs w:val="32"/>
          <w:highlight w:val="none"/>
        </w:rPr>
      </w:pPr>
    </w:p>
    <w:p>
      <w:pPr>
        <w:spacing w:line="276" w:lineRule="auto"/>
        <w:jc w:val="center"/>
        <w:rPr>
          <w:rFonts w:ascii="仿宋_GB2312" w:hAnsi="华文中宋" w:eastAsia="仿宋_GB2312"/>
          <w:bCs/>
          <w:color w:val="auto"/>
          <w:sz w:val="32"/>
          <w:szCs w:val="32"/>
          <w:highlight w:val="none"/>
        </w:rPr>
      </w:pPr>
    </w:p>
    <w:p>
      <w:pPr>
        <w:spacing w:line="276" w:lineRule="auto"/>
        <w:jc w:val="center"/>
        <w:rPr>
          <w:rFonts w:ascii="仿宋_GB2312" w:hAnsi="华文中宋" w:eastAsia="仿宋_GB2312"/>
          <w:bCs/>
          <w:color w:val="auto"/>
          <w:sz w:val="32"/>
          <w:szCs w:val="32"/>
          <w:highlight w:val="none"/>
        </w:rPr>
      </w:pPr>
    </w:p>
    <w:p>
      <w:pPr>
        <w:spacing w:before="120" w:beforeLines="50" w:after="480" w:afterLines="200" w:line="340" w:lineRule="exact"/>
        <w:jc w:val="center"/>
        <w:rPr>
          <w:b/>
          <w:color w:val="auto"/>
          <w:kern w:val="0"/>
          <w:sz w:val="32"/>
          <w:szCs w:val="32"/>
          <w:highlight w:val="none"/>
        </w:rPr>
      </w:pPr>
      <w:r>
        <w:rPr>
          <w:rFonts w:ascii="仿宋_GB2312" w:hAnsi="华文中宋" w:eastAsia="仿宋_GB2312"/>
          <w:bCs/>
          <w:color w:val="auto"/>
          <w:sz w:val="32"/>
          <w:szCs w:val="32"/>
          <w:highlight w:val="none"/>
        </w:rPr>
        <w:br w:type="page"/>
      </w:r>
      <w:r>
        <w:rPr>
          <w:rFonts w:hint="eastAsia"/>
          <w:b/>
          <w:bCs/>
          <w:color w:val="auto"/>
          <w:kern w:val="0"/>
          <w:sz w:val="32"/>
          <w:szCs w:val="32"/>
          <w:highlight w:val="none"/>
        </w:rPr>
        <w:t>广西壮族自治区政府采购项目</w:t>
      </w:r>
      <w:r>
        <w:rPr>
          <w:rFonts w:hint="eastAsia"/>
          <w:b/>
          <w:color w:val="auto"/>
          <w:kern w:val="0"/>
          <w:sz w:val="32"/>
          <w:szCs w:val="32"/>
          <w:highlight w:val="none"/>
        </w:rPr>
        <w:t>合同验收书（格式）</w:t>
      </w:r>
    </w:p>
    <w:p>
      <w:pPr>
        <w:spacing w:line="340" w:lineRule="exact"/>
        <w:ind w:firstLine="420" w:firstLineChars="200"/>
        <w:rPr>
          <w:rFonts w:ascii="仿宋_GB2312" w:eastAsia="仿宋_GB2312"/>
          <w:color w:val="auto"/>
          <w:kern w:val="0"/>
          <w:szCs w:val="21"/>
          <w:highlight w:val="none"/>
        </w:rPr>
      </w:pPr>
      <w:r>
        <w:rPr>
          <w:rFonts w:hint="eastAsia" w:ascii="仿宋_GB2312" w:eastAsia="仿宋_GB2312"/>
          <w:color w:val="auto"/>
          <w:kern w:val="0"/>
          <w:szCs w:val="21"/>
          <w:highlight w:val="none"/>
        </w:rPr>
        <w:t>根据政府采购项目（采购合同编号：</w:t>
      </w:r>
      <w:r>
        <w:rPr>
          <w:rFonts w:hint="eastAsia" w:ascii="仿宋_GB2312" w:eastAsia="仿宋_GB2312"/>
          <w:color w:val="auto"/>
          <w:kern w:val="0"/>
          <w:szCs w:val="21"/>
          <w:highlight w:val="none"/>
        </w:rPr>
        <w:softHyphen/>
      </w:r>
      <w:r>
        <w:rPr>
          <w:rFonts w:hint="eastAsia" w:eastAsia="仿宋_GB2312"/>
          <w:color w:val="auto"/>
          <w:kern w:val="0"/>
          <w:szCs w:val="21"/>
          <w:highlight w:val="none"/>
        </w:rPr>
        <w:t>   </w:t>
      </w:r>
      <w:r>
        <w:rPr>
          <w:rFonts w:hint="eastAsia" w:ascii="仿宋_GB2312" w:eastAsia="仿宋_GB2312"/>
          <w:color w:val="auto"/>
          <w:kern w:val="0"/>
          <w:szCs w:val="21"/>
          <w:highlight w:val="none"/>
        </w:rPr>
        <w:t>）的约定，我单位对</w:t>
      </w:r>
      <w:r>
        <w:rPr>
          <w:rFonts w:hint="eastAsia" w:ascii="仿宋_GB2312" w:eastAsia="仿宋_GB2312"/>
          <w:color w:val="auto"/>
          <w:kern w:val="0"/>
          <w:szCs w:val="21"/>
          <w:highlight w:val="none"/>
          <w:u w:val="single"/>
        </w:rPr>
        <w:t>（ 项目名称 ）</w:t>
      </w:r>
      <w:r>
        <w:rPr>
          <w:rFonts w:hint="eastAsia" w:ascii="仿宋_GB2312" w:eastAsia="仿宋_GB2312"/>
          <w:color w:val="auto"/>
          <w:kern w:val="0"/>
          <w:szCs w:val="21"/>
          <w:highlight w:val="none"/>
        </w:rPr>
        <w:t>政府采购项目中标供应商</w:t>
      </w:r>
      <w:r>
        <w:rPr>
          <w:rFonts w:hint="eastAsia" w:ascii="仿宋_GB2312" w:eastAsia="仿宋_GB2312"/>
          <w:color w:val="auto"/>
          <w:kern w:val="0"/>
          <w:szCs w:val="21"/>
          <w:highlight w:val="none"/>
          <w:u w:val="single"/>
        </w:rPr>
        <w:t>（ 公司名称 ）</w:t>
      </w:r>
      <w:r>
        <w:rPr>
          <w:rFonts w:hint="eastAsia" w:ascii="仿宋_GB2312" w:eastAsia="仿宋_GB2312"/>
          <w:color w:val="auto"/>
          <w:kern w:val="0"/>
          <w:szCs w:val="21"/>
          <w:highlight w:val="none"/>
        </w:rPr>
        <w:t>提供的服务进行了验收，验收情况如下：</w:t>
      </w:r>
    </w:p>
    <w:tbl>
      <w:tblPr>
        <w:tblStyle w:val="4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715"/>
        <w:gridCol w:w="409"/>
        <w:gridCol w:w="2449"/>
        <w:gridCol w:w="94"/>
        <w:gridCol w:w="149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gridSpan w:val="2"/>
          </w:tcPr>
          <w:p>
            <w:pPr>
              <w:spacing w:line="340" w:lineRule="exact"/>
              <w:jc w:val="center"/>
              <w:rPr>
                <w:rFonts w:ascii="仿宋_GB2312" w:eastAsia="仿宋_GB2312"/>
                <w:b/>
                <w:color w:val="auto"/>
                <w:szCs w:val="21"/>
                <w:highlight w:val="none"/>
              </w:rPr>
            </w:pPr>
            <w:r>
              <w:rPr>
                <w:rFonts w:hint="eastAsia" w:ascii="仿宋_GB2312" w:eastAsia="仿宋_GB2312"/>
                <w:color w:val="auto"/>
                <w:kern w:val="0"/>
                <w:szCs w:val="21"/>
                <w:highlight w:val="none"/>
              </w:rPr>
              <w:t>验收方式：</w:t>
            </w:r>
          </w:p>
        </w:tc>
        <w:tc>
          <w:tcPr>
            <w:tcW w:w="5873" w:type="dxa"/>
            <w:gridSpan w:val="5"/>
          </w:tcPr>
          <w:p>
            <w:pPr>
              <w:spacing w:line="340" w:lineRule="exact"/>
              <w:jc w:val="center"/>
              <w:rPr>
                <w:rFonts w:ascii="仿宋_GB2312" w:eastAsia="仿宋_GB2312"/>
                <w:b/>
                <w:color w:val="auto"/>
                <w:szCs w:val="21"/>
                <w:highlight w:val="none"/>
              </w:rPr>
            </w:pPr>
            <w:r>
              <w:rPr>
                <w:rFonts w:hint="eastAsia" w:ascii="仿宋_GB2312" w:eastAsia="仿宋_GB2312"/>
                <w:color w:val="auto"/>
                <w:kern w:val="0"/>
                <w:szCs w:val="21"/>
                <w:highlight w:val="none"/>
              </w:rPr>
              <w:t>□自行验收</w:t>
            </w:r>
            <w:r>
              <w:rPr>
                <w:rFonts w:hint="eastAsia" w:eastAsia="仿宋_GB2312"/>
                <w:color w:val="auto"/>
                <w:kern w:val="0"/>
                <w:szCs w:val="21"/>
                <w:highlight w:val="none"/>
              </w:rPr>
              <w:t>    </w:t>
            </w:r>
            <w:r>
              <w:rPr>
                <w:rFonts w:hint="eastAsia" w:ascii="仿宋_GB2312" w:eastAsia="仿宋_GB2312"/>
                <w:color w:val="auto"/>
                <w:kern w:val="0"/>
                <w:szCs w:val="21"/>
                <w:highlight w:val="none"/>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序号</w:t>
            </w:r>
          </w:p>
        </w:tc>
        <w:tc>
          <w:tcPr>
            <w:tcW w:w="1715"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名</w:t>
            </w:r>
            <w:r>
              <w:rPr>
                <w:rFonts w:hint="eastAsia" w:eastAsia="仿宋_GB2312"/>
                <w:color w:val="auto"/>
                <w:kern w:val="0"/>
                <w:szCs w:val="21"/>
                <w:highlight w:val="none"/>
              </w:rPr>
              <w:t> </w:t>
            </w:r>
            <w:r>
              <w:rPr>
                <w:rFonts w:hint="eastAsia" w:ascii="仿宋_GB2312" w:eastAsia="仿宋_GB2312"/>
                <w:color w:val="auto"/>
                <w:kern w:val="0"/>
                <w:szCs w:val="21"/>
                <w:highlight w:val="none"/>
              </w:rPr>
              <w:t>称</w:t>
            </w:r>
          </w:p>
        </w:tc>
        <w:tc>
          <w:tcPr>
            <w:tcW w:w="2952" w:type="dxa"/>
            <w:gridSpan w:val="3"/>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服务内容、标准</w:t>
            </w:r>
          </w:p>
        </w:tc>
        <w:tc>
          <w:tcPr>
            <w:tcW w:w="1493" w:type="dxa"/>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数量</w:t>
            </w:r>
          </w:p>
        </w:tc>
        <w:tc>
          <w:tcPr>
            <w:tcW w:w="1428"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金</w:t>
            </w:r>
            <w:r>
              <w:rPr>
                <w:rFonts w:hint="eastAsia" w:eastAsia="仿宋_GB2312"/>
                <w:color w:val="auto"/>
                <w:kern w:val="0"/>
                <w:szCs w:val="21"/>
                <w:highlight w:val="none"/>
              </w:rPr>
              <w:t> </w:t>
            </w:r>
            <w:r>
              <w:rPr>
                <w:rFonts w:hint="eastAsia" w:ascii="仿宋_GB2312" w:eastAsia="仿宋_GB2312"/>
                <w:color w:val="auto"/>
                <w:kern w:val="0"/>
                <w:szCs w:val="21"/>
                <w:highlight w:val="none"/>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715"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952" w:type="dxa"/>
            <w:gridSpan w:val="3"/>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493" w:type="dxa"/>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28"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715"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952" w:type="dxa"/>
            <w:gridSpan w:val="3"/>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493" w:type="dxa"/>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28"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715"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952" w:type="dxa"/>
            <w:gridSpan w:val="3"/>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493" w:type="dxa"/>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28"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gridSpan w:val="5"/>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合</w:t>
            </w:r>
            <w:r>
              <w:rPr>
                <w:rFonts w:hint="eastAsia" w:eastAsia="仿宋_GB2312"/>
                <w:color w:val="auto"/>
                <w:kern w:val="0"/>
                <w:szCs w:val="21"/>
                <w:highlight w:val="none"/>
              </w:rPr>
              <w:t>  </w:t>
            </w:r>
            <w:r>
              <w:rPr>
                <w:rFonts w:hint="eastAsia" w:ascii="仿宋_GB2312" w:eastAsia="仿宋_GB2312"/>
                <w:color w:val="auto"/>
                <w:kern w:val="0"/>
                <w:szCs w:val="21"/>
                <w:highlight w:val="none"/>
              </w:rPr>
              <w:t>计</w:t>
            </w:r>
          </w:p>
        </w:tc>
        <w:tc>
          <w:tcPr>
            <w:tcW w:w="1493" w:type="dxa"/>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28"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7"/>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合计大写金额：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54"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服务开始日期</w:t>
            </w:r>
          </w:p>
        </w:tc>
        <w:tc>
          <w:tcPr>
            <w:tcW w:w="2124" w:type="dxa"/>
            <w:gridSpan w:val="2"/>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449" w:type="dxa"/>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合同验收日期</w:t>
            </w:r>
          </w:p>
        </w:tc>
        <w:tc>
          <w:tcPr>
            <w:tcW w:w="3015" w:type="dxa"/>
            <w:gridSpan w:val="3"/>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54" w:type="dxa"/>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2124" w:type="dxa"/>
            <w:gridSpan w:val="2"/>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2449" w:type="dxa"/>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3015" w:type="dxa"/>
            <w:gridSpan w:val="3"/>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654" w:type="dxa"/>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验收具体内容</w:t>
            </w:r>
          </w:p>
        </w:tc>
        <w:tc>
          <w:tcPr>
            <w:tcW w:w="7588" w:type="dxa"/>
            <w:gridSpan w:val="6"/>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（应按采购合同、采购文件、投标响应文件及验收方案等进行验收；并核对中标供应商配备的服务人员数量、人员素质、服务规范要求等方面是否达到合同约定。可附件）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654" w:type="dxa"/>
            <w:vMerge w:val="restart"/>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验收小组意见</w:t>
            </w:r>
          </w:p>
        </w:tc>
        <w:tc>
          <w:tcPr>
            <w:tcW w:w="7588" w:type="dxa"/>
            <w:gridSpan w:val="6"/>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验收结论性意见：</w:t>
            </w:r>
          </w:p>
          <w:p>
            <w:pPr>
              <w:widowControl/>
              <w:snapToGrid w:val="0"/>
              <w:spacing w:before="100" w:beforeAutospacing="1" w:after="100" w:afterAutospacing="1" w:line="320" w:lineRule="atLeast"/>
              <w:jc w:val="left"/>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continue"/>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7588" w:type="dxa"/>
            <w:gridSpan w:val="6"/>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有异议的意见和说明理由：</w:t>
            </w:r>
          </w:p>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242" w:type="dxa"/>
            <w:gridSpan w:val="7"/>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7"/>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监督人员或其他相关人员签字：</w:t>
            </w:r>
          </w:p>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7"/>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中标供应商负责人签字或者盖章：     采购人或受托机构的意见（盖章）：</w:t>
            </w:r>
          </w:p>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 xml:space="preserve">联系电话：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年</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月</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日                 联系电话：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年</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月</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日</w:t>
            </w:r>
          </w:p>
        </w:tc>
      </w:tr>
    </w:tbl>
    <w:p>
      <w:pPr>
        <w:spacing w:line="276" w:lineRule="auto"/>
        <w:jc w:val="left"/>
        <w:rPr>
          <w:rFonts w:ascii="仿宋_GB2312" w:hAnsi="华文中宋" w:eastAsia="仿宋_GB2312"/>
          <w:bCs/>
          <w:color w:val="auto"/>
          <w:szCs w:val="21"/>
          <w:highlight w:val="none"/>
        </w:rPr>
      </w:pPr>
    </w:p>
    <w:p>
      <w:pPr>
        <w:spacing w:line="276" w:lineRule="auto"/>
        <w:jc w:val="left"/>
        <w:rPr>
          <w:rFonts w:ascii="仿宋_GB2312" w:hAnsi="华文中宋" w:eastAsia="仿宋_GB2312"/>
          <w:b/>
          <w:bCs/>
          <w:color w:val="auto"/>
          <w:szCs w:val="21"/>
          <w:highlight w:val="none"/>
        </w:rPr>
      </w:pPr>
      <w:r>
        <w:rPr>
          <w:rFonts w:hint="eastAsia" w:ascii="仿宋_GB2312" w:hAnsi="华文中宋" w:eastAsia="仿宋_GB2312"/>
          <w:b/>
          <w:bCs/>
          <w:color w:val="auto"/>
          <w:szCs w:val="21"/>
          <w:highlight w:val="none"/>
        </w:rPr>
        <w:t>备注：本验收书一式三份（采购人一份、中标人一份、采购代理机构一份）</w:t>
      </w:r>
    </w:p>
    <w:p>
      <w:pPr>
        <w:snapToGrid w:val="0"/>
        <w:jc w:val="left"/>
        <w:rPr>
          <w:rFonts w:ascii="仿宋_GB2312" w:hAnsi="华文中宋" w:eastAsia="仿宋_GB2312"/>
          <w:b/>
          <w:color w:val="auto"/>
          <w:szCs w:val="21"/>
          <w:highlight w:val="none"/>
        </w:rPr>
      </w:pPr>
    </w:p>
    <w:bookmarkEnd w:id="69"/>
    <w:p>
      <w:pPr>
        <w:jc w:val="right"/>
        <w:rPr>
          <w:rFonts w:ascii="仿宋_GB2312" w:eastAsia="仿宋_GB2312"/>
          <w:b/>
          <w:bCs/>
          <w:color w:val="auto"/>
          <w:sz w:val="32"/>
          <w:szCs w:val="32"/>
          <w:highlight w:val="none"/>
        </w:rPr>
      </w:pPr>
      <w:bookmarkStart w:id="73" w:name="_GoBack"/>
      <w:bookmarkEnd w:id="73"/>
    </w:p>
    <w:sectPr>
      <w:footerReference r:id="rId8" w:type="default"/>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大黑简体2.">
    <w:altName w:val="黑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jc w:val="cente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b/>
      </w:rPr>
      <w:t xml:space="preserve">柳州市政府集中采购中心  </w:t>
    </w:r>
    <w:r>
      <w:rPr>
        <w:rFonts w:hint="eastAsia"/>
        <w:b/>
        <w:i/>
      </w:rPr>
      <w:t xml:space="preserve">                            柳州市政府集中采购综合管理系统开发服务采购</w:t>
    </w:r>
    <w:r>
      <w:rPr>
        <w:rFonts w:hint="eastAsia"/>
        <w:b/>
        <w:color w:val="000000"/>
      </w:rPr>
      <w:t>（LZG18-945）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b/>
        <w:color w:val="000000"/>
      </w:rPr>
    </w:pPr>
    <w:r>
      <w:rPr>
        <w:rFonts w:hint="eastAsia"/>
        <w:b/>
        <w:lang w:eastAsia="zh-CN"/>
      </w:rPr>
      <w:t>柳州职业技术学院</w:t>
    </w:r>
    <w:r>
      <w:rPr>
        <w:b/>
      </w:rPr>
      <w:t>物业管理服务采购</w:t>
    </w:r>
    <w:r>
      <w:rPr>
        <w:rFonts w:hint="eastAsia"/>
        <w:b/>
      </w:rPr>
      <w:t>（</w:t>
    </w:r>
    <w:r>
      <w:rPr>
        <w:rFonts w:hint="eastAsia"/>
        <w:b/>
        <w:lang w:eastAsia="zh-CN"/>
      </w:rPr>
      <w:t>LZZC2024-G3-990697-LZJC</w:t>
    </w:r>
    <w:r>
      <w:rPr>
        <w:rFonts w:hint="eastAsia"/>
        <w:b/>
      </w:rPr>
      <w:t xml:space="preserve">）   </w:t>
    </w: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F11A3"/>
    <w:multiLevelType w:val="singleLevel"/>
    <w:tmpl w:val="BE6F11A3"/>
    <w:lvl w:ilvl="0" w:tentative="0">
      <w:start w:val="2"/>
      <w:numFmt w:val="chineseCounting"/>
      <w:suff w:val="nothing"/>
      <w:lvlText w:val="（%1）"/>
      <w:lvlJc w:val="left"/>
      <w:rPr>
        <w:rFonts w:hint="eastAsia"/>
      </w:rPr>
    </w:lvl>
  </w:abstractNum>
  <w:abstractNum w:abstractNumId="1">
    <w:nsid w:val="08FD0A51"/>
    <w:multiLevelType w:val="multilevel"/>
    <w:tmpl w:val="08FD0A51"/>
    <w:lvl w:ilvl="0" w:tentative="0">
      <w:start w:val="1"/>
      <w:numFmt w:val="decimal"/>
      <w:suff w:val="nothing"/>
      <w:lvlText w:val="（%1）"/>
      <w:lvlJc w:val="left"/>
      <w:pPr>
        <w:ind w:left="0" w:firstLine="430"/>
      </w:pPr>
      <w:rPr>
        <w:rFonts w:hint="eastAsia"/>
      </w:rPr>
    </w:lvl>
    <w:lvl w:ilvl="1" w:tentative="0">
      <w:start w:val="1"/>
      <w:numFmt w:val="lowerLetter"/>
      <w:lvlText w:val="%2)"/>
      <w:lvlJc w:val="left"/>
      <w:pPr>
        <w:tabs>
          <w:tab w:val="left" w:pos="1470"/>
        </w:tabs>
        <w:ind w:left="1470" w:hanging="420"/>
      </w:pPr>
      <w:rPr>
        <w:rFonts w:hint="eastAsia"/>
      </w:rPr>
    </w:lvl>
    <w:lvl w:ilvl="2" w:tentative="0">
      <w:start w:val="1"/>
      <w:numFmt w:val="lowerRoman"/>
      <w:lvlText w:val="%3."/>
      <w:lvlJc w:val="right"/>
      <w:pPr>
        <w:tabs>
          <w:tab w:val="left" w:pos="1890"/>
        </w:tabs>
        <w:ind w:left="1890" w:hanging="420"/>
      </w:pPr>
      <w:rPr>
        <w:rFonts w:hint="eastAsia"/>
      </w:rPr>
    </w:lvl>
    <w:lvl w:ilvl="3" w:tentative="0">
      <w:start w:val="1"/>
      <w:numFmt w:val="decimal"/>
      <w:lvlText w:val="%4."/>
      <w:lvlJc w:val="left"/>
      <w:pPr>
        <w:tabs>
          <w:tab w:val="left" w:pos="2310"/>
        </w:tabs>
        <w:ind w:left="2310" w:hanging="420"/>
      </w:pPr>
      <w:rPr>
        <w:rFonts w:hint="eastAsia"/>
      </w:rPr>
    </w:lvl>
    <w:lvl w:ilvl="4" w:tentative="0">
      <w:start w:val="1"/>
      <w:numFmt w:val="lowerLetter"/>
      <w:lvlText w:val="%5)"/>
      <w:lvlJc w:val="left"/>
      <w:pPr>
        <w:tabs>
          <w:tab w:val="left" w:pos="2730"/>
        </w:tabs>
        <w:ind w:left="2730" w:hanging="420"/>
      </w:pPr>
      <w:rPr>
        <w:rFonts w:hint="eastAsia"/>
      </w:rPr>
    </w:lvl>
    <w:lvl w:ilvl="5" w:tentative="0">
      <w:start w:val="1"/>
      <w:numFmt w:val="lowerRoman"/>
      <w:lvlText w:val="%6."/>
      <w:lvlJc w:val="right"/>
      <w:pPr>
        <w:tabs>
          <w:tab w:val="left" w:pos="3150"/>
        </w:tabs>
        <w:ind w:left="3150" w:hanging="420"/>
      </w:pPr>
      <w:rPr>
        <w:rFonts w:hint="eastAsia"/>
      </w:rPr>
    </w:lvl>
    <w:lvl w:ilvl="6" w:tentative="0">
      <w:start w:val="1"/>
      <w:numFmt w:val="decimal"/>
      <w:lvlText w:val="%7."/>
      <w:lvlJc w:val="left"/>
      <w:pPr>
        <w:tabs>
          <w:tab w:val="left" w:pos="3570"/>
        </w:tabs>
        <w:ind w:left="3570" w:hanging="420"/>
      </w:pPr>
      <w:rPr>
        <w:rFonts w:hint="eastAsia"/>
      </w:rPr>
    </w:lvl>
    <w:lvl w:ilvl="7" w:tentative="0">
      <w:start w:val="1"/>
      <w:numFmt w:val="lowerLetter"/>
      <w:lvlText w:val="%8)"/>
      <w:lvlJc w:val="left"/>
      <w:pPr>
        <w:tabs>
          <w:tab w:val="left" w:pos="3990"/>
        </w:tabs>
        <w:ind w:left="3990" w:hanging="420"/>
      </w:pPr>
      <w:rPr>
        <w:rFonts w:hint="eastAsia"/>
      </w:rPr>
    </w:lvl>
    <w:lvl w:ilvl="8" w:tentative="0">
      <w:start w:val="1"/>
      <w:numFmt w:val="lowerRoman"/>
      <w:lvlText w:val="%9."/>
      <w:lvlJc w:val="right"/>
      <w:pPr>
        <w:tabs>
          <w:tab w:val="left" w:pos="4410"/>
        </w:tabs>
        <w:ind w:left="4410" w:hanging="420"/>
      </w:pPr>
      <w:rPr>
        <w:rFonts w:hint="eastAsia"/>
      </w:rPr>
    </w:lvl>
  </w:abstractNum>
  <w:abstractNum w:abstractNumId="2">
    <w:nsid w:val="09256FDA"/>
    <w:multiLevelType w:val="multilevel"/>
    <w:tmpl w:val="09256FDA"/>
    <w:lvl w:ilvl="0" w:tentative="0">
      <w:start w:val="1"/>
      <w:numFmt w:val="chineseCountingThousand"/>
      <w:pStyle w:val="107"/>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10"/>
      <w:lvlText w:val="%6."/>
      <w:lvlJc w:val="right"/>
      <w:pPr>
        <w:ind w:left="3000" w:hanging="420"/>
      </w:pPr>
    </w:lvl>
    <w:lvl w:ilvl="6" w:tentative="0">
      <w:start w:val="1"/>
      <w:numFmt w:val="decimal"/>
      <w:pStyle w:val="11"/>
      <w:lvlText w:val="%7."/>
      <w:lvlJc w:val="left"/>
      <w:pPr>
        <w:ind w:left="3420" w:hanging="420"/>
      </w:pPr>
    </w:lvl>
    <w:lvl w:ilvl="7" w:tentative="0">
      <w:start w:val="1"/>
      <w:numFmt w:val="lowerLetter"/>
      <w:pStyle w:val="12"/>
      <w:lvlText w:val="%8)"/>
      <w:lvlJc w:val="left"/>
      <w:pPr>
        <w:ind w:left="3840" w:hanging="420"/>
      </w:pPr>
    </w:lvl>
    <w:lvl w:ilvl="8" w:tentative="0">
      <w:start w:val="1"/>
      <w:numFmt w:val="lowerRoman"/>
      <w:pStyle w:val="13"/>
      <w:lvlText w:val="%9."/>
      <w:lvlJc w:val="right"/>
      <w:pPr>
        <w:ind w:left="4260" w:hanging="420"/>
      </w:pPr>
    </w:lvl>
  </w:abstractNum>
  <w:abstractNum w:abstractNumId="3">
    <w:nsid w:val="0F9E60A7"/>
    <w:multiLevelType w:val="multilevel"/>
    <w:tmpl w:val="0F9E60A7"/>
    <w:lvl w:ilvl="0" w:tentative="0">
      <w:start w:val="1"/>
      <w:numFmt w:val="japaneseCounting"/>
      <w:lvlText w:val="第%1条"/>
      <w:lvlJc w:val="left"/>
      <w:pPr>
        <w:ind w:left="1365" w:hanging="94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3558BB1"/>
    <w:multiLevelType w:val="singleLevel"/>
    <w:tmpl w:val="73558BB1"/>
    <w:lvl w:ilvl="0" w:tentative="0">
      <w:start w:val="1"/>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ZmMxNThkOWQzZDUwNDJkZmRiMmM5YjA5Y2NiZTIifQ=="/>
  </w:docVars>
  <w:rsids>
    <w:rsidRoot w:val="00172A27"/>
    <w:rsid w:val="00000098"/>
    <w:rsid w:val="00000235"/>
    <w:rsid w:val="00000BE6"/>
    <w:rsid w:val="00000EA6"/>
    <w:rsid w:val="00000F70"/>
    <w:rsid w:val="00001419"/>
    <w:rsid w:val="00001E3D"/>
    <w:rsid w:val="0000234F"/>
    <w:rsid w:val="000031DB"/>
    <w:rsid w:val="0000367B"/>
    <w:rsid w:val="000043C7"/>
    <w:rsid w:val="00004F6D"/>
    <w:rsid w:val="00006D60"/>
    <w:rsid w:val="00007042"/>
    <w:rsid w:val="000070F9"/>
    <w:rsid w:val="00007A45"/>
    <w:rsid w:val="00007B12"/>
    <w:rsid w:val="00007FF7"/>
    <w:rsid w:val="0001002C"/>
    <w:rsid w:val="00010AB6"/>
    <w:rsid w:val="00011112"/>
    <w:rsid w:val="000115B7"/>
    <w:rsid w:val="00011DB7"/>
    <w:rsid w:val="000120AA"/>
    <w:rsid w:val="000124DA"/>
    <w:rsid w:val="00012763"/>
    <w:rsid w:val="00014960"/>
    <w:rsid w:val="000157B1"/>
    <w:rsid w:val="00015FB9"/>
    <w:rsid w:val="00016048"/>
    <w:rsid w:val="00016E1D"/>
    <w:rsid w:val="00016E4A"/>
    <w:rsid w:val="00017814"/>
    <w:rsid w:val="00017B02"/>
    <w:rsid w:val="00017C23"/>
    <w:rsid w:val="000210A2"/>
    <w:rsid w:val="000219E7"/>
    <w:rsid w:val="00022A08"/>
    <w:rsid w:val="0002382C"/>
    <w:rsid w:val="000239AF"/>
    <w:rsid w:val="00023AD3"/>
    <w:rsid w:val="00024119"/>
    <w:rsid w:val="0002412E"/>
    <w:rsid w:val="0002485B"/>
    <w:rsid w:val="00024AEC"/>
    <w:rsid w:val="000252EF"/>
    <w:rsid w:val="0002533B"/>
    <w:rsid w:val="000257AA"/>
    <w:rsid w:val="00026874"/>
    <w:rsid w:val="000269D2"/>
    <w:rsid w:val="00026A4B"/>
    <w:rsid w:val="00026E44"/>
    <w:rsid w:val="0002705C"/>
    <w:rsid w:val="0002739D"/>
    <w:rsid w:val="000275A8"/>
    <w:rsid w:val="00030068"/>
    <w:rsid w:val="000303E1"/>
    <w:rsid w:val="00031417"/>
    <w:rsid w:val="000317C1"/>
    <w:rsid w:val="00031C8D"/>
    <w:rsid w:val="00033587"/>
    <w:rsid w:val="00033A5E"/>
    <w:rsid w:val="00033B87"/>
    <w:rsid w:val="000345B3"/>
    <w:rsid w:val="0003560F"/>
    <w:rsid w:val="00035DE8"/>
    <w:rsid w:val="00036947"/>
    <w:rsid w:val="00036A92"/>
    <w:rsid w:val="00036DAE"/>
    <w:rsid w:val="00036F4B"/>
    <w:rsid w:val="000374B1"/>
    <w:rsid w:val="00037959"/>
    <w:rsid w:val="00040330"/>
    <w:rsid w:val="00041165"/>
    <w:rsid w:val="000413E7"/>
    <w:rsid w:val="0004189A"/>
    <w:rsid w:val="00041B52"/>
    <w:rsid w:val="000420F5"/>
    <w:rsid w:val="000424E0"/>
    <w:rsid w:val="00043441"/>
    <w:rsid w:val="00043DAB"/>
    <w:rsid w:val="000442D2"/>
    <w:rsid w:val="000448D9"/>
    <w:rsid w:val="00045374"/>
    <w:rsid w:val="00045718"/>
    <w:rsid w:val="00045B7B"/>
    <w:rsid w:val="00045D55"/>
    <w:rsid w:val="00045D9F"/>
    <w:rsid w:val="00045ED7"/>
    <w:rsid w:val="000466B9"/>
    <w:rsid w:val="00046CD4"/>
    <w:rsid w:val="00046F87"/>
    <w:rsid w:val="00047D7E"/>
    <w:rsid w:val="000514DD"/>
    <w:rsid w:val="00051A31"/>
    <w:rsid w:val="000525BC"/>
    <w:rsid w:val="0005300B"/>
    <w:rsid w:val="0005314B"/>
    <w:rsid w:val="000532B5"/>
    <w:rsid w:val="00053BE0"/>
    <w:rsid w:val="00053ECC"/>
    <w:rsid w:val="000542B6"/>
    <w:rsid w:val="00054E25"/>
    <w:rsid w:val="0005591B"/>
    <w:rsid w:val="00056A5C"/>
    <w:rsid w:val="00056AC9"/>
    <w:rsid w:val="00057806"/>
    <w:rsid w:val="00057D70"/>
    <w:rsid w:val="00057E18"/>
    <w:rsid w:val="00057E4E"/>
    <w:rsid w:val="000606E0"/>
    <w:rsid w:val="000614CE"/>
    <w:rsid w:val="00061AB0"/>
    <w:rsid w:val="00061CC0"/>
    <w:rsid w:val="00062121"/>
    <w:rsid w:val="000623FE"/>
    <w:rsid w:val="00062573"/>
    <w:rsid w:val="00062808"/>
    <w:rsid w:val="000630CD"/>
    <w:rsid w:val="00063149"/>
    <w:rsid w:val="00063816"/>
    <w:rsid w:val="0006471C"/>
    <w:rsid w:val="00066221"/>
    <w:rsid w:val="0006731E"/>
    <w:rsid w:val="00070B46"/>
    <w:rsid w:val="00071A83"/>
    <w:rsid w:val="00072BCC"/>
    <w:rsid w:val="00073315"/>
    <w:rsid w:val="000733DE"/>
    <w:rsid w:val="00074052"/>
    <w:rsid w:val="00074393"/>
    <w:rsid w:val="00075F03"/>
    <w:rsid w:val="0007640E"/>
    <w:rsid w:val="000805E3"/>
    <w:rsid w:val="00080A21"/>
    <w:rsid w:val="00080C67"/>
    <w:rsid w:val="00080EB2"/>
    <w:rsid w:val="00080F5E"/>
    <w:rsid w:val="00083B58"/>
    <w:rsid w:val="000847DA"/>
    <w:rsid w:val="0008491C"/>
    <w:rsid w:val="00084BE6"/>
    <w:rsid w:val="00084CBA"/>
    <w:rsid w:val="00085CB2"/>
    <w:rsid w:val="00086CCF"/>
    <w:rsid w:val="00087839"/>
    <w:rsid w:val="00090591"/>
    <w:rsid w:val="000915D8"/>
    <w:rsid w:val="0009163A"/>
    <w:rsid w:val="00091A5B"/>
    <w:rsid w:val="00092194"/>
    <w:rsid w:val="00093209"/>
    <w:rsid w:val="00093BF6"/>
    <w:rsid w:val="00093F42"/>
    <w:rsid w:val="00094599"/>
    <w:rsid w:val="000947E3"/>
    <w:rsid w:val="00095545"/>
    <w:rsid w:val="00095686"/>
    <w:rsid w:val="0009631E"/>
    <w:rsid w:val="00096585"/>
    <w:rsid w:val="0009699D"/>
    <w:rsid w:val="000969AD"/>
    <w:rsid w:val="000969C2"/>
    <w:rsid w:val="00096E5F"/>
    <w:rsid w:val="00097575"/>
    <w:rsid w:val="00097FF1"/>
    <w:rsid w:val="000A0086"/>
    <w:rsid w:val="000A05BD"/>
    <w:rsid w:val="000A0C46"/>
    <w:rsid w:val="000A1982"/>
    <w:rsid w:val="000A2591"/>
    <w:rsid w:val="000A2813"/>
    <w:rsid w:val="000A2980"/>
    <w:rsid w:val="000A3B7B"/>
    <w:rsid w:val="000A3D56"/>
    <w:rsid w:val="000A4485"/>
    <w:rsid w:val="000A4CF3"/>
    <w:rsid w:val="000A4D42"/>
    <w:rsid w:val="000A5208"/>
    <w:rsid w:val="000A5BAA"/>
    <w:rsid w:val="000A5CA2"/>
    <w:rsid w:val="000A649C"/>
    <w:rsid w:val="000A65CD"/>
    <w:rsid w:val="000A71DC"/>
    <w:rsid w:val="000A74C1"/>
    <w:rsid w:val="000A757D"/>
    <w:rsid w:val="000A77C2"/>
    <w:rsid w:val="000B0168"/>
    <w:rsid w:val="000B0C44"/>
    <w:rsid w:val="000B1306"/>
    <w:rsid w:val="000B32EE"/>
    <w:rsid w:val="000B360E"/>
    <w:rsid w:val="000B3B37"/>
    <w:rsid w:val="000B3B9E"/>
    <w:rsid w:val="000B3C9E"/>
    <w:rsid w:val="000B3F01"/>
    <w:rsid w:val="000B4453"/>
    <w:rsid w:val="000B4A85"/>
    <w:rsid w:val="000B5598"/>
    <w:rsid w:val="000B5644"/>
    <w:rsid w:val="000B5B1A"/>
    <w:rsid w:val="000B5B38"/>
    <w:rsid w:val="000B5D37"/>
    <w:rsid w:val="000B6530"/>
    <w:rsid w:val="000B6BF8"/>
    <w:rsid w:val="000C0059"/>
    <w:rsid w:val="000C0454"/>
    <w:rsid w:val="000C09EA"/>
    <w:rsid w:val="000C1070"/>
    <w:rsid w:val="000C12B4"/>
    <w:rsid w:val="000C1CA4"/>
    <w:rsid w:val="000C2FE2"/>
    <w:rsid w:val="000C363F"/>
    <w:rsid w:val="000C53F9"/>
    <w:rsid w:val="000C5F9A"/>
    <w:rsid w:val="000C65E7"/>
    <w:rsid w:val="000C679A"/>
    <w:rsid w:val="000D0DBD"/>
    <w:rsid w:val="000D19B9"/>
    <w:rsid w:val="000D1B36"/>
    <w:rsid w:val="000D24E6"/>
    <w:rsid w:val="000D266C"/>
    <w:rsid w:val="000D27B9"/>
    <w:rsid w:val="000D2A7C"/>
    <w:rsid w:val="000D2ED8"/>
    <w:rsid w:val="000D4981"/>
    <w:rsid w:val="000D4D01"/>
    <w:rsid w:val="000D589B"/>
    <w:rsid w:val="000D5E63"/>
    <w:rsid w:val="000D6747"/>
    <w:rsid w:val="000D6DAD"/>
    <w:rsid w:val="000D75FD"/>
    <w:rsid w:val="000D78A2"/>
    <w:rsid w:val="000D78E1"/>
    <w:rsid w:val="000D7E20"/>
    <w:rsid w:val="000E0700"/>
    <w:rsid w:val="000E179D"/>
    <w:rsid w:val="000E2962"/>
    <w:rsid w:val="000E2C47"/>
    <w:rsid w:val="000E2DED"/>
    <w:rsid w:val="000E31BF"/>
    <w:rsid w:val="000E321F"/>
    <w:rsid w:val="000E37F4"/>
    <w:rsid w:val="000E383E"/>
    <w:rsid w:val="000E3948"/>
    <w:rsid w:val="000E41F0"/>
    <w:rsid w:val="000E4595"/>
    <w:rsid w:val="000E45B8"/>
    <w:rsid w:val="000E478A"/>
    <w:rsid w:val="000E4E7E"/>
    <w:rsid w:val="000E54B2"/>
    <w:rsid w:val="000E55C0"/>
    <w:rsid w:val="000E6995"/>
    <w:rsid w:val="000F0043"/>
    <w:rsid w:val="000F1028"/>
    <w:rsid w:val="000F32BC"/>
    <w:rsid w:val="000F397F"/>
    <w:rsid w:val="000F3B93"/>
    <w:rsid w:val="000F40BA"/>
    <w:rsid w:val="000F43EB"/>
    <w:rsid w:val="000F4885"/>
    <w:rsid w:val="000F53BD"/>
    <w:rsid w:val="000F5D4C"/>
    <w:rsid w:val="000F6A30"/>
    <w:rsid w:val="000F7931"/>
    <w:rsid w:val="000F7C55"/>
    <w:rsid w:val="00100233"/>
    <w:rsid w:val="00100C36"/>
    <w:rsid w:val="00101727"/>
    <w:rsid w:val="00101B32"/>
    <w:rsid w:val="0010269D"/>
    <w:rsid w:val="00102711"/>
    <w:rsid w:val="00102B16"/>
    <w:rsid w:val="00102B75"/>
    <w:rsid w:val="0010348F"/>
    <w:rsid w:val="001034A6"/>
    <w:rsid w:val="0010388D"/>
    <w:rsid w:val="00103D5A"/>
    <w:rsid w:val="00104C63"/>
    <w:rsid w:val="0010686F"/>
    <w:rsid w:val="0010717F"/>
    <w:rsid w:val="00107881"/>
    <w:rsid w:val="00107944"/>
    <w:rsid w:val="001106E1"/>
    <w:rsid w:val="0011175F"/>
    <w:rsid w:val="00111A85"/>
    <w:rsid w:val="0011312C"/>
    <w:rsid w:val="001139F7"/>
    <w:rsid w:val="00114253"/>
    <w:rsid w:val="00114844"/>
    <w:rsid w:val="00114E59"/>
    <w:rsid w:val="0011544C"/>
    <w:rsid w:val="00115C23"/>
    <w:rsid w:val="00115EA5"/>
    <w:rsid w:val="00116042"/>
    <w:rsid w:val="001161C6"/>
    <w:rsid w:val="00116772"/>
    <w:rsid w:val="00116AC0"/>
    <w:rsid w:val="00117558"/>
    <w:rsid w:val="0011780D"/>
    <w:rsid w:val="00117BB9"/>
    <w:rsid w:val="0012009A"/>
    <w:rsid w:val="001204FE"/>
    <w:rsid w:val="0012087C"/>
    <w:rsid w:val="00120B9F"/>
    <w:rsid w:val="00120E6A"/>
    <w:rsid w:val="0012216B"/>
    <w:rsid w:val="001223E2"/>
    <w:rsid w:val="0012259A"/>
    <w:rsid w:val="0012444B"/>
    <w:rsid w:val="00125976"/>
    <w:rsid w:val="00126A2C"/>
    <w:rsid w:val="00131D50"/>
    <w:rsid w:val="00131E0E"/>
    <w:rsid w:val="00132238"/>
    <w:rsid w:val="00132937"/>
    <w:rsid w:val="00133A8C"/>
    <w:rsid w:val="00133E96"/>
    <w:rsid w:val="00134C03"/>
    <w:rsid w:val="001353A6"/>
    <w:rsid w:val="001361A9"/>
    <w:rsid w:val="00136235"/>
    <w:rsid w:val="00136A54"/>
    <w:rsid w:val="00136AE6"/>
    <w:rsid w:val="0014052A"/>
    <w:rsid w:val="00140691"/>
    <w:rsid w:val="00140BE5"/>
    <w:rsid w:val="0014127E"/>
    <w:rsid w:val="001421C2"/>
    <w:rsid w:val="001423AB"/>
    <w:rsid w:val="0014380F"/>
    <w:rsid w:val="00143C68"/>
    <w:rsid w:val="00143D98"/>
    <w:rsid w:val="00143E53"/>
    <w:rsid w:val="00145440"/>
    <w:rsid w:val="00145754"/>
    <w:rsid w:val="00145F94"/>
    <w:rsid w:val="00145FFF"/>
    <w:rsid w:val="0014656A"/>
    <w:rsid w:val="00146586"/>
    <w:rsid w:val="00147305"/>
    <w:rsid w:val="00147975"/>
    <w:rsid w:val="0015026F"/>
    <w:rsid w:val="00150892"/>
    <w:rsid w:val="0015124C"/>
    <w:rsid w:val="00151300"/>
    <w:rsid w:val="00151D0E"/>
    <w:rsid w:val="00152305"/>
    <w:rsid w:val="001525EC"/>
    <w:rsid w:val="001531A9"/>
    <w:rsid w:val="00153202"/>
    <w:rsid w:val="00153516"/>
    <w:rsid w:val="00153C46"/>
    <w:rsid w:val="001543A4"/>
    <w:rsid w:val="00155647"/>
    <w:rsid w:val="00155704"/>
    <w:rsid w:val="00155CB2"/>
    <w:rsid w:val="001568F0"/>
    <w:rsid w:val="00156C77"/>
    <w:rsid w:val="00157122"/>
    <w:rsid w:val="001571BF"/>
    <w:rsid w:val="001572C3"/>
    <w:rsid w:val="00157C3C"/>
    <w:rsid w:val="00160102"/>
    <w:rsid w:val="001601B3"/>
    <w:rsid w:val="00160649"/>
    <w:rsid w:val="0016070E"/>
    <w:rsid w:val="0016124F"/>
    <w:rsid w:val="00161436"/>
    <w:rsid w:val="001617A1"/>
    <w:rsid w:val="00161BB0"/>
    <w:rsid w:val="0016213C"/>
    <w:rsid w:val="00162310"/>
    <w:rsid w:val="001633E2"/>
    <w:rsid w:val="001642FC"/>
    <w:rsid w:val="00164ACB"/>
    <w:rsid w:val="00164B24"/>
    <w:rsid w:val="00164B39"/>
    <w:rsid w:val="00164C55"/>
    <w:rsid w:val="00164D37"/>
    <w:rsid w:val="00164F73"/>
    <w:rsid w:val="00165209"/>
    <w:rsid w:val="00165437"/>
    <w:rsid w:val="00165A0E"/>
    <w:rsid w:val="0016645A"/>
    <w:rsid w:val="00167185"/>
    <w:rsid w:val="00167E04"/>
    <w:rsid w:val="00167EB1"/>
    <w:rsid w:val="0017048B"/>
    <w:rsid w:val="00170FE6"/>
    <w:rsid w:val="001716C5"/>
    <w:rsid w:val="0017196C"/>
    <w:rsid w:val="00171C8D"/>
    <w:rsid w:val="00171F94"/>
    <w:rsid w:val="001720B1"/>
    <w:rsid w:val="00172A27"/>
    <w:rsid w:val="00173927"/>
    <w:rsid w:val="00173BC2"/>
    <w:rsid w:val="00174215"/>
    <w:rsid w:val="00174827"/>
    <w:rsid w:val="0017492B"/>
    <w:rsid w:val="00175156"/>
    <w:rsid w:val="00175800"/>
    <w:rsid w:val="001762C2"/>
    <w:rsid w:val="0017656B"/>
    <w:rsid w:val="00176F1C"/>
    <w:rsid w:val="0017768B"/>
    <w:rsid w:val="00180483"/>
    <w:rsid w:val="00180DC0"/>
    <w:rsid w:val="001816F7"/>
    <w:rsid w:val="00181C17"/>
    <w:rsid w:val="00182090"/>
    <w:rsid w:val="00182986"/>
    <w:rsid w:val="00182C2B"/>
    <w:rsid w:val="001834E5"/>
    <w:rsid w:val="00183B9A"/>
    <w:rsid w:val="00183E42"/>
    <w:rsid w:val="00183EFC"/>
    <w:rsid w:val="00184962"/>
    <w:rsid w:val="00186E9E"/>
    <w:rsid w:val="00187998"/>
    <w:rsid w:val="00187C13"/>
    <w:rsid w:val="00187D3D"/>
    <w:rsid w:val="00191153"/>
    <w:rsid w:val="00191B8A"/>
    <w:rsid w:val="00192F2B"/>
    <w:rsid w:val="0019303A"/>
    <w:rsid w:val="00193238"/>
    <w:rsid w:val="0019436B"/>
    <w:rsid w:val="001946B0"/>
    <w:rsid w:val="00194D99"/>
    <w:rsid w:val="00195327"/>
    <w:rsid w:val="00195BB9"/>
    <w:rsid w:val="00195F1C"/>
    <w:rsid w:val="00196050"/>
    <w:rsid w:val="00196479"/>
    <w:rsid w:val="00196F4A"/>
    <w:rsid w:val="001975C8"/>
    <w:rsid w:val="001978B8"/>
    <w:rsid w:val="001A00C0"/>
    <w:rsid w:val="001A0933"/>
    <w:rsid w:val="001A16D8"/>
    <w:rsid w:val="001A1907"/>
    <w:rsid w:val="001A1A8D"/>
    <w:rsid w:val="001A2AC9"/>
    <w:rsid w:val="001A3177"/>
    <w:rsid w:val="001A385A"/>
    <w:rsid w:val="001A3F47"/>
    <w:rsid w:val="001A4709"/>
    <w:rsid w:val="001A5246"/>
    <w:rsid w:val="001A54C0"/>
    <w:rsid w:val="001A55F5"/>
    <w:rsid w:val="001A565F"/>
    <w:rsid w:val="001A5EA4"/>
    <w:rsid w:val="001A6204"/>
    <w:rsid w:val="001A67DD"/>
    <w:rsid w:val="001A6E38"/>
    <w:rsid w:val="001A721C"/>
    <w:rsid w:val="001A73A5"/>
    <w:rsid w:val="001B0078"/>
    <w:rsid w:val="001B08C2"/>
    <w:rsid w:val="001B0A0D"/>
    <w:rsid w:val="001B135E"/>
    <w:rsid w:val="001B1E8E"/>
    <w:rsid w:val="001B2988"/>
    <w:rsid w:val="001B2B8F"/>
    <w:rsid w:val="001B5498"/>
    <w:rsid w:val="001B73EF"/>
    <w:rsid w:val="001B7435"/>
    <w:rsid w:val="001B754B"/>
    <w:rsid w:val="001B7A9A"/>
    <w:rsid w:val="001C126D"/>
    <w:rsid w:val="001C20C2"/>
    <w:rsid w:val="001C2180"/>
    <w:rsid w:val="001C28DD"/>
    <w:rsid w:val="001C2D8A"/>
    <w:rsid w:val="001C30A8"/>
    <w:rsid w:val="001C3889"/>
    <w:rsid w:val="001C39E2"/>
    <w:rsid w:val="001C45A6"/>
    <w:rsid w:val="001C4A21"/>
    <w:rsid w:val="001C4FCF"/>
    <w:rsid w:val="001C5B7F"/>
    <w:rsid w:val="001C5E29"/>
    <w:rsid w:val="001C66F0"/>
    <w:rsid w:val="001D00FF"/>
    <w:rsid w:val="001D07EE"/>
    <w:rsid w:val="001D1126"/>
    <w:rsid w:val="001D1635"/>
    <w:rsid w:val="001D1B5F"/>
    <w:rsid w:val="001D257B"/>
    <w:rsid w:val="001D280A"/>
    <w:rsid w:val="001D2EA7"/>
    <w:rsid w:val="001D33CB"/>
    <w:rsid w:val="001D3E7E"/>
    <w:rsid w:val="001D4ED3"/>
    <w:rsid w:val="001D6104"/>
    <w:rsid w:val="001D7F37"/>
    <w:rsid w:val="001E0888"/>
    <w:rsid w:val="001E08AC"/>
    <w:rsid w:val="001E2E15"/>
    <w:rsid w:val="001E3547"/>
    <w:rsid w:val="001E4177"/>
    <w:rsid w:val="001E41D3"/>
    <w:rsid w:val="001E424E"/>
    <w:rsid w:val="001E4491"/>
    <w:rsid w:val="001E46AC"/>
    <w:rsid w:val="001E59AD"/>
    <w:rsid w:val="001E70E4"/>
    <w:rsid w:val="001E764E"/>
    <w:rsid w:val="001F0973"/>
    <w:rsid w:val="001F18BC"/>
    <w:rsid w:val="001F2518"/>
    <w:rsid w:val="001F25C4"/>
    <w:rsid w:val="001F2B35"/>
    <w:rsid w:val="001F3AC3"/>
    <w:rsid w:val="001F3F32"/>
    <w:rsid w:val="001F4C8B"/>
    <w:rsid w:val="001F502E"/>
    <w:rsid w:val="001F5596"/>
    <w:rsid w:val="001F56B5"/>
    <w:rsid w:val="001F5AA5"/>
    <w:rsid w:val="001F5D09"/>
    <w:rsid w:val="001F611B"/>
    <w:rsid w:val="001F6DD6"/>
    <w:rsid w:val="001F777F"/>
    <w:rsid w:val="0020068B"/>
    <w:rsid w:val="00201E57"/>
    <w:rsid w:val="00203125"/>
    <w:rsid w:val="002034CD"/>
    <w:rsid w:val="0020361C"/>
    <w:rsid w:val="00203B3F"/>
    <w:rsid w:val="00204053"/>
    <w:rsid w:val="0020446D"/>
    <w:rsid w:val="002050AB"/>
    <w:rsid w:val="0020543A"/>
    <w:rsid w:val="002056BA"/>
    <w:rsid w:val="00206512"/>
    <w:rsid w:val="002072CF"/>
    <w:rsid w:val="002075C3"/>
    <w:rsid w:val="00207852"/>
    <w:rsid w:val="00207A15"/>
    <w:rsid w:val="00210778"/>
    <w:rsid w:val="002111E3"/>
    <w:rsid w:val="002113D1"/>
    <w:rsid w:val="002123FA"/>
    <w:rsid w:val="00212C1C"/>
    <w:rsid w:val="00213F98"/>
    <w:rsid w:val="002140BD"/>
    <w:rsid w:val="00214416"/>
    <w:rsid w:val="0021554B"/>
    <w:rsid w:val="00215FF9"/>
    <w:rsid w:val="002161A1"/>
    <w:rsid w:val="00216F6F"/>
    <w:rsid w:val="00217658"/>
    <w:rsid w:val="0022104E"/>
    <w:rsid w:val="00221498"/>
    <w:rsid w:val="00221529"/>
    <w:rsid w:val="00221D6D"/>
    <w:rsid w:val="00222671"/>
    <w:rsid w:val="00223947"/>
    <w:rsid w:val="00223CC6"/>
    <w:rsid w:val="00223DF4"/>
    <w:rsid w:val="002246F4"/>
    <w:rsid w:val="0022555F"/>
    <w:rsid w:val="002255EB"/>
    <w:rsid w:val="00225E4E"/>
    <w:rsid w:val="0022650F"/>
    <w:rsid w:val="00226800"/>
    <w:rsid w:val="0023284D"/>
    <w:rsid w:val="00232D72"/>
    <w:rsid w:val="0023383D"/>
    <w:rsid w:val="00233DB3"/>
    <w:rsid w:val="00233F41"/>
    <w:rsid w:val="00233F99"/>
    <w:rsid w:val="002341AB"/>
    <w:rsid w:val="00234F6F"/>
    <w:rsid w:val="00236BE8"/>
    <w:rsid w:val="00236E28"/>
    <w:rsid w:val="00237627"/>
    <w:rsid w:val="0023779B"/>
    <w:rsid w:val="00240A82"/>
    <w:rsid w:val="00240AFA"/>
    <w:rsid w:val="00240E70"/>
    <w:rsid w:val="0024301B"/>
    <w:rsid w:val="002436C0"/>
    <w:rsid w:val="00244697"/>
    <w:rsid w:val="00244A63"/>
    <w:rsid w:val="0024527E"/>
    <w:rsid w:val="0024550D"/>
    <w:rsid w:val="00245AFC"/>
    <w:rsid w:val="00245E5C"/>
    <w:rsid w:val="00245FB5"/>
    <w:rsid w:val="00246548"/>
    <w:rsid w:val="00246D33"/>
    <w:rsid w:val="00247100"/>
    <w:rsid w:val="00247A2E"/>
    <w:rsid w:val="00247C61"/>
    <w:rsid w:val="00247DF3"/>
    <w:rsid w:val="0025069C"/>
    <w:rsid w:val="00250889"/>
    <w:rsid w:val="00251BD0"/>
    <w:rsid w:val="00252C91"/>
    <w:rsid w:val="00252F53"/>
    <w:rsid w:val="00253110"/>
    <w:rsid w:val="00254E9E"/>
    <w:rsid w:val="0025622D"/>
    <w:rsid w:val="002575BB"/>
    <w:rsid w:val="00257967"/>
    <w:rsid w:val="00257FB5"/>
    <w:rsid w:val="00260A57"/>
    <w:rsid w:val="002611C7"/>
    <w:rsid w:val="00261536"/>
    <w:rsid w:val="002621B7"/>
    <w:rsid w:val="00262474"/>
    <w:rsid w:val="0026287B"/>
    <w:rsid w:val="00262FAF"/>
    <w:rsid w:val="002638A0"/>
    <w:rsid w:val="0026494F"/>
    <w:rsid w:val="0026552A"/>
    <w:rsid w:val="00265F0B"/>
    <w:rsid w:val="002702BB"/>
    <w:rsid w:val="00270A0D"/>
    <w:rsid w:val="00270B92"/>
    <w:rsid w:val="00271866"/>
    <w:rsid w:val="002730C4"/>
    <w:rsid w:val="00273525"/>
    <w:rsid w:val="002743CA"/>
    <w:rsid w:val="0027468C"/>
    <w:rsid w:val="002746F5"/>
    <w:rsid w:val="00274BB8"/>
    <w:rsid w:val="002752FA"/>
    <w:rsid w:val="002758C9"/>
    <w:rsid w:val="002759E7"/>
    <w:rsid w:val="002763BA"/>
    <w:rsid w:val="002765AC"/>
    <w:rsid w:val="0027678C"/>
    <w:rsid w:val="002767FA"/>
    <w:rsid w:val="00276BFB"/>
    <w:rsid w:val="002771A4"/>
    <w:rsid w:val="002774C6"/>
    <w:rsid w:val="00277D29"/>
    <w:rsid w:val="00281682"/>
    <w:rsid w:val="00281FD2"/>
    <w:rsid w:val="002825D0"/>
    <w:rsid w:val="00282812"/>
    <w:rsid w:val="00282913"/>
    <w:rsid w:val="00283D06"/>
    <w:rsid w:val="00284152"/>
    <w:rsid w:val="002841C0"/>
    <w:rsid w:val="002855CF"/>
    <w:rsid w:val="00285661"/>
    <w:rsid w:val="00285AA7"/>
    <w:rsid w:val="00286A92"/>
    <w:rsid w:val="002877F4"/>
    <w:rsid w:val="00287C65"/>
    <w:rsid w:val="002918DC"/>
    <w:rsid w:val="00291996"/>
    <w:rsid w:val="00291D56"/>
    <w:rsid w:val="00291D83"/>
    <w:rsid w:val="00292030"/>
    <w:rsid w:val="002921DD"/>
    <w:rsid w:val="00292512"/>
    <w:rsid w:val="002928A1"/>
    <w:rsid w:val="0029297B"/>
    <w:rsid w:val="00292A18"/>
    <w:rsid w:val="00292DBA"/>
    <w:rsid w:val="0029364C"/>
    <w:rsid w:val="00293655"/>
    <w:rsid w:val="00293841"/>
    <w:rsid w:val="002943B6"/>
    <w:rsid w:val="002956ED"/>
    <w:rsid w:val="00295D3C"/>
    <w:rsid w:val="00295E73"/>
    <w:rsid w:val="0029600D"/>
    <w:rsid w:val="002962B2"/>
    <w:rsid w:val="00297224"/>
    <w:rsid w:val="002976D1"/>
    <w:rsid w:val="00297F5F"/>
    <w:rsid w:val="002A0AF6"/>
    <w:rsid w:val="002A15B5"/>
    <w:rsid w:val="002A1C3D"/>
    <w:rsid w:val="002A3246"/>
    <w:rsid w:val="002A37F6"/>
    <w:rsid w:val="002A3B3F"/>
    <w:rsid w:val="002A3DEA"/>
    <w:rsid w:val="002A45BD"/>
    <w:rsid w:val="002A4F1D"/>
    <w:rsid w:val="002A5CB2"/>
    <w:rsid w:val="002A6021"/>
    <w:rsid w:val="002A6BAC"/>
    <w:rsid w:val="002A7E3E"/>
    <w:rsid w:val="002B1420"/>
    <w:rsid w:val="002B171E"/>
    <w:rsid w:val="002B2986"/>
    <w:rsid w:val="002B2C59"/>
    <w:rsid w:val="002B2F84"/>
    <w:rsid w:val="002B4296"/>
    <w:rsid w:val="002B4306"/>
    <w:rsid w:val="002B463E"/>
    <w:rsid w:val="002B464A"/>
    <w:rsid w:val="002B4721"/>
    <w:rsid w:val="002B4DDD"/>
    <w:rsid w:val="002B50A0"/>
    <w:rsid w:val="002B5C96"/>
    <w:rsid w:val="002B5E09"/>
    <w:rsid w:val="002B6A63"/>
    <w:rsid w:val="002B786D"/>
    <w:rsid w:val="002B7CFF"/>
    <w:rsid w:val="002C0572"/>
    <w:rsid w:val="002C1485"/>
    <w:rsid w:val="002C1AFF"/>
    <w:rsid w:val="002C269C"/>
    <w:rsid w:val="002C28DE"/>
    <w:rsid w:val="002C34AA"/>
    <w:rsid w:val="002C3562"/>
    <w:rsid w:val="002C4488"/>
    <w:rsid w:val="002C493F"/>
    <w:rsid w:val="002C51D1"/>
    <w:rsid w:val="002C5495"/>
    <w:rsid w:val="002C6097"/>
    <w:rsid w:val="002C6158"/>
    <w:rsid w:val="002C6BA9"/>
    <w:rsid w:val="002C7665"/>
    <w:rsid w:val="002C7F86"/>
    <w:rsid w:val="002D06C7"/>
    <w:rsid w:val="002D0B49"/>
    <w:rsid w:val="002D0FDA"/>
    <w:rsid w:val="002D1825"/>
    <w:rsid w:val="002D1C41"/>
    <w:rsid w:val="002D1F2F"/>
    <w:rsid w:val="002D32FB"/>
    <w:rsid w:val="002D3368"/>
    <w:rsid w:val="002D3671"/>
    <w:rsid w:val="002D3EB1"/>
    <w:rsid w:val="002D407F"/>
    <w:rsid w:val="002D494D"/>
    <w:rsid w:val="002D654B"/>
    <w:rsid w:val="002D670D"/>
    <w:rsid w:val="002E010F"/>
    <w:rsid w:val="002E03B2"/>
    <w:rsid w:val="002E051E"/>
    <w:rsid w:val="002E11E5"/>
    <w:rsid w:val="002E156A"/>
    <w:rsid w:val="002E158C"/>
    <w:rsid w:val="002E18A0"/>
    <w:rsid w:val="002E1B50"/>
    <w:rsid w:val="002E2C23"/>
    <w:rsid w:val="002E3044"/>
    <w:rsid w:val="002E352C"/>
    <w:rsid w:val="002E3FCE"/>
    <w:rsid w:val="002E5478"/>
    <w:rsid w:val="002E5DB2"/>
    <w:rsid w:val="002E6620"/>
    <w:rsid w:val="002E69C7"/>
    <w:rsid w:val="002E6AA9"/>
    <w:rsid w:val="002E6AF0"/>
    <w:rsid w:val="002E7110"/>
    <w:rsid w:val="002E73C7"/>
    <w:rsid w:val="002E74DC"/>
    <w:rsid w:val="002E7A79"/>
    <w:rsid w:val="002E7F24"/>
    <w:rsid w:val="002F0193"/>
    <w:rsid w:val="002F0A2F"/>
    <w:rsid w:val="002F0EBA"/>
    <w:rsid w:val="002F1045"/>
    <w:rsid w:val="002F123E"/>
    <w:rsid w:val="002F15FC"/>
    <w:rsid w:val="002F1B94"/>
    <w:rsid w:val="002F2A27"/>
    <w:rsid w:val="002F2C1A"/>
    <w:rsid w:val="002F3454"/>
    <w:rsid w:val="002F446C"/>
    <w:rsid w:val="002F48F1"/>
    <w:rsid w:val="002F525A"/>
    <w:rsid w:val="002F63F7"/>
    <w:rsid w:val="002F673E"/>
    <w:rsid w:val="002F6A83"/>
    <w:rsid w:val="002F6C21"/>
    <w:rsid w:val="002F77CC"/>
    <w:rsid w:val="002F784D"/>
    <w:rsid w:val="002F79BD"/>
    <w:rsid w:val="002F7AE1"/>
    <w:rsid w:val="00300AFD"/>
    <w:rsid w:val="00300DB7"/>
    <w:rsid w:val="0030136E"/>
    <w:rsid w:val="00301CB4"/>
    <w:rsid w:val="00302DFC"/>
    <w:rsid w:val="00303698"/>
    <w:rsid w:val="00303ADC"/>
    <w:rsid w:val="00304059"/>
    <w:rsid w:val="00304365"/>
    <w:rsid w:val="003057E9"/>
    <w:rsid w:val="003060EE"/>
    <w:rsid w:val="00306620"/>
    <w:rsid w:val="0030793E"/>
    <w:rsid w:val="00307A8B"/>
    <w:rsid w:val="00307EA1"/>
    <w:rsid w:val="003117F4"/>
    <w:rsid w:val="00312163"/>
    <w:rsid w:val="003139BB"/>
    <w:rsid w:val="00313E9A"/>
    <w:rsid w:val="0031504C"/>
    <w:rsid w:val="00315844"/>
    <w:rsid w:val="00315F6E"/>
    <w:rsid w:val="00316239"/>
    <w:rsid w:val="00316254"/>
    <w:rsid w:val="00316417"/>
    <w:rsid w:val="00316447"/>
    <w:rsid w:val="00317CAD"/>
    <w:rsid w:val="00320CF1"/>
    <w:rsid w:val="00320F73"/>
    <w:rsid w:val="00321191"/>
    <w:rsid w:val="00321801"/>
    <w:rsid w:val="003218C7"/>
    <w:rsid w:val="00321998"/>
    <w:rsid w:val="00321DED"/>
    <w:rsid w:val="003223D7"/>
    <w:rsid w:val="00323321"/>
    <w:rsid w:val="00323A38"/>
    <w:rsid w:val="003247E0"/>
    <w:rsid w:val="0032632F"/>
    <w:rsid w:val="0032639C"/>
    <w:rsid w:val="00326773"/>
    <w:rsid w:val="00326B01"/>
    <w:rsid w:val="00326F15"/>
    <w:rsid w:val="0032712C"/>
    <w:rsid w:val="003279A9"/>
    <w:rsid w:val="003302F6"/>
    <w:rsid w:val="003304BD"/>
    <w:rsid w:val="0033150C"/>
    <w:rsid w:val="00332572"/>
    <w:rsid w:val="0033258E"/>
    <w:rsid w:val="003333BA"/>
    <w:rsid w:val="0033380F"/>
    <w:rsid w:val="00333D73"/>
    <w:rsid w:val="00333E84"/>
    <w:rsid w:val="00333EE8"/>
    <w:rsid w:val="003341F3"/>
    <w:rsid w:val="00334986"/>
    <w:rsid w:val="003357D8"/>
    <w:rsid w:val="003358B1"/>
    <w:rsid w:val="00335ECB"/>
    <w:rsid w:val="00336829"/>
    <w:rsid w:val="00336F8D"/>
    <w:rsid w:val="003371DE"/>
    <w:rsid w:val="00337571"/>
    <w:rsid w:val="003407A5"/>
    <w:rsid w:val="00340972"/>
    <w:rsid w:val="003409E6"/>
    <w:rsid w:val="003417A7"/>
    <w:rsid w:val="00342562"/>
    <w:rsid w:val="003426EC"/>
    <w:rsid w:val="00342EDC"/>
    <w:rsid w:val="0034355C"/>
    <w:rsid w:val="00343B56"/>
    <w:rsid w:val="00344356"/>
    <w:rsid w:val="00344E1D"/>
    <w:rsid w:val="00345FA2"/>
    <w:rsid w:val="003463BF"/>
    <w:rsid w:val="00346517"/>
    <w:rsid w:val="00346F75"/>
    <w:rsid w:val="00347049"/>
    <w:rsid w:val="0035036B"/>
    <w:rsid w:val="003509DD"/>
    <w:rsid w:val="00350E65"/>
    <w:rsid w:val="00350FE4"/>
    <w:rsid w:val="003510D1"/>
    <w:rsid w:val="00351CD1"/>
    <w:rsid w:val="003521C6"/>
    <w:rsid w:val="00352531"/>
    <w:rsid w:val="00352883"/>
    <w:rsid w:val="003529B9"/>
    <w:rsid w:val="00352A74"/>
    <w:rsid w:val="003530DD"/>
    <w:rsid w:val="0035340B"/>
    <w:rsid w:val="00353A39"/>
    <w:rsid w:val="00353C2C"/>
    <w:rsid w:val="00354F72"/>
    <w:rsid w:val="00355668"/>
    <w:rsid w:val="003559F7"/>
    <w:rsid w:val="00355B0A"/>
    <w:rsid w:val="00356D6E"/>
    <w:rsid w:val="0035760F"/>
    <w:rsid w:val="003578FC"/>
    <w:rsid w:val="00357A5C"/>
    <w:rsid w:val="00360F24"/>
    <w:rsid w:val="00362003"/>
    <w:rsid w:val="00362619"/>
    <w:rsid w:val="003629EA"/>
    <w:rsid w:val="00362A11"/>
    <w:rsid w:val="00363365"/>
    <w:rsid w:val="00364DB5"/>
    <w:rsid w:val="003654D9"/>
    <w:rsid w:val="00366044"/>
    <w:rsid w:val="00366B82"/>
    <w:rsid w:val="003707BD"/>
    <w:rsid w:val="0037262E"/>
    <w:rsid w:val="00373D22"/>
    <w:rsid w:val="00374B60"/>
    <w:rsid w:val="00380066"/>
    <w:rsid w:val="00380744"/>
    <w:rsid w:val="00380E79"/>
    <w:rsid w:val="003810C1"/>
    <w:rsid w:val="00382074"/>
    <w:rsid w:val="0038216B"/>
    <w:rsid w:val="00382B18"/>
    <w:rsid w:val="003834EA"/>
    <w:rsid w:val="00383C28"/>
    <w:rsid w:val="00384D20"/>
    <w:rsid w:val="00384DD1"/>
    <w:rsid w:val="003879C8"/>
    <w:rsid w:val="003902CF"/>
    <w:rsid w:val="00390B43"/>
    <w:rsid w:val="00390C7B"/>
    <w:rsid w:val="003930BA"/>
    <w:rsid w:val="003937F5"/>
    <w:rsid w:val="0039419A"/>
    <w:rsid w:val="00394206"/>
    <w:rsid w:val="003942B5"/>
    <w:rsid w:val="00394975"/>
    <w:rsid w:val="0039737E"/>
    <w:rsid w:val="003A0373"/>
    <w:rsid w:val="003A21B5"/>
    <w:rsid w:val="003A225A"/>
    <w:rsid w:val="003A2C1E"/>
    <w:rsid w:val="003A34E1"/>
    <w:rsid w:val="003A3B0B"/>
    <w:rsid w:val="003A3B16"/>
    <w:rsid w:val="003A3B82"/>
    <w:rsid w:val="003A5007"/>
    <w:rsid w:val="003A50C9"/>
    <w:rsid w:val="003A52A2"/>
    <w:rsid w:val="003A564B"/>
    <w:rsid w:val="003A5D47"/>
    <w:rsid w:val="003A6B21"/>
    <w:rsid w:val="003A6FBC"/>
    <w:rsid w:val="003A7116"/>
    <w:rsid w:val="003B02C4"/>
    <w:rsid w:val="003B0497"/>
    <w:rsid w:val="003B0BD3"/>
    <w:rsid w:val="003B1B30"/>
    <w:rsid w:val="003B1CE5"/>
    <w:rsid w:val="003B25B3"/>
    <w:rsid w:val="003B304E"/>
    <w:rsid w:val="003B309A"/>
    <w:rsid w:val="003B3FDC"/>
    <w:rsid w:val="003B4132"/>
    <w:rsid w:val="003B459C"/>
    <w:rsid w:val="003B476F"/>
    <w:rsid w:val="003B4CEC"/>
    <w:rsid w:val="003B4E14"/>
    <w:rsid w:val="003B53FF"/>
    <w:rsid w:val="003B5631"/>
    <w:rsid w:val="003B5990"/>
    <w:rsid w:val="003B6EC7"/>
    <w:rsid w:val="003C02BF"/>
    <w:rsid w:val="003C0EDC"/>
    <w:rsid w:val="003C0F2F"/>
    <w:rsid w:val="003C175C"/>
    <w:rsid w:val="003C2105"/>
    <w:rsid w:val="003C2149"/>
    <w:rsid w:val="003C225E"/>
    <w:rsid w:val="003C2C23"/>
    <w:rsid w:val="003C3065"/>
    <w:rsid w:val="003C337C"/>
    <w:rsid w:val="003C37FB"/>
    <w:rsid w:val="003C4227"/>
    <w:rsid w:val="003C447F"/>
    <w:rsid w:val="003C5DFF"/>
    <w:rsid w:val="003C7001"/>
    <w:rsid w:val="003C7D07"/>
    <w:rsid w:val="003C7D98"/>
    <w:rsid w:val="003C7EA7"/>
    <w:rsid w:val="003D0C20"/>
    <w:rsid w:val="003D0D9B"/>
    <w:rsid w:val="003D179A"/>
    <w:rsid w:val="003D1935"/>
    <w:rsid w:val="003D3566"/>
    <w:rsid w:val="003D3B13"/>
    <w:rsid w:val="003D3D79"/>
    <w:rsid w:val="003D4381"/>
    <w:rsid w:val="003D4423"/>
    <w:rsid w:val="003D4A54"/>
    <w:rsid w:val="003D4ADC"/>
    <w:rsid w:val="003D4D59"/>
    <w:rsid w:val="003D4E77"/>
    <w:rsid w:val="003D4FDC"/>
    <w:rsid w:val="003E00AD"/>
    <w:rsid w:val="003E107B"/>
    <w:rsid w:val="003E10AB"/>
    <w:rsid w:val="003E248D"/>
    <w:rsid w:val="003E24F5"/>
    <w:rsid w:val="003E3EA4"/>
    <w:rsid w:val="003E4B1F"/>
    <w:rsid w:val="003E4E9A"/>
    <w:rsid w:val="003E4FB4"/>
    <w:rsid w:val="003E5FB0"/>
    <w:rsid w:val="003E7092"/>
    <w:rsid w:val="003E7A0A"/>
    <w:rsid w:val="003E7C9F"/>
    <w:rsid w:val="003F2075"/>
    <w:rsid w:val="003F253D"/>
    <w:rsid w:val="003F290B"/>
    <w:rsid w:val="003F2F8C"/>
    <w:rsid w:val="003F47D6"/>
    <w:rsid w:val="003F4C1A"/>
    <w:rsid w:val="003F5CCB"/>
    <w:rsid w:val="003F7E2A"/>
    <w:rsid w:val="00400211"/>
    <w:rsid w:val="00400F46"/>
    <w:rsid w:val="00402154"/>
    <w:rsid w:val="00403825"/>
    <w:rsid w:val="0040439F"/>
    <w:rsid w:val="004055CC"/>
    <w:rsid w:val="00405CEC"/>
    <w:rsid w:val="0040682B"/>
    <w:rsid w:val="00406958"/>
    <w:rsid w:val="00406FD0"/>
    <w:rsid w:val="004100E0"/>
    <w:rsid w:val="00410627"/>
    <w:rsid w:val="0041072A"/>
    <w:rsid w:val="00410A55"/>
    <w:rsid w:val="0041116D"/>
    <w:rsid w:val="004112D2"/>
    <w:rsid w:val="004112E7"/>
    <w:rsid w:val="00411430"/>
    <w:rsid w:val="00412073"/>
    <w:rsid w:val="00413275"/>
    <w:rsid w:val="00413F82"/>
    <w:rsid w:val="00414275"/>
    <w:rsid w:val="004142F0"/>
    <w:rsid w:val="0041431F"/>
    <w:rsid w:val="004143D9"/>
    <w:rsid w:val="004144DB"/>
    <w:rsid w:val="004145E7"/>
    <w:rsid w:val="00415091"/>
    <w:rsid w:val="00416173"/>
    <w:rsid w:val="00416259"/>
    <w:rsid w:val="00416531"/>
    <w:rsid w:val="00417FE6"/>
    <w:rsid w:val="0042086E"/>
    <w:rsid w:val="00420890"/>
    <w:rsid w:val="00420A26"/>
    <w:rsid w:val="004217B4"/>
    <w:rsid w:val="00421A9E"/>
    <w:rsid w:val="004225E5"/>
    <w:rsid w:val="00422864"/>
    <w:rsid w:val="00422B70"/>
    <w:rsid w:val="004235F0"/>
    <w:rsid w:val="00423E53"/>
    <w:rsid w:val="0042484B"/>
    <w:rsid w:val="00424B34"/>
    <w:rsid w:val="004252D9"/>
    <w:rsid w:val="00425B9E"/>
    <w:rsid w:val="00426015"/>
    <w:rsid w:val="004263B4"/>
    <w:rsid w:val="004265A9"/>
    <w:rsid w:val="00427520"/>
    <w:rsid w:val="004276EF"/>
    <w:rsid w:val="0043053B"/>
    <w:rsid w:val="00430B7B"/>
    <w:rsid w:val="00430D11"/>
    <w:rsid w:val="00432B0A"/>
    <w:rsid w:val="00432D53"/>
    <w:rsid w:val="00433631"/>
    <w:rsid w:val="00433633"/>
    <w:rsid w:val="00434340"/>
    <w:rsid w:val="0043449E"/>
    <w:rsid w:val="00434DA0"/>
    <w:rsid w:val="00435E5E"/>
    <w:rsid w:val="0043619E"/>
    <w:rsid w:val="004361E1"/>
    <w:rsid w:val="00436911"/>
    <w:rsid w:val="00436C86"/>
    <w:rsid w:val="00436E5D"/>
    <w:rsid w:val="00436E85"/>
    <w:rsid w:val="0043701D"/>
    <w:rsid w:val="004404D3"/>
    <w:rsid w:val="00440A9E"/>
    <w:rsid w:val="00440ADC"/>
    <w:rsid w:val="004417FD"/>
    <w:rsid w:val="004419FF"/>
    <w:rsid w:val="00442FD1"/>
    <w:rsid w:val="00443126"/>
    <w:rsid w:val="00443969"/>
    <w:rsid w:val="0044398C"/>
    <w:rsid w:val="00444EA9"/>
    <w:rsid w:val="00444EF7"/>
    <w:rsid w:val="00445712"/>
    <w:rsid w:val="00445946"/>
    <w:rsid w:val="00445EB6"/>
    <w:rsid w:val="00446193"/>
    <w:rsid w:val="00446D6F"/>
    <w:rsid w:val="00447543"/>
    <w:rsid w:val="004506F7"/>
    <w:rsid w:val="00450FFC"/>
    <w:rsid w:val="004514BA"/>
    <w:rsid w:val="00451C71"/>
    <w:rsid w:val="00451D18"/>
    <w:rsid w:val="004529AC"/>
    <w:rsid w:val="00452C7A"/>
    <w:rsid w:val="004541BE"/>
    <w:rsid w:val="00454438"/>
    <w:rsid w:val="00455FB8"/>
    <w:rsid w:val="004561B5"/>
    <w:rsid w:val="004566E8"/>
    <w:rsid w:val="00456DD4"/>
    <w:rsid w:val="004570C1"/>
    <w:rsid w:val="00457495"/>
    <w:rsid w:val="004574D2"/>
    <w:rsid w:val="00457893"/>
    <w:rsid w:val="00457B3C"/>
    <w:rsid w:val="00462797"/>
    <w:rsid w:val="00462BC4"/>
    <w:rsid w:val="00462CA7"/>
    <w:rsid w:val="004638AE"/>
    <w:rsid w:val="00463A20"/>
    <w:rsid w:val="004641B4"/>
    <w:rsid w:val="004643CB"/>
    <w:rsid w:val="00465A68"/>
    <w:rsid w:val="0046614A"/>
    <w:rsid w:val="00467A61"/>
    <w:rsid w:val="00467A86"/>
    <w:rsid w:val="00467D33"/>
    <w:rsid w:val="00471176"/>
    <w:rsid w:val="004711FA"/>
    <w:rsid w:val="00471355"/>
    <w:rsid w:val="0047149E"/>
    <w:rsid w:val="0047173E"/>
    <w:rsid w:val="00471DE3"/>
    <w:rsid w:val="00471F6E"/>
    <w:rsid w:val="004728E1"/>
    <w:rsid w:val="004736EF"/>
    <w:rsid w:val="00473DCB"/>
    <w:rsid w:val="0047496D"/>
    <w:rsid w:val="0047599C"/>
    <w:rsid w:val="0047652D"/>
    <w:rsid w:val="00476741"/>
    <w:rsid w:val="00476991"/>
    <w:rsid w:val="00476FFE"/>
    <w:rsid w:val="00477947"/>
    <w:rsid w:val="00477A17"/>
    <w:rsid w:val="00477B82"/>
    <w:rsid w:val="004800F9"/>
    <w:rsid w:val="0048013E"/>
    <w:rsid w:val="004805D5"/>
    <w:rsid w:val="00481259"/>
    <w:rsid w:val="00481386"/>
    <w:rsid w:val="00481E82"/>
    <w:rsid w:val="00482241"/>
    <w:rsid w:val="00482FE1"/>
    <w:rsid w:val="0048303A"/>
    <w:rsid w:val="00483C2C"/>
    <w:rsid w:val="0048445D"/>
    <w:rsid w:val="00484A78"/>
    <w:rsid w:val="004852EA"/>
    <w:rsid w:val="00485381"/>
    <w:rsid w:val="00485ED2"/>
    <w:rsid w:val="00486140"/>
    <w:rsid w:val="004866BC"/>
    <w:rsid w:val="00486B36"/>
    <w:rsid w:val="00486D60"/>
    <w:rsid w:val="00486F9A"/>
    <w:rsid w:val="00490420"/>
    <w:rsid w:val="00491180"/>
    <w:rsid w:val="00491295"/>
    <w:rsid w:val="004912A6"/>
    <w:rsid w:val="00491881"/>
    <w:rsid w:val="0049224A"/>
    <w:rsid w:val="0049261A"/>
    <w:rsid w:val="00492823"/>
    <w:rsid w:val="00492E57"/>
    <w:rsid w:val="0049376C"/>
    <w:rsid w:val="00494EEA"/>
    <w:rsid w:val="00494F25"/>
    <w:rsid w:val="0049535A"/>
    <w:rsid w:val="00496A5E"/>
    <w:rsid w:val="004975F9"/>
    <w:rsid w:val="004A27CB"/>
    <w:rsid w:val="004A2EF2"/>
    <w:rsid w:val="004A30CB"/>
    <w:rsid w:val="004A31F2"/>
    <w:rsid w:val="004A423A"/>
    <w:rsid w:val="004A4539"/>
    <w:rsid w:val="004A46C3"/>
    <w:rsid w:val="004A501E"/>
    <w:rsid w:val="004A5D26"/>
    <w:rsid w:val="004A6B76"/>
    <w:rsid w:val="004A70D0"/>
    <w:rsid w:val="004A72A3"/>
    <w:rsid w:val="004B14D7"/>
    <w:rsid w:val="004B2137"/>
    <w:rsid w:val="004B2C6C"/>
    <w:rsid w:val="004B4637"/>
    <w:rsid w:val="004B46FE"/>
    <w:rsid w:val="004B4AED"/>
    <w:rsid w:val="004B4F11"/>
    <w:rsid w:val="004B5A05"/>
    <w:rsid w:val="004B6157"/>
    <w:rsid w:val="004B61E8"/>
    <w:rsid w:val="004B6488"/>
    <w:rsid w:val="004B6E5C"/>
    <w:rsid w:val="004B708A"/>
    <w:rsid w:val="004B7659"/>
    <w:rsid w:val="004B7907"/>
    <w:rsid w:val="004B7D52"/>
    <w:rsid w:val="004B7EB0"/>
    <w:rsid w:val="004C0518"/>
    <w:rsid w:val="004C0F0C"/>
    <w:rsid w:val="004C1AD3"/>
    <w:rsid w:val="004C1C8D"/>
    <w:rsid w:val="004C2E6F"/>
    <w:rsid w:val="004C33FD"/>
    <w:rsid w:val="004C3697"/>
    <w:rsid w:val="004C3976"/>
    <w:rsid w:val="004C3AA3"/>
    <w:rsid w:val="004C4065"/>
    <w:rsid w:val="004C51F6"/>
    <w:rsid w:val="004C624C"/>
    <w:rsid w:val="004C7803"/>
    <w:rsid w:val="004C785E"/>
    <w:rsid w:val="004C797F"/>
    <w:rsid w:val="004D0CF4"/>
    <w:rsid w:val="004D166C"/>
    <w:rsid w:val="004D1843"/>
    <w:rsid w:val="004D1D65"/>
    <w:rsid w:val="004D1F00"/>
    <w:rsid w:val="004D1F1A"/>
    <w:rsid w:val="004D2864"/>
    <w:rsid w:val="004D2A94"/>
    <w:rsid w:val="004D33C3"/>
    <w:rsid w:val="004D3A5F"/>
    <w:rsid w:val="004D489D"/>
    <w:rsid w:val="004D4938"/>
    <w:rsid w:val="004D547B"/>
    <w:rsid w:val="004E003E"/>
    <w:rsid w:val="004E067F"/>
    <w:rsid w:val="004E1098"/>
    <w:rsid w:val="004E10FF"/>
    <w:rsid w:val="004E16BF"/>
    <w:rsid w:val="004E1BA7"/>
    <w:rsid w:val="004E1F19"/>
    <w:rsid w:val="004E2131"/>
    <w:rsid w:val="004E2187"/>
    <w:rsid w:val="004E28FD"/>
    <w:rsid w:val="004E2EF9"/>
    <w:rsid w:val="004E30F8"/>
    <w:rsid w:val="004E30FB"/>
    <w:rsid w:val="004E3139"/>
    <w:rsid w:val="004E3FDB"/>
    <w:rsid w:val="004E4016"/>
    <w:rsid w:val="004E4A11"/>
    <w:rsid w:val="004E5073"/>
    <w:rsid w:val="004E514C"/>
    <w:rsid w:val="004E5363"/>
    <w:rsid w:val="004E5568"/>
    <w:rsid w:val="004E5997"/>
    <w:rsid w:val="004E5D2B"/>
    <w:rsid w:val="004E5D9F"/>
    <w:rsid w:val="004E5EEC"/>
    <w:rsid w:val="004E6645"/>
    <w:rsid w:val="004E7195"/>
    <w:rsid w:val="004E753C"/>
    <w:rsid w:val="004F0624"/>
    <w:rsid w:val="004F0786"/>
    <w:rsid w:val="004F134E"/>
    <w:rsid w:val="004F2376"/>
    <w:rsid w:val="004F322F"/>
    <w:rsid w:val="004F3418"/>
    <w:rsid w:val="004F37AE"/>
    <w:rsid w:val="004F3839"/>
    <w:rsid w:val="004F4108"/>
    <w:rsid w:val="004F4414"/>
    <w:rsid w:val="004F4840"/>
    <w:rsid w:val="004F5161"/>
    <w:rsid w:val="004F518B"/>
    <w:rsid w:val="004F5251"/>
    <w:rsid w:val="004F592C"/>
    <w:rsid w:val="004F5E28"/>
    <w:rsid w:val="004F5FD9"/>
    <w:rsid w:val="004F612D"/>
    <w:rsid w:val="004F6C1D"/>
    <w:rsid w:val="004F6D33"/>
    <w:rsid w:val="004F6E42"/>
    <w:rsid w:val="004F7447"/>
    <w:rsid w:val="004F76F6"/>
    <w:rsid w:val="004F79D7"/>
    <w:rsid w:val="00500475"/>
    <w:rsid w:val="005004A5"/>
    <w:rsid w:val="005010F5"/>
    <w:rsid w:val="00501AC6"/>
    <w:rsid w:val="00501D18"/>
    <w:rsid w:val="00501DEC"/>
    <w:rsid w:val="00501E56"/>
    <w:rsid w:val="00501EA7"/>
    <w:rsid w:val="00502832"/>
    <w:rsid w:val="00502B36"/>
    <w:rsid w:val="00502FE7"/>
    <w:rsid w:val="00503752"/>
    <w:rsid w:val="00504BC4"/>
    <w:rsid w:val="0050529C"/>
    <w:rsid w:val="005054C4"/>
    <w:rsid w:val="00505E36"/>
    <w:rsid w:val="005066BE"/>
    <w:rsid w:val="00506A57"/>
    <w:rsid w:val="00507404"/>
    <w:rsid w:val="00512490"/>
    <w:rsid w:val="005124B7"/>
    <w:rsid w:val="00512B49"/>
    <w:rsid w:val="00513355"/>
    <w:rsid w:val="00513BDB"/>
    <w:rsid w:val="0051528D"/>
    <w:rsid w:val="005156A6"/>
    <w:rsid w:val="005159C3"/>
    <w:rsid w:val="00515E33"/>
    <w:rsid w:val="00516224"/>
    <w:rsid w:val="00516282"/>
    <w:rsid w:val="00516E83"/>
    <w:rsid w:val="0051727A"/>
    <w:rsid w:val="00517D0E"/>
    <w:rsid w:val="00520A6F"/>
    <w:rsid w:val="00521416"/>
    <w:rsid w:val="005234A3"/>
    <w:rsid w:val="005237B9"/>
    <w:rsid w:val="00524684"/>
    <w:rsid w:val="00524C7B"/>
    <w:rsid w:val="005269CC"/>
    <w:rsid w:val="00527FBE"/>
    <w:rsid w:val="00530BE0"/>
    <w:rsid w:val="0053132E"/>
    <w:rsid w:val="00531F15"/>
    <w:rsid w:val="0053289B"/>
    <w:rsid w:val="00532FB3"/>
    <w:rsid w:val="005336C2"/>
    <w:rsid w:val="00533922"/>
    <w:rsid w:val="00533B2C"/>
    <w:rsid w:val="00533B37"/>
    <w:rsid w:val="0053425C"/>
    <w:rsid w:val="00534B93"/>
    <w:rsid w:val="005354AF"/>
    <w:rsid w:val="0053590F"/>
    <w:rsid w:val="005368B4"/>
    <w:rsid w:val="00536D93"/>
    <w:rsid w:val="00537721"/>
    <w:rsid w:val="00540AC4"/>
    <w:rsid w:val="00541613"/>
    <w:rsid w:val="0054231D"/>
    <w:rsid w:val="0054235F"/>
    <w:rsid w:val="00543C4A"/>
    <w:rsid w:val="005453C4"/>
    <w:rsid w:val="0054587E"/>
    <w:rsid w:val="00545B71"/>
    <w:rsid w:val="00546081"/>
    <w:rsid w:val="0054668E"/>
    <w:rsid w:val="00547B3A"/>
    <w:rsid w:val="00547EB1"/>
    <w:rsid w:val="005506BF"/>
    <w:rsid w:val="00550BBE"/>
    <w:rsid w:val="0055135B"/>
    <w:rsid w:val="00551C60"/>
    <w:rsid w:val="00552338"/>
    <w:rsid w:val="00552AFF"/>
    <w:rsid w:val="00553711"/>
    <w:rsid w:val="00553A8F"/>
    <w:rsid w:val="00553AD3"/>
    <w:rsid w:val="00553C94"/>
    <w:rsid w:val="00553E70"/>
    <w:rsid w:val="00554B5A"/>
    <w:rsid w:val="00554E06"/>
    <w:rsid w:val="00555747"/>
    <w:rsid w:val="0055593A"/>
    <w:rsid w:val="005559AA"/>
    <w:rsid w:val="00555F47"/>
    <w:rsid w:val="005561B1"/>
    <w:rsid w:val="005567B6"/>
    <w:rsid w:val="00556AE0"/>
    <w:rsid w:val="00556FB7"/>
    <w:rsid w:val="005573DA"/>
    <w:rsid w:val="00557A93"/>
    <w:rsid w:val="00560067"/>
    <w:rsid w:val="00560593"/>
    <w:rsid w:val="00560F1A"/>
    <w:rsid w:val="00564EA5"/>
    <w:rsid w:val="0056589C"/>
    <w:rsid w:val="005669BD"/>
    <w:rsid w:val="005675CA"/>
    <w:rsid w:val="00567886"/>
    <w:rsid w:val="00567B95"/>
    <w:rsid w:val="00567EAB"/>
    <w:rsid w:val="00567F11"/>
    <w:rsid w:val="005702D2"/>
    <w:rsid w:val="00570581"/>
    <w:rsid w:val="0057071B"/>
    <w:rsid w:val="005709DA"/>
    <w:rsid w:val="0057134B"/>
    <w:rsid w:val="00571CD3"/>
    <w:rsid w:val="005730BB"/>
    <w:rsid w:val="0057322F"/>
    <w:rsid w:val="005748E8"/>
    <w:rsid w:val="00574D0D"/>
    <w:rsid w:val="00575D51"/>
    <w:rsid w:val="00576223"/>
    <w:rsid w:val="005769FC"/>
    <w:rsid w:val="00576B69"/>
    <w:rsid w:val="00576DC7"/>
    <w:rsid w:val="0057713D"/>
    <w:rsid w:val="00577436"/>
    <w:rsid w:val="00577538"/>
    <w:rsid w:val="00580B68"/>
    <w:rsid w:val="005811D8"/>
    <w:rsid w:val="0058133E"/>
    <w:rsid w:val="00581528"/>
    <w:rsid w:val="005818F7"/>
    <w:rsid w:val="00581972"/>
    <w:rsid w:val="0058198F"/>
    <w:rsid w:val="00581CE7"/>
    <w:rsid w:val="00581F67"/>
    <w:rsid w:val="00582F3D"/>
    <w:rsid w:val="00583E3F"/>
    <w:rsid w:val="00584E0C"/>
    <w:rsid w:val="0058522C"/>
    <w:rsid w:val="0058577A"/>
    <w:rsid w:val="005865B5"/>
    <w:rsid w:val="00586818"/>
    <w:rsid w:val="00586C82"/>
    <w:rsid w:val="00586CF4"/>
    <w:rsid w:val="0058758B"/>
    <w:rsid w:val="00587D39"/>
    <w:rsid w:val="00590078"/>
    <w:rsid w:val="00590595"/>
    <w:rsid w:val="00590766"/>
    <w:rsid w:val="00590F89"/>
    <w:rsid w:val="0059220D"/>
    <w:rsid w:val="005922A2"/>
    <w:rsid w:val="005938B3"/>
    <w:rsid w:val="00593A4B"/>
    <w:rsid w:val="00593D7E"/>
    <w:rsid w:val="0059430A"/>
    <w:rsid w:val="00594503"/>
    <w:rsid w:val="005945C4"/>
    <w:rsid w:val="00594680"/>
    <w:rsid w:val="00595102"/>
    <w:rsid w:val="005952B2"/>
    <w:rsid w:val="00595FEB"/>
    <w:rsid w:val="005960ED"/>
    <w:rsid w:val="00596857"/>
    <w:rsid w:val="00596BEA"/>
    <w:rsid w:val="00596C5A"/>
    <w:rsid w:val="005A066E"/>
    <w:rsid w:val="005A0726"/>
    <w:rsid w:val="005A1CD3"/>
    <w:rsid w:val="005A2123"/>
    <w:rsid w:val="005A2A9F"/>
    <w:rsid w:val="005A42A9"/>
    <w:rsid w:val="005A46A4"/>
    <w:rsid w:val="005A499F"/>
    <w:rsid w:val="005A58C2"/>
    <w:rsid w:val="005A58E7"/>
    <w:rsid w:val="005A6146"/>
    <w:rsid w:val="005A6499"/>
    <w:rsid w:val="005A7297"/>
    <w:rsid w:val="005B042B"/>
    <w:rsid w:val="005B0959"/>
    <w:rsid w:val="005B0A6B"/>
    <w:rsid w:val="005B0D86"/>
    <w:rsid w:val="005B13A4"/>
    <w:rsid w:val="005B1492"/>
    <w:rsid w:val="005B1C3D"/>
    <w:rsid w:val="005B29B2"/>
    <w:rsid w:val="005B34A2"/>
    <w:rsid w:val="005B35CC"/>
    <w:rsid w:val="005B36AA"/>
    <w:rsid w:val="005B4019"/>
    <w:rsid w:val="005B634D"/>
    <w:rsid w:val="005B6A02"/>
    <w:rsid w:val="005B6A11"/>
    <w:rsid w:val="005B6F02"/>
    <w:rsid w:val="005B7651"/>
    <w:rsid w:val="005B7703"/>
    <w:rsid w:val="005B78E3"/>
    <w:rsid w:val="005B7B70"/>
    <w:rsid w:val="005B7F08"/>
    <w:rsid w:val="005B7F4B"/>
    <w:rsid w:val="005C0B74"/>
    <w:rsid w:val="005C122B"/>
    <w:rsid w:val="005C2B3A"/>
    <w:rsid w:val="005C2BFA"/>
    <w:rsid w:val="005C55A9"/>
    <w:rsid w:val="005C5D14"/>
    <w:rsid w:val="005C6587"/>
    <w:rsid w:val="005C7C43"/>
    <w:rsid w:val="005D04AA"/>
    <w:rsid w:val="005D0ADC"/>
    <w:rsid w:val="005D0C07"/>
    <w:rsid w:val="005D11DB"/>
    <w:rsid w:val="005D156E"/>
    <w:rsid w:val="005D1E89"/>
    <w:rsid w:val="005D2586"/>
    <w:rsid w:val="005D2A08"/>
    <w:rsid w:val="005D3826"/>
    <w:rsid w:val="005D3B26"/>
    <w:rsid w:val="005D3B3A"/>
    <w:rsid w:val="005D488A"/>
    <w:rsid w:val="005D5566"/>
    <w:rsid w:val="005D670B"/>
    <w:rsid w:val="005D6884"/>
    <w:rsid w:val="005D7B57"/>
    <w:rsid w:val="005D7E7F"/>
    <w:rsid w:val="005E1E32"/>
    <w:rsid w:val="005E2090"/>
    <w:rsid w:val="005E2679"/>
    <w:rsid w:val="005E2D86"/>
    <w:rsid w:val="005E4429"/>
    <w:rsid w:val="005E4AA7"/>
    <w:rsid w:val="005E5292"/>
    <w:rsid w:val="005E6232"/>
    <w:rsid w:val="005E6624"/>
    <w:rsid w:val="005E69CF"/>
    <w:rsid w:val="005E7163"/>
    <w:rsid w:val="005E7598"/>
    <w:rsid w:val="005E7C1B"/>
    <w:rsid w:val="005F20DE"/>
    <w:rsid w:val="005F2B6C"/>
    <w:rsid w:val="005F382E"/>
    <w:rsid w:val="005F4115"/>
    <w:rsid w:val="005F46AA"/>
    <w:rsid w:val="005F4A00"/>
    <w:rsid w:val="005F507B"/>
    <w:rsid w:val="005F55D4"/>
    <w:rsid w:val="005F5618"/>
    <w:rsid w:val="005F5B5E"/>
    <w:rsid w:val="005F73F6"/>
    <w:rsid w:val="0060033B"/>
    <w:rsid w:val="00600485"/>
    <w:rsid w:val="006016F3"/>
    <w:rsid w:val="006018A7"/>
    <w:rsid w:val="00602042"/>
    <w:rsid w:val="00602050"/>
    <w:rsid w:val="0060225F"/>
    <w:rsid w:val="00602580"/>
    <w:rsid w:val="006028F8"/>
    <w:rsid w:val="00602A24"/>
    <w:rsid w:val="0060347B"/>
    <w:rsid w:val="0060385D"/>
    <w:rsid w:val="00603C56"/>
    <w:rsid w:val="00603F32"/>
    <w:rsid w:val="0060411C"/>
    <w:rsid w:val="006042EF"/>
    <w:rsid w:val="006044A1"/>
    <w:rsid w:val="00605885"/>
    <w:rsid w:val="00606682"/>
    <w:rsid w:val="00610400"/>
    <w:rsid w:val="00610EC4"/>
    <w:rsid w:val="00611216"/>
    <w:rsid w:val="00611235"/>
    <w:rsid w:val="006116A9"/>
    <w:rsid w:val="00611ABD"/>
    <w:rsid w:val="00611BAC"/>
    <w:rsid w:val="00611BBE"/>
    <w:rsid w:val="0061241B"/>
    <w:rsid w:val="00613075"/>
    <w:rsid w:val="00613B41"/>
    <w:rsid w:val="00613E9A"/>
    <w:rsid w:val="00613F7B"/>
    <w:rsid w:val="00614651"/>
    <w:rsid w:val="00615474"/>
    <w:rsid w:val="006155A1"/>
    <w:rsid w:val="00615C71"/>
    <w:rsid w:val="00615F24"/>
    <w:rsid w:val="006160FB"/>
    <w:rsid w:val="0061622D"/>
    <w:rsid w:val="00616C0C"/>
    <w:rsid w:val="00616C0F"/>
    <w:rsid w:val="00616F7E"/>
    <w:rsid w:val="00617FDE"/>
    <w:rsid w:val="0062005F"/>
    <w:rsid w:val="00620AD8"/>
    <w:rsid w:val="00620C8F"/>
    <w:rsid w:val="00620E48"/>
    <w:rsid w:val="00621282"/>
    <w:rsid w:val="00621822"/>
    <w:rsid w:val="00622341"/>
    <w:rsid w:val="00622E44"/>
    <w:rsid w:val="00623728"/>
    <w:rsid w:val="00623896"/>
    <w:rsid w:val="006242AD"/>
    <w:rsid w:val="006246D3"/>
    <w:rsid w:val="00624AA0"/>
    <w:rsid w:val="0062654E"/>
    <w:rsid w:val="00626F4B"/>
    <w:rsid w:val="00627632"/>
    <w:rsid w:val="0063014C"/>
    <w:rsid w:val="00631AB3"/>
    <w:rsid w:val="00631F47"/>
    <w:rsid w:val="006337D8"/>
    <w:rsid w:val="006351E1"/>
    <w:rsid w:val="0063642A"/>
    <w:rsid w:val="00636E98"/>
    <w:rsid w:val="00636F88"/>
    <w:rsid w:val="006371AF"/>
    <w:rsid w:val="00637FAD"/>
    <w:rsid w:val="00640C0C"/>
    <w:rsid w:val="006428A6"/>
    <w:rsid w:val="0064310B"/>
    <w:rsid w:val="00643F9C"/>
    <w:rsid w:val="006442A2"/>
    <w:rsid w:val="00644B8C"/>
    <w:rsid w:val="0064611C"/>
    <w:rsid w:val="00646459"/>
    <w:rsid w:val="00646CC8"/>
    <w:rsid w:val="00646D32"/>
    <w:rsid w:val="00647AAF"/>
    <w:rsid w:val="00647BAE"/>
    <w:rsid w:val="00647D60"/>
    <w:rsid w:val="006500D3"/>
    <w:rsid w:val="006515AD"/>
    <w:rsid w:val="00652715"/>
    <w:rsid w:val="006528A8"/>
    <w:rsid w:val="0065292D"/>
    <w:rsid w:val="00654583"/>
    <w:rsid w:val="00654A3B"/>
    <w:rsid w:val="00655053"/>
    <w:rsid w:val="006550DB"/>
    <w:rsid w:val="00655EE2"/>
    <w:rsid w:val="00656319"/>
    <w:rsid w:val="006563EF"/>
    <w:rsid w:val="006565E1"/>
    <w:rsid w:val="00656E6F"/>
    <w:rsid w:val="00657364"/>
    <w:rsid w:val="00657D37"/>
    <w:rsid w:val="006605BD"/>
    <w:rsid w:val="00661C30"/>
    <w:rsid w:val="00661E30"/>
    <w:rsid w:val="00661F03"/>
    <w:rsid w:val="006625D6"/>
    <w:rsid w:val="00662B6C"/>
    <w:rsid w:val="00662C71"/>
    <w:rsid w:val="006637F7"/>
    <w:rsid w:val="00663A61"/>
    <w:rsid w:val="00663D31"/>
    <w:rsid w:val="0066443D"/>
    <w:rsid w:val="006650F6"/>
    <w:rsid w:val="0066536D"/>
    <w:rsid w:val="00665B35"/>
    <w:rsid w:val="00666F2A"/>
    <w:rsid w:val="0066754C"/>
    <w:rsid w:val="00667614"/>
    <w:rsid w:val="006707C7"/>
    <w:rsid w:val="00670CE1"/>
    <w:rsid w:val="00670F03"/>
    <w:rsid w:val="0067172D"/>
    <w:rsid w:val="0067177D"/>
    <w:rsid w:val="00671DD0"/>
    <w:rsid w:val="00672937"/>
    <w:rsid w:val="00673C5E"/>
    <w:rsid w:val="00674107"/>
    <w:rsid w:val="006747D9"/>
    <w:rsid w:val="00674C1F"/>
    <w:rsid w:val="00675C18"/>
    <w:rsid w:val="006765C0"/>
    <w:rsid w:val="006769DF"/>
    <w:rsid w:val="006777EE"/>
    <w:rsid w:val="0068034D"/>
    <w:rsid w:val="00680782"/>
    <w:rsid w:val="00680AEA"/>
    <w:rsid w:val="006820D0"/>
    <w:rsid w:val="006828C5"/>
    <w:rsid w:val="0068330D"/>
    <w:rsid w:val="006847A2"/>
    <w:rsid w:val="00684B17"/>
    <w:rsid w:val="00684C14"/>
    <w:rsid w:val="00684D1E"/>
    <w:rsid w:val="0068566E"/>
    <w:rsid w:val="00685753"/>
    <w:rsid w:val="00685852"/>
    <w:rsid w:val="006858BF"/>
    <w:rsid w:val="00685E71"/>
    <w:rsid w:val="0069118D"/>
    <w:rsid w:val="006915F6"/>
    <w:rsid w:val="006915FA"/>
    <w:rsid w:val="00691BFC"/>
    <w:rsid w:val="00691C3F"/>
    <w:rsid w:val="00691DEE"/>
    <w:rsid w:val="00691DF9"/>
    <w:rsid w:val="00692C84"/>
    <w:rsid w:val="006932A2"/>
    <w:rsid w:val="00693DCD"/>
    <w:rsid w:val="00694276"/>
    <w:rsid w:val="00694BD1"/>
    <w:rsid w:val="006954F9"/>
    <w:rsid w:val="00695960"/>
    <w:rsid w:val="00695BC7"/>
    <w:rsid w:val="00695C8F"/>
    <w:rsid w:val="00696ED1"/>
    <w:rsid w:val="00697327"/>
    <w:rsid w:val="006977A2"/>
    <w:rsid w:val="006A0446"/>
    <w:rsid w:val="006A0520"/>
    <w:rsid w:val="006A0AC2"/>
    <w:rsid w:val="006A181E"/>
    <w:rsid w:val="006A1F4E"/>
    <w:rsid w:val="006A22A4"/>
    <w:rsid w:val="006A2C98"/>
    <w:rsid w:val="006A2F1D"/>
    <w:rsid w:val="006A37C9"/>
    <w:rsid w:val="006A4065"/>
    <w:rsid w:val="006A4237"/>
    <w:rsid w:val="006A6263"/>
    <w:rsid w:val="006A6F19"/>
    <w:rsid w:val="006A76C9"/>
    <w:rsid w:val="006B018F"/>
    <w:rsid w:val="006B1151"/>
    <w:rsid w:val="006B19D5"/>
    <w:rsid w:val="006B2145"/>
    <w:rsid w:val="006B23E2"/>
    <w:rsid w:val="006B2921"/>
    <w:rsid w:val="006B29C9"/>
    <w:rsid w:val="006B3BE9"/>
    <w:rsid w:val="006B3E92"/>
    <w:rsid w:val="006B47BD"/>
    <w:rsid w:val="006B4C22"/>
    <w:rsid w:val="006B547C"/>
    <w:rsid w:val="006B5C01"/>
    <w:rsid w:val="006B64ED"/>
    <w:rsid w:val="006B6CAB"/>
    <w:rsid w:val="006B6E84"/>
    <w:rsid w:val="006B7023"/>
    <w:rsid w:val="006B751C"/>
    <w:rsid w:val="006B77C2"/>
    <w:rsid w:val="006C01A7"/>
    <w:rsid w:val="006C0276"/>
    <w:rsid w:val="006C043B"/>
    <w:rsid w:val="006C0CB1"/>
    <w:rsid w:val="006C0E0A"/>
    <w:rsid w:val="006C12E8"/>
    <w:rsid w:val="006C167D"/>
    <w:rsid w:val="006C1E7D"/>
    <w:rsid w:val="006C20B0"/>
    <w:rsid w:val="006C2712"/>
    <w:rsid w:val="006C29E8"/>
    <w:rsid w:val="006C2A91"/>
    <w:rsid w:val="006C2E65"/>
    <w:rsid w:val="006C31A7"/>
    <w:rsid w:val="006C4063"/>
    <w:rsid w:val="006C42C6"/>
    <w:rsid w:val="006C483A"/>
    <w:rsid w:val="006C504A"/>
    <w:rsid w:val="006C54A6"/>
    <w:rsid w:val="006C550F"/>
    <w:rsid w:val="006C6191"/>
    <w:rsid w:val="006C6C91"/>
    <w:rsid w:val="006C71AF"/>
    <w:rsid w:val="006C7C19"/>
    <w:rsid w:val="006D003F"/>
    <w:rsid w:val="006D07DD"/>
    <w:rsid w:val="006D0970"/>
    <w:rsid w:val="006D13B7"/>
    <w:rsid w:val="006D15E4"/>
    <w:rsid w:val="006D16E9"/>
    <w:rsid w:val="006D1E6E"/>
    <w:rsid w:val="006D24AC"/>
    <w:rsid w:val="006D3E35"/>
    <w:rsid w:val="006D47C4"/>
    <w:rsid w:val="006D5B34"/>
    <w:rsid w:val="006D5E0A"/>
    <w:rsid w:val="006D6530"/>
    <w:rsid w:val="006D6FB3"/>
    <w:rsid w:val="006D7CEB"/>
    <w:rsid w:val="006D7D96"/>
    <w:rsid w:val="006D7EC8"/>
    <w:rsid w:val="006E0669"/>
    <w:rsid w:val="006E0E16"/>
    <w:rsid w:val="006E1C39"/>
    <w:rsid w:val="006E1CF0"/>
    <w:rsid w:val="006E1CF7"/>
    <w:rsid w:val="006E2464"/>
    <w:rsid w:val="006E3798"/>
    <w:rsid w:val="006E47BE"/>
    <w:rsid w:val="006E55F4"/>
    <w:rsid w:val="006E5DE7"/>
    <w:rsid w:val="006E718B"/>
    <w:rsid w:val="006E7441"/>
    <w:rsid w:val="006E7672"/>
    <w:rsid w:val="006E7E95"/>
    <w:rsid w:val="006F073B"/>
    <w:rsid w:val="006F083D"/>
    <w:rsid w:val="006F0E50"/>
    <w:rsid w:val="006F1502"/>
    <w:rsid w:val="006F19E4"/>
    <w:rsid w:val="006F24C6"/>
    <w:rsid w:val="006F2B76"/>
    <w:rsid w:val="006F2F24"/>
    <w:rsid w:val="006F3CD5"/>
    <w:rsid w:val="006F48C8"/>
    <w:rsid w:val="006F5904"/>
    <w:rsid w:val="006F6851"/>
    <w:rsid w:val="006F6E71"/>
    <w:rsid w:val="006F798A"/>
    <w:rsid w:val="006F7F62"/>
    <w:rsid w:val="006F7FF7"/>
    <w:rsid w:val="007025B7"/>
    <w:rsid w:val="00702D1B"/>
    <w:rsid w:val="0070331E"/>
    <w:rsid w:val="00704F3A"/>
    <w:rsid w:val="00705ED7"/>
    <w:rsid w:val="00706013"/>
    <w:rsid w:val="007069D2"/>
    <w:rsid w:val="00706BEB"/>
    <w:rsid w:val="00710CA3"/>
    <w:rsid w:val="007111F3"/>
    <w:rsid w:val="00711D64"/>
    <w:rsid w:val="00711F51"/>
    <w:rsid w:val="007126F4"/>
    <w:rsid w:val="00712B1A"/>
    <w:rsid w:val="00712C91"/>
    <w:rsid w:val="00712ECE"/>
    <w:rsid w:val="007133FC"/>
    <w:rsid w:val="00714D44"/>
    <w:rsid w:val="00714DAA"/>
    <w:rsid w:val="00714E5E"/>
    <w:rsid w:val="00715268"/>
    <w:rsid w:val="00715302"/>
    <w:rsid w:val="00715C29"/>
    <w:rsid w:val="0071641B"/>
    <w:rsid w:val="007168E0"/>
    <w:rsid w:val="00716B6D"/>
    <w:rsid w:val="00716F01"/>
    <w:rsid w:val="0071732C"/>
    <w:rsid w:val="00717A0D"/>
    <w:rsid w:val="0072059A"/>
    <w:rsid w:val="0072083A"/>
    <w:rsid w:val="00721039"/>
    <w:rsid w:val="00721519"/>
    <w:rsid w:val="00721FF3"/>
    <w:rsid w:val="00722336"/>
    <w:rsid w:val="00722798"/>
    <w:rsid w:val="00722C6D"/>
    <w:rsid w:val="00723898"/>
    <w:rsid w:val="00723E32"/>
    <w:rsid w:val="00723F5D"/>
    <w:rsid w:val="0072427D"/>
    <w:rsid w:val="0072534A"/>
    <w:rsid w:val="00725353"/>
    <w:rsid w:val="00725802"/>
    <w:rsid w:val="00725AD7"/>
    <w:rsid w:val="00726337"/>
    <w:rsid w:val="007264D6"/>
    <w:rsid w:val="0072699D"/>
    <w:rsid w:val="00726CEB"/>
    <w:rsid w:val="00727D40"/>
    <w:rsid w:val="007302A9"/>
    <w:rsid w:val="007302F1"/>
    <w:rsid w:val="00730C28"/>
    <w:rsid w:val="0073151F"/>
    <w:rsid w:val="00731886"/>
    <w:rsid w:val="00731B42"/>
    <w:rsid w:val="00731DF1"/>
    <w:rsid w:val="007329F5"/>
    <w:rsid w:val="0073372C"/>
    <w:rsid w:val="00733CE9"/>
    <w:rsid w:val="00733EF9"/>
    <w:rsid w:val="007346CB"/>
    <w:rsid w:val="007362E9"/>
    <w:rsid w:val="00737277"/>
    <w:rsid w:val="007377D1"/>
    <w:rsid w:val="00740246"/>
    <w:rsid w:val="00740528"/>
    <w:rsid w:val="0074098B"/>
    <w:rsid w:val="00741EC5"/>
    <w:rsid w:val="00743178"/>
    <w:rsid w:val="00743837"/>
    <w:rsid w:val="007439E9"/>
    <w:rsid w:val="00744508"/>
    <w:rsid w:val="0074556C"/>
    <w:rsid w:val="007456C7"/>
    <w:rsid w:val="00745A71"/>
    <w:rsid w:val="007460B4"/>
    <w:rsid w:val="00746A4A"/>
    <w:rsid w:val="00746E25"/>
    <w:rsid w:val="00747227"/>
    <w:rsid w:val="0074746C"/>
    <w:rsid w:val="00750098"/>
    <w:rsid w:val="00750D28"/>
    <w:rsid w:val="007510DC"/>
    <w:rsid w:val="007518D2"/>
    <w:rsid w:val="00751FA4"/>
    <w:rsid w:val="0075255B"/>
    <w:rsid w:val="007533C6"/>
    <w:rsid w:val="00753E5F"/>
    <w:rsid w:val="00753FEC"/>
    <w:rsid w:val="007569F2"/>
    <w:rsid w:val="007570EC"/>
    <w:rsid w:val="007573DF"/>
    <w:rsid w:val="00760696"/>
    <w:rsid w:val="0076103F"/>
    <w:rsid w:val="0076110F"/>
    <w:rsid w:val="00761693"/>
    <w:rsid w:val="00762312"/>
    <w:rsid w:val="007627DE"/>
    <w:rsid w:val="007629F5"/>
    <w:rsid w:val="00762AF8"/>
    <w:rsid w:val="00762D79"/>
    <w:rsid w:val="00762EE5"/>
    <w:rsid w:val="00762F97"/>
    <w:rsid w:val="00763148"/>
    <w:rsid w:val="0076397D"/>
    <w:rsid w:val="00763ABA"/>
    <w:rsid w:val="00763C07"/>
    <w:rsid w:val="00766040"/>
    <w:rsid w:val="007664B3"/>
    <w:rsid w:val="00766792"/>
    <w:rsid w:val="00766F9A"/>
    <w:rsid w:val="00767759"/>
    <w:rsid w:val="00767DEB"/>
    <w:rsid w:val="00770151"/>
    <w:rsid w:val="00770159"/>
    <w:rsid w:val="007703D4"/>
    <w:rsid w:val="00770C0C"/>
    <w:rsid w:val="00770CD5"/>
    <w:rsid w:val="00771397"/>
    <w:rsid w:val="00771DEA"/>
    <w:rsid w:val="00771E21"/>
    <w:rsid w:val="00772036"/>
    <w:rsid w:val="00772B59"/>
    <w:rsid w:val="00772BD4"/>
    <w:rsid w:val="00772C3B"/>
    <w:rsid w:val="00772C47"/>
    <w:rsid w:val="00772F90"/>
    <w:rsid w:val="00773A6C"/>
    <w:rsid w:val="00773BC8"/>
    <w:rsid w:val="00774AB6"/>
    <w:rsid w:val="007754AF"/>
    <w:rsid w:val="00775586"/>
    <w:rsid w:val="0077576F"/>
    <w:rsid w:val="00775D9B"/>
    <w:rsid w:val="00777BEF"/>
    <w:rsid w:val="0078133E"/>
    <w:rsid w:val="00781D8E"/>
    <w:rsid w:val="00782494"/>
    <w:rsid w:val="007825D7"/>
    <w:rsid w:val="00782F16"/>
    <w:rsid w:val="007830C8"/>
    <w:rsid w:val="00784836"/>
    <w:rsid w:val="00784DC0"/>
    <w:rsid w:val="00785292"/>
    <w:rsid w:val="0078584E"/>
    <w:rsid w:val="007866D6"/>
    <w:rsid w:val="00786ACA"/>
    <w:rsid w:val="007870CC"/>
    <w:rsid w:val="007901A8"/>
    <w:rsid w:val="00791752"/>
    <w:rsid w:val="00791BC1"/>
    <w:rsid w:val="00791C9A"/>
    <w:rsid w:val="0079250A"/>
    <w:rsid w:val="007928DB"/>
    <w:rsid w:val="007937AF"/>
    <w:rsid w:val="00794FAB"/>
    <w:rsid w:val="00795080"/>
    <w:rsid w:val="007955F0"/>
    <w:rsid w:val="00796BB9"/>
    <w:rsid w:val="00796D9C"/>
    <w:rsid w:val="00797782"/>
    <w:rsid w:val="00797A43"/>
    <w:rsid w:val="00797B61"/>
    <w:rsid w:val="00797BC5"/>
    <w:rsid w:val="007A040D"/>
    <w:rsid w:val="007A0A0D"/>
    <w:rsid w:val="007A0E18"/>
    <w:rsid w:val="007A0E77"/>
    <w:rsid w:val="007A247F"/>
    <w:rsid w:val="007A4264"/>
    <w:rsid w:val="007A49D0"/>
    <w:rsid w:val="007A4D12"/>
    <w:rsid w:val="007A5D06"/>
    <w:rsid w:val="007A6304"/>
    <w:rsid w:val="007A68A8"/>
    <w:rsid w:val="007B0041"/>
    <w:rsid w:val="007B073F"/>
    <w:rsid w:val="007B0D9B"/>
    <w:rsid w:val="007B1C22"/>
    <w:rsid w:val="007B2593"/>
    <w:rsid w:val="007B397E"/>
    <w:rsid w:val="007B4B93"/>
    <w:rsid w:val="007B60E5"/>
    <w:rsid w:val="007B6410"/>
    <w:rsid w:val="007B6553"/>
    <w:rsid w:val="007B7285"/>
    <w:rsid w:val="007B7DE5"/>
    <w:rsid w:val="007B7ECD"/>
    <w:rsid w:val="007C0953"/>
    <w:rsid w:val="007C0BE7"/>
    <w:rsid w:val="007C0EA6"/>
    <w:rsid w:val="007C1077"/>
    <w:rsid w:val="007C1A0C"/>
    <w:rsid w:val="007C1BBF"/>
    <w:rsid w:val="007C28E3"/>
    <w:rsid w:val="007C294D"/>
    <w:rsid w:val="007C2B1A"/>
    <w:rsid w:val="007C37D4"/>
    <w:rsid w:val="007C401C"/>
    <w:rsid w:val="007C43A0"/>
    <w:rsid w:val="007C5A84"/>
    <w:rsid w:val="007C62E5"/>
    <w:rsid w:val="007C6402"/>
    <w:rsid w:val="007C64E5"/>
    <w:rsid w:val="007C6C62"/>
    <w:rsid w:val="007C7147"/>
    <w:rsid w:val="007C7222"/>
    <w:rsid w:val="007C74EB"/>
    <w:rsid w:val="007C7766"/>
    <w:rsid w:val="007C7F65"/>
    <w:rsid w:val="007D00B3"/>
    <w:rsid w:val="007D0FBC"/>
    <w:rsid w:val="007D2808"/>
    <w:rsid w:val="007D49B9"/>
    <w:rsid w:val="007D4C48"/>
    <w:rsid w:val="007D515D"/>
    <w:rsid w:val="007D61DD"/>
    <w:rsid w:val="007D7219"/>
    <w:rsid w:val="007D77F4"/>
    <w:rsid w:val="007D7896"/>
    <w:rsid w:val="007D7B02"/>
    <w:rsid w:val="007D7F04"/>
    <w:rsid w:val="007E017B"/>
    <w:rsid w:val="007E0649"/>
    <w:rsid w:val="007E079B"/>
    <w:rsid w:val="007E09D8"/>
    <w:rsid w:val="007E1880"/>
    <w:rsid w:val="007E2142"/>
    <w:rsid w:val="007E2223"/>
    <w:rsid w:val="007E358B"/>
    <w:rsid w:val="007E37E6"/>
    <w:rsid w:val="007E4556"/>
    <w:rsid w:val="007E45D4"/>
    <w:rsid w:val="007E4AE5"/>
    <w:rsid w:val="007E5011"/>
    <w:rsid w:val="007E53FE"/>
    <w:rsid w:val="007E5716"/>
    <w:rsid w:val="007E7BA7"/>
    <w:rsid w:val="007F0450"/>
    <w:rsid w:val="007F0534"/>
    <w:rsid w:val="007F1771"/>
    <w:rsid w:val="007F24DB"/>
    <w:rsid w:val="007F353E"/>
    <w:rsid w:val="007F48F2"/>
    <w:rsid w:val="007F5AE9"/>
    <w:rsid w:val="007F606C"/>
    <w:rsid w:val="007F61B5"/>
    <w:rsid w:val="007F7D06"/>
    <w:rsid w:val="008006FF"/>
    <w:rsid w:val="0080111D"/>
    <w:rsid w:val="0080137B"/>
    <w:rsid w:val="0080198A"/>
    <w:rsid w:val="00802118"/>
    <w:rsid w:val="0080231F"/>
    <w:rsid w:val="00802A17"/>
    <w:rsid w:val="00802A26"/>
    <w:rsid w:val="00802BCB"/>
    <w:rsid w:val="00802F77"/>
    <w:rsid w:val="00802F93"/>
    <w:rsid w:val="008039A3"/>
    <w:rsid w:val="00803F57"/>
    <w:rsid w:val="008046AA"/>
    <w:rsid w:val="00804897"/>
    <w:rsid w:val="00804C50"/>
    <w:rsid w:val="00805D39"/>
    <w:rsid w:val="00805D4A"/>
    <w:rsid w:val="00805E79"/>
    <w:rsid w:val="00806216"/>
    <w:rsid w:val="0080628C"/>
    <w:rsid w:val="008077B7"/>
    <w:rsid w:val="008077CA"/>
    <w:rsid w:val="00810669"/>
    <w:rsid w:val="008107AF"/>
    <w:rsid w:val="00811CA6"/>
    <w:rsid w:val="008128F9"/>
    <w:rsid w:val="00812DEF"/>
    <w:rsid w:val="00813478"/>
    <w:rsid w:val="008141C1"/>
    <w:rsid w:val="00815472"/>
    <w:rsid w:val="008156BB"/>
    <w:rsid w:val="00815EC1"/>
    <w:rsid w:val="0081663E"/>
    <w:rsid w:val="008170ED"/>
    <w:rsid w:val="0081774A"/>
    <w:rsid w:val="00817AC1"/>
    <w:rsid w:val="00820319"/>
    <w:rsid w:val="00821095"/>
    <w:rsid w:val="00821846"/>
    <w:rsid w:val="00821F92"/>
    <w:rsid w:val="0082447E"/>
    <w:rsid w:val="008244BF"/>
    <w:rsid w:val="00824F4C"/>
    <w:rsid w:val="00824FA1"/>
    <w:rsid w:val="00825A07"/>
    <w:rsid w:val="0083091D"/>
    <w:rsid w:val="00830A92"/>
    <w:rsid w:val="00832440"/>
    <w:rsid w:val="00832637"/>
    <w:rsid w:val="00832C2E"/>
    <w:rsid w:val="00832C70"/>
    <w:rsid w:val="00832CD9"/>
    <w:rsid w:val="00833291"/>
    <w:rsid w:val="008339FE"/>
    <w:rsid w:val="00833B7D"/>
    <w:rsid w:val="00833FA0"/>
    <w:rsid w:val="0083472A"/>
    <w:rsid w:val="00835509"/>
    <w:rsid w:val="008364D7"/>
    <w:rsid w:val="00836AD1"/>
    <w:rsid w:val="00837307"/>
    <w:rsid w:val="00840502"/>
    <w:rsid w:val="008409A3"/>
    <w:rsid w:val="00841EB7"/>
    <w:rsid w:val="00842C26"/>
    <w:rsid w:val="0084328E"/>
    <w:rsid w:val="00843F68"/>
    <w:rsid w:val="008450A4"/>
    <w:rsid w:val="00845230"/>
    <w:rsid w:val="00845748"/>
    <w:rsid w:val="00845CB0"/>
    <w:rsid w:val="008468DA"/>
    <w:rsid w:val="00847000"/>
    <w:rsid w:val="008470CB"/>
    <w:rsid w:val="008477D7"/>
    <w:rsid w:val="008503A8"/>
    <w:rsid w:val="0085134D"/>
    <w:rsid w:val="00851D36"/>
    <w:rsid w:val="00851D66"/>
    <w:rsid w:val="008524A5"/>
    <w:rsid w:val="008529D8"/>
    <w:rsid w:val="00853B17"/>
    <w:rsid w:val="00854341"/>
    <w:rsid w:val="0085434D"/>
    <w:rsid w:val="00855AC4"/>
    <w:rsid w:val="00856EED"/>
    <w:rsid w:val="00857E72"/>
    <w:rsid w:val="00860451"/>
    <w:rsid w:val="008605DA"/>
    <w:rsid w:val="008606B2"/>
    <w:rsid w:val="00861190"/>
    <w:rsid w:val="00861504"/>
    <w:rsid w:val="00861680"/>
    <w:rsid w:val="00861A20"/>
    <w:rsid w:val="00861C74"/>
    <w:rsid w:val="00861CF3"/>
    <w:rsid w:val="0086231F"/>
    <w:rsid w:val="008624B8"/>
    <w:rsid w:val="00862572"/>
    <w:rsid w:val="00862BF4"/>
    <w:rsid w:val="00863340"/>
    <w:rsid w:val="008633CD"/>
    <w:rsid w:val="008650A9"/>
    <w:rsid w:val="0086524B"/>
    <w:rsid w:val="008655A3"/>
    <w:rsid w:val="00865B4A"/>
    <w:rsid w:val="00865C08"/>
    <w:rsid w:val="00865F9F"/>
    <w:rsid w:val="00866CF3"/>
    <w:rsid w:val="00866CF6"/>
    <w:rsid w:val="00867146"/>
    <w:rsid w:val="00867257"/>
    <w:rsid w:val="00867BBA"/>
    <w:rsid w:val="0087040B"/>
    <w:rsid w:val="00870B95"/>
    <w:rsid w:val="00870E0F"/>
    <w:rsid w:val="0087141D"/>
    <w:rsid w:val="00871A89"/>
    <w:rsid w:val="00871C3D"/>
    <w:rsid w:val="00872E6C"/>
    <w:rsid w:val="00873523"/>
    <w:rsid w:val="00874145"/>
    <w:rsid w:val="00874155"/>
    <w:rsid w:val="008749C1"/>
    <w:rsid w:val="00874AD6"/>
    <w:rsid w:val="00874C38"/>
    <w:rsid w:val="00875206"/>
    <w:rsid w:val="008766A6"/>
    <w:rsid w:val="00876ED6"/>
    <w:rsid w:val="00877048"/>
    <w:rsid w:val="008775C4"/>
    <w:rsid w:val="00877814"/>
    <w:rsid w:val="008779AD"/>
    <w:rsid w:val="0088020C"/>
    <w:rsid w:val="00880D17"/>
    <w:rsid w:val="0088123D"/>
    <w:rsid w:val="0088212B"/>
    <w:rsid w:val="008822BA"/>
    <w:rsid w:val="00882B3E"/>
    <w:rsid w:val="0088349E"/>
    <w:rsid w:val="0088495B"/>
    <w:rsid w:val="00884AFF"/>
    <w:rsid w:val="00885719"/>
    <w:rsid w:val="008862AB"/>
    <w:rsid w:val="00886C02"/>
    <w:rsid w:val="00886FDE"/>
    <w:rsid w:val="008877E3"/>
    <w:rsid w:val="00887EE5"/>
    <w:rsid w:val="008904CC"/>
    <w:rsid w:val="00891656"/>
    <w:rsid w:val="00891D6A"/>
    <w:rsid w:val="00892E96"/>
    <w:rsid w:val="0089334C"/>
    <w:rsid w:val="00893A90"/>
    <w:rsid w:val="00894448"/>
    <w:rsid w:val="00895325"/>
    <w:rsid w:val="00895880"/>
    <w:rsid w:val="00896850"/>
    <w:rsid w:val="00897696"/>
    <w:rsid w:val="00897F3C"/>
    <w:rsid w:val="008A01AC"/>
    <w:rsid w:val="008A032B"/>
    <w:rsid w:val="008A0588"/>
    <w:rsid w:val="008A0675"/>
    <w:rsid w:val="008A1C13"/>
    <w:rsid w:val="008A1C6B"/>
    <w:rsid w:val="008A2FEE"/>
    <w:rsid w:val="008A3860"/>
    <w:rsid w:val="008A4550"/>
    <w:rsid w:val="008A4A15"/>
    <w:rsid w:val="008A544C"/>
    <w:rsid w:val="008A582D"/>
    <w:rsid w:val="008A5A3E"/>
    <w:rsid w:val="008A6D98"/>
    <w:rsid w:val="008A6EC9"/>
    <w:rsid w:val="008A7351"/>
    <w:rsid w:val="008A7A56"/>
    <w:rsid w:val="008A7B69"/>
    <w:rsid w:val="008B01D4"/>
    <w:rsid w:val="008B029C"/>
    <w:rsid w:val="008B0336"/>
    <w:rsid w:val="008B0D36"/>
    <w:rsid w:val="008B1BA6"/>
    <w:rsid w:val="008B27BC"/>
    <w:rsid w:val="008B29A8"/>
    <w:rsid w:val="008B36EF"/>
    <w:rsid w:val="008B3FAB"/>
    <w:rsid w:val="008B5A61"/>
    <w:rsid w:val="008B6812"/>
    <w:rsid w:val="008B7C63"/>
    <w:rsid w:val="008B7CB8"/>
    <w:rsid w:val="008C012B"/>
    <w:rsid w:val="008C021B"/>
    <w:rsid w:val="008C02E9"/>
    <w:rsid w:val="008C067D"/>
    <w:rsid w:val="008C143F"/>
    <w:rsid w:val="008C2670"/>
    <w:rsid w:val="008C2F78"/>
    <w:rsid w:val="008C3933"/>
    <w:rsid w:val="008C3D2F"/>
    <w:rsid w:val="008C3D41"/>
    <w:rsid w:val="008C3E0C"/>
    <w:rsid w:val="008C414B"/>
    <w:rsid w:val="008C429C"/>
    <w:rsid w:val="008C4503"/>
    <w:rsid w:val="008C6827"/>
    <w:rsid w:val="008C7F51"/>
    <w:rsid w:val="008D00B8"/>
    <w:rsid w:val="008D0B93"/>
    <w:rsid w:val="008D1BB8"/>
    <w:rsid w:val="008D2442"/>
    <w:rsid w:val="008D26C6"/>
    <w:rsid w:val="008D2D5F"/>
    <w:rsid w:val="008D39F7"/>
    <w:rsid w:val="008D4780"/>
    <w:rsid w:val="008D5114"/>
    <w:rsid w:val="008D513A"/>
    <w:rsid w:val="008D543E"/>
    <w:rsid w:val="008D6332"/>
    <w:rsid w:val="008D73CB"/>
    <w:rsid w:val="008D7504"/>
    <w:rsid w:val="008D771C"/>
    <w:rsid w:val="008D78D7"/>
    <w:rsid w:val="008D7B3B"/>
    <w:rsid w:val="008D7F12"/>
    <w:rsid w:val="008E03CC"/>
    <w:rsid w:val="008E06E0"/>
    <w:rsid w:val="008E06E7"/>
    <w:rsid w:val="008E136C"/>
    <w:rsid w:val="008E1C4A"/>
    <w:rsid w:val="008E2186"/>
    <w:rsid w:val="008E3798"/>
    <w:rsid w:val="008E4E0A"/>
    <w:rsid w:val="008E5D83"/>
    <w:rsid w:val="008E6924"/>
    <w:rsid w:val="008E6D32"/>
    <w:rsid w:val="008E7005"/>
    <w:rsid w:val="008F043D"/>
    <w:rsid w:val="008F05FE"/>
    <w:rsid w:val="008F0F24"/>
    <w:rsid w:val="008F112D"/>
    <w:rsid w:val="008F1F55"/>
    <w:rsid w:val="008F21E9"/>
    <w:rsid w:val="008F273B"/>
    <w:rsid w:val="008F4046"/>
    <w:rsid w:val="008F4A7D"/>
    <w:rsid w:val="008F4DB1"/>
    <w:rsid w:val="008F506E"/>
    <w:rsid w:val="008F5361"/>
    <w:rsid w:val="008F549E"/>
    <w:rsid w:val="008F6CB4"/>
    <w:rsid w:val="009007F6"/>
    <w:rsid w:val="00901816"/>
    <w:rsid w:val="009021A6"/>
    <w:rsid w:val="00902F17"/>
    <w:rsid w:val="009032BB"/>
    <w:rsid w:val="00903757"/>
    <w:rsid w:val="009037DE"/>
    <w:rsid w:val="00903C91"/>
    <w:rsid w:val="0090405D"/>
    <w:rsid w:val="00904228"/>
    <w:rsid w:val="00904A88"/>
    <w:rsid w:val="00904D5E"/>
    <w:rsid w:val="0090522E"/>
    <w:rsid w:val="00905735"/>
    <w:rsid w:val="00906091"/>
    <w:rsid w:val="009070C5"/>
    <w:rsid w:val="0090726F"/>
    <w:rsid w:val="009113DC"/>
    <w:rsid w:val="0091236E"/>
    <w:rsid w:val="00912376"/>
    <w:rsid w:val="009125EC"/>
    <w:rsid w:val="00913029"/>
    <w:rsid w:val="009137C2"/>
    <w:rsid w:val="00913DF7"/>
    <w:rsid w:val="009140DC"/>
    <w:rsid w:val="0091442E"/>
    <w:rsid w:val="00914819"/>
    <w:rsid w:val="00914B4A"/>
    <w:rsid w:val="00914B80"/>
    <w:rsid w:val="00914C27"/>
    <w:rsid w:val="009150E1"/>
    <w:rsid w:val="00915A34"/>
    <w:rsid w:val="00917CA7"/>
    <w:rsid w:val="00920E6D"/>
    <w:rsid w:val="009216A2"/>
    <w:rsid w:val="00925BC4"/>
    <w:rsid w:val="00927DA2"/>
    <w:rsid w:val="0093027C"/>
    <w:rsid w:val="00930312"/>
    <w:rsid w:val="00930E00"/>
    <w:rsid w:val="0093186F"/>
    <w:rsid w:val="0093187D"/>
    <w:rsid w:val="00931E46"/>
    <w:rsid w:val="00932276"/>
    <w:rsid w:val="0093244B"/>
    <w:rsid w:val="00932479"/>
    <w:rsid w:val="00932B5D"/>
    <w:rsid w:val="00932D82"/>
    <w:rsid w:val="009343AE"/>
    <w:rsid w:val="00934886"/>
    <w:rsid w:val="009349FA"/>
    <w:rsid w:val="00934A14"/>
    <w:rsid w:val="00935470"/>
    <w:rsid w:val="0093547C"/>
    <w:rsid w:val="009354BD"/>
    <w:rsid w:val="00937117"/>
    <w:rsid w:val="00937732"/>
    <w:rsid w:val="009400CF"/>
    <w:rsid w:val="00940617"/>
    <w:rsid w:val="009411B2"/>
    <w:rsid w:val="0094380D"/>
    <w:rsid w:val="009442FA"/>
    <w:rsid w:val="0094439C"/>
    <w:rsid w:val="00944492"/>
    <w:rsid w:val="00945259"/>
    <w:rsid w:val="00945B83"/>
    <w:rsid w:val="009466AC"/>
    <w:rsid w:val="0094758E"/>
    <w:rsid w:val="0095016A"/>
    <w:rsid w:val="009501C4"/>
    <w:rsid w:val="00950657"/>
    <w:rsid w:val="00951399"/>
    <w:rsid w:val="009513EE"/>
    <w:rsid w:val="0095146E"/>
    <w:rsid w:val="0095162A"/>
    <w:rsid w:val="00951F21"/>
    <w:rsid w:val="0095211A"/>
    <w:rsid w:val="0095433D"/>
    <w:rsid w:val="00954609"/>
    <w:rsid w:val="009549CA"/>
    <w:rsid w:val="009549F9"/>
    <w:rsid w:val="00954B49"/>
    <w:rsid w:val="0095511A"/>
    <w:rsid w:val="009560C4"/>
    <w:rsid w:val="00956E69"/>
    <w:rsid w:val="00956F31"/>
    <w:rsid w:val="0095797F"/>
    <w:rsid w:val="009607A2"/>
    <w:rsid w:val="0096083F"/>
    <w:rsid w:val="00961D17"/>
    <w:rsid w:val="00962503"/>
    <w:rsid w:val="00962C4F"/>
    <w:rsid w:val="00963E6D"/>
    <w:rsid w:val="0096404F"/>
    <w:rsid w:val="009646B1"/>
    <w:rsid w:val="0096496F"/>
    <w:rsid w:val="0096549F"/>
    <w:rsid w:val="00966466"/>
    <w:rsid w:val="00966A20"/>
    <w:rsid w:val="00967E8B"/>
    <w:rsid w:val="00970AC9"/>
    <w:rsid w:val="00970AD7"/>
    <w:rsid w:val="00970E94"/>
    <w:rsid w:val="00970FC6"/>
    <w:rsid w:val="00971068"/>
    <w:rsid w:val="009712E9"/>
    <w:rsid w:val="00971377"/>
    <w:rsid w:val="0097388C"/>
    <w:rsid w:val="00973FF6"/>
    <w:rsid w:val="009749D9"/>
    <w:rsid w:val="00974E45"/>
    <w:rsid w:val="0097548C"/>
    <w:rsid w:val="009765B2"/>
    <w:rsid w:val="009770F4"/>
    <w:rsid w:val="00977E14"/>
    <w:rsid w:val="009803F5"/>
    <w:rsid w:val="00980BF9"/>
    <w:rsid w:val="0098119D"/>
    <w:rsid w:val="0098294C"/>
    <w:rsid w:val="009829B4"/>
    <w:rsid w:val="00982A60"/>
    <w:rsid w:val="00982F8D"/>
    <w:rsid w:val="0098326F"/>
    <w:rsid w:val="0098341E"/>
    <w:rsid w:val="00983910"/>
    <w:rsid w:val="00984168"/>
    <w:rsid w:val="00984255"/>
    <w:rsid w:val="00984DDC"/>
    <w:rsid w:val="00984EBF"/>
    <w:rsid w:val="009858A4"/>
    <w:rsid w:val="00985921"/>
    <w:rsid w:val="009859AA"/>
    <w:rsid w:val="00985F8B"/>
    <w:rsid w:val="0098624B"/>
    <w:rsid w:val="0098636F"/>
    <w:rsid w:val="00986B97"/>
    <w:rsid w:val="009879C4"/>
    <w:rsid w:val="009901B2"/>
    <w:rsid w:val="0099131C"/>
    <w:rsid w:val="009913ED"/>
    <w:rsid w:val="00992016"/>
    <w:rsid w:val="0099255D"/>
    <w:rsid w:val="0099256B"/>
    <w:rsid w:val="009931F7"/>
    <w:rsid w:val="0099378B"/>
    <w:rsid w:val="0099495B"/>
    <w:rsid w:val="0099588D"/>
    <w:rsid w:val="00996EEB"/>
    <w:rsid w:val="0099735D"/>
    <w:rsid w:val="00997547"/>
    <w:rsid w:val="00997703"/>
    <w:rsid w:val="00997C5E"/>
    <w:rsid w:val="009A0A8D"/>
    <w:rsid w:val="009A0FED"/>
    <w:rsid w:val="009A331B"/>
    <w:rsid w:val="009A33C9"/>
    <w:rsid w:val="009A3B85"/>
    <w:rsid w:val="009A4F28"/>
    <w:rsid w:val="009A7DF2"/>
    <w:rsid w:val="009B0106"/>
    <w:rsid w:val="009B089F"/>
    <w:rsid w:val="009B08D0"/>
    <w:rsid w:val="009B0A68"/>
    <w:rsid w:val="009B0F39"/>
    <w:rsid w:val="009B1E68"/>
    <w:rsid w:val="009B2B5E"/>
    <w:rsid w:val="009B3D41"/>
    <w:rsid w:val="009B3DB1"/>
    <w:rsid w:val="009B3E00"/>
    <w:rsid w:val="009B3EE6"/>
    <w:rsid w:val="009B457E"/>
    <w:rsid w:val="009B6C3A"/>
    <w:rsid w:val="009B7370"/>
    <w:rsid w:val="009B749E"/>
    <w:rsid w:val="009C0541"/>
    <w:rsid w:val="009C06CC"/>
    <w:rsid w:val="009C078A"/>
    <w:rsid w:val="009C0B36"/>
    <w:rsid w:val="009C1B66"/>
    <w:rsid w:val="009C2B7C"/>
    <w:rsid w:val="009C373F"/>
    <w:rsid w:val="009C40C4"/>
    <w:rsid w:val="009C422B"/>
    <w:rsid w:val="009C4A52"/>
    <w:rsid w:val="009C4C79"/>
    <w:rsid w:val="009C5CBC"/>
    <w:rsid w:val="009C7148"/>
    <w:rsid w:val="009C7307"/>
    <w:rsid w:val="009C74A9"/>
    <w:rsid w:val="009D06CD"/>
    <w:rsid w:val="009D155F"/>
    <w:rsid w:val="009D25AB"/>
    <w:rsid w:val="009D2852"/>
    <w:rsid w:val="009D301A"/>
    <w:rsid w:val="009D337A"/>
    <w:rsid w:val="009D3596"/>
    <w:rsid w:val="009D3828"/>
    <w:rsid w:val="009D4800"/>
    <w:rsid w:val="009D497D"/>
    <w:rsid w:val="009D526B"/>
    <w:rsid w:val="009D52D1"/>
    <w:rsid w:val="009D56C6"/>
    <w:rsid w:val="009D62A2"/>
    <w:rsid w:val="009D65B3"/>
    <w:rsid w:val="009D7096"/>
    <w:rsid w:val="009D7AC8"/>
    <w:rsid w:val="009E143B"/>
    <w:rsid w:val="009E198A"/>
    <w:rsid w:val="009E19DD"/>
    <w:rsid w:val="009E328E"/>
    <w:rsid w:val="009E3B83"/>
    <w:rsid w:val="009E4CEE"/>
    <w:rsid w:val="009E5417"/>
    <w:rsid w:val="009E54BF"/>
    <w:rsid w:val="009E5664"/>
    <w:rsid w:val="009E59B9"/>
    <w:rsid w:val="009E5A3D"/>
    <w:rsid w:val="009E6081"/>
    <w:rsid w:val="009E6170"/>
    <w:rsid w:val="009E6854"/>
    <w:rsid w:val="009E7001"/>
    <w:rsid w:val="009E7544"/>
    <w:rsid w:val="009E7EB3"/>
    <w:rsid w:val="009F05C3"/>
    <w:rsid w:val="009F1C93"/>
    <w:rsid w:val="009F2873"/>
    <w:rsid w:val="009F36AA"/>
    <w:rsid w:val="009F4451"/>
    <w:rsid w:val="009F4ADD"/>
    <w:rsid w:val="009F6779"/>
    <w:rsid w:val="009F6F12"/>
    <w:rsid w:val="009F73D5"/>
    <w:rsid w:val="009F7D0C"/>
    <w:rsid w:val="00A00048"/>
    <w:rsid w:val="00A008D5"/>
    <w:rsid w:val="00A00D53"/>
    <w:rsid w:val="00A0268E"/>
    <w:rsid w:val="00A05231"/>
    <w:rsid w:val="00A05824"/>
    <w:rsid w:val="00A06E54"/>
    <w:rsid w:val="00A07D41"/>
    <w:rsid w:val="00A07DCD"/>
    <w:rsid w:val="00A07E93"/>
    <w:rsid w:val="00A1008D"/>
    <w:rsid w:val="00A10245"/>
    <w:rsid w:val="00A10AF8"/>
    <w:rsid w:val="00A1120C"/>
    <w:rsid w:val="00A114CE"/>
    <w:rsid w:val="00A11F2D"/>
    <w:rsid w:val="00A122F2"/>
    <w:rsid w:val="00A12C3C"/>
    <w:rsid w:val="00A13410"/>
    <w:rsid w:val="00A14212"/>
    <w:rsid w:val="00A144EA"/>
    <w:rsid w:val="00A14B1A"/>
    <w:rsid w:val="00A15636"/>
    <w:rsid w:val="00A156B4"/>
    <w:rsid w:val="00A1644F"/>
    <w:rsid w:val="00A16ECE"/>
    <w:rsid w:val="00A17B0B"/>
    <w:rsid w:val="00A17F28"/>
    <w:rsid w:val="00A205B4"/>
    <w:rsid w:val="00A20C2D"/>
    <w:rsid w:val="00A23332"/>
    <w:rsid w:val="00A24042"/>
    <w:rsid w:val="00A2642A"/>
    <w:rsid w:val="00A27897"/>
    <w:rsid w:val="00A278BB"/>
    <w:rsid w:val="00A30D7A"/>
    <w:rsid w:val="00A30DC3"/>
    <w:rsid w:val="00A31204"/>
    <w:rsid w:val="00A31FA7"/>
    <w:rsid w:val="00A327D6"/>
    <w:rsid w:val="00A332EA"/>
    <w:rsid w:val="00A33E0A"/>
    <w:rsid w:val="00A34403"/>
    <w:rsid w:val="00A34581"/>
    <w:rsid w:val="00A34883"/>
    <w:rsid w:val="00A35421"/>
    <w:rsid w:val="00A36AC0"/>
    <w:rsid w:val="00A3736C"/>
    <w:rsid w:val="00A37A85"/>
    <w:rsid w:val="00A37C9F"/>
    <w:rsid w:val="00A406DF"/>
    <w:rsid w:val="00A410E8"/>
    <w:rsid w:val="00A41300"/>
    <w:rsid w:val="00A41D74"/>
    <w:rsid w:val="00A41E15"/>
    <w:rsid w:val="00A45132"/>
    <w:rsid w:val="00A452E5"/>
    <w:rsid w:val="00A453D1"/>
    <w:rsid w:val="00A45589"/>
    <w:rsid w:val="00A46016"/>
    <w:rsid w:val="00A4666A"/>
    <w:rsid w:val="00A46C09"/>
    <w:rsid w:val="00A46DDE"/>
    <w:rsid w:val="00A47BE2"/>
    <w:rsid w:val="00A47C00"/>
    <w:rsid w:val="00A5064A"/>
    <w:rsid w:val="00A5286C"/>
    <w:rsid w:val="00A528BE"/>
    <w:rsid w:val="00A528CD"/>
    <w:rsid w:val="00A530B5"/>
    <w:rsid w:val="00A5336A"/>
    <w:rsid w:val="00A5380C"/>
    <w:rsid w:val="00A539D5"/>
    <w:rsid w:val="00A53B20"/>
    <w:rsid w:val="00A54B23"/>
    <w:rsid w:val="00A553F5"/>
    <w:rsid w:val="00A5574B"/>
    <w:rsid w:val="00A558A3"/>
    <w:rsid w:val="00A5649F"/>
    <w:rsid w:val="00A564A1"/>
    <w:rsid w:val="00A57B74"/>
    <w:rsid w:val="00A60840"/>
    <w:rsid w:val="00A61353"/>
    <w:rsid w:val="00A613CB"/>
    <w:rsid w:val="00A61658"/>
    <w:rsid w:val="00A620BE"/>
    <w:rsid w:val="00A6223C"/>
    <w:rsid w:val="00A62C9A"/>
    <w:rsid w:val="00A63994"/>
    <w:rsid w:val="00A6416B"/>
    <w:rsid w:val="00A64209"/>
    <w:rsid w:val="00A65023"/>
    <w:rsid w:val="00A65EBC"/>
    <w:rsid w:val="00A66872"/>
    <w:rsid w:val="00A67543"/>
    <w:rsid w:val="00A67DA8"/>
    <w:rsid w:val="00A70BC9"/>
    <w:rsid w:val="00A7122E"/>
    <w:rsid w:val="00A7215B"/>
    <w:rsid w:val="00A729A2"/>
    <w:rsid w:val="00A729E9"/>
    <w:rsid w:val="00A72A66"/>
    <w:rsid w:val="00A72EAD"/>
    <w:rsid w:val="00A72ECC"/>
    <w:rsid w:val="00A72FED"/>
    <w:rsid w:val="00A73C67"/>
    <w:rsid w:val="00A74225"/>
    <w:rsid w:val="00A74710"/>
    <w:rsid w:val="00A74E8C"/>
    <w:rsid w:val="00A74E90"/>
    <w:rsid w:val="00A74FD7"/>
    <w:rsid w:val="00A75510"/>
    <w:rsid w:val="00A7593B"/>
    <w:rsid w:val="00A760E7"/>
    <w:rsid w:val="00A76103"/>
    <w:rsid w:val="00A766F4"/>
    <w:rsid w:val="00A77162"/>
    <w:rsid w:val="00A776F6"/>
    <w:rsid w:val="00A77A5A"/>
    <w:rsid w:val="00A808F0"/>
    <w:rsid w:val="00A8103F"/>
    <w:rsid w:val="00A81166"/>
    <w:rsid w:val="00A82B66"/>
    <w:rsid w:val="00A83EBA"/>
    <w:rsid w:val="00A842B4"/>
    <w:rsid w:val="00A843BD"/>
    <w:rsid w:val="00A84FF7"/>
    <w:rsid w:val="00A85064"/>
    <w:rsid w:val="00A85364"/>
    <w:rsid w:val="00A8541D"/>
    <w:rsid w:val="00A85781"/>
    <w:rsid w:val="00A85B0A"/>
    <w:rsid w:val="00A86BDB"/>
    <w:rsid w:val="00A86CE1"/>
    <w:rsid w:val="00A87468"/>
    <w:rsid w:val="00A87BE1"/>
    <w:rsid w:val="00A9082C"/>
    <w:rsid w:val="00A90838"/>
    <w:rsid w:val="00A90D68"/>
    <w:rsid w:val="00A911A4"/>
    <w:rsid w:val="00A9222E"/>
    <w:rsid w:val="00A9282E"/>
    <w:rsid w:val="00A939DC"/>
    <w:rsid w:val="00A93A4B"/>
    <w:rsid w:val="00A93D67"/>
    <w:rsid w:val="00A95567"/>
    <w:rsid w:val="00A95F43"/>
    <w:rsid w:val="00A9684A"/>
    <w:rsid w:val="00A96F7E"/>
    <w:rsid w:val="00A9731D"/>
    <w:rsid w:val="00A97C23"/>
    <w:rsid w:val="00A97FD2"/>
    <w:rsid w:val="00AA0097"/>
    <w:rsid w:val="00AA090D"/>
    <w:rsid w:val="00AA173A"/>
    <w:rsid w:val="00AA1937"/>
    <w:rsid w:val="00AA1A4F"/>
    <w:rsid w:val="00AA1C22"/>
    <w:rsid w:val="00AA1F67"/>
    <w:rsid w:val="00AA267F"/>
    <w:rsid w:val="00AA2C7E"/>
    <w:rsid w:val="00AA3353"/>
    <w:rsid w:val="00AA36F5"/>
    <w:rsid w:val="00AA3845"/>
    <w:rsid w:val="00AA4919"/>
    <w:rsid w:val="00AA5366"/>
    <w:rsid w:val="00AA541F"/>
    <w:rsid w:val="00AA59B0"/>
    <w:rsid w:val="00AA60DD"/>
    <w:rsid w:val="00AB037B"/>
    <w:rsid w:val="00AB05C2"/>
    <w:rsid w:val="00AB0EB2"/>
    <w:rsid w:val="00AB0F3A"/>
    <w:rsid w:val="00AB0F47"/>
    <w:rsid w:val="00AB0F9B"/>
    <w:rsid w:val="00AB10A2"/>
    <w:rsid w:val="00AB18A3"/>
    <w:rsid w:val="00AB2A5E"/>
    <w:rsid w:val="00AB2B6D"/>
    <w:rsid w:val="00AB3807"/>
    <w:rsid w:val="00AB3C2D"/>
    <w:rsid w:val="00AB3F1B"/>
    <w:rsid w:val="00AB4542"/>
    <w:rsid w:val="00AB4984"/>
    <w:rsid w:val="00AB4C03"/>
    <w:rsid w:val="00AB5125"/>
    <w:rsid w:val="00AB5525"/>
    <w:rsid w:val="00AB60BB"/>
    <w:rsid w:val="00AB638F"/>
    <w:rsid w:val="00AB64E3"/>
    <w:rsid w:val="00AB6657"/>
    <w:rsid w:val="00AB6A83"/>
    <w:rsid w:val="00AB6C28"/>
    <w:rsid w:val="00AC00A0"/>
    <w:rsid w:val="00AC153D"/>
    <w:rsid w:val="00AC1815"/>
    <w:rsid w:val="00AC1850"/>
    <w:rsid w:val="00AC1A29"/>
    <w:rsid w:val="00AC2365"/>
    <w:rsid w:val="00AC3B33"/>
    <w:rsid w:val="00AC3C32"/>
    <w:rsid w:val="00AC482D"/>
    <w:rsid w:val="00AC4B06"/>
    <w:rsid w:val="00AC4F6F"/>
    <w:rsid w:val="00AC50D3"/>
    <w:rsid w:val="00AC56C9"/>
    <w:rsid w:val="00AC5999"/>
    <w:rsid w:val="00AC5E72"/>
    <w:rsid w:val="00AC64FF"/>
    <w:rsid w:val="00AC7278"/>
    <w:rsid w:val="00AC7673"/>
    <w:rsid w:val="00AC7DF3"/>
    <w:rsid w:val="00AD09DA"/>
    <w:rsid w:val="00AD0C48"/>
    <w:rsid w:val="00AD0E4F"/>
    <w:rsid w:val="00AD1CB3"/>
    <w:rsid w:val="00AD21D3"/>
    <w:rsid w:val="00AD2983"/>
    <w:rsid w:val="00AD2CD1"/>
    <w:rsid w:val="00AD325C"/>
    <w:rsid w:val="00AD34B2"/>
    <w:rsid w:val="00AD4CEB"/>
    <w:rsid w:val="00AD50BE"/>
    <w:rsid w:val="00AD59D4"/>
    <w:rsid w:val="00AD62D1"/>
    <w:rsid w:val="00AD63BB"/>
    <w:rsid w:val="00AD73D4"/>
    <w:rsid w:val="00AE0981"/>
    <w:rsid w:val="00AE0F22"/>
    <w:rsid w:val="00AE120A"/>
    <w:rsid w:val="00AE14FB"/>
    <w:rsid w:val="00AE1A8A"/>
    <w:rsid w:val="00AE2497"/>
    <w:rsid w:val="00AE252F"/>
    <w:rsid w:val="00AE2B3D"/>
    <w:rsid w:val="00AE3593"/>
    <w:rsid w:val="00AE4105"/>
    <w:rsid w:val="00AE45B9"/>
    <w:rsid w:val="00AE51C7"/>
    <w:rsid w:val="00AE5470"/>
    <w:rsid w:val="00AE5475"/>
    <w:rsid w:val="00AE56EE"/>
    <w:rsid w:val="00AE5A63"/>
    <w:rsid w:val="00AE5D6F"/>
    <w:rsid w:val="00AE6D71"/>
    <w:rsid w:val="00AE7512"/>
    <w:rsid w:val="00AE7929"/>
    <w:rsid w:val="00AF0B43"/>
    <w:rsid w:val="00AF144C"/>
    <w:rsid w:val="00AF2B7F"/>
    <w:rsid w:val="00AF2BDF"/>
    <w:rsid w:val="00AF3736"/>
    <w:rsid w:val="00AF393B"/>
    <w:rsid w:val="00AF4504"/>
    <w:rsid w:val="00AF4674"/>
    <w:rsid w:val="00AF4914"/>
    <w:rsid w:val="00AF5B6B"/>
    <w:rsid w:val="00AF5B76"/>
    <w:rsid w:val="00AF724D"/>
    <w:rsid w:val="00AF72AA"/>
    <w:rsid w:val="00AF73EF"/>
    <w:rsid w:val="00AF775E"/>
    <w:rsid w:val="00AF7B67"/>
    <w:rsid w:val="00B00635"/>
    <w:rsid w:val="00B027C6"/>
    <w:rsid w:val="00B03802"/>
    <w:rsid w:val="00B04C47"/>
    <w:rsid w:val="00B050CB"/>
    <w:rsid w:val="00B065A4"/>
    <w:rsid w:val="00B06A3E"/>
    <w:rsid w:val="00B06E05"/>
    <w:rsid w:val="00B07131"/>
    <w:rsid w:val="00B076A2"/>
    <w:rsid w:val="00B10140"/>
    <w:rsid w:val="00B10756"/>
    <w:rsid w:val="00B11B31"/>
    <w:rsid w:val="00B12180"/>
    <w:rsid w:val="00B1234C"/>
    <w:rsid w:val="00B132BD"/>
    <w:rsid w:val="00B154DC"/>
    <w:rsid w:val="00B16DEA"/>
    <w:rsid w:val="00B16EB4"/>
    <w:rsid w:val="00B17C24"/>
    <w:rsid w:val="00B202AF"/>
    <w:rsid w:val="00B203E1"/>
    <w:rsid w:val="00B205F0"/>
    <w:rsid w:val="00B21B65"/>
    <w:rsid w:val="00B22363"/>
    <w:rsid w:val="00B22C42"/>
    <w:rsid w:val="00B2329E"/>
    <w:rsid w:val="00B23600"/>
    <w:rsid w:val="00B23A23"/>
    <w:rsid w:val="00B23B60"/>
    <w:rsid w:val="00B23E3A"/>
    <w:rsid w:val="00B24948"/>
    <w:rsid w:val="00B2498B"/>
    <w:rsid w:val="00B24DDB"/>
    <w:rsid w:val="00B25287"/>
    <w:rsid w:val="00B25E81"/>
    <w:rsid w:val="00B26649"/>
    <w:rsid w:val="00B26925"/>
    <w:rsid w:val="00B26B7F"/>
    <w:rsid w:val="00B26C46"/>
    <w:rsid w:val="00B27A1C"/>
    <w:rsid w:val="00B304E2"/>
    <w:rsid w:val="00B309B4"/>
    <w:rsid w:val="00B31AA8"/>
    <w:rsid w:val="00B31CAA"/>
    <w:rsid w:val="00B3267F"/>
    <w:rsid w:val="00B32924"/>
    <w:rsid w:val="00B337B2"/>
    <w:rsid w:val="00B33DA1"/>
    <w:rsid w:val="00B34260"/>
    <w:rsid w:val="00B3459F"/>
    <w:rsid w:val="00B35C7F"/>
    <w:rsid w:val="00B35EFE"/>
    <w:rsid w:val="00B36227"/>
    <w:rsid w:val="00B3696E"/>
    <w:rsid w:val="00B40A37"/>
    <w:rsid w:val="00B4153F"/>
    <w:rsid w:val="00B419ED"/>
    <w:rsid w:val="00B42113"/>
    <w:rsid w:val="00B42131"/>
    <w:rsid w:val="00B429C0"/>
    <w:rsid w:val="00B42BB8"/>
    <w:rsid w:val="00B43244"/>
    <w:rsid w:val="00B438DB"/>
    <w:rsid w:val="00B4446E"/>
    <w:rsid w:val="00B444EF"/>
    <w:rsid w:val="00B446E8"/>
    <w:rsid w:val="00B44C23"/>
    <w:rsid w:val="00B44D72"/>
    <w:rsid w:val="00B44EC8"/>
    <w:rsid w:val="00B45500"/>
    <w:rsid w:val="00B45C9D"/>
    <w:rsid w:val="00B4669A"/>
    <w:rsid w:val="00B46C0B"/>
    <w:rsid w:val="00B47267"/>
    <w:rsid w:val="00B50BA7"/>
    <w:rsid w:val="00B50CEE"/>
    <w:rsid w:val="00B515CA"/>
    <w:rsid w:val="00B515F1"/>
    <w:rsid w:val="00B518DF"/>
    <w:rsid w:val="00B51B35"/>
    <w:rsid w:val="00B5226E"/>
    <w:rsid w:val="00B525ED"/>
    <w:rsid w:val="00B53B3A"/>
    <w:rsid w:val="00B53E20"/>
    <w:rsid w:val="00B54214"/>
    <w:rsid w:val="00B55076"/>
    <w:rsid w:val="00B551F1"/>
    <w:rsid w:val="00B55276"/>
    <w:rsid w:val="00B578E7"/>
    <w:rsid w:val="00B60087"/>
    <w:rsid w:val="00B60A98"/>
    <w:rsid w:val="00B60CE9"/>
    <w:rsid w:val="00B60EAA"/>
    <w:rsid w:val="00B60FB9"/>
    <w:rsid w:val="00B61874"/>
    <w:rsid w:val="00B63743"/>
    <w:rsid w:val="00B63B26"/>
    <w:rsid w:val="00B64AA3"/>
    <w:rsid w:val="00B64BE5"/>
    <w:rsid w:val="00B64D94"/>
    <w:rsid w:val="00B65B2A"/>
    <w:rsid w:val="00B66D19"/>
    <w:rsid w:val="00B6706B"/>
    <w:rsid w:val="00B67A3D"/>
    <w:rsid w:val="00B67D03"/>
    <w:rsid w:val="00B70138"/>
    <w:rsid w:val="00B709DD"/>
    <w:rsid w:val="00B715A5"/>
    <w:rsid w:val="00B7239B"/>
    <w:rsid w:val="00B72FDB"/>
    <w:rsid w:val="00B76754"/>
    <w:rsid w:val="00B776B2"/>
    <w:rsid w:val="00B77E2B"/>
    <w:rsid w:val="00B803E2"/>
    <w:rsid w:val="00B81314"/>
    <w:rsid w:val="00B8153D"/>
    <w:rsid w:val="00B81BE4"/>
    <w:rsid w:val="00B81D2E"/>
    <w:rsid w:val="00B82CED"/>
    <w:rsid w:val="00B82EA6"/>
    <w:rsid w:val="00B8319D"/>
    <w:rsid w:val="00B83356"/>
    <w:rsid w:val="00B8339C"/>
    <w:rsid w:val="00B838B8"/>
    <w:rsid w:val="00B839B8"/>
    <w:rsid w:val="00B83ABA"/>
    <w:rsid w:val="00B83B34"/>
    <w:rsid w:val="00B83B7E"/>
    <w:rsid w:val="00B83E26"/>
    <w:rsid w:val="00B8412A"/>
    <w:rsid w:val="00B85388"/>
    <w:rsid w:val="00B85F90"/>
    <w:rsid w:val="00B86322"/>
    <w:rsid w:val="00B8760D"/>
    <w:rsid w:val="00B87AD9"/>
    <w:rsid w:val="00B91880"/>
    <w:rsid w:val="00B918B2"/>
    <w:rsid w:val="00B91FCE"/>
    <w:rsid w:val="00B9214C"/>
    <w:rsid w:val="00B9274B"/>
    <w:rsid w:val="00B929A3"/>
    <w:rsid w:val="00B93560"/>
    <w:rsid w:val="00B938AF"/>
    <w:rsid w:val="00B940CB"/>
    <w:rsid w:val="00B9453B"/>
    <w:rsid w:val="00B9544C"/>
    <w:rsid w:val="00B95F19"/>
    <w:rsid w:val="00B96F2A"/>
    <w:rsid w:val="00B975A7"/>
    <w:rsid w:val="00B97FE1"/>
    <w:rsid w:val="00BA02A3"/>
    <w:rsid w:val="00BA0F23"/>
    <w:rsid w:val="00BA0FC9"/>
    <w:rsid w:val="00BA163C"/>
    <w:rsid w:val="00BA2133"/>
    <w:rsid w:val="00BA22A2"/>
    <w:rsid w:val="00BA22CE"/>
    <w:rsid w:val="00BA45F5"/>
    <w:rsid w:val="00BA4BE9"/>
    <w:rsid w:val="00BA5373"/>
    <w:rsid w:val="00BA55E6"/>
    <w:rsid w:val="00BA560A"/>
    <w:rsid w:val="00BA626F"/>
    <w:rsid w:val="00BA6E15"/>
    <w:rsid w:val="00BA6E9D"/>
    <w:rsid w:val="00BA6F7A"/>
    <w:rsid w:val="00BA703C"/>
    <w:rsid w:val="00BA77A6"/>
    <w:rsid w:val="00BA78E3"/>
    <w:rsid w:val="00BA796F"/>
    <w:rsid w:val="00BA7F09"/>
    <w:rsid w:val="00BB0036"/>
    <w:rsid w:val="00BB064D"/>
    <w:rsid w:val="00BB0B29"/>
    <w:rsid w:val="00BB18CE"/>
    <w:rsid w:val="00BB1D66"/>
    <w:rsid w:val="00BB254F"/>
    <w:rsid w:val="00BB2A88"/>
    <w:rsid w:val="00BB4ADE"/>
    <w:rsid w:val="00BB5271"/>
    <w:rsid w:val="00BB52C1"/>
    <w:rsid w:val="00BB52F9"/>
    <w:rsid w:val="00BB5EC7"/>
    <w:rsid w:val="00BB67BA"/>
    <w:rsid w:val="00BB7523"/>
    <w:rsid w:val="00BC1D6D"/>
    <w:rsid w:val="00BC2650"/>
    <w:rsid w:val="00BC274B"/>
    <w:rsid w:val="00BC4076"/>
    <w:rsid w:val="00BC4853"/>
    <w:rsid w:val="00BC4857"/>
    <w:rsid w:val="00BC4984"/>
    <w:rsid w:val="00BC612D"/>
    <w:rsid w:val="00BC62A4"/>
    <w:rsid w:val="00BC69AD"/>
    <w:rsid w:val="00BC69C2"/>
    <w:rsid w:val="00BC6BEE"/>
    <w:rsid w:val="00BC6E90"/>
    <w:rsid w:val="00BC70CF"/>
    <w:rsid w:val="00BC7100"/>
    <w:rsid w:val="00BC7419"/>
    <w:rsid w:val="00BD0683"/>
    <w:rsid w:val="00BD0BBB"/>
    <w:rsid w:val="00BD0F2E"/>
    <w:rsid w:val="00BD12B5"/>
    <w:rsid w:val="00BD2B81"/>
    <w:rsid w:val="00BD36C4"/>
    <w:rsid w:val="00BD414F"/>
    <w:rsid w:val="00BD4363"/>
    <w:rsid w:val="00BD54AA"/>
    <w:rsid w:val="00BD5B1D"/>
    <w:rsid w:val="00BD5D12"/>
    <w:rsid w:val="00BD607B"/>
    <w:rsid w:val="00BD61A1"/>
    <w:rsid w:val="00BD67D2"/>
    <w:rsid w:val="00BD7C96"/>
    <w:rsid w:val="00BE00CA"/>
    <w:rsid w:val="00BE04F8"/>
    <w:rsid w:val="00BE065A"/>
    <w:rsid w:val="00BE082C"/>
    <w:rsid w:val="00BE0FBD"/>
    <w:rsid w:val="00BE271F"/>
    <w:rsid w:val="00BE2B71"/>
    <w:rsid w:val="00BE3145"/>
    <w:rsid w:val="00BE3EBE"/>
    <w:rsid w:val="00BE410C"/>
    <w:rsid w:val="00BE49CC"/>
    <w:rsid w:val="00BE4AB9"/>
    <w:rsid w:val="00BE4DDB"/>
    <w:rsid w:val="00BE5797"/>
    <w:rsid w:val="00BE59C0"/>
    <w:rsid w:val="00BE59E1"/>
    <w:rsid w:val="00BE5A59"/>
    <w:rsid w:val="00BE5AD5"/>
    <w:rsid w:val="00BE5EA6"/>
    <w:rsid w:val="00BE6BA2"/>
    <w:rsid w:val="00BE6FCE"/>
    <w:rsid w:val="00BE7828"/>
    <w:rsid w:val="00BF02E5"/>
    <w:rsid w:val="00BF038E"/>
    <w:rsid w:val="00BF08AE"/>
    <w:rsid w:val="00BF0950"/>
    <w:rsid w:val="00BF0A76"/>
    <w:rsid w:val="00BF13BD"/>
    <w:rsid w:val="00BF1E79"/>
    <w:rsid w:val="00BF1ED6"/>
    <w:rsid w:val="00BF2ED3"/>
    <w:rsid w:val="00BF3679"/>
    <w:rsid w:val="00BF377D"/>
    <w:rsid w:val="00BF3CE1"/>
    <w:rsid w:val="00BF4236"/>
    <w:rsid w:val="00BF4372"/>
    <w:rsid w:val="00BF480D"/>
    <w:rsid w:val="00BF4D04"/>
    <w:rsid w:val="00BF4F44"/>
    <w:rsid w:val="00BF54FE"/>
    <w:rsid w:val="00BF581A"/>
    <w:rsid w:val="00BF698B"/>
    <w:rsid w:val="00BF6C54"/>
    <w:rsid w:val="00BF75E7"/>
    <w:rsid w:val="00BF7833"/>
    <w:rsid w:val="00BF789E"/>
    <w:rsid w:val="00BF7BC4"/>
    <w:rsid w:val="00C00ACD"/>
    <w:rsid w:val="00C00B52"/>
    <w:rsid w:val="00C00B96"/>
    <w:rsid w:val="00C00E7F"/>
    <w:rsid w:val="00C02570"/>
    <w:rsid w:val="00C02AED"/>
    <w:rsid w:val="00C0391D"/>
    <w:rsid w:val="00C03BA3"/>
    <w:rsid w:val="00C03C81"/>
    <w:rsid w:val="00C043F8"/>
    <w:rsid w:val="00C045B5"/>
    <w:rsid w:val="00C04DBA"/>
    <w:rsid w:val="00C05F5D"/>
    <w:rsid w:val="00C06232"/>
    <w:rsid w:val="00C0627F"/>
    <w:rsid w:val="00C063E0"/>
    <w:rsid w:val="00C063EF"/>
    <w:rsid w:val="00C071C5"/>
    <w:rsid w:val="00C075D0"/>
    <w:rsid w:val="00C10AA9"/>
    <w:rsid w:val="00C1301C"/>
    <w:rsid w:val="00C13623"/>
    <w:rsid w:val="00C13C9C"/>
    <w:rsid w:val="00C15032"/>
    <w:rsid w:val="00C15337"/>
    <w:rsid w:val="00C16189"/>
    <w:rsid w:val="00C16C09"/>
    <w:rsid w:val="00C171D6"/>
    <w:rsid w:val="00C17941"/>
    <w:rsid w:val="00C17F48"/>
    <w:rsid w:val="00C17F55"/>
    <w:rsid w:val="00C201D0"/>
    <w:rsid w:val="00C209BC"/>
    <w:rsid w:val="00C20F52"/>
    <w:rsid w:val="00C2196F"/>
    <w:rsid w:val="00C21F0C"/>
    <w:rsid w:val="00C2200D"/>
    <w:rsid w:val="00C23DD4"/>
    <w:rsid w:val="00C24103"/>
    <w:rsid w:val="00C24AE7"/>
    <w:rsid w:val="00C24F15"/>
    <w:rsid w:val="00C2644B"/>
    <w:rsid w:val="00C264BE"/>
    <w:rsid w:val="00C26C0F"/>
    <w:rsid w:val="00C273D9"/>
    <w:rsid w:val="00C3043A"/>
    <w:rsid w:val="00C30D2C"/>
    <w:rsid w:val="00C313C0"/>
    <w:rsid w:val="00C32B2E"/>
    <w:rsid w:val="00C33050"/>
    <w:rsid w:val="00C33F68"/>
    <w:rsid w:val="00C3455F"/>
    <w:rsid w:val="00C34F15"/>
    <w:rsid w:val="00C3530F"/>
    <w:rsid w:val="00C35B56"/>
    <w:rsid w:val="00C36081"/>
    <w:rsid w:val="00C3618F"/>
    <w:rsid w:val="00C36354"/>
    <w:rsid w:val="00C369AC"/>
    <w:rsid w:val="00C40751"/>
    <w:rsid w:val="00C40ACA"/>
    <w:rsid w:val="00C40CF6"/>
    <w:rsid w:val="00C4136A"/>
    <w:rsid w:val="00C41E83"/>
    <w:rsid w:val="00C42595"/>
    <w:rsid w:val="00C42914"/>
    <w:rsid w:val="00C42BEA"/>
    <w:rsid w:val="00C43008"/>
    <w:rsid w:val="00C43674"/>
    <w:rsid w:val="00C44ECF"/>
    <w:rsid w:val="00C451B8"/>
    <w:rsid w:val="00C459C1"/>
    <w:rsid w:val="00C4798E"/>
    <w:rsid w:val="00C47A11"/>
    <w:rsid w:val="00C47B60"/>
    <w:rsid w:val="00C47FEA"/>
    <w:rsid w:val="00C50575"/>
    <w:rsid w:val="00C51149"/>
    <w:rsid w:val="00C513B1"/>
    <w:rsid w:val="00C517E6"/>
    <w:rsid w:val="00C51B43"/>
    <w:rsid w:val="00C51CB1"/>
    <w:rsid w:val="00C52162"/>
    <w:rsid w:val="00C53068"/>
    <w:rsid w:val="00C5313B"/>
    <w:rsid w:val="00C53A23"/>
    <w:rsid w:val="00C53B79"/>
    <w:rsid w:val="00C53E15"/>
    <w:rsid w:val="00C547B2"/>
    <w:rsid w:val="00C54A30"/>
    <w:rsid w:val="00C55606"/>
    <w:rsid w:val="00C55F1A"/>
    <w:rsid w:val="00C562E8"/>
    <w:rsid w:val="00C5665C"/>
    <w:rsid w:val="00C56ACF"/>
    <w:rsid w:val="00C56DD8"/>
    <w:rsid w:val="00C570A6"/>
    <w:rsid w:val="00C6059E"/>
    <w:rsid w:val="00C6073D"/>
    <w:rsid w:val="00C6077E"/>
    <w:rsid w:val="00C60C3B"/>
    <w:rsid w:val="00C60EA1"/>
    <w:rsid w:val="00C61758"/>
    <w:rsid w:val="00C61960"/>
    <w:rsid w:val="00C622D8"/>
    <w:rsid w:val="00C6288A"/>
    <w:rsid w:val="00C62926"/>
    <w:rsid w:val="00C62E1C"/>
    <w:rsid w:val="00C62FFA"/>
    <w:rsid w:val="00C63972"/>
    <w:rsid w:val="00C64BFE"/>
    <w:rsid w:val="00C65D07"/>
    <w:rsid w:val="00C65FDC"/>
    <w:rsid w:val="00C67EB4"/>
    <w:rsid w:val="00C7019F"/>
    <w:rsid w:val="00C704D4"/>
    <w:rsid w:val="00C70FC4"/>
    <w:rsid w:val="00C72DC8"/>
    <w:rsid w:val="00C742A6"/>
    <w:rsid w:val="00C75683"/>
    <w:rsid w:val="00C75805"/>
    <w:rsid w:val="00C75F22"/>
    <w:rsid w:val="00C765D7"/>
    <w:rsid w:val="00C76886"/>
    <w:rsid w:val="00C774C0"/>
    <w:rsid w:val="00C775E3"/>
    <w:rsid w:val="00C80C0A"/>
    <w:rsid w:val="00C816BD"/>
    <w:rsid w:val="00C819CD"/>
    <w:rsid w:val="00C81AFE"/>
    <w:rsid w:val="00C81C9C"/>
    <w:rsid w:val="00C8235E"/>
    <w:rsid w:val="00C823F0"/>
    <w:rsid w:val="00C8272D"/>
    <w:rsid w:val="00C82DA1"/>
    <w:rsid w:val="00C8309E"/>
    <w:rsid w:val="00C8348D"/>
    <w:rsid w:val="00C83BC0"/>
    <w:rsid w:val="00C83C9F"/>
    <w:rsid w:val="00C83F0C"/>
    <w:rsid w:val="00C84F2F"/>
    <w:rsid w:val="00C86095"/>
    <w:rsid w:val="00C86470"/>
    <w:rsid w:val="00C86CEF"/>
    <w:rsid w:val="00C86D8B"/>
    <w:rsid w:val="00C90058"/>
    <w:rsid w:val="00C905C2"/>
    <w:rsid w:val="00C90C1A"/>
    <w:rsid w:val="00C90F00"/>
    <w:rsid w:val="00C91374"/>
    <w:rsid w:val="00C9164F"/>
    <w:rsid w:val="00C91D10"/>
    <w:rsid w:val="00C91F7C"/>
    <w:rsid w:val="00C92D85"/>
    <w:rsid w:val="00C930A4"/>
    <w:rsid w:val="00C93134"/>
    <w:rsid w:val="00C937E3"/>
    <w:rsid w:val="00C93B86"/>
    <w:rsid w:val="00C94C3C"/>
    <w:rsid w:val="00C955A4"/>
    <w:rsid w:val="00C95647"/>
    <w:rsid w:val="00C966FA"/>
    <w:rsid w:val="00C97226"/>
    <w:rsid w:val="00C97C02"/>
    <w:rsid w:val="00C97C7E"/>
    <w:rsid w:val="00C97C8A"/>
    <w:rsid w:val="00C97E4B"/>
    <w:rsid w:val="00CA0986"/>
    <w:rsid w:val="00CA0CEA"/>
    <w:rsid w:val="00CA1D70"/>
    <w:rsid w:val="00CA2880"/>
    <w:rsid w:val="00CA336A"/>
    <w:rsid w:val="00CA3599"/>
    <w:rsid w:val="00CA362B"/>
    <w:rsid w:val="00CA365C"/>
    <w:rsid w:val="00CA3A91"/>
    <w:rsid w:val="00CA4329"/>
    <w:rsid w:val="00CA5123"/>
    <w:rsid w:val="00CA560E"/>
    <w:rsid w:val="00CA60D7"/>
    <w:rsid w:val="00CA6384"/>
    <w:rsid w:val="00CA74FD"/>
    <w:rsid w:val="00CA7A3F"/>
    <w:rsid w:val="00CB034B"/>
    <w:rsid w:val="00CB0535"/>
    <w:rsid w:val="00CB09E4"/>
    <w:rsid w:val="00CB0D13"/>
    <w:rsid w:val="00CB1ED3"/>
    <w:rsid w:val="00CB2861"/>
    <w:rsid w:val="00CB4D7B"/>
    <w:rsid w:val="00CB50AE"/>
    <w:rsid w:val="00CB63FC"/>
    <w:rsid w:val="00CB746E"/>
    <w:rsid w:val="00CB76AF"/>
    <w:rsid w:val="00CB7E88"/>
    <w:rsid w:val="00CB7F94"/>
    <w:rsid w:val="00CC028D"/>
    <w:rsid w:val="00CC1957"/>
    <w:rsid w:val="00CC2759"/>
    <w:rsid w:val="00CC29A5"/>
    <w:rsid w:val="00CC2E22"/>
    <w:rsid w:val="00CC3300"/>
    <w:rsid w:val="00CC41D2"/>
    <w:rsid w:val="00CC4F74"/>
    <w:rsid w:val="00CC50A0"/>
    <w:rsid w:val="00CC576D"/>
    <w:rsid w:val="00CC67E7"/>
    <w:rsid w:val="00CC68A3"/>
    <w:rsid w:val="00CD01BD"/>
    <w:rsid w:val="00CD08CB"/>
    <w:rsid w:val="00CD160D"/>
    <w:rsid w:val="00CD18A3"/>
    <w:rsid w:val="00CD240F"/>
    <w:rsid w:val="00CD27F5"/>
    <w:rsid w:val="00CD3056"/>
    <w:rsid w:val="00CD3706"/>
    <w:rsid w:val="00CD3952"/>
    <w:rsid w:val="00CD395C"/>
    <w:rsid w:val="00CD5306"/>
    <w:rsid w:val="00CD5875"/>
    <w:rsid w:val="00CD6E6B"/>
    <w:rsid w:val="00CE05E7"/>
    <w:rsid w:val="00CE09B9"/>
    <w:rsid w:val="00CE0CF3"/>
    <w:rsid w:val="00CE1391"/>
    <w:rsid w:val="00CE16CB"/>
    <w:rsid w:val="00CE1F2E"/>
    <w:rsid w:val="00CE2CFA"/>
    <w:rsid w:val="00CE3816"/>
    <w:rsid w:val="00CE3B8C"/>
    <w:rsid w:val="00CE4CC1"/>
    <w:rsid w:val="00CE545C"/>
    <w:rsid w:val="00CE5A77"/>
    <w:rsid w:val="00CE622E"/>
    <w:rsid w:val="00CE62AD"/>
    <w:rsid w:val="00CE636F"/>
    <w:rsid w:val="00CE63F9"/>
    <w:rsid w:val="00CE6994"/>
    <w:rsid w:val="00CE6A97"/>
    <w:rsid w:val="00CE7955"/>
    <w:rsid w:val="00CF007B"/>
    <w:rsid w:val="00CF01D8"/>
    <w:rsid w:val="00CF01EB"/>
    <w:rsid w:val="00CF0528"/>
    <w:rsid w:val="00CF0E8C"/>
    <w:rsid w:val="00CF0EEF"/>
    <w:rsid w:val="00CF107F"/>
    <w:rsid w:val="00CF111F"/>
    <w:rsid w:val="00CF16B1"/>
    <w:rsid w:val="00CF17F4"/>
    <w:rsid w:val="00CF2122"/>
    <w:rsid w:val="00CF226F"/>
    <w:rsid w:val="00CF251D"/>
    <w:rsid w:val="00CF253D"/>
    <w:rsid w:val="00CF255A"/>
    <w:rsid w:val="00CF3758"/>
    <w:rsid w:val="00CF3780"/>
    <w:rsid w:val="00CF3E55"/>
    <w:rsid w:val="00CF40E2"/>
    <w:rsid w:val="00CF50DF"/>
    <w:rsid w:val="00CF5424"/>
    <w:rsid w:val="00CF57A0"/>
    <w:rsid w:val="00CF607A"/>
    <w:rsid w:val="00CF70C1"/>
    <w:rsid w:val="00CF7EE1"/>
    <w:rsid w:val="00D000F5"/>
    <w:rsid w:val="00D012B0"/>
    <w:rsid w:val="00D01A18"/>
    <w:rsid w:val="00D02299"/>
    <w:rsid w:val="00D029C9"/>
    <w:rsid w:val="00D02A7B"/>
    <w:rsid w:val="00D0324E"/>
    <w:rsid w:val="00D03ACA"/>
    <w:rsid w:val="00D03D44"/>
    <w:rsid w:val="00D04FFD"/>
    <w:rsid w:val="00D052BB"/>
    <w:rsid w:val="00D054BE"/>
    <w:rsid w:val="00D05525"/>
    <w:rsid w:val="00D0583D"/>
    <w:rsid w:val="00D05BBF"/>
    <w:rsid w:val="00D06DAB"/>
    <w:rsid w:val="00D0729B"/>
    <w:rsid w:val="00D10D0B"/>
    <w:rsid w:val="00D113F5"/>
    <w:rsid w:val="00D12F2F"/>
    <w:rsid w:val="00D13322"/>
    <w:rsid w:val="00D13337"/>
    <w:rsid w:val="00D134F2"/>
    <w:rsid w:val="00D1383D"/>
    <w:rsid w:val="00D1429B"/>
    <w:rsid w:val="00D158FB"/>
    <w:rsid w:val="00D15A4B"/>
    <w:rsid w:val="00D15C8C"/>
    <w:rsid w:val="00D16C92"/>
    <w:rsid w:val="00D16DCF"/>
    <w:rsid w:val="00D172B0"/>
    <w:rsid w:val="00D20200"/>
    <w:rsid w:val="00D20D4B"/>
    <w:rsid w:val="00D2195E"/>
    <w:rsid w:val="00D22133"/>
    <w:rsid w:val="00D2276D"/>
    <w:rsid w:val="00D2294D"/>
    <w:rsid w:val="00D2307B"/>
    <w:rsid w:val="00D23943"/>
    <w:rsid w:val="00D23DF3"/>
    <w:rsid w:val="00D24075"/>
    <w:rsid w:val="00D243AC"/>
    <w:rsid w:val="00D24C30"/>
    <w:rsid w:val="00D25E73"/>
    <w:rsid w:val="00D25F88"/>
    <w:rsid w:val="00D26474"/>
    <w:rsid w:val="00D26E92"/>
    <w:rsid w:val="00D27963"/>
    <w:rsid w:val="00D312B0"/>
    <w:rsid w:val="00D31775"/>
    <w:rsid w:val="00D3280E"/>
    <w:rsid w:val="00D32CEB"/>
    <w:rsid w:val="00D337D5"/>
    <w:rsid w:val="00D33CB3"/>
    <w:rsid w:val="00D33D6F"/>
    <w:rsid w:val="00D3501D"/>
    <w:rsid w:val="00D35FB5"/>
    <w:rsid w:val="00D367D0"/>
    <w:rsid w:val="00D369F9"/>
    <w:rsid w:val="00D3739B"/>
    <w:rsid w:val="00D37B0B"/>
    <w:rsid w:val="00D4029B"/>
    <w:rsid w:val="00D40A40"/>
    <w:rsid w:val="00D40DAE"/>
    <w:rsid w:val="00D413E1"/>
    <w:rsid w:val="00D4184A"/>
    <w:rsid w:val="00D41C51"/>
    <w:rsid w:val="00D41E7E"/>
    <w:rsid w:val="00D41FE7"/>
    <w:rsid w:val="00D426DF"/>
    <w:rsid w:val="00D445CE"/>
    <w:rsid w:val="00D44BF7"/>
    <w:rsid w:val="00D452EB"/>
    <w:rsid w:val="00D457E9"/>
    <w:rsid w:val="00D45BF3"/>
    <w:rsid w:val="00D46A3A"/>
    <w:rsid w:val="00D46E07"/>
    <w:rsid w:val="00D47DCF"/>
    <w:rsid w:val="00D47EE6"/>
    <w:rsid w:val="00D508A4"/>
    <w:rsid w:val="00D514B2"/>
    <w:rsid w:val="00D51695"/>
    <w:rsid w:val="00D52E17"/>
    <w:rsid w:val="00D53D94"/>
    <w:rsid w:val="00D54207"/>
    <w:rsid w:val="00D54EB1"/>
    <w:rsid w:val="00D54EF2"/>
    <w:rsid w:val="00D55082"/>
    <w:rsid w:val="00D555D3"/>
    <w:rsid w:val="00D56B6F"/>
    <w:rsid w:val="00D57A95"/>
    <w:rsid w:val="00D6150D"/>
    <w:rsid w:val="00D61C5F"/>
    <w:rsid w:val="00D630DA"/>
    <w:rsid w:val="00D63FA4"/>
    <w:rsid w:val="00D64C83"/>
    <w:rsid w:val="00D64D35"/>
    <w:rsid w:val="00D65BEA"/>
    <w:rsid w:val="00D65C09"/>
    <w:rsid w:val="00D66AD7"/>
    <w:rsid w:val="00D66C60"/>
    <w:rsid w:val="00D67228"/>
    <w:rsid w:val="00D678DA"/>
    <w:rsid w:val="00D70196"/>
    <w:rsid w:val="00D71BE1"/>
    <w:rsid w:val="00D72B50"/>
    <w:rsid w:val="00D732B1"/>
    <w:rsid w:val="00D73649"/>
    <w:rsid w:val="00D736F6"/>
    <w:rsid w:val="00D736F7"/>
    <w:rsid w:val="00D747CE"/>
    <w:rsid w:val="00D756F8"/>
    <w:rsid w:val="00D7642D"/>
    <w:rsid w:val="00D76605"/>
    <w:rsid w:val="00D80732"/>
    <w:rsid w:val="00D80843"/>
    <w:rsid w:val="00D80958"/>
    <w:rsid w:val="00D80D17"/>
    <w:rsid w:val="00D815D8"/>
    <w:rsid w:val="00D81844"/>
    <w:rsid w:val="00D82B70"/>
    <w:rsid w:val="00D83059"/>
    <w:rsid w:val="00D83DA4"/>
    <w:rsid w:val="00D83E5E"/>
    <w:rsid w:val="00D843C1"/>
    <w:rsid w:val="00D84477"/>
    <w:rsid w:val="00D85518"/>
    <w:rsid w:val="00D861F3"/>
    <w:rsid w:val="00D8636B"/>
    <w:rsid w:val="00D868D7"/>
    <w:rsid w:val="00D87628"/>
    <w:rsid w:val="00D87D41"/>
    <w:rsid w:val="00D87F56"/>
    <w:rsid w:val="00D87F8C"/>
    <w:rsid w:val="00D9078B"/>
    <w:rsid w:val="00D915F9"/>
    <w:rsid w:val="00D91FD2"/>
    <w:rsid w:val="00D9232D"/>
    <w:rsid w:val="00D923C5"/>
    <w:rsid w:val="00D92746"/>
    <w:rsid w:val="00D92930"/>
    <w:rsid w:val="00D92B52"/>
    <w:rsid w:val="00D933A0"/>
    <w:rsid w:val="00D93D9F"/>
    <w:rsid w:val="00D9417B"/>
    <w:rsid w:val="00D9514A"/>
    <w:rsid w:val="00D95475"/>
    <w:rsid w:val="00D95E98"/>
    <w:rsid w:val="00D97A88"/>
    <w:rsid w:val="00D97D4C"/>
    <w:rsid w:val="00D97E4B"/>
    <w:rsid w:val="00DA1C21"/>
    <w:rsid w:val="00DA3990"/>
    <w:rsid w:val="00DA3EB3"/>
    <w:rsid w:val="00DA401E"/>
    <w:rsid w:val="00DA4173"/>
    <w:rsid w:val="00DA471E"/>
    <w:rsid w:val="00DA5B7A"/>
    <w:rsid w:val="00DA6CC1"/>
    <w:rsid w:val="00DA6F8A"/>
    <w:rsid w:val="00DA743C"/>
    <w:rsid w:val="00DA7D52"/>
    <w:rsid w:val="00DB118D"/>
    <w:rsid w:val="00DB2C2F"/>
    <w:rsid w:val="00DB2E1F"/>
    <w:rsid w:val="00DB39E7"/>
    <w:rsid w:val="00DB3C8B"/>
    <w:rsid w:val="00DB3DED"/>
    <w:rsid w:val="00DB4339"/>
    <w:rsid w:val="00DB4403"/>
    <w:rsid w:val="00DB46F3"/>
    <w:rsid w:val="00DB4771"/>
    <w:rsid w:val="00DB5454"/>
    <w:rsid w:val="00DB5720"/>
    <w:rsid w:val="00DB6F0A"/>
    <w:rsid w:val="00DB71C8"/>
    <w:rsid w:val="00DB7BAA"/>
    <w:rsid w:val="00DB7E25"/>
    <w:rsid w:val="00DC1006"/>
    <w:rsid w:val="00DC21D5"/>
    <w:rsid w:val="00DC2537"/>
    <w:rsid w:val="00DC272A"/>
    <w:rsid w:val="00DC2E03"/>
    <w:rsid w:val="00DC2EFE"/>
    <w:rsid w:val="00DC3382"/>
    <w:rsid w:val="00DC3B55"/>
    <w:rsid w:val="00DC3EC4"/>
    <w:rsid w:val="00DC4DBA"/>
    <w:rsid w:val="00DC5010"/>
    <w:rsid w:val="00DC6B0C"/>
    <w:rsid w:val="00DC7432"/>
    <w:rsid w:val="00DC746B"/>
    <w:rsid w:val="00DD0AB1"/>
    <w:rsid w:val="00DD0AEC"/>
    <w:rsid w:val="00DD15C8"/>
    <w:rsid w:val="00DD4515"/>
    <w:rsid w:val="00DD567C"/>
    <w:rsid w:val="00DD579D"/>
    <w:rsid w:val="00DD5A18"/>
    <w:rsid w:val="00DD7AA5"/>
    <w:rsid w:val="00DE0067"/>
    <w:rsid w:val="00DE05FF"/>
    <w:rsid w:val="00DE063A"/>
    <w:rsid w:val="00DE06FF"/>
    <w:rsid w:val="00DE14FC"/>
    <w:rsid w:val="00DE15CE"/>
    <w:rsid w:val="00DE1C3D"/>
    <w:rsid w:val="00DE3C07"/>
    <w:rsid w:val="00DE4CC8"/>
    <w:rsid w:val="00DE659B"/>
    <w:rsid w:val="00DE7F35"/>
    <w:rsid w:val="00DF0B7A"/>
    <w:rsid w:val="00DF0E8E"/>
    <w:rsid w:val="00DF1434"/>
    <w:rsid w:val="00DF14CD"/>
    <w:rsid w:val="00DF2104"/>
    <w:rsid w:val="00DF26AE"/>
    <w:rsid w:val="00DF2DEB"/>
    <w:rsid w:val="00DF311F"/>
    <w:rsid w:val="00DF3466"/>
    <w:rsid w:val="00DF367C"/>
    <w:rsid w:val="00DF5766"/>
    <w:rsid w:val="00DF5D6B"/>
    <w:rsid w:val="00DF6228"/>
    <w:rsid w:val="00E00083"/>
    <w:rsid w:val="00E0131C"/>
    <w:rsid w:val="00E013FC"/>
    <w:rsid w:val="00E014F3"/>
    <w:rsid w:val="00E01C6E"/>
    <w:rsid w:val="00E0241A"/>
    <w:rsid w:val="00E0298E"/>
    <w:rsid w:val="00E03400"/>
    <w:rsid w:val="00E036A2"/>
    <w:rsid w:val="00E0385A"/>
    <w:rsid w:val="00E038AA"/>
    <w:rsid w:val="00E03F58"/>
    <w:rsid w:val="00E042DE"/>
    <w:rsid w:val="00E043FA"/>
    <w:rsid w:val="00E0473D"/>
    <w:rsid w:val="00E047D5"/>
    <w:rsid w:val="00E063B1"/>
    <w:rsid w:val="00E06516"/>
    <w:rsid w:val="00E067CE"/>
    <w:rsid w:val="00E06AAB"/>
    <w:rsid w:val="00E07706"/>
    <w:rsid w:val="00E07BC6"/>
    <w:rsid w:val="00E07E2D"/>
    <w:rsid w:val="00E10372"/>
    <w:rsid w:val="00E11F5D"/>
    <w:rsid w:val="00E1238A"/>
    <w:rsid w:val="00E12DBB"/>
    <w:rsid w:val="00E13A16"/>
    <w:rsid w:val="00E15826"/>
    <w:rsid w:val="00E15B8F"/>
    <w:rsid w:val="00E165D6"/>
    <w:rsid w:val="00E16B76"/>
    <w:rsid w:val="00E170EA"/>
    <w:rsid w:val="00E171AC"/>
    <w:rsid w:val="00E17662"/>
    <w:rsid w:val="00E1783A"/>
    <w:rsid w:val="00E2066A"/>
    <w:rsid w:val="00E20C40"/>
    <w:rsid w:val="00E20FCA"/>
    <w:rsid w:val="00E210BF"/>
    <w:rsid w:val="00E212A6"/>
    <w:rsid w:val="00E212B3"/>
    <w:rsid w:val="00E225EB"/>
    <w:rsid w:val="00E22C07"/>
    <w:rsid w:val="00E23580"/>
    <w:rsid w:val="00E23C7B"/>
    <w:rsid w:val="00E242FE"/>
    <w:rsid w:val="00E24522"/>
    <w:rsid w:val="00E24B68"/>
    <w:rsid w:val="00E24E2A"/>
    <w:rsid w:val="00E2562C"/>
    <w:rsid w:val="00E257FB"/>
    <w:rsid w:val="00E2628D"/>
    <w:rsid w:val="00E2731D"/>
    <w:rsid w:val="00E27791"/>
    <w:rsid w:val="00E300CF"/>
    <w:rsid w:val="00E30AB5"/>
    <w:rsid w:val="00E30E36"/>
    <w:rsid w:val="00E31250"/>
    <w:rsid w:val="00E312AB"/>
    <w:rsid w:val="00E31F36"/>
    <w:rsid w:val="00E325AD"/>
    <w:rsid w:val="00E32849"/>
    <w:rsid w:val="00E33BC7"/>
    <w:rsid w:val="00E33BFF"/>
    <w:rsid w:val="00E35025"/>
    <w:rsid w:val="00E35454"/>
    <w:rsid w:val="00E35725"/>
    <w:rsid w:val="00E35C19"/>
    <w:rsid w:val="00E35C61"/>
    <w:rsid w:val="00E378EB"/>
    <w:rsid w:val="00E37F99"/>
    <w:rsid w:val="00E401F6"/>
    <w:rsid w:val="00E40445"/>
    <w:rsid w:val="00E410E7"/>
    <w:rsid w:val="00E41133"/>
    <w:rsid w:val="00E412F1"/>
    <w:rsid w:val="00E42005"/>
    <w:rsid w:val="00E426FB"/>
    <w:rsid w:val="00E42D53"/>
    <w:rsid w:val="00E432FD"/>
    <w:rsid w:val="00E43CDE"/>
    <w:rsid w:val="00E43D4F"/>
    <w:rsid w:val="00E44C0A"/>
    <w:rsid w:val="00E45267"/>
    <w:rsid w:val="00E45497"/>
    <w:rsid w:val="00E459E5"/>
    <w:rsid w:val="00E46544"/>
    <w:rsid w:val="00E473C9"/>
    <w:rsid w:val="00E47A49"/>
    <w:rsid w:val="00E52342"/>
    <w:rsid w:val="00E52BF1"/>
    <w:rsid w:val="00E54011"/>
    <w:rsid w:val="00E5480D"/>
    <w:rsid w:val="00E54DA3"/>
    <w:rsid w:val="00E54F99"/>
    <w:rsid w:val="00E54FB8"/>
    <w:rsid w:val="00E561BB"/>
    <w:rsid w:val="00E576D5"/>
    <w:rsid w:val="00E578AD"/>
    <w:rsid w:val="00E60A23"/>
    <w:rsid w:val="00E60E7B"/>
    <w:rsid w:val="00E6198F"/>
    <w:rsid w:val="00E62375"/>
    <w:rsid w:val="00E62639"/>
    <w:rsid w:val="00E62BDD"/>
    <w:rsid w:val="00E63133"/>
    <w:rsid w:val="00E63A9B"/>
    <w:rsid w:val="00E645B5"/>
    <w:rsid w:val="00E64B5A"/>
    <w:rsid w:val="00E64BDC"/>
    <w:rsid w:val="00E65D30"/>
    <w:rsid w:val="00E6650C"/>
    <w:rsid w:val="00E66844"/>
    <w:rsid w:val="00E66B28"/>
    <w:rsid w:val="00E66EE9"/>
    <w:rsid w:val="00E67946"/>
    <w:rsid w:val="00E67C58"/>
    <w:rsid w:val="00E67E67"/>
    <w:rsid w:val="00E67F6E"/>
    <w:rsid w:val="00E67F8D"/>
    <w:rsid w:val="00E705BC"/>
    <w:rsid w:val="00E70B65"/>
    <w:rsid w:val="00E716F4"/>
    <w:rsid w:val="00E71A1F"/>
    <w:rsid w:val="00E71D82"/>
    <w:rsid w:val="00E72886"/>
    <w:rsid w:val="00E729C6"/>
    <w:rsid w:val="00E73F00"/>
    <w:rsid w:val="00E7459D"/>
    <w:rsid w:val="00E748DC"/>
    <w:rsid w:val="00E753DF"/>
    <w:rsid w:val="00E763E8"/>
    <w:rsid w:val="00E768E7"/>
    <w:rsid w:val="00E76DC6"/>
    <w:rsid w:val="00E77353"/>
    <w:rsid w:val="00E776A0"/>
    <w:rsid w:val="00E801A0"/>
    <w:rsid w:val="00E8052F"/>
    <w:rsid w:val="00E8120E"/>
    <w:rsid w:val="00E81324"/>
    <w:rsid w:val="00E8135A"/>
    <w:rsid w:val="00E81929"/>
    <w:rsid w:val="00E819A6"/>
    <w:rsid w:val="00E82980"/>
    <w:rsid w:val="00E82D8D"/>
    <w:rsid w:val="00E82ED4"/>
    <w:rsid w:val="00E83506"/>
    <w:rsid w:val="00E83808"/>
    <w:rsid w:val="00E8399A"/>
    <w:rsid w:val="00E84EF6"/>
    <w:rsid w:val="00E86766"/>
    <w:rsid w:val="00E86AB6"/>
    <w:rsid w:val="00E86C55"/>
    <w:rsid w:val="00E90AFB"/>
    <w:rsid w:val="00E91349"/>
    <w:rsid w:val="00E914B5"/>
    <w:rsid w:val="00E9301F"/>
    <w:rsid w:val="00E932D0"/>
    <w:rsid w:val="00E9371E"/>
    <w:rsid w:val="00E939E3"/>
    <w:rsid w:val="00E93B15"/>
    <w:rsid w:val="00E95C66"/>
    <w:rsid w:val="00E95E1F"/>
    <w:rsid w:val="00E9608B"/>
    <w:rsid w:val="00E96B92"/>
    <w:rsid w:val="00E96C39"/>
    <w:rsid w:val="00E97133"/>
    <w:rsid w:val="00E97A08"/>
    <w:rsid w:val="00E97B24"/>
    <w:rsid w:val="00E97B55"/>
    <w:rsid w:val="00E97C73"/>
    <w:rsid w:val="00EA19F2"/>
    <w:rsid w:val="00EA2633"/>
    <w:rsid w:val="00EA2D49"/>
    <w:rsid w:val="00EA5933"/>
    <w:rsid w:val="00EA5E12"/>
    <w:rsid w:val="00EA5F6D"/>
    <w:rsid w:val="00EA6096"/>
    <w:rsid w:val="00EA6B36"/>
    <w:rsid w:val="00EA7941"/>
    <w:rsid w:val="00EB0048"/>
    <w:rsid w:val="00EB0179"/>
    <w:rsid w:val="00EB01CC"/>
    <w:rsid w:val="00EB0C88"/>
    <w:rsid w:val="00EB0F7E"/>
    <w:rsid w:val="00EB1233"/>
    <w:rsid w:val="00EB1725"/>
    <w:rsid w:val="00EB18D4"/>
    <w:rsid w:val="00EB1A28"/>
    <w:rsid w:val="00EB1CBF"/>
    <w:rsid w:val="00EB1F6A"/>
    <w:rsid w:val="00EB2FB2"/>
    <w:rsid w:val="00EB3642"/>
    <w:rsid w:val="00EB3BE4"/>
    <w:rsid w:val="00EB3CD9"/>
    <w:rsid w:val="00EB4A41"/>
    <w:rsid w:val="00EB5F8A"/>
    <w:rsid w:val="00EB64F8"/>
    <w:rsid w:val="00EB6606"/>
    <w:rsid w:val="00EB77CC"/>
    <w:rsid w:val="00EB7E18"/>
    <w:rsid w:val="00EB7EF4"/>
    <w:rsid w:val="00EC035C"/>
    <w:rsid w:val="00EC19E3"/>
    <w:rsid w:val="00EC20D2"/>
    <w:rsid w:val="00EC26F2"/>
    <w:rsid w:val="00EC288B"/>
    <w:rsid w:val="00EC2B4A"/>
    <w:rsid w:val="00EC30C8"/>
    <w:rsid w:val="00EC3751"/>
    <w:rsid w:val="00EC4173"/>
    <w:rsid w:val="00EC4A74"/>
    <w:rsid w:val="00EC5003"/>
    <w:rsid w:val="00EC5078"/>
    <w:rsid w:val="00EC50AE"/>
    <w:rsid w:val="00EC5198"/>
    <w:rsid w:val="00EC6695"/>
    <w:rsid w:val="00EC758B"/>
    <w:rsid w:val="00EC784C"/>
    <w:rsid w:val="00ED007A"/>
    <w:rsid w:val="00ED037E"/>
    <w:rsid w:val="00ED09F8"/>
    <w:rsid w:val="00ED0A75"/>
    <w:rsid w:val="00ED101D"/>
    <w:rsid w:val="00ED114C"/>
    <w:rsid w:val="00ED2901"/>
    <w:rsid w:val="00ED2B6F"/>
    <w:rsid w:val="00ED30D8"/>
    <w:rsid w:val="00ED43EB"/>
    <w:rsid w:val="00ED52B1"/>
    <w:rsid w:val="00ED63C8"/>
    <w:rsid w:val="00ED6ED7"/>
    <w:rsid w:val="00ED7562"/>
    <w:rsid w:val="00ED76D2"/>
    <w:rsid w:val="00EE02CD"/>
    <w:rsid w:val="00EE04FC"/>
    <w:rsid w:val="00EE16F1"/>
    <w:rsid w:val="00EE1C96"/>
    <w:rsid w:val="00EE1D08"/>
    <w:rsid w:val="00EE2C75"/>
    <w:rsid w:val="00EE3327"/>
    <w:rsid w:val="00EE3F4F"/>
    <w:rsid w:val="00EE5C25"/>
    <w:rsid w:val="00EE75F6"/>
    <w:rsid w:val="00EE78C2"/>
    <w:rsid w:val="00EE79CE"/>
    <w:rsid w:val="00EE7B72"/>
    <w:rsid w:val="00EE7C2C"/>
    <w:rsid w:val="00EE7D36"/>
    <w:rsid w:val="00EF0438"/>
    <w:rsid w:val="00EF07F5"/>
    <w:rsid w:val="00EF0D5E"/>
    <w:rsid w:val="00EF1399"/>
    <w:rsid w:val="00EF1961"/>
    <w:rsid w:val="00EF3D5A"/>
    <w:rsid w:val="00EF46CC"/>
    <w:rsid w:val="00EF4955"/>
    <w:rsid w:val="00EF667D"/>
    <w:rsid w:val="00EF69E9"/>
    <w:rsid w:val="00EF7CC3"/>
    <w:rsid w:val="00F005C7"/>
    <w:rsid w:val="00F010BE"/>
    <w:rsid w:val="00F01153"/>
    <w:rsid w:val="00F01782"/>
    <w:rsid w:val="00F02377"/>
    <w:rsid w:val="00F031D7"/>
    <w:rsid w:val="00F034BE"/>
    <w:rsid w:val="00F049EE"/>
    <w:rsid w:val="00F0622C"/>
    <w:rsid w:val="00F06A93"/>
    <w:rsid w:val="00F06BF0"/>
    <w:rsid w:val="00F07765"/>
    <w:rsid w:val="00F10067"/>
    <w:rsid w:val="00F101F4"/>
    <w:rsid w:val="00F10643"/>
    <w:rsid w:val="00F10914"/>
    <w:rsid w:val="00F1159D"/>
    <w:rsid w:val="00F11680"/>
    <w:rsid w:val="00F11CFC"/>
    <w:rsid w:val="00F12DB6"/>
    <w:rsid w:val="00F12EFE"/>
    <w:rsid w:val="00F130B1"/>
    <w:rsid w:val="00F147E1"/>
    <w:rsid w:val="00F153B4"/>
    <w:rsid w:val="00F1583D"/>
    <w:rsid w:val="00F166A2"/>
    <w:rsid w:val="00F169A2"/>
    <w:rsid w:val="00F1760E"/>
    <w:rsid w:val="00F212DE"/>
    <w:rsid w:val="00F21E4A"/>
    <w:rsid w:val="00F2232E"/>
    <w:rsid w:val="00F2285B"/>
    <w:rsid w:val="00F2315D"/>
    <w:rsid w:val="00F2356C"/>
    <w:rsid w:val="00F23BBF"/>
    <w:rsid w:val="00F2415B"/>
    <w:rsid w:val="00F250F1"/>
    <w:rsid w:val="00F254E7"/>
    <w:rsid w:val="00F25FD1"/>
    <w:rsid w:val="00F2619F"/>
    <w:rsid w:val="00F261DB"/>
    <w:rsid w:val="00F2693C"/>
    <w:rsid w:val="00F272E8"/>
    <w:rsid w:val="00F30546"/>
    <w:rsid w:val="00F31AA7"/>
    <w:rsid w:val="00F323BA"/>
    <w:rsid w:val="00F32A9F"/>
    <w:rsid w:val="00F32E91"/>
    <w:rsid w:val="00F32F8E"/>
    <w:rsid w:val="00F334B3"/>
    <w:rsid w:val="00F3396F"/>
    <w:rsid w:val="00F34180"/>
    <w:rsid w:val="00F3485A"/>
    <w:rsid w:val="00F35CFA"/>
    <w:rsid w:val="00F35DDE"/>
    <w:rsid w:val="00F37225"/>
    <w:rsid w:val="00F37507"/>
    <w:rsid w:val="00F375C1"/>
    <w:rsid w:val="00F377D2"/>
    <w:rsid w:val="00F40579"/>
    <w:rsid w:val="00F40D35"/>
    <w:rsid w:val="00F40DF0"/>
    <w:rsid w:val="00F416DB"/>
    <w:rsid w:val="00F4294B"/>
    <w:rsid w:val="00F42AC7"/>
    <w:rsid w:val="00F439F9"/>
    <w:rsid w:val="00F43A1D"/>
    <w:rsid w:val="00F43FDE"/>
    <w:rsid w:val="00F44464"/>
    <w:rsid w:val="00F44D7F"/>
    <w:rsid w:val="00F45366"/>
    <w:rsid w:val="00F45957"/>
    <w:rsid w:val="00F46254"/>
    <w:rsid w:val="00F463F2"/>
    <w:rsid w:val="00F46FE8"/>
    <w:rsid w:val="00F472AD"/>
    <w:rsid w:val="00F50CB8"/>
    <w:rsid w:val="00F51438"/>
    <w:rsid w:val="00F520F2"/>
    <w:rsid w:val="00F529AC"/>
    <w:rsid w:val="00F52E24"/>
    <w:rsid w:val="00F5349F"/>
    <w:rsid w:val="00F5491A"/>
    <w:rsid w:val="00F54E80"/>
    <w:rsid w:val="00F54FE5"/>
    <w:rsid w:val="00F55192"/>
    <w:rsid w:val="00F5548D"/>
    <w:rsid w:val="00F55B92"/>
    <w:rsid w:val="00F55F2B"/>
    <w:rsid w:val="00F5602F"/>
    <w:rsid w:val="00F5618F"/>
    <w:rsid w:val="00F56467"/>
    <w:rsid w:val="00F56617"/>
    <w:rsid w:val="00F567E9"/>
    <w:rsid w:val="00F56D52"/>
    <w:rsid w:val="00F573CE"/>
    <w:rsid w:val="00F5795C"/>
    <w:rsid w:val="00F57DD5"/>
    <w:rsid w:val="00F600A7"/>
    <w:rsid w:val="00F60102"/>
    <w:rsid w:val="00F61663"/>
    <w:rsid w:val="00F617CE"/>
    <w:rsid w:val="00F62482"/>
    <w:rsid w:val="00F62D9E"/>
    <w:rsid w:val="00F6324B"/>
    <w:rsid w:val="00F63CA9"/>
    <w:rsid w:val="00F65044"/>
    <w:rsid w:val="00F6537E"/>
    <w:rsid w:val="00F67028"/>
    <w:rsid w:val="00F670A3"/>
    <w:rsid w:val="00F719A6"/>
    <w:rsid w:val="00F724CB"/>
    <w:rsid w:val="00F74B38"/>
    <w:rsid w:val="00F75DD7"/>
    <w:rsid w:val="00F765B0"/>
    <w:rsid w:val="00F768AF"/>
    <w:rsid w:val="00F76B8D"/>
    <w:rsid w:val="00F76F9D"/>
    <w:rsid w:val="00F7716B"/>
    <w:rsid w:val="00F774D0"/>
    <w:rsid w:val="00F803A1"/>
    <w:rsid w:val="00F8059D"/>
    <w:rsid w:val="00F805D8"/>
    <w:rsid w:val="00F80EF0"/>
    <w:rsid w:val="00F81C9C"/>
    <w:rsid w:val="00F820B5"/>
    <w:rsid w:val="00F8306F"/>
    <w:rsid w:val="00F83D28"/>
    <w:rsid w:val="00F84312"/>
    <w:rsid w:val="00F849E9"/>
    <w:rsid w:val="00F85236"/>
    <w:rsid w:val="00F86D2C"/>
    <w:rsid w:val="00F87804"/>
    <w:rsid w:val="00F87B87"/>
    <w:rsid w:val="00F9134C"/>
    <w:rsid w:val="00F91BBD"/>
    <w:rsid w:val="00F91EC5"/>
    <w:rsid w:val="00F9238D"/>
    <w:rsid w:val="00F92F6D"/>
    <w:rsid w:val="00F93243"/>
    <w:rsid w:val="00F93822"/>
    <w:rsid w:val="00F93A0D"/>
    <w:rsid w:val="00F947D5"/>
    <w:rsid w:val="00F94A49"/>
    <w:rsid w:val="00F95275"/>
    <w:rsid w:val="00F9670A"/>
    <w:rsid w:val="00F96D24"/>
    <w:rsid w:val="00F96D8C"/>
    <w:rsid w:val="00F96F7F"/>
    <w:rsid w:val="00F9780A"/>
    <w:rsid w:val="00F97B01"/>
    <w:rsid w:val="00F97F77"/>
    <w:rsid w:val="00FA0669"/>
    <w:rsid w:val="00FA0DA4"/>
    <w:rsid w:val="00FA0FC8"/>
    <w:rsid w:val="00FA1D2B"/>
    <w:rsid w:val="00FA2A35"/>
    <w:rsid w:val="00FA2BA7"/>
    <w:rsid w:val="00FA355E"/>
    <w:rsid w:val="00FA467C"/>
    <w:rsid w:val="00FA5436"/>
    <w:rsid w:val="00FA54AB"/>
    <w:rsid w:val="00FA583E"/>
    <w:rsid w:val="00FA6818"/>
    <w:rsid w:val="00FA77B6"/>
    <w:rsid w:val="00FB03C5"/>
    <w:rsid w:val="00FB06E5"/>
    <w:rsid w:val="00FB0BA3"/>
    <w:rsid w:val="00FB12E4"/>
    <w:rsid w:val="00FB26BE"/>
    <w:rsid w:val="00FB2FEF"/>
    <w:rsid w:val="00FB3088"/>
    <w:rsid w:val="00FB3F6E"/>
    <w:rsid w:val="00FB4447"/>
    <w:rsid w:val="00FB5493"/>
    <w:rsid w:val="00FB5DE9"/>
    <w:rsid w:val="00FB6133"/>
    <w:rsid w:val="00FB63A1"/>
    <w:rsid w:val="00FB68BA"/>
    <w:rsid w:val="00FB6F22"/>
    <w:rsid w:val="00FB78FB"/>
    <w:rsid w:val="00FB7B84"/>
    <w:rsid w:val="00FB7D8E"/>
    <w:rsid w:val="00FC04B5"/>
    <w:rsid w:val="00FC05B9"/>
    <w:rsid w:val="00FC08B8"/>
    <w:rsid w:val="00FC0F00"/>
    <w:rsid w:val="00FC0F41"/>
    <w:rsid w:val="00FC106D"/>
    <w:rsid w:val="00FC125A"/>
    <w:rsid w:val="00FC1CB0"/>
    <w:rsid w:val="00FC2138"/>
    <w:rsid w:val="00FC23D2"/>
    <w:rsid w:val="00FC2F5B"/>
    <w:rsid w:val="00FC3B4A"/>
    <w:rsid w:val="00FC4273"/>
    <w:rsid w:val="00FC4889"/>
    <w:rsid w:val="00FC4F48"/>
    <w:rsid w:val="00FC5B5B"/>
    <w:rsid w:val="00FC66B5"/>
    <w:rsid w:val="00FC6842"/>
    <w:rsid w:val="00FC73B8"/>
    <w:rsid w:val="00FC7575"/>
    <w:rsid w:val="00FC7F1E"/>
    <w:rsid w:val="00FD0CE5"/>
    <w:rsid w:val="00FD0DEF"/>
    <w:rsid w:val="00FD0EC5"/>
    <w:rsid w:val="00FD270A"/>
    <w:rsid w:val="00FD37C1"/>
    <w:rsid w:val="00FD472E"/>
    <w:rsid w:val="00FD4CE1"/>
    <w:rsid w:val="00FD5D35"/>
    <w:rsid w:val="00FD6183"/>
    <w:rsid w:val="00FE19EC"/>
    <w:rsid w:val="00FE1C43"/>
    <w:rsid w:val="00FE26F3"/>
    <w:rsid w:val="00FE2A42"/>
    <w:rsid w:val="00FE3D8C"/>
    <w:rsid w:val="00FE430E"/>
    <w:rsid w:val="00FE4642"/>
    <w:rsid w:val="00FE65BC"/>
    <w:rsid w:val="00FE6FDE"/>
    <w:rsid w:val="00FE7DC9"/>
    <w:rsid w:val="00FF0198"/>
    <w:rsid w:val="00FF0C52"/>
    <w:rsid w:val="00FF0DED"/>
    <w:rsid w:val="00FF1926"/>
    <w:rsid w:val="00FF2915"/>
    <w:rsid w:val="00FF330C"/>
    <w:rsid w:val="00FF5DBA"/>
    <w:rsid w:val="00FF6696"/>
    <w:rsid w:val="00FF7ADC"/>
    <w:rsid w:val="00FF7B2C"/>
    <w:rsid w:val="01230692"/>
    <w:rsid w:val="016247FA"/>
    <w:rsid w:val="01745EE6"/>
    <w:rsid w:val="018326A3"/>
    <w:rsid w:val="01A06A8F"/>
    <w:rsid w:val="01C6622B"/>
    <w:rsid w:val="01E07CD8"/>
    <w:rsid w:val="01EA671C"/>
    <w:rsid w:val="021673DB"/>
    <w:rsid w:val="022353B4"/>
    <w:rsid w:val="022A3557"/>
    <w:rsid w:val="02355837"/>
    <w:rsid w:val="023D46EC"/>
    <w:rsid w:val="02454DF6"/>
    <w:rsid w:val="024A56F5"/>
    <w:rsid w:val="026E0F2B"/>
    <w:rsid w:val="027A2F04"/>
    <w:rsid w:val="02845B9C"/>
    <w:rsid w:val="02B1196D"/>
    <w:rsid w:val="02B16C7F"/>
    <w:rsid w:val="02DD55DA"/>
    <w:rsid w:val="031E6F4C"/>
    <w:rsid w:val="03270237"/>
    <w:rsid w:val="032A676A"/>
    <w:rsid w:val="032D7D27"/>
    <w:rsid w:val="03415224"/>
    <w:rsid w:val="03B05926"/>
    <w:rsid w:val="03E32C2B"/>
    <w:rsid w:val="03E45FEA"/>
    <w:rsid w:val="03F375BC"/>
    <w:rsid w:val="041D718D"/>
    <w:rsid w:val="04340258"/>
    <w:rsid w:val="044028DB"/>
    <w:rsid w:val="044C3505"/>
    <w:rsid w:val="04551879"/>
    <w:rsid w:val="04704D33"/>
    <w:rsid w:val="047713FB"/>
    <w:rsid w:val="04AF2472"/>
    <w:rsid w:val="04C65B16"/>
    <w:rsid w:val="050634BB"/>
    <w:rsid w:val="05184748"/>
    <w:rsid w:val="053A77BB"/>
    <w:rsid w:val="055B55D2"/>
    <w:rsid w:val="057E5747"/>
    <w:rsid w:val="05B334F2"/>
    <w:rsid w:val="05DD7507"/>
    <w:rsid w:val="05FE680E"/>
    <w:rsid w:val="060824FF"/>
    <w:rsid w:val="063F11B9"/>
    <w:rsid w:val="065344DE"/>
    <w:rsid w:val="067013AC"/>
    <w:rsid w:val="06904A94"/>
    <w:rsid w:val="06A707AF"/>
    <w:rsid w:val="06B12657"/>
    <w:rsid w:val="070C0CAE"/>
    <w:rsid w:val="072C420B"/>
    <w:rsid w:val="073A28B1"/>
    <w:rsid w:val="07725961"/>
    <w:rsid w:val="07E04069"/>
    <w:rsid w:val="08101121"/>
    <w:rsid w:val="083945D9"/>
    <w:rsid w:val="085073C5"/>
    <w:rsid w:val="08A14F57"/>
    <w:rsid w:val="08B0610B"/>
    <w:rsid w:val="08EE742E"/>
    <w:rsid w:val="08F16945"/>
    <w:rsid w:val="09275B42"/>
    <w:rsid w:val="09547520"/>
    <w:rsid w:val="09697C1D"/>
    <w:rsid w:val="09CA6EA6"/>
    <w:rsid w:val="0A084A28"/>
    <w:rsid w:val="0A2B7D2A"/>
    <w:rsid w:val="0A301823"/>
    <w:rsid w:val="0A57260B"/>
    <w:rsid w:val="0A981960"/>
    <w:rsid w:val="0A9F4195"/>
    <w:rsid w:val="0AA572D2"/>
    <w:rsid w:val="0AB310E4"/>
    <w:rsid w:val="0ACC1410"/>
    <w:rsid w:val="0B083D6B"/>
    <w:rsid w:val="0B141F1A"/>
    <w:rsid w:val="0B6573F2"/>
    <w:rsid w:val="0BB958B8"/>
    <w:rsid w:val="0BBA77D6"/>
    <w:rsid w:val="0BC663BC"/>
    <w:rsid w:val="0BD537C3"/>
    <w:rsid w:val="0BD92474"/>
    <w:rsid w:val="0BFA0072"/>
    <w:rsid w:val="0C600AAB"/>
    <w:rsid w:val="0C650670"/>
    <w:rsid w:val="0C9251D0"/>
    <w:rsid w:val="0CBA51C3"/>
    <w:rsid w:val="0CFF32E5"/>
    <w:rsid w:val="0D353F17"/>
    <w:rsid w:val="0D5A60C0"/>
    <w:rsid w:val="0D6E2C3E"/>
    <w:rsid w:val="0D901494"/>
    <w:rsid w:val="0DCA115E"/>
    <w:rsid w:val="0DD30BCF"/>
    <w:rsid w:val="0E0C044D"/>
    <w:rsid w:val="0E115C8A"/>
    <w:rsid w:val="0E3505EA"/>
    <w:rsid w:val="0E3A57DB"/>
    <w:rsid w:val="0EA30700"/>
    <w:rsid w:val="0EB31142"/>
    <w:rsid w:val="0EB76134"/>
    <w:rsid w:val="0F095504"/>
    <w:rsid w:val="0F233AE0"/>
    <w:rsid w:val="0F3B2473"/>
    <w:rsid w:val="0F7640A0"/>
    <w:rsid w:val="0FA731EB"/>
    <w:rsid w:val="0FBA74F6"/>
    <w:rsid w:val="0FC3085C"/>
    <w:rsid w:val="0FE20946"/>
    <w:rsid w:val="10111F7C"/>
    <w:rsid w:val="101D5914"/>
    <w:rsid w:val="1023263D"/>
    <w:rsid w:val="104E518D"/>
    <w:rsid w:val="104F1744"/>
    <w:rsid w:val="106016F3"/>
    <w:rsid w:val="106D2640"/>
    <w:rsid w:val="107B7063"/>
    <w:rsid w:val="10861BA8"/>
    <w:rsid w:val="1094132B"/>
    <w:rsid w:val="10972E84"/>
    <w:rsid w:val="10A52D12"/>
    <w:rsid w:val="10A56E7C"/>
    <w:rsid w:val="10BC7AE9"/>
    <w:rsid w:val="10D07046"/>
    <w:rsid w:val="10EA62F6"/>
    <w:rsid w:val="11203590"/>
    <w:rsid w:val="11402F73"/>
    <w:rsid w:val="11454713"/>
    <w:rsid w:val="114F5A4E"/>
    <w:rsid w:val="11612A9E"/>
    <w:rsid w:val="119A3B84"/>
    <w:rsid w:val="11F43791"/>
    <w:rsid w:val="120E7E53"/>
    <w:rsid w:val="122551A6"/>
    <w:rsid w:val="12671F77"/>
    <w:rsid w:val="127A0FCA"/>
    <w:rsid w:val="127E4ECB"/>
    <w:rsid w:val="12AA7FB8"/>
    <w:rsid w:val="12AF64B8"/>
    <w:rsid w:val="12BD152A"/>
    <w:rsid w:val="12EF1953"/>
    <w:rsid w:val="12F67447"/>
    <w:rsid w:val="12F7166E"/>
    <w:rsid w:val="13177D05"/>
    <w:rsid w:val="131A0221"/>
    <w:rsid w:val="1331207B"/>
    <w:rsid w:val="13345654"/>
    <w:rsid w:val="1335429C"/>
    <w:rsid w:val="13405DEA"/>
    <w:rsid w:val="13540009"/>
    <w:rsid w:val="13AE71F7"/>
    <w:rsid w:val="13D61ADD"/>
    <w:rsid w:val="13F126B0"/>
    <w:rsid w:val="13F21A80"/>
    <w:rsid w:val="141D2C0B"/>
    <w:rsid w:val="144B01ED"/>
    <w:rsid w:val="146D70B2"/>
    <w:rsid w:val="14957781"/>
    <w:rsid w:val="151267F7"/>
    <w:rsid w:val="1593631A"/>
    <w:rsid w:val="15D62833"/>
    <w:rsid w:val="16103820"/>
    <w:rsid w:val="161B6B1A"/>
    <w:rsid w:val="161D3CB3"/>
    <w:rsid w:val="16263110"/>
    <w:rsid w:val="165F5905"/>
    <w:rsid w:val="16B761A1"/>
    <w:rsid w:val="1711684A"/>
    <w:rsid w:val="173516EA"/>
    <w:rsid w:val="173D7D0F"/>
    <w:rsid w:val="17965F21"/>
    <w:rsid w:val="17D404BB"/>
    <w:rsid w:val="17EC4251"/>
    <w:rsid w:val="17F13463"/>
    <w:rsid w:val="18077E0C"/>
    <w:rsid w:val="184A7024"/>
    <w:rsid w:val="187E553C"/>
    <w:rsid w:val="18D3325C"/>
    <w:rsid w:val="18E427C8"/>
    <w:rsid w:val="18E52B69"/>
    <w:rsid w:val="18F964E4"/>
    <w:rsid w:val="19167D66"/>
    <w:rsid w:val="192223EF"/>
    <w:rsid w:val="19510D51"/>
    <w:rsid w:val="19523A78"/>
    <w:rsid w:val="196F2052"/>
    <w:rsid w:val="197449B0"/>
    <w:rsid w:val="199D21E8"/>
    <w:rsid w:val="19AE7F28"/>
    <w:rsid w:val="19B6113F"/>
    <w:rsid w:val="19CA0989"/>
    <w:rsid w:val="19F40797"/>
    <w:rsid w:val="1A197394"/>
    <w:rsid w:val="1A213ABD"/>
    <w:rsid w:val="1A5E5103"/>
    <w:rsid w:val="1A617FFD"/>
    <w:rsid w:val="1A973D1B"/>
    <w:rsid w:val="1ACC7E6E"/>
    <w:rsid w:val="1ACE47AD"/>
    <w:rsid w:val="1AF71523"/>
    <w:rsid w:val="1B1A4A1C"/>
    <w:rsid w:val="1B2B13B7"/>
    <w:rsid w:val="1B38030C"/>
    <w:rsid w:val="1B3C1C8E"/>
    <w:rsid w:val="1B4A0C42"/>
    <w:rsid w:val="1B674AC7"/>
    <w:rsid w:val="1B695F6C"/>
    <w:rsid w:val="1B746B39"/>
    <w:rsid w:val="1B80541E"/>
    <w:rsid w:val="1B8A3207"/>
    <w:rsid w:val="1BC50187"/>
    <w:rsid w:val="1BCA7842"/>
    <w:rsid w:val="1BF15ECC"/>
    <w:rsid w:val="1C42696B"/>
    <w:rsid w:val="1C427144"/>
    <w:rsid w:val="1C4409AC"/>
    <w:rsid w:val="1C530BD0"/>
    <w:rsid w:val="1C6678FF"/>
    <w:rsid w:val="1C8F133C"/>
    <w:rsid w:val="1CC90CBC"/>
    <w:rsid w:val="1D094F9C"/>
    <w:rsid w:val="1D0E23E7"/>
    <w:rsid w:val="1D491EF1"/>
    <w:rsid w:val="1D661ECA"/>
    <w:rsid w:val="1D8C2345"/>
    <w:rsid w:val="1D8D7A52"/>
    <w:rsid w:val="1D9E792D"/>
    <w:rsid w:val="1DAE65F0"/>
    <w:rsid w:val="1DEF5D9F"/>
    <w:rsid w:val="1E087E4C"/>
    <w:rsid w:val="1E111767"/>
    <w:rsid w:val="1E117A37"/>
    <w:rsid w:val="1E1761DF"/>
    <w:rsid w:val="1E4E410C"/>
    <w:rsid w:val="1E720322"/>
    <w:rsid w:val="1E8B4AEE"/>
    <w:rsid w:val="1E9B24F9"/>
    <w:rsid w:val="1EB142DF"/>
    <w:rsid w:val="1EEE2B9E"/>
    <w:rsid w:val="1F035E51"/>
    <w:rsid w:val="1F411CBA"/>
    <w:rsid w:val="1F613913"/>
    <w:rsid w:val="1F656BFD"/>
    <w:rsid w:val="1F7712A0"/>
    <w:rsid w:val="1F851585"/>
    <w:rsid w:val="1F9E565E"/>
    <w:rsid w:val="1FA2333B"/>
    <w:rsid w:val="1FC57DA2"/>
    <w:rsid w:val="2023550C"/>
    <w:rsid w:val="203B4DB3"/>
    <w:rsid w:val="20415E85"/>
    <w:rsid w:val="20651786"/>
    <w:rsid w:val="208E77B9"/>
    <w:rsid w:val="20F64BEA"/>
    <w:rsid w:val="20F75FD5"/>
    <w:rsid w:val="20FB6AEC"/>
    <w:rsid w:val="2105481C"/>
    <w:rsid w:val="210E4642"/>
    <w:rsid w:val="212D216E"/>
    <w:rsid w:val="213011D5"/>
    <w:rsid w:val="214246D5"/>
    <w:rsid w:val="214A1E15"/>
    <w:rsid w:val="2150520B"/>
    <w:rsid w:val="21B45DF5"/>
    <w:rsid w:val="21E15853"/>
    <w:rsid w:val="21EF1937"/>
    <w:rsid w:val="22211C9D"/>
    <w:rsid w:val="224332AE"/>
    <w:rsid w:val="22581B32"/>
    <w:rsid w:val="22605689"/>
    <w:rsid w:val="228377FC"/>
    <w:rsid w:val="228E4DC3"/>
    <w:rsid w:val="22AA753B"/>
    <w:rsid w:val="22AD589A"/>
    <w:rsid w:val="22E044CD"/>
    <w:rsid w:val="22E449E3"/>
    <w:rsid w:val="22FB72D8"/>
    <w:rsid w:val="23245B22"/>
    <w:rsid w:val="23314333"/>
    <w:rsid w:val="23360FD0"/>
    <w:rsid w:val="234B6F64"/>
    <w:rsid w:val="23A67EEB"/>
    <w:rsid w:val="23C2673F"/>
    <w:rsid w:val="23CC6C6C"/>
    <w:rsid w:val="23EB61A9"/>
    <w:rsid w:val="240961C4"/>
    <w:rsid w:val="24105B34"/>
    <w:rsid w:val="241C157C"/>
    <w:rsid w:val="24777F0B"/>
    <w:rsid w:val="248C1CE2"/>
    <w:rsid w:val="24975E97"/>
    <w:rsid w:val="24A25B25"/>
    <w:rsid w:val="24D17B32"/>
    <w:rsid w:val="24FD13D3"/>
    <w:rsid w:val="251D07C9"/>
    <w:rsid w:val="253C2765"/>
    <w:rsid w:val="254061BE"/>
    <w:rsid w:val="25591976"/>
    <w:rsid w:val="256652B4"/>
    <w:rsid w:val="256D377B"/>
    <w:rsid w:val="256F5ACC"/>
    <w:rsid w:val="2581184D"/>
    <w:rsid w:val="25965F7C"/>
    <w:rsid w:val="25A2137E"/>
    <w:rsid w:val="25A517EF"/>
    <w:rsid w:val="25AE084C"/>
    <w:rsid w:val="25C86F7A"/>
    <w:rsid w:val="260E70E1"/>
    <w:rsid w:val="265C7521"/>
    <w:rsid w:val="26713644"/>
    <w:rsid w:val="267317D1"/>
    <w:rsid w:val="2674362D"/>
    <w:rsid w:val="268F20C6"/>
    <w:rsid w:val="26AD09C6"/>
    <w:rsid w:val="26B648E9"/>
    <w:rsid w:val="26C72B6F"/>
    <w:rsid w:val="26CA4A79"/>
    <w:rsid w:val="26DA605D"/>
    <w:rsid w:val="26EC6985"/>
    <w:rsid w:val="273A63A3"/>
    <w:rsid w:val="2749444C"/>
    <w:rsid w:val="274B573F"/>
    <w:rsid w:val="28163846"/>
    <w:rsid w:val="28197154"/>
    <w:rsid w:val="28702E1B"/>
    <w:rsid w:val="28B65382"/>
    <w:rsid w:val="28DE02D2"/>
    <w:rsid w:val="28F84B93"/>
    <w:rsid w:val="29077D29"/>
    <w:rsid w:val="2918419C"/>
    <w:rsid w:val="294616FD"/>
    <w:rsid w:val="296D5282"/>
    <w:rsid w:val="2975663E"/>
    <w:rsid w:val="299906C5"/>
    <w:rsid w:val="29AB330F"/>
    <w:rsid w:val="29AC5FBF"/>
    <w:rsid w:val="29C1213D"/>
    <w:rsid w:val="29F8157A"/>
    <w:rsid w:val="2A1E335D"/>
    <w:rsid w:val="2A2D4793"/>
    <w:rsid w:val="2A387EA8"/>
    <w:rsid w:val="2A524FDF"/>
    <w:rsid w:val="2A5A6FCA"/>
    <w:rsid w:val="2A5E62F1"/>
    <w:rsid w:val="2A753158"/>
    <w:rsid w:val="2A7757D4"/>
    <w:rsid w:val="2A8248BD"/>
    <w:rsid w:val="2A965B0A"/>
    <w:rsid w:val="2AA25464"/>
    <w:rsid w:val="2AAC37FB"/>
    <w:rsid w:val="2ADB2BD5"/>
    <w:rsid w:val="2B5B534A"/>
    <w:rsid w:val="2B5C4850"/>
    <w:rsid w:val="2B5E7F74"/>
    <w:rsid w:val="2B8D103E"/>
    <w:rsid w:val="2BA519D8"/>
    <w:rsid w:val="2BA8442D"/>
    <w:rsid w:val="2BB331A5"/>
    <w:rsid w:val="2BBD0859"/>
    <w:rsid w:val="2BD66EFA"/>
    <w:rsid w:val="2C250B14"/>
    <w:rsid w:val="2C3B5405"/>
    <w:rsid w:val="2C4B2FA5"/>
    <w:rsid w:val="2C4C35F9"/>
    <w:rsid w:val="2C59031C"/>
    <w:rsid w:val="2C5907E9"/>
    <w:rsid w:val="2C650E64"/>
    <w:rsid w:val="2C6579B8"/>
    <w:rsid w:val="2C7557AC"/>
    <w:rsid w:val="2C9579DE"/>
    <w:rsid w:val="2CD56F5D"/>
    <w:rsid w:val="2CEB2B84"/>
    <w:rsid w:val="2CF00EAC"/>
    <w:rsid w:val="2D052E51"/>
    <w:rsid w:val="2D110AD0"/>
    <w:rsid w:val="2D132836"/>
    <w:rsid w:val="2DAC19F5"/>
    <w:rsid w:val="2DBA2920"/>
    <w:rsid w:val="2DCD4511"/>
    <w:rsid w:val="2DE03CE6"/>
    <w:rsid w:val="2E0470F3"/>
    <w:rsid w:val="2E0D253C"/>
    <w:rsid w:val="2E383EF0"/>
    <w:rsid w:val="2E3D151E"/>
    <w:rsid w:val="2E486DD2"/>
    <w:rsid w:val="2E57306B"/>
    <w:rsid w:val="2EB84F76"/>
    <w:rsid w:val="2F13529B"/>
    <w:rsid w:val="2F1B7500"/>
    <w:rsid w:val="2F223BEB"/>
    <w:rsid w:val="2F281B1D"/>
    <w:rsid w:val="2F4C544D"/>
    <w:rsid w:val="2F7067E6"/>
    <w:rsid w:val="2F757199"/>
    <w:rsid w:val="2F885A73"/>
    <w:rsid w:val="2F8922A1"/>
    <w:rsid w:val="2F986270"/>
    <w:rsid w:val="2F9E546E"/>
    <w:rsid w:val="2FDF791C"/>
    <w:rsid w:val="2FE34720"/>
    <w:rsid w:val="2FE673CB"/>
    <w:rsid w:val="2FE9521D"/>
    <w:rsid w:val="2FEA60CD"/>
    <w:rsid w:val="30341FA2"/>
    <w:rsid w:val="303E25B2"/>
    <w:rsid w:val="305409DE"/>
    <w:rsid w:val="30622136"/>
    <w:rsid w:val="307E7C38"/>
    <w:rsid w:val="3106378E"/>
    <w:rsid w:val="311F308B"/>
    <w:rsid w:val="312E2219"/>
    <w:rsid w:val="313A6AE8"/>
    <w:rsid w:val="3153124A"/>
    <w:rsid w:val="31EF1640"/>
    <w:rsid w:val="321C5403"/>
    <w:rsid w:val="321F5EE6"/>
    <w:rsid w:val="32244DFC"/>
    <w:rsid w:val="32E22E40"/>
    <w:rsid w:val="33280090"/>
    <w:rsid w:val="334249CD"/>
    <w:rsid w:val="33500898"/>
    <w:rsid w:val="336C5755"/>
    <w:rsid w:val="3393189F"/>
    <w:rsid w:val="33982369"/>
    <w:rsid w:val="33A201DA"/>
    <w:rsid w:val="33A32A64"/>
    <w:rsid w:val="33D1015A"/>
    <w:rsid w:val="33D25DFC"/>
    <w:rsid w:val="33D463AE"/>
    <w:rsid w:val="33E5680D"/>
    <w:rsid w:val="340C045A"/>
    <w:rsid w:val="341713D1"/>
    <w:rsid w:val="342B3CB6"/>
    <w:rsid w:val="346B5F4A"/>
    <w:rsid w:val="346D28AC"/>
    <w:rsid w:val="348E0C53"/>
    <w:rsid w:val="34986757"/>
    <w:rsid w:val="34C834CB"/>
    <w:rsid w:val="34DA2504"/>
    <w:rsid w:val="34DF211F"/>
    <w:rsid w:val="34FC0882"/>
    <w:rsid w:val="35154E98"/>
    <w:rsid w:val="35186016"/>
    <w:rsid w:val="35245E9E"/>
    <w:rsid w:val="35305866"/>
    <w:rsid w:val="35374E83"/>
    <w:rsid w:val="356A2A1B"/>
    <w:rsid w:val="35B01E4A"/>
    <w:rsid w:val="35EF1676"/>
    <w:rsid w:val="35F673E0"/>
    <w:rsid w:val="361E2AC3"/>
    <w:rsid w:val="36334054"/>
    <w:rsid w:val="36496066"/>
    <w:rsid w:val="36C2714B"/>
    <w:rsid w:val="36D33548"/>
    <w:rsid w:val="36EA2872"/>
    <w:rsid w:val="36F50F7A"/>
    <w:rsid w:val="37021DBA"/>
    <w:rsid w:val="3706590B"/>
    <w:rsid w:val="371A057C"/>
    <w:rsid w:val="37905BEB"/>
    <w:rsid w:val="37A72A6C"/>
    <w:rsid w:val="37B55A13"/>
    <w:rsid w:val="37D44F73"/>
    <w:rsid w:val="37E178FA"/>
    <w:rsid w:val="384842B3"/>
    <w:rsid w:val="3851621F"/>
    <w:rsid w:val="38556DEE"/>
    <w:rsid w:val="388E70B3"/>
    <w:rsid w:val="38CF612C"/>
    <w:rsid w:val="38E5008F"/>
    <w:rsid w:val="38F60B75"/>
    <w:rsid w:val="39072D82"/>
    <w:rsid w:val="39532B95"/>
    <w:rsid w:val="39986745"/>
    <w:rsid w:val="39F61A05"/>
    <w:rsid w:val="3A033549"/>
    <w:rsid w:val="3A2D21AE"/>
    <w:rsid w:val="3A41153E"/>
    <w:rsid w:val="3A476958"/>
    <w:rsid w:val="3A584CFA"/>
    <w:rsid w:val="3A5E004A"/>
    <w:rsid w:val="3A6409FF"/>
    <w:rsid w:val="3A8031AA"/>
    <w:rsid w:val="3A9D283C"/>
    <w:rsid w:val="3AA24F6A"/>
    <w:rsid w:val="3AED0349"/>
    <w:rsid w:val="3B027B15"/>
    <w:rsid w:val="3B146EA0"/>
    <w:rsid w:val="3B1C7208"/>
    <w:rsid w:val="3B26064F"/>
    <w:rsid w:val="3B494E31"/>
    <w:rsid w:val="3BA73982"/>
    <w:rsid w:val="3BB47D76"/>
    <w:rsid w:val="3BCA3D2B"/>
    <w:rsid w:val="3BDD3D31"/>
    <w:rsid w:val="3C00599E"/>
    <w:rsid w:val="3C0C24D0"/>
    <w:rsid w:val="3C2329DE"/>
    <w:rsid w:val="3C256763"/>
    <w:rsid w:val="3C387C13"/>
    <w:rsid w:val="3C3C148C"/>
    <w:rsid w:val="3C4165AB"/>
    <w:rsid w:val="3C566D4D"/>
    <w:rsid w:val="3CCF53D7"/>
    <w:rsid w:val="3CD41EFC"/>
    <w:rsid w:val="3CF51FB8"/>
    <w:rsid w:val="3D1F45F0"/>
    <w:rsid w:val="3D676C4F"/>
    <w:rsid w:val="3D6D42D8"/>
    <w:rsid w:val="3D82706F"/>
    <w:rsid w:val="3D9764AF"/>
    <w:rsid w:val="3DCD5673"/>
    <w:rsid w:val="3DDC6D05"/>
    <w:rsid w:val="3DEB3817"/>
    <w:rsid w:val="3E01510C"/>
    <w:rsid w:val="3E0E4519"/>
    <w:rsid w:val="3E342D63"/>
    <w:rsid w:val="3E6E6B8D"/>
    <w:rsid w:val="3ECD1262"/>
    <w:rsid w:val="3F216D3E"/>
    <w:rsid w:val="3F69603F"/>
    <w:rsid w:val="3F6C2CC0"/>
    <w:rsid w:val="3F95227B"/>
    <w:rsid w:val="3FD95300"/>
    <w:rsid w:val="3FE8458F"/>
    <w:rsid w:val="3FE93DFA"/>
    <w:rsid w:val="3FFE5BAA"/>
    <w:rsid w:val="400224F5"/>
    <w:rsid w:val="40254ACF"/>
    <w:rsid w:val="406A7E41"/>
    <w:rsid w:val="407767B1"/>
    <w:rsid w:val="4081166C"/>
    <w:rsid w:val="40DC1DD0"/>
    <w:rsid w:val="40EB305C"/>
    <w:rsid w:val="40FA2DBD"/>
    <w:rsid w:val="4137798B"/>
    <w:rsid w:val="413C07FF"/>
    <w:rsid w:val="414423C4"/>
    <w:rsid w:val="41755597"/>
    <w:rsid w:val="418878EA"/>
    <w:rsid w:val="41A30C6B"/>
    <w:rsid w:val="41BF5814"/>
    <w:rsid w:val="41DA54D8"/>
    <w:rsid w:val="41F86CD7"/>
    <w:rsid w:val="42247208"/>
    <w:rsid w:val="425B616B"/>
    <w:rsid w:val="42815EC9"/>
    <w:rsid w:val="42B34FB0"/>
    <w:rsid w:val="42C630CF"/>
    <w:rsid w:val="42E30633"/>
    <w:rsid w:val="42E56A55"/>
    <w:rsid w:val="42F47F65"/>
    <w:rsid w:val="43256988"/>
    <w:rsid w:val="432F533D"/>
    <w:rsid w:val="433444B4"/>
    <w:rsid w:val="433E181F"/>
    <w:rsid w:val="4343408E"/>
    <w:rsid w:val="434F194C"/>
    <w:rsid w:val="43503155"/>
    <w:rsid w:val="437D5F38"/>
    <w:rsid w:val="43C231B8"/>
    <w:rsid w:val="43F63A9A"/>
    <w:rsid w:val="440D168C"/>
    <w:rsid w:val="441A5719"/>
    <w:rsid w:val="44281AE8"/>
    <w:rsid w:val="44454911"/>
    <w:rsid w:val="444570D7"/>
    <w:rsid w:val="44687A88"/>
    <w:rsid w:val="44693328"/>
    <w:rsid w:val="44B741BA"/>
    <w:rsid w:val="44F45CBA"/>
    <w:rsid w:val="451106FD"/>
    <w:rsid w:val="453E7797"/>
    <w:rsid w:val="45464C32"/>
    <w:rsid w:val="454C355D"/>
    <w:rsid w:val="454F554E"/>
    <w:rsid w:val="459331B6"/>
    <w:rsid w:val="45966907"/>
    <w:rsid w:val="4597033D"/>
    <w:rsid w:val="459906E4"/>
    <w:rsid w:val="45A76D4B"/>
    <w:rsid w:val="45BA501A"/>
    <w:rsid w:val="45F22775"/>
    <w:rsid w:val="460E6EBC"/>
    <w:rsid w:val="462D281F"/>
    <w:rsid w:val="46386346"/>
    <w:rsid w:val="46857774"/>
    <w:rsid w:val="46A648CA"/>
    <w:rsid w:val="46B93B5D"/>
    <w:rsid w:val="46C45A77"/>
    <w:rsid w:val="46D3134B"/>
    <w:rsid w:val="46E20A9A"/>
    <w:rsid w:val="46E329A7"/>
    <w:rsid w:val="46EC35B7"/>
    <w:rsid w:val="46F910F0"/>
    <w:rsid w:val="473258A5"/>
    <w:rsid w:val="475A49C5"/>
    <w:rsid w:val="47821AE0"/>
    <w:rsid w:val="47993A99"/>
    <w:rsid w:val="47A130F5"/>
    <w:rsid w:val="47A42777"/>
    <w:rsid w:val="47AA6410"/>
    <w:rsid w:val="47E8192D"/>
    <w:rsid w:val="47F05DD2"/>
    <w:rsid w:val="47FA1031"/>
    <w:rsid w:val="481E0C0D"/>
    <w:rsid w:val="48403B96"/>
    <w:rsid w:val="485754EA"/>
    <w:rsid w:val="48665806"/>
    <w:rsid w:val="487C3FC9"/>
    <w:rsid w:val="487F367A"/>
    <w:rsid w:val="48BB4C17"/>
    <w:rsid w:val="48DD7E3B"/>
    <w:rsid w:val="492C319F"/>
    <w:rsid w:val="496F4763"/>
    <w:rsid w:val="49963007"/>
    <w:rsid w:val="49B10DCB"/>
    <w:rsid w:val="49B44A85"/>
    <w:rsid w:val="49F112D9"/>
    <w:rsid w:val="4A4B072E"/>
    <w:rsid w:val="4A6F3A28"/>
    <w:rsid w:val="4A9166F2"/>
    <w:rsid w:val="4AE43E3C"/>
    <w:rsid w:val="4B111383"/>
    <w:rsid w:val="4B2D7D1E"/>
    <w:rsid w:val="4B323E0F"/>
    <w:rsid w:val="4B64236F"/>
    <w:rsid w:val="4B977869"/>
    <w:rsid w:val="4BA86EA2"/>
    <w:rsid w:val="4BB369F5"/>
    <w:rsid w:val="4BBA6677"/>
    <w:rsid w:val="4BBB64B3"/>
    <w:rsid w:val="4BC87E09"/>
    <w:rsid w:val="4BD1632C"/>
    <w:rsid w:val="4BED7415"/>
    <w:rsid w:val="4C28492A"/>
    <w:rsid w:val="4C33643D"/>
    <w:rsid w:val="4C56200A"/>
    <w:rsid w:val="4C8D360A"/>
    <w:rsid w:val="4CA14229"/>
    <w:rsid w:val="4CC35913"/>
    <w:rsid w:val="4CCF7E6B"/>
    <w:rsid w:val="4CD16286"/>
    <w:rsid w:val="4CEA78A8"/>
    <w:rsid w:val="4D097A5A"/>
    <w:rsid w:val="4D0C3224"/>
    <w:rsid w:val="4D221CD7"/>
    <w:rsid w:val="4D6C41D0"/>
    <w:rsid w:val="4D6F32C7"/>
    <w:rsid w:val="4D8656DA"/>
    <w:rsid w:val="4D9D77B3"/>
    <w:rsid w:val="4DA40E96"/>
    <w:rsid w:val="4DA8648A"/>
    <w:rsid w:val="4DAC0677"/>
    <w:rsid w:val="4DAF0F0C"/>
    <w:rsid w:val="4DDC7AE7"/>
    <w:rsid w:val="4DED05FC"/>
    <w:rsid w:val="4DF36CCF"/>
    <w:rsid w:val="4E1A38B1"/>
    <w:rsid w:val="4E3852C6"/>
    <w:rsid w:val="4E6F72AF"/>
    <w:rsid w:val="4E704779"/>
    <w:rsid w:val="4E790B8C"/>
    <w:rsid w:val="4E926935"/>
    <w:rsid w:val="4EBC7A0C"/>
    <w:rsid w:val="4F236AC7"/>
    <w:rsid w:val="4F2D6FE8"/>
    <w:rsid w:val="4F5370C0"/>
    <w:rsid w:val="4F5438DD"/>
    <w:rsid w:val="4F581010"/>
    <w:rsid w:val="4F5B3392"/>
    <w:rsid w:val="4F6B0C98"/>
    <w:rsid w:val="4F6B534F"/>
    <w:rsid w:val="4F726AC9"/>
    <w:rsid w:val="4FB3246F"/>
    <w:rsid w:val="4FDE5BC3"/>
    <w:rsid w:val="50045AC3"/>
    <w:rsid w:val="50056699"/>
    <w:rsid w:val="50244C57"/>
    <w:rsid w:val="5047546D"/>
    <w:rsid w:val="50AB3096"/>
    <w:rsid w:val="50AD2C9D"/>
    <w:rsid w:val="50B1282B"/>
    <w:rsid w:val="50F02B8B"/>
    <w:rsid w:val="50F05D4E"/>
    <w:rsid w:val="51474A6D"/>
    <w:rsid w:val="517717CD"/>
    <w:rsid w:val="51B97834"/>
    <w:rsid w:val="51BD2240"/>
    <w:rsid w:val="51C94605"/>
    <w:rsid w:val="51E17FDA"/>
    <w:rsid w:val="52030F03"/>
    <w:rsid w:val="52091678"/>
    <w:rsid w:val="5212572E"/>
    <w:rsid w:val="521469DC"/>
    <w:rsid w:val="522C74B0"/>
    <w:rsid w:val="52600C5A"/>
    <w:rsid w:val="527B7A70"/>
    <w:rsid w:val="528662F8"/>
    <w:rsid w:val="52C5754A"/>
    <w:rsid w:val="52FA6F7C"/>
    <w:rsid w:val="531159FF"/>
    <w:rsid w:val="53130BF7"/>
    <w:rsid w:val="531B1423"/>
    <w:rsid w:val="5322600D"/>
    <w:rsid w:val="533E1D0F"/>
    <w:rsid w:val="534479FE"/>
    <w:rsid w:val="5363180D"/>
    <w:rsid w:val="53701FFE"/>
    <w:rsid w:val="53973FCD"/>
    <w:rsid w:val="53B35F17"/>
    <w:rsid w:val="540D783D"/>
    <w:rsid w:val="541B65F4"/>
    <w:rsid w:val="54354E9B"/>
    <w:rsid w:val="547935D8"/>
    <w:rsid w:val="549D73AB"/>
    <w:rsid w:val="54A02E19"/>
    <w:rsid w:val="54A414C7"/>
    <w:rsid w:val="54A746AA"/>
    <w:rsid w:val="54AA0D3A"/>
    <w:rsid w:val="54B2167D"/>
    <w:rsid w:val="54D0545F"/>
    <w:rsid w:val="5552691D"/>
    <w:rsid w:val="55566A4B"/>
    <w:rsid w:val="55A44BCF"/>
    <w:rsid w:val="55A60A43"/>
    <w:rsid w:val="55B93F28"/>
    <w:rsid w:val="55C162B2"/>
    <w:rsid w:val="55E23B6E"/>
    <w:rsid w:val="55E8379E"/>
    <w:rsid w:val="55FC278C"/>
    <w:rsid w:val="56011DF0"/>
    <w:rsid w:val="56180A5E"/>
    <w:rsid w:val="566D7077"/>
    <w:rsid w:val="56B139BC"/>
    <w:rsid w:val="56E1421E"/>
    <w:rsid w:val="56E6151A"/>
    <w:rsid w:val="575F25C1"/>
    <w:rsid w:val="57A03881"/>
    <w:rsid w:val="57B10631"/>
    <w:rsid w:val="57B66DF8"/>
    <w:rsid w:val="57E2605D"/>
    <w:rsid w:val="57FD1792"/>
    <w:rsid w:val="5816406A"/>
    <w:rsid w:val="583B339B"/>
    <w:rsid w:val="58415193"/>
    <w:rsid w:val="58481CE4"/>
    <w:rsid w:val="58484609"/>
    <w:rsid w:val="5875165E"/>
    <w:rsid w:val="5894304C"/>
    <w:rsid w:val="5895585D"/>
    <w:rsid w:val="5898636D"/>
    <w:rsid w:val="58B73B3C"/>
    <w:rsid w:val="58BA34DE"/>
    <w:rsid w:val="58BC5859"/>
    <w:rsid w:val="58C953BB"/>
    <w:rsid w:val="5926651D"/>
    <w:rsid w:val="593D497F"/>
    <w:rsid w:val="5954396A"/>
    <w:rsid w:val="59830BF8"/>
    <w:rsid w:val="59A85989"/>
    <w:rsid w:val="59B30318"/>
    <w:rsid w:val="59C97EB4"/>
    <w:rsid w:val="59D5057A"/>
    <w:rsid w:val="5A024091"/>
    <w:rsid w:val="5A185D1F"/>
    <w:rsid w:val="5A2B1A58"/>
    <w:rsid w:val="5A492943"/>
    <w:rsid w:val="5A831ACB"/>
    <w:rsid w:val="5A8A6DE2"/>
    <w:rsid w:val="5A921728"/>
    <w:rsid w:val="5ACF008A"/>
    <w:rsid w:val="5AF21780"/>
    <w:rsid w:val="5AFC5479"/>
    <w:rsid w:val="5B3A4EE7"/>
    <w:rsid w:val="5B40336D"/>
    <w:rsid w:val="5B4E4486"/>
    <w:rsid w:val="5B6E42E3"/>
    <w:rsid w:val="5B841BB9"/>
    <w:rsid w:val="5B8C5D73"/>
    <w:rsid w:val="5B9F1E05"/>
    <w:rsid w:val="5BAD40C5"/>
    <w:rsid w:val="5BC36A02"/>
    <w:rsid w:val="5BEE65FC"/>
    <w:rsid w:val="5BFA36D3"/>
    <w:rsid w:val="5BFD58A1"/>
    <w:rsid w:val="5C084732"/>
    <w:rsid w:val="5C125816"/>
    <w:rsid w:val="5C125E56"/>
    <w:rsid w:val="5C13465C"/>
    <w:rsid w:val="5C2115FE"/>
    <w:rsid w:val="5C566B5C"/>
    <w:rsid w:val="5C8B5EB7"/>
    <w:rsid w:val="5CA033DB"/>
    <w:rsid w:val="5CE16196"/>
    <w:rsid w:val="5CEA3F7C"/>
    <w:rsid w:val="5D3D35BA"/>
    <w:rsid w:val="5D3E6B68"/>
    <w:rsid w:val="5D5E0913"/>
    <w:rsid w:val="5D720F98"/>
    <w:rsid w:val="5D7B4E73"/>
    <w:rsid w:val="5D8660BC"/>
    <w:rsid w:val="5DA54D9B"/>
    <w:rsid w:val="5DCA58B5"/>
    <w:rsid w:val="5DCE0AA9"/>
    <w:rsid w:val="5DD07523"/>
    <w:rsid w:val="5DDA0FE2"/>
    <w:rsid w:val="5DDC12FC"/>
    <w:rsid w:val="5DE73D28"/>
    <w:rsid w:val="5E214905"/>
    <w:rsid w:val="5E527C50"/>
    <w:rsid w:val="5E6006BB"/>
    <w:rsid w:val="5EA20CD3"/>
    <w:rsid w:val="5EC4112E"/>
    <w:rsid w:val="5EC703E6"/>
    <w:rsid w:val="5ECB0068"/>
    <w:rsid w:val="5EDB4F20"/>
    <w:rsid w:val="5EE138D0"/>
    <w:rsid w:val="5EEE216B"/>
    <w:rsid w:val="5F284E40"/>
    <w:rsid w:val="5F5641FA"/>
    <w:rsid w:val="5F754BEE"/>
    <w:rsid w:val="5F89287F"/>
    <w:rsid w:val="5F916F74"/>
    <w:rsid w:val="5F9C3975"/>
    <w:rsid w:val="5FB80228"/>
    <w:rsid w:val="5FD50CD3"/>
    <w:rsid w:val="5FE90B1B"/>
    <w:rsid w:val="5FFB29ED"/>
    <w:rsid w:val="602148BA"/>
    <w:rsid w:val="606317CC"/>
    <w:rsid w:val="606B2369"/>
    <w:rsid w:val="606E12CB"/>
    <w:rsid w:val="607625F6"/>
    <w:rsid w:val="60A832D2"/>
    <w:rsid w:val="60EA14E8"/>
    <w:rsid w:val="61145E0F"/>
    <w:rsid w:val="61624FEF"/>
    <w:rsid w:val="61997B21"/>
    <w:rsid w:val="61BB2F63"/>
    <w:rsid w:val="61BC1839"/>
    <w:rsid w:val="61D442F3"/>
    <w:rsid w:val="61E25761"/>
    <w:rsid w:val="62030D09"/>
    <w:rsid w:val="622D4EEC"/>
    <w:rsid w:val="623D546B"/>
    <w:rsid w:val="626271F8"/>
    <w:rsid w:val="62746729"/>
    <w:rsid w:val="629275AC"/>
    <w:rsid w:val="62B46A9A"/>
    <w:rsid w:val="62B603BE"/>
    <w:rsid w:val="62B836E7"/>
    <w:rsid w:val="62CD3163"/>
    <w:rsid w:val="62F54CD7"/>
    <w:rsid w:val="62F55F13"/>
    <w:rsid w:val="635F7193"/>
    <w:rsid w:val="636E3A96"/>
    <w:rsid w:val="63846D76"/>
    <w:rsid w:val="63951267"/>
    <w:rsid w:val="63BE1A11"/>
    <w:rsid w:val="63CD772E"/>
    <w:rsid w:val="641E4EFC"/>
    <w:rsid w:val="641F39F8"/>
    <w:rsid w:val="64224B50"/>
    <w:rsid w:val="642E62DB"/>
    <w:rsid w:val="646F4906"/>
    <w:rsid w:val="64786CA5"/>
    <w:rsid w:val="64B67CC5"/>
    <w:rsid w:val="64B9081D"/>
    <w:rsid w:val="64EF1EE4"/>
    <w:rsid w:val="65081EB9"/>
    <w:rsid w:val="65295CAB"/>
    <w:rsid w:val="654A3F98"/>
    <w:rsid w:val="655167DB"/>
    <w:rsid w:val="65611DD3"/>
    <w:rsid w:val="658F1C8B"/>
    <w:rsid w:val="659A53D5"/>
    <w:rsid w:val="659B47BF"/>
    <w:rsid w:val="65B06993"/>
    <w:rsid w:val="65FF63C0"/>
    <w:rsid w:val="661C031E"/>
    <w:rsid w:val="665D1497"/>
    <w:rsid w:val="66632215"/>
    <w:rsid w:val="667C577D"/>
    <w:rsid w:val="66DF1301"/>
    <w:rsid w:val="66EC609B"/>
    <w:rsid w:val="67054BC5"/>
    <w:rsid w:val="67072FFE"/>
    <w:rsid w:val="671477D7"/>
    <w:rsid w:val="671B469C"/>
    <w:rsid w:val="672958C3"/>
    <w:rsid w:val="674928AC"/>
    <w:rsid w:val="67DF2416"/>
    <w:rsid w:val="67F61CED"/>
    <w:rsid w:val="67FD722D"/>
    <w:rsid w:val="683449CB"/>
    <w:rsid w:val="683D62DD"/>
    <w:rsid w:val="6886082D"/>
    <w:rsid w:val="6887014C"/>
    <w:rsid w:val="688A62C1"/>
    <w:rsid w:val="68A05383"/>
    <w:rsid w:val="68A7765D"/>
    <w:rsid w:val="68B61ACB"/>
    <w:rsid w:val="68D61FD5"/>
    <w:rsid w:val="690F3D82"/>
    <w:rsid w:val="691E1EA2"/>
    <w:rsid w:val="694834FE"/>
    <w:rsid w:val="695745BC"/>
    <w:rsid w:val="697B3C82"/>
    <w:rsid w:val="69AB4CF2"/>
    <w:rsid w:val="69C94CCC"/>
    <w:rsid w:val="69D96939"/>
    <w:rsid w:val="69F53BBD"/>
    <w:rsid w:val="69F86402"/>
    <w:rsid w:val="6A476AE4"/>
    <w:rsid w:val="6A517BC2"/>
    <w:rsid w:val="6A601747"/>
    <w:rsid w:val="6A65224D"/>
    <w:rsid w:val="6A753CEB"/>
    <w:rsid w:val="6AA62D1F"/>
    <w:rsid w:val="6AA837F5"/>
    <w:rsid w:val="6AAB67EB"/>
    <w:rsid w:val="6AC42E6B"/>
    <w:rsid w:val="6AD03CA4"/>
    <w:rsid w:val="6AEF7988"/>
    <w:rsid w:val="6B015F03"/>
    <w:rsid w:val="6B730D8D"/>
    <w:rsid w:val="6B7A5E67"/>
    <w:rsid w:val="6B96425D"/>
    <w:rsid w:val="6BC45011"/>
    <w:rsid w:val="6C4B683D"/>
    <w:rsid w:val="6C4F0A89"/>
    <w:rsid w:val="6C840B7E"/>
    <w:rsid w:val="6C9735EF"/>
    <w:rsid w:val="6C9B33DD"/>
    <w:rsid w:val="6CC1445E"/>
    <w:rsid w:val="6CF561D1"/>
    <w:rsid w:val="6CFB6AE7"/>
    <w:rsid w:val="6D3C62EF"/>
    <w:rsid w:val="6D3E020C"/>
    <w:rsid w:val="6D5B7C22"/>
    <w:rsid w:val="6D6D47E3"/>
    <w:rsid w:val="6D7F34AE"/>
    <w:rsid w:val="6D905CF9"/>
    <w:rsid w:val="6D96073B"/>
    <w:rsid w:val="6D9F6F97"/>
    <w:rsid w:val="6DC60357"/>
    <w:rsid w:val="6DCF6A4A"/>
    <w:rsid w:val="6DD803C3"/>
    <w:rsid w:val="6DD864C0"/>
    <w:rsid w:val="6E2A03E1"/>
    <w:rsid w:val="6E301890"/>
    <w:rsid w:val="6E3217E2"/>
    <w:rsid w:val="6E451FCC"/>
    <w:rsid w:val="6E46523A"/>
    <w:rsid w:val="6E4E02CB"/>
    <w:rsid w:val="6E562D73"/>
    <w:rsid w:val="6E823758"/>
    <w:rsid w:val="6EAD34A8"/>
    <w:rsid w:val="6F0F37DA"/>
    <w:rsid w:val="6F2273CE"/>
    <w:rsid w:val="6F2A2DAB"/>
    <w:rsid w:val="6F345DED"/>
    <w:rsid w:val="6F3E05A4"/>
    <w:rsid w:val="6F4A4CF9"/>
    <w:rsid w:val="6F4E6D96"/>
    <w:rsid w:val="6F647671"/>
    <w:rsid w:val="6F713328"/>
    <w:rsid w:val="6F760A7D"/>
    <w:rsid w:val="6F8915EB"/>
    <w:rsid w:val="6F8F7052"/>
    <w:rsid w:val="6FD553A6"/>
    <w:rsid w:val="701D28B0"/>
    <w:rsid w:val="702173D8"/>
    <w:rsid w:val="70271845"/>
    <w:rsid w:val="705F6AE0"/>
    <w:rsid w:val="707B3132"/>
    <w:rsid w:val="7089020F"/>
    <w:rsid w:val="70C31947"/>
    <w:rsid w:val="70CF1765"/>
    <w:rsid w:val="70DA5CBA"/>
    <w:rsid w:val="71B04CB7"/>
    <w:rsid w:val="71E6401D"/>
    <w:rsid w:val="71EC6C57"/>
    <w:rsid w:val="720A1AEC"/>
    <w:rsid w:val="721A5BAA"/>
    <w:rsid w:val="721D5CD1"/>
    <w:rsid w:val="72221353"/>
    <w:rsid w:val="72377A68"/>
    <w:rsid w:val="724F6160"/>
    <w:rsid w:val="72641157"/>
    <w:rsid w:val="72786668"/>
    <w:rsid w:val="72814495"/>
    <w:rsid w:val="72AA2522"/>
    <w:rsid w:val="72AF3A74"/>
    <w:rsid w:val="72C23555"/>
    <w:rsid w:val="72D0311E"/>
    <w:rsid w:val="72E15C27"/>
    <w:rsid w:val="732460A9"/>
    <w:rsid w:val="733D3771"/>
    <w:rsid w:val="73470CFE"/>
    <w:rsid w:val="734E4B2E"/>
    <w:rsid w:val="73577E87"/>
    <w:rsid w:val="73A11E40"/>
    <w:rsid w:val="73AD55C1"/>
    <w:rsid w:val="73AF547E"/>
    <w:rsid w:val="73D3670A"/>
    <w:rsid w:val="73EC4408"/>
    <w:rsid w:val="74006B47"/>
    <w:rsid w:val="741E7F6E"/>
    <w:rsid w:val="744C66E2"/>
    <w:rsid w:val="74613231"/>
    <w:rsid w:val="74C21D82"/>
    <w:rsid w:val="74C81B3F"/>
    <w:rsid w:val="74EC3944"/>
    <w:rsid w:val="75076AED"/>
    <w:rsid w:val="751B33B9"/>
    <w:rsid w:val="75243D99"/>
    <w:rsid w:val="752D39CB"/>
    <w:rsid w:val="753366D1"/>
    <w:rsid w:val="75506F63"/>
    <w:rsid w:val="75840A74"/>
    <w:rsid w:val="75925999"/>
    <w:rsid w:val="759B20C5"/>
    <w:rsid w:val="75AA4071"/>
    <w:rsid w:val="75BF03B8"/>
    <w:rsid w:val="75C62F7B"/>
    <w:rsid w:val="75F377EE"/>
    <w:rsid w:val="762F50EB"/>
    <w:rsid w:val="76565CF8"/>
    <w:rsid w:val="765D6AD9"/>
    <w:rsid w:val="768C18A5"/>
    <w:rsid w:val="76997D90"/>
    <w:rsid w:val="76CC055F"/>
    <w:rsid w:val="76D35A76"/>
    <w:rsid w:val="771C2B72"/>
    <w:rsid w:val="772B58B2"/>
    <w:rsid w:val="773D399C"/>
    <w:rsid w:val="77514BED"/>
    <w:rsid w:val="776E2CBE"/>
    <w:rsid w:val="778B4C48"/>
    <w:rsid w:val="77AE64E8"/>
    <w:rsid w:val="77B072BC"/>
    <w:rsid w:val="77F80F61"/>
    <w:rsid w:val="78031D58"/>
    <w:rsid w:val="78207259"/>
    <w:rsid w:val="7832110C"/>
    <w:rsid w:val="783E0A4B"/>
    <w:rsid w:val="784976CA"/>
    <w:rsid w:val="78546EFA"/>
    <w:rsid w:val="785B78D6"/>
    <w:rsid w:val="78627FD0"/>
    <w:rsid w:val="7881788A"/>
    <w:rsid w:val="78A438C9"/>
    <w:rsid w:val="78CA389A"/>
    <w:rsid w:val="78DE55CD"/>
    <w:rsid w:val="78E32DDE"/>
    <w:rsid w:val="78EF05F9"/>
    <w:rsid w:val="790B2EA9"/>
    <w:rsid w:val="791D52BE"/>
    <w:rsid w:val="792A77D2"/>
    <w:rsid w:val="7930686C"/>
    <w:rsid w:val="793F27C8"/>
    <w:rsid w:val="79407BDC"/>
    <w:rsid w:val="79645141"/>
    <w:rsid w:val="79661EFB"/>
    <w:rsid w:val="796A7017"/>
    <w:rsid w:val="796C2017"/>
    <w:rsid w:val="797125E2"/>
    <w:rsid w:val="797239B5"/>
    <w:rsid w:val="797A3D8C"/>
    <w:rsid w:val="799001B0"/>
    <w:rsid w:val="799D2830"/>
    <w:rsid w:val="79A37060"/>
    <w:rsid w:val="79DF073D"/>
    <w:rsid w:val="79DF25E2"/>
    <w:rsid w:val="79EF1CB3"/>
    <w:rsid w:val="7A591AD6"/>
    <w:rsid w:val="7A5B032F"/>
    <w:rsid w:val="7A5E1396"/>
    <w:rsid w:val="7AAB7640"/>
    <w:rsid w:val="7AC33440"/>
    <w:rsid w:val="7AE76C34"/>
    <w:rsid w:val="7AEB20F3"/>
    <w:rsid w:val="7B096940"/>
    <w:rsid w:val="7B097CF6"/>
    <w:rsid w:val="7B1D7B50"/>
    <w:rsid w:val="7B2A639A"/>
    <w:rsid w:val="7B4D306C"/>
    <w:rsid w:val="7B8B5655"/>
    <w:rsid w:val="7B8D25BC"/>
    <w:rsid w:val="7BBF0C53"/>
    <w:rsid w:val="7BFF10BB"/>
    <w:rsid w:val="7C344213"/>
    <w:rsid w:val="7C503F7C"/>
    <w:rsid w:val="7C6712B6"/>
    <w:rsid w:val="7C6973E9"/>
    <w:rsid w:val="7C6A3368"/>
    <w:rsid w:val="7C754C18"/>
    <w:rsid w:val="7C991D17"/>
    <w:rsid w:val="7CC806D1"/>
    <w:rsid w:val="7CFA0158"/>
    <w:rsid w:val="7CFF1633"/>
    <w:rsid w:val="7D1F2AE3"/>
    <w:rsid w:val="7D2C7C8E"/>
    <w:rsid w:val="7D2E4F75"/>
    <w:rsid w:val="7D322D1E"/>
    <w:rsid w:val="7D362C5F"/>
    <w:rsid w:val="7D4C467F"/>
    <w:rsid w:val="7D83464C"/>
    <w:rsid w:val="7DB90387"/>
    <w:rsid w:val="7DE63809"/>
    <w:rsid w:val="7E0C7AC0"/>
    <w:rsid w:val="7E723B52"/>
    <w:rsid w:val="7E782E0A"/>
    <w:rsid w:val="7EBB7B93"/>
    <w:rsid w:val="7EE80CA9"/>
    <w:rsid w:val="7EFF0116"/>
    <w:rsid w:val="7F030EC3"/>
    <w:rsid w:val="7F3B0A52"/>
    <w:rsid w:val="7F697DAA"/>
    <w:rsid w:val="7F6A7194"/>
    <w:rsid w:val="7FDC609A"/>
    <w:rsid w:val="7FE51643"/>
    <w:rsid w:val="7FEB6DB8"/>
    <w:rsid w:val="7FFF1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99"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77"/>
    <w:autoRedefine/>
    <w:qFormat/>
    <w:uiPriority w:val="0"/>
    <w:pPr>
      <w:keepNext/>
      <w:adjustRightInd w:val="0"/>
      <w:spacing w:before="120" w:line="360" w:lineRule="auto"/>
      <w:jc w:val="center"/>
      <w:outlineLvl w:val="1"/>
    </w:pPr>
    <w:rPr>
      <w:rFonts w:eastAsia="隶书"/>
      <w:b/>
      <w:kern w:val="0"/>
      <w:sz w:val="44"/>
      <w:szCs w:val="20"/>
    </w:rPr>
  </w:style>
  <w:style w:type="paragraph" w:styleId="6">
    <w:name w:val="heading 3"/>
    <w:basedOn w:val="1"/>
    <w:next w:val="1"/>
    <w:link w:val="778"/>
    <w:autoRedefine/>
    <w:qFormat/>
    <w:uiPriority w:val="0"/>
    <w:pPr>
      <w:keepNext/>
      <w:keepLines/>
      <w:spacing w:before="260" w:after="260" w:line="416" w:lineRule="auto"/>
      <w:outlineLvl w:val="2"/>
    </w:pPr>
    <w:rPr>
      <w:b/>
      <w:bCs/>
      <w:sz w:val="32"/>
      <w:szCs w:val="32"/>
    </w:rPr>
  </w:style>
  <w:style w:type="paragraph" w:styleId="7">
    <w:name w:val="heading 4"/>
    <w:basedOn w:val="1"/>
    <w:next w:val="1"/>
    <w:link w:val="779"/>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780"/>
    <w:autoRedefine/>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781"/>
    <w:autoRedefine/>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94"/>
    <w:autoRedefine/>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141"/>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70"/>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3"/>
    <w:basedOn w:val="1"/>
    <w:link w:val="108"/>
    <w:autoRedefine/>
    <w:qFormat/>
    <w:uiPriority w:val="0"/>
    <w:pPr>
      <w:spacing w:after="120"/>
      <w:ind w:left="420" w:leftChars="200"/>
    </w:pPr>
    <w:rPr>
      <w:sz w:val="16"/>
      <w:szCs w:val="16"/>
    </w:rPr>
  </w:style>
  <w:style w:type="paragraph" w:styleId="3">
    <w:name w:val="macro"/>
    <w:link w:val="99"/>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93"/>
    <w:autoRedefine/>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autoRedefine/>
    <w:qFormat/>
    <w:uiPriority w:val="39"/>
    <w:pPr>
      <w:ind w:left="1260"/>
      <w:jc w:val="left"/>
    </w:pPr>
    <w:rPr>
      <w:rFonts w:ascii="Calibri" w:hAnsi="Calibri"/>
      <w:sz w:val="18"/>
      <w:szCs w:val="18"/>
    </w:rPr>
  </w:style>
  <w:style w:type="paragraph" w:styleId="15">
    <w:name w:val="List Number"/>
    <w:basedOn w:val="1"/>
    <w:autoRedefine/>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6">
    <w:name w:val="caption"/>
    <w:basedOn w:val="1"/>
    <w:next w:val="1"/>
    <w:link w:val="71"/>
    <w:autoRedefine/>
    <w:qFormat/>
    <w:uiPriority w:val="0"/>
    <w:pPr>
      <w:spacing w:before="152" w:after="160"/>
    </w:pPr>
    <w:rPr>
      <w:rFonts w:ascii="Arial" w:hAnsi="Arial" w:eastAsia="黑体"/>
      <w:sz w:val="20"/>
      <w:szCs w:val="20"/>
    </w:rPr>
  </w:style>
  <w:style w:type="paragraph" w:styleId="17">
    <w:name w:val="Document Map"/>
    <w:basedOn w:val="1"/>
    <w:link w:val="137"/>
    <w:autoRedefine/>
    <w:qFormat/>
    <w:uiPriority w:val="0"/>
    <w:pPr>
      <w:shd w:val="clear" w:color="auto" w:fill="000080"/>
    </w:pPr>
  </w:style>
  <w:style w:type="paragraph" w:styleId="18">
    <w:name w:val="annotation text"/>
    <w:basedOn w:val="1"/>
    <w:link w:val="110"/>
    <w:autoRedefine/>
    <w:unhideWhenUsed/>
    <w:qFormat/>
    <w:uiPriority w:val="99"/>
    <w:pPr>
      <w:jc w:val="left"/>
    </w:pPr>
  </w:style>
  <w:style w:type="paragraph" w:styleId="19">
    <w:name w:val="Body Text 3"/>
    <w:basedOn w:val="1"/>
    <w:link w:val="91"/>
    <w:autoRedefine/>
    <w:qFormat/>
    <w:uiPriority w:val="0"/>
    <w:pPr>
      <w:spacing w:line="500" w:lineRule="exact"/>
    </w:pPr>
    <w:rPr>
      <w:b/>
      <w:bCs/>
      <w:kern w:val="0"/>
      <w:sz w:val="24"/>
    </w:rPr>
  </w:style>
  <w:style w:type="paragraph" w:styleId="20">
    <w:name w:val="Body Text"/>
    <w:basedOn w:val="1"/>
    <w:next w:val="1"/>
    <w:link w:val="127"/>
    <w:autoRedefine/>
    <w:qFormat/>
    <w:uiPriority w:val="0"/>
    <w:pPr>
      <w:spacing w:line="420" w:lineRule="exact"/>
    </w:pPr>
    <w:rPr>
      <w:sz w:val="24"/>
    </w:rPr>
  </w:style>
  <w:style w:type="paragraph" w:styleId="21">
    <w:name w:val="Body Text Indent"/>
    <w:basedOn w:val="1"/>
    <w:link w:val="77"/>
    <w:autoRedefine/>
    <w:qFormat/>
    <w:uiPriority w:val="0"/>
    <w:pPr>
      <w:spacing w:after="120"/>
      <w:ind w:left="420" w:leftChars="200"/>
    </w:pPr>
  </w:style>
  <w:style w:type="paragraph" w:styleId="22">
    <w:name w:val="List Number 3"/>
    <w:basedOn w:val="1"/>
    <w:autoRedefine/>
    <w:qFormat/>
    <w:uiPriority w:val="0"/>
    <w:pPr>
      <w:tabs>
        <w:tab w:val="left" w:pos="1200"/>
      </w:tabs>
      <w:ind w:left="900" w:hanging="420"/>
    </w:pPr>
  </w:style>
  <w:style w:type="paragraph" w:styleId="23">
    <w:name w:val="List 2"/>
    <w:basedOn w:val="1"/>
    <w:autoRedefine/>
    <w:qFormat/>
    <w:uiPriority w:val="0"/>
    <w:pPr>
      <w:ind w:left="100" w:leftChars="200" w:hanging="200" w:hangingChars="200"/>
    </w:pPr>
    <w:rPr>
      <w:sz w:val="28"/>
    </w:rPr>
  </w:style>
  <w:style w:type="paragraph" w:styleId="24">
    <w:name w:val="Block Text"/>
    <w:basedOn w:val="1"/>
    <w:autoRedefine/>
    <w:qFormat/>
    <w:uiPriority w:val="0"/>
    <w:pPr>
      <w:adjustRightInd w:val="0"/>
      <w:ind w:left="420" w:right="33"/>
      <w:jc w:val="left"/>
      <w:textAlignment w:val="baseline"/>
    </w:pPr>
    <w:rPr>
      <w:kern w:val="0"/>
      <w:sz w:val="24"/>
      <w:szCs w:val="20"/>
    </w:rPr>
  </w:style>
  <w:style w:type="paragraph" w:styleId="25">
    <w:name w:val="toc 5"/>
    <w:basedOn w:val="1"/>
    <w:next w:val="1"/>
    <w:autoRedefine/>
    <w:qFormat/>
    <w:uiPriority w:val="39"/>
    <w:pPr>
      <w:ind w:left="840"/>
      <w:jc w:val="left"/>
    </w:pPr>
    <w:rPr>
      <w:rFonts w:ascii="Calibri" w:hAnsi="Calibri"/>
      <w:sz w:val="18"/>
      <w:szCs w:val="18"/>
    </w:rPr>
  </w:style>
  <w:style w:type="paragraph" w:styleId="26">
    <w:name w:val="toc 3"/>
    <w:basedOn w:val="1"/>
    <w:next w:val="1"/>
    <w:autoRedefine/>
    <w:qFormat/>
    <w:uiPriority w:val="39"/>
    <w:pPr>
      <w:ind w:left="420"/>
      <w:jc w:val="left"/>
    </w:pPr>
    <w:rPr>
      <w:rFonts w:ascii="Calibri" w:hAnsi="Calibri"/>
      <w:i/>
      <w:iCs/>
      <w:sz w:val="20"/>
      <w:szCs w:val="20"/>
    </w:rPr>
  </w:style>
  <w:style w:type="paragraph" w:styleId="27">
    <w:name w:val="Plain Text"/>
    <w:basedOn w:val="1"/>
    <w:link w:val="138"/>
    <w:autoRedefine/>
    <w:qFormat/>
    <w:uiPriority w:val="0"/>
    <w:rPr>
      <w:rFonts w:ascii="宋体" w:hAnsi="Courier New" w:cs="Courier New"/>
      <w:szCs w:val="21"/>
    </w:rPr>
  </w:style>
  <w:style w:type="paragraph" w:styleId="28">
    <w:name w:val="toc 8"/>
    <w:basedOn w:val="1"/>
    <w:next w:val="1"/>
    <w:autoRedefine/>
    <w:qFormat/>
    <w:uiPriority w:val="39"/>
    <w:pPr>
      <w:ind w:left="1470"/>
      <w:jc w:val="left"/>
    </w:pPr>
    <w:rPr>
      <w:rFonts w:ascii="Calibri" w:hAnsi="Calibri"/>
      <w:sz w:val="18"/>
      <w:szCs w:val="18"/>
    </w:rPr>
  </w:style>
  <w:style w:type="paragraph" w:styleId="29">
    <w:name w:val="Date"/>
    <w:basedOn w:val="1"/>
    <w:next w:val="1"/>
    <w:link w:val="101"/>
    <w:autoRedefine/>
    <w:qFormat/>
    <w:uiPriority w:val="0"/>
    <w:pPr>
      <w:ind w:left="100" w:leftChars="2500"/>
    </w:pPr>
    <w:rPr>
      <w:sz w:val="24"/>
    </w:rPr>
  </w:style>
  <w:style w:type="paragraph" w:styleId="30">
    <w:name w:val="Body Text Indent 2"/>
    <w:basedOn w:val="1"/>
    <w:link w:val="147"/>
    <w:autoRedefine/>
    <w:qFormat/>
    <w:uiPriority w:val="0"/>
    <w:pPr>
      <w:spacing w:after="120" w:line="480" w:lineRule="auto"/>
      <w:ind w:left="420" w:leftChars="200"/>
    </w:pPr>
  </w:style>
  <w:style w:type="paragraph" w:styleId="31">
    <w:name w:val="Balloon Text"/>
    <w:basedOn w:val="1"/>
    <w:link w:val="148"/>
    <w:autoRedefine/>
    <w:qFormat/>
    <w:uiPriority w:val="0"/>
    <w:rPr>
      <w:sz w:val="18"/>
      <w:szCs w:val="18"/>
    </w:rPr>
  </w:style>
  <w:style w:type="paragraph" w:styleId="32">
    <w:name w:val="footer"/>
    <w:basedOn w:val="1"/>
    <w:link w:val="140"/>
    <w:autoRedefine/>
    <w:qFormat/>
    <w:uiPriority w:val="99"/>
    <w:pPr>
      <w:tabs>
        <w:tab w:val="center" w:pos="4153"/>
        <w:tab w:val="right" w:pos="8306"/>
      </w:tabs>
      <w:snapToGrid w:val="0"/>
      <w:jc w:val="left"/>
    </w:pPr>
    <w:rPr>
      <w:sz w:val="18"/>
      <w:szCs w:val="18"/>
    </w:rPr>
  </w:style>
  <w:style w:type="paragraph" w:styleId="33">
    <w:name w:val="header"/>
    <w:basedOn w:val="1"/>
    <w:link w:val="134"/>
    <w:autoRedefine/>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autoRedefine/>
    <w:qFormat/>
    <w:uiPriority w:val="39"/>
    <w:pPr>
      <w:spacing w:before="120" w:after="120"/>
      <w:jc w:val="left"/>
    </w:pPr>
    <w:rPr>
      <w:rFonts w:ascii="Calibri" w:hAnsi="Calibri"/>
      <w:b/>
      <w:bCs/>
      <w:caps/>
      <w:sz w:val="20"/>
      <w:szCs w:val="20"/>
    </w:rPr>
  </w:style>
  <w:style w:type="paragraph" w:styleId="35">
    <w:name w:val="toc 4"/>
    <w:basedOn w:val="1"/>
    <w:next w:val="1"/>
    <w:autoRedefine/>
    <w:qFormat/>
    <w:uiPriority w:val="39"/>
    <w:pPr>
      <w:ind w:left="630"/>
      <w:jc w:val="left"/>
    </w:pPr>
    <w:rPr>
      <w:rFonts w:ascii="Calibri" w:hAnsi="Calibri"/>
      <w:sz w:val="18"/>
      <w:szCs w:val="18"/>
    </w:rPr>
  </w:style>
  <w:style w:type="paragraph" w:styleId="36">
    <w:name w:val="List"/>
    <w:basedOn w:val="1"/>
    <w:autoRedefine/>
    <w:qFormat/>
    <w:uiPriority w:val="0"/>
    <w:pPr>
      <w:ind w:left="200" w:hanging="200" w:hangingChars="200"/>
    </w:pPr>
    <w:rPr>
      <w:sz w:val="28"/>
    </w:rPr>
  </w:style>
  <w:style w:type="paragraph" w:styleId="37">
    <w:name w:val="toc 6"/>
    <w:basedOn w:val="1"/>
    <w:next w:val="1"/>
    <w:autoRedefine/>
    <w:qFormat/>
    <w:uiPriority w:val="39"/>
    <w:pPr>
      <w:ind w:left="1050"/>
      <w:jc w:val="left"/>
    </w:pPr>
    <w:rPr>
      <w:rFonts w:ascii="Calibri" w:hAnsi="Calibri"/>
      <w:sz w:val="18"/>
      <w:szCs w:val="18"/>
    </w:rPr>
  </w:style>
  <w:style w:type="paragraph" w:styleId="38">
    <w:name w:val="List 5"/>
    <w:basedOn w:val="1"/>
    <w:autoRedefine/>
    <w:qFormat/>
    <w:uiPriority w:val="0"/>
    <w:pPr>
      <w:ind w:left="2100" w:hanging="420"/>
    </w:pPr>
    <w:rPr>
      <w:szCs w:val="20"/>
    </w:rPr>
  </w:style>
  <w:style w:type="paragraph" w:styleId="39">
    <w:name w:val="toc 2"/>
    <w:basedOn w:val="1"/>
    <w:next w:val="1"/>
    <w:autoRedefine/>
    <w:qFormat/>
    <w:uiPriority w:val="39"/>
    <w:pPr>
      <w:ind w:left="210"/>
      <w:jc w:val="left"/>
    </w:pPr>
    <w:rPr>
      <w:rFonts w:ascii="Calibri" w:hAnsi="Calibri"/>
      <w:smallCaps/>
      <w:sz w:val="20"/>
      <w:szCs w:val="20"/>
    </w:rPr>
  </w:style>
  <w:style w:type="paragraph" w:styleId="40">
    <w:name w:val="toc 9"/>
    <w:basedOn w:val="1"/>
    <w:next w:val="1"/>
    <w:autoRedefine/>
    <w:qFormat/>
    <w:uiPriority w:val="0"/>
    <w:pPr>
      <w:ind w:left="1680"/>
      <w:jc w:val="left"/>
    </w:pPr>
    <w:rPr>
      <w:rFonts w:ascii="Calibri" w:hAnsi="Calibri"/>
      <w:sz w:val="18"/>
      <w:szCs w:val="18"/>
    </w:rPr>
  </w:style>
  <w:style w:type="paragraph" w:styleId="41">
    <w:name w:val="Body Text 2"/>
    <w:basedOn w:val="1"/>
    <w:link w:val="164"/>
    <w:autoRedefine/>
    <w:qFormat/>
    <w:uiPriority w:val="0"/>
    <w:pPr>
      <w:spacing w:after="120" w:line="480" w:lineRule="auto"/>
    </w:pPr>
    <w:rPr>
      <w:kern w:val="0"/>
      <w:sz w:val="20"/>
    </w:rPr>
  </w:style>
  <w:style w:type="paragraph" w:styleId="42">
    <w:name w:val="HTML Preformatted"/>
    <w:basedOn w:val="1"/>
    <w:link w:val="119"/>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autoRedefine/>
    <w:qFormat/>
    <w:uiPriority w:val="0"/>
    <w:pPr>
      <w:widowControl/>
      <w:spacing w:before="100" w:beforeAutospacing="1" w:after="100" w:afterAutospacing="1"/>
      <w:jc w:val="left"/>
    </w:pPr>
    <w:rPr>
      <w:rFonts w:hint="eastAsia" w:ascii="宋体" w:hAnsi="宋体"/>
      <w:kern w:val="0"/>
      <w:sz w:val="24"/>
      <w:szCs w:val="20"/>
    </w:rPr>
  </w:style>
  <w:style w:type="paragraph" w:styleId="44">
    <w:name w:val="index 1"/>
    <w:basedOn w:val="1"/>
    <w:next w:val="1"/>
    <w:autoRedefine/>
    <w:qFormat/>
    <w:uiPriority w:val="0"/>
    <w:pPr>
      <w:spacing w:line="360" w:lineRule="auto"/>
    </w:pPr>
    <w:rPr>
      <w:rFonts w:ascii="宋体" w:hAnsi="宋体"/>
      <w:bCs/>
      <w:szCs w:val="21"/>
    </w:rPr>
  </w:style>
  <w:style w:type="paragraph" w:styleId="45">
    <w:name w:val="Title"/>
    <w:basedOn w:val="1"/>
    <w:next w:val="1"/>
    <w:autoRedefine/>
    <w:qFormat/>
    <w:uiPriority w:val="0"/>
    <w:pPr>
      <w:jc w:val="center"/>
    </w:pPr>
    <w:rPr>
      <w:rFonts w:ascii="宋体"/>
      <w:b/>
      <w:snapToGrid w:val="0"/>
      <w:kern w:val="0"/>
      <w:sz w:val="36"/>
      <w:szCs w:val="20"/>
    </w:rPr>
  </w:style>
  <w:style w:type="paragraph" w:styleId="46">
    <w:name w:val="annotation subject"/>
    <w:basedOn w:val="18"/>
    <w:next w:val="18"/>
    <w:link w:val="129"/>
    <w:autoRedefine/>
    <w:unhideWhenUsed/>
    <w:qFormat/>
    <w:uiPriority w:val="0"/>
    <w:rPr>
      <w:b/>
      <w:bCs/>
    </w:rPr>
  </w:style>
  <w:style w:type="paragraph" w:styleId="47">
    <w:name w:val="Body Text First Indent 2"/>
    <w:basedOn w:val="21"/>
    <w:link w:val="240"/>
    <w:autoRedefine/>
    <w:semiHidden/>
    <w:unhideWhenUsed/>
    <w:qFormat/>
    <w:uiPriority w:val="0"/>
    <w:pPr>
      <w:ind w:firstLine="420" w:firstLineChars="200"/>
    </w:pPr>
  </w:style>
  <w:style w:type="table" w:styleId="49">
    <w:name w:val="Table Grid"/>
    <w:basedOn w:val="4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link w:val="52"/>
    <w:autoRedefine/>
    <w:qFormat/>
    <w:uiPriority w:val="0"/>
    <w:rPr>
      <w:sz w:val="18"/>
      <w:szCs w:val="18"/>
    </w:rPr>
  </w:style>
  <w:style w:type="paragraph" w:customStyle="1" w:styleId="52">
    <w:name w:val="Balloon Text_file_599"/>
    <w:basedOn w:val="53"/>
    <w:link w:val="51"/>
    <w:autoRedefine/>
    <w:semiHidden/>
    <w:unhideWhenUsed/>
    <w:qFormat/>
    <w:uiPriority w:val="99"/>
    <w:rPr>
      <w:sz w:val="18"/>
      <w:szCs w:val="18"/>
    </w:rPr>
  </w:style>
  <w:style w:type="paragraph" w:customStyle="1" w:styleId="53">
    <w:name w:val="Normal_file_599"/>
    <w:autoRedefine/>
    <w:qFormat/>
    <w:uiPriority w:val="0"/>
    <w:pPr>
      <w:widowControl w:val="0"/>
      <w:jc w:val="both"/>
    </w:pPr>
    <w:rPr>
      <w:rFonts w:ascii="Times New Roman" w:hAnsi="Times New Roman" w:eastAsia="宋体" w:cs="Times New Roman"/>
      <w:lang w:val="en-US" w:eastAsia="zh-CN" w:bidi="ar-SA"/>
    </w:rPr>
  </w:style>
  <w:style w:type="character" w:styleId="54">
    <w:name w:val="page number"/>
    <w:basedOn w:val="50"/>
    <w:autoRedefine/>
    <w:qFormat/>
    <w:uiPriority w:val="0"/>
  </w:style>
  <w:style w:type="character" w:styleId="55">
    <w:name w:val="FollowedHyperlink"/>
    <w:link w:val="56"/>
    <w:autoRedefine/>
    <w:qFormat/>
    <w:uiPriority w:val="99"/>
    <w:rPr>
      <w:color w:val="800080"/>
      <w:u w:val="single"/>
    </w:rPr>
  </w:style>
  <w:style w:type="paragraph" w:customStyle="1" w:styleId="56">
    <w:name w:val="header_file_599"/>
    <w:basedOn w:val="53"/>
    <w:link w:val="55"/>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57">
    <w:name w:val="Emphasis"/>
    <w:autoRedefine/>
    <w:qFormat/>
    <w:uiPriority w:val="0"/>
    <w:rPr>
      <w:color w:val="CC0000"/>
    </w:rPr>
  </w:style>
  <w:style w:type="character" w:styleId="58">
    <w:name w:val="Hyperlink"/>
    <w:link w:val="59"/>
    <w:autoRedefine/>
    <w:qFormat/>
    <w:uiPriority w:val="99"/>
    <w:rPr>
      <w:rFonts w:ascii="宋体" w:hAnsi="Courier New" w:eastAsia="宋体" w:cs="Courier New"/>
      <w:szCs w:val="21"/>
    </w:rPr>
  </w:style>
  <w:style w:type="paragraph" w:customStyle="1" w:styleId="59">
    <w:name w:val="Plain Text_file_599"/>
    <w:basedOn w:val="53"/>
    <w:link w:val="58"/>
    <w:autoRedefine/>
    <w:qFormat/>
    <w:uiPriority w:val="0"/>
    <w:rPr>
      <w:rFonts w:ascii="宋体" w:hAnsi="Courier New" w:eastAsia="宋体" w:cs="Courier New"/>
      <w:szCs w:val="21"/>
    </w:rPr>
  </w:style>
  <w:style w:type="character" w:styleId="60">
    <w:name w:val="annotation reference"/>
    <w:autoRedefine/>
    <w:unhideWhenUsed/>
    <w:qFormat/>
    <w:uiPriority w:val="99"/>
    <w:rPr>
      <w:sz w:val="21"/>
      <w:szCs w:val="21"/>
    </w:rPr>
  </w:style>
  <w:style w:type="paragraph" w:customStyle="1" w:styleId="61">
    <w:name w:val="Balloon Text_file_161"/>
    <w:basedOn w:val="62"/>
    <w:link w:val="51"/>
    <w:autoRedefine/>
    <w:unhideWhenUsed/>
    <w:qFormat/>
    <w:uiPriority w:val="99"/>
    <w:rPr>
      <w:sz w:val="18"/>
      <w:szCs w:val="18"/>
    </w:rPr>
  </w:style>
  <w:style w:type="paragraph" w:customStyle="1" w:styleId="62">
    <w:name w:val="Normal_file_161"/>
    <w:autoRedefine/>
    <w:qFormat/>
    <w:uiPriority w:val="0"/>
    <w:pPr>
      <w:widowControl w:val="0"/>
      <w:jc w:val="both"/>
    </w:pPr>
    <w:rPr>
      <w:rFonts w:ascii="Times New Roman" w:hAnsi="Times New Roman" w:eastAsia="宋体" w:cs="Times New Roman"/>
      <w:lang w:val="en-US" w:eastAsia="zh-CN" w:bidi="ar-SA"/>
    </w:rPr>
  </w:style>
  <w:style w:type="paragraph" w:customStyle="1" w:styleId="63">
    <w:name w:val="Plain Text_file_161"/>
    <w:basedOn w:val="62"/>
    <w:link w:val="58"/>
    <w:autoRedefine/>
    <w:qFormat/>
    <w:uiPriority w:val="0"/>
    <w:rPr>
      <w:rFonts w:ascii="宋体" w:hAnsi="Courier New" w:eastAsia="宋体" w:cs="Courier New"/>
      <w:szCs w:val="21"/>
    </w:rPr>
  </w:style>
  <w:style w:type="character" w:customStyle="1" w:styleId="64">
    <w:name w:val="font51"/>
    <w:autoRedefine/>
    <w:qFormat/>
    <w:uiPriority w:val="0"/>
    <w:rPr>
      <w:rFonts w:hint="eastAsia" w:ascii="宋体" w:hAnsi="宋体" w:eastAsia="宋体" w:cs="宋体"/>
      <w:color w:val="000000"/>
      <w:sz w:val="20"/>
      <w:szCs w:val="20"/>
      <w:u w:val="none"/>
    </w:rPr>
  </w:style>
  <w:style w:type="character" w:customStyle="1" w:styleId="65">
    <w:name w:val="正文文本缩进 2 Char2"/>
    <w:autoRedefine/>
    <w:semiHidden/>
    <w:qFormat/>
    <w:uiPriority w:val="99"/>
    <w:rPr>
      <w:kern w:val="2"/>
      <w:sz w:val="21"/>
      <w:szCs w:val="24"/>
    </w:rPr>
  </w:style>
  <w:style w:type="character" w:customStyle="1" w:styleId="66">
    <w:name w:val="宏文本 Char1"/>
    <w:autoRedefine/>
    <w:qFormat/>
    <w:uiPriority w:val="99"/>
    <w:rPr>
      <w:rFonts w:ascii="Courier New" w:hAnsi="Courier New" w:cs="Courier New"/>
      <w:kern w:val="2"/>
      <w:sz w:val="24"/>
      <w:szCs w:val="24"/>
    </w:rPr>
  </w:style>
  <w:style w:type="character" w:customStyle="1" w:styleId="67">
    <w:name w:val="正文文本缩进 2 Char1"/>
    <w:autoRedefine/>
    <w:semiHidden/>
    <w:qFormat/>
    <w:uiPriority w:val="99"/>
    <w:rPr>
      <w:rFonts w:ascii="Times New Roman" w:hAnsi="Times New Roman" w:eastAsia="宋体" w:cs="Times New Roman"/>
      <w:szCs w:val="24"/>
    </w:rPr>
  </w:style>
  <w:style w:type="character" w:customStyle="1" w:styleId="68">
    <w:name w:val="样式2"/>
    <w:autoRedefine/>
    <w:qFormat/>
    <w:uiPriority w:val="0"/>
    <w:rPr>
      <w:rFonts w:ascii="宋体" w:hAnsi="宋体"/>
      <w:b/>
      <w:szCs w:val="21"/>
    </w:rPr>
  </w:style>
  <w:style w:type="character" w:customStyle="1" w:styleId="69">
    <w:name w:val="apple-converted-space"/>
    <w:basedOn w:val="50"/>
    <w:autoRedefine/>
    <w:qFormat/>
    <w:uiPriority w:val="0"/>
  </w:style>
  <w:style w:type="character" w:customStyle="1" w:styleId="70">
    <w:name w:val="标题 9 字符"/>
    <w:link w:val="13"/>
    <w:autoRedefine/>
    <w:qFormat/>
    <w:uiPriority w:val="0"/>
    <w:rPr>
      <w:rFonts w:ascii="Arial" w:hAnsi="Arial" w:eastAsia="黑体"/>
      <w:kern w:val="2"/>
      <w:sz w:val="21"/>
      <w:szCs w:val="24"/>
    </w:rPr>
  </w:style>
  <w:style w:type="character" w:customStyle="1" w:styleId="71">
    <w:name w:val="题注 字符"/>
    <w:link w:val="16"/>
    <w:autoRedefine/>
    <w:qFormat/>
    <w:uiPriority w:val="0"/>
    <w:rPr>
      <w:rFonts w:ascii="Arial" w:hAnsi="Arial" w:eastAsia="黑体" w:cs="Arial"/>
      <w:kern w:val="2"/>
    </w:rPr>
  </w:style>
  <w:style w:type="character" w:customStyle="1" w:styleId="72">
    <w:name w:val="标题 5 字符"/>
    <w:link w:val="8"/>
    <w:autoRedefine/>
    <w:qFormat/>
    <w:uiPriority w:val="0"/>
    <w:rPr>
      <w:b/>
      <w:kern w:val="2"/>
      <w:sz w:val="28"/>
      <w:szCs w:val="24"/>
    </w:rPr>
  </w:style>
  <w:style w:type="character" w:customStyle="1" w:styleId="73">
    <w:name w:val="正文文本 3 Char1"/>
    <w:autoRedefine/>
    <w:qFormat/>
    <w:uiPriority w:val="99"/>
    <w:rPr>
      <w:kern w:val="2"/>
      <w:sz w:val="16"/>
      <w:szCs w:val="16"/>
    </w:rPr>
  </w:style>
  <w:style w:type="character" w:customStyle="1" w:styleId="74">
    <w:name w:val="标题 3 字符"/>
    <w:link w:val="6"/>
    <w:autoRedefine/>
    <w:qFormat/>
    <w:uiPriority w:val="0"/>
    <w:rPr>
      <w:b/>
      <w:bCs/>
      <w:kern w:val="2"/>
      <w:sz w:val="32"/>
      <w:szCs w:val="32"/>
    </w:rPr>
  </w:style>
  <w:style w:type="character" w:customStyle="1" w:styleId="75">
    <w:name w:val="样式1"/>
    <w:autoRedefine/>
    <w:qFormat/>
    <w:uiPriority w:val="0"/>
    <w:rPr>
      <w:rFonts w:ascii="宋体" w:hAnsi="宋体"/>
      <w:szCs w:val="21"/>
    </w:rPr>
  </w:style>
  <w:style w:type="character" w:customStyle="1" w:styleId="76">
    <w:name w:val="标题 2 字符"/>
    <w:link w:val="5"/>
    <w:autoRedefine/>
    <w:qFormat/>
    <w:uiPriority w:val="0"/>
    <w:rPr>
      <w:rFonts w:eastAsia="隶书"/>
      <w:b/>
      <w:sz w:val="44"/>
    </w:rPr>
  </w:style>
  <w:style w:type="character" w:customStyle="1" w:styleId="77">
    <w:name w:val="正文文本缩进 字符"/>
    <w:link w:val="21"/>
    <w:autoRedefine/>
    <w:qFormat/>
    <w:uiPriority w:val="0"/>
    <w:rPr>
      <w:kern w:val="2"/>
      <w:sz w:val="21"/>
      <w:szCs w:val="24"/>
    </w:rPr>
  </w:style>
  <w:style w:type="character" w:customStyle="1" w:styleId="78">
    <w:name w:val="页脚 Char2"/>
    <w:autoRedefine/>
    <w:semiHidden/>
    <w:qFormat/>
    <w:uiPriority w:val="99"/>
    <w:rPr>
      <w:kern w:val="2"/>
      <w:sz w:val="18"/>
      <w:szCs w:val="18"/>
    </w:rPr>
  </w:style>
  <w:style w:type="character" w:customStyle="1" w:styleId="79">
    <w:name w:val="列表段落 字符"/>
    <w:link w:val="80"/>
    <w:autoRedefine/>
    <w:qFormat/>
    <w:locked/>
    <w:uiPriority w:val="34"/>
    <w:rPr>
      <w:rFonts w:ascii="Calibri" w:hAnsi="Calibri"/>
      <w:kern w:val="2"/>
      <w:sz w:val="21"/>
      <w:szCs w:val="22"/>
    </w:rPr>
  </w:style>
  <w:style w:type="paragraph" w:styleId="80">
    <w:name w:val="List Paragraph"/>
    <w:basedOn w:val="1"/>
    <w:link w:val="79"/>
    <w:autoRedefine/>
    <w:qFormat/>
    <w:uiPriority w:val="34"/>
    <w:pPr>
      <w:ind w:firstLine="420" w:firstLineChars="200"/>
    </w:pPr>
    <w:rPr>
      <w:rFonts w:ascii="Calibri" w:hAnsi="Calibri"/>
      <w:szCs w:val="22"/>
    </w:rPr>
  </w:style>
  <w:style w:type="character" w:customStyle="1" w:styleId="81">
    <w:name w:val="gray"/>
    <w:autoRedefine/>
    <w:qFormat/>
    <w:uiPriority w:val="0"/>
    <w:rPr>
      <w:rFonts w:ascii="Tahoma" w:hAnsi="Tahoma" w:eastAsia="宋体"/>
      <w:kern w:val="2"/>
      <w:sz w:val="24"/>
      <w:szCs w:val="24"/>
      <w:lang w:val="en-US" w:eastAsia="zh-CN" w:bidi="ar-SA"/>
    </w:rPr>
  </w:style>
  <w:style w:type="character" w:customStyle="1" w:styleId="82">
    <w:name w:val="HTML 预设格式 Char1"/>
    <w:autoRedefine/>
    <w:qFormat/>
    <w:uiPriority w:val="99"/>
    <w:rPr>
      <w:rFonts w:ascii="Courier New" w:hAnsi="Courier New" w:cs="Courier New"/>
      <w:kern w:val="2"/>
    </w:rPr>
  </w:style>
  <w:style w:type="character" w:customStyle="1" w:styleId="83">
    <w:name w:val="mark"/>
    <w:basedOn w:val="50"/>
    <w:autoRedefine/>
    <w:qFormat/>
    <w:uiPriority w:val="0"/>
  </w:style>
  <w:style w:type="character" w:customStyle="1" w:styleId="84">
    <w:name w:val="A15"/>
    <w:autoRedefine/>
    <w:qFormat/>
    <w:uiPriority w:val="0"/>
    <w:rPr>
      <w:rFonts w:ascii="Times New Roman" w:hAnsi="Times New Roman"/>
      <w:color w:val="000000"/>
      <w:sz w:val="14"/>
      <w:szCs w:val="14"/>
    </w:rPr>
  </w:style>
  <w:style w:type="character" w:customStyle="1" w:styleId="85">
    <w:name w:val="日期 Char1"/>
    <w:autoRedefine/>
    <w:semiHidden/>
    <w:qFormat/>
    <w:uiPriority w:val="99"/>
    <w:rPr>
      <w:rFonts w:ascii="Times New Roman" w:hAnsi="Times New Roman" w:eastAsia="宋体" w:cs="Times New Roman"/>
      <w:szCs w:val="24"/>
    </w:rPr>
  </w:style>
  <w:style w:type="character" w:customStyle="1" w:styleId="86">
    <w:name w:val="引用 字符"/>
    <w:link w:val="87"/>
    <w:autoRedefine/>
    <w:qFormat/>
    <w:uiPriority w:val="29"/>
    <w:rPr>
      <w:i/>
      <w:iCs/>
      <w:color w:val="404040"/>
      <w:kern w:val="2"/>
      <w:sz w:val="21"/>
      <w:szCs w:val="24"/>
    </w:rPr>
  </w:style>
  <w:style w:type="paragraph" w:styleId="87">
    <w:name w:val="Quote"/>
    <w:basedOn w:val="1"/>
    <w:next w:val="1"/>
    <w:link w:val="86"/>
    <w:autoRedefine/>
    <w:qFormat/>
    <w:uiPriority w:val="29"/>
    <w:pPr>
      <w:spacing w:before="200" w:after="160"/>
      <w:ind w:left="864" w:right="864"/>
      <w:jc w:val="center"/>
    </w:pPr>
    <w:rPr>
      <w:i/>
      <w:iCs/>
      <w:color w:val="404040"/>
    </w:rPr>
  </w:style>
  <w:style w:type="character" w:customStyle="1" w:styleId="88">
    <w:name w:val="超链接2"/>
    <w:autoRedefine/>
    <w:qFormat/>
    <w:uiPriority w:val="0"/>
    <w:rPr>
      <w:rFonts w:hint="eastAsia" w:ascii="宋体" w:hAnsi="宋体" w:eastAsia="宋体"/>
      <w:color w:val="FFFFFF"/>
      <w:sz w:val="18"/>
      <w:szCs w:val="18"/>
      <w:u w:val="none"/>
    </w:rPr>
  </w:style>
  <w:style w:type="character" w:customStyle="1" w:styleId="89">
    <w:name w:val="ca-2"/>
    <w:basedOn w:val="50"/>
    <w:autoRedefine/>
    <w:qFormat/>
    <w:uiPriority w:val="0"/>
  </w:style>
  <w:style w:type="character" w:customStyle="1" w:styleId="90">
    <w:name w:val="页脚 Char1"/>
    <w:autoRedefine/>
    <w:semiHidden/>
    <w:qFormat/>
    <w:uiPriority w:val="99"/>
    <w:rPr>
      <w:rFonts w:ascii="Times New Roman" w:hAnsi="Times New Roman" w:eastAsia="宋体" w:cs="Times New Roman"/>
      <w:sz w:val="18"/>
      <w:szCs w:val="18"/>
    </w:rPr>
  </w:style>
  <w:style w:type="character" w:customStyle="1" w:styleId="91">
    <w:name w:val="正文文本 3 字符"/>
    <w:link w:val="19"/>
    <w:autoRedefine/>
    <w:qFormat/>
    <w:uiPriority w:val="0"/>
    <w:rPr>
      <w:b/>
      <w:bCs/>
      <w:sz w:val="24"/>
      <w:szCs w:val="24"/>
    </w:rPr>
  </w:style>
  <w:style w:type="character" w:customStyle="1" w:styleId="92">
    <w:name w:val="引用 Char1"/>
    <w:autoRedefine/>
    <w:qFormat/>
    <w:uiPriority w:val="99"/>
    <w:rPr>
      <w:rFonts w:ascii="Times New Roman" w:hAnsi="Times New Roman"/>
      <w:i/>
      <w:iCs/>
      <w:color w:val="000000"/>
      <w:kern w:val="2"/>
      <w:sz w:val="21"/>
      <w:szCs w:val="24"/>
    </w:rPr>
  </w:style>
  <w:style w:type="character" w:customStyle="1" w:styleId="93">
    <w:name w:val="正文缩进 字符"/>
    <w:link w:val="9"/>
    <w:autoRedefine/>
    <w:qFormat/>
    <w:uiPriority w:val="0"/>
    <w:rPr>
      <w:rFonts w:ascii="宋体"/>
      <w:snapToGrid w:val="0"/>
    </w:rPr>
  </w:style>
  <w:style w:type="character" w:customStyle="1" w:styleId="94">
    <w:name w:val="标题 7 字符"/>
    <w:link w:val="11"/>
    <w:autoRedefine/>
    <w:qFormat/>
    <w:uiPriority w:val="0"/>
    <w:rPr>
      <w:b/>
      <w:kern w:val="2"/>
      <w:sz w:val="24"/>
      <w:szCs w:val="24"/>
    </w:rPr>
  </w:style>
  <w:style w:type="character" w:customStyle="1" w:styleId="95">
    <w:name w:val="style21"/>
    <w:autoRedefine/>
    <w:qFormat/>
    <w:uiPriority w:val="0"/>
    <w:rPr>
      <w:sz w:val="22"/>
      <w:szCs w:val="22"/>
    </w:rPr>
  </w:style>
  <w:style w:type="character" w:customStyle="1" w:styleId="96">
    <w:name w:val="A4"/>
    <w:autoRedefine/>
    <w:qFormat/>
    <w:uiPriority w:val="0"/>
    <w:rPr>
      <w:rFonts w:ascii="新宋体" w:eastAsia="新宋体" w:cs="新宋体"/>
      <w:color w:val="000000"/>
      <w:lang w:bidi="ar-SA"/>
    </w:rPr>
  </w:style>
  <w:style w:type="character" w:customStyle="1" w:styleId="97">
    <w:name w:val="纯文本 字符1"/>
    <w:autoRedefine/>
    <w:qFormat/>
    <w:uiPriority w:val="0"/>
    <w:rPr>
      <w:rFonts w:ascii="宋体" w:hAnsi="Courier New" w:eastAsia="宋体" w:cs="Courier New"/>
      <w:szCs w:val="21"/>
    </w:rPr>
  </w:style>
  <w:style w:type="character" w:customStyle="1" w:styleId="98">
    <w:name w:val="Subtle Emphasis"/>
    <w:autoRedefine/>
    <w:qFormat/>
    <w:uiPriority w:val="19"/>
    <w:rPr>
      <w:i/>
      <w:iCs/>
      <w:color w:val="808080"/>
    </w:rPr>
  </w:style>
  <w:style w:type="character" w:customStyle="1" w:styleId="99">
    <w:name w:val="宏文本 字符"/>
    <w:link w:val="3"/>
    <w:autoRedefine/>
    <w:qFormat/>
    <w:uiPriority w:val="99"/>
    <w:rPr>
      <w:rFonts w:ascii="Courier New" w:hAnsi="Courier New"/>
      <w:kern w:val="2"/>
      <w:sz w:val="24"/>
      <w:szCs w:val="24"/>
      <w:lang w:val="en-US" w:eastAsia="zh-CN" w:bidi="ar-SA"/>
    </w:rPr>
  </w:style>
  <w:style w:type="character" w:customStyle="1" w:styleId="100">
    <w:name w:val="正文文本缩进 3 Char2"/>
    <w:autoRedefine/>
    <w:semiHidden/>
    <w:qFormat/>
    <w:uiPriority w:val="99"/>
    <w:rPr>
      <w:kern w:val="2"/>
      <w:sz w:val="16"/>
      <w:szCs w:val="16"/>
    </w:rPr>
  </w:style>
  <w:style w:type="character" w:customStyle="1" w:styleId="101">
    <w:name w:val="日期 字符"/>
    <w:link w:val="29"/>
    <w:autoRedefine/>
    <w:qFormat/>
    <w:uiPriority w:val="0"/>
    <w:rPr>
      <w:kern w:val="2"/>
      <w:sz w:val="24"/>
      <w:szCs w:val="24"/>
    </w:rPr>
  </w:style>
  <w:style w:type="character" w:customStyle="1" w:styleId="102">
    <w:name w:val="正文文本缩进 3 Char1"/>
    <w:autoRedefine/>
    <w:semiHidden/>
    <w:qFormat/>
    <w:uiPriority w:val="99"/>
    <w:rPr>
      <w:rFonts w:ascii="Times New Roman" w:hAnsi="Times New Roman" w:eastAsia="宋体" w:cs="Times New Roman"/>
      <w:sz w:val="16"/>
      <w:szCs w:val="16"/>
    </w:rPr>
  </w:style>
  <w:style w:type="character" w:customStyle="1" w:styleId="103">
    <w:name w:val="普通文字 Char Char4"/>
    <w:autoRedefine/>
    <w:qFormat/>
    <w:uiPriority w:val="0"/>
    <w:rPr>
      <w:rFonts w:ascii="宋体" w:hAnsi="Courier New" w:eastAsia="宋体" w:cs="Courier New"/>
      <w:szCs w:val="21"/>
    </w:rPr>
  </w:style>
  <w:style w:type="character" w:customStyle="1" w:styleId="104">
    <w:name w:val="text1"/>
    <w:basedOn w:val="50"/>
    <w:autoRedefine/>
    <w:qFormat/>
    <w:uiPriority w:val="0"/>
  </w:style>
  <w:style w:type="character" w:customStyle="1" w:styleId="105">
    <w:name w:val="表正文 Char2"/>
    <w:autoRedefine/>
    <w:qFormat/>
    <w:uiPriority w:val="0"/>
    <w:rPr>
      <w:rFonts w:ascii="Times New Roman" w:hAnsi="Times New Roman"/>
      <w:kern w:val="2"/>
      <w:sz w:val="21"/>
    </w:rPr>
  </w:style>
  <w:style w:type="character" w:customStyle="1" w:styleId="106">
    <w:name w:val="项目排列 Char Char"/>
    <w:link w:val="107"/>
    <w:autoRedefine/>
    <w:qFormat/>
    <w:uiPriority w:val="0"/>
    <w:rPr>
      <w:kern w:val="2"/>
      <w:sz w:val="24"/>
      <w:szCs w:val="24"/>
    </w:rPr>
  </w:style>
  <w:style w:type="paragraph" w:customStyle="1" w:styleId="107">
    <w:name w:val="项目排列"/>
    <w:basedOn w:val="1"/>
    <w:link w:val="106"/>
    <w:autoRedefine/>
    <w:qFormat/>
    <w:uiPriority w:val="0"/>
    <w:pPr>
      <w:numPr>
        <w:ilvl w:val="0"/>
        <w:numId w:val="1"/>
      </w:numPr>
      <w:tabs>
        <w:tab w:val="left" w:pos="1200"/>
      </w:tabs>
      <w:spacing w:before="156" w:beforeLines="50" w:after="156" w:afterLines="50" w:line="300" w:lineRule="auto"/>
    </w:pPr>
    <w:rPr>
      <w:sz w:val="24"/>
    </w:rPr>
  </w:style>
  <w:style w:type="character" w:customStyle="1" w:styleId="108">
    <w:name w:val="正文文本缩进 3 字符"/>
    <w:link w:val="2"/>
    <w:autoRedefine/>
    <w:qFormat/>
    <w:uiPriority w:val="0"/>
    <w:rPr>
      <w:kern w:val="2"/>
      <w:sz w:val="16"/>
      <w:szCs w:val="16"/>
    </w:rPr>
  </w:style>
  <w:style w:type="character" w:customStyle="1" w:styleId="109">
    <w:name w:val="text11"/>
    <w:autoRedefine/>
    <w:qFormat/>
    <w:uiPriority w:val="0"/>
    <w:rPr>
      <w:rFonts w:hint="default" w:ascii="Verdana" w:hAnsi="Verdana"/>
      <w:color w:val="4E4E4E"/>
      <w:sz w:val="18"/>
      <w:szCs w:val="18"/>
    </w:rPr>
  </w:style>
  <w:style w:type="character" w:customStyle="1" w:styleId="110">
    <w:name w:val="批注文字 字符"/>
    <w:link w:val="18"/>
    <w:autoRedefine/>
    <w:qFormat/>
    <w:uiPriority w:val="99"/>
    <w:rPr>
      <w:kern w:val="2"/>
      <w:sz w:val="21"/>
      <w:szCs w:val="24"/>
    </w:rPr>
  </w:style>
  <w:style w:type="character" w:customStyle="1" w:styleId="111">
    <w:name w:val="lmain1"/>
    <w:autoRedefine/>
    <w:qFormat/>
    <w:uiPriority w:val="0"/>
    <w:rPr>
      <w:color w:val="407AAB"/>
      <w:sz w:val="30"/>
      <w:szCs w:val="30"/>
    </w:rPr>
  </w:style>
  <w:style w:type="character" w:customStyle="1" w:styleId="112">
    <w:name w:val="case31"/>
    <w:autoRedefine/>
    <w:qFormat/>
    <w:uiPriority w:val="0"/>
    <w:rPr>
      <w:rFonts w:hint="default"/>
      <w:sz w:val="21"/>
      <w:szCs w:val="21"/>
    </w:rPr>
  </w:style>
  <w:style w:type="character" w:customStyle="1" w:styleId="113">
    <w:name w:val="ca-11"/>
    <w:autoRedefine/>
    <w:qFormat/>
    <w:uiPriority w:val="0"/>
    <w:rPr>
      <w:rFonts w:hint="eastAsia" w:ascii="宋体" w:hAnsi="宋体" w:eastAsia="宋体"/>
      <w:b/>
      <w:bCs/>
      <w:spacing w:val="-20"/>
      <w:sz w:val="21"/>
      <w:szCs w:val="21"/>
    </w:rPr>
  </w:style>
  <w:style w:type="character" w:customStyle="1" w:styleId="114">
    <w:name w:val="f161"/>
    <w:autoRedefine/>
    <w:qFormat/>
    <w:uiPriority w:val="0"/>
    <w:rPr>
      <w:b/>
      <w:bCs/>
      <w:sz w:val="24"/>
      <w:szCs w:val="24"/>
    </w:rPr>
  </w:style>
  <w:style w:type="character" w:customStyle="1" w:styleId="115">
    <w:name w:val="标题 4 字符"/>
    <w:link w:val="7"/>
    <w:autoRedefine/>
    <w:qFormat/>
    <w:uiPriority w:val="0"/>
    <w:rPr>
      <w:rFonts w:ascii="Arial" w:hAnsi="Arial" w:eastAsia="黑体"/>
      <w:b/>
      <w:bCs/>
      <w:kern w:val="2"/>
      <w:sz w:val="28"/>
      <w:szCs w:val="28"/>
    </w:rPr>
  </w:style>
  <w:style w:type="character" w:customStyle="1" w:styleId="116">
    <w:name w:val="正文文本 2 Char2"/>
    <w:autoRedefine/>
    <w:qFormat/>
    <w:uiPriority w:val="99"/>
    <w:rPr>
      <w:kern w:val="2"/>
      <w:sz w:val="21"/>
      <w:szCs w:val="24"/>
    </w:rPr>
  </w:style>
  <w:style w:type="character" w:customStyle="1" w:styleId="117">
    <w:name w:val="style1"/>
    <w:basedOn w:val="50"/>
    <w:autoRedefine/>
    <w:qFormat/>
    <w:uiPriority w:val="0"/>
  </w:style>
  <w:style w:type="character" w:customStyle="1" w:styleId="118">
    <w:name w:val="ca-21"/>
    <w:autoRedefine/>
    <w:qFormat/>
    <w:uiPriority w:val="0"/>
    <w:rPr>
      <w:rFonts w:hint="eastAsia" w:ascii="宋体" w:hAnsi="宋体" w:eastAsia="宋体"/>
      <w:sz w:val="21"/>
      <w:szCs w:val="21"/>
    </w:rPr>
  </w:style>
  <w:style w:type="character" w:customStyle="1" w:styleId="119">
    <w:name w:val="HTML 预设格式 字符"/>
    <w:link w:val="42"/>
    <w:autoRedefine/>
    <w:qFormat/>
    <w:uiPriority w:val="99"/>
    <w:rPr>
      <w:rFonts w:ascii="宋体" w:hAnsi="宋体" w:cs="宋体"/>
      <w:sz w:val="24"/>
      <w:szCs w:val="24"/>
    </w:rPr>
  </w:style>
  <w:style w:type="character" w:customStyle="1" w:styleId="120">
    <w:name w:val="Char Char11"/>
    <w:autoRedefine/>
    <w:qFormat/>
    <w:uiPriority w:val="0"/>
    <w:rPr>
      <w:rFonts w:ascii="宋体" w:hAnsi="Courier New" w:eastAsia="宋体" w:cs="Courier New"/>
      <w:szCs w:val="21"/>
    </w:rPr>
  </w:style>
  <w:style w:type="character" w:customStyle="1" w:styleId="121">
    <w:name w:val="日期 Char2"/>
    <w:autoRedefine/>
    <w:semiHidden/>
    <w:qFormat/>
    <w:uiPriority w:val="99"/>
    <w:rPr>
      <w:kern w:val="2"/>
      <w:sz w:val="21"/>
      <w:szCs w:val="24"/>
    </w:rPr>
  </w:style>
  <w:style w:type="character" w:customStyle="1" w:styleId="122">
    <w:name w:val="hei16b"/>
    <w:basedOn w:val="50"/>
    <w:autoRedefine/>
    <w:qFormat/>
    <w:uiPriority w:val="0"/>
  </w:style>
  <w:style w:type="character" w:customStyle="1" w:styleId="123">
    <w:name w:val="标题 1 字符"/>
    <w:link w:val="4"/>
    <w:autoRedefine/>
    <w:qFormat/>
    <w:uiPriority w:val="0"/>
    <w:rPr>
      <w:b/>
      <w:bCs/>
      <w:kern w:val="44"/>
      <w:sz w:val="44"/>
      <w:szCs w:val="44"/>
    </w:rPr>
  </w:style>
  <w:style w:type="character" w:customStyle="1" w:styleId="124">
    <w:name w:val="页眉 Char1"/>
    <w:autoRedefine/>
    <w:semiHidden/>
    <w:qFormat/>
    <w:uiPriority w:val="99"/>
    <w:rPr>
      <w:kern w:val="2"/>
      <w:sz w:val="18"/>
      <w:szCs w:val="18"/>
    </w:rPr>
  </w:style>
  <w:style w:type="character" w:customStyle="1" w:styleId="125">
    <w:name w:val="正文缩进 Char1"/>
    <w:autoRedefine/>
    <w:qFormat/>
    <w:uiPriority w:val="0"/>
    <w:rPr>
      <w:rFonts w:ascii="Times New Roman" w:hAnsi="Times New Roman"/>
      <w:kern w:val="2"/>
      <w:sz w:val="21"/>
    </w:rPr>
  </w:style>
  <w:style w:type="character" w:customStyle="1" w:styleId="126">
    <w:name w:val="font12-blue-bold1"/>
    <w:autoRedefine/>
    <w:qFormat/>
    <w:uiPriority w:val="0"/>
    <w:rPr>
      <w:b/>
      <w:bCs/>
      <w:color w:val="0249A5"/>
      <w:sz w:val="14"/>
      <w:szCs w:val="14"/>
      <w:u w:val="none"/>
    </w:rPr>
  </w:style>
  <w:style w:type="character" w:customStyle="1" w:styleId="127">
    <w:name w:val="正文文本 字符"/>
    <w:link w:val="20"/>
    <w:autoRedefine/>
    <w:qFormat/>
    <w:uiPriority w:val="0"/>
    <w:rPr>
      <w:kern w:val="2"/>
      <w:sz w:val="24"/>
      <w:szCs w:val="24"/>
    </w:rPr>
  </w:style>
  <w:style w:type="character" w:customStyle="1" w:styleId="128">
    <w:name w:val="Body Text Indent 3 Char"/>
    <w:autoRedefine/>
    <w:qFormat/>
    <w:locked/>
    <w:uiPriority w:val="99"/>
    <w:rPr>
      <w:rFonts w:eastAsia="宋体"/>
      <w:sz w:val="16"/>
    </w:rPr>
  </w:style>
  <w:style w:type="character" w:customStyle="1" w:styleId="129">
    <w:name w:val="批注主题 字符"/>
    <w:link w:val="46"/>
    <w:autoRedefine/>
    <w:qFormat/>
    <w:uiPriority w:val="0"/>
    <w:rPr>
      <w:b/>
      <w:bCs/>
      <w:kern w:val="2"/>
      <w:sz w:val="21"/>
      <w:szCs w:val="24"/>
    </w:rPr>
  </w:style>
  <w:style w:type="character" w:customStyle="1" w:styleId="130">
    <w:name w:val="bold1"/>
    <w:autoRedefine/>
    <w:qFormat/>
    <w:uiPriority w:val="0"/>
    <w:rPr>
      <w:rFonts w:hint="default"/>
      <w:b/>
      <w:bCs/>
      <w:color w:val="000000"/>
      <w:sz w:val="18"/>
      <w:szCs w:val="18"/>
    </w:rPr>
  </w:style>
  <w:style w:type="character" w:customStyle="1" w:styleId="131">
    <w:name w:val="标题 6 字符"/>
    <w:link w:val="10"/>
    <w:autoRedefine/>
    <w:qFormat/>
    <w:uiPriority w:val="0"/>
    <w:rPr>
      <w:rFonts w:ascii="Arial" w:hAnsi="Arial" w:eastAsia="黑体"/>
      <w:b/>
      <w:kern w:val="2"/>
      <w:sz w:val="24"/>
      <w:szCs w:val="24"/>
    </w:rPr>
  </w:style>
  <w:style w:type="character" w:customStyle="1" w:styleId="132">
    <w:name w:val="文档结构图 Char1"/>
    <w:autoRedefine/>
    <w:qFormat/>
    <w:uiPriority w:val="99"/>
    <w:rPr>
      <w:rFonts w:ascii="宋体"/>
      <w:kern w:val="2"/>
      <w:sz w:val="18"/>
      <w:szCs w:val="18"/>
    </w:rPr>
  </w:style>
  <w:style w:type="character" w:customStyle="1" w:styleId="133">
    <w:name w:val="正文文本 Char1"/>
    <w:autoRedefine/>
    <w:semiHidden/>
    <w:qFormat/>
    <w:uiPriority w:val="99"/>
    <w:rPr>
      <w:rFonts w:ascii="Times New Roman" w:hAnsi="Times New Roman" w:eastAsia="宋体" w:cs="Times New Roman"/>
      <w:szCs w:val="24"/>
    </w:rPr>
  </w:style>
  <w:style w:type="character" w:customStyle="1" w:styleId="134">
    <w:name w:val="页眉 字符"/>
    <w:link w:val="33"/>
    <w:autoRedefine/>
    <w:qFormat/>
    <w:uiPriority w:val="0"/>
    <w:rPr>
      <w:kern w:val="2"/>
      <w:sz w:val="18"/>
      <w:szCs w:val="18"/>
    </w:rPr>
  </w:style>
  <w:style w:type="character" w:customStyle="1" w:styleId="135">
    <w:name w:val="正文文本缩进 Char1"/>
    <w:autoRedefine/>
    <w:semiHidden/>
    <w:qFormat/>
    <w:uiPriority w:val="99"/>
    <w:rPr>
      <w:kern w:val="2"/>
      <w:sz w:val="21"/>
      <w:szCs w:val="24"/>
    </w:rPr>
  </w:style>
  <w:style w:type="character" w:customStyle="1" w:styleId="136">
    <w:name w:val="正文文本 2 Char1"/>
    <w:autoRedefine/>
    <w:semiHidden/>
    <w:qFormat/>
    <w:uiPriority w:val="99"/>
    <w:rPr>
      <w:rFonts w:ascii="Times New Roman" w:hAnsi="Times New Roman" w:eastAsia="宋体" w:cs="Times New Roman"/>
      <w:szCs w:val="24"/>
    </w:rPr>
  </w:style>
  <w:style w:type="character" w:customStyle="1" w:styleId="137">
    <w:name w:val="文档结构图 字符"/>
    <w:link w:val="17"/>
    <w:autoRedefine/>
    <w:qFormat/>
    <w:uiPriority w:val="0"/>
    <w:rPr>
      <w:kern w:val="2"/>
      <w:sz w:val="21"/>
      <w:szCs w:val="24"/>
      <w:shd w:val="clear" w:color="auto" w:fill="000080"/>
    </w:rPr>
  </w:style>
  <w:style w:type="character" w:customStyle="1" w:styleId="138">
    <w:name w:val="纯文本 字符"/>
    <w:link w:val="27"/>
    <w:autoRedefine/>
    <w:qFormat/>
    <w:uiPriority w:val="0"/>
    <w:rPr>
      <w:rFonts w:ascii="宋体" w:hAnsi="Courier New" w:eastAsia="宋体" w:cs="Courier New"/>
      <w:kern w:val="2"/>
      <w:sz w:val="21"/>
      <w:szCs w:val="21"/>
      <w:lang w:val="en-US" w:eastAsia="zh-CN" w:bidi="ar-SA"/>
    </w:rPr>
  </w:style>
  <w:style w:type="character" w:customStyle="1" w:styleId="139">
    <w:name w:val="apple-style-span"/>
    <w:autoRedefine/>
    <w:qFormat/>
    <w:uiPriority w:val="0"/>
  </w:style>
  <w:style w:type="character" w:customStyle="1" w:styleId="140">
    <w:name w:val="页脚 字符"/>
    <w:link w:val="32"/>
    <w:autoRedefine/>
    <w:qFormat/>
    <w:uiPriority w:val="99"/>
    <w:rPr>
      <w:kern w:val="2"/>
      <w:sz w:val="18"/>
      <w:szCs w:val="18"/>
    </w:rPr>
  </w:style>
  <w:style w:type="character" w:customStyle="1" w:styleId="141">
    <w:name w:val="标题 8 字符"/>
    <w:link w:val="12"/>
    <w:autoRedefine/>
    <w:qFormat/>
    <w:uiPriority w:val="0"/>
    <w:rPr>
      <w:rFonts w:ascii="Arial" w:hAnsi="Arial" w:eastAsia="黑体"/>
      <w:kern w:val="2"/>
      <w:sz w:val="24"/>
      <w:szCs w:val="24"/>
    </w:rPr>
  </w:style>
  <w:style w:type="character" w:customStyle="1" w:styleId="142">
    <w:name w:val="Char Char4"/>
    <w:autoRedefine/>
    <w:semiHidden/>
    <w:qFormat/>
    <w:uiPriority w:val="0"/>
    <w:rPr>
      <w:rFonts w:ascii="Times New Roman" w:hAnsi="Times New Roman" w:eastAsia="宋体" w:cs="Times New Roman"/>
      <w:sz w:val="16"/>
      <w:szCs w:val="16"/>
    </w:rPr>
  </w:style>
  <w:style w:type="character" w:customStyle="1" w:styleId="143">
    <w:name w:val="Plain Text Char"/>
    <w:autoRedefine/>
    <w:qFormat/>
    <w:locked/>
    <w:uiPriority w:val="0"/>
    <w:rPr>
      <w:rFonts w:ascii="宋体" w:hAnsi="Courier New" w:eastAsia="宋体"/>
    </w:rPr>
  </w:style>
  <w:style w:type="character" w:customStyle="1" w:styleId="144">
    <w:name w:val="ca-41"/>
    <w:autoRedefine/>
    <w:qFormat/>
    <w:uiPriority w:val="0"/>
    <w:rPr>
      <w:rFonts w:hint="eastAsia" w:ascii="宋体" w:hAnsi="宋体" w:eastAsia="宋体"/>
      <w:color w:val="FF0000"/>
      <w:sz w:val="21"/>
      <w:szCs w:val="21"/>
    </w:rPr>
  </w:style>
  <w:style w:type="character" w:customStyle="1" w:styleId="145">
    <w:name w:val="无间隔 字符"/>
    <w:link w:val="146"/>
    <w:autoRedefine/>
    <w:qFormat/>
    <w:uiPriority w:val="1"/>
    <w:rPr>
      <w:rFonts w:hAnsi="Courier New"/>
      <w:kern w:val="2"/>
      <w:sz w:val="21"/>
      <w:lang w:val="en-US" w:eastAsia="zh-CN" w:bidi="ar-SA"/>
    </w:rPr>
  </w:style>
  <w:style w:type="paragraph" w:styleId="146">
    <w:name w:val="No Spacing"/>
    <w:link w:val="145"/>
    <w:autoRedefine/>
    <w:qFormat/>
    <w:uiPriority w:val="1"/>
    <w:pPr>
      <w:widowControl w:val="0"/>
      <w:jc w:val="both"/>
    </w:pPr>
    <w:rPr>
      <w:rFonts w:ascii="Times New Roman" w:hAnsi="Courier New" w:eastAsia="宋体" w:cs="Times New Roman"/>
      <w:kern w:val="2"/>
      <w:sz w:val="21"/>
      <w:lang w:val="en-US" w:eastAsia="zh-CN" w:bidi="ar-SA"/>
    </w:rPr>
  </w:style>
  <w:style w:type="character" w:customStyle="1" w:styleId="147">
    <w:name w:val="正文文本缩进 2 字符"/>
    <w:link w:val="30"/>
    <w:autoRedefine/>
    <w:qFormat/>
    <w:uiPriority w:val="0"/>
    <w:rPr>
      <w:kern w:val="2"/>
      <w:sz w:val="21"/>
      <w:szCs w:val="24"/>
    </w:rPr>
  </w:style>
  <w:style w:type="character" w:customStyle="1" w:styleId="148">
    <w:name w:val="批注框文本 字符"/>
    <w:link w:val="31"/>
    <w:autoRedefine/>
    <w:qFormat/>
    <w:uiPriority w:val="0"/>
    <w:rPr>
      <w:kern w:val="2"/>
      <w:sz w:val="18"/>
      <w:szCs w:val="18"/>
    </w:rPr>
  </w:style>
  <w:style w:type="character" w:customStyle="1" w:styleId="149">
    <w:name w:val="文档正文 Char Char"/>
    <w:link w:val="150"/>
    <w:autoRedefine/>
    <w:qFormat/>
    <w:locked/>
    <w:uiPriority w:val="0"/>
    <w:rPr>
      <w:rFonts w:ascii="华文细黑" w:hAnsi="华文细黑" w:eastAsia="华文细黑"/>
      <w:color w:val="000000"/>
      <w:sz w:val="24"/>
    </w:rPr>
  </w:style>
  <w:style w:type="paragraph" w:customStyle="1" w:styleId="150">
    <w:name w:val="文档正文"/>
    <w:basedOn w:val="1"/>
    <w:link w:val="149"/>
    <w:autoRedefine/>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151">
    <w:name w:val="纯文本 Char2"/>
    <w:autoRedefine/>
    <w:qFormat/>
    <w:uiPriority w:val="0"/>
    <w:rPr>
      <w:rFonts w:ascii="宋体" w:hAnsi="Courier New" w:eastAsia="宋体" w:cs="Courier New"/>
      <w:kern w:val="2"/>
      <w:sz w:val="21"/>
      <w:szCs w:val="21"/>
      <w:lang w:val="en-US" w:eastAsia="zh-CN" w:bidi="ar-SA"/>
    </w:rPr>
  </w:style>
  <w:style w:type="character" w:customStyle="1" w:styleId="152">
    <w:name w:val="font91"/>
    <w:autoRedefine/>
    <w:qFormat/>
    <w:uiPriority w:val="0"/>
    <w:rPr>
      <w:rFonts w:hint="default" w:ascii="Times New Roman" w:hAnsi="Times New Roman" w:cs="Times New Roman"/>
      <w:color w:val="000000"/>
      <w:sz w:val="20"/>
      <w:szCs w:val="20"/>
      <w:u w:val="none"/>
    </w:rPr>
  </w:style>
  <w:style w:type="character" w:customStyle="1" w:styleId="153">
    <w:name w:val="062"/>
    <w:autoRedefine/>
    <w:qFormat/>
    <w:uiPriority w:val="0"/>
    <w:rPr>
      <w:rFonts w:ascii="宋体" w:hAnsi="宋体"/>
      <w:b/>
      <w:bCs/>
      <w:sz w:val="32"/>
    </w:rPr>
  </w:style>
  <w:style w:type="character" w:customStyle="1" w:styleId="154">
    <w:name w:val="纯文本 Char3"/>
    <w:autoRedefine/>
    <w:qFormat/>
    <w:uiPriority w:val="0"/>
    <w:rPr>
      <w:rFonts w:ascii="宋体" w:hAnsi="Courier New" w:eastAsia="宋体" w:cs="Courier New"/>
      <w:szCs w:val="21"/>
    </w:rPr>
  </w:style>
  <w:style w:type="character" w:customStyle="1" w:styleId="155">
    <w:name w:val="正文文本 Char2"/>
    <w:autoRedefine/>
    <w:semiHidden/>
    <w:qFormat/>
    <w:uiPriority w:val="99"/>
    <w:rPr>
      <w:kern w:val="2"/>
      <w:sz w:val="21"/>
      <w:szCs w:val="24"/>
    </w:rPr>
  </w:style>
  <w:style w:type="character" w:customStyle="1" w:styleId="156">
    <w:name w:val="纯文本 Char1"/>
    <w:autoRedefine/>
    <w:qFormat/>
    <w:uiPriority w:val="0"/>
    <w:rPr>
      <w:rFonts w:ascii="宋体" w:hAnsi="Courier New" w:eastAsia="宋体" w:cs="Courier New"/>
      <w:szCs w:val="21"/>
    </w:rPr>
  </w:style>
  <w:style w:type="character" w:customStyle="1" w:styleId="157">
    <w:name w:val="Char Char1"/>
    <w:autoRedefine/>
    <w:qFormat/>
    <w:uiPriority w:val="0"/>
    <w:rPr>
      <w:rFonts w:eastAsia="宋体"/>
      <w:kern w:val="2"/>
      <w:sz w:val="21"/>
      <w:szCs w:val="24"/>
      <w:lang w:bidi="ar-SA"/>
    </w:rPr>
  </w:style>
  <w:style w:type="character" w:customStyle="1" w:styleId="158">
    <w:name w:val="1ji Char"/>
    <w:link w:val="159"/>
    <w:autoRedefine/>
    <w:qFormat/>
    <w:uiPriority w:val="0"/>
    <w:rPr>
      <w:rFonts w:ascii="宋体" w:hAnsi="宋体"/>
      <w:b/>
      <w:bCs/>
      <w:kern w:val="44"/>
      <w:sz w:val="36"/>
      <w:szCs w:val="44"/>
    </w:rPr>
  </w:style>
  <w:style w:type="paragraph" w:customStyle="1" w:styleId="159">
    <w:name w:val="1ji"/>
    <w:basedOn w:val="4"/>
    <w:link w:val="158"/>
    <w:autoRedefine/>
    <w:qFormat/>
    <w:uiPriority w:val="0"/>
    <w:pPr>
      <w:keepLines w:val="0"/>
      <w:widowControl/>
      <w:spacing w:before="0" w:after="0" w:line="240" w:lineRule="auto"/>
      <w:jc w:val="center"/>
    </w:pPr>
    <w:rPr>
      <w:rFonts w:ascii="宋体" w:hAnsi="宋体"/>
      <w:sz w:val="36"/>
    </w:rPr>
  </w:style>
  <w:style w:type="character" w:customStyle="1" w:styleId="160">
    <w:name w:val="批注主题 Char1"/>
    <w:autoRedefine/>
    <w:qFormat/>
    <w:uiPriority w:val="99"/>
    <w:rPr>
      <w:b/>
      <w:bCs/>
      <w:kern w:val="2"/>
      <w:sz w:val="21"/>
      <w:szCs w:val="24"/>
    </w:rPr>
  </w:style>
  <w:style w:type="character" w:customStyle="1" w:styleId="161">
    <w:name w:val="标题3 Char Char"/>
    <w:link w:val="162"/>
    <w:autoRedefine/>
    <w:qFormat/>
    <w:uiPriority w:val="0"/>
    <w:rPr>
      <w:rFonts w:eastAsia="仿宋_GB2312"/>
      <w:bCs/>
      <w:kern w:val="2"/>
      <w:sz w:val="30"/>
      <w:szCs w:val="32"/>
    </w:rPr>
  </w:style>
  <w:style w:type="paragraph" w:customStyle="1" w:styleId="162">
    <w:name w:val="标题3"/>
    <w:basedOn w:val="6"/>
    <w:link w:val="161"/>
    <w:autoRedefine/>
    <w:qFormat/>
    <w:uiPriority w:val="0"/>
    <w:pPr>
      <w:keepNext w:val="0"/>
      <w:keepLines w:val="0"/>
      <w:spacing w:before="0" w:after="0" w:line="360" w:lineRule="auto"/>
    </w:pPr>
    <w:rPr>
      <w:rFonts w:eastAsia="仿宋_GB2312"/>
      <w:b w:val="0"/>
      <w:sz w:val="30"/>
    </w:rPr>
  </w:style>
  <w:style w:type="character" w:customStyle="1" w:styleId="163">
    <w:name w:val="批注框文本 Char1"/>
    <w:autoRedefine/>
    <w:semiHidden/>
    <w:qFormat/>
    <w:uiPriority w:val="99"/>
    <w:rPr>
      <w:kern w:val="2"/>
      <w:sz w:val="18"/>
      <w:szCs w:val="18"/>
    </w:rPr>
  </w:style>
  <w:style w:type="character" w:customStyle="1" w:styleId="164">
    <w:name w:val="正文文本 2 字符"/>
    <w:link w:val="41"/>
    <w:autoRedefine/>
    <w:qFormat/>
    <w:uiPriority w:val="0"/>
    <w:rPr>
      <w:szCs w:val="24"/>
    </w:rPr>
  </w:style>
  <w:style w:type="character" w:customStyle="1" w:styleId="165">
    <w:name w:val="引用 Char2"/>
    <w:autoRedefine/>
    <w:qFormat/>
    <w:uiPriority w:val="29"/>
    <w:rPr>
      <w:i/>
      <w:iCs/>
      <w:color w:val="000000"/>
      <w:kern w:val="2"/>
      <w:sz w:val="21"/>
      <w:szCs w:val="24"/>
    </w:rPr>
  </w:style>
  <w:style w:type="paragraph" w:customStyle="1" w:styleId="166">
    <w:name w:val="Char Char Char"/>
    <w:basedOn w:val="1"/>
    <w:autoRedefine/>
    <w:qFormat/>
    <w:uiPriority w:val="0"/>
    <w:rPr>
      <w:rFonts w:ascii="Tahoma" w:hAnsi="Tahoma"/>
      <w:sz w:val="24"/>
      <w:szCs w:val="20"/>
    </w:rPr>
  </w:style>
  <w:style w:type="paragraph" w:customStyle="1" w:styleId="167">
    <w:name w:val="Char11"/>
    <w:basedOn w:val="1"/>
    <w:autoRedefine/>
    <w:qFormat/>
    <w:uiPriority w:val="0"/>
    <w:rPr>
      <w:szCs w:val="21"/>
    </w:rPr>
  </w:style>
  <w:style w:type="paragraph" w:customStyle="1" w:styleId="168">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69">
    <w:name w:val="n-正文级"/>
    <w:basedOn w:val="1"/>
    <w:autoRedefine/>
    <w:qFormat/>
    <w:uiPriority w:val="0"/>
    <w:pPr>
      <w:spacing w:line="360" w:lineRule="auto"/>
      <w:ind w:firstLine="480" w:firstLineChars="200"/>
    </w:pPr>
    <w:rPr>
      <w:rFonts w:ascii="仿宋_GB2312" w:hAnsi="宋体" w:eastAsia="仿宋_GB2312"/>
      <w:sz w:val="24"/>
    </w:rPr>
  </w:style>
  <w:style w:type="paragraph" w:customStyle="1" w:styleId="170">
    <w:name w:val="HTML Top of Form"/>
    <w:basedOn w:val="1"/>
    <w:next w:val="1"/>
    <w:autoRedefine/>
    <w:qFormat/>
    <w:uiPriority w:val="0"/>
    <w:pPr>
      <w:widowControl/>
      <w:pBdr>
        <w:bottom w:val="single" w:color="auto" w:sz="6" w:space="1"/>
      </w:pBdr>
      <w:jc w:val="center"/>
    </w:pPr>
    <w:rPr>
      <w:rFonts w:ascii="Arial" w:hAnsi="Arial" w:cs="Arial"/>
      <w:vanish/>
      <w:kern w:val="0"/>
      <w:sz w:val="16"/>
      <w:szCs w:val="16"/>
    </w:rPr>
  </w:style>
  <w:style w:type="paragraph" w:customStyle="1" w:styleId="171">
    <w:name w:val="msolistparagraph"/>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2">
    <w:name w:val="2ji"/>
    <w:basedOn w:val="5"/>
    <w:autoRedefine/>
    <w:qFormat/>
    <w:uiPriority w:val="0"/>
    <w:pPr>
      <w:keepLines/>
      <w:spacing w:before="0"/>
      <w:jc w:val="both"/>
      <w:textAlignment w:val="baseline"/>
    </w:pPr>
    <w:rPr>
      <w:rFonts w:ascii="宋体" w:hAnsi="宋体" w:eastAsia="宋体"/>
      <w:bCs/>
      <w:sz w:val="21"/>
      <w:szCs w:val="21"/>
    </w:rPr>
  </w:style>
  <w:style w:type="paragraph" w:customStyle="1" w:styleId="173">
    <w:name w:val="Default"/>
    <w:autoRedefine/>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174">
    <w:name w:val="正文--2字符首行缩进"/>
    <w:basedOn w:val="1"/>
    <w:autoRedefine/>
    <w:qFormat/>
    <w:uiPriority w:val="0"/>
    <w:pPr>
      <w:snapToGrid w:val="0"/>
      <w:spacing w:line="360" w:lineRule="auto"/>
      <w:ind w:firstLine="560" w:firstLineChars="200"/>
      <w:contextualSpacing/>
    </w:pPr>
    <w:rPr>
      <w:rFonts w:ascii="仿宋_GB2312" w:eastAsia="仿宋_GB2312"/>
      <w:sz w:val="28"/>
    </w:rPr>
  </w:style>
  <w:style w:type="paragraph" w:customStyle="1" w:styleId="175">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176">
    <w:name w:val="五级条标题"/>
    <w:basedOn w:val="177"/>
    <w:next w:val="180"/>
    <w:autoRedefine/>
    <w:qFormat/>
    <w:uiPriority w:val="0"/>
    <w:pPr>
      <w:outlineLvl w:val="6"/>
    </w:pPr>
  </w:style>
  <w:style w:type="paragraph" w:customStyle="1" w:styleId="177">
    <w:name w:val="四级条标题"/>
    <w:basedOn w:val="178"/>
    <w:next w:val="180"/>
    <w:autoRedefine/>
    <w:qFormat/>
    <w:uiPriority w:val="0"/>
    <w:pPr>
      <w:outlineLvl w:val="5"/>
    </w:pPr>
  </w:style>
  <w:style w:type="paragraph" w:customStyle="1" w:styleId="178">
    <w:name w:val="三级条标题"/>
    <w:basedOn w:val="179"/>
    <w:next w:val="180"/>
    <w:autoRedefine/>
    <w:qFormat/>
    <w:uiPriority w:val="0"/>
    <w:pPr>
      <w:outlineLvl w:val="4"/>
    </w:pPr>
  </w:style>
  <w:style w:type="paragraph" w:customStyle="1" w:styleId="179">
    <w:name w:val="二级条标题"/>
    <w:basedOn w:val="1"/>
    <w:next w:val="1"/>
    <w:autoRedefine/>
    <w:qFormat/>
    <w:uiPriority w:val="0"/>
    <w:pPr>
      <w:widowControl/>
      <w:jc w:val="left"/>
      <w:outlineLvl w:val="3"/>
    </w:pPr>
    <w:rPr>
      <w:rFonts w:ascii="宋体" w:hAnsi="宋体"/>
      <w:color w:val="000000"/>
      <w:kern w:val="0"/>
      <w:szCs w:val="20"/>
    </w:rPr>
  </w:style>
  <w:style w:type="paragraph" w:customStyle="1" w:styleId="180">
    <w:name w:val="段"/>
    <w:autoRedefine/>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181">
    <w:name w:val="表格"/>
    <w:basedOn w:val="1"/>
    <w:autoRedefine/>
    <w:qFormat/>
    <w:uiPriority w:val="0"/>
    <w:pPr>
      <w:spacing w:line="400" w:lineRule="exact"/>
    </w:pPr>
    <w:rPr>
      <w:sz w:val="24"/>
    </w:rPr>
  </w:style>
  <w:style w:type="paragraph" w:customStyle="1" w:styleId="182">
    <w:name w:val="列表段落1"/>
    <w:basedOn w:val="1"/>
    <w:autoRedefine/>
    <w:qFormat/>
    <w:uiPriority w:val="0"/>
    <w:pPr>
      <w:ind w:firstLine="420" w:firstLineChars="200"/>
    </w:pPr>
    <w:rPr>
      <w:rFonts w:ascii="Calibri" w:hAnsi="Calibri"/>
      <w:szCs w:val="22"/>
    </w:rPr>
  </w:style>
  <w:style w:type="paragraph" w:customStyle="1" w:styleId="183">
    <w:name w:val="Char1 Char Char Char Char Char Char Char Char Char Char Char Char"/>
    <w:basedOn w:val="1"/>
    <w:autoRedefine/>
    <w:qFormat/>
    <w:uiPriority w:val="0"/>
    <w:rPr>
      <w:rFonts w:ascii="Tahoma" w:hAnsi="Tahoma"/>
      <w:sz w:val="24"/>
      <w:szCs w:val="20"/>
    </w:rPr>
  </w:style>
  <w:style w:type="paragraph" w:customStyle="1" w:styleId="184">
    <w:name w:val="_Style 65"/>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p0"/>
    <w:basedOn w:val="1"/>
    <w:autoRedefine/>
    <w:qFormat/>
    <w:uiPriority w:val="0"/>
    <w:pPr>
      <w:widowControl/>
    </w:pPr>
    <w:rPr>
      <w:kern w:val="0"/>
      <w:szCs w:val="21"/>
    </w:rPr>
  </w:style>
  <w:style w:type="paragraph" w:customStyle="1" w:styleId="186">
    <w:name w:val="style2"/>
    <w:basedOn w:val="1"/>
    <w:autoRedefine/>
    <w:qFormat/>
    <w:uiPriority w:val="0"/>
    <w:pPr>
      <w:widowControl/>
      <w:spacing w:before="100" w:beforeAutospacing="1" w:after="100" w:afterAutospacing="1"/>
    </w:pPr>
    <w:rPr>
      <w:rFonts w:hint="eastAsia" w:ascii="宋体" w:hAnsi="宋体" w:cs="Arial"/>
      <w:kern w:val="0"/>
      <w:sz w:val="18"/>
      <w:szCs w:val="18"/>
    </w:rPr>
  </w:style>
  <w:style w:type="paragraph" w:customStyle="1" w:styleId="187">
    <w:name w:val="正文 A"/>
    <w:autoRedefine/>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88">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0">
    <w:name w:val="pa-5"/>
    <w:basedOn w:val="1"/>
    <w:autoRedefine/>
    <w:qFormat/>
    <w:uiPriority w:val="0"/>
    <w:pPr>
      <w:widowControl/>
      <w:spacing w:line="240" w:lineRule="atLeast"/>
      <w:ind w:firstLine="420"/>
    </w:pPr>
    <w:rPr>
      <w:rFonts w:ascii="宋体" w:hAnsi="宋体" w:cs="宋体"/>
      <w:kern w:val="0"/>
      <w:sz w:val="24"/>
    </w:rPr>
  </w:style>
  <w:style w:type="paragraph" w:customStyle="1" w:styleId="191">
    <w:name w:val="默认段落字体 Para Char Char Char1 Char"/>
    <w:basedOn w:val="1"/>
    <w:autoRedefine/>
    <w:qFormat/>
    <w:uiPriority w:val="0"/>
    <w:rPr>
      <w:rFonts w:ascii="Tahoma" w:hAnsi="Tahoma"/>
      <w:sz w:val="24"/>
      <w:szCs w:val="20"/>
    </w:rPr>
  </w:style>
  <w:style w:type="paragraph" w:customStyle="1" w:styleId="192">
    <w:name w:val="列项——"/>
    <w:autoRedefine/>
    <w:qFormat/>
    <w:uiPriority w:val="0"/>
    <w:pPr>
      <w:widowControl w:val="0"/>
      <w:tabs>
        <w:tab w:val="left" w:pos="854"/>
      </w:tabs>
      <w:ind w:left="840" w:leftChars="200" w:hanging="420" w:hangingChars="200"/>
      <w:jc w:val="both"/>
    </w:pPr>
    <w:rPr>
      <w:rFonts w:ascii="Times New Roman" w:hAnsi="Times New Roman" w:eastAsia="宋体" w:cs="Times New Roman"/>
      <w:sz w:val="21"/>
      <w:lang w:val="en-US" w:eastAsia="zh-CN" w:bidi="ar-SA"/>
    </w:rPr>
  </w:style>
  <w:style w:type="paragraph" w:customStyle="1" w:styleId="193">
    <w:name w:val="_Style 86"/>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444"/>
    <w:basedOn w:val="1"/>
    <w:autoRedefine/>
    <w:qFormat/>
    <w:uiPriority w:val="0"/>
    <w:pPr>
      <w:adjustRightInd w:val="0"/>
      <w:spacing w:line="312" w:lineRule="atLeast"/>
      <w:jc w:val="center"/>
      <w:textAlignment w:val="baseline"/>
    </w:pPr>
    <w:rPr>
      <w:b/>
      <w:kern w:val="0"/>
      <w:sz w:val="36"/>
      <w:szCs w:val="36"/>
    </w:rPr>
  </w:style>
  <w:style w:type="paragraph" w:customStyle="1" w:styleId="195">
    <w:name w:val="列表1"/>
    <w:basedOn w:val="196"/>
    <w:autoRedefine/>
    <w:qFormat/>
    <w:uiPriority w:val="0"/>
    <w:pPr>
      <w:tabs>
        <w:tab w:val="left" w:pos="900"/>
      </w:tabs>
      <w:ind w:left="900" w:hanging="420"/>
    </w:pPr>
    <w:rPr>
      <w:rFonts w:ascii="Times New Roman" w:hAnsi="Times New Roman"/>
      <w:szCs w:val="20"/>
    </w:rPr>
  </w:style>
  <w:style w:type="paragraph" w:customStyle="1" w:styleId="196">
    <w:name w:val="标准正文"/>
    <w:basedOn w:val="21"/>
    <w:autoRedefine/>
    <w:qFormat/>
    <w:uiPriority w:val="0"/>
    <w:pPr>
      <w:spacing w:before="60" w:after="60" w:line="360" w:lineRule="auto"/>
      <w:ind w:left="0" w:leftChars="0" w:firstLine="482"/>
    </w:pPr>
    <w:rPr>
      <w:rFonts w:ascii="宋体" w:hAnsi="宋体"/>
      <w:kern w:val="0"/>
      <w:sz w:val="24"/>
      <w:szCs w:val="28"/>
    </w:rPr>
  </w:style>
  <w:style w:type="paragraph" w:customStyle="1" w:styleId="197">
    <w:name w:val="默认段落字体 Para Char1"/>
    <w:next w:val="1"/>
    <w:autoRedefine/>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98">
    <w:name w:val="样式 标题 2 + Times New Roman 四号 非加粗 段前: 5 磅 段后: 0 磅 行距: 固定值 20..."/>
    <w:basedOn w:val="5"/>
    <w:autoRedefine/>
    <w:qFormat/>
    <w:uiPriority w:val="0"/>
    <w:pPr>
      <w:keepLines/>
      <w:adjustRightInd/>
      <w:spacing w:before="100" w:line="400" w:lineRule="exact"/>
      <w:jc w:val="both"/>
    </w:pPr>
    <w:rPr>
      <w:rFonts w:eastAsia="黑体" w:cs="宋体"/>
      <w:b w:val="0"/>
      <w:sz w:val="28"/>
    </w:rPr>
  </w:style>
  <w:style w:type="paragraph" w:customStyle="1" w:styleId="199">
    <w:name w:val="表内文字"/>
    <w:basedOn w:val="1"/>
    <w:autoRedefine/>
    <w:qFormat/>
    <w:uiPriority w:val="0"/>
    <w:pPr>
      <w:snapToGrid w:val="0"/>
      <w:spacing w:before="50" w:after="50"/>
      <w:jc w:val="center"/>
    </w:pPr>
    <w:rPr>
      <w:rFonts w:ascii="仿宋_GB2312" w:hAnsi="宋体" w:eastAsia="仿宋_GB2312"/>
      <w:b/>
      <w:color w:val="000000"/>
      <w:sz w:val="32"/>
      <w:szCs w:val="32"/>
    </w:rPr>
  </w:style>
  <w:style w:type="paragraph" w:customStyle="1" w:styleId="200">
    <w:name w:val="样式 Verdana 首行缩进:  0.74 厘米"/>
    <w:basedOn w:val="1"/>
    <w:autoRedefine/>
    <w:qFormat/>
    <w:uiPriority w:val="0"/>
    <w:pPr>
      <w:spacing w:line="360" w:lineRule="auto"/>
      <w:ind w:firstLine="420"/>
    </w:pPr>
    <w:rPr>
      <w:rFonts w:ascii="Verdana" w:hAnsi="Verdana"/>
      <w:sz w:val="24"/>
      <w:szCs w:val="20"/>
    </w:rPr>
  </w:style>
  <w:style w:type="paragraph" w:customStyle="1" w:styleId="201">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02">
    <w:name w:val="1 Char"/>
    <w:basedOn w:val="9"/>
    <w:autoRedefine/>
    <w:qFormat/>
    <w:uiPriority w:val="0"/>
    <w:pPr>
      <w:spacing w:line="360" w:lineRule="auto"/>
      <w:ind w:left="0" w:firstLine="200" w:firstLineChars="200"/>
      <w:jc w:val="both"/>
    </w:pPr>
    <w:rPr>
      <w:rFonts w:ascii="Times New Roman"/>
      <w:snapToGrid/>
      <w:kern w:val="2"/>
      <w:sz w:val="21"/>
    </w:rPr>
  </w:style>
  <w:style w:type="paragraph" w:customStyle="1" w:styleId="203">
    <w:name w:val="列出段落1"/>
    <w:basedOn w:val="1"/>
    <w:autoRedefine/>
    <w:qFormat/>
    <w:uiPriority w:val="0"/>
    <w:pPr>
      <w:ind w:firstLine="420" w:firstLineChars="200"/>
    </w:pPr>
    <w:rPr>
      <w:rFonts w:ascii="Calibri" w:hAnsi="Calibri"/>
      <w:szCs w:val="22"/>
    </w:rPr>
  </w:style>
  <w:style w:type="paragraph" w:customStyle="1" w:styleId="204">
    <w:name w:val="_Style 2"/>
    <w:basedOn w:val="1"/>
    <w:autoRedefine/>
    <w:qFormat/>
    <w:uiPriority w:val="0"/>
    <w:pPr>
      <w:ind w:firstLine="420" w:firstLineChars="200"/>
    </w:pPr>
  </w:style>
  <w:style w:type="paragraph" w:customStyle="1" w:styleId="205">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06">
    <w:name w:val="Char"/>
    <w:basedOn w:val="1"/>
    <w:autoRedefine/>
    <w:qFormat/>
    <w:uiPriority w:val="0"/>
  </w:style>
  <w:style w:type="paragraph" w:customStyle="1" w:styleId="207">
    <w:name w:val="ÕýÎÄ"/>
    <w:autoRedefine/>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08">
    <w:name w:val="_Style 861"/>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10">
    <w:name w:val="Char Char Char Char"/>
    <w:basedOn w:val="1"/>
    <w:autoRedefine/>
    <w:qFormat/>
    <w:uiPriority w:val="0"/>
  </w:style>
  <w:style w:type="paragraph" w:customStyle="1" w:styleId="211">
    <w:name w:val="1"/>
    <w:basedOn w:val="1"/>
    <w:next w:val="27"/>
    <w:autoRedefine/>
    <w:qFormat/>
    <w:uiPriority w:val="0"/>
    <w:rPr>
      <w:rFonts w:ascii="宋体" w:hAnsi="Courier New"/>
      <w:szCs w:val="20"/>
    </w:rPr>
  </w:style>
  <w:style w:type="paragraph" w:customStyle="1" w:styleId="212">
    <w:name w:val="Char Char Char Char1"/>
    <w:basedOn w:val="1"/>
    <w:autoRedefine/>
    <w:qFormat/>
    <w:uiPriority w:val="0"/>
  </w:style>
  <w:style w:type="paragraph" w:customStyle="1" w:styleId="213">
    <w:name w:val="HTML Bottom of Form"/>
    <w:basedOn w:val="1"/>
    <w:next w:val="1"/>
    <w:autoRedefine/>
    <w:qFormat/>
    <w:uiPriority w:val="0"/>
    <w:pPr>
      <w:widowControl/>
      <w:pBdr>
        <w:top w:val="single" w:color="auto" w:sz="6" w:space="1"/>
      </w:pBdr>
      <w:jc w:val="center"/>
    </w:pPr>
    <w:rPr>
      <w:rFonts w:ascii="Arial" w:hAnsi="Arial" w:cs="Arial"/>
      <w:vanish/>
      <w:kern w:val="0"/>
      <w:sz w:val="16"/>
      <w:szCs w:val="16"/>
    </w:rPr>
  </w:style>
  <w:style w:type="paragraph" w:customStyle="1" w:styleId="2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15">
    <w:name w:val="pa-3"/>
    <w:basedOn w:val="1"/>
    <w:autoRedefine/>
    <w:qFormat/>
    <w:uiPriority w:val="0"/>
    <w:pPr>
      <w:widowControl/>
      <w:spacing w:line="240" w:lineRule="atLeast"/>
    </w:pPr>
    <w:rPr>
      <w:rFonts w:ascii="宋体" w:hAnsi="宋体" w:cs="宋体"/>
      <w:kern w:val="0"/>
      <w:sz w:val="24"/>
    </w:rPr>
  </w:style>
  <w:style w:type="paragraph" w:customStyle="1" w:styleId="216">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217">
    <w:name w:val="about_main1"/>
    <w:basedOn w:val="1"/>
    <w:autoRedefine/>
    <w:qFormat/>
    <w:uiPriority w:val="0"/>
    <w:pPr>
      <w:widowControl/>
      <w:spacing w:before="30" w:after="100" w:afterAutospacing="1"/>
      <w:jc w:val="left"/>
    </w:pPr>
    <w:rPr>
      <w:rFonts w:ascii="宋体" w:hAnsi="宋体" w:cs="宋体"/>
      <w:kern w:val="0"/>
      <w:sz w:val="24"/>
    </w:rPr>
  </w:style>
  <w:style w:type="paragraph" w:customStyle="1" w:styleId="218">
    <w:name w:val="pa-2"/>
    <w:basedOn w:val="1"/>
    <w:autoRedefine/>
    <w:qFormat/>
    <w:uiPriority w:val="0"/>
    <w:pPr>
      <w:widowControl/>
      <w:spacing w:line="280" w:lineRule="atLeast"/>
      <w:ind w:firstLine="420"/>
    </w:pPr>
    <w:rPr>
      <w:rFonts w:ascii="宋体" w:hAnsi="宋体" w:cs="宋体"/>
      <w:kern w:val="0"/>
      <w:sz w:val="24"/>
    </w:rPr>
  </w:style>
  <w:style w:type="paragraph" w:customStyle="1" w:styleId="219">
    <w:name w:val="Char1"/>
    <w:basedOn w:val="17"/>
    <w:autoRedefine/>
    <w:qFormat/>
    <w:uiPriority w:val="0"/>
    <w:pPr>
      <w:widowControl/>
      <w:ind w:firstLine="454"/>
      <w:jc w:val="left"/>
    </w:pPr>
    <w:rPr>
      <w:rFonts w:ascii="Tahoma" w:hAnsi="Tahoma" w:cs="宋体"/>
      <w:kern w:val="0"/>
      <w:sz w:val="24"/>
      <w:szCs w:val="20"/>
    </w:rPr>
  </w:style>
  <w:style w:type="paragraph" w:customStyle="1" w:styleId="220">
    <w:name w:val="xl24"/>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21">
    <w:name w:val="正文1"/>
    <w:basedOn w:val="1"/>
    <w:autoRedefine/>
    <w:qFormat/>
    <w:uiPriority w:val="0"/>
    <w:pPr>
      <w:widowControl/>
      <w:overflowPunct w:val="0"/>
      <w:autoSpaceDE w:val="0"/>
      <w:autoSpaceDN w:val="0"/>
      <w:adjustRightInd w:val="0"/>
    </w:pPr>
    <w:rPr>
      <w:rFonts w:ascii="宋体"/>
      <w:kern w:val="0"/>
      <w:szCs w:val="20"/>
    </w:rPr>
  </w:style>
  <w:style w:type="paragraph" w:customStyle="1" w:styleId="222">
    <w:name w:val="样式 标题 3 + (中文) 黑体 小四 非加粗 段前: 7.8 磅 段后: 0 磅 行距: 固定值 20 磅"/>
    <w:basedOn w:val="6"/>
    <w:autoRedefine/>
    <w:qFormat/>
    <w:uiPriority w:val="0"/>
    <w:pPr>
      <w:spacing w:before="0" w:after="0" w:line="400" w:lineRule="exact"/>
    </w:pPr>
    <w:rPr>
      <w:rFonts w:eastAsia="黑体" w:cs="宋体"/>
      <w:b w:val="0"/>
      <w:bCs w:val="0"/>
      <w:kern w:val="0"/>
      <w:sz w:val="24"/>
      <w:szCs w:val="20"/>
    </w:rPr>
  </w:style>
  <w:style w:type="paragraph" w:customStyle="1" w:styleId="223">
    <w:name w:val="正文首行缩进两字符"/>
    <w:basedOn w:val="1"/>
    <w:autoRedefine/>
    <w:qFormat/>
    <w:uiPriority w:val="0"/>
    <w:pPr>
      <w:spacing w:line="360" w:lineRule="auto"/>
      <w:ind w:firstLine="200" w:firstLineChars="200"/>
    </w:pPr>
  </w:style>
  <w:style w:type="paragraph" w:customStyle="1" w:styleId="224">
    <w:name w:val="一级条标题"/>
    <w:next w:val="180"/>
    <w:autoRedefine/>
    <w:qFormat/>
    <w:uiPriority w:val="0"/>
    <w:pPr>
      <w:ind w:left="284"/>
      <w:outlineLvl w:val="2"/>
    </w:pPr>
    <w:rPr>
      <w:rFonts w:ascii="Times New Roman" w:hAnsi="Times New Roman" w:eastAsia="黑体" w:cs="Times New Roman"/>
      <w:sz w:val="21"/>
      <w:lang w:val="en-US" w:eastAsia="zh-CN" w:bidi="ar-SA"/>
    </w:rPr>
  </w:style>
  <w:style w:type="paragraph" w:customStyle="1" w:styleId="225">
    <w:name w:val="1."/>
    <w:basedOn w:val="1"/>
    <w:autoRedefine/>
    <w:qFormat/>
    <w:uiPriority w:val="0"/>
    <w:pPr>
      <w:spacing w:line="360" w:lineRule="auto"/>
      <w:ind w:firstLine="480" w:firstLineChars="200"/>
    </w:pPr>
    <w:rPr>
      <w:rFonts w:ascii="宋体" w:hAnsi="宋体"/>
      <w:sz w:val="24"/>
    </w:rPr>
  </w:style>
  <w:style w:type="paragraph" w:customStyle="1" w:styleId="226">
    <w:name w:val="样式 首行缩进:  2 字符"/>
    <w:basedOn w:val="1"/>
    <w:autoRedefine/>
    <w:qFormat/>
    <w:uiPriority w:val="0"/>
    <w:pPr>
      <w:spacing w:line="400" w:lineRule="exact"/>
      <w:ind w:firstLine="200" w:firstLineChars="200"/>
    </w:pPr>
    <w:rPr>
      <w:rFonts w:cs="宋体"/>
      <w:sz w:val="24"/>
    </w:rPr>
  </w:style>
  <w:style w:type="paragraph" w:customStyle="1" w:styleId="227">
    <w:name w:val="Char Char3 Char Char"/>
    <w:basedOn w:val="1"/>
    <w:autoRedefine/>
    <w:qFormat/>
    <w:uiPriority w:val="0"/>
  </w:style>
  <w:style w:type="paragraph" w:customStyle="1" w:styleId="228">
    <w:name w:val="Char12"/>
    <w:basedOn w:val="1"/>
    <w:autoRedefine/>
    <w:qFormat/>
    <w:uiPriority w:val="0"/>
    <w:rPr>
      <w:szCs w:val="21"/>
    </w:rPr>
  </w:style>
  <w:style w:type="paragraph" w:customStyle="1" w:styleId="229">
    <w:name w:val="F2"/>
    <w:basedOn w:val="1"/>
    <w:autoRedefine/>
    <w:qFormat/>
    <w:uiPriority w:val="0"/>
    <w:pPr>
      <w:autoSpaceDE w:val="0"/>
      <w:autoSpaceDN w:val="0"/>
      <w:adjustRightInd w:val="0"/>
      <w:ind w:firstLine="601"/>
      <w:textAlignment w:val="baseline"/>
    </w:pPr>
    <w:rPr>
      <w:kern w:val="0"/>
      <w:sz w:val="24"/>
      <w:szCs w:val="20"/>
    </w:rPr>
  </w:style>
  <w:style w:type="paragraph" w:customStyle="1" w:styleId="230">
    <w:name w:val="默认段落字体 Para Char Char Char Char Char Char Char Char Char Char Char Char Char Char Char Char Char Char Char"/>
    <w:basedOn w:val="1"/>
    <w:autoRedefine/>
    <w:qFormat/>
    <w:uiPriority w:val="0"/>
    <w:rPr>
      <w:rFonts w:ascii="Calibri" w:hAnsi="Calibri"/>
      <w:szCs w:val="22"/>
    </w:rPr>
  </w:style>
  <w:style w:type="paragraph" w:customStyle="1" w:styleId="231">
    <w:name w:val="样式6"/>
    <w:basedOn w:val="8"/>
    <w:autoRedefine/>
    <w:qFormat/>
    <w:uiPriority w:val="0"/>
    <w:pPr>
      <w:numPr>
        <w:numId w:val="0"/>
      </w:numPr>
      <w:spacing w:line="360" w:lineRule="auto"/>
      <w:ind w:left="210" w:leftChars="100"/>
    </w:pPr>
    <w:rPr>
      <w:rFonts w:ascii="宋体" w:hAnsi="宋体" w:cs="Arial"/>
      <w:bCs/>
      <w:sz w:val="24"/>
    </w:rPr>
  </w:style>
  <w:style w:type="paragraph" w:customStyle="1" w:styleId="232">
    <w:name w:val="前言、引言标题"/>
    <w:next w:val="1"/>
    <w:autoRedefine/>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233">
    <w:name w:val="Tabletext"/>
    <w:basedOn w:val="1"/>
    <w:autoRedefine/>
    <w:qFormat/>
    <w:uiPriority w:val="0"/>
    <w:pPr>
      <w:keepLines/>
      <w:spacing w:after="120" w:line="240" w:lineRule="atLeast"/>
      <w:jc w:val="left"/>
    </w:pPr>
    <w:rPr>
      <w:rFonts w:ascii="宋体"/>
      <w:snapToGrid w:val="0"/>
      <w:kern w:val="0"/>
      <w:sz w:val="20"/>
      <w:szCs w:val="20"/>
    </w:rPr>
  </w:style>
  <w:style w:type="paragraph" w:customStyle="1" w:styleId="234">
    <w:name w:val="Revision"/>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235">
    <w:name w:val="样式5"/>
    <w:basedOn w:val="5"/>
    <w:autoRedefine/>
    <w:qFormat/>
    <w:uiPriority w:val="0"/>
    <w:pPr>
      <w:keepLines/>
      <w:adjustRightInd/>
      <w:spacing w:before="260" w:after="260"/>
      <w:ind w:left="420" w:leftChars="200"/>
      <w:jc w:val="both"/>
    </w:pPr>
    <w:rPr>
      <w:rFonts w:ascii="宋体" w:hAnsi="宋体" w:eastAsia="宋体"/>
      <w:bCs/>
      <w:sz w:val="24"/>
      <w:szCs w:val="24"/>
    </w:rPr>
  </w:style>
  <w:style w:type="paragraph" w:customStyle="1" w:styleId="236">
    <w:name w:val="默认段落字体 Para Char Char Char Char Char Char Char Char Char1 Char Char Char Char"/>
    <w:basedOn w:val="1"/>
    <w:autoRedefine/>
    <w:qFormat/>
    <w:uiPriority w:val="0"/>
    <w:rPr>
      <w:rFonts w:ascii="Tahoma" w:hAnsi="Tahoma"/>
      <w:sz w:val="24"/>
      <w:szCs w:val="20"/>
    </w:rPr>
  </w:style>
  <w:style w:type="paragraph" w:customStyle="1" w:styleId="237">
    <w:name w:val="2-2ji"/>
    <w:basedOn w:val="5"/>
    <w:autoRedefine/>
    <w:qFormat/>
    <w:uiPriority w:val="0"/>
    <w:pPr>
      <w:keepLines/>
      <w:spacing w:before="0"/>
      <w:textAlignment w:val="baseline"/>
    </w:pPr>
    <w:rPr>
      <w:rFonts w:ascii="宋体" w:hAnsi="宋体" w:eastAsia="宋体"/>
      <w:sz w:val="36"/>
      <w:szCs w:val="32"/>
    </w:rPr>
  </w:style>
  <w:style w:type="paragraph" w:customStyle="1" w:styleId="238">
    <w:name w:val="表格文字"/>
    <w:basedOn w:val="1"/>
    <w:autoRedefine/>
    <w:qFormat/>
    <w:uiPriority w:val="99"/>
    <w:pPr>
      <w:spacing w:before="25" w:after="25"/>
      <w:jc w:val="left"/>
    </w:pPr>
    <w:rPr>
      <w:bCs/>
      <w:spacing w:val="10"/>
      <w:kern w:val="0"/>
      <w:sz w:val="24"/>
    </w:rPr>
  </w:style>
  <w:style w:type="paragraph" w:customStyle="1" w:styleId="239">
    <w:name w:val="Normal (Web)_file_872_file_882"/>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240">
    <w:name w:val="正文文本首行缩进 2 字符"/>
    <w:basedOn w:val="77"/>
    <w:link w:val="47"/>
    <w:autoRedefine/>
    <w:semiHidden/>
    <w:qFormat/>
    <w:uiPriority w:val="0"/>
    <w:rPr>
      <w:kern w:val="2"/>
      <w:sz w:val="21"/>
      <w:szCs w:val="24"/>
    </w:rPr>
  </w:style>
  <w:style w:type="paragraph" w:customStyle="1" w:styleId="241">
    <w:name w:val="Normal_file_59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2">
    <w:name w:val="Default Paragraph Font_file_592"/>
    <w:autoRedefine/>
    <w:semiHidden/>
    <w:qFormat/>
    <w:uiPriority w:val="0"/>
  </w:style>
  <w:style w:type="table" w:customStyle="1" w:styleId="243">
    <w:name w:val="Normal Table_file_592"/>
    <w:autoRedefine/>
    <w:semiHidden/>
    <w:qFormat/>
    <w:uiPriority w:val="0"/>
    <w:tblPr>
      <w:tblCellMar>
        <w:top w:w="0" w:type="dxa"/>
        <w:left w:w="108" w:type="dxa"/>
        <w:bottom w:w="0" w:type="dxa"/>
        <w:right w:w="108" w:type="dxa"/>
      </w:tblCellMar>
    </w:tblPr>
  </w:style>
  <w:style w:type="paragraph" w:customStyle="1" w:styleId="244">
    <w:name w:val="annotation text_file_592"/>
    <w:basedOn w:val="241"/>
    <w:autoRedefine/>
    <w:qFormat/>
    <w:uiPriority w:val="0"/>
    <w:pPr>
      <w:jc w:val="left"/>
    </w:pPr>
  </w:style>
  <w:style w:type="paragraph" w:customStyle="1" w:styleId="245">
    <w:name w:val="Plain Text_file_592"/>
    <w:basedOn w:val="241"/>
    <w:next w:val="4"/>
    <w:autoRedefine/>
    <w:qFormat/>
    <w:uiPriority w:val="0"/>
    <w:rPr>
      <w:rFonts w:ascii="宋体" w:hAnsi="Courier New"/>
      <w:szCs w:val="20"/>
    </w:rPr>
  </w:style>
  <w:style w:type="table" w:customStyle="1" w:styleId="246">
    <w:name w:val="Table Grid_file_592"/>
    <w:basedOn w:val="2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7">
    <w:name w:val="列出段落1_file_195_file_141_file_592"/>
    <w:basedOn w:val="248"/>
    <w:autoRedefine/>
    <w:unhideWhenUsed/>
    <w:qFormat/>
    <w:uiPriority w:val="99"/>
    <w:pPr>
      <w:ind w:firstLine="420" w:firstLineChars="200"/>
    </w:pPr>
    <w:rPr>
      <w:rFonts w:ascii="Cambria Math" w:hAnsi="Cambria Math"/>
    </w:rPr>
  </w:style>
  <w:style w:type="paragraph" w:customStyle="1" w:styleId="248">
    <w:name w:val="Normal_file_195_file_141_file_592"/>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249">
    <w:name w:val="List Paragraph_file_195_file_141_file_592"/>
    <w:basedOn w:val="248"/>
    <w:autoRedefine/>
    <w:qFormat/>
    <w:uiPriority w:val="34"/>
    <w:pPr>
      <w:ind w:firstLine="420" w:firstLineChars="200"/>
    </w:pPr>
    <w:rPr>
      <w:rFonts w:ascii="Calibri" w:hAnsi="Calibri" w:eastAsia="宋体" w:cs="Times New Roman"/>
    </w:rPr>
  </w:style>
  <w:style w:type="paragraph" w:customStyle="1" w:styleId="250">
    <w:name w:val="Normal (Web)_file_195_file_141_file_592"/>
    <w:basedOn w:val="248"/>
    <w:autoRedefine/>
    <w:qFormat/>
    <w:uiPriority w:val="0"/>
    <w:pPr>
      <w:widowControl/>
      <w:spacing w:before="100" w:beforeAutospacing="1" w:after="100" w:afterAutospacing="1"/>
      <w:jc w:val="left"/>
    </w:pPr>
    <w:rPr>
      <w:rFonts w:ascii="仿宋_GB2312" w:hAnsi="仿宋_GB2312"/>
      <w:sz w:val="24"/>
    </w:rPr>
  </w:style>
  <w:style w:type="character" w:customStyle="1" w:styleId="251">
    <w:name w:val="font41_file_195_file_141_file_592"/>
    <w:autoRedefine/>
    <w:qFormat/>
    <w:uiPriority w:val="0"/>
    <w:rPr>
      <w:rFonts w:hint="eastAsia" w:ascii="仿宋_GB2312" w:hAnsi="仿宋_GB2312" w:eastAsia="仿宋_GB2312" w:cs="仿宋_GB2312"/>
      <w:color w:val="000000"/>
      <w:sz w:val="20"/>
      <w:szCs w:val="20"/>
      <w:u w:val="none"/>
    </w:rPr>
  </w:style>
  <w:style w:type="paragraph" w:customStyle="1" w:styleId="252">
    <w:name w:val="_Style 2_file_195_file_141_file_592"/>
    <w:basedOn w:val="248"/>
    <w:autoRedefine/>
    <w:unhideWhenUsed/>
    <w:qFormat/>
    <w:uiPriority w:val="99"/>
    <w:pPr>
      <w:ind w:firstLine="420" w:firstLineChars="200"/>
    </w:pPr>
    <w:rPr>
      <w:rFonts w:hint="eastAsia" w:ascii="Cambria Math" w:hAnsi="Cambria Math"/>
    </w:rPr>
  </w:style>
  <w:style w:type="paragraph" w:customStyle="1" w:styleId="253">
    <w:name w:val="Default_file_195_file_141_file_592"/>
    <w:autoRedefine/>
    <w:qFormat/>
    <w:uiPriority w:val="0"/>
    <w:pPr>
      <w:widowControl w:val="0"/>
      <w:autoSpaceDE w:val="0"/>
      <w:autoSpaceDN w:val="0"/>
      <w:adjustRightInd w:val="0"/>
    </w:pPr>
    <w:rPr>
      <w:rFonts w:ascii="Arial" w:hAnsi="Times New Roman" w:eastAsia="Arial" w:cs="Arial"/>
      <w:color w:val="000000"/>
      <w:sz w:val="24"/>
      <w:szCs w:val="24"/>
      <w:lang w:val="en-US" w:eastAsia="zh-CN" w:bidi="ar-SA"/>
    </w:rPr>
  </w:style>
  <w:style w:type="character" w:customStyle="1" w:styleId="254">
    <w:name w:val="font81_file_195_file_141_file_592"/>
    <w:autoRedefine/>
    <w:qFormat/>
    <w:uiPriority w:val="0"/>
    <w:rPr>
      <w:rFonts w:hint="default" w:ascii="Courier New" w:hAnsi="Courier New" w:cs="Courier New"/>
      <w:color w:val="000000"/>
      <w:sz w:val="20"/>
      <w:szCs w:val="20"/>
      <w:u w:val="none"/>
    </w:rPr>
  </w:style>
  <w:style w:type="character" w:customStyle="1" w:styleId="255">
    <w:name w:val="annotation reference_file_195_file_141_file_592"/>
    <w:autoRedefine/>
    <w:semiHidden/>
    <w:qFormat/>
    <w:uiPriority w:val="99"/>
    <w:rPr>
      <w:sz w:val="21"/>
      <w:szCs w:val="21"/>
    </w:rPr>
  </w:style>
  <w:style w:type="character" w:customStyle="1" w:styleId="256">
    <w:name w:val="font11_file_592"/>
    <w:basedOn w:val="242"/>
    <w:autoRedefine/>
    <w:qFormat/>
    <w:uiPriority w:val="0"/>
    <w:rPr>
      <w:rFonts w:hint="default" w:ascii="仿宋_GB2312" w:eastAsia="仿宋_GB2312" w:cs="仿宋_GB2312"/>
      <w:color w:val="000000"/>
      <w:sz w:val="24"/>
      <w:szCs w:val="24"/>
      <w:u w:val="none"/>
    </w:rPr>
  </w:style>
  <w:style w:type="paragraph" w:customStyle="1" w:styleId="257">
    <w:name w:val="Normal_file_593"/>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58">
    <w:name w:val="heading 1_file_593"/>
    <w:basedOn w:val="257"/>
    <w:autoRedefine/>
    <w:qFormat/>
    <w:uiPriority w:val="9"/>
    <w:pPr>
      <w:outlineLvl w:val="0"/>
    </w:pPr>
    <w:rPr>
      <w:kern w:val="36"/>
      <w:sz w:val="48"/>
      <w:szCs w:val="48"/>
    </w:rPr>
  </w:style>
  <w:style w:type="paragraph" w:customStyle="1" w:styleId="259">
    <w:name w:val="heading 2_file_593"/>
    <w:basedOn w:val="257"/>
    <w:autoRedefine/>
    <w:qFormat/>
    <w:uiPriority w:val="9"/>
    <w:pPr>
      <w:outlineLvl w:val="1"/>
    </w:pPr>
    <w:rPr>
      <w:sz w:val="36"/>
      <w:szCs w:val="36"/>
    </w:rPr>
  </w:style>
  <w:style w:type="paragraph" w:customStyle="1" w:styleId="260">
    <w:name w:val="heading 3_file_593"/>
    <w:basedOn w:val="257"/>
    <w:autoRedefine/>
    <w:qFormat/>
    <w:uiPriority w:val="9"/>
    <w:pPr>
      <w:outlineLvl w:val="2"/>
    </w:pPr>
    <w:rPr>
      <w:sz w:val="27"/>
      <w:szCs w:val="27"/>
    </w:rPr>
  </w:style>
  <w:style w:type="paragraph" w:customStyle="1" w:styleId="261">
    <w:name w:val="heading 4_file_593"/>
    <w:basedOn w:val="257"/>
    <w:autoRedefine/>
    <w:qFormat/>
    <w:uiPriority w:val="9"/>
    <w:pPr>
      <w:outlineLvl w:val="3"/>
    </w:pPr>
  </w:style>
  <w:style w:type="paragraph" w:customStyle="1" w:styleId="262">
    <w:name w:val="heading 5_file_593"/>
    <w:basedOn w:val="257"/>
    <w:autoRedefine/>
    <w:qFormat/>
    <w:uiPriority w:val="9"/>
    <w:pPr>
      <w:outlineLvl w:val="4"/>
    </w:pPr>
    <w:rPr>
      <w:sz w:val="20"/>
      <w:szCs w:val="20"/>
    </w:rPr>
  </w:style>
  <w:style w:type="paragraph" w:customStyle="1" w:styleId="263">
    <w:name w:val="heading 6_file_593"/>
    <w:basedOn w:val="257"/>
    <w:autoRedefine/>
    <w:qFormat/>
    <w:uiPriority w:val="9"/>
    <w:pPr>
      <w:outlineLvl w:val="5"/>
    </w:pPr>
    <w:rPr>
      <w:sz w:val="15"/>
      <w:szCs w:val="15"/>
    </w:rPr>
  </w:style>
  <w:style w:type="character" w:customStyle="1" w:styleId="264">
    <w:name w:val="Default Paragraph Font_file_593"/>
    <w:autoRedefine/>
    <w:semiHidden/>
    <w:unhideWhenUsed/>
    <w:qFormat/>
    <w:uiPriority w:val="1"/>
  </w:style>
  <w:style w:type="table" w:customStyle="1" w:styleId="265">
    <w:name w:val="Normal Table_file_593"/>
    <w:autoRedefine/>
    <w:semiHidden/>
    <w:unhideWhenUsed/>
    <w:qFormat/>
    <w:uiPriority w:val="99"/>
    <w:tblPr>
      <w:tblCellMar>
        <w:top w:w="0" w:type="dxa"/>
        <w:left w:w="108" w:type="dxa"/>
        <w:bottom w:w="0" w:type="dxa"/>
        <w:right w:w="108" w:type="dxa"/>
      </w:tblCellMar>
    </w:tblPr>
  </w:style>
  <w:style w:type="character" w:customStyle="1" w:styleId="266">
    <w:name w:val="Hyperlink_file_593"/>
    <w:basedOn w:val="264"/>
    <w:autoRedefine/>
    <w:semiHidden/>
    <w:unhideWhenUsed/>
    <w:qFormat/>
    <w:uiPriority w:val="99"/>
    <w:rPr>
      <w:color w:val="0782C1"/>
      <w:u w:val="single"/>
    </w:rPr>
  </w:style>
  <w:style w:type="character" w:customStyle="1" w:styleId="267">
    <w:name w:val="FollowedHyperlink_file_593"/>
    <w:basedOn w:val="264"/>
    <w:autoRedefine/>
    <w:semiHidden/>
    <w:unhideWhenUsed/>
    <w:qFormat/>
    <w:uiPriority w:val="99"/>
    <w:rPr>
      <w:color w:val="0782C1"/>
      <w:u w:val="single"/>
    </w:rPr>
  </w:style>
  <w:style w:type="character" w:customStyle="1" w:styleId="268">
    <w:name w:val="标题 1 Char_file_593"/>
    <w:basedOn w:val="264"/>
    <w:link w:val="4"/>
    <w:autoRedefine/>
    <w:qFormat/>
    <w:uiPriority w:val="9"/>
    <w:rPr>
      <w:rFonts w:ascii="宋体" w:hAnsi="宋体" w:eastAsia="宋体" w:cs="宋体"/>
      <w:b/>
      <w:bCs/>
      <w:kern w:val="44"/>
      <w:sz w:val="44"/>
      <w:szCs w:val="44"/>
    </w:rPr>
  </w:style>
  <w:style w:type="character" w:customStyle="1" w:styleId="269">
    <w:name w:val="标题 2 Char_file_593"/>
    <w:basedOn w:val="264"/>
    <w:link w:val="5"/>
    <w:autoRedefine/>
    <w:semiHidden/>
    <w:qFormat/>
    <w:uiPriority w:val="9"/>
    <w:rPr>
      <w:rFonts w:asciiTheme="majorHAnsi" w:hAnsiTheme="majorHAnsi" w:eastAsiaTheme="majorEastAsia" w:cstheme="majorBidi"/>
      <w:b/>
      <w:bCs/>
      <w:sz w:val="32"/>
      <w:szCs w:val="32"/>
    </w:rPr>
  </w:style>
  <w:style w:type="character" w:customStyle="1" w:styleId="270">
    <w:name w:val="标题 3 Char_file_593"/>
    <w:basedOn w:val="264"/>
    <w:link w:val="6"/>
    <w:autoRedefine/>
    <w:semiHidden/>
    <w:qFormat/>
    <w:uiPriority w:val="9"/>
    <w:rPr>
      <w:rFonts w:ascii="宋体" w:hAnsi="宋体" w:eastAsia="宋体" w:cs="宋体"/>
      <w:b/>
      <w:bCs/>
      <w:sz w:val="32"/>
      <w:szCs w:val="32"/>
    </w:rPr>
  </w:style>
  <w:style w:type="character" w:customStyle="1" w:styleId="271">
    <w:name w:val="标题 4 Char_file_593"/>
    <w:basedOn w:val="264"/>
    <w:link w:val="7"/>
    <w:autoRedefine/>
    <w:semiHidden/>
    <w:qFormat/>
    <w:uiPriority w:val="9"/>
    <w:rPr>
      <w:rFonts w:asciiTheme="majorHAnsi" w:hAnsiTheme="majorHAnsi" w:eastAsiaTheme="majorEastAsia" w:cstheme="majorBidi"/>
      <w:b/>
      <w:bCs/>
      <w:sz w:val="28"/>
      <w:szCs w:val="28"/>
    </w:rPr>
  </w:style>
  <w:style w:type="character" w:customStyle="1" w:styleId="272">
    <w:name w:val="标题 5 Char_file_593"/>
    <w:basedOn w:val="264"/>
    <w:link w:val="8"/>
    <w:autoRedefine/>
    <w:semiHidden/>
    <w:qFormat/>
    <w:uiPriority w:val="9"/>
    <w:rPr>
      <w:rFonts w:ascii="宋体" w:hAnsi="宋体" w:eastAsia="宋体" w:cs="宋体"/>
      <w:b/>
      <w:bCs/>
      <w:sz w:val="28"/>
      <w:szCs w:val="28"/>
    </w:rPr>
  </w:style>
  <w:style w:type="character" w:customStyle="1" w:styleId="273">
    <w:name w:val="标题 6 Char_file_593"/>
    <w:basedOn w:val="264"/>
    <w:link w:val="10"/>
    <w:autoRedefine/>
    <w:semiHidden/>
    <w:qFormat/>
    <w:uiPriority w:val="9"/>
    <w:rPr>
      <w:rFonts w:asciiTheme="majorHAnsi" w:hAnsiTheme="majorHAnsi" w:eastAsiaTheme="majorEastAsia" w:cstheme="majorBidi"/>
      <w:b/>
      <w:bCs/>
      <w:sz w:val="24"/>
      <w:szCs w:val="24"/>
    </w:rPr>
  </w:style>
  <w:style w:type="paragraph" w:customStyle="1" w:styleId="274">
    <w:name w:val="cke_editable_file_593"/>
    <w:basedOn w:val="257"/>
    <w:autoRedefine/>
    <w:qFormat/>
    <w:uiPriority w:val="0"/>
    <w:rPr>
      <w:rFonts w:ascii="仿宋_GB2312" w:eastAsia="仿宋_GB2312"/>
    </w:rPr>
  </w:style>
  <w:style w:type="paragraph" w:customStyle="1" w:styleId="275">
    <w:name w:val="marker_file_593"/>
    <w:basedOn w:val="257"/>
    <w:autoRedefine/>
    <w:qFormat/>
    <w:uiPriority w:val="0"/>
    <w:pPr>
      <w:shd w:val="clear" w:color="auto" w:fill="FFFF00"/>
    </w:pPr>
  </w:style>
  <w:style w:type="paragraph" w:customStyle="1" w:styleId="276">
    <w:name w:val="Normal (Web)_file_593"/>
    <w:basedOn w:val="257"/>
    <w:autoRedefine/>
    <w:semiHidden/>
    <w:unhideWhenUsed/>
    <w:qFormat/>
    <w:uiPriority w:val="99"/>
  </w:style>
  <w:style w:type="paragraph" w:customStyle="1" w:styleId="277">
    <w:name w:val="Normal_file_594"/>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78">
    <w:name w:val="heading 1_file_594"/>
    <w:basedOn w:val="277"/>
    <w:autoRedefine/>
    <w:qFormat/>
    <w:uiPriority w:val="9"/>
    <w:pPr>
      <w:outlineLvl w:val="0"/>
    </w:pPr>
    <w:rPr>
      <w:kern w:val="36"/>
      <w:sz w:val="48"/>
      <w:szCs w:val="48"/>
    </w:rPr>
  </w:style>
  <w:style w:type="paragraph" w:customStyle="1" w:styleId="279">
    <w:name w:val="heading 2_file_594"/>
    <w:basedOn w:val="277"/>
    <w:autoRedefine/>
    <w:qFormat/>
    <w:uiPriority w:val="9"/>
    <w:pPr>
      <w:outlineLvl w:val="1"/>
    </w:pPr>
    <w:rPr>
      <w:sz w:val="36"/>
      <w:szCs w:val="36"/>
    </w:rPr>
  </w:style>
  <w:style w:type="paragraph" w:customStyle="1" w:styleId="280">
    <w:name w:val="heading 3_file_594"/>
    <w:basedOn w:val="277"/>
    <w:autoRedefine/>
    <w:qFormat/>
    <w:uiPriority w:val="9"/>
    <w:pPr>
      <w:outlineLvl w:val="2"/>
    </w:pPr>
    <w:rPr>
      <w:sz w:val="27"/>
      <w:szCs w:val="27"/>
    </w:rPr>
  </w:style>
  <w:style w:type="paragraph" w:customStyle="1" w:styleId="281">
    <w:name w:val="heading 4_file_594"/>
    <w:basedOn w:val="277"/>
    <w:autoRedefine/>
    <w:qFormat/>
    <w:uiPriority w:val="9"/>
    <w:pPr>
      <w:outlineLvl w:val="3"/>
    </w:pPr>
  </w:style>
  <w:style w:type="paragraph" w:customStyle="1" w:styleId="282">
    <w:name w:val="heading 5_file_594"/>
    <w:basedOn w:val="277"/>
    <w:autoRedefine/>
    <w:qFormat/>
    <w:uiPriority w:val="9"/>
    <w:pPr>
      <w:outlineLvl w:val="4"/>
    </w:pPr>
    <w:rPr>
      <w:sz w:val="20"/>
      <w:szCs w:val="20"/>
    </w:rPr>
  </w:style>
  <w:style w:type="paragraph" w:customStyle="1" w:styleId="283">
    <w:name w:val="heading 6_file_594"/>
    <w:basedOn w:val="277"/>
    <w:autoRedefine/>
    <w:qFormat/>
    <w:uiPriority w:val="9"/>
    <w:pPr>
      <w:outlineLvl w:val="5"/>
    </w:pPr>
    <w:rPr>
      <w:sz w:val="15"/>
      <w:szCs w:val="15"/>
    </w:rPr>
  </w:style>
  <w:style w:type="character" w:customStyle="1" w:styleId="284">
    <w:name w:val="Default Paragraph Font_file_594"/>
    <w:autoRedefine/>
    <w:semiHidden/>
    <w:unhideWhenUsed/>
    <w:qFormat/>
    <w:uiPriority w:val="1"/>
  </w:style>
  <w:style w:type="table" w:customStyle="1" w:styleId="285">
    <w:name w:val="Normal Table_file_594"/>
    <w:autoRedefine/>
    <w:semiHidden/>
    <w:unhideWhenUsed/>
    <w:qFormat/>
    <w:uiPriority w:val="99"/>
    <w:tblPr>
      <w:tblCellMar>
        <w:top w:w="0" w:type="dxa"/>
        <w:left w:w="108" w:type="dxa"/>
        <w:bottom w:w="0" w:type="dxa"/>
        <w:right w:w="108" w:type="dxa"/>
      </w:tblCellMar>
    </w:tblPr>
  </w:style>
  <w:style w:type="character" w:customStyle="1" w:styleId="286">
    <w:name w:val="Hyperlink_file_594"/>
    <w:basedOn w:val="284"/>
    <w:autoRedefine/>
    <w:semiHidden/>
    <w:unhideWhenUsed/>
    <w:qFormat/>
    <w:uiPriority w:val="99"/>
    <w:rPr>
      <w:color w:val="0782C1"/>
      <w:u w:val="single"/>
    </w:rPr>
  </w:style>
  <w:style w:type="character" w:customStyle="1" w:styleId="287">
    <w:name w:val="FollowedHyperlink_file_594"/>
    <w:basedOn w:val="284"/>
    <w:autoRedefine/>
    <w:semiHidden/>
    <w:unhideWhenUsed/>
    <w:qFormat/>
    <w:uiPriority w:val="99"/>
    <w:rPr>
      <w:color w:val="0782C1"/>
      <w:u w:val="single"/>
    </w:rPr>
  </w:style>
  <w:style w:type="character" w:customStyle="1" w:styleId="288">
    <w:name w:val="标题 1 Char_file_594"/>
    <w:basedOn w:val="284"/>
    <w:link w:val="4"/>
    <w:autoRedefine/>
    <w:qFormat/>
    <w:uiPriority w:val="9"/>
    <w:rPr>
      <w:rFonts w:ascii="宋体" w:hAnsi="宋体" w:eastAsia="宋体" w:cs="宋体"/>
      <w:b/>
      <w:bCs/>
      <w:kern w:val="44"/>
      <w:sz w:val="44"/>
      <w:szCs w:val="44"/>
    </w:rPr>
  </w:style>
  <w:style w:type="character" w:customStyle="1" w:styleId="289">
    <w:name w:val="标题 2 Char_file_594"/>
    <w:basedOn w:val="284"/>
    <w:link w:val="5"/>
    <w:autoRedefine/>
    <w:semiHidden/>
    <w:qFormat/>
    <w:uiPriority w:val="9"/>
    <w:rPr>
      <w:rFonts w:asciiTheme="majorHAnsi" w:hAnsiTheme="majorHAnsi" w:eastAsiaTheme="majorEastAsia" w:cstheme="majorBidi"/>
      <w:b/>
      <w:bCs/>
      <w:sz w:val="32"/>
      <w:szCs w:val="32"/>
    </w:rPr>
  </w:style>
  <w:style w:type="character" w:customStyle="1" w:styleId="290">
    <w:name w:val="标题 3 Char_file_594"/>
    <w:basedOn w:val="284"/>
    <w:link w:val="6"/>
    <w:autoRedefine/>
    <w:semiHidden/>
    <w:qFormat/>
    <w:uiPriority w:val="9"/>
    <w:rPr>
      <w:rFonts w:ascii="宋体" w:hAnsi="宋体" w:eastAsia="宋体" w:cs="宋体"/>
      <w:b/>
      <w:bCs/>
      <w:sz w:val="32"/>
      <w:szCs w:val="32"/>
    </w:rPr>
  </w:style>
  <w:style w:type="character" w:customStyle="1" w:styleId="291">
    <w:name w:val="标题 4 Char_file_594"/>
    <w:basedOn w:val="284"/>
    <w:link w:val="7"/>
    <w:autoRedefine/>
    <w:semiHidden/>
    <w:qFormat/>
    <w:uiPriority w:val="9"/>
    <w:rPr>
      <w:rFonts w:asciiTheme="majorHAnsi" w:hAnsiTheme="majorHAnsi" w:eastAsiaTheme="majorEastAsia" w:cstheme="majorBidi"/>
      <w:b/>
      <w:bCs/>
      <w:sz w:val="28"/>
      <w:szCs w:val="28"/>
    </w:rPr>
  </w:style>
  <w:style w:type="character" w:customStyle="1" w:styleId="292">
    <w:name w:val="标题 5 Char_file_594"/>
    <w:basedOn w:val="284"/>
    <w:link w:val="8"/>
    <w:autoRedefine/>
    <w:semiHidden/>
    <w:qFormat/>
    <w:uiPriority w:val="9"/>
    <w:rPr>
      <w:rFonts w:ascii="宋体" w:hAnsi="宋体" w:eastAsia="宋体" w:cs="宋体"/>
      <w:b/>
      <w:bCs/>
      <w:sz w:val="28"/>
      <w:szCs w:val="28"/>
    </w:rPr>
  </w:style>
  <w:style w:type="character" w:customStyle="1" w:styleId="293">
    <w:name w:val="标题 6 Char_file_594"/>
    <w:basedOn w:val="284"/>
    <w:link w:val="10"/>
    <w:autoRedefine/>
    <w:semiHidden/>
    <w:qFormat/>
    <w:uiPriority w:val="9"/>
    <w:rPr>
      <w:rFonts w:asciiTheme="majorHAnsi" w:hAnsiTheme="majorHAnsi" w:eastAsiaTheme="majorEastAsia" w:cstheme="majorBidi"/>
      <w:b/>
      <w:bCs/>
      <w:sz w:val="24"/>
      <w:szCs w:val="24"/>
    </w:rPr>
  </w:style>
  <w:style w:type="paragraph" w:customStyle="1" w:styleId="294">
    <w:name w:val="cke_editable_file_594"/>
    <w:basedOn w:val="277"/>
    <w:autoRedefine/>
    <w:qFormat/>
    <w:uiPriority w:val="0"/>
    <w:rPr>
      <w:rFonts w:ascii="仿宋_GB2312" w:eastAsia="仿宋_GB2312"/>
    </w:rPr>
  </w:style>
  <w:style w:type="paragraph" w:customStyle="1" w:styleId="295">
    <w:name w:val="marker_file_594"/>
    <w:basedOn w:val="277"/>
    <w:autoRedefine/>
    <w:qFormat/>
    <w:uiPriority w:val="0"/>
    <w:pPr>
      <w:shd w:val="clear" w:color="auto" w:fill="FFFF00"/>
    </w:pPr>
  </w:style>
  <w:style w:type="paragraph" w:customStyle="1" w:styleId="296">
    <w:name w:val="Normal (Web)_file_594"/>
    <w:basedOn w:val="277"/>
    <w:autoRedefine/>
    <w:semiHidden/>
    <w:unhideWhenUsed/>
    <w:qFormat/>
    <w:uiPriority w:val="99"/>
  </w:style>
  <w:style w:type="paragraph" w:customStyle="1" w:styleId="297">
    <w:name w:val="Normal_file_595"/>
    <w:autoRedefine/>
    <w:qFormat/>
    <w:uiPriority w:val="0"/>
    <w:pPr>
      <w:widowControl w:val="0"/>
      <w:spacing w:line="560" w:lineRule="exact"/>
      <w:ind w:firstLine="200" w:firstLineChars="200"/>
    </w:pPr>
    <w:rPr>
      <w:rFonts w:ascii="仿宋" w:hAnsi="Calibri" w:eastAsia="仿宋" w:cs="Times New Roman"/>
      <w:kern w:val="2"/>
      <w:sz w:val="32"/>
      <w:szCs w:val="22"/>
      <w:lang w:val="en-US" w:eastAsia="zh-CN" w:bidi="ar-SA"/>
    </w:rPr>
  </w:style>
  <w:style w:type="character" w:customStyle="1" w:styleId="298">
    <w:name w:val="Default Paragraph Font_file_595"/>
    <w:autoRedefine/>
    <w:semiHidden/>
    <w:qFormat/>
    <w:uiPriority w:val="0"/>
  </w:style>
  <w:style w:type="table" w:customStyle="1" w:styleId="299">
    <w:name w:val="Normal Table_file_595"/>
    <w:autoRedefine/>
    <w:semiHidden/>
    <w:qFormat/>
    <w:uiPriority w:val="0"/>
    <w:tblPr>
      <w:tblCellMar>
        <w:top w:w="0" w:type="dxa"/>
        <w:left w:w="108" w:type="dxa"/>
        <w:bottom w:w="0" w:type="dxa"/>
        <w:right w:w="108" w:type="dxa"/>
      </w:tblCellMar>
    </w:tblPr>
  </w:style>
  <w:style w:type="paragraph" w:customStyle="1" w:styleId="300">
    <w:name w:val="annotation text_file_595"/>
    <w:basedOn w:val="297"/>
    <w:autoRedefine/>
    <w:qFormat/>
    <w:uiPriority w:val="0"/>
    <w:pPr>
      <w:jc w:val="left"/>
    </w:pPr>
  </w:style>
  <w:style w:type="paragraph" w:customStyle="1" w:styleId="301">
    <w:name w:val="index 1_file_595"/>
    <w:basedOn w:val="297"/>
    <w:next w:val="4"/>
    <w:autoRedefine/>
    <w:semiHidden/>
    <w:qFormat/>
    <w:uiPriority w:val="0"/>
    <w:pPr>
      <w:spacing w:line="400" w:lineRule="exact"/>
      <w:ind w:firstLine="420" w:firstLineChars="200"/>
    </w:pPr>
    <w:rPr>
      <w:rFonts w:hAnsi="Courier New"/>
      <w:b/>
      <w:szCs w:val="20"/>
    </w:rPr>
  </w:style>
  <w:style w:type="paragraph" w:customStyle="1" w:styleId="302">
    <w:name w:val="List Paragraph_file_595"/>
    <w:basedOn w:val="297"/>
    <w:autoRedefine/>
    <w:unhideWhenUsed/>
    <w:qFormat/>
    <w:uiPriority w:val="99"/>
    <w:pPr>
      <w:ind w:firstLine="420"/>
    </w:pPr>
  </w:style>
  <w:style w:type="paragraph" w:customStyle="1" w:styleId="303">
    <w:name w:val="Normal_file_596"/>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04">
    <w:name w:val="heading 1_file_596"/>
    <w:basedOn w:val="303"/>
    <w:autoRedefine/>
    <w:qFormat/>
    <w:uiPriority w:val="9"/>
    <w:pPr>
      <w:outlineLvl w:val="0"/>
    </w:pPr>
    <w:rPr>
      <w:kern w:val="36"/>
      <w:sz w:val="48"/>
      <w:szCs w:val="48"/>
    </w:rPr>
  </w:style>
  <w:style w:type="paragraph" w:customStyle="1" w:styleId="305">
    <w:name w:val="heading 2_file_596"/>
    <w:basedOn w:val="303"/>
    <w:autoRedefine/>
    <w:qFormat/>
    <w:uiPriority w:val="9"/>
    <w:pPr>
      <w:outlineLvl w:val="1"/>
    </w:pPr>
    <w:rPr>
      <w:sz w:val="36"/>
      <w:szCs w:val="36"/>
    </w:rPr>
  </w:style>
  <w:style w:type="paragraph" w:customStyle="1" w:styleId="306">
    <w:name w:val="heading 3_file_596"/>
    <w:basedOn w:val="303"/>
    <w:autoRedefine/>
    <w:qFormat/>
    <w:uiPriority w:val="9"/>
    <w:pPr>
      <w:outlineLvl w:val="2"/>
    </w:pPr>
    <w:rPr>
      <w:sz w:val="27"/>
      <w:szCs w:val="27"/>
    </w:rPr>
  </w:style>
  <w:style w:type="paragraph" w:customStyle="1" w:styleId="307">
    <w:name w:val="heading 4_file_596"/>
    <w:basedOn w:val="303"/>
    <w:autoRedefine/>
    <w:qFormat/>
    <w:uiPriority w:val="9"/>
    <w:pPr>
      <w:outlineLvl w:val="3"/>
    </w:pPr>
  </w:style>
  <w:style w:type="paragraph" w:customStyle="1" w:styleId="308">
    <w:name w:val="heading 5_file_596"/>
    <w:basedOn w:val="303"/>
    <w:autoRedefine/>
    <w:qFormat/>
    <w:uiPriority w:val="9"/>
    <w:pPr>
      <w:outlineLvl w:val="4"/>
    </w:pPr>
    <w:rPr>
      <w:sz w:val="20"/>
      <w:szCs w:val="20"/>
    </w:rPr>
  </w:style>
  <w:style w:type="paragraph" w:customStyle="1" w:styleId="309">
    <w:name w:val="heading 6_file_596"/>
    <w:basedOn w:val="303"/>
    <w:autoRedefine/>
    <w:qFormat/>
    <w:uiPriority w:val="9"/>
    <w:pPr>
      <w:outlineLvl w:val="5"/>
    </w:pPr>
    <w:rPr>
      <w:sz w:val="15"/>
      <w:szCs w:val="15"/>
    </w:rPr>
  </w:style>
  <w:style w:type="character" w:customStyle="1" w:styleId="310">
    <w:name w:val="Default Paragraph Font_file_596"/>
    <w:autoRedefine/>
    <w:semiHidden/>
    <w:unhideWhenUsed/>
    <w:qFormat/>
    <w:uiPriority w:val="1"/>
  </w:style>
  <w:style w:type="table" w:customStyle="1" w:styleId="311">
    <w:name w:val="Normal Table_file_596"/>
    <w:autoRedefine/>
    <w:semiHidden/>
    <w:unhideWhenUsed/>
    <w:qFormat/>
    <w:uiPriority w:val="99"/>
    <w:tblPr>
      <w:tblCellMar>
        <w:top w:w="0" w:type="dxa"/>
        <w:left w:w="108" w:type="dxa"/>
        <w:bottom w:w="0" w:type="dxa"/>
        <w:right w:w="108" w:type="dxa"/>
      </w:tblCellMar>
    </w:tblPr>
  </w:style>
  <w:style w:type="character" w:customStyle="1" w:styleId="312">
    <w:name w:val="Hyperlink_file_596"/>
    <w:basedOn w:val="310"/>
    <w:autoRedefine/>
    <w:semiHidden/>
    <w:unhideWhenUsed/>
    <w:qFormat/>
    <w:uiPriority w:val="99"/>
    <w:rPr>
      <w:color w:val="0782C1"/>
      <w:u w:val="single"/>
    </w:rPr>
  </w:style>
  <w:style w:type="character" w:customStyle="1" w:styleId="313">
    <w:name w:val="FollowedHyperlink_file_596"/>
    <w:basedOn w:val="310"/>
    <w:autoRedefine/>
    <w:semiHidden/>
    <w:unhideWhenUsed/>
    <w:qFormat/>
    <w:uiPriority w:val="99"/>
    <w:rPr>
      <w:color w:val="0782C1"/>
      <w:u w:val="single"/>
    </w:rPr>
  </w:style>
  <w:style w:type="character" w:customStyle="1" w:styleId="314">
    <w:name w:val="标题 1 Char_file_596"/>
    <w:basedOn w:val="310"/>
    <w:link w:val="4"/>
    <w:autoRedefine/>
    <w:qFormat/>
    <w:uiPriority w:val="9"/>
    <w:rPr>
      <w:rFonts w:ascii="宋体" w:hAnsi="宋体" w:eastAsia="宋体" w:cs="宋体"/>
      <w:b/>
      <w:bCs/>
      <w:kern w:val="44"/>
      <w:sz w:val="44"/>
      <w:szCs w:val="44"/>
    </w:rPr>
  </w:style>
  <w:style w:type="character" w:customStyle="1" w:styleId="315">
    <w:name w:val="标题 2 Char_file_596"/>
    <w:basedOn w:val="310"/>
    <w:link w:val="5"/>
    <w:autoRedefine/>
    <w:semiHidden/>
    <w:qFormat/>
    <w:uiPriority w:val="9"/>
    <w:rPr>
      <w:rFonts w:asciiTheme="majorHAnsi" w:hAnsiTheme="majorHAnsi" w:eastAsiaTheme="majorEastAsia" w:cstheme="majorBidi"/>
      <w:b/>
      <w:bCs/>
      <w:sz w:val="32"/>
      <w:szCs w:val="32"/>
    </w:rPr>
  </w:style>
  <w:style w:type="character" w:customStyle="1" w:styleId="316">
    <w:name w:val="标题 3 Char_file_596"/>
    <w:basedOn w:val="310"/>
    <w:link w:val="6"/>
    <w:autoRedefine/>
    <w:semiHidden/>
    <w:qFormat/>
    <w:uiPriority w:val="9"/>
    <w:rPr>
      <w:rFonts w:ascii="宋体" w:hAnsi="宋体" w:eastAsia="宋体" w:cs="宋体"/>
      <w:b/>
      <w:bCs/>
      <w:sz w:val="32"/>
      <w:szCs w:val="32"/>
    </w:rPr>
  </w:style>
  <w:style w:type="character" w:customStyle="1" w:styleId="317">
    <w:name w:val="标题 4 Char_file_596"/>
    <w:basedOn w:val="310"/>
    <w:link w:val="7"/>
    <w:autoRedefine/>
    <w:semiHidden/>
    <w:qFormat/>
    <w:uiPriority w:val="9"/>
    <w:rPr>
      <w:rFonts w:asciiTheme="majorHAnsi" w:hAnsiTheme="majorHAnsi" w:eastAsiaTheme="majorEastAsia" w:cstheme="majorBidi"/>
      <w:b/>
      <w:bCs/>
      <w:sz w:val="28"/>
      <w:szCs w:val="28"/>
    </w:rPr>
  </w:style>
  <w:style w:type="character" w:customStyle="1" w:styleId="318">
    <w:name w:val="标题 5 Char_file_596"/>
    <w:basedOn w:val="310"/>
    <w:link w:val="8"/>
    <w:autoRedefine/>
    <w:semiHidden/>
    <w:qFormat/>
    <w:uiPriority w:val="9"/>
    <w:rPr>
      <w:rFonts w:ascii="宋体" w:hAnsi="宋体" w:eastAsia="宋体" w:cs="宋体"/>
      <w:b/>
      <w:bCs/>
      <w:sz w:val="28"/>
      <w:szCs w:val="28"/>
    </w:rPr>
  </w:style>
  <w:style w:type="character" w:customStyle="1" w:styleId="319">
    <w:name w:val="标题 6 Char_file_596"/>
    <w:basedOn w:val="310"/>
    <w:link w:val="10"/>
    <w:autoRedefine/>
    <w:semiHidden/>
    <w:qFormat/>
    <w:uiPriority w:val="9"/>
    <w:rPr>
      <w:rFonts w:asciiTheme="majorHAnsi" w:hAnsiTheme="majorHAnsi" w:eastAsiaTheme="majorEastAsia" w:cstheme="majorBidi"/>
      <w:b/>
      <w:bCs/>
      <w:sz w:val="24"/>
      <w:szCs w:val="24"/>
    </w:rPr>
  </w:style>
  <w:style w:type="paragraph" w:customStyle="1" w:styleId="320">
    <w:name w:val="cke_editable_file_596"/>
    <w:basedOn w:val="303"/>
    <w:autoRedefine/>
    <w:qFormat/>
    <w:uiPriority w:val="0"/>
    <w:rPr>
      <w:rFonts w:ascii="仿宋_GB2312" w:eastAsia="仿宋_GB2312"/>
    </w:rPr>
  </w:style>
  <w:style w:type="paragraph" w:customStyle="1" w:styleId="321">
    <w:name w:val="marker_file_596"/>
    <w:basedOn w:val="303"/>
    <w:autoRedefine/>
    <w:qFormat/>
    <w:uiPriority w:val="0"/>
    <w:pPr>
      <w:shd w:val="clear" w:color="auto" w:fill="FFFF00"/>
    </w:pPr>
  </w:style>
  <w:style w:type="paragraph" w:customStyle="1" w:styleId="322">
    <w:name w:val="Normal (Web)_file_596"/>
    <w:basedOn w:val="303"/>
    <w:autoRedefine/>
    <w:semiHidden/>
    <w:unhideWhenUsed/>
    <w:qFormat/>
    <w:uiPriority w:val="99"/>
  </w:style>
  <w:style w:type="paragraph" w:customStyle="1" w:styleId="323">
    <w:name w:val="Normal_file_597"/>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24">
    <w:name w:val="heading 1_file_597"/>
    <w:basedOn w:val="323"/>
    <w:autoRedefine/>
    <w:qFormat/>
    <w:uiPriority w:val="9"/>
    <w:pPr>
      <w:outlineLvl w:val="0"/>
    </w:pPr>
    <w:rPr>
      <w:kern w:val="36"/>
      <w:sz w:val="48"/>
      <w:szCs w:val="48"/>
    </w:rPr>
  </w:style>
  <w:style w:type="paragraph" w:customStyle="1" w:styleId="325">
    <w:name w:val="heading 2_file_597"/>
    <w:basedOn w:val="323"/>
    <w:autoRedefine/>
    <w:qFormat/>
    <w:uiPriority w:val="9"/>
    <w:pPr>
      <w:outlineLvl w:val="1"/>
    </w:pPr>
    <w:rPr>
      <w:sz w:val="36"/>
      <w:szCs w:val="36"/>
    </w:rPr>
  </w:style>
  <w:style w:type="paragraph" w:customStyle="1" w:styleId="326">
    <w:name w:val="heading 3_file_597"/>
    <w:basedOn w:val="323"/>
    <w:autoRedefine/>
    <w:qFormat/>
    <w:uiPriority w:val="9"/>
    <w:pPr>
      <w:outlineLvl w:val="2"/>
    </w:pPr>
    <w:rPr>
      <w:sz w:val="27"/>
      <w:szCs w:val="27"/>
    </w:rPr>
  </w:style>
  <w:style w:type="paragraph" w:customStyle="1" w:styleId="327">
    <w:name w:val="heading 4_file_597"/>
    <w:basedOn w:val="323"/>
    <w:autoRedefine/>
    <w:qFormat/>
    <w:uiPriority w:val="9"/>
    <w:pPr>
      <w:outlineLvl w:val="3"/>
    </w:pPr>
  </w:style>
  <w:style w:type="paragraph" w:customStyle="1" w:styleId="328">
    <w:name w:val="heading 5_file_597"/>
    <w:basedOn w:val="323"/>
    <w:autoRedefine/>
    <w:qFormat/>
    <w:uiPriority w:val="9"/>
    <w:pPr>
      <w:outlineLvl w:val="4"/>
    </w:pPr>
    <w:rPr>
      <w:sz w:val="20"/>
      <w:szCs w:val="20"/>
    </w:rPr>
  </w:style>
  <w:style w:type="paragraph" w:customStyle="1" w:styleId="329">
    <w:name w:val="heading 6_file_597"/>
    <w:basedOn w:val="323"/>
    <w:autoRedefine/>
    <w:qFormat/>
    <w:uiPriority w:val="9"/>
    <w:pPr>
      <w:outlineLvl w:val="5"/>
    </w:pPr>
    <w:rPr>
      <w:sz w:val="15"/>
      <w:szCs w:val="15"/>
    </w:rPr>
  </w:style>
  <w:style w:type="character" w:customStyle="1" w:styleId="330">
    <w:name w:val="Default Paragraph Font_file_597"/>
    <w:autoRedefine/>
    <w:semiHidden/>
    <w:unhideWhenUsed/>
    <w:qFormat/>
    <w:uiPriority w:val="1"/>
  </w:style>
  <w:style w:type="table" w:customStyle="1" w:styleId="331">
    <w:name w:val="Normal Table_file_597"/>
    <w:autoRedefine/>
    <w:semiHidden/>
    <w:unhideWhenUsed/>
    <w:qFormat/>
    <w:uiPriority w:val="99"/>
    <w:tblPr>
      <w:tblCellMar>
        <w:top w:w="0" w:type="dxa"/>
        <w:left w:w="108" w:type="dxa"/>
        <w:bottom w:w="0" w:type="dxa"/>
        <w:right w:w="108" w:type="dxa"/>
      </w:tblCellMar>
    </w:tblPr>
  </w:style>
  <w:style w:type="character" w:customStyle="1" w:styleId="332">
    <w:name w:val="Hyperlink_file_597"/>
    <w:basedOn w:val="330"/>
    <w:autoRedefine/>
    <w:semiHidden/>
    <w:unhideWhenUsed/>
    <w:qFormat/>
    <w:uiPriority w:val="99"/>
    <w:rPr>
      <w:color w:val="0782C1"/>
      <w:u w:val="single"/>
    </w:rPr>
  </w:style>
  <w:style w:type="character" w:customStyle="1" w:styleId="333">
    <w:name w:val="FollowedHyperlink_file_597"/>
    <w:basedOn w:val="330"/>
    <w:autoRedefine/>
    <w:semiHidden/>
    <w:unhideWhenUsed/>
    <w:qFormat/>
    <w:uiPriority w:val="99"/>
    <w:rPr>
      <w:color w:val="0782C1"/>
      <w:u w:val="single"/>
    </w:rPr>
  </w:style>
  <w:style w:type="character" w:customStyle="1" w:styleId="334">
    <w:name w:val="标题 1 Char_file_597"/>
    <w:basedOn w:val="330"/>
    <w:link w:val="4"/>
    <w:autoRedefine/>
    <w:qFormat/>
    <w:uiPriority w:val="9"/>
    <w:rPr>
      <w:rFonts w:ascii="宋体" w:hAnsi="宋体" w:eastAsia="宋体" w:cs="宋体"/>
      <w:b/>
      <w:bCs/>
      <w:kern w:val="44"/>
      <w:sz w:val="44"/>
      <w:szCs w:val="44"/>
    </w:rPr>
  </w:style>
  <w:style w:type="character" w:customStyle="1" w:styleId="335">
    <w:name w:val="标题 2 Char_file_597"/>
    <w:basedOn w:val="330"/>
    <w:link w:val="5"/>
    <w:autoRedefine/>
    <w:semiHidden/>
    <w:qFormat/>
    <w:uiPriority w:val="9"/>
    <w:rPr>
      <w:rFonts w:asciiTheme="majorHAnsi" w:hAnsiTheme="majorHAnsi" w:eastAsiaTheme="majorEastAsia" w:cstheme="majorBidi"/>
      <w:b/>
      <w:bCs/>
      <w:sz w:val="32"/>
      <w:szCs w:val="32"/>
    </w:rPr>
  </w:style>
  <w:style w:type="character" w:customStyle="1" w:styleId="336">
    <w:name w:val="标题 3 Char_file_597"/>
    <w:basedOn w:val="330"/>
    <w:link w:val="6"/>
    <w:autoRedefine/>
    <w:semiHidden/>
    <w:qFormat/>
    <w:uiPriority w:val="9"/>
    <w:rPr>
      <w:rFonts w:ascii="宋体" w:hAnsi="宋体" w:eastAsia="宋体" w:cs="宋体"/>
      <w:b/>
      <w:bCs/>
      <w:sz w:val="32"/>
      <w:szCs w:val="32"/>
    </w:rPr>
  </w:style>
  <w:style w:type="character" w:customStyle="1" w:styleId="337">
    <w:name w:val="标题 4 Char_file_597"/>
    <w:basedOn w:val="330"/>
    <w:link w:val="7"/>
    <w:autoRedefine/>
    <w:semiHidden/>
    <w:qFormat/>
    <w:uiPriority w:val="9"/>
    <w:rPr>
      <w:rFonts w:asciiTheme="majorHAnsi" w:hAnsiTheme="majorHAnsi" w:eastAsiaTheme="majorEastAsia" w:cstheme="majorBidi"/>
      <w:b/>
      <w:bCs/>
      <w:sz w:val="28"/>
      <w:szCs w:val="28"/>
    </w:rPr>
  </w:style>
  <w:style w:type="character" w:customStyle="1" w:styleId="338">
    <w:name w:val="标题 5 Char_file_597"/>
    <w:basedOn w:val="330"/>
    <w:link w:val="8"/>
    <w:autoRedefine/>
    <w:semiHidden/>
    <w:qFormat/>
    <w:uiPriority w:val="9"/>
    <w:rPr>
      <w:rFonts w:ascii="宋体" w:hAnsi="宋体" w:eastAsia="宋体" w:cs="宋体"/>
      <w:b/>
      <w:bCs/>
      <w:sz w:val="28"/>
      <w:szCs w:val="28"/>
    </w:rPr>
  </w:style>
  <w:style w:type="character" w:customStyle="1" w:styleId="339">
    <w:name w:val="标题 6 Char_file_597"/>
    <w:basedOn w:val="330"/>
    <w:link w:val="10"/>
    <w:autoRedefine/>
    <w:semiHidden/>
    <w:qFormat/>
    <w:uiPriority w:val="9"/>
    <w:rPr>
      <w:rFonts w:asciiTheme="majorHAnsi" w:hAnsiTheme="majorHAnsi" w:eastAsiaTheme="majorEastAsia" w:cstheme="majorBidi"/>
      <w:b/>
      <w:bCs/>
      <w:sz w:val="24"/>
      <w:szCs w:val="24"/>
    </w:rPr>
  </w:style>
  <w:style w:type="paragraph" w:customStyle="1" w:styleId="340">
    <w:name w:val="cke_editable_file_597"/>
    <w:basedOn w:val="323"/>
    <w:autoRedefine/>
    <w:qFormat/>
    <w:uiPriority w:val="0"/>
    <w:rPr>
      <w:rFonts w:ascii="仿宋_GB2312" w:eastAsia="仿宋_GB2312"/>
    </w:rPr>
  </w:style>
  <w:style w:type="paragraph" w:customStyle="1" w:styleId="341">
    <w:name w:val="marker_file_597"/>
    <w:basedOn w:val="323"/>
    <w:autoRedefine/>
    <w:qFormat/>
    <w:uiPriority w:val="0"/>
    <w:pPr>
      <w:shd w:val="clear" w:color="auto" w:fill="FFFF00"/>
    </w:pPr>
  </w:style>
  <w:style w:type="paragraph" w:customStyle="1" w:styleId="342">
    <w:name w:val="Normal (Web)_file_597"/>
    <w:basedOn w:val="323"/>
    <w:autoRedefine/>
    <w:semiHidden/>
    <w:unhideWhenUsed/>
    <w:qFormat/>
    <w:uiPriority w:val="99"/>
  </w:style>
  <w:style w:type="paragraph" w:customStyle="1" w:styleId="343">
    <w:name w:val="Normal_file_598"/>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44">
    <w:name w:val="heading 1_file_598"/>
    <w:basedOn w:val="343"/>
    <w:autoRedefine/>
    <w:qFormat/>
    <w:uiPriority w:val="9"/>
    <w:pPr>
      <w:outlineLvl w:val="0"/>
    </w:pPr>
    <w:rPr>
      <w:kern w:val="36"/>
      <w:sz w:val="48"/>
      <w:szCs w:val="48"/>
    </w:rPr>
  </w:style>
  <w:style w:type="paragraph" w:customStyle="1" w:styleId="345">
    <w:name w:val="heading 2_file_598"/>
    <w:basedOn w:val="343"/>
    <w:autoRedefine/>
    <w:qFormat/>
    <w:uiPriority w:val="9"/>
    <w:pPr>
      <w:outlineLvl w:val="1"/>
    </w:pPr>
    <w:rPr>
      <w:sz w:val="36"/>
      <w:szCs w:val="36"/>
    </w:rPr>
  </w:style>
  <w:style w:type="paragraph" w:customStyle="1" w:styleId="346">
    <w:name w:val="heading 3_file_598"/>
    <w:basedOn w:val="343"/>
    <w:autoRedefine/>
    <w:qFormat/>
    <w:uiPriority w:val="9"/>
    <w:pPr>
      <w:outlineLvl w:val="2"/>
    </w:pPr>
    <w:rPr>
      <w:sz w:val="27"/>
      <w:szCs w:val="27"/>
    </w:rPr>
  </w:style>
  <w:style w:type="paragraph" w:customStyle="1" w:styleId="347">
    <w:name w:val="heading 4_file_598"/>
    <w:basedOn w:val="343"/>
    <w:autoRedefine/>
    <w:qFormat/>
    <w:uiPriority w:val="9"/>
    <w:pPr>
      <w:outlineLvl w:val="3"/>
    </w:pPr>
  </w:style>
  <w:style w:type="paragraph" w:customStyle="1" w:styleId="348">
    <w:name w:val="heading 5_file_598"/>
    <w:basedOn w:val="343"/>
    <w:autoRedefine/>
    <w:qFormat/>
    <w:uiPriority w:val="9"/>
    <w:pPr>
      <w:outlineLvl w:val="4"/>
    </w:pPr>
    <w:rPr>
      <w:sz w:val="20"/>
      <w:szCs w:val="20"/>
    </w:rPr>
  </w:style>
  <w:style w:type="paragraph" w:customStyle="1" w:styleId="349">
    <w:name w:val="heading 6_file_598"/>
    <w:basedOn w:val="343"/>
    <w:autoRedefine/>
    <w:qFormat/>
    <w:uiPriority w:val="9"/>
    <w:pPr>
      <w:outlineLvl w:val="5"/>
    </w:pPr>
    <w:rPr>
      <w:sz w:val="15"/>
      <w:szCs w:val="15"/>
    </w:rPr>
  </w:style>
  <w:style w:type="character" w:customStyle="1" w:styleId="350">
    <w:name w:val="Default Paragraph Font_file_598"/>
    <w:autoRedefine/>
    <w:semiHidden/>
    <w:unhideWhenUsed/>
    <w:qFormat/>
    <w:uiPriority w:val="1"/>
  </w:style>
  <w:style w:type="table" w:customStyle="1" w:styleId="351">
    <w:name w:val="Normal Table_file_598"/>
    <w:autoRedefine/>
    <w:semiHidden/>
    <w:unhideWhenUsed/>
    <w:qFormat/>
    <w:uiPriority w:val="99"/>
    <w:tblPr>
      <w:tblCellMar>
        <w:top w:w="0" w:type="dxa"/>
        <w:left w:w="108" w:type="dxa"/>
        <w:bottom w:w="0" w:type="dxa"/>
        <w:right w:w="108" w:type="dxa"/>
      </w:tblCellMar>
    </w:tblPr>
  </w:style>
  <w:style w:type="character" w:customStyle="1" w:styleId="352">
    <w:name w:val="Hyperlink_file_598"/>
    <w:basedOn w:val="350"/>
    <w:autoRedefine/>
    <w:semiHidden/>
    <w:unhideWhenUsed/>
    <w:qFormat/>
    <w:uiPriority w:val="99"/>
    <w:rPr>
      <w:color w:val="0782C1"/>
      <w:u w:val="single"/>
    </w:rPr>
  </w:style>
  <w:style w:type="character" w:customStyle="1" w:styleId="353">
    <w:name w:val="FollowedHyperlink_file_598"/>
    <w:basedOn w:val="350"/>
    <w:autoRedefine/>
    <w:semiHidden/>
    <w:unhideWhenUsed/>
    <w:qFormat/>
    <w:uiPriority w:val="99"/>
    <w:rPr>
      <w:color w:val="0782C1"/>
      <w:u w:val="single"/>
    </w:rPr>
  </w:style>
  <w:style w:type="character" w:customStyle="1" w:styleId="354">
    <w:name w:val="标题 1 Char_file_598"/>
    <w:basedOn w:val="350"/>
    <w:link w:val="4"/>
    <w:autoRedefine/>
    <w:qFormat/>
    <w:uiPriority w:val="9"/>
    <w:rPr>
      <w:rFonts w:ascii="宋体" w:hAnsi="宋体" w:eastAsia="宋体" w:cs="宋体"/>
      <w:b/>
      <w:bCs/>
      <w:kern w:val="44"/>
      <w:sz w:val="44"/>
      <w:szCs w:val="44"/>
    </w:rPr>
  </w:style>
  <w:style w:type="character" w:customStyle="1" w:styleId="355">
    <w:name w:val="标题 2 Char_file_598"/>
    <w:basedOn w:val="350"/>
    <w:link w:val="5"/>
    <w:autoRedefine/>
    <w:semiHidden/>
    <w:qFormat/>
    <w:uiPriority w:val="9"/>
    <w:rPr>
      <w:rFonts w:asciiTheme="majorHAnsi" w:hAnsiTheme="majorHAnsi" w:eastAsiaTheme="majorEastAsia" w:cstheme="majorBidi"/>
      <w:b/>
      <w:bCs/>
      <w:sz w:val="32"/>
      <w:szCs w:val="32"/>
    </w:rPr>
  </w:style>
  <w:style w:type="character" w:customStyle="1" w:styleId="356">
    <w:name w:val="标题 3 Char_file_598"/>
    <w:basedOn w:val="350"/>
    <w:link w:val="6"/>
    <w:autoRedefine/>
    <w:semiHidden/>
    <w:qFormat/>
    <w:uiPriority w:val="9"/>
    <w:rPr>
      <w:rFonts w:ascii="宋体" w:hAnsi="宋体" w:eastAsia="宋体" w:cs="宋体"/>
      <w:b/>
      <w:bCs/>
      <w:sz w:val="32"/>
      <w:szCs w:val="32"/>
    </w:rPr>
  </w:style>
  <w:style w:type="character" w:customStyle="1" w:styleId="357">
    <w:name w:val="标题 4 Char_file_598"/>
    <w:basedOn w:val="350"/>
    <w:link w:val="7"/>
    <w:autoRedefine/>
    <w:semiHidden/>
    <w:qFormat/>
    <w:uiPriority w:val="9"/>
    <w:rPr>
      <w:rFonts w:asciiTheme="majorHAnsi" w:hAnsiTheme="majorHAnsi" w:eastAsiaTheme="majorEastAsia" w:cstheme="majorBidi"/>
      <w:b/>
      <w:bCs/>
      <w:sz w:val="28"/>
      <w:szCs w:val="28"/>
    </w:rPr>
  </w:style>
  <w:style w:type="character" w:customStyle="1" w:styleId="358">
    <w:name w:val="标题 5 Char_file_598"/>
    <w:basedOn w:val="350"/>
    <w:link w:val="8"/>
    <w:autoRedefine/>
    <w:semiHidden/>
    <w:qFormat/>
    <w:uiPriority w:val="9"/>
    <w:rPr>
      <w:rFonts w:ascii="宋体" w:hAnsi="宋体" w:eastAsia="宋体" w:cs="宋体"/>
      <w:b/>
      <w:bCs/>
      <w:sz w:val="28"/>
      <w:szCs w:val="28"/>
    </w:rPr>
  </w:style>
  <w:style w:type="character" w:customStyle="1" w:styleId="359">
    <w:name w:val="标题 6 Char_file_598"/>
    <w:basedOn w:val="350"/>
    <w:link w:val="10"/>
    <w:autoRedefine/>
    <w:semiHidden/>
    <w:qFormat/>
    <w:uiPriority w:val="9"/>
    <w:rPr>
      <w:rFonts w:asciiTheme="majorHAnsi" w:hAnsiTheme="majorHAnsi" w:eastAsiaTheme="majorEastAsia" w:cstheme="majorBidi"/>
      <w:b/>
      <w:bCs/>
      <w:sz w:val="24"/>
      <w:szCs w:val="24"/>
    </w:rPr>
  </w:style>
  <w:style w:type="paragraph" w:customStyle="1" w:styleId="360">
    <w:name w:val="cke_editable_file_598"/>
    <w:basedOn w:val="343"/>
    <w:autoRedefine/>
    <w:qFormat/>
    <w:uiPriority w:val="0"/>
    <w:rPr>
      <w:rFonts w:ascii="仿宋_GB2312" w:eastAsia="仿宋_GB2312"/>
    </w:rPr>
  </w:style>
  <w:style w:type="paragraph" w:customStyle="1" w:styleId="361">
    <w:name w:val="marker_file_598"/>
    <w:basedOn w:val="343"/>
    <w:autoRedefine/>
    <w:qFormat/>
    <w:uiPriority w:val="0"/>
    <w:pPr>
      <w:shd w:val="clear" w:color="auto" w:fill="FFFF00"/>
    </w:pPr>
  </w:style>
  <w:style w:type="paragraph" w:customStyle="1" w:styleId="362">
    <w:name w:val="Normal (Web)_file_598"/>
    <w:basedOn w:val="343"/>
    <w:autoRedefine/>
    <w:semiHidden/>
    <w:unhideWhenUsed/>
    <w:qFormat/>
    <w:uiPriority w:val="99"/>
  </w:style>
  <w:style w:type="character" w:customStyle="1" w:styleId="363">
    <w:name w:val="Emphasis_file_598"/>
    <w:basedOn w:val="350"/>
    <w:autoRedefine/>
    <w:qFormat/>
    <w:uiPriority w:val="20"/>
    <w:rPr>
      <w:i/>
      <w:iCs/>
    </w:rPr>
  </w:style>
  <w:style w:type="character" w:customStyle="1" w:styleId="364">
    <w:name w:val="Default Paragraph Font_file_599"/>
    <w:autoRedefine/>
    <w:semiHidden/>
    <w:unhideWhenUsed/>
    <w:qFormat/>
    <w:uiPriority w:val="1"/>
  </w:style>
  <w:style w:type="table" w:customStyle="1" w:styleId="365">
    <w:name w:val="Normal Table_file_599"/>
    <w:autoRedefine/>
    <w:semiHidden/>
    <w:unhideWhenUsed/>
    <w:qFormat/>
    <w:uiPriority w:val="99"/>
    <w:tblPr>
      <w:tblCellMar>
        <w:top w:w="0" w:type="dxa"/>
        <w:left w:w="108" w:type="dxa"/>
        <w:bottom w:w="0" w:type="dxa"/>
        <w:right w:w="108" w:type="dxa"/>
      </w:tblCellMar>
    </w:tblPr>
  </w:style>
  <w:style w:type="character" w:customStyle="1" w:styleId="366">
    <w:name w:val="批注文字 字符_file_599"/>
    <w:autoRedefine/>
    <w:qFormat/>
    <w:uiPriority w:val="99"/>
    <w:rPr>
      <w:szCs w:val="24"/>
    </w:rPr>
  </w:style>
  <w:style w:type="character" w:customStyle="1" w:styleId="367">
    <w:name w:val="纯文本 字符_file_599"/>
    <w:autoRedefine/>
    <w:qFormat/>
    <w:uiPriority w:val="0"/>
    <w:rPr>
      <w:rFonts w:ascii="宋体" w:hAnsi="Courier New" w:eastAsia="宋体" w:cs="Courier New"/>
      <w:szCs w:val="21"/>
    </w:rPr>
  </w:style>
  <w:style w:type="paragraph" w:customStyle="1" w:styleId="368">
    <w:name w:val="annotation text_file_599"/>
    <w:basedOn w:val="53"/>
    <w:autoRedefine/>
    <w:unhideWhenUsed/>
    <w:qFormat/>
    <w:uiPriority w:val="99"/>
    <w:pPr>
      <w:jc w:val="left"/>
    </w:pPr>
    <w:rPr>
      <w:szCs w:val="24"/>
    </w:rPr>
  </w:style>
  <w:style w:type="character" w:customStyle="1" w:styleId="369">
    <w:name w:val="批注文字 字符1_file_599"/>
    <w:basedOn w:val="364"/>
    <w:autoRedefine/>
    <w:semiHidden/>
    <w:qFormat/>
    <w:uiPriority w:val="99"/>
  </w:style>
  <w:style w:type="character" w:customStyle="1" w:styleId="370">
    <w:name w:val="纯文本 字符1_file_599"/>
    <w:basedOn w:val="364"/>
    <w:autoRedefine/>
    <w:semiHidden/>
    <w:qFormat/>
    <w:uiPriority w:val="99"/>
    <w:rPr>
      <w:rFonts w:hAnsi="Courier New" w:cs="Courier New" w:asciiTheme="minorEastAsia"/>
    </w:rPr>
  </w:style>
  <w:style w:type="character" w:customStyle="1" w:styleId="371">
    <w:name w:val="批注框文本 字符_file_599"/>
    <w:basedOn w:val="364"/>
    <w:autoRedefine/>
    <w:semiHidden/>
    <w:qFormat/>
    <w:uiPriority w:val="99"/>
    <w:rPr>
      <w:sz w:val="18"/>
      <w:szCs w:val="18"/>
    </w:rPr>
  </w:style>
  <w:style w:type="character" w:customStyle="1" w:styleId="372">
    <w:name w:val="页眉 字符_file_599"/>
    <w:basedOn w:val="364"/>
    <w:autoRedefine/>
    <w:qFormat/>
    <w:uiPriority w:val="99"/>
    <w:rPr>
      <w:sz w:val="18"/>
      <w:szCs w:val="18"/>
    </w:rPr>
  </w:style>
  <w:style w:type="paragraph" w:customStyle="1" w:styleId="373">
    <w:name w:val="footer_file_599"/>
    <w:basedOn w:val="53"/>
    <w:autoRedefine/>
    <w:unhideWhenUsed/>
    <w:qFormat/>
    <w:uiPriority w:val="99"/>
    <w:pPr>
      <w:tabs>
        <w:tab w:val="center" w:pos="4153"/>
        <w:tab w:val="right" w:pos="8306"/>
      </w:tabs>
      <w:snapToGrid w:val="0"/>
      <w:jc w:val="left"/>
    </w:pPr>
    <w:rPr>
      <w:sz w:val="18"/>
      <w:szCs w:val="18"/>
    </w:rPr>
  </w:style>
  <w:style w:type="character" w:customStyle="1" w:styleId="374">
    <w:name w:val="页脚 字符_file_599"/>
    <w:basedOn w:val="364"/>
    <w:autoRedefine/>
    <w:qFormat/>
    <w:uiPriority w:val="99"/>
    <w:rPr>
      <w:sz w:val="18"/>
      <w:szCs w:val="18"/>
    </w:rPr>
  </w:style>
  <w:style w:type="paragraph" w:customStyle="1" w:styleId="375">
    <w:name w:val="Normal_file_600"/>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76">
    <w:name w:val="heading 1_file_600"/>
    <w:basedOn w:val="375"/>
    <w:autoRedefine/>
    <w:qFormat/>
    <w:uiPriority w:val="9"/>
    <w:pPr>
      <w:outlineLvl w:val="0"/>
    </w:pPr>
    <w:rPr>
      <w:kern w:val="36"/>
      <w:sz w:val="48"/>
      <w:szCs w:val="48"/>
    </w:rPr>
  </w:style>
  <w:style w:type="paragraph" w:customStyle="1" w:styleId="377">
    <w:name w:val="heading 2_file_600"/>
    <w:basedOn w:val="375"/>
    <w:autoRedefine/>
    <w:qFormat/>
    <w:uiPriority w:val="9"/>
    <w:pPr>
      <w:outlineLvl w:val="1"/>
    </w:pPr>
    <w:rPr>
      <w:sz w:val="36"/>
      <w:szCs w:val="36"/>
    </w:rPr>
  </w:style>
  <w:style w:type="paragraph" w:customStyle="1" w:styleId="378">
    <w:name w:val="heading 3_file_600"/>
    <w:basedOn w:val="375"/>
    <w:autoRedefine/>
    <w:qFormat/>
    <w:uiPriority w:val="9"/>
    <w:pPr>
      <w:outlineLvl w:val="2"/>
    </w:pPr>
    <w:rPr>
      <w:sz w:val="27"/>
      <w:szCs w:val="27"/>
    </w:rPr>
  </w:style>
  <w:style w:type="paragraph" w:customStyle="1" w:styleId="379">
    <w:name w:val="heading 4_file_600"/>
    <w:basedOn w:val="375"/>
    <w:autoRedefine/>
    <w:qFormat/>
    <w:uiPriority w:val="9"/>
    <w:pPr>
      <w:outlineLvl w:val="3"/>
    </w:pPr>
  </w:style>
  <w:style w:type="paragraph" w:customStyle="1" w:styleId="380">
    <w:name w:val="heading 5_file_600"/>
    <w:basedOn w:val="375"/>
    <w:autoRedefine/>
    <w:qFormat/>
    <w:uiPriority w:val="9"/>
    <w:pPr>
      <w:outlineLvl w:val="4"/>
    </w:pPr>
    <w:rPr>
      <w:sz w:val="20"/>
      <w:szCs w:val="20"/>
    </w:rPr>
  </w:style>
  <w:style w:type="paragraph" w:customStyle="1" w:styleId="381">
    <w:name w:val="heading 6_file_600"/>
    <w:basedOn w:val="375"/>
    <w:autoRedefine/>
    <w:qFormat/>
    <w:uiPriority w:val="9"/>
    <w:pPr>
      <w:outlineLvl w:val="5"/>
    </w:pPr>
    <w:rPr>
      <w:sz w:val="15"/>
      <w:szCs w:val="15"/>
    </w:rPr>
  </w:style>
  <w:style w:type="character" w:customStyle="1" w:styleId="382">
    <w:name w:val="Default Paragraph Font_file_600"/>
    <w:autoRedefine/>
    <w:semiHidden/>
    <w:unhideWhenUsed/>
    <w:qFormat/>
    <w:uiPriority w:val="1"/>
  </w:style>
  <w:style w:type="table" w:customStyle="1" w:styleId="383">
    <w:name w:val="Normal Table_file_600"/>
    <w:autoRedefine/>
    <w:semiHidden/>
    <w:unhideWhenUsed/>
    <w:qFormat/>
    <w:uiPriority w:val="99"/>
    <w:tblPr>
      <w:tblCellMar>
        <w:top w:w="0" w:type="dxa"/>
        <w:left w:w="108" w:type="dxa"/>
        <w:bottom w:w="0" w:type="dxa"/>
        <w:right w:w="108" w:type="dxa"/>
      </w:tblCellMar>
    </w:tblPr>
  </w:style>
  <w:style w:type="character" w:customStyle="1" w:styleId="384">
    <w:name w:val="Hyperlink_file_600"/>
    <w:basedOn w:val="382"/>
    <w:autoRedefine/>
    <w:semiHidden/>
    <w:unhideWhenUsed/>
    <w:qFormat/>
    <w:uiPriority w:val="99"/>
    <w:rPr>
      <w:color w:val="0782C1"/>
      <w:u w:val="single"/>
    </w:rPr>
  </w:style>
  <w:style w:type="character" w:customStyle="1" w:styleId="385">
    <w:name w:val="FollowedHyperlink_file_600"/>
    <w:basedOn w:val="382"/>
    <w:autoRedefine/>
    <w:semiHidden/>
    <w:unhideWhenUsed/>
    <w:qFormat/>
    <w:uiPriority w:val="99"/>
    <w:rPr>
      <w:color w:val="0782C1"/>
      <w:u w:val="single"/>
    </w:rPr>
  </w:style>
  <w:style w:type="character" w:customStyle="1" w:styleId="386">
    <w:name w:val="标题 1 Char_file_600"/>
    <w:basedOn w:val="382"/>
    <w:link w:val="4"/>
    <w:autoRedefine/>
    <w:qFormat/>
    <w:uiPriority w:val="9"/>
    <w:rPr>
      <w:rFonts w:ascii="宋体" w:hAnsi="宋体" w:eastAsia="宋体" w:cs="宋体"/>
      <w:b/>
      <w:bCs/>
      <w:kern w:val="44"/>
      <w:sz w:val="44"/>
      <w:szCs w:val="44"/>
    </w:rPr>
  </w:style>
  <w:style w:type="character" w:customStyle="1" w:styleId="387">
    <w:name w:val="标题 2 Char_file_600"/>
    <w:basedOn w:val="382"/>
    <w:link w:val="5"/>
    <w:autoRedefine/>
    <w:semiHidden/>
    <w:qFormat/>
    <w:uiPriority w:val="9"/>
    <w:rPr>
      <w:rFonts w:asciiTheme="majorHAnsi" w:hAnsiTheme="majorHAnsi" w:eastAsiaTheme="majorEastAsia" w:cstheme="majorBidi"/>
      <w:b/>
      <w:bCs/>
      <w:sz w:val="32"/>
      <w:szCs w:val="32"/>
    </w:rPr>
  </w:style>
  <w:style w:type="character" w:customStyle="1" w:styleId="388">
    <w:name w:val="标题 3 Char_file_600"/>
    <w:basedOn w:val="382"/>
    <w:link w:val="6"/>
    <w:autoRedefine/>
    <w:semiHidden/>
    <w:qFormat/>
    <w:uiPriority w:val="9"/>
    <w:rPr>
      <w:rFonts w:ascii="宋体" w:hAnsi="宋体" w:eastAsia="宋体" w:cs="宋体"/>
      <w:b/>
      <w:bCs/>
      <w:sz w:val="32"/>
      <w:szCs w:val="32"/>
    </w:rPr>
  </w:style>
  <w:style w:type="character" w:customStyle="1" w:styleId="389">
    <w:name w:val="标题 4 Char_file_600"/>
    <w:basedOn w:val="382"/>
    <w:link w:val="7"/>
    <w:autoRedefine/>
    <w:semiHidden/>
    <w:qFormat/>
    <w:uiPriority w:val="9"/>
    <w:rPr>
      <w:rFonts w:asciiTheme="majorHAnsi" w:hAnsiTheme="majorHAnsi" w:eastAsiaTheme="majorEastAsia" w:cstheme="majorBidi"/>
      <w:b/>
      <w:bCs/>
      <w:sz w:val="28"/>
      <w:szCs w:val="28"/>
    </w:rPr>
  </w:style>
  <w:style w:type="character" w:customStyle="1" w:styleId="390">
    <w:name w:val="标题 5 Char_file_600"/>
    <w:basedOn w:val="382"/>
    <w:link w:val="8"/>
    <w:autoRedefine/>
    <w:semiHidden/>
    <w:qFormat/>
    <w:uiPriority w:val="9"/>
    <w:rPr>
      <w:rFonts w:ascii="宋体" w:hAnsi="宋体" w:eastAsia="宋体" w:cs="宋体"/>
      <w:b/>
      <w:bCs/>
      <w:sz w:val="28"/>
      <w:szCs w:val="28"/>
    </w:rPr>
  </w:style>
  <w:style w:type="character" w:customStyle="1" w:styleId="391">
    <w:name w:val="标题 6 Char_file_600"/>
    <w:basedOn w:val="382"/>
    <w:link w:val="10"/>
    <w:autoRedefine/>
    <w:semiHidden/>
    <w:qFormat/>
    <w:uiPriority w:val="9"/>
    <w:rPr>
      <w:rFonts w:asciiTheme="majorHAnsi" w:hAnsiTheme="majorHAnsi" w:eastAsiaTheme="majorEastAsia" w:cstheme="majorBidi"/>
      <w:b/>
      <w:bCs/>
      <w:sz w:val="24"/>
      <w:szCs w:val="24"/>
    </w:rPr>
  </w:style>
  <w:style w:type="paragraph" w:customStyle="1" w:styleId="392">
    <w:name w:val="cke_editable_file_600"/>
    <w:basedOn w:val="375"/>
    <w:autoRedefine/>
    <w:qFormat/>
    <w:uiPriority w:val="0"/>
    <w:rPr>
      <w:rFonts w:ascii="仿宋_GB2312" w:eastAsia="仿宋_GB2312"/>
    </w:rPr>
  </w:style>
  <w:style w:type="paragraph" w:customStyle="1" w:styleId="393">
    <w:name w:val="marker_file_600"/>
    <w:basedOn w:val="375"/>
    <w:autoRedefine/>
    <w:qFormat/>
    <w:uiPriority w:val="0"/>
    <w:pPr>
      <w:shd w:val="clear" w:color="auto" w:fill="FFFF00"/>
    </w:pPr>
  </w:style>
  <w:style w:type="paragraph" w:customStyle="1" w:styleId="394">
    <w:name w:val="Normal (Web)_file_600"/>
    <w:basedOn w:val="375"/>
    <w:autoRedefine/>
    <w:semiHidden/>
    <w:unhideWhenUsed/>
    <w:qFormat/>
    <w:uiPriority w:val="99"/>
  </w:style>
  <w:style w:type="paragraph" w:customStyle="1" w:styleId="395">
    <w:name w:val="Normal_file_601"/>
    <w:autoRedefine/>
    <w:qFormat/>
    <w:uiPriority w:val="0"/>
    <w:pPr>
      <w:widowControl w:val="0"/>
      <w:jc w:val="both"/>
    </w:pPr>
    <w:rPr>
      <w:rFonts w:ascii="Times New Roman" w:hAnsi="Times New Roman" w:eastAsia="宋体" w:cs="Times New Roman"/>
      <w:szCs w:val="24"/>
      <w:lang w:val="en-US" w:eastAsia="zh-CN" w:bidi="ar-SA"/>
    </w:rPr>
  </w:style>
  <w:style w:type="character" w:customStyle="1" w:styleId="396">
    <w:name w:val="Default Paragraph Font_file_601"/>
    <w:autoRedefine/>
    <w:semiHidden/>
    <w:unhideWhenUsed/>
    <w:qFormat/>
    <w:uiPriority w:val="1"/>
  </w:style>
  <w:style w:type="table" w:customStyle="1" w:styleId="397">
    <w:name w:val="Normal Table_file_601"/>
    <w:autoRedefine/>
    <w:semiHidden/>
    <w:unhideWhenUsed/>
    <w:qFormat/>
    <w:uiPriority w:val="99"/>
    <w:tblPr>
      <w:tblCellMar>
        <w:top w:w="0" w:type="dxa"/>
        <w:left w:w="108" w:type="dxa"/>
        <w:bottom w:w="0" w:type="dxa"/>
        <w:right w:w="108" w:type="dxa"/>
      </w:tblCellMar>
    </w:tblPr>
  </w:style>
  <w:style w:type="paragraph" w:customStyle="1" w:styleId="398">
    <w:name w:val="Normal_file_591_file_601"/>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99">
    <w:name w:val="heading 1_file_591_file_601"/>
    <w:basedOn w:val="398"/>
    <w:autoRedefine/>
    <w:qFormat/>
    <w:uiPriority w:val="9"/>
    <w:pPr>
      <w:outlineLvl w:val="0"/>
    </w:pPr>
    <w:rPr>
      <w:kern w:val="36"/>
      <w:sz w:val="48"/>
      <w:szCs w:val="48"/>
    </w:rPr>
  </w:style>
  <w:style w:type="paragraph" w:customStyle="1" w:styleId="400">
    <w:name w:val="heading 2_file_591_file_601"/>
    <w:basedOn w:val="398"/>
    <w:autoRedefine/>
    <w:qFormat/>
    <w:uiPriority w:val="9"/>
    <w:pPr>
      <w:outlineLvl w:val="1"/>
    </w:pPr>
    <w:rPr>
      <w:sz w:val="36"/>
      <w:szCs w:val="36"/>
    </w:rPr>
  </w:style>
  <w:style w:type="paragraph" w:customStyle="1" w:styleId="401">
    <w:name w:val="heading 3_file_591_file_601"/>
    <w:basedOn w:val="398"/>
    <w:autoRedefine/>
    <w:qFormat/>
    <w:uiPriority w:val="9"/>
    <w:pPr>
      <w:outlineLvl w:val="2"/>
    </w:pPr>
    <w:rPr>
      <w:sz w:val="27"/>
      <w:szCs w:val="27"/>
    </w:rPr>
  </w:style>
  <w:style w:type="paragraph" w:customStyle="1" w:styleId="402">
    <w:name w:val="heading 4_file_591_file_601"/>
    <w:basedOn w:val="398"/>
    <w:autoRedefine/>
    <w:qFormat/>
    <w:uiPriority w:val="9"/>
    <w:pPr>
      <w:outlineLvl w:val="3"/>
    </w:pPr>
  </w:style>
  <w:style w:type="paragraph" w:customStyle="1" w:styleId="403">
    <w:name w:val="heading 5_file_591_file_601"/>
    <w:basedOn w:val="398"/>
    <w:autoRedefine/>
    <w:qFormat/>
    <w:uiPriority w:val="9"/>
    <w:pPr>
      <w:outlineLvl w:val="4"/>
    </w:pPr>
    <w:rPr>
      <w:sz w:val="20"/>
      <w:szCs w:val="20"/>
    </w:rPr>
  </w:style>
  <w:style w:type="paragraph" w:customStyle="1" w:styleId="404">
    <w:name w:val="heading 6_file_591_file_601"/>
    <w:basedOn w:val="398"/>
    <w:autoRedefine/>
    <w:qFormat/>
    <w:uiPriority w:val="9"/>
    <w:pPr>
      <w:outlineLvl w:val="5"/>
    </w:pPr>
    <w:rPr>
      <w:sz w:val="15"/>
      <w:szCs w:val="15"/>
    </w:rPr>
  </w:style>
  <w:style w:type="character" w:customStyle="1" w:styleId="405">
    <w:name w:val="Default Paragraph Font_file_591_file_601"/>
    <w:autoRedefine/>
    <w:semiHidden/>
    <w:unhideWhenUsed/>
    <w:qFormat/>
    <w:uiPriority w:val="1"/>
  </w:style>
  <w:style w:type="table" w:customStyle="1" w:styleId="406">
    <w:name w:val="Normal Table_file_591_file_601"/>
    <w:autoRedefine/>
    <w:semiHidden/>
    <w:unhideWhenUsed/>
    <w:qFormat/>
    <w:uiPriority w:val="99"/>
    <w:tblPr>
      <w:tblCellMar>
        <w:top w:w="0" w:type="dxa"/>
        <w:left w:w="108" w:type="dxa"/>
        <w:bottom w:w="0" w:type="dxa"/>
        <w:right w:w="108" w:type="dxa"/>
      </w:tblCellMar>
    </w:tblPr>
  </w:style>
  <w:style w:type="character" w:customStyle="1" w:styleId="407">
    <w:name w:val="Hyperlink_file_591_file_601"/>
    <w:basedOn w:val="405"/>
    <w:autoRedefine/>
    <w:semiHidden/>
    <w:unhideWhenUsed/>
    <w:qFormat/>
    <w:uiPriority w:val="99"/>
    <w:rPr>
      <w:color w:val="0782C1"/>
      <w:u w:val="single"/>
    </w:rPr>
  </w:style>
  <w:style w:type="character" w:customStyle="1" w:styleId="408">
    <w:name w:val="FollowedHyperlink_file_591_file_601"/>
    <w:basedOn w:val="405"/>
    <w:autoRedefine/>
    <w:semiHidden/>
    <w:unhideWhenUsed/>
    <w:qFormat/>
    <w:uiPriority w:val="99"/>
    <w:rPr>
      <w:color w:val="0782C1"/>
      <w:u w:val="single"/>
    </w:rPr>
  </w:style>
  <w:style w:type="character" w:customStyle="1" w:styleId="409">
    <w:name w:val="标题 1 Char_file_591_file_601"/>
    <w:basedOn w:val="405"/>
    <w:link w:val="4"/>
    <w:autoRedefine/>
    <w:qFormat/>
    <w:uiPriority w:val="9"/>
    <w:rPr>
      <w:rFonts w:ascii="宋体" w:hAnsi="宋体" w:eastAsia="宋体" w:cs="宋体"/>
      <w:b/>
      <w:bCs/>
      <w:kern w:val="44"/>
      <w:sz w:val="44"/>
      <w:szCs w:val="44"/>
    </w:rPr>
  </w:style>
  <w:style w:type="character" w:customStyle="1" w:styleId="410">
    <w:name w:val="标题 2 Char_file_591_file_601"/>
    <w:basedOn w:val="405"/>
    <w:link w:val="5"/>
    <w:autoRedefine/>
    <w:semiHidden/>
    <w:qFormat/>
    <w:uiPriority w:val="9"/>
    <w:rPr>
      <w:rFonts w:asciiTheme="majorHAnsi" w:hAnsiTheme="majorHAnsi" w:eastAsiaTheme="majorEastAsia" w:cstheme="majorBidi"/>
      <w:b/>
      <w:bCs/>
      <w:sz w:val="32"/>
      <w:szCs w:val="32"/>
    </w:rPr>
  </w:style>
  <w:style w:type="character" w:customStyle="1" w:styleId="411">
    <w:name w:val="标题 3 Char_file_591_file_601"/>
    <w:basedOn w:val="405"/>
    <w:link w:val="6"/>
    <w:autoRedefine/>
    <w:semiHidden/>
    <w:qFormat/>
    <w:uiPriority w:val="9"/>
    <w:rPr>
      <w:rFonts w:ascii="宋体" w:hAnsi="宋体" w:eastAsia="宋体" w:cs="宋体"/>
      <w:b/>
      <w:bCs/>
      <w:sz w:val="32"/>
      <w:szCs w:val="32"/>
    </w:rPr>
  </w:style>
  <w:style w:type="character" w:customStyle="1" w:styleId="412">
    <w:name w:val="标题 4 Char_file_591_file_601"/>
    <w:basedOn w:val="405"/>
    <w:link w:val="7"/>
    <w:autoRedefine/>
    <w:semiHidden/>
    <w:qFormat/>
    <w:uiPriority w:val="9"/>
    <w:rPr>
      <w:rFonts w:asciiTheme="majorHAnsi" w:hAnsiTheme="majorHAnsi" w:eastAsiaTheme="majorEastAsia" w:cstheme="majorBidi"/>
      <w:b/>
      <w:bCs/>
      <w:sz w:val="28"/>
      <w:szCs w:val="28"/>
    </w:rPr>
  </w:style>
  <w:style w:type="character" w:customStyle="1" w:styleId="413">
    <w:name w:val="标题 5 Char_file_591_file_601"/>
    <w:basedOn w:val="405"/>
    <w:link w:val="8"/>
    <w:autoRedefine/>
    <w:semiHidden/>
    <w:qFormat/>
    <w:uiPriority w:val="9"/>
    <w:rPr>
      <w:rFonts w:ascii="宋体" w:hAnsi="宋体" w:eastAsia="宋体" w:cs="宋体"/>
      <w:b/>
      <w:bCs/>
      <w:sz w:val="28"/>
      <w:szCs w:val="28"/>
    </w:rPr>
  </w:style>
  <w:style w:type="character" w:customStyle="1" w:styleId="414">
    <w:name w:val="标题 6 Char_file_591_file_601"/>
    <w:basedOn w:val="405"/>
    <w:link w:val="10"/>
    <w:autoRedefine/>
    <w:semiHidden/>
    <w:qFormat/>
    <w:uiPriority w:val="9"/>
    <w:rPr>
      <w:rFonts w:asciiTheme="majorHAnsi" w:hAnsiTheme="majorHAnsi" w:eastAsiaTheme="majorEastAsia" w:cstheme="majorBidi"/>
      <w:b/>
      <w:bCs/>
      <w:sz w:val="24"/>
      <w:szCs w:val="24"/>
    </w:rPr>
  </w:style>
  <w:style w:type="paragraph" w:customStyle="1" w:styleId="415">
    <w:name w:val="cke_editable_file_591_file_601"/>
    <w:basedOn w:val="398"/>
    <w:autoRedefine/>
    <w:qFormat/>
    <w:uiPriority w:val="0"/>
    <w:rPr>
      <w:rFonts w:ascii="仿宋_GB2312" w:eastAsia="仿宋_GB2312"/>
    </w:rPr>
  </w:style>
  <w:style w:type="paragraph" w:customStyle="1" w:styleId="416">
    <w:name w:val="marker_file_591_file_601"/>
    <w:basedOn w:val="398"/>
    <w:autoRedefine/>
    <w:qFormat/>
    <w:uiPriority w:val="0"/>
    <w:pPr>
      <w:shd w:val="clear" w:color="auto" w:fill="FFFF00"/>
    </w:pPr>
  </w:style>
  <w:style w:type="paragraph" w:customStyle="1" w:styleId="417">
    <w:name w:val="Normal (Web)_file_591_file_601"/>
    <w:basedOn w:val="398"/>
    <w:autoRedefine/>
    <w:semiHidden/>
    <w:unhideWhenUsed/>
    <w:qFormat/>
    <w:uiPriority w:val="99"/>
  </w:style>
  <w:style w:type="paragraph" w:customStyle="1" w:styleId="418">
    <w:name w:val="Normal_file_602"/>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19">
    <w:name w:val="heading 1_file_602"/>
    <w:basedOn w:val="418"/>
    <w:autoRedefine/>
    <w:qFormat/>
    <w:uiPriority w:val="9"/>
    <w:pPr>
      <w:outlineLvl w:val="0"/>
    </w:pPr>
    <w:rPr>
      <w:kern w:val="36"/>
      <w:sz w:val="48"/>
      <w:szCs w:val="48"/>
    </w:rPr>
  </w:style>
  <w:style w:type="paragraph" w:customStyle="1" w:styleId="420">
    <w:name w:val="heading 2_file_602"/>
    <w:basedOn w:val="418"/>
    <w:autoRedefine/>
    <w:qFormat/>
    <w:uiPriority w:val="9"/>
    <w:pPr>
      <w:outlineLvl w:val="1"/>
    </w:pPr>
    <w:rPr>
      <w:sz w:val="36"/>
      <w:szCs w:val="36"/>
    </w:rPr>
  </w:style>
  <w:style w:type="paragraph" w:customStyle="1" w:styleId="421">
    <w:name w:val="heading 3_file_602"/>
    <w:basedOn w:val="418"/>
    <w:autoRedefine/>
    <w:qFormat/>
    <w:uiPriority w:val="9"/>
    <w:pPr>
      <w:outlineLvl w:val="2"/>
    </w:pPr>
    <w:rPr>
      <w:sz w:val="27"/>
      <w:szCs w:val="27"/>
    </w:rPr>
  </w:style>
  <w:style w:type="paragraph" w:customStyle="1" w:styleId="422">
    <w:name w:val="heading 4_file_602"/>
    <w:basedOn w:val="418"/>
    <w:autoRedefine/>
    <w:qFormat/>
    <w:uiPriority w:val="9"/>
    <w:pPr>
      <w:outlineLvl w:val="3"/>
    </w:pPr>
  </w:style>
  <w:style w:type="paragraph" w:customStyle="1" w:styleId="423">
    <w:name w:val="heading 5_file_602"/>
    <w:basedOn w:val="418"/>
    <w:autoRedefine/>
    <w:qFormat/>
    <w:uiPriority w:val="9"/>
    <w:pPr>
      <w:outlineLvl w:val="4"/>
    </w:pPr>
    <w:rPr>
      <w:sz w:val="20"/>
      <w:szCs w:val="20"/>
    </w:rPr>
  </w:style>
  <w:style w:type="paragraph" w:customStyle="1" w:styleId="424">
    <w:name w:val="heading 6_file_602"/>
    <w:basedOn w:val="418"/>
    <w:autoRedefine/>
    <w:qFormat/>
    <w:uiPriority w:val="9"/>
    <w:pPr>
      <w:outlineLvl w:val="5"/>
    </w:pPr>
    <w:rPr>
      <w:sz w:val="15"/>
      <w:szCs w:val="15"/>
    </w:rPr>
  </w:style>
  <w:style w:type="character" w:customStyle="1" w:styleId="425">
    <w:name w:val="Default Paragraph Font_file_602"/>
    <w:autoRedefine/>
    <w:semiHidden/>
    <w:unhideWhenUsed/>
    <w:qFormat/>
    <w:uiPriority w:val="1"/>
  </w:style>
  <w:style w:type="table" w:customStyle="1" w:styleId="426">
    <w:name w:val="Normal Table_file_602"/>
    <w:autoRedefine/>
    <w:semiHidden/>
    <w:unhideWhenUsed/>
    <w:qFormat/>
    <w:uiPriority w:val="99"/>
    <w:tblPr>
      <w:tblCellMar>
        <w:top w:w="0" w:type="dxa"/>
        <w:left w:w="108" w:type="dxa"/>
        <w:bottom w:w="0" w:type="dxa"/>
        <w:right w:w="108" w:type="dxa"/>
      </w:tblCellMar>
    </w:tblPr>
  </w:style>
  <w:style w:type="character" w:customStyle="1" w:styleId="427">
    <w:name w:val="Hyperlink_file_602"/>
    <w:basedOn w:val="425"/>
    <w:autoRedefine/>
    <w:semiHidden/>
    <w:unhideWhenUsed/>
    <w:qFormat/>
    <w:uiPriority w:val="99"/>
    <w:rPr>
      <w:color w:val="0782C1"/>
      <w:u w:val="single"/>
    </w:rPr>
  </w:style>
  <w:style w:type="character" w:customStyle="1" w:styleId="428">
    <w:name w:val="FollowedHyperlink_file_602"/>
    <w:basedOn w:val="425"/>
    <w:autoRedefine/>
    <w:semiHidden/>
    <w:unhideWhenUsed/>
    <w:qFormat/>
    <w:uiPriority w:val="99"/>
    <w:rPr>
      <w:color w:val="0782C1"/>
      <w:u w:val="single"/>
    </w:rPr>
  </w:style>
  <w:style w:type="character" w:customStyle="1" w:styleId="429">
    <w:name w:val="标题 1 Char_file_602"/>
    <w:basedOn w:val="425"/>
    <w:link w:val="4"/>
    <w:autoRedefine/>
    <w:qFormat/>
    <w:uiPriority w:val="9"/>
    <w:rPr>
      <w:rFonts w:ascii="宋体" w:hAnsi="宋体" w:eastAsia="宋体" w:cs="宋体"/>
      <w:b/>
      <w:bCs/>
      <w:kern w:val="44"/>
      <w:sz w:val="44"/>
      <w:szCs w:val="44"/>
    </w:rPr>
  </w:style>
  <w:style w:type="character" w:customStyle="1" w:styleId="430">
    <w:name w:val="标题 2 Char_file_602"/>
    <w:basedOn w:val="425"/>
    <w:link w:val="5"/>
    <w:autoRedefine/>
    <w:semiHidden/>
    <w:qFormat/>
    <w:uiPriority w:val="9"/>
    <w:rPr>
      <w:rFonts w:asciiTheme="majorHAnsi" w:hAnsiTheme="majorHAnsi" w:eastAsiaTheme="majorEastAsia" w:cstheme="majorBidi"/>
      <w:b/>
      <w:bCs/>
      <w:sz w:val="32"/>
      <w:szCs w:val="32"/>
    </w:rPr>
  </w:style>
  <w:style w:type="character" w:customStyle="1" w:styleId="431">
    <w:name w:val="标题 3 Char_file_602"/>
    <w:basedOn w:val="425"/>
    <w:link w:val="6"/>
    <w:autoRedefine/>
    <w:semiHidden/>
    <w:qFormat/>
    <w:uiPriority w:val="9"/>
    <w:rPr>
      <w:rFonts w:ascii="宋体" w:hAnsi="宋体" w:eastAsia="宋体" w:cs="宋体"/>
      <w:b/>
      <w:bCs/>
      <w:sz w:val="32"/>
      <w:szCs w:val="32"/>
    </w:rPr>
  </w:style>
  <w:style w:type="character" w:customStyle="1" w:styleId="432">
    <w:name w:val="标题 4 Char_file_602"/>
    <w:basedOn w:val="425"/>
    <w:link w:val="7"/>
    <w:autoRedefine/>
    <w:semiHidden/>
    <w:qFormat/>
    <w:uiPriority w:val="9"/>
    <w:rPr>
      <w:rFonts w:asciiTheme="majorHAnsi" w:hAnsiTheme="majorHAnsi" w:eastAsiaTheme="majorEastAsia" w:cstheme="majorBidi"/>
      <w:b/>
      <w:bCs/>
      <w:sz w:val="28"/>
      <w:szCs w:val="28"/>
    </w:rPr>
  </w:style>
  <w:style w:type="character" w:customStyle="1" w:styleId="433">
    <w:name w:val="标题 5 Char_file_602"/>
    <w:basedOn w:val="425"/>
    <w:link w:val="8"/>
    <w:autoRedefine/>
    <w:semiHidden/>
    <w:qFormat/>
    <w:uiPriority w:val="9"/>
    <w:rPr>
      <w:rFonts w:ascii="宋体" w:hAnsi="宋体" w:eastAsia="宋体" w:cs="宋体"/>
      <w:b/>
      <w:bCs/>
      <w:sz w:val="28"/>
      <w:szCs w:val="28"/>
    </w:rPr>
  </w:style>
  <w:style w:type="character" w:customStyle="1" w:styleId="434">
    <w:name w:val="标题 6 Char_file_602"/>
    <w:basedOn w:val="425"/>
    <w:link w:val="10"/>
    <w:autoRedefine/>
    <w:semiHidden/>
    <w:qFormat/>
    <w:uiPriority w:val="9"/>
    <w:rPr>
      <w:rFonts w:asciiTheme="majorHAnsi" w:hAnsiTheme="majorHAnsi" w:eastAsiaTheme="majorEastAsia" w:cstheme="majorBidi"/>
      <w:b/>
      <w:bCs/>
      <w:sz w:val="24"/>
      <w:szCs w:val="24"/>
    </w:rPr>
  </w:style>
  <w:style w:type="paragraph" w:customStyle="1" w:styleId="435">
    <w:name w:val="cke_editable_file_602"/>
    <w:basedOn w:val="418"/>
    <w:autoRedefine/>
    <w:qFormat/>
    <w:uiPriority w:val="0"/>
    <w:rPr>
      <w:rFonts w:ascii="仿宋_GB2312" w:eastAsia="仿宋_GB2312"/>
    </w:rPr>
  </w:style>
  <w:style w:type="paragraph" w:customStyle="1" w:styleId="436">
    <w:name w:val="marker_file_602"/>
    <w:basedOn w:val="418"/>
    <w:autoRedefine/>
    <w:qFormat/>
    <w:uiPriority w:val="0"/>
    <w:pPr>
      <w:shd w:val="clear" w:color="auto" w:fill="FFFF00"/>
    </w:pPr>
  </w:style>
  <w:style w:type="paragraph" w:customStyle="1" w:styleId="437">
    <w:name w:val="Normal (Web)_file_602"/>
    <w:basedOn w:val="418"/>
    <w:autoRedefine/>
    <w:semiHidden/>
    <w:unhideWhenUsed/>
    <w:qFormat/>
    <w:uiPriority w:val="99"/>
  </w:style>
  <w:style w:type="paragraph" w:customStyle="1" w:styleId="438">
    <w:name w:val="Normal_file_603"/>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39">
    <w:name w:val="heading 1_file_603"/>
    <w:basedOn w:val="438"/>
    <w:autoRedefine/>
    <w:qFormat/>
    <w:uiPriority w:val="9"/>
    <w:pPr>
      <w:outlineLvl w:val="0"/>
    </w:pPr>
    <w:rPr>
      <w:kern w:val="36"/>
      <w:sz w:val="48"/>
      <w:szCs w:val="48"/>
    </w:rPr>
  </w:style>
  <w:style w:type="paragraph" w:customStyle="1" w:styleId="440">
    <w:name w:val="heading 2_file_603"/>
    <w:basedOn w:val="438"/>
    <w:autoRedefine/>
    <w:qFormat/>
    <w:uiPriority w:val="9"/>
    <w:pPr>
      <w:outlineLvl w:val="1"/>
    </w:pPr>
    <w:rPr>
      <w:sz w:val="36"/>
      <w:szCs w:val="36"/>
    </w:rPr>
  </w:style>
  <w:style w:type="paragraph" w:customStyle="1" w:styleId="441">
    <w:name w:val="heading 3_file_603"/>
    <w:basedOn w:val="438"/>
    <w:autoRedefine/>
    <w:qFormat/>
    <w:uiPriority w:val="9"/>
    <w:pPr>
      <w:outlineLvl w:val="2"/>
    </w:pPr>
    <w:rPr>
      <w:sz w:val="27"/>
      <w:szCs w:val="27"/>
    </w:rPr>
  </w:style>
  <w:style w:type="paragraph" w:customStyle="1" w:styleId="442">
    <w:name w:val="heading 4_file_603"/>
    <w:basedOn w:val="438"/>
    <w:autoRedefine/>
    <w:qFormat/>
    <w:uiPriority w:val="9"/>
    <w:pPr>
      <w:outlineLvl w:val="3"/>
    </w:pPr>
  </w:style>
  <w:style w:type="paragraph" w:customStyle="1" w:styleId="443">
    <w:name w:val="heading 5_file_603"/>
    <w:basedOn w:val="438"/>
    <w:autoRedefine/>
    <w:qFormat/>
    <w:uiPriority w:val="9"/>
    <w:pPr>
      <w:outlineLvl w:val="4"/>
    </w:pPr>
    <w:rPr>
      <w:sz w:val="20"/>
      <w:szCs w:val="20"/>
    </w:rPr>
  </w:style>
  <w:style w:type="paragraph" w:customStyle="1" w:styleId="444">
    <w:name w:val="heading 6_file_603"/>
    <w:basedOn w:val="438"/>
    <w:autoRedefine/>
    <w:qFormat/>
    <w:uiPriority w:val="9"/>
    <w:pPr>
      <w:outlineLvl w:val="5"/>
    </w:pPr>
    <w:rPr>
      <w:sz w:val="15"/>
      <w:szCs w:val="15"/>
    </w:rPr>
  </w:style>
  <w:style w:type="character" w:customStyle="1" w:styleId="445">
    <w:name w:val="Default Paragraph Font_file_603"/>
    <w:autoRedefine/>
    <w:semiHidden/>
    <w:unhideWhenUsed/>
    <w:qFormat/>
    <w:uiPriority w:val="1"/>
  </w:style>
  <w:style w:type="table" w:customStyle="1" w:styleId="446">
    <w:name w:val="Normal Table_file_603"/>
    <w:autoRedefine/>
    <w:semiHidden/>
    <w:unhideWhenUsed/>
    <w:qFormat/>
    <w:uiPriority w:val="99"/>
    <w:tblPr>
      <w:tblCellMar>
        <w:top w:w="0" w:type="dxa"/>
        <w:left w:w="108" w:type="dxa"/>
        <w:bottom w:w="0" w:type="dxa"/>
        <w:right w:w="108" w:type="dxa"/>
      </w:tblCellMar>
    </w:tblPr>
  </w:style>
  <w:style w:type="character" w:customStyle="1" w:styleId="447">
    <w:name w:val="Hyperlink_file_603"/>
    <w:basedOn w:val="445"/>
    <w:autoRedefine/>
    <w:semiHidden/>
    <w:unhideWhenUsed/>
    <w:qFormat/>
    <w:uiPriority w:val="99"/>
    <w:rPr>
      <w:color w:val="0782C1"/>
      <w:u w:val="single"/>
    </w:rPr>
  </w:style>
  <w:style w:type="character" w:customStyle="1" w:styleId="448">
    <w:name w:val="FollowedHyperlink_file_603"/>
    <w:basedOn w:val="445"/>
    <w:autoRedefine/>
    <w:semiHidden/>
    <w:unhideWhenUsed/>
    <w:qFormat/>
    <w:uiPriority w:val="99"/>
    <w:rPr>
      <w:color w:val="0782C1"/>
      <w:u w:val="single"/>
    </w:rPr>
  </w:style>
  <w:style w:type="character" w:customStyle="1" w:styleId="449">
    <w:name w:val="标题 1 Char_file_603"/>
    <w:basedOn w:val="445"/>
    <w:link w:val="4"/>
    <w:autoRedefine/>
    <w:qFormat/>
    <w:uiPriority w:val="9"/>
    <w:rPr>
      <w:rFonts w:ascii="宋体" w:hAnsi="宋体" w:eastAsia="宋体" w:cs="宋体"/>
      <w:b/>
      <w:bCs/>
      <w:kern w:val="44"/>
      <w:sz w:val="44"/>
      <w:szCs w:val="44"/>
    </w:rPr>
  </w:style>
  <w:style w:type="character" w:customStyle="1" w:styleId="450">
    <w:name w:val="标题 2 Char_file_603"/>
    <w:basedOn w:val="445"/>
    <w:link w:val="5"/>
    <w:autoRedefine/>
    <w:semiHidden/>
    <w:qFormat/>
    <w:uiPriority w:val="9"/>
    <w:rPr>
      <w:rFonts w:asciiTheme="majorHAnsi" w:hAnsiTheme="majorHAnsi" w:eastAsiaTheme="majorEastAsia" w:cstheme="majorBidi"/>
      <w:b/>
      <w:bCs/>
      <w:sz w:val="32"/>
      <w:szCs w:val="32"/>
    </w:rPr>
  </w:style>
  <w:style w:type="character" w:customStyle="1" w:styleId="451">
    <w:name w:val="标题 3 Char_file_603"/>
    <w:basedOn w:val="445"/>
    <w:link w:val="6"/>
    <w:autoRedefine/>
    <w:semiHidden/>
    <w:qFormat/>
    <w:uiPriority w:val="9"/>
    <w:rPr>
      <w:rFonts w:ascii="宋体" w:hAnsi="宋体" w:eastAsia="宋体" w:cs="宋体"/>
      <w:b/>
      <w:bCs/>
      <w:sz w:val="32"/>
      <w:szCs w:val="32"/>
    </w:rPr>
  </w:style>
  <w:style w:type="character" w:customStyle="1" w:styleId="452">
    <w:name w:val="标题 4 Char_file_603"/>
    <w:basedOn w:val="445"/>
    <w:link w:val="7"/>
    <w:autoRedefine/>
    <w:semiHidden/>
    <w:qFormat/>
    <w:uiPriority w:val="9"/>
    <w:rPr>
      <w:rFonts w:asciiTheme="majorHAnsi" w:hAnsiTheme="majorHAnsi" w:eastAsiaTheme="majorEastAsia" w:cstheme="majorBidi"/>
      <w:b/>
      <w:bCs/>
      <w:sz w:val="28"/>
      <w:szCs w:val="28"/>
    </w:rPr>
  </w:style>
  <w:style w:type="character" w:customStyle="1" w:styleId="453">
    <w:name w:val="标题 5 Char_file_603"/>
    <w:basedOn w:val="445"/>
    <w:link w:val="8"/>
    <w:autoRedefine/>
    <w:semiHidden/>
    <w:qFormat/>
    <w:uiPriority w:val="9"/>
    <w:rPr>
      <w:rFonts w:ascii="宋体" w:hAnsi="宋体" w:eastAsia="宋体" w:cs="宋体"/>
      <w:b/>
      <w:bCs/>
      <w:sz w:val="28"/>
      <w:szCs w:val="28"/>
    </w:rPr>
  </w:style>
  <w:style w:type="character" w:customStyle="1" w:styleId="454">
    <w:name w:val="标题 6 Char_file_603"/>
    <w:basedOn w:val="445"/>
    <w:link w:val="10"/>
    <w:autoRedefine/>
    <w:semiHidden/>
    <w:qFormat/>
    <w:uiPriority w:val="9"/>
    <w:rPr>
      <w:rFonts w:asciiTheme="majorHAnsi" w:hAnsiTheme="majorHAnsi" w:eastAsiaTheme="majorEastAsia" w:cstheme="majorBidi"/>
      <w:b/>
      <w:bCs/>
      <w:sz w:val="24"/>
      <w:szCs w:val="24"/>
    </w:rPr>
  </w:style>
  <w:style w:type="paragraph" w:customStyle="1" w:styleId="455">
    <w:name w:val="cke_editable_file_603"/>
    <w:basedOn w:val="438"/>
    <w:autoRedefine/>
    <w:qFormat/>
    <w:uiPriority w:val="0"/>
    <w:rPr>
      <w:rFonts w:ascii="仿宋_GB2312" w:eastAsia="仿宋_GB2312"/>
    </w:rPr>
  </w:style>
  <w:style w:type="paragraph" w:customStyle="1" w:styleId="456">
    <w:name w:val="marker_file_603"/>
    <w:basedOn w:val="438"/>
    <w:autoRedefine/>
    <w:qFormat/>
    <w:uiPriority w:val="0"/>
    <w:pPr>
      <w:shd w:val="clear" w:color="auto" w:fill="FFFF00"/>
    </w:pPr>
  </w:style>
  <w:style w:type="paragraph" w:customStyle="1" w:styleId="457">
    <w:name w:val="Normal (Web)_file_603"/>
    <w:basedOn w:val="438"/>
    <w:autoRedefine/>
    <w:semiHidden/>
    <w:unhideWhenUsed/>
    <w:qFormat/>
    <w:uiPriority w:val="99"/>
  </w:style>
  <w:style w:type="character" w:customStyle="1" w:styleId="458">
    <w:name w:val="Strong_file_603"/>
    <w:basedOn w:val="445"/>
    <w:autoRedefine/>
    <w:qFormat/>
    <w:uiPriority w:val="22"/>
    <w:rPr>
      <w:b/>
      <w:bCs/>
    </w:rPr>
  </w:style>
  <w:style w:type="paragraph" w:customStyle="1" w:styleId="459">
    <w:name w:val="Normal_file_604"/>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60">
    <w:name w:val="heading 1_file_604"/>
    <w:basedOn w:val="459"/>
    <w:autoRedefine/>
    <w:qFormat/>
    <w:uiPriority w:val="9"/>
    <w:pPr>
      <w:outlineLvl w:val="0"/>
    </w:pPr>
    <w:rPr>
      <w:kern w:val="36"/>
      <w:sz w:val="48"/>
      <w:szCs w:val="48"/>
    </w:rPr>
  </w:style>
  <w:style w:type="paragraph" w:customStyle="1" w:styleId="461">
    <w:name w:val="heading 2_file_604"/>
    <w:basedOn w:val="459"/>
    <w:autoRedefine/>
    <w:qFormat/>
    <w:uiPriority w:val="9"/>
    <w:pPr>
      <w:outlineLvl w:val="1"/>
    </w:pPr>
    <w:rPr>
      <w:sz w:val="36"/>
      <w:szCs w:val="36"/>
    </w:rPr>
  </w:style>
  <w:style w:type="paragraph" w:customStyle="1" w:styleId="462">
    <w:name w:val="heading 3_file_604"/>
    <w:basedOn w:val="459"/>
    <w:autoRedefine/>
    <w:qFormat/>
    <w:uiPriority w:val="9"/>
    <w:pPr>
      <w:outlineLvl w:val="2"/>
    </w:pPr>
    <w:rPr>
      <w:sz w:val="27"/>
      <w:szCs w:val="27"/>
    </w:rPr>
  </w:style>
  <w:style w:type="paragraph" w:customStyle="1" w:styleId="463">
    <w:name w:val="heading 4_file_604"/>
    <w:basedOn w:val="459"/>
    <w:autoRedefine/>
    <w:qFormat/>
    <w:uiPriority w:val="9"/>
    <w:pPr>
      <w:outlineLvl w:val="3"/>
    </w:pPr>
  </w:style>
  <w:style w:type="paragraph" w:customStyle="1" w:styleId="464">
    <w:name w:val="heading 5_file_604"/>
    <w:basedOn w:val="459"/>
    <w:autoRedefine/>
    <w:qFormat/>
    <w:uiPriority w:val="9"/>
    <w:pPr>
      <w:outlineLvl w:val="4"/>
    </w:pPr>
    <w:rPr>
      <w:sz w:val="20"/>
      <w:szCs w:val="20"/>
    </w:rPr>
  </w:style>
  <w:style w:type="paragraph" w:customStyle="1" w:styleId="465">
    <w:name w:val="heading 6_file_604"/>
    <w:basedOn w:val="459"/>
    <w:autoRedefine/>
    <w:qFormat/>
    <w:uiPriority w:val="9"/>
    <w:pPr>
      <w:outlineLvl w:val="5"/>
    </w:pPr>
    <w:rPr>
      <w:sz w:val="15"/>
      <w:szCs w:val="15"/>
    </w:rPr>
  </w:style>
  <w:style w:type="character" w:customStyle="1" w:styleId="466">
    <w:name w:val="Default Paragraph Font_file_604"/>
    <w:autoRedefine/>
    <w:semiHidden/>
    <w:unhideWhenUsed/>
    <w:qFormat/>
    <w:uiPriority w:val="1"/>
  </w:style>
  <w:style w:type="table" w:customStyle="1" w:styleId="467">
    <w:name w:val="Normal Table_file_604"/>
    <w:autoRedefine/>
    <w:semiHidden/>
    <w:unhideWhenUsed/>
    <w:qFormat/>
    <w:uiPriority w:val="99"/>
    <w:tblPr>
      <w:tblCellMar>
        <w:top w:w="0" w:type="dxa"/>
        <w:left w:w="108" w:type="dxa"/>
        <w:bottom w:w="0" w:type="dxa"/>
        <w:right w:w="108" w:type="dxa"/>
      </w:tblCellMar>
    </w:tblPr>
  </w:style>
  <w:style w:type="character" w:customStyle="1" w:styleId="468">
    <w:name w:val="Hyperlink_file_604"/>
    <w:basedOn w:val="466"/>
    <w:autoRedefine/>
    <w:semiHidden/>
    <w:unhideWhenUsed/>
    <w:qFormat/>
    <w:uiPriority w:val="99"/>
    <w:rPr>
      <w:color w:val="0782C1"/>
      <w:u w:val="single"/>
    </w:rPr>
  </w:style>
  <w:style w:type="character" w:customStyle="1" w:styleId="469">
    <w:name w:val="FollowedHyperlink_file_604"/>
    <w:basedOn w:val="466"/>
    <w:autoRedefine/>
    <w:semiHidden/>
    <w:unhideWhenUsed/>
    <w:qFormat/>
    <w:uiPriority w:val="99"/>
    <w:rPr>
      <w:color w:val="0782C1"/>
      <w:u w:val="single"/>
    </w:rPr>
  </w:style>
  <w:style w:type="character" w:customStyle="1" w:styleId="470">
    <w:name w:val="标题 1 Char_file_604"/>
    <w:basedOn w:val="466"/>
    <w:link w:val="4"/>
    <w:autoRedefine/>
    <w:qFormat/>
    <w:uiPriority w:val="9"/>
    <w:rPr>
      <w:rFonts w:ascii="宋体" w:hAnsi="宋体" w:eastAsia="宋体" w:cs="宋体"/>
      <w:b/>
      <w:bCs/>
      <w:kern w:val="44"/>
      <w:sz w:val="44"/>
      <w:szCs w:val="44"/>
    </w:rPr>
  </w:style>
  <w:style w:type="character" w:customStyle="1" w:styleId="471">
    <w:name w:val="标题 2 Char_file_604"/>
    <w:basedOn w:val="466"/>
    <w:link w:val="5"/>
    <w:autoRedefine/>
    <w:semiHidden/>
    <w:qFormat/>
    <w:uiPriority w:val="9"/>
    <w:rPr>
      <w:rFonts w:asciiTheme="majorHAnsi" w:hAnsiTheme="majorHAnsi" w:eastAsiaTheme="majorEastAsia" w:cstheme="majorBidi"/>
      <w:b/>
      <w:bCs/>
      <w:sz w:val="32"/>
      <w:szCs w:val="32"/>
    </w:rPr>
  </w:style>
  <w:style w:type="character" w:customStyle="1" w:styleId="472">
    <w:name w:val="标题 3 Char_file_604"/>
    <w:basedOn w:val="466"/>
    <w:link w:val="6"/>
    <w:autoRedefine/>
    <w:semiHidden/>
    <w:qFormat/>
    <w:uiPriority w:val="9"/>
    <w:rPr>
      <w:rFonts w:ascii="宋体" w:hAnsi="宋体" w:eastAsia="宋体" w:cs="宋体"/>
      <w:b/>
      <w:bCs/>
      <w:sz w:val="32"/>
      <w:szCs w:val="32"/>
    </w:rPr>
  </w:style>
  <w:style w:type="character" w:customStyle="1" w:styleId="473">
    <w:name w:val="标题 4 Char_file_604"/>
    <w:basedOn w:val="466"/>
    <w:link w:val="7"/>
    <w:autoRedefine/>
    <w:semiHidden/>
    <w:qFormat/>
    <w:uiPriority w:val="9"/>
    <w:rPr>
      <w:rFonts w:asciiTheme="majorHAnsi" w:hAnsiTheme="majorHAnsi" w:eastAsiaTheme="majorEastAsia" w:cstheme="majorBidi"/>
      <w:b/>
      <w:bCs/>
      <w:sz w:val="28"/>
      <w:szCs w:val="28"/>
    </w:rPr>
  </w:style>
  <w:style w:type="character" w:customStyle="1" w:styleId="474">
    <w:name w:val="标题 5 Char_file_604"/>
    <w:basedOn w:val="466"/>
    <w:link w:val="8"/>
    <w:autoRedefine/>
    <w:semiHidden/>
    <w:qFormat/>
    <w:uiPriority w:val="9"/>
    <w:rPr>
      <w:rFonts w:ascii="宋体" w:hAnsi="宋体" w:eastAsia="宋体" w:cs="宋体"/>
      <w:b/>
      <w:bCs/>
      <w:sz w:val="28"/>
      <w:szCs w:val="28"/>
    </w:rPr>
  </w:style>
  <w:style w:type="character" w:customStyle="1" w:styleId="475">
    <w:name w:val="标题 6 Char_file_604"/>
    <w:basedOn w:val="466"/>
    <w:link w:val="10"/>
    <w:autoRedefine/>
    <w:semiHidden/>
    <w:qFormat/>
    <w:uiPriority w:val="9"/>
    <w:rPr>
      <w:rFonts w:asciiTheme="majorHAnsi" w:hAnsiTheme="majorHAnsi" w:eastAsiaTheme="majorEastAsia" w:cstheme="majorBidi"/>
      <w:b/>
      <w:bCs/>
      <w:sz w:val="24"/>
      <w:szCs w:val="24"/>
    </w:rPr>
  </w:style>
  <w:style w:type="paragraph" w:customStyle="1" w:styleId="476">
    <w:name w:val="cke_editable_file_604"/>
    <w:basedOn w:val="459"/>
    <w:autoRedefine/>
    <w:qFormat/>
    <w:uiPriority w:val="0"/>
    <w:rPr>
      <w:rFonts w:ascii="仿宋_GB2312" w:eastAsia="仿宋_GB2312"/>
    </w:rPr>
  </w:style>
  <w:style w:type="paragraph" w:customStyle="1" w:styleId="477">
    <w:name w:val="marker_file_604"/>
    <w:basedOn w:val="459"/>
    <w:autoRedefine/>
    <w:qFormat/>
    <w:uiPriority w:val="0"/>
    <w:pPr>
      <w:shd w:val="clear" w:color="auto" w:fill="FFFF00"/>
    </w:pPr>
  </w:style>
  <w:style w:type="paragraph" w:customStyle="1" w:styleId="478">
    <w:name w:val="Normal (Web)_file_604"/>
    <w:basedOn w:val="459"/>
    <w:autoRedefine/>
    <w:semiHidden/>
    <w:unhideWhenUsed/>
    <w:qFormat/>
    <w:uiPriority w:val="99"/>
  </w:style>
  <w:style w:type="paragraph" w:customStyle="1" w:styleId="479">
    <w:name w:val="Normal_file_605"/>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80">
    <w:name w:val="heading 1_file_605"/>
    <w:basedOn w:val="479"/>
    <w:autoRedefine/>
    <w:qFormat/>
    <w:uiPriority w:val="9"/>
    <w:pPr>
      <w:outlineLvl w:val="0"/>
    </w:pPr>
    <w:rPr>
      <w:kern w:val="36"/>
      <w:sz w:val="48"/>
      <w:szCs w:val="48"/>
    </w:rPr>
  </w:style>
  <w:style w:type="paragraph" w:customStyle="1" w:styleId="481">
    <w:name w:val="heading 2_file_605"/>
    <w:basedOn w:val="479"/>
    <w:autoRedefine/>
    <w:qFormat/>
    <w:uiPriority w:val="9"/>
    <w:pPr>
      <w:outlineLvl w:val="1"/>
    </w:pPr>
    <w:rPr>
      <w:sz w:val="36"/>
      <w:szCs w:val="36"/>
    </w:rPr>
  </w:style>
  <w:style w:type="paragraph" w:customStyle="1" w:styleId="482">
    <w:name w:val="heading 3_file_605"/>
    <w:basedOn w:val="479"/>
    <w:autoRedefine/>
    <w:qFormat/>
    <w:uiPriority w:val="9"/>
    <w:pPr>
      <w:outlineLvl w:val="2"/>
    </w:pPr>
    <w:rPr>
      <w:sz w:val="27"/>
      <w:szCs w:val="27"/>
    </w:rPr>
  </w:style>
  <w:style w:type="paragraph" w:customStyle="1" w:styleId="483">
    <w:name w:val="heading 4_file_605"/>
    <w:basedOn w:val="479"/>
    <w:autoRedefine/>
    <w:qFormat/>
    <w:uiPriority w:val="9"/>
    <w:pPr>
      <w:outlineLvl w:val="3"/>
    </w:pPr>
  </w:style>
  <w:style w:type="paragraph" w:customStyle="1" w:styleId="484">
    <w:name w:val="heading 5_file_605"/>
    <w:basedOn w:val="479"/>
    <w:autoRedefine/>
    <w:qFormat/>
    <w:uiPriority w:val="9"/>
    <w:pPr>
      <w:outlineLvl w:val="4"/>
    </w:pPr>
    <w:rPr>
      <w:sz w:val="20"/>
      <w:szCs w:val="20"/>
    </w:rPr>
  </w:style>
  <w:style w:type="paragraph" w:customStyle="1" w:styleId="485">
    <w:name w:val="heading 6_file_605"/>
    <w:basedOn w:val="479"/>
    <w:autoRedefine/>
    <w:qFormat/>
    <w:uiPriority w:val="9"/>
    <w:pPr>
      <w:outlineLvl w:val="5"/>
    </w:pPr>
    <w:rPr>
      <w:sz w:val="15"/>
      <w:szCs w:val="15"/>
    </w:rPr>
  </w:style>
  <w:style w:type="character" w:customStyle="1" w:styleId="486">
    <w:name w:val="Default Paragraph Font_file_605"/>
    <w:autoRedefine/>
    <w:semiHidden/>
    <w:unhideWhenUsed/>
    <w:qFormat/>
    <w:uiPriority w:val="1"/>
  </w:style>
  <w:style w:type="table" w:customStyle="1" w:styleId="487">
    <w:name w:val="Normal Table_file_605"/>
    <w:autoRedefine/>
    <w:semiHidden/>
    <w:unhideWhenUsed/>
    <w:qFormat/>
    <w:uiPriority w:val="99"/>
    <w:tblPr>
      <w:tblCellMar>
        <w:top w:w="0" w:type="dxa"/>
        <w:left w:w="108" w:type="dxa"/>
        <w:bottom w:w="0" w:type="dxa"/>
        <w:right w:w="108" w:type="dxa"/>
      </w:tblCellMar>
    </w:tblPr>
  </w:style>
  <w:style w:type="character" w:customStyle="1" w:styleId="488">
    <w:name w:val="Hyperlink_file_605"/>
    <w:basedOn w:val="486"/>
    <w:autoRedefine/>
    <w:semiHidden/>
    <w:unhideWhenUsed/>
    <w:qFormat/>
    <w:uiPriority w:val="99"/>
    <w:rPr>
      <w:color w:val="0782C1"/>
      <w:u w:val="single"/>
    </w:rPr>
  </w:style>
  <w:style w:type="character" w:customStyle="1" w:styleId="489">
    <w:name w:val="FollowedHyperlink_file_605"/>
    <w:basedOn w:val="486"/>
    <w:autoRedefine/>
    <w:semiHidden/>
    <w:unhideWhenUsed/>
    <w:qFormat/>
    <w:uiPriority w:val="99"/>
    <w:rPr>
      <w:color w:val="0782C1"/>
      <w:u w:val="single"/>
    </w:rPr>
  </w:style>
  <w:style w:type="character" w:customStyle="1" w:styleId="490">
    <w:name w:val="标题 1 Char_file_605"/>
    <w:basedOn w:val="486"/>
    <w:link w:val="4"/>
    <w:autoRedefine/>
    <w:qFormat/>
    <w:uiPriority w:val="9"/>
    <w:rPr>
      <w:rFonts w:ascii="宋体" w:hAnsi="宋体" w:eastAsia="宋体" w:cs="宋体"/>
      <w:b/>
      <w:bCs/>
      <w:kern w:val="44"/>
      <w:sz w:val="44"/>
      <w:szCs w:val="44"/>
    </w:rPr>
  </w:style>
  <w:style w:type="character" w:customStyle="1" w:styleId="491">
    <w:name w:val="标题 2 Char_file_605"/>
    <w:basedOn w:val="486"/>
    <w:link w:val="5"/>
    <w:autoRedefine/>
    <w:semiHidden/>
    <w:qFormat/>
    <w:uiPriority w:val="9"/>
    <w:rPr>
      <w:rFonts w:asciiTheme="majorHAnsi" w:hAnsiTheme="majorHAnsi" w:eastAsiaTheme="majorEastAsia" w:cstheme="majorBidi"/>
      <w:b/>
      <w:bCs/>
      <w:sz w:val="32"/>
      <w:szCs w:val="32"/>
    </w:rPr>
  </w:style>
  <w:style w:type="character" w:customStyle="1" w:styleId="492">
    <w:name w:val="标题 3 Char_file_605"/>
    <w:basedOn w:val="486"/>
    <w:link w:val="6"/>
    <w:autoRedefine/>
    <w:semiHidden/>
    <w:qFormat/>
    <w:uiPriority w:val="9"/>
    <w:rPr>
      <w:rFonts w:ascii="宋体" w:hAnsi="宋体" w:eastAsia="宋体" w:cs="宋体"/>
      <w:b/>
      <w:bCs/>
      <w:sz w:val="32"/>
      <w:szCs w:val="32"/>
    </w:rPr>
  </w:style>
  <w:style w:type="character" w:customStyle="1" w:styleId="493">
    <w:name w:val="标题 4 Char_file_605"/>
    <w:basedOn w:val="486"/>
    <w:link w:val="7"/>
    <w:autoRedefine/>
    <w:semiHidden/>
    <w:qFormat/>
    <w:uiPriority w:val="9"/>
    <w:rPr>
      <w:rFonts w:asciiTheme="majorHAnsi" w:hAnsiTheme="majorHAnsi" w:eastAsiaTheme="majorEastAsia" w:cstheme="majorBidi"/>
      <w:b/>
      <w:bCs/>
      <w:sz w:val="28"/>
      <w:szCs w:val="28"/>
    </w:rPr>
  </w:style>
  <w:style w:type="character" w:customStyle="1" w:styleId="494">
    <w:name w:val="标题 5 Char_file_605"/>
    <w:basedOn w:val="486"/>
    <w:link w:val="8"/>
    <w:autoRedefine/>
    <w:semiHidden/>
    <w:qFormat/>
    <w:uiPriority w:val="9"/>
    <w:rPr>
      <w:rFonts w:ascii="宋体" w:hAnsi="宋体" w:eastAsia="宋体" w:cs="宋体"/>
      <w:b/>
      <w:bCs/>
      <w:sz w:val="28"/>
      <w:szCs w:val="28"/>
    </w:rPr>
  </w:style>
  <w:style w:type="character" w:customStyle="1" w:styleId="495">
    <w:name w:val="标题 6 Char_file_605"/>
    <w:basedOn w:val="486"/>
    <w:link w:val="10"/>
    <w:autoRedefine/>
    <w:semiHidden/>
    <w:qFormat/>
    <w:uiPriority w:val="9"/>
    <w:rPr>
      <w:rFonts w:asciiTheme="majorHAnsi" w:hAnsiTheme="majorHAnsi" w:eastAsiaTheme="majorEastAsia" w:cstheme="majorBidi"/>
      <w:b/>
      <w:bCs/>
      <w:sz w:val="24"/>
      <w:szCs w:val="24"/>
    </w:rPr>
  </w:style>
  <w:style w:type="paragraph" w:customStyle="1" w:styleId="496">
    <w:name w:val="cke_editable_file_605"/>
    <w:basedOn w:val="479"/>
    <w:autoRedefine/>
    <w:qFormat/>
    <w:uiPriority w:val="0"/>
    <w:rPr>
      <w:rFonts w:ascii="仿宋_GB2312" w:eastAsia="仿宋_GB2312"/>
    </w:rPr>
  </w:style>
  <w:style w:type="paragraph" w:customStyle="1" w:styleId="497">
    <w:name w:val="marker_file_605"/>
    <w:basedOn w:val="479"/>
    <w:autoRedefine/>
    <w:qFormat/>
    <w:uiPriority w:val="0"/>
    <w:pPr>
      <w:shd w:val="clear" w:color="auto" w:fill="FFFF00"/>
    </w:pPr>
  </w:style>
  <w:style w:type="paragraph" w:customStyle="1" w:styleId="498">
    <w:name w:val="Normal (Web)_file_605"/>
    <w:basedOn w:val="479"/>
    <w:autoRedefine/>
    <w:semiHidden/>
    <w:unhideWhenUsed/>
    <w:qFormat/>
    <w:uiPriority w:val="99"/>
  </w:style>
  <w:style w:type="character" w:customStyle="1" w:styleId="499">
    <w:name w:val="Strong_file_605"/>
    <w:basedOn w:val="486"/>
    <w:autoRedefine/>
    <w:qFormat/>
    <w:uiPriority w:val="22"/>
    <w:rPr>
      <w:b/>
      <w:bCs/>
    </w:rPr>
  </w:style>
  <w:style w:type="paragraph" w:customStyle="1" w:styleId="500">
    <w:name w:val="Normal_file_606"/>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01">
    <w:name w:val="heading 1_file_606"/>
    <w:basedOn w:val="500"/>
    <w:autoRedefine/>
    <w:qFormat/>
    <w:uiPriority w:val="9"/>
    <w:pPr>
      <w:outlineLvl w:val="0"/>
    </w:pPr>
    <w:rPr>
      <w:kern w:val="36"/>
      <w:sz w:val="48"/>
      <w:szCs w:val="48"/>
    </w:rPr>
  </w:style>
  <w:style w:type="paragraph" w:customStyle="1" w:styleId="502">
    <w:name w:val="heading 2_file_606"/>
    <w:basedOn w:val="500"/>
    <w:autoRedefine/>
    <w:qFormat/>
    <w:uiPriority w:val="9"/>
    <w:pPr>
      <w:outlineLvl w:val="1"/>
    </w:pPr>
    <w:rPr>
      <w:sz w:val="36"/>
      <w:szCs w:val="36"/>
    </w:rPr>
  </w:style>
  <w:style w:type="paragraph" w:customStyle="1" w:styleId="503">
    <w:name w:val="heading 3_file_606"/>
    <w:basedOn w:val="500"/>
    <w:autoRedefine/>
    <w:qFormat/>
    <w:uiPriority w:val="9"/>
    <w:pPr>
      <w:outlineLvl w:val="2"/>
    </w:pPr>
    <w:rPr>
      <w:sz w:val="27"/>
      <w:szCs w:val="27"/>
    </w:rPr>
  </w:style>
  <w:style w:type="paragraph" w:customStyle="1" w:styleId="504">
    <w:name w:val="heading 4_file_606"/>
    <w:basedOn w:val="500"/>
    <w:autoRedefine/>
    <w:qFormat/>
    <w:uiPriority w:val="9"/>
    <w:pPr>
      <w:outlineLvl w:val="3"/>
    </w:pPr>
  </w:style>
  <w:style w:type="paragraph" w:customStyle="1" w:styleId="505">
    <w:name w:val="heading 5_file_606"/>
    <w:basedOn w:val="500"/>
    <w:autoRedefine/>
    <w:qFormat/>
    <w:uiPriority w:val="9"/>
    <w:pPr>
      <w:outlineLvl w:val="4"/>
    </w:pPr>
    <w:rPr>
      <w:sz w:val="20"/>
      <w:szCs w:val="20"/>
    </w:rPr>
  </w:style>
  <w:style w:type="paragraph" w:customStyle="1" w:styleId="506">
    <w:name w:val="heading 6_file_606"/>
    <w:basedOn w:val="500"/>
    <w:autoRedefine/>
    <w:qFormat/>
    <w:uiPriority w:val="9"/>
    <w:pPr>
      <w:outlineLvl w:val="5"/>
    </w:pPr>
    <w:rPr>
      <w:sz w:val="15"/>
      <w:szCs w:val="15"/>
    </w:rPr>
  </w:style>
  <w:style w:type="character" w:customStyle="1" w:styleId="507">
    <w:name w:val="Default Paragraph Font_file_606"/>
    <w:autoRedefine/>
    <w:semiHidden/>
    <w:unhideWhenUsed/>
    <w:qFormat/>
    <w:uiPriority w:val="1"/>
  </w:style>
  <w:style w:type="table" w:customStyle="1" w:styleId="508">
    <w:name w:val="Normal Table_file_606"/>
    <w:autoRedefine/>
    <w:semiHidden/>
    <w:unhideWhenUsed/>
    <w:qFormat/>
    <w:uiPriority w:val="99"/>
    <w:tblPr>
      <w:tblCellMar>
        <w:top w:w="0" w:type="dxa"/>
        <w:left w:w="108" w:type="dxa"/>
        <w:bottom w:w="0" w:type="dxa"/>
        <w:right w:w="108" w:type="dxa"/>
      </w:tblCellMar>
    </w:tblPr>
  </w:style>
  <w:style w:type="character" w:customStyle="1" w:styleId="509">
    <w:name w:val="Hyperlink_file_606"/>
    <w:basedOn w:val="507"/>
    <w:autoRedefine/>
    <w:semiHidden/>
    <w:unhideWhenUsed/>
    <w:qFormat/>
    <w:uiPriority w:val="99"/>
    <w:rPr>
      <w:color w:val="0782C1"/>
      <w:u w:val="single"/>
    </w:rPr>
  </w:style>
  <w:style w:type="character" w:customStyle="1" w:styleId="510">
    <w:name w:val="FollowedHyperlink_file_606"/>
    <w:basedOn w:val="507"/>
    <w:autoRedefine/>
    <w:semiHidden/>
    <w:unhideWhenUsed/>
    <w:qFormat/>
    <w:uiPriority w:val="99"/>
    <w:rPr>
      <w:color w:val="0782C1"/>
      <w:u w:val="single"/>
    </w:rPr>
  </w:style>
  <w:style w:type="character" w:customStyle="1" w:styleId="511">
    <w:name w:val="标题 1 Char_file_606"/>
    <w:basedOn w:val="507"/>
    <w:link w:val="4"/>
    <w:autoRedefine/>
    <w:qFormat/>
    <w:uiPriority w:val="9"/>
    <w:rPr>
      <w:rFonts w:ascii="宋体" w:hAnsi="宋体" w:eastAsia="宋体" w:cs="宋体"/>
      <w:b/>
      <w:bCs/>
      <w:kern w:val="44"/>
      <w:sz w:val="44"/>
      <w:szCs w:val="44"/>
    </w:rPr>
  </w:style>
  <w:style w:type="character" w:customStyle="1" w:styleId="512">
    <w:name w:val="标题 2 Char_file_606"/>
    <w:basedOn w:val="507"/>
    <w:link w:val="5"/>
    <w:autoRedefine/>
    <w:semiHidden/>
    <w:qFormat/>
    <w:uiPriority w:val="9"/>
    <w:rPr>
      <w:rFonts w:asciiTheme="majorHAnsi" w:hAnsiTheme="majorHAnsi" w:eastAsiaTheme="majorEastAsia" w:cstheme="majorBidi"/>
      <w:b/>
      <w:bCs/>
      <w:sz w:val="32"/>
      <w:szCs w:val="32"/>
    </w:rPr>
  </w:style>
  <w:style w:type="character" w:customStyle="1" w:styleId="513">
    <w:name w:val="标题 3 Char_file_606"/>
    <w:basedOn w:val="507"/>
    <w:link w:val="6"/>
    <w:autoRedefine/>
    <w:semiHidden/>
    <w:qFormat/>
    <w:uiPriority w:val="9"/>
    <w:rPr>
      <w:rFonts w:ascii="宋体" w:hAnsi="宋体" w:eastAsia="宋体" w:cs="宋体"/>
      <w:b/>
      <w:bCs/>
      <w:sz w:val="32"/>
      <w:szCs w:val="32"/>
    </w:rPr>
  </w:style>
  <w:style w:type="character" w:customStyle="1" w:styleId="514">
    <w:name w:val="标题 4 Char_file_606"/>
    <w:basedOn w:val="507"/>
    <w:link w:val="7"/>
    <w:autoRedefine/>
    <w:semiHidden/>
    <w:qFormat/>
    <w:uiPriority w:val="9"/>
    <w:rPr>
      <w:rFonts w:asciiTheme="majorHAnsi" w:hAnsiTheme="majorHAnsi" w:eastAsiaTheme="majorEastAsia" w:cstheme="majorBidi"/>
      <w:b/>
      <w:bCs/>
      <w:sz w:val="28"/>
      <w:szCs w:val="28"/>
    </w:rPr>
  </w:style>
  <w:style w:type="character" w:customStyle="1" w:styleId="515">
    <w:name w:val="标题 5 Char_file_606"/>
    <w:basedOn w:val="507"/>
    <w:link w:val="8"/>
    <w:autoRedefine/>
    <w:semiHidden/>
    <w:qFormat/>
    <w:uiPriority w:val="9"/>
    <w:rPr>
      <w:rFonts w:ascii="宋体" w:hAnsi="宋体" w:eastAsia="宋体" w:cs="宋体"/>
      <w:b/>
      <w:bCs/>
      <w:sz w:val="28"/>
      <w:szCs w:val="28"/>
    </w:rPr>
  </w:style>
  <w:style w:type="character" w:customStyle="1" w:styleId="516">
    <w:name w:val="标题 6 Char_file_606"/>
    <w:basedOn w:val="507"/>
    <w:link w:val="10"/>
    <w:autoRedefine/>
    <w:semiHidden/>
    <w:qFormat/>
    <w:uiPriority w:val="9"/>
    <w:rPr>
      <w:rFonts w:asciiTheme="majorHAnsi" w:hAnsiTheme="majorHAnsi" w:eastAsiaTheme="majorEastAsia" w:cstheme="majorBidi"/>
      <w:b/>
      <w:bCs/>
      <w:sz w:val="24"/>
      <w:szCs w:val="24"/>
    </w:rPr>
  </w:style>
  <w:style w:type="paragraph" w:customStyle="1" w:styleId="517">
    <w:name w:val="cke_editable_file_606"/>
    <w:basedOn w:val="500"/>
    <w:autoRedefine/>
    <w:qFormat/>
    <w:uiPriority w:val="0"/>
    <w:rPr>
      <w:rFonts w:ascii="仿宋_GB2312" w:eastAsia="仿宋_GB2312"/>
    </w:rPr>
  </w:style>
  <w:style w:type="paragraph" w:customStyle="1" w:styleId="518">
    <w:name w:val="marker_file_606"/>
    <w:basedOn w:val="500"/>
    <w:autoRedefine/>
    <w:qFormat/>
    <w:uiPriority w:val="0"/>
    <w:pPr>
      <w:shd w:val="clear" w:color="auto" w:fill="FFFF00"/>
    </w:pPr>
  </w:style>
  <w:style w:type="paragraph" w:customStyle="1" w:styleId="519">
    <w:name w:val="Normal (Web)_file_606"/>
    <w:basedOn w:val="500"/>
    <w:autoRedefine/>
    <w:semiHidden/>
    <w:unhideWhenUsed/>
    <w:qFormat/>
    <w:uiPriority w:val="99"/>
  </w:style>
  <w:style w:type="character" w:customStyle="1" w:styleId="520">
    <w:name w:val="Strong_file_606"/>
    <w:basedOn w:val="507"/>
    <w:autoRedefine/>
    <w:qFormat/>
    <w:uiPriority w:val="22"/>
    <w:rPr>
      <w:b/>
      <w:bCs/>
    </w:rPr>
  </w:style>
  <w:style w:type="paragraph" w:customStyle="1" w:styleId="521">
    <w:name w:val="Normal_file_607"/>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22">
    <w:name w:val="heading 1_file_607"/>
    <w:basedOn w:val="521"/>
    <w:autoRedefine/>
    <w:qFormat/>
    <w:uiPriority w:val="9"/>
    <w:pPr>
      <w:outlineLvl w:val="0"/>
    </w:pPr>
    <w:rPr>
      <w:kern w:val="36"/>
      <w:sz w:val="48"/>
      <w:szCs w:val="48"/>
    </w:rPr>
  </w:style>
  <w:style w:type="paragraph" w:customStyle="1" w:styleId="523">
    <w:name w:val="heading 2_file_607"/>
    <w:basedOn w:val="521"/>
    <w:autoRedefine/>
    <w:qFormat/>
    <w:uiPriority w:val="9"/>
    <w:pPr>
      <w:outlineLvl w:val="1"/>
    </w:pPr>
    <w:rPr>
      <w:sz w:val="36"/>
      <w:szCs w:val="36"/>
    </w:rPr>
  </w:style>
  <w:style w:type="paragraph" w:customStyle="1" w:styleId="524">
    <w:name w:val="heading 3_file_607"/>
    <w:basedOn w:val="521"/>
    <w:autoRedefine/>
    <w:qFormat/>
    <w:uiPriority w:val="9"/>
    <w:pPr>
      <w:outlineLvl w:val="2"/>
    </w:pPr>
    <w:rPr>
      <w:sz w:val="27"/>
      <w:szCs w:val="27"/>
    </w:rPr>
  </w:style>
  <w:style w:type="paragraph" w:customStyle="1" w:styleId="525">
    <w:name w:val="heading 4_file_607"/>
    <w:basedOn w:val="521"/>
    <w:autoRedefine/>
    <w:qFormat/>
    <w:uiPriority w:val="9"/>
    <w:pPr>
      <w:outlineLvl w:val="3"/>
    </w:pPr>
  </w:style>
  <w:style w:type="paragraph" w:customStyle="1" w:styleId="526">
    <w:name w:val="heading 5_file_607"/>
    <w:basedOn w:val="521"/>
    <w:autoRedefine/>
    <w:qFormat/>
    <w:uiPriority w:val="9"/>
    <w:pPr>
      <w:outlineLvl w:val="4"/>
    </w:pPr>
    <w:rPr>
      <w:sz w:val="20"/>
      <w:szCs w:val="20"/>
    </w:rPr>
  </w:style>
  <w:style w:type="paragraph" w:customStyle="1" w:styleId="527">
    <w:name w:val="heading 6_file_607"/>
    <w:basedOn w:val="521"/>
    <w:autoRedefine/>
    <w:qFormat/>
    <w:uiPriority w:val="9"/>
    <w:pPr>
      <w:outlineLvl w:val="5"/>
    </w:pPr>
    <w:rPr>
      <w:sz w:val="15"/>
      <w:szCs w:val="15"/>
    </w:rPr>
  </w:style>
  <w:style w:type="character" w:customStyle="1" w:styleId="528">
    <w:name w:val="Default Paragraph Font_file_607"/>
    <w:autoRedefine/>
    <w:semiHidden/>
    <w:unhideWhenUsed/>
    <w:qFormat/>
    <w:uiPriority w:val="1"/>
  </w:style>
  <w:style w:type="table" w:customStyle="1" w:styleId="529">
    <w:name w:val="Normal Table_file_607"/>
    <w:autoRedefine/>
    <w:semiHidden/>
    <w:unhideWhenUsed/>
    <w:qFormat/>
    <w:uiPriority w:val="99"/>
    <w:tblPr>
      <w:tblCellMar>
        <w:top w:w="0" w:type="dxa"/>
        <w:left w:w="108" w:type="dxa"/>
        <w:bottom w:w="0" w:type="dxa"/>
        <w:right w:w="108" w:type="dxa"/>
      </w:tblCellMar>
    </w:tblPr>
  </w:style>
  <w:style w:type="character" w:customStyle="1" w:styleId="530">
    <w:name w:val="Hyperlink_file_607"/>
    <w:basedOn w:val="528"/>
    <w:autoRedefine/>
    <w:semiHidden/>
    <w:unhideWhenUsed/>
    <w:qFormat/>
    <w:uiPriority w:val="99"/>
    <w:rPr>
      <w:color w:val="0782C1"/>
      <w:u w:val="single"/>
    </w:rPr>
  </w:style>
  <w:style w:type="character" w:customStyle="1" w:styleId="531">
    <w:name w:val="FollowedHyperlink_file_607"/>
    <w:basedOn w:val="528"/>
    <w:autoRedefine/>
    <w:semiHidden/>
    <w:unhideWhenUsed/>
    <w:qFormat/>
    <w:uiPriority w:val="99"/>
    <w:rPr>
      <w:color w:val="0782C1"/>
      <w:u w:val="single"/>
    </w:rPr>
  </w:style>
  <w:style w:type="character" w:customStyle="1" w:styleId="532">
    <w:name w:val="标题 1 Char_file_607"/>
    <w:basedOn w:val="528"/>
    <w:link w:val="4"/>
    <w:autoRedefine/>
    <w:qFormat/>
    <w:uiPriority w:val="9"/>
    <w:rPr>
      <w:rFonts w:ascii="宋体" w:hAnsi="宋体" w:eastAsia="宋体" w:cs="宋体"/>
      <w:b/>
      <w:bCs/>
      <w:kern w:val="44"/>
      <w:sz w:val="44"/>
      <w:szCs w:val="44"/>
    </w:rPr>
  </w:style>
  <w:style w:type="character" w:customStyle="1" w:styleId="533">
    <w:name w:val="标题 2 Char_file_607"/>
    <w:basedOn w:val="528"/>
    <w:link w:val="5"/>
    <w:autoRedefine/>
    <w:semiHidden/>
    <w:qFormat/>
    <w:uiPriority w:val="9"/>
    <w:rPr>
      <w:rFonts w:asciiTheme="majorHAnsi" w:hAnsiTheme="majorHAnsi" w:eastAsiaTheme="majorEastAsia" w:cstheme="majorBidi"/>
      <w:b/>
      <w:bCs/>
      <w:sz w:val="32"/>
      <w:szCs w:val="32"/>
    </w:rPr>
  </w:style>
  <w:style w:type="character" w:customStyle="1" w:styleId="534">
    <w:name w:val="标题 3 Char_file_607"/>
    <w:basedOn w:val="528"/>
    <w:link w:val="6"/>
    <w:autoRedefine/>
    <w:semiHidden/>
    <w:qFormat/>
    <w:uiPriority w:val="9"/>
    <w:rPr>
      <w:rFonts w:ascii="宋体" w:hAnsi="宋体" w:eastAsia="宋体" w:cs="宋体"/>
      <w:b/>
      <w:bCs/>
      <w:sz w:val="32"/>
      <w:szCs w:val="32"/>
    </w:rPr>
  </w:style>
  <w:style w:type="character" w:customStyle="1" w:styleId="535">
    <w:name w:val="标题 4 Char_file_607"/>
    <w:basedOn w:val="528"/>
    <w:link w:val="7"/>
    <w:autoRedefine/>
    <w:semiHidden/>
    <w:qFormat/>
    <w:uiPriority w:val="9"/>
    <w:rPr>
      <w:rFonts w:asciiTheme="majorHAnsi" w:hAnsiTheme="majorHAnsi" w:eastAsiaTheme="majorEastAsia" w:cstheme="majorBidi"/>
      <w:b/>
      <w:bCs/>
      <w:sz w:val="28"/>
      <w:szCs w:val="28"/>
    </w:rPr>
  </w:style>
  <w:style w:type="character" w:customStyle="1" w:styleId="536">
    <w:name w:val="标题 5 Char_file_607"/>
    <w:basedOn w:val="528"/>
    <w:link w:val="8"/>
    <w:autoRedefine/>
    <w:semiHidden/>
    <w:qFormat/>
    <w:uiPriority w:val="9"/>
    <w:rPr>
      <w:rFonts w:ascii="宋体" w:hAnsi="宋体" w:eastAsia="宋体" w:cs="宋体"/>
      <w:b/>
      <w:bCs/>
      <w:sz w:val="28"/>
      <w:szCs w:val="28"/>
    </w:rPr>
  </w:style>
  <w:style w:type="character" w:customStyle="1" w:styleId="537">
    <w:name w:val="标题 6 Char_file_607"/>
    <w:basedOn w:val="528"/>
    <w:link w:val="10"/>
    <w:autoRedefine/>
    <w:semiHidden/>
    <w:qFormat/>
    <w:uiPriority w:val="9"/>
    <w:rPr>
      <w:rFonts w:asciiTheme="majorHAnsi" w:hAnsiTheme="majorHAnsi" w:eastAsiaTheme="majorEastAsia" w:cstheme="majorBidi"/>
      <w:b/>
      <w:bCs/>
      <w:sz w:val="24"/>
      <w:szCs w:val="24"/>
    </w:rPr>
  </w:style>
  <w:style w:type="paragraph" w:customStyle="1" w:styleId="538">
    <w:name w:val="cke_editable_file_607"/>
    <w:basedOn w:val="521"/>
    <w:autoRedefine/>
    <w:qFormat/>
    <w:uiPriority w:val="0"/>
    <w:rPr>
      <w:rFonts w:ascii="仿宋_GB2312" w:eastAsia="仿宋_GB2312"/>
    </w:rPr>
  </w:style>
  <w:style w:type="paragraph" w:customStyle="1" w:styleId="539">
    <w:name w:val="marker_file_607"/>
    <w:basedOn w:val="521"/>
    <w:autoRedefine/>
    <w:qFormat/>
    <w:uiPriority w:val="0"/>
    <w:pPr>
      <w:shd w:val="clear" w:color="auto" w:fill="FFFF00"/>
    </w:pPr>
  </w:style>
  <w:style w:type="paragraph" w:customStyle="1" w:styleId="540">
    <w:name w:val="Normal (Web)_file_607"/>
    <w:basedOn w:val="521"/>
    <w:autoRedefine/>
    <w:semiHidden/>
    <w:unhideWhenUsed/>
    <w:qFormat/>
    <w:uiPriority w:val="99"/>
  </w:style>
  <w:style w:type="character" w:customStyle="1" w:styleId="541">
    <w:name w:val="Strong_file_607"/>
    <w:basedOn w:val="528"/>
    <w:autoRedefine/>
    <w:qFormat/>
    <w:uiPriority w:val="22"/>
    <w:rPr>
      <w:b/>
      <w:bCs/>
    </w:rPr>
  </w:style>
  <w:style w:type="paragraph" w:customStyle="1" w:styleId="542">
    <w:name w:val="Normal_file_608"/>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43">
    <w:name w:val="heading 1_file_608"/>
    <w:basedOn w:val="542"/>
    <w:autoRedefine/>
    <w:qFormat/>
    <w:uiPriority w:val="9"/>
    <w:pPr>
      <w:outlineLvl w:val="0"/>
    </w:pPr>
    <w:rPr>
      <w:kern w:val="36"/>
      <w:sz w:val="48"/>
      <w:szCs w:val="48"/>
    </w:rPr>
  </w:style>
  <w:style w:type="paragraph" w:customStyle="1" w:styleId="544">
    <w:name w:val="heading 2_file_608"/>
    <w:basedOn w:val="542"/>
    <w:autoRedefine/>
    <w:qFormat/>
    <w:uiPriority w:val="9"/>
    <w:pPr>
      <w:outlineLvl w:val="1"/>
    </w:pPr>
    <w:rPr>
      <w:sz w:val="36"/>
      <w:szCs w:val="36"/>
    </w:rPr>
  </w:style>
  <w:style w:type="paragraph" w:customStyle="1" w:styleId="545">
    <w:name w:val="heading 3_file_608"/>
    <w:basedOn w:val="542"/>
    <w:autoRedefine/>
    <w:qFormat/>
    <w:uiPriority w:val="9"/>
    <w:pPr>
      <w:outlineLvl w:val="2"/>
    </w:pPr>
    <w:rPr>
      <w:sz w:val="27"/>
      <w:szCs w:val="27"/>
    </w:rPr>
  </w:style>
  <w:style w:type="paragraph" w:customStyle="1" w:styleId="546">
    <w:name w:val="heading 4_file_608"/>
    <w:basedOn w:val="542"/>
    <w:autoRedefine/>
    <w:qFormat/>
    <w:uiPriority w:val="9"/>
    <w:pPr>
      <w:outlineLvl w:val="3"/>
    </w:pPr>
  </w:style>
  <w:style w:type="paragraph" w:customStyle="1" w:styleId="547">
    <w:name w:val="heading 5_file_608"/>
    <w:basedOn w:val="542"/>
    <w:autoRedefine/>
    <w:qFormat/>
    <w:uiPriority w:val="9"/>
    <w:pPr>
      <w:outlineLvl w:val="4"/>
    </w:pPr>
    <w:rPr>
      <w:sz w:val="20"/>
      <w:szCs w:val="20"/>
    </w:rPr>
  </w:style>
  <w:style w:type="paragraph" w:customStyle="1" w:styleId="548">
    <w:name w:val="heading 6_file_608"/>
    <w:basedOn w:val="542"/>
    <w:autoRedefine/>
    <w:qFormat/>
    <w:uiPriority w:val="9"/>
    <w:pPr>
      <w:outlineLvl w:val="5"/>
    </w:pPr>
    <w:rPr>
      <w:sz w:val="15"/>
      <w:szCs w:val="15"/>
    </w:rPr>
  </w:style>
  <w:style w:type="character" w:customStyle="1" w:styleId="549">
    <w:name w:val="Default Paragraph Font_file_608"/>
    <w:autoRedefine/>
    <w:semiHidden/>
    <w:unhideWhenUsed/>
    <w:qFormat/>
    <w:uiPriority w:val="1"/>
  </w:style>
  <w:style w:type="table" w:customStyle="1" w:styleId="550">
    <w:name w:val="Normal Table_file_608"/>
    <w:autoRedefine/>
    <w:semiHidden/>
    <w:unhideWhenUsed/>
    <w:qFormat/>
    <w:uiPriority w:val="99"/>
    <w:tblPr>
      <w:tblCellMar>
        <w:top w:w="0" w:type="dxa"/>
        <w:left w:w="108" w:type="dxa"/>
        <w:bottom w:w="0" w:type="dxa"/>
        <w:right w:w="108" w:type="dxa"/>
      </w:tblCellMar>
    </w:tblPr>
  </w:style>
  <w:style w:type="character" w:customStyle="1" w:styleId="551">
    <w:name w:val="Hyperlink_file_608"/>
    <w:basedOn w:val="549"/>
    <w:autoRedefine/>
    <w:semiHidden/>
    <w:unhideWhenUsed/>
    <w:qFormat/>
    <w:uiPriority w:val="99"/>
    <w:rPr>
      <w:color w:val="0782C1"/>
      <w:u w:val="single"/>
    </w:rPr>
  </w:style>
  <w:style w:type="character" w:customStyle="1" w:styleId="552">
    <w:name w:val="FollowedHyperlink_file_608"/>
    <w:basedOn w:val="549"/>
    <w:autoRedefine/>
    <w:semiHidden/>
    <w:unhideWhenUsed/>
    <w:qFormat/>
    <w:uiPriority w:val="99"/>
    <w:rPr>
      <w:color w:val="0782C1"/>
      <w:u w:val="single"/>
    </w:rPr>
  </w:style>
  <w:style w:type="character" w:customStyle="1" w:styleId="553">
    <w:name w:val="标题 1 Char_file_608"/>
    <w:basedOn w:val="549"/>
    <w:link w:val="4"/>
    <w:autoRedefine/>
    <w:qFormat/>
    <w:uiPriority w:val="9"/>
    <w:rPr>
      <w:rFonts w:ascii="宋体" w:hAnsi="宋体" w:eastAsia="宋体" w:cs="宋体"/>
      <w:b/>
      <w:bCs/>
      <w:kern w:val="44"/>
      <w:sz w:val="44"/>
      <w:szCs w:val="44"/>
    </w:rPr>
  </w:style>
  <w:style w:type="character" w:customStyle="1" w:styleId="554">
    <w:name w:val="标题 2 Char_file_608"/>
    <w:basedOn w:val="549"/>
    <w:link w:val="5"/>
    <w:autoRedefine/>
    <w:semiHidden/>
    <w:qFormat/>
    <w:uiPriority w:val="9"/>
    <w:rPr>
      <w:rFonts w:asciiTheme="majorHAnsi" w:hAnsiTheme="majorHAnsi" w:eastAsiaTheme="majorEastAsia" w:cstheme="majorBidi"/>
      <w:b/>
      <w:bCs/>
      <w:sz w:val="32"/>
      <w:szCs w:val="32"/>
    </w:rPr>
  </w:style>
  <w:style w:type="character" w:customStyle="1" w:styleId="555">
    <w:name w:val="标题 3 Char_file_608"/>
    <w:basedOn w:val="549"/>
    <w:link w:val="6"/>
    <w:autoRedefine/>
    <w:semiHidden/>
    <w:qFormat/>
    <w:uiPriority w:val="9"/>
    <w:rPr>
      <w:rFonts w:ascii="宋体" w:hAnsi="宋体" w:eastAsia="宋体" w:cs="宋体"/>
      <w:b/>
      <w:bCs/>
      <w:sz w:val="32"/>
      <w:szCs w:val="32"/>
    </w:rPr>
  </w:style>
  <w:style w:type="character" w:customStyle="1" w:styleId="556">
    <w:name w:val="标题 4 Char_file_608"/>
    <w:basedOn w:val="549"/>
    <w:link w:val="7"/>
    <w:autoRedefine/>
    <w:semiHidden/>
    <w:qFormat/>
    <w:uiPriority w:val="9"/>
    <w:rPr>
      <w:rFonts w:asciiTheme="majorHAnsi" w:hAnsiTheme="majorHAnsi" w:eastAsiaTheme="majorEastAsia" w:cstheme="majorBidi"/>
      <w:b/>
      <w:bCs/>
      <w:sz w:val="28"/>
      <w:szCs w:val="28"/>
    </w:rPr>
  </w:style>
  <w:style w:type="character" w:customStyle="1" w:styleId="557">
    <w:name w:val="标题 5 Char_file_608"/>
    <w:basedOn w:val="549"/>
    <w:link w:val="8"/>
    <w:autoRedefine/>
    <w:semiHidden/>
    <w:qFormat/>
    <w:uiPriority w:val="9"/>
    <w:rPr>
      <w:rFonts w:ascii="宋体" w:hAnsi="宋体" w:eastAsia="宋体" w:cs="宋体"/>
      <w:b/>
      <w:bCs/>
      <w:sz w:val="28"/>
      <w:szCs w:val="28"/>
    </w:rPr>
  </w:style>
  <w:style w:type="character" w:customStyle="1" w:styleId="558">
    <w:name w:val="标题 6 Char_file_608"/>
    <w:basedOn w:val="549"/>
    <w:link w:val="10"/>
    <w:autoRedefine/>
    <w:semiHidden/>
    <w:qFormat/>
    <w:uiPriority w:val="9"/>
    <w:rPr>
      <w:rFonts w:asciiTheme="majorHAnsi" w:hAnsiTheme="majorHAnsi" w:eastAsiaTheme="majorEastAsia" w:cstheme="majorBidi"/>
      <w:b/>
      <w:bCs/>
      <w:sz w:val="24"/>
      <w:szCs w:val="24"/>
    </w:rPr>
  </w:style>
  <w:style w:type="paragraph" w:customStyle="1" w:styleId="559">
    <w:name w:val="cke_editable_file_608"/>
    <w:basedOn w:val="542"/>
    <w:autoRedefine/>
    <w:qFormat/>
    <w:uiPriority w:val="0"/>
    <w:rPr>
      <w:rFonts w:ascii="仿宋_GB2312" w:eastAsia="仿宋_GB2312"/>
    </w:rPr>
  </w:style>
  <w:style w:type="paragraph" w:customStyle="1" w:styleId="560">
    <w:name w:val="marker_file_608"/>
    <w:basedOn w:val="542"/>
    <w:autoRedefine/>
    <w:qFormat/>
    <w:uiPriority w:val="0"/>
    <w:pPr>
      <w:shd w:val="clear" w:color="auto" w:fill="FFFF00"/>
    </w:pPr>
  </w:style>
  <w:style w:type="paragraph" w:customStyle="1" w:styleId="561">
    <w:name w:val="Normal (Web)_file_608"/>
    <w:basedOn w:val="542"/>
    <w:autoRedefine/>
    <w:semiHidden/>
    <w:unhideWhenUsed/>
    <w:qFormat/>
    <w:uiPriority w:val="99"/>
  </w:style>
  <w:style w:type="paragraph" w:customStyle="1" w:styleId="562">
    <w:name w:val="Normal_file_609"/>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63">
    <w:name w:val="heading 1_file_609"/>
    <w:basedOn w:val="562"/>
    <w:autoRedefine/>
    <w:qFormat/>
    <w:uiPriority w:val="9"/>
    <w:pPr>
      <w:outlineLvl w:val="0"/>
    </w:pPr>
    <w:rPr>
      <w:kern w:val="36"/>
      <w:sz w:val="48"/>
      <w:szCs w:val="48"/>
    </w:rPr>
  </w:style>
  <w:style w:type="paragraph" w:customStyle="1" w:styleId="564">
    <w:name w:val="heading 2_file_609"/>
    <w:basedOn w:val="562"/>
    <w:autoRedefine/>
    <w:qFormat/>
    <w:uiPriority w:val="9"/>
    <w:pPr>
      <w:outlineLvl w:val="1"/>
    </w:pPr>
    <w:rPr>
      <w:sz w:val="36"/>
      <w:szCs w:val="36"/>
    </w:rPr>
  </w:style>
  <w:style w:type="paragraph" w:customStyle="1" w:styleId="565">
    <w:name w:val="heading 3_file_609"/>
    <w:basedOn w:val="562"/>
    <w:autoRedefine/>
    <w:qFormat/>
    <w:uiPriority w:val="9"/>
    <w:pPr>
      <w:outlineLvl w:val="2"/>
    </w:pPr>
    <w:rPr>
      <w:sz w:val="27"/>
      <w:szCs w:val="27"/>
    </w:rPr>
  </w:style>
  <w:style w:type="paragraph" w:customStyle="1" w:styleId="566">
    <w:name w:val="heading 4_file_609"/>
    <w:basedOn w:val="562"/>
    <w:autoRedefine/>
    <w:qFormat/>
    <w:uiPriority w:val="9"/>
    <w:pPr>
      <w:outlineLvl w:val="3"/>
    </w:pPr>
  </w:style>
  <w:style w:type="paragraph" w:customStyle="1" w:styleId="567">
    <w:name w:val="heading 5_file_609"/>
    <w:basedOn w:val="562"/>
    <w:autoRedefine/>
    <w:qFormat/>
    <w:uiPriority w:val="9"/>
    <w:pPr>
      <w:outlineLvl w:val="4"/>
    </w:pPr>
    <w:rPr>
      <w:sz w:val="20"/>
      <w:szCs w:val="20"/>
    </w:rPr>
  </w:style>
  <w:style w:type="paragraph" w:customStyle="1" w:styleId="568">
    <w:name w:val="heading 6_file_609"/>
    <w:basedOn w:val="562"/>
    <w:autoRedefine/>
    <w:qFormat/>
    <w:uiPriority w:val="9"/>
    <w:pPr>
      <w:outlineLvl w:val="5"/>
    </w:pPr>
    <w:rPr>
      <w:sz w:val="15"/>
      <w:szCs w:val="15"/>
    </w:rPr>
  </w:style>
  <w:style w:type="character" w:customStyle="1" w:styleId="569">
    <w:name w:val="Default Paragraph Font_file_609"/>
    <w:autoRedefine/>
    <w:semiHidden/>
    <w:unhideWhenUsed/>
    <w:qFormat/>
    <w:uiPriority w:val="1"/>
  </w:style>
  <w:style w:type="table" w:customStyle="1" w:styleId="570">
    <w:name w:val="Normal Table_file_609"/>
    <w:autoRedefine/>
    <w:semiHidden/>
    <w:unhideWhenUsed/>
    <w:qFormat/>
    <w:uiPriority w:val="99"/>
    <w:tblPr>
      <w:tblCellMar>
        <w:top w:w="0" w:type="dxa"/>
        <w:left w:w="108" w:type="dxa"/>
        <w:bottom w:w="0" w:type="dxa"/>
        <w:right w:w="108" w:type="dxa"/>
      </w:tblCellMar>
    </w:tblPr>
  </w:style>
  <w:style w:type="character" w:customStyle="1" w:styleId="571">
    <w:name w:val="Hyperlink_file_609"/>
    <w:basedOn w:val="569"/>
    <w:autoRedefine/>
    <w:semiHidden/>
    <w:unhideWhenUsed/>
    <w:qFormat/>
    <w:uiPriority w:val="99"/>
    <w:rPr>
      <w:color w:val="0782C1"/>
      <w:u w:val="single"/>
    </w:rPr>
  </w:style>
  <w:style w:type="character" w:customStyle="1" w:styleId="572">
    <w:name w:val="FollowedHyperlink_file_609"/>
    <w:basedOn w:val="569"/>
    <w:autoRedefine/>
    <w:semiHidden/>
    <w:unhideWhenUsed/>
    <w:qFormat/>
    <w:uiPriority w:val="99"/>
    <w:rPr>
      <w:color w:val="0782C1"/>
      <w:u w:val="single"/>
    </w:rPr>
  </w:style>
  <w:style w:type="character" w:customStyle="1" w:styleId="573">
    <w:name w:val="标题 1 Char_file_609"/>
    <w:basedOn w:val="569"/>
    <w:link w:val="4"/>
    <w:autoRedefine/>
    <w:qFormat/>
    <w:uiPriority w:val="9"/>
    <w:rPr>
      <w:rFonts w:ascii="宋体" w:hAnsi="宋体" w:eastAsia="宋体" w:cs="宋体"/>
      <w:b/>
      <w:bCs/>
      <w:kern w:val="44"/>
      <w:sz w:val="44"/>
      <w:szCs w:val="44"/>
    </w:rPr>
  </w:style>
  <w:style w:type="character" w:customStyle="1" w:styleId="574">
    <w:name w:val="标题 2 Char_file_609"/>
    <w:basedOn w:val="569"/>
    <w:link w:val="5"/>
    <w:autoRedefine/>
    <w:semiHidden/>
    <w:qFormat/>
    <w:uiPriority w:val="9"/>
    <w:rPr>
      <w:rFonts w:asciiTheme="majorHAnsi" w:hAnsiTheme="majorHAnsi" w:eastAsiaTheme="majorEastAsia" w:cstheme="majorBidi"/>
      <w:b/>
      <w:bCs/>
      <w:sz w:val="32"/>
      <w:szCs w:val="32"/>
    </w:rPr>
  </w:style>
  <w:style w:type="character" w:customStyle="1" w:styleId="575">
    <w:name w:val="标题 3 Char_file_609"/>
    <w:basedOn w:val="569"/>
    <w:link w:val="6"/>
    <w:autoRedefine/>
    <w:semiHidden/>
    <w:qFormat/>
    <w:uiPriority w:val="9"/>
    <w:rPr>
      <w:rFonts w:ascii="宋体" w:hAnsi="宋体" w:eastAsia="宋体" w:cs="宋体"/>
      <w:b/>
      <w:bCs/>
      <w:sz w:val="32"/>
      <w:szCs w:val="32"/>
    </w:rPr>
  </w:style>
  <w:style w:type="character" w:customStyle="1" w:styleId="576">
    <w:name w:val="标题 4 Char_file_609"/>
    <w:basedOn w:val="569"/>
    <w:link w:val="7"/>
    <w:autoRedefine/>
    <w:semiHidden/>
    <w:qFormat/>
    <w:uiPriority w:val="9"/>
    <w:rPr>
      <w:rFonts w:asciiTheme="majorHAnsi" w:hAnsiTheme="majorHAnsi" w:eastAsiaTheme="majorEastAsia" w:cstheme="majorBidi"/>
      <w:b/>
      <w:bCs/>
      <w:sz w:val="28"/>
      <w:szCs w:val="28"/>
    </w:rPr>
  </w:style>
  <w:style w:type="character" w:customStyle="1" w:styleId="577">
    <w:name w:val="标题 5 Char_file_609"/>
    <w:basedOn w:val="569"/>
    <w:link w:val="8"/>
    <w:autoRedefine/>
    <w:semiHidden/>
    <w:qFormat/>
    <w:uiPriority w:val="9"/>
    <w:rPr>
      <w:rFonts w:ascii="宋体" w:hAnsi="宋体" w:eastAsia="宋体" w:cs="宋体"/>
      <w:b/>
      <w:bCs/>
      <w:sz w:val="28"/>
      <w:szCs w:val="28"/>
    </w:rPr>
  </w:style>
  <w:style w:type="character" w:customStyle="1" w:styleId="578">
    <w:name w:val="标题 6 Char_file_609"/>
    <w:basedOn w:val="569"/>
    <w:link w:val="10"/>
    <w:autoRedefine/>
    <w:semiHidden/>
    <w:qFormat/>
    <w:uiPriority w:val="9"/>
    <w:rPr>
      <w:rFonts w:asciiTheme="majorHAnsi" w:hAnsiTheme="majorHAnsi" w:eastAsiaTheme="majorEastAsia" w:cstheme="majorBidi"/>
      <w:b/>
      <w:bCs/>
      <w:sz w:val="24"/>
      <w:szCs w:val="24"/>
    </w:rPr>
  </w:style>
  <w:style w:type="paragraph" w:customStyle="1" w:styleId="579">
    <w:name w:val="cke_editable_file_609"/>
    <w:basedOn w:val="562"/>
    <w:autoRedefine/>
    <w:qFormat/>
    <w:uiPriority w:val="0"/>
    <w:rPr>
      <w:rFonts w:ascii="仿宋_GB2312" w:eastAsia="仿宋_GB2312"/>
    </w:rPr>
  </w:style>
  <w:style w:type="paragraph" w:customStyle="1" w:styleId="580">
    <w:name w:val="marker_file_609"/>
    <w:basedOn w:val="562"/>
    <w:autoRedefine/>
    <w:qFormat/>
    <w:uiPriority w:val="0"/>
    <w:pPr>
      <w:shd w:val="clear" w:color="auto" w:fill="FFFF00"/>
    </w:pPr>
  </w:style>
  <w:style w:type="paragraph" w:customStyle="1" w:styleId="581">
    <w:name w:val="Normal (Web)_file_609"/>
    <w:basedOn w:val="562"/>
    <w:autoRedefine/>
    <w:semiHidden/>
    <w:unhideWhenUsed/>
    <w:qFormat/>
    <w:uiPriority w:val="99"/>
  </w:style>
  <w:style w:type="paragraph" w:customStyle="1" w:styleId="582">
    <w:name w:val="Normal_file_610"/>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83">
    <w:name w:val="heading 1_file_610"/>
    <w:basedOn w:val="582"/>
    <w:autoRedefine/>
    <w:qFormat/>
    <w:uiPriority w:val="9"/>
    <w:pPr>
      <w:outlineLvl w:val="0"/>
    </w:pPr>
    <w:rPr>
      <w:kern w:val="36"/>
      <w:sz w:val="48"/>
      <w:szCs w:val="48"/>
    </w:rPr>
  </w:style>
  <w:style w:type="paragraph" w:customStyle="1" w:styleId="584">
    <w:name w:val="heading 2_file_610"/>
    <w:basedOn w:val="582"/>
    <w:autoRedefine/>
    <w:qFormat/>
    <w:uiPriority w:val="9"/>
    <w:pPr>
      <w:outlineLvl w:val="1"/>
    </w:pPr>
    <w:rPr>
      <w:sz w:val="36"/>
      <w:szCs w:val="36"/>
    </w:rPr>
  </w:style>
  <w:style w:type="paragraph" w:customStyle="1" w:styleId="585">
    <w:name w:val="heading 3_file_610"/>
    <w:basedOn w:val="582"/>
    <w:autoRedefine/>
    <w:qFormat/>
    <w:uiPriority w:val="9"/>
    <w:pPr>
      <w:outlineLvl w:val="2"/>
    </w:pPr>
    <w:rPr>
      <w:sz w:val="27"/>
      <w:szCs w:val="27"/>
    </w:rPr>
  </w:style>
  <w:style w:type="paragraph" w:customStyle="1" w:styleId="586">
    <w:name w:val="heading 4_file_610"/>
    <w:basedOn w:val="582"/>
    <w:autoRedefine/>
    <w:qFormat/>
    <w:uiPriority w:val="9"/>
    <w:pPr>
      <w:outlineLvl w:val="3"/>
    </w:pPr>
  </w:style>
  <w:style w:type="paragraph" w:customStyle="1" w:styleId="587">
    <w:name w:val="heading 5_file_610"/>
    <w:basedOn w:val="582"/>
    <w:autoRedefine/>
    <w:qFormat/>
    <w:uiPriority w:val="9"/>
    <w:pPr>
      <w:outlineLvl w:val="4"/>
    </w:pPr>
    <w:rPr>
      <w:sz w:val="20"/>
      <w:szCs w:val="20"/>
    </w:rPr>
  </w:style>
  <w:style w:type="paragraph" w:customStyle="1" w:styleId="588">
    <w:name w:val="heading 6_file_610"/>
    <w:basedOn w:val="582"/>
    <w:autoRedefine/>
    <w:qFormat/>
    <w:uiPriority w:val="9"/>
    <w:pPr>
      <w:outlineLvl w:val="5"/>
    </w:pPr>
    <w:rPr>
      <w:sz w:val="15"/>
      <w:szCs w:val="15"/>
    </w:rPr>
  </w:style>
  <w:style w:type="character" w:customStyle="1" w:styleId="589">
    <w:name w:val="Default Paragraph Font_file_610"/>
    <w:autoRedefine/>
    <w:semiHidden/>
    <w:unhideWhenUsed/>
    <w:qFormat/>
    <w:uiPriority w:val="1"/>
  </w:style>
  <w:style w:type="table" w:customStyle="1" w:styleId="590">
    <w:name w:val="Normal Table_file_610"/>
    <w:autoRedefine/>
    <w:semiHidden/>
    <w:unhideWhenUsed/>
    <w:qFormat/>
    <w:uiPriority w:val="99"/>
    <w:tblPr>
      <w:tblCellMar>
        <w:top w:w="0" w:type="dxa"/>
        <w:left w:w="108" w:type="dxa"/>
        <w:bottom w:w="0" w:type="dxa"/>
        <w:right w:w="108" w:type="dxa"/>
      </w:tblCellMar>
    </w:tblPr>
  </w:style>
  <w:style w:type="character" w:customStyle="1" w:styleId="591">
    <w:name w:val="Hyperlink_file_610"/>
    <w:basedOn w:val="589"/>
    <w:autoRedefine/>
    <w:semiHidden/>
    <w:unhideWhenUsed/>
    <w:qFormat/>
    <w:uiPriority w:val="99"/>
    <w:rPr>
      <w:color w:val="0782C1"/>
      <w:u w:val="single"/>
    </w:rPr>
  </w:style>
  <w:style w:type="character" w:customStyle="1" w:styleId="592">
    <w:name w:val="FollowedHyperlink_file_610"/>
    <w:basedOn w:val="589"/>
    <w:autoRedefine/>
    <w:semiHidden/>
    <w:unhideWhenUsed/>
    <w:qFormat/>
    <w:uiPriority w:val="99"/>
    <w:rPr>
      <w:color w:val="0782C1"/>
      <w:u w:val="single"/>
    </w:rPr>
  </w:style>
  <w:style w:type="character" w:customStyle="1" w:styleId="593">
    <w:name w:val="标题 1 Char_file_610"/>
    <w:basedOn w:val="589"/>
    <w:link w:val="4"/>
    <w:autoRedefine/>
    <w:qFormat/>
    <w:uiPriority w:val="9"/>
    <w:rPr>
      <w:rFonts w:ascii="宋体" w:hAnsi="宋体" w:eastAsia="宋体" w:cs="宋体"/>
      <w:b/>
      <w:bCs/>
      <w:kern w:val="44"/>
      <w:sz w:val="44"/>
      <w:szCs w:val="44"/>
    </w:rPr>
  </w:style>
  <w:style w:type="character" w:customStyle="1" w:styleId="594">
    <w:name w:val="标题 2 Char_file_610"/>
    <w:basedOn w:val="589"/>
    <w:link w:val="5"/>
    <w:autoRedefine/>
    <w:semiHidden/>
    <w:qFormat/>
    <w:uiPriority w:val="9"/>
    <w:rPr>
      <w:rFonts w:asciiTheme="majorHAnsi" w:hAnsiTheme="majorHAnsi" w:eastAsiaTheme="majorEastAsia" w:cstheme="majorBidi"/>
      <w:b/>
      <w:bCs/>
      <w:sz w:val="32"/>
      <w:szCs w:val="32"/>
    </w:rPr>
  </w:style>
  <w:style w:type="character" w:customStyle="1" w:styleId="595">
    <w:name w:val="标题 3 Char_file_610"/>
    <w:basedOn w:val="589"/>
    <w:link w:val="6"/>
    <w:autoRedefine/>
    <w:semiHidden/>
    <w:qFormat/>
    <w:uiPriority w:val="9"/>
    <w:rPr>
      <w:rFonts w:ascii="宋体" w:hAnsi="宋体" w:eastAsia="宋体" w:cs="宋体"/>
      <w:b/>
      <w:bCs/>
      <w:sz w:val="32"/>
      <w:szCs w:val="32"/>
    </w:rPr>
  </w:style>
  <w:style w:type="character" w:customStyle="1" w:styleId="596">
    <w:name w:val="标题 4 Char_file_610"/>
    <w:basedOn w:val="589"/>
    <w:link w:val="7"/>
    <w:autoRedefine/>
    <w:semiHidden/>
    <w:qFormat/>
    <w:uiPriority w:val="9"/>
    <w:rPr>
      <w:rFonts w:asciiTheme="majorHAnsi" w:hAnsiTheme="majorHAnsi" w:eastAsiaTheme="majorEastAsia" w:cstheme="majorBidi"/>
      <w:b/>
      <w:bCs/>
      <w:sz w:val="28"/>
      <w:szCs w:val="28"/>
    </w:rPr>
  </w:style>
  <w:style w:type="character" w:customStyle="1" w:styleId="597">
    <w:name w:val="标题 5 Char_file_610"/>
    <w:basedOn w:val="589"/>
    <w:link w:val="8"/>
    <w:autoRedefine/>
    <w:semiHidden/>
    <w:qFormat/>
    <w:uiPriority w:val="9"/>
    <w:rPr>
      <w:rFonts w:ascii="宋体" w:hAnsi="宋体" w:eastAsia="宋体" w:cs="宋体"/>
      <w:b/>
      <w:bCs/>
      <w:sz w:val="28"/>
      <w:szCs w:val="28"/>
    </w:rPr>
  </w:style>
  <w:style w:type="character" w:customStyle="1" w:styleId="598">
    <w:name w:val="标题 6 Char_file_610"/>
    <w:basedOn w:val="589"/>
    <w:link w:val="10"/>
    <w:autoRedefine/>
    <w:semiHidden/>
    <w:qFormat/>
    <w:uiPriority w:val="9"/>
    <w:rPr>
      <w:rFonts w:asciiTheme="majorHAnsi" w:hAnsiTheme="majorHAnsi" w:eastAsiaTheme="majorEastAsia" w:cstheme="majorBidi"/>
      <w:b/>
      <w:bCs/>
      <w:sz w:val="24"/>
      <w:szCs w:val="24"/>
    </w:rPr>
  </w:style>
  <w:style w:type="paragraph" w:customStyle="1" w:styleId="599">
    <w:name w:val="cke_editable_file_610"/>
    <w:basedOn w:val="582"/>
    <w:autoRedefine/>
    <w:qFormat/>
    <w:uiPriority w:val="0"/>
    <w:rPr>
      <w:rFonts w:ascii="仿宋_GB2312" w:eastAsia="仿宋_GB2312"/>
    </w:rPr>
  </w:style>
  <w:style w:type="paragraph" w:customStyle="1" w:styleId="600">
    <w:name w:val="marker_file_610"/>
    <w:basedOn w:val="582"/>
    <w:autoRedefine/>
    <w:qFormat/>
    <w:uiPriority w:val="0"/>
    <w:pPr>
      <w:shd w:val="clear" w:color="auto" w:fill="FFFF00"/>
    </w:pPr>
  </w:style>
  <w:style w:type="paragraph" w:customStyle="1" w:styleId="601">
    <w:name w:val="Normal (Web)_file_610"/>
    <w:basedOn w:val="582"/>
    <w:autoRedefine/>
    <w:semiHidden/>
    <w:unhideWhenUsed/>
    <w:qFormat/>
    <w:uiPriority w:val="99"/>
  </w:style>
  <w:style w:type="paragraph" w:customStyle="1" w:styleId="602">
    <w:name w:val="Normal_file_611"/>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03">
    <w:name w:val="heading 1_file_611"/>
    <w:basedOn w:val="602"/>
    <w:autoRedefine/>
    <w:qFormat/>
    <w:uiPriority w:val="9"/>
    <w:pPr>
      <w:outlineLvl w:val="0"/>
    </w:pPr>
    <w:rPr>
      <w:kern w:val="36"/>
      <w:sz w:val="48"/>
      <w:szCs w:val="48"/>
    </w:rPr>
  </w:style>
  <w:style w:type="paragraph" w:customStyle="1" w:styleId="604">
    <w:name w:val="heading 2_file_611"/>
    <w:basedOn w:val="602"/>
    <w:autoRedefine/>
    <w:qFormat/>
    <w:uiPriority w:val="9"/>
    <w:pPr>
      <w:outlineLvl w:val="1"/>
    </w:pPr>
    <w:rPr>
      <w:sz w:val="36"/>
      <w:szCs w:val="36"/>
    </w:rPr>
  </w:style>
  <w:style w:type="paragraph" w:customStyle="1" w:styleId="605">
    <w:name w:val="heading 3_file_611"/>
    <w:basedOn w:val="602"/>
    <w:autoRedefine/>
    <w:qFormat/>
    <w:uiPriority w:val="9"/>
    <w:pPr>
      <w:outlineLvl w:val="2"/>
    </w:pPr>
    <w:rPr>
      <w:sz w:val="27"/>
      <w:szCs w:val="27"/>
    </w:rPr>
  </w:style>
  <w:style w:type="paragraph" w:customStyle="1" w:styleId="606">
    <w:name w:val="heading 4_file_611"/>
    <w:basedOn w:val="602"/>
    <w:autoRedefine/>
    <w:qFormat/>
    <w:uiPriority w:val="9"/>
    <w:pPr>
      <w:outlineLvl w:val="3"/>
    </w:pPr>
  </w:style>
  <w:style w:type="paragraph" w:customStyle="1" w:styleId="607">
    <w:name w:val="heading 5_file_611"/>
    <w:basedOn w:val="602"/>
    <w:autoRedefine/>
    <w:qFormat/>
    <w:uiPriority w:val="9"/>
    <w:pPr>
      <w:outlineLvl w:val="4"/>
    </w:pPr>
    <w:rPr>
      <w:sz w:val="20"/>
      <w:szCs w:val="20"/>
    </w:rPr>
  </w:style>
  <w:style w:type="paragraph" w:customStyle="1" w:styleId="608">
    <w:name w:val="heading 6_file_611"/>
    <w:basedOn w:val="602"/>
    <w:autoRedefine/>
    <w:qFormat/>
    <w:uiPriority w:val="9"/>
    <w:pPr>
      <w:outlineLvl w:val="5"/>
    </w:pPr>
    <w:rPr>
      <w:sz w:val="15"/>
      <w:szCs w:val="15"/>
    </w:rPr>
  </w:style>
  <w:style w:type="character" w:customStyle="1" w:styleId="609">
    <w:name w:val="Default Paragraph Font_file_611"/>
    <w:autoRedefine/>
    <w:semiHidden/>
    <w:unhideWhenUsed/>
    <w:qFormat/>
    <w:uiPriority w:val="1"/>
  </w:style>
  <w:style w:type="table" w:customStyle="1" w:styleId="610">
    <w:name w:val="Normal Table_file_611"/>
    <w:autoRedefine/>
    <w:semiHidden/>
    <w:unhideWhenUsed/>
    <w:qFormat/>
    <w:uiPriority w:val="99"/>
    <w:tblPr>
      <w:tblCellMar>
        <w:top w:w="0" w:type="dxa"/>
        <w:left w:w="108" w:type="dxa"/>
        <w:bottom w:w="0" w:type="dxa"/>
        <w:right w:w="108" w:type="dxa"/>
      </w:tblCellMar>
    </w:tblPr>
  </w:style>
  <w:style w:type="character" w:customStyle="1" w:styleId="611">
    <w:name w:val="Hyperlink_file_611"/>
    <w:basedOn w:val="609"/>
    <w:autoRedefine/>
    <w:semiHidden/>
    <w:unhideWhenUsed/>
    <w:qFormat/>
    <w:uiPriority w:val="99"/>
    <w:rPr>
      <w:color w:val="0782C1"/>
      <w:u w:val="single"/>
    </w:rPr>
  </w:style>
  <w:style w:type="character" w:customStyle="1" w:styleId="612">
    <w:name w:val="FollowedHyperlink_file_611"/>
    <w:basedOn w:val="609"/>
    <w:autoRedefine/>
    <w:semiHidden/>
    <w:unhideWhenUsed/>
    <w:qFormat/>
    <w:uiPriority w:val="99"/>
    <w:rPr>
      <w:color w:val="0782C1"/>
      <w:u w:val="single"/>
    </w:rPr>
  </w:style>
  <w:style w:type="character" w:customStyle="1" w:styleId="613">
    <w:name w:val="标题 1 Char_file_611"/>
    <w:basedOn w:val="609"/>
    <w:link w:val="4"/>
    <w:autoRedefine/>
    <w:qFormat/>
    <w:uiPriority w:val="9"/>
    <w:rPr>
      <w:rFonts w:ascii="宋体" w:hAnsi="宋体" w:eastAsia="宋体" w:cs="宋体"/>
      <w:b/>
      <w:bCs/>
      <w:kern w:val="44"/>
      <w:sz w:val="44"/>
      <w:szCs w:val="44"/>
    </w:rPr>
  </w:style>
  <w:style w:type="character" w:customStyle="1" w:styleId="614">
    <w:name w:val="标题 2 Char_file_611"/>
    <w:basedOn w:val="609"/>
    <w:link w:val="5"/>
    <w:autoRedefine/>
    <w:semiHidden/>
    <w:qFormat/>
    <w:uiPriority w:val="9"/>
    <w:rPr>
      <w:rFonts w:asciiTheme="majorHAnsi" w:hAnsiTheme="majorHAnsi" w:eastAsiaTheme="majorEastAsia" w:cstheme="majorBidi"/>
      <w:b/>
      <w:bCs/>
      <w:sz w:val="32"/>
      <w:szCs w:val="32"/>
    </w:rPr>
  </w:style>
  <w:style w:type="character" w:customStyle="1" w:styleId="615">
    <w:name w:val="标题 3 Char_file_611"/>
    <w:basedOn w:val="609"/>
    <w:link w:val="6"/>
    <w:autoRedefine/>
    <w:semiHidden/>
    <w:qFormat/>
    <w:uiPriority w:val="9"/>
    <w:rPr>
      <w:rFonts w:ascii="宋体" w:hAnsi="宋体" w:eastAsia="宋体" w:cs="宋体"/>
      <w:b/>
      <w:bCs/>
      <w:sz w:val="32"/>
      <w:szCs w:val="32"/>
    </w:rPr>
  </w:style>
  <w:style w:type="character" w:customStyle="1" w:styleId="616">
    <w:name w:val="标题 4 Char_file_611"/>
    <w:basedOn w:val="609"/>
    <w:link w:val="7"/>
    <w:autoRedefine/>
    <w:semiHidden/>
    <w:qFormat/>
    <w:uiPriority w:val="9"/>
    <w:rPr>
      <w:rFonts w:asciiTheme="majorHAnsi" w:hAnsiTheme="majorHAnsi" w:eastAsiaTheme="majorEastAsia" w:cstheme="majorBidi"/>
      <w:b/>
      <w:bCs/>
      <w:sz w:val="28"/>
      <w:szCs w:val="28"/>
    </w:rPr>
  </w:style>
  <w:style w:type="character" w:customStyle="1" w:styleId="617">
    <w:name w:val="标题 5 Char_file_611"/>
    <w:basedOn w:val="609"/>
    <w:link w:val="8"/>
    <w:autoRedefine/>
    <w:semiHidden/>
    <w:qFormat/>
    <w:uiPriority w:val="9"/>
    <w:rPr>
      <w:rFonts w:ascii="宋体" w:hAnsi="宋体" w:eastAsia="宋体" w:cs="宋体"/>
      <w:b/>
      <w:bCs/>
      <w:sz w:val="28"/>
      <w:szCs w:val="28"/>
    </w:rPr>
  </w:style>
  <w:style w:type="character" w:customStyle="1" w:styleId="618">
    <w:name w:val="标题 6 Char_file_611"/>
    <w:basedOn w:val="609"/>
    <w:link w:val="10"/>
    <w:autoRedefine/>
    <w:semiHidden/>
    <w:qFormat/>
    <w:uiPriority w:val="9"/>
    <w:rPr>
      <w:rFonts w:asciiTheme="majorHAnsi" w:hAnsiTheme="majorHAnsi" w:eastAsiaTheme="majorEastAsia" w:cstheme="majorBidi"/>
      <w:b/>
      <w:bCs/>
      <w:sz w:val="24"/>
      <w:szCs w:val="24"/>
    </w:rPr>
  </w:style>
  <w:style w:type="paragraph" w:customStyle="1" w:styleId="619">
    <w:name w:val="cke_editable_file_611"/>
    <w:basedOn w:val="602"/>
    <w:autoRedefine/>
    <w:qFormat/>
    <w:uiPriority w:val="0"/>
    <w:rPr>
      <w:rFonts w:ascii="仿宋_GB2312" w:eastAsia="仿宋_GB2312"/>
    </w:rPr>
  </w:style>
  <w:style w:type="paragraph" w:customStyle="1" w:styleId="620">
    <w:name w:val="marker_file_611"/>
    <w:basedOn w:val="602"/>
    <w:autoRedefine/>
    <w:qFormat/>
    <w:uiPriority w:val="0"/>
    <w:pPr>
      <w:shd w:val="clear" w:color="auto" w:fill="FFFF00"/>
    </w:pPr>
  </w:style>
  <w:style w:type="paragraph" w:customStyle="1" w:styleId="621">
    <w:name w:val="Normal (Web)_file_611"/>
    <w:basedOn w:val="602"/>
    <w:autoRedefine/>
    <w:semiHidden/>
    <w:unhideWhenUsed/>
    <w:qFormat/>
    <w:uiPriority w:val="99"/>
  </w:style>
  <w:style w:type="paragraph" w:customStyle="1" w:styleId="622">
    <w:name w:val="Normal_file_612"/>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23">
    <w:name w:val="heading 1_file_612"/>
    <w:basedOn w:val="622"/>
    <w:autoRedefine/>
    <w:qFormat/>
    <w:uiPriority w:val="9"/>
    <w:pPr>
      <w:outlineLvl w:val="0"/>
    </w:pPr>
    <w:rPr>
      <w:kern w:val="36"/>
      <w:sz w:val="48"/>
      <w:szCs w:val="48"/>
    </w:rPr>
  </w:style>
  <w:style w:type="paragraph" w:customStyle="1" w:styleId="624">
    <w:name w:val="heading 2_file_612"/>
    <w:basedOn w:val="622"/>
    <w:autoRedefine/>
    <w:qFormat/>
    <w:uiPriority w:val="9"/>
    <w:pPr>
      <w:outlineLvl w:val="1"/>
    </w:pPr>
    <w:rPr>
      <w:sz w:val="36"/>
      <w:szCs w:val="36"/>
    </w:rPr>
  </w:style>
  <w:style w:type="paragraph" w:customStyle="1" w:styleId="625">
    <w:name w:val="heading 3_file_612"/>
    <w:basedOn w:val="622"/>
    <w:autoRedefine/>
    <w:qFormat/>
    <w:uiPriority w:val="9"/>
    <w:pPr>
      <w:outlineLvl w:val="2"/>
    </w:pPr>
    <w:rPr>
      <w:sz w:val="27"/>
      <w:szCs w:val="27"/>
    </w:rPr>
  </w:style>
  <w:style w:type="paragraph" w:customStyle="1" w:styleId="626">
    <w:name w:val="heading 4_file_612"/>
    <w:basedOn w:val="622"/>
    <w:autoRedefine/>
    <w:qFormat/>
    <w:uiPriority w:val="9"/>
    <w:pPr>
      <w:outlineLvl w:val="3"/>
    </w:pPr>
  </w:style>
  <w:style w:type="paragraph" w:customStyle="1" w:styleId="627">
    <w:name w:val="heading 5_file_612"/>
    <w:basedOn w:val="622"/>
    <w:autoRedefine/>
    <w:qFormat/>
    <w:uiPriority w:val="9"/>
    <w:pPr>
      <w:outlineLvl w:val="4"/>
    </w:pPr>
    <w:rPr>
      <w:sz w:val="20"/>
      <w:szCs w:val="20"/>
    </w:rPr>
  </w:style>
  <w:style w:type="paragraph" w:customStyle="1" w:styleId="628">
    <w:name w:val="heading 6_file_612"/>
    <w:basedOn w:val="622"/>
    <w:autoRedefine/>
    <w:qFormat/>
    <w:uiPriority w:val="9"/>
    <w:pPr>
      <w:outlineLvl w:val="5"/>
    </w:pPr>
    <w:rPr>
      <w:sz w:val="15"/>
      <w:szCs w:val="15"/>
    </w:rPr>
  </w:style>
  <w:style w:type="character" w:customStyle="1" w:styleId="629">
    <w:name w:val="Default Paragraph Font_file_612"/>
    <w:autoRedefine/>
    <w:semiHidden/>
    <w:unhideWhenUsed/>
    <w:qFormat/>
    <w:uiPriority w:val="1"/>
  </w:style>
  <w:style w:type="table" w:customStyle="1" w:styleId="630">
    <w:name w:val="Normal Table_file_612"/>
    <w:autoRedefine/>
    <w:semiHidden/>
    <w:unhideWhenUsed/>
    <w:qFormat/>
    <w:uiPriority w:val="99"/>
    <w:tblPr>
      <w:tblCellMar>
        <w:top w:w="0" w:type="dxa"/>
        <w:left w:w="108" w:type="dxa"/>
        <w:bottom w:w="0" w:type="dxa"/>
        <w:right w:w="108" w:type="dxa"/>
      </w:tblCellMar>
    </w:tblPr>
  </w:style>
  <w:style w:type="character" w:customStyle="1" w:styleId="631">
    <w:name w:val="Hyperlink_file_612"/>
    <w:basedOn w:val="629"/>
    <w:autoRedefine/>
    <w:semiHidden/>
    <w:unhideWhenUsed/>
    <w:qFormat/>
    <w:uiPriority w:val="99"/>
    <w:rPr>
      <w:color w:val="0782C1"/>
      <w:u w:val="single"/>
    </w:rPr>
  </w:style>
  <w:style w:type="character" w:customStyle="1" w:styleId="632">
    <w:name w:val="FollowedHyperlink_file_612"/>
    <w:basedOn w:val="629"/>
    <w:autoRedefine/>
    <w:semiHidden/>
    <w:unhideWhenUsed/>
    <w:qFormat/>
    <w:uiPriority w:val="99"/>
    <w:rPr>
      <w:color w:val="0782C1"/>
      <w:u w:val="single"/>
    </w:rPr>
  </w:style>
  <w:style w:type="character" w:customStyle="1" w:styleId="633">
    <w:name w:val="标题 1 Char_file_612"/>
    <w:basedOn w:val="629"/>
    <w:link w:val="4"/>
    <w:autoRedefine/>
    <w:qFormat/>
    <w:uiPriority w:val="9"/>
    <w:rPr>
      <w:rFonts w:ascii="宋体" w:hAnsi="宋体" w:eastAsia="宋体" w:cs="宋体"/>
      <w:b/>
      <w:bCs/>
      <w:kern w:val="44"/>
      <w:sz w:val="44"/>
      <w:szCs w:val="44"/>
    </w:rPr>
  </w:style>
  <w:style w:type="character" w:customStyle="1" w:styleId="634">
    <w:name w:val="标题 2 Char_file_612"/>
    <w:basedOn w:val="629"/>
    <w:link w:val="5"/>
    <w:autoRedefine/>
    <w:semiHidden/>
    <w:qFormat/>
    <w:uiPriority w:val="9"/>
    <w:rPr>
      <w:rFonts w:asciiTheme="majorHAnsi" w:hAnsiTheme="majorHAnsi" w:eastAsiaTheme="majorEastAsia" w:cstheme="majorBidi"/>
      <w:b/>
      <w:bCs/>
      <w:sz w:val="32"/>
      <w:szCs w:val="32"/>
    </w:rPr>
  </w:style>
  <w:style w:type="character" w:customStyle="1" w:styleId="635">
    <w:name w:val="标题 3 Char_file_612"/>
    <w:basedOn w:val="629"/>
    <w:link w:val="6"/>
    <w:autoRedefine/>
    <w:semiHidden/>
    <w:qFormat/>
    <w:uiPriority w:val="9"/>
    <w:rPr>
      <w:rFonts w:ascii="宋体" w:hAnsi="宋体" w:eastAsia="宋体" w:cs="宋体"/>
      <w:b/>
      <w:bCs/>
      <w:sz w:val="32"/>
      <w:szCs w:val="32"/>
    </w:rPr>
  </w:style>
  <w:style w:type="character" w:customStyle="1" w:styleId="636">
    <w:name w:val="标题 4 Char_file_612"/>
    <w:basedOn w:val="629"/>
    <w:link w:val="7"/>
    <w:autoRedefine/>
    <w:semiHidden/>
    <w:qFormat/>
    <w:uiPriority w:val="9"/>
    <w:rPr>
      <w:rFonts w:asciiTheme="majorHAnsi" w:hAnsiTheme="majorHAnsi" w:eastAsiaTheme="majorEastAsia" w:cstheme="majorBidi"/>
      <w:b/>
      <w:bCs/>
      <w:sz w:val="28"/>
      <w:szCs w:val="28"/>
    </w:rPr>
  </w:style>
  <w:style w:type="character" w:customStyle="1" w:styleId="637">
    <w:name w:val="标题 5 Char_file_612"/>
    <w:basedOn w:val="629"/>
    <w:link w:val="8"/>
    <w:autoRedefine/>
    <w:semiHidden/>
    <w:qFormat/>
    <w:uiPriority w:val="9"/>
    <w:rPr>
      <w:rFonts w:ascii="宋体" w:hAnsi="宋体" w:eastAsia="宋体" w:cs="宋体"/>
      <w:b/>
      <w:bCs/>
      <w:sz w:val="28"/>
      <w:szCs w:val="28"/>
    </w:rPr>
  </w:style>
  <w:style w:type="character" w:customStyle="1" w:styleId="638">
    <w:name w:val="标题 6 Char_file_612"/>
    <w:basedOn w:val="629"/>
    <w:link w:val="10"/>
    <w:autoRedefine/>
    <w:semiHidden/>
    <w:qFormat/>
    <w:uiPriority w:val="9"/>
    <w:rPr>
      <w:rFonts w:asciiTheme="majorHAnsi" w:hAnsiTheme="majorHAnsi" w:eastAsiaTheme="majorEastAsia" w:cstheme="majorBidi"/>
      <w:b/>
      <w:bCs/>
      <w:sz w:val="24"/>
      <w:szCs w:val="24"/>
    </w:rPr>
  </w:style>
  <w:style w:type="paragraph" w:customStyle="1" w:styleId="639">
    <w:name w:val="cke_editable_file_612"/>
    <w:basedOn w:val="622"/>
    <w:autoRedefine/>
    <w:qFormat/>
    <w:uiPriority w:val="0"/>
    <w:rPr>
      <w:rFonts w:ascii="仿宋_GB2312" w:eastAsia="仿宋_GB2312"/>
    </w:rPr>
  </w:style>
  <w:style w:type="paragraph" w:customStyle="1" w:styleId="640">
    <w:name w:val="marker_file_612"/>
    <w:basedOn w:val="622"/>
    <w:autoRedefine/>
    <w:qFormat/>
    <w:uiPriority w:val="0"/>
    <w:pPr>
      <w:shd w:val="clear" w:color="auto" w:fill="FFFF00"/>
    </w:pPr>
  </w:style>
  <w:style w:type="paragraph" w:customStyle="1" w:styleId="641">
    <w:name w:val="Normal (Web)_file_612"/>
    <w:basedOn w:val="622"/>
    <w:autoRedefine/>
    <w:semiHidden/>
    <w:unhideWhenUsed/>
    <w:qFormat/>
    <w:uiPriority w:val="99"/>
  </w:style>
  <w:style w:type="paragraph" w:customStyle="1" w:styleId="642">
    <w:name w:val="Normal_file_613"/>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43">
    <w:name w:val="heading 1_file_613"/>
    <w:basedOn w:val="642"/>
    <w:autoRedefine/>
    <w:qFormat/>
    <w:uiPriority w:val="9"/>
    <w:pPr>
      <w:outlineLvl w:val="0"/>
    </w:pPr>
    <w:rPr>
      <w:kern w:val="36"/>
      <w:sz w:val="48"/>
      <w:szCs w:val="48"/>
    </w:rPr>
  </w:style>
  <w:style w:type="paragraph" w:customStyle="1" w:styleId="644">
    <w:name w:val="heading 2_file_613"/>
    <w:basedOn w:val="642"/>
    <w:autoRedefine/>
    <w:qFormat/>
    <w:uiPriority w:val="9"/>
    <w:pPr>
      <w:outlineLvl w:val="1"/>
    </w:pPr>
    <w:rPr>
      <w:sz w:val="36"/>
      <w:szCs w:val="36"/>
    </w:rPr>
  </w:style>
  <w:style w:type="paragraph" w:customStyle="1" w:styleId="645">
    <w:name w:val="heading 3_file_613"/>
    <w:basedOn w:val="642"/>
    <w:autoRedefine/>
    <w:qFormat/>
    <w:uiPriority w:val="9"/>
    <w:pPr>
      <w:outlineLvl w:val="2"/>
    </w:pPr>
    <w:rPr>
      <w:sz w:val="27"/>
      <w:szCs w:val="27"/>
    </w:rPr>
  </w:style>
  <w:style w:type="paragraph" w:customStyle="1" w:styleId="646">
    <w:name w:val="heading 4_file_613"/>
    <w:basedOn w:val="642"/>
    <w:autoRedefine/>
    <w:qFormat/>
    <w:uiPriority w:val="9"/>
    <w:pPr>
      <w:outlineLvl w:val="3"/>
    </w:pPr>
  </w:style>
  <w:style w:type="paragraph" w:customStyle="1" w:styleId="647">
    <w:name w:val="heading 5_file_613"/>
    <w:basedOn w:val="642"/>
    <w:autoRedefine/>
    <w:qFormat/>
    <w:uiPriority w:val="9"/>
    <w:pPr>
      <w:outlineLvl w:val="4"/>
    </w:pPr>
    <w:rPr>
      <w:sz w:val="20"/>
      <w:szCs w:val="20"/>
    </w:rPr>
  </w:style>
  <w:style w:type="paragraph" w:customStyle="1" w:styleId="648">
    <w:name w:val="heading 6_file_613"/>
    <w:basedOn w:val="642"/>
    <w:autoRedefine/>
    <w:qFormat/>
    <w:uiPriority w:val="9"/>
    <w:pPr>
      <w:outlineLvl w:val="5"/>
    </w:pPr>
    <w:rPr>
      <w:sz w:val="15"/>
      <w:szCs w:val="15"/>
    </w:rPr>
  </w:style>
  <w:style w:type="character" w:customStyle="1" w:styleId="649">
    <w:name w:val="Default Paragraph Font_file_613"/>
    <w:autoRedefine/>
    <w:semiHidden/>
    <w:unhideWhenUsed/>
    <w:qFormat/>
    <w:uiPriority w:val="1"/>
  </w:style>
  <w:style w:type="table" w:customStyle="1" w:styleId="650">
    <w:name w:val="Normal Table_file_613"/>
    <w:autoRedefine/>
    <w:semiHidden/>
    <w:unhideWhenUsed/>
    <w:qFormat/>
    <w:uiPriority w:val="99"/>
    <w:tblPr>
      <w:tblCellMar>
        <w:top w:w="0" w:type="dxa"/>
        <w:left w:w="108" w:type="dxa"/>
        <w:bottom w:w="0" w:type="dxa"/>
        <w:right w:w="108" w:type="dxa"/>
      </w:tblCellMar>
    </w:tblPr>
  </w:style>
  <w:style w:type="character" w:customStyle="1" w:styleId="651">
    <w:name w:val="Hyperlink_file_613"/>
    <w:basedOn w:val="649"/>
    <w:autoRedefine/>
    <w:semiHidden/>
    <w:unhideWhenUsed/>
    <w:qFormat/>
    <w:uiPriority w:val="99"/>
    <w:rPr>
      <w:color w:val="0782C1"/>
      <w:u w:val="single"/>
    </w:rPr>
  </w:style>
  <w:style w:type="character" w:customStyle="1" w:styleId="652">
    <w:name w:val="FollowedHyperlink_file_613"/>
    <w:basedOn w:val="649"/>
    <w:autoRedefine/>
    <w:semiHidden/>
    <w:unhideWhenUsed/>
    <w:qFormat/>
    <w:uiPriority w:val="99"/>
    <w:rPr>
      <w:color w:val="0782C1"/>
      <w:u w:val="single"/>
    </w:rPr>
  </w:style>
  <w:style w:type="character" w:customStyle="1" w:styleId="653">
    <w:name w:val="标题 1 Char_file_613"/>
    <w:basedOn w:val="649"/>
    <w:link w:val="4"/>
    <w:autoRedefine/>
    <w:qFormat/>
    <w:uiPriority w:val="9"/>
    <w:rPr>
      <w:rFonts w:ascii="宋体" w:hAnsi="宋体" w:eastAsia="宋体" w:cs="宋体"/>
      <w:b/>
      <w:bCs/>
      <w:kern w:val="44"/>
      <w:sz w:val="44"/>
      <w:szCs w:val="44"/>
    </w:rPr>
  </w:style>
  <w:style w:type="character" w:customStyle="1" w:styleId="654">
    <w:name w:val="标题 2 Char_file_613"/>
    <w:basedOn w:val="649"/>
    <w:link w:val="5"/>
    <w:autoRedefine/>
    <w:semiHidden/>
    <w:qFormat/>
    <w:uiPriority w:val="9"/>
    <w:rPr>
      <w:rFonts w:asciiTheme="majorHAnsi" w:hAnsiTheme="majorHAnsi" w:eastAsiaTheme="majorEastAsia" w:cstheme="majorBidi"/>
      <w:b/>
      <w:bCs/>
      <w:sz w:val="32"/>
      <w:szCs w:val="32"/>
    </w:rPr>
  </w:style>
  <w:style w:type="character" w:customStyle="1" w:styleId="655">
    <w:name w:val="标题 3 Char_file_613"/>
    <w:basedOn w:val="649"/>
    <w:link w:val="6"/>
    <w:autoRedefine/>
    <w:semiHidden/>
    <w:qFormat/>
    <w:uiPriority w:val="9"/>
    <w:rPr>
      <w:rFonts w:ascii="宋体" w:hAnsi="宋体" w:eastAsia="宋体" w:cs="宋体"/>
      <w:b/>
      <w:bCs/>
      <w:sz w:val="32"/>
      <w:szCs w:val="32"/>
    </w:rPr>
  </w:style>
  <w:style w:type="character" w:customStyle="1" w:styleId="656">
    <w:name w:val="标题 4 Char_file_613"/>
    <w:basedOn w:val="649"/>
    <w:link w:val="7"/>
    <w:autoRedefine/>
    <w:semiHidden/>
    <w:qFormat/>
    <w:uiPriority w:val="9"/>
    <w:rPr>
      <w:rFonts w:asciiTheme="majorHAnsi" w:hAnsiTheme="majorHAnsi" w:eastAsiaTheme="majorEastAsia" w:cstheme="majorBidi"/>
      <w:b/>
      <w:bCs/>
      <w:sz w:val="28"/>
      <w:szCs w:val="28"/>
    </w:rPr>
  </w:style>
  <w:style w:type="character" w:customStyle="1" w:styleId="657">
    <w:name w:val="标题 5 Char_file_613"/>
    <w:basedOn w:val="649"/>
    <w:link w:val="8"/>
    <w:autoRedefine/>
    <w:semiHidden/>
    <w:qFormat/>
    <w:uiPriority w:val="9"/>
    <w:rPr>
      <w:rFonts w:ascii="宋体" w:hAnsi="宋体" w:eastAsia="宋体" w:cs="宋体"/>
      <w:b/>
      <w:bCs/>
      <w:sz w:val="28"/>
      <w:szCs w:val="28"/>
    </w:rPr>
  </w:style>
  <w:style w:type="character" w:customStyle="1" w:styleId="658">
    <w:name w:val="标题 6 Char_file_613"/>
    <w:basedOn w:val="649"/>
    <w:link w:val="10"/>
    <w:autoRedefine/>
    <w:semiHidden/>
    <w:qFormat/>
    <w:uiPriority w:val="9"/>
    <w:rPr>
      <w:rFonts w:asciiTheme="majorHAnsi" w:hAnsiTheme="majorHAnsi" w:eastAsiaTheme="majorEastAsia" w:cstheme="majorBidi"/>
      <w:b/>
      <w:bCs/>
      <w:sz w:val="24"/>
      <w:szCs w:val="24"/>
    </w:rPr>
  </w:style>
  <w:style w:type="paragraph" w:customStyle="1" w:styleId="659">
    <w:name w:val="cke_editable_file_613"/>
    <w:basedOn w:val="642"/>
    <w:autoRedefine/>
    <w:qFormat/>
    <w:uiPriority w:val="0"/>
    <w:rPr>
      <w:rFonts w:ascii="仿宋_GB2312" w:eastAsia="仿宋_GB2312"/>
    </w:rPr>
  </w:style>
  <w:style w:type="paragraph" w:customStyle="1" w:styleId="660">
    <w:name w:val="marker_file_613"/>
    <w:basedOn w:val="642"/>
    <w:autoRedefine/>
    <w:qFormat/>
    <w:uiPriority w:val="0"/>
    <w:pPr>
      <w:shd w:val="clear" w:color="auto" w:fill="FFFF00"/>
    </w:pPr>
  </w:style>
  <w:style w:type="paragraph" w:customStyle="1" w:styleId="661">
    <w:name w:val="Normal (Web)_file_613"/>
    <w:basedOn w:val="642"/>
    <w:autoRedefine/>
    <w:semiHidden/>
    <w:unhideWhenUsed/>
    <w:qFormat/>
    <w:uiPriority w:val="99"/>
  </w:style>
  <w:style w:type="character" w:customStyle="1" w:styleId="662">
    <w:name w:val="Strong_file_613"/>
    <w:basedOn w:val="649"/>
    <w:autoRedefine/>
    <w:qFormat/>
    <w:uiPriority w:val="22"/>
    <w:rPr>
      <w:b/>
      <w:bCs/>
    </w:rPr>
  </w:style>
  <w:style w:type="paragraph" w:customStyle="1" w:styleId="663">
    <w:name w:val="Normal_file_614"/>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64">
    <w:name w:val="heading 1_file_614"/>
    <w:basedOn w:val="663"/>
    <w:autoRedefine/>
    <w:qFormat/>
    <w:uiPriority w:val="9"/>
    <w:pPr>
      <w:outlineLvl w:val="0"/>
    </w:pPr>
    <w:rPr>
      <w:kern w:val="36"/>
      <w:sz w:val="48"/>
      <w:szCs w:val="48"/>
    </w:rPr>
  </w:style>
  <w:style w:type="paragraph" w:customStyle="1" w:styleId="665">
    <w:name w:val="heading 2_file_614"/>
    <w:basedOn w:val="663"/>
    <w:autoRedefine/>
    <w:qFormat/>
    <w:uiPriority w:val="9"/>
    <w:pPr>
      <w:outlineLvl w:val="1"/>
    </w:pPr>
    <w:rPr>
      <w:sz w:val="36"/>
      <w:szCs w:val="36"/>
    </w:rPr>
  </w:style>
  <w:style w:type="paragraph" w:customStyle="1" w:styleId="666">
    <w:name w:val="heading 3_file_614"/>
    <w:basedOn w:val="663"/>
    <w:autoRedefine/>
    <w:qFormat/>
    <w:uiPriority w:val="9"/>
    <w:pPr>
      <w:outlineLvl w:val="2"/>
    </w:pPr>
    <w:rPr>
      <w:sz w:val="27"/>
      <w:szCs w:val="27"/>
    </w:rPr>
  </w:style>
  <w:style w:type="paragraph" w:customStyle="1" w:styleId="667">
    <w:name w:val="heading 4_file_614"/>
    <w:basedOn w:val="663"/>
    <w:autoRedefine/>
    <w:qFormat/>
    <w:uiPriority w:val="9"/>
    <w:pPr>
      <w:outlineLvl w:val="3"/>
    </w:pPr>
  </w:style>
  <w:style w:type="paragraph" w:customStyle="1" w:styleId="668">
    <w:name w:val="heading 5_file_614"/>
    <w:basedOn w:val="663"/>
    <w:autoRedefine/>
    <w:qFormat/>
    <w:uiPriority w:val="9"/>
    <w:pPr>
      <w:outlineLvl w:val="4"/>
    </w:pPr>
    <w:rPr>
      <w:sz w:val="20"/>
      <w:szCs w:val="20"/>
    </w:rPr>
  </w:style>
  <w:style w:type="paragraph" w:customStyle="1" w:styleId="669">
    <w:name w:val="heading 6_file_614"/>
    <w:basedOn w:val="663"/>
    <w:autoRedefine/>
    <w:qFormat/>
    <w:uiPriority w:val="9"/>
    <w:pPr>
      <w:outlineLvl w:val="5"/>
    </w:pPr>
    <w:rPr>
      <w:sz w:val="15"/>
      <w:szCs w:val="15"/>
    </w:rPr>
  </w:style>
  <w:style w:type="character" w:customStyle="1" w:styleId="670">
    <w:name w:val="Default Paragraph Font_file_614"/>
    <w:autoRedefine/>
    <w:semiHidden/>
    <w:unhideWhenUsed/>
    <w:qFormat/>
    <w:uiPriority w:val="1"/>
  </w:style>
  <w:style w:type="table" w:customStyle="1" w:styleId="671">
    <w:name w:val="Normal Table_file_614"/>
    <w:autoRedefine/>
    <w:semiHidden/>
    <w:unhideWhenUsed/>
    <w:qFormat/>
    <w:uiPriority w:val="99"/>
    <w:tblPr>
      <w:tblCellMar>
        <w:top w:w="0" w:type="dxa"/>
        <w:left w:w="108" w:type="dxa"/>
        <w:bottom w:w="0" w:type="dxa"/>
        <w:right w:w="108" w:type="dxa"/>
      </w:tblCellMar>
    </w:tblPr>
  </w:style>
  <w:style w:type="character" w:customStyle="1" w:styleId="672">
    <w:name w:val="Hyperlink_file_614"/>
    <w:basedOn w:val="670"/>
    <w:autoRedefine/>
    <w:semiHidden/>
    <w:unhideWhenUsed/>
    <w:qFormat/>
    <w:uiPriority w:val="99"/>
    <w:rPr>
      <w:color w:val="0782C1"/>
      <w:u w:val="single"/>
    </w:rPr>
  </w:style>
  <w:style w:type="character" w:customStyle="1" w:styleId="673">
    <w:name w:val="FollowedHyperlink_file_614"/>
    <w:basedOn w:val="670"/>
    <w:autoRedefine/>
    <w:semiHidden/>
    <w:unhideWhenUsed/>
    <w:qFormat/>
    <w:uiPriority w:val="99"/>
    <w:rPr>
      <w:color w:val="0782C1"/>
      <w:u w:val="single"/>
    </w:rPr>
  </w:style>
  <w:style w:type="character" w:customStyle="1" w:styleId="674">
    <w:name w:val="标题 1 Char_file_614"/>
    <w:basedOn w:val="670"/>
    <w:link w:val="4"/>
    <w:autoRedefine/>
    <w:qFormat/>
    <w:uiPriority w:val="9"/>
    <w:rPr>
      <w:rFonts w:ascii="宋体" w:hAnsi="宋体" w:eastAsia="宋体" w:cs="宋体"/>
      <w:b/>
      <w:bCs/>
      <w:kern w:val="44"/>
      <w:sz w:val="44"/>
      <w:szCs w:val="44"/>
    </w:rPr>
  </w:style>
  <w:style w:type="character" w:customStyle="1" w:styleId="675">
    <w:name w:val="标题 2 Char_file_614"/>
    <w:basedOn w:val="670"/>
    <w:link w:val="5"/>
    <w:autoRedefine/>
    <w:semiHidden/>
    <w:qFormat/>
    <w:uiPriority w:val="9"/>
    <w:rPr>
      <w:rFonts w:asciiTheme="majorHAnsi" w:hAnsiTheme="majorHAnsi" w:eastAsiaTheme="majorEastAsia" w:cstheme="majorBidi"/>
      <w:b/>
      <w:bCs/>
      <w:sz w:val="32"/>
      <w:szCs w:val="32"/>
    </w:rPr>
  </w:style>
  <w:style w:type="character" w:customStyle="1" w:styleId="676">
    <w:name w:val="标题 3 Char_file_614"/>
    <w:basedOn w:val="670"/>
    <w:link w:val="6"/>
    <w:autoRedefine/>
    <w:semiHidden/>
    <w:qFormat/>
    <w:uiPriority w:val="9"/>
    <w:rPr>
      <w:rFonts w:ascii="宋体" w:hAnsi="宋体" w:eastAsia="宋体" w:cs="宋体"/>
      <w:b/>
      <w:bCs/>
      <w:sz w:val="32"/>
      <w:szCs w:val="32"/>
    </w:rPr>
  </w:style>
  <w:style w:type="character" w:customStyle="1" w:styleId="677">
    <w:name w:val="标题 4 Char_file_614"/>
    <w:basedOn w:val="670"/>
    <w:link w:val="7"/>
    <w:autoRedefine/>
    <w:semiHidden/>
    <w:qFormat/>
    <w:uiPriority w:val="9"/>
    <w:rPr>
      <w:rFonts w:asciiTheme="majorHAnsi" w:hAnsiTheme="majorHAnsi" w:eastAsiaTheme="majorEastAsia" w:cstheme="majorBidi"/>
      <w:b/>
      <w:bCs/>
      <w:sz w:val="28"/>
      <w:szCs w:val="28"/>
    </w:rPr>
  </w:style>
  <w:style w:type="character" w:customStyle="1" w:styleId="678">
    <w:name w:val="标题 5 Char_file_614"/>
    <w:basedOn w:val="670"/>
    <w:link w:val="8"/>
    <w:autoRedefine/>
    <w:semiHidden/>
    <w:qFormat/>
    <w:uiPriority w:val="9"/>
    <w:rPr>
      <w:rFonts w:ascii="宋体" w:hAnsi="宋体" w:eastAsia="宋体" w:cs="宋体"/>
      <w:b/>
      <w:bCs/>
      <w:sz w:val="28"/>
      <w:szCs w:val="28"/>
    </w:rPr>
  </w:style>
  <w:style w:type="character" w:customStyle="1" w:styleId="679">
    <w:name w:val="标题 6 Char_file_614"/>
    <w:basedOn w:val="670"/>
    <w:link w:val="10"/>
    <w:autoRedefine/>
    <w:semiHidden/>
    <w:qFormat/>
    <w:uiPriority w:val="9"/>
    <w:rPr>
      <w:rFonts w:asciiTheme="majorHAnsi" w:hAnsiTheme="majorHAnsi" w:eastAsiaTheme="majorEastAsia" w:cstheme="majorBidi"/>
      <w:b/>
      <w:bCs/>
      <w:sz w:val="24"/>
      <w:szCs w:val="24"/>
    </w:rPr>
  </w:style>
  <w:style w:type="paragraph" w:customStyle="1" w:styleId="680">
    <w:name w:val="cke_editable_file_614"/>
    <w:basedOn w:val="663"/>
    <w:autoRedefine/>
    <w:qFormat/>
    <w:uiPriority w:val="0"/>
    <w:rPr>
      <w:rFonts w:ascii="仿宋_GB2312" w:eastAsia="仿宋_GB2312"/>
    </w:rPr>
  </w:style>
  <w:style w:type="paragraph" w:customStyle="1" w:styleId="681">
    <w:name w:val="marker_file_614"/>
    <w:basedOn w:val="663"/>
    <w:autoRedefine/>
    <w:qFormat/>
    <w:uiPriority w:val="0"/>
    <w:pPr>
      <w:shd w:val="clear" w:color="auto" w:fill="FFFF00"/>
    </w:pPr>
  </w:style>
  <w:style w:type="paragraph" w:customStyle="1" w:styleId="682">
    <w:name w:val="Normal (Web)_file_614"/>
    <w:basedOn w:val="663"/>
    <w:autoRedefine/>
    <w:semiHidden/>
    <w:unhideWhenUsed/>
    <w:qFormat/>
    <w:uiPriority w:val="99"/>
  </w:style>
  <w:style w:type="character" w:customStyle="1" w:styleId="683">
    <w:name w:val="Strong_file_614"/>
    <w:basedOn w:val="670"/>
    <w:autoRedefine/>
    <w:qFormat/>
    <w:uiPriority w:val="22"/>
    <w:rPr>
      <w:b/>
      <w:bCs/>
    </w:rPr>
  </w:style>
  <w:style w:type="paragraph" w:customStyle="1" w:styleId="684">
    <w:name w:val="Normal_file_615"/>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685">
    <w:name w:val="heading 1_file_615"/>
    <w:basedOn w:val="684"/>
    <w:autoRedefine/>
    <w:qFormat/>
    <w:uiPriority w:val="9"/>
    <w:pPr>
      <w:outlineLvl w:val="0"/>
    </w:pPr>
    <w:rPr>
      <w:kern w:val="36"/>
      <w:sz w:val="48"/>
      <w:szCs w:val="48"/>
    </w:rPr>
  </w:style>
  <w:style w:type="paragraph" w:customStyle="1" w:styleId="686">
    <w:name w:val="heading 2_file_615"/>
    <w:basedOn w:val="684"/>
    <w:autoRedefine/>
    <w:qFormat/>
    <w:uiPriority w:val="9"/>
    <w:pPr>
      <w:outlineLvl w:val="1"/>
    </w:pPr>
    <w:rPr>
      <w:sz w:val="36"/>
      <w:szCs w:val="36"/>
    </w:rPr>
  </w:style>
  <w:style w:type="paragraph" w:customStyle="1" w:styleId="687">
    <w:name w:val="heading 3_file_615"/>
    <w:basedOn w:val="684"/>
    <w:autoRedefine/>
    <w:qFormat/>
    <w:uiPriority w:val="9"/>
    <w:pPr>
      <w:outlineLvl w:val="2"/>
    </w:pPr>
    <w:rPr>
      <w:sz w:val="27"/>
      <w:szCs w:val="27"/>
    </w:rPr>
  </w:style>
  <w:style w:type="paragraph" w:customStyle="1" w:styleId="688">
    <w:name w:val="heading 4_file_615"/>
    <w:basedOn w:val="684"/>
    <w:autoRedefine/>
    <w:qFormat/>
    <w:uiPriority w:val="9"/>
    <w:pPr>
      <w:outlineLvl w:val="3"/>
    </w:pPr>
  </w:style>
  <w:style w:type="paragraph" w:customStyle="1" w:styleId="689">
    <w:name w:val="heading 5_file_615"/>
    <w:basedOn w:val="684"/>
    <w:autoRedefine/>
    <w:qFormat/>
    <w:uiPriority w:val="9"/>
    <w:pPr>
      <w:outlineLvl w:val="4"/>
    </w:pPr>
    <w:rPr>
      <w:sz w:val="20"/>
      <w:szCs w:val="20"/>
    </w:rPr>
  </w:style>
  <w:style w:type="paragraph" w:customStyle="1" w:styleId="690">
    <w:name w:val="heading 6_file_615"/>
    <w:basedOn w:val="684"/>
    <w:autoRedefine/>
    <w:qFormat/>
    <w:uiPriority w:val="9"/>
    <w:pPr>
      <w:outlineLvl w:val="5"/>
    </w:pPr>
    <w:rPr>
      <w:sz w:val="15"/>
      <w:szCs w:val="15"/>
    </w:rPr>
  </w:style>
  <w:style w:type="character" w:customStyle="1" w:styleId="691">
    <w:name w:val="Default Paragraph Font_file_615"/>
    <w:autoRedefine/>
    <w:semiHidden/>
    <w:unhideWhenUsed/>
    <w:qFormat/>
    <w:uiPriority w:val="1"/>
  </w:style>
  <w:style w:type="table" w:customStyle="1" w:styleId="692">
    <w:name w:val="Normal Table_file_615"/>
    <w:autoRedefine/>
    <w:semiHidden/>
    <w:unhideWhenUsed/>
    <w:qFormat/>
    <w:uiPriority w:val="99"/>
    <w:tblPr>
      <w:tblCellMar>
        <w:top w:w="0" w:type="dxa"/>
        <w:left w:w="108" w:type="dxa"/>
        <w:bottom w:w="0" w:type="dxa"/>
        <w:right w:w="108" w:type="dxa"/>
      </w:tblCellMar>
    </w:tblPr>
  </w:style>
  <w:style w:type="character" w:customStyle="1" w:styleId="693">
    <w:name w:val="Hyperlink_file_615"/>
    <w:basedOn w:val="691"/>
    <w:autoRedefine/>
    <w:semiHidden/>
    <w:unhideWhenUsed/>
    <w:qFormat/>
    <w:uiPriority w:val="99"/>
    <w:rPr>
      <w:color w:val="0782C1"/>
      <w:u w:val="single"/>
    </w:rPr>
  </w:style>
  <w:style w:type="character" w:customStyle="1" w:styleId="694">
    <w:name w:val="FollowedHyperlink_file_615"/>
    <w:basedOn w:val="691"/>
    <w:autoRedefine/>
    <w:semiHidden/>
    <w:unhideWhenUsed/>
    <w:qFormat/>
    <w:uiPriority w:val="99"/>
    <w:rPr>
      <w:color w:val="0782C1"/>
      <w:u w:val="single"/>
    </w:rPr>
  </w:style>
  <w:style w:type="character" w:customStyle="1" w:styleId="695">
    <w:name w:val="标题 1 Char_file_615"/>
    <w:basedOn w:val="691"/>
    <w:link w:val="4"/>
    <w:autoRedefine/>
    <w:qFormat/>
    <w:uiPriority w:val="9"/>
    <w:rPr>
      <w:rFonts w:ascii="宋体" w:hAnsi="宋体" w:eastAsia="宋体" w:cs="宋体"/>
      <w:b/>
      <w:bCs/>
      <w:kern w:val="44"/>
      <w:sz w:val="44"/>
      <w:szCs w:val="44"/>
    </w:rPr>
  </w:style>
  <w:style w:type="character" w:customStyle="1" w:styleId="696">
    <w:name w:val="标题 2 Char_file_615"/>
    <w:basedOn w:val="691"/>
    <w:link w:val="5"/>
    <w:autoRedefine/>
    <w:semiHidden/>
    <w:qFormat/>
    <w:uiPriority w:val="9"/>
    <w:rPr>
      <w:rFonts w:asciiTheme="majorHAnsi" w:hAnsiTheme="majorHAnsi" w:eastAsiaTheme="majorEastAsia" w:cstheme="majorBidi"/>
      <w:b/>
      <w:bCs/>
      <w:sz w:val="32"/>
      <w:szCs w:val="32"/>
    </w:rPr>
  </w:style>
  <w:style w:type="character" w:customStyle="1" w:styleId="697">
    <w:name w:val="标题 3 Char_file_615"/>
    <w:basedOn w:val="691"/>
    <w:link w:val="6"/>
    <w:autoRedefine/>
    <w:semiHidden/>
    <w:qFormat/>
    <w:uiPriority w:val="9"/>
    <w:rPr>
      <w:rFonts w:ascii="宋体" w:hAnsi="宋体" w:eastAsia="宋体" w:cs="宋体"/>
      <w:b/>
      <w:bCs/>
      <w:sz w:val="32"/>
      <w:szCs w:val="32"/>
    </w:rPr>
  </w:style>
  <w:style w:type="character" w:customStyle="1" w:styleId="698">
    <w:name w:val="标题 4 Char_file_615"/>
    <w:basedOn w:val="691"/>
    <w:link w:val="7"/>
    <w:autoRedefine/>
    <w:semiHidden/>
    <w:qFormat/>
    <w:uiPriority w:val="9"/>
    <w:rPr>
      <w:rFonts w:asciiTheme="majorHAnsi" w:hAnsiTheme="majorHAnsi" w:eastAsiaTheme="majorEastAsia" w:cstheme="majorBidi"/>
      <w:b/>
      <w:bCs/>
      <w:sz w:val="28"/>
      <w:szCs w:val="28"/>
    </w:rPr>
  </w:style>
  <w:style w:type="character" w:customStyle="1" w:styleId="699">
    <w:name w:val="标题 5 Char_file_615"/>
    <w:basedOn w:val="691"/>
    <w:link w:val="8"/>
    <w:autoRedefine/>
    <w:semiHidden/>
    <w:qFormat/>
    <w:uiPriority w:val="9"/>
    <w:rPr>
      <w:rFonts w:ascii="宋体" w:hAnsi="宋体" w:eastAsia="宋体" w:cs="宋体"/>
      <w:b/>
      <w:bCs/>
      <w:sz w:val="28"/>
      <w:szCs w:val="28"/>
    </w:rPr>
  </w:style>
  <w:style w:type="character" w:customStyle="1" w:styleId="700">
    <w:name w:val="标题 6 Char_file_615"/>
    <w:basedOn w:val="691"/>
    <w:link w:val="10"/>
    <w:autoRedefine/>
    <w:semiHidden/>
    <w:qFormat/>
    <w:uiPriority w:val="9"/>
    <w:rPr>
      <w:rFonts w:asciiTheme="majorHAnsi" w:hAnsiTheme="majorHAnsi" w:eastAsiaTheme="majorEastAsia" w:cstheme="majorBidi"/>
      <w:b/>
      <w:bCs/>
      <w:sz w:val="24"/>
      <w:szCs w:val="24"/>
    </w:rPr>
  </w:style>
  <w:style w:type="paragraph" w:customStyle="1" w:styleId="701">
    <w:name w:val="cke_editable_file_615"/>
    <w:basedOn w:val="684"/>
    <w:autoRedefine/>
    <w:qFormat/>
    <w:uiPriority w:val="0"/>
    <w:rPr>
      <w:rFonts w:ascii="仿宋_GB2312" w:eastAsia="仿宋_GB2312"/>
    </w:rPr>
  </w:style>
  <w:style w:type="paragraph" w:customStyle="1" w:styleId="702">
    <w:name w:val="marker_file_615"/>
    <w:basedOn w:val="684"/>
    <w:autoRedefine/>
    <w:qFormat/>
    <w:uiPriority w:val="0"/>
    <w:pPr>
      <w:shd w:val="clear" w:color="auto" w:fill="FFFF00"/>
    </w:pPr>
  </w:style>
  <w:style w:type="paragraph" w:customStyle="1" w:styleId="703">
    <w:name w:val="Normal (Web)_file_615"/>
    <w:basedOn w:val="684"/>
    <w:autoRedefine/>
    <w:semiHidden/>
    <w:unhideWhenUsed/>
    <w:qFormat/>
    <w:uiPriority w:val="99"/>
  </w:style>
  <w:style w:type="character" w:customStyle="1" w:styleId="704">
    <w:name w:val="Strong_file_615"/>
    <w:basedOn w:val="691"/>
    <w:autoRedefine/>
    <w:qFormat/>
    <w:uiPriority w:val="22"/>
    <w:rPr>
      <w:b/>
      <w:bCs/>
    </w:rPr>
  </w:style>
  <w:style w:type="paragraph" w:customStyle="1" w:styleId="705">
    <w:name w:val="Normal_file_616"/>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06">
    <w:name w:val="heading 1_file_616"/>
    <w:basedOn w:val="705"/>
    <w:autoRedefine/>
    <w:qFormat/>
    <w:uiPriority w:val="9"/>
    <w:pPr>
      <w:outlineLvl w:val="0"/>
    </w:pPr>
    <w:rPr>
      <w:kern w:val="36"/>
      <w:sz w:val="48"/>
      <w:szCs w:val="48"/>
    </w:rPr>
  </w:style>
  <w:style w:type="paragraph" w:customStyle="1" w:styleId="707">
    <w:name w:val="heading 2_file_616"/>
    <w:basedOn w:val="705"/>
    <w:autoRedefine/>
    <w:qFormat/>
    <w:uiPriority w:val="9"/>
    <w:pPr>
      <w:outlineLvl w:val="1"/>
    </w:pPr>
    <w:rPr>
      <w:sz w:val="36"/>
      <w:szCs w:val="36"/>
    </w:rPr>
  </w:style>
  <w:style w:type="paragraph" w:customStyle="1" w:styleId="708">
    <w:name w:val="heading 3_file_616"/>
    <w:basedOn w:val="705"/>
    <w:autoRedefine/>
    <w:qFormat/>
    <w:uiPriority w:val="9"/>
    <w:pPr>
      <w:outlineLvl w:val="2"/>
    </w:pPr>
    <w:rPr>
      <w:sz w:val="27"/>
      <w:szCs w:val="27"/>
    </w:rPr>
  </w:style>
  <w:style w:type="paragraph" w:customStyle="1" w:styleId="709">
    <w:name w:val="heading 4_file_616"/>
    <w:basedOn w:val="705"/>
    <w:autoRedefine/>
    <w:qFormat/>
    <w:uiPriority w:val="9"/>
    <w:pPr>
      <w:outlineLvl w:val="3"/>
    </w:pPr>
  </w:style>
  <w:style w:type="paragraph" w:customStyle="1" w:styleId="710">
    <w:name w:val="heading 5_file_616"/>
    <w:basedOn w:val="705"/>
    <w:autoRedefine/>
    <w:qFormat/>
    <w:uiPriority w:val="9"/>
    <w:pPr>
      <w:outlineLvl w:val="4"/>
    </w:pPr>
    <w:rPr>
      <w:sz w:val="20"/>
      <w:szCs w:val="20"/>
    </w:rPr>
  </w:style>
  <w:style w:type="paragraph" w:customStyle="1" w:styleId="711">
    <w:name w:val="heading 6_file_616"/>
    <w:basedOn w:val="705"/>
    <w:autoRedefine/>
    <w:qFormat/>
    <w:uiPriority w:val="9"/>
    <w:pPr>
      <w:outlineLvl w:val="5"/>
    </w:pPr>
    <w:rPr>
      <w:sz w:val="15"/>
      <w:szCs w:val="15"/>
    </w:rPr>
  </w:style>
  <w:style w:type="character" w:customStyle="1" w:styleId="712">
    <w:name w:val="Default Paragraph Font_file_616"/>
    <w:autoRedefine/>
    <w:semiHidden/>
    <w:unhideWhenUsed/>
    <w:qFormat/>
    <w:uiPriority w:val="1"/>
  </w:style>
  <w:style w:type="table" w:customStyle="1" w:styleId="713">
    <w:name w:val="Normal Table_file_616"/>
    <w:autoRedefine/>
    <w:semiHidden/>
    <w:unhideWhenUsed/>
    <w:qFormat/>
    <w:uiPriority w:val="99"/>
    <w:tblPr>
      <w:tblCellMar>
        <w:top w:w="0" w:type="dxa"/>
        <w:left w:w="108" w:type="dxa"/>
        <w:bottom w:w="0" w:type="dxa"/>
        <w:right w:w="108" w:type="dxa"/>
      </w:tblCellMar>
    </w:tblPr>
  </w:style>
  <w:style w:type="character" w:customStyle="1" w:styleId="714">
    <w:name w:val="Hyperlink_file_616"/>
    <w:basedOn w:val="712"/>
    <w:autoRedefine/>
    <w:semiHidden/>
    <w:unhideWhenUsed/>
    <w:qFormat/>
    <w:uiPriority w:val="99"/>
    <w:rPr>
      <w:color w:val="0782C1"/>
      <w:u w:val="single"/>
    </w:rPr>
  </w:style>
  <w:style w:type="character" w:customStyle="1" w:styleId="715">
    <w:name w:val="FollowedHyperlink_file_616"/>
    <w:basedOn w:val="712"/>
    <w:autoRedefine/>
    <w:semiHidden/>
    <w:unhideWhenUsed/>
    <w:qFormat/>
    <w:uiPriority w:val="99"/>
    <w:rPr>
      <w:color w:val="0782C1"/>
      <w:u w:val="single"/>
    </w:rPr>
  </w:style>
  <w:style w:type="character" w:customStyle="1" w:styleId="716">
    <w:name w:val="标题 1 Char_file_616"/>
    <w:basedOn w:val="712"/>
    <w:link w:val="4"/>
    <w:autoRedefine/>
    <w:qFormat/>
    <w:uiPriority w:val="9"/>
    <w:rPr>
      <w:rFonts w:ascii="宋体" w:hAnsi="宋体" w:eastAsia="宋体" w:cs="宋体"/>
      <w:b/>
      <w:bCs/>
      <w:kern w:val="44"/>
      <w:sz w:val="44"/>
      <w:szCs w:val="44"/>
    </w:rPr>
  </w:style>
  <w:style w:type="character" w:customStyle="1" w:styleId="717">
    <w:name w:val="标题 2 Char_file_616"/>
    <w:basedOn w:val="712"/>
    <w:link w:val="5"/>
    <w:autoRedefine/>
    <w:semiHidden/>
    <w:qFormat/>
    <w:uiPriority w:val="9"/>
    <w:rPr>
      <w:rFonts w:asciiTheme="majorHAnsi" w:hAnsiTheme="majorHAnsi" w:eastAsiaTheme="majorEastAsia" w:cstheme="majorBidi"/>
      <w:b/>
      <w:bCs/>
      <w:sz w:val="32"/>
      <w:szCs w:val="32"/>
    </w:rPr>
  </w:style>
  <w:style w:type="character" w:customStyle="1" w:styleId="718">
    <w:name w:val="标题 3 Char_file_616"/>
    <w:basedOn w:val="712"/>
    <w:link w:val="6"/>
    <w:autoRedefine/>
    <w:semiHidden/>
    <w:qFormat/>
    <w:uiPriority w:val="9"/>
    <w:rPr>
      <w:rFonts w:ascii="宋体" w:hAnsi="宋体" w:eastAsia="宋体" w:cs="宋体"/>
      <w:b/>
      <w:bCs/>
      <w:sz w:val="32"/>
      <w:szCs w:val="32"/>
    </w:rPr>
  </w:style>
  <w:style w:type="character" w:customStyle="1" w:styleId="719">
    <w:name w:val="标题 4 Char_file_616"/>
    <w:basedOn w:val="712"/>
    <w:link w:val="7"/>
    <w:autoRedefine/>
    <w:semiHidden/>
    <w:qFormat/>
    <w:uiPriority w:val="9"/>
    <w:rPr>
      <w:rFonts w:asciiTheme="majorHAnsi" w:hAnsiTheme="majorHAnsi" w:eastAsiaTheme="majorEastAsia" w:cstheme="majorBidi"/>
      <w:b/>
      <w:bCs/>
      <w:sz w:val="28"/>
      <w:szCs w:val="28"/>
    </w:rPr>
  </w:style>
  <w:style w:type="character" w:customStyle="1" w:styleId="720">
    <w:name w:val="标题 5 Char_file_616"/>
    <w:basedOn w:val="712"/>
    <w:link w:val="8"/>
    <w:autoRedefine/>
    <w:semiHidden/>
    <w:qFormat/>
    <w:uiPriority w:val="9"/>
    <w:rPr>
      <w:rFonts w:ascii="宋体" w:hAnsi="宋体" w:eastAsia="宋体" w:cs="宋体"/>
      <w:b/>
      <w:bCs/>
      <w:sz w:val="28"/>
      <w:szCs w:val="28"/>
    </w:rPr>
  </w:style>
  <w:style w:type="character" w:customStyle="1" w:styleId="721">
    <w:name w:val="标题 6 Char_file_616"/>
    <w:basedOn w:val="712"/>
    <w:link w:val="10"/>
    <w:autoRedefine/>
    <w:semiHidden/>
    <w:qFormat/>
    <w:uiPriority w:val="9"/>
    <w:rPr>
      <w:rFonts w:asciiTheme="majorHAnsi" w:hAnsiTheme="majorHAnsi" w:eastAsiaTheme="majorEastAsia" w:cstheme="majorBidi"/>
      <w:b/>
      <w:bCs/>
      <w:sz w:val="24"/>
      <w:szCs w:val="24"/>
    </w:rPr>
  </w:style>
  <w:style w:type="paragraph" w:customStyle="1" w:styleId="722">
    <w:name w:val="cke_editable_file_616"/>
    <w:basedOn w:val="705"/>
    <w:autoRedefine/>
    <w:qFormat/>
    <w:uiPriority w:val="0"/>
    <w:rPr>
      <w:rFonts w:ascii="仿宋_GB2312" w:eastAsia="仿宋_GB2312"/>
    </w:rPr>
  </w:style>
  <w:style w:type="paragraph" w:customStyle="1" w:styleId="723">
    <w:name w:val="marker_file_616"/>
    <w:basedOn w:val="705"/>
    <w:autoRedefine/>
    <w:qFormat/>
    <w:uiPriority w:val="0"/>
    <w:pPr>
      <w:shd w:val="clear" w:color="auto" w:fill="FFFF00"/>
    </w:pPr>
  </w:style>
  <w:style w:type="paragraph" w:customStyle="1" w:styleId="724">
    <w:name w:val="Normal (Web)_file_616"/>
    <w:basedOn w:val="705"/>
    <w:autoRedefine/>
    <w:semiHidden/>
    <w:unhideWhenUsed/>
    <w:qFormat/>
    <w:uiPriority w:val="99"/>
  </w:style>
  <w:style w:type="paragraph" w:customStyle="1" w:styleId="725">
    <w:name w:val="Normal_file_617"/>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26">
    <w:name w:val="heading 1_file_617"/>
    <w:basedOn w:val="725"/>
    <w:autoRedefine/>
    <w:qFormat/>
    <w:uiPriority w:val="9"/>
    <w:pPr>
      <w:outlineLvl w:val="0"/>
    </w:pPr>
    <w:rPr>
      <w:kern w:val="36"/>
      <w:sz w:val="48"/>
      <w:szCs w:val="48"/>
    </w:rPr>
  </w:style>
  <w:style w:type="paragraph" w:customStyle="1" w:styleId="727">
    <w:name w:val="heading 2_file_617"/>
    <w:basedOn w:val="725"/>
    <w:autoRedefine/>
    <w:qFormat/>
    <w:uiPriority w:val="9"/>
    <w:pPr>
      <w:outlineLvl w:val="1"/>
    </w:pPr>
    <w:rPr>
      <w:sz w:val="36"/>
      <w:szCs w:val="36"/>
    </w:rPr>
  </w:style>
  <w:style w:type="paragraph" w:customStyle="1" w:styleId="728">
    <w:name w:val="heading 3_file_617"/>
    <w:basedOn w:val="725"/>
    <w:autoRedefine/>
    <w:qFormat/>
    <w:uiPriority w:val="9"/>
    <w:pPr>
      <w:outlineLvl w:val="2"/>
    </w:pPr>
    <w:rPr>
      <w:sz w:val="27"/>
      <w:szCs w:val="27"/>
    </w:rPr>
  </w:style>
  <w:style w:type="paragraph" w:customStyle="1" w:styleId="729">
    <w:name w:val="heading 4_file_617"/>
    <w:basedOn w:val="725"/>
    <w:autoRedefine/>
    <w:qFormat/>
    <w:uiPriority w:val="9"/>
    <w:pPr>
      <w:outlineLvl w:val="3"/>
    </w:pPr>
  </w:style>
  <w:style w:type="paragraph" w:customStyle="1" w:styleId="730">
    <w:name w:val="heading 5_file_617"/>
    <w:basedOn w:val="725"/>
    <w:autoRedefine/>
    <w:qFormat/>
    <w:uiPriority w:val="9"/>
    <w:pPr>
      <w:outlineLvl w:val="4"/>
    </w:pPr>
    <w:rPr>
      <w:sz w:val="20"/>
      <w:szCs w:val="20"/>
    </w:rPr>
  </w:style>
  <w:style w:type="paragraph" w:customStyle="1" w:styleId="731">
    <w:name w:val="heading 6_file_617"/>
    <w:basedOn w:val="725"/>
    <w:autoRedefine/>
    <w:qFormat/>
    <w:uiPriority w:val="9"/>
    <w:pPr>
      <w:outlineLvl w:val="5"/>
    </w:pPr>
    <w:rPr>
      <w:sz w:val="15"/>
      <w:szCs w:val="15"/>
    </w:rPr>
  </w:style>
  <w:style w:type="character" w:customStyle="1" w:styleId="732">
    <w:name w:val="Default Paragraph Font_file_617"/>
    <w:autoRedefine/>
    <w:semiHidden/>
    <w:unhideWhenUsed/>
    <w:qFormat/>
    <w:uiPriority w:val="1"/>
  </w:style>
  <w:style w:type="table" w:customStyle="1" w:styleId="733">
    <w:name w:val="Normal Table_file_617"/>
    <w:autoRedefine/>
    <w:semiHidden/>
    <w:unhideWhenUsed/>
    <w:qFormat/>
    <w:uiPriority w:val="99"/>
    <w:tblPr>
      <w:tblCellMar>
        <w:top w:w="0" w:type="dxa"/>
        <w:left w:w="108" w:type="dxa"/>
        <w:bottom w:w="0" w:type="dxa"/>
        <w:right w:w="108" w:type="dxa"/>
      </w:tblCellMar>
    </w:tblPr>
  </w:style>
  <w:style w:type="character" w:customStyle="1" w:styleId="734">
    <w:name w:val="Hyperlink_file_617"/>
    <w:basedOn w:val="732"/>
    <w:autoRedefine/>
    <w:semiHidden/>
    <w:unhideWhenUsed/>
    <w:qFormat/>
    <w:uiPriority w:val="99"/>
    <w:rPr>
      <w:color w:val="0782C1"/>
      <w:u w:val="single"/>
    </w:rPr>
  </w:style>
  <w:style w:type="character" w:customStyle="1" w:styleId="735">
    <w:name w:val="FollowedHyperlink_file_617"/>
    <w:basedOn w:val="732"/>
    <w:autoRedefine/>
    <w:semiHidden/>
    <w:unhideWhenUsed/>
    <w:qFormat/>
    <w:uiPriority w:val="99"/>
    <w:rPr>
      <w:color w:val="0782C1"/>
      <w:u w:val="single"/>
    </w:rPr>
  </w:style>
  <w:style w:type="character" w:customStyle="1" w:styleId="736">
    <w:name w:val="标题 1 Char_file_617"/>
    <w:basedOn w:val="732"/>
    <w:link w:val="4"/>
    <w:autoRedefine/>
    <w:qFormat/>
    <w:uiPriority w:val="9"/>
    <w:rPr>
      <w:rFonts w:ascii="宋体" w:hAnsi="宋体" w:eastAsia="宋体" w:cs="宋体"/>
      <w:b/>
      <w:bCs/>
      <w:kern w:val="44"/>
      <w:sz w:val="44"/>
      <w:szCs w:val="44"/>
    </w:rPr>
  </w:style>
  <w:style w:type="character" w:customStyle="1" w:styleId="737">
    <w:name w:val="标题 2 Char_file_617"/>
    <w:basedOn w:val="732"/>
    <w:link w:val="5"/>
    <w:autoRedefine/>
    <w:semiHidden/>
    <w:qFormat/>
    <w:uiPriority w:val="9"/>
    <w:rPr>
      <w:rFonts w:asciiTheme="majorHAnsi" w:hAnsiTheme="majorHAnsi" w:eastAsiaTheme="majorEastAsia" w:cstheme="majorBidi"/>
      <w:b/>
      <w:bCs/>
      <w:sz w:val="32"/>
      <w:szCs w:val="32"/>
    </w:rPr>
  </w:style>
  <w:style w:type="character" w:customStyle="1" w:styleId="738">
    <w:name w:val="标题 3 Char_file_617"/>
    <w:basedOn w:val="732"/>
    <w:link w:val="6"/>
    <w:autoRedefine/>
    <w:semiHidden/>
    <w:qFormat/>
    <w:uiPriority w:val="9"/>
    <w:rPr>
      <w:rFonts w:ascii="宋体" w:hAnsi="宋体" w:eastAsia="宋体" w:cs="宋体"/>
      <w:b/>
      <w:bCs/>
      <w:sz w:val="32"/>
      <w:szCs w:val="32"/>
    </w:rPr>
  </w:style>
  <w:style w:type="character" w:customStyle="1" w:styleId="739">
    <w:name w:val="标题 4 Char_file_617"/>
    <w:basedOn w:val="732"/>
    <w:link w:val="7"/>
    <w:autoRedefine/>
    <w:semiHidden/>
    <w:qFormat/>
    <w:uiPriority w:val="9"/>
    <w:rPr>
      <w:rFonts w:asciiTheme="majorHAnsi" w:hAnsiTheme="majorHAnsi" w:eastAsiaTheme="majorEastAsia" w:cstheme="majorBidi"/>
      <w:b/>
      <w:bCs/>
      <w:sz w:val="28"/>
      <w:szCs w:val="28"/>
    </w:rPr>
  </w:style>
  <w:style w:type="character" w:customStyle="1" w:styleId="740">
    <w:name w:val="标题 5 Char_file_617"/>
    <w:basedOn w:val="732"/>
    <w:link w:val="8"/>
    <w:autoRedefine/>
    <w:semiHidden/>
    <w:qFormat/>
    <w:uiPriority w:val="9"/>
    <w:rPr>
      <w:rFonts w:ascii="宋体" w:hAnsi="宋体" w:eastAsia="宋体" w:cs="宋体"/>
      <w:b/>
      <w:bCs/>
      <w:sz w:val="28"/>
      <w:szCs w:val="28"/>
    </w:rPr>
  </w:style>
  <w:style w:type="character" w:customStyle="1" w:styleId="741">
    <w:name w:val="标题 6 Char_file_617"/>
    <w:basedOn w:val="732"/>
    <w:link w:val="10"/>
    <w:autoRedefine/>
    <w:semiHidden/>
    <w:qFormat/>
    <w:uiPriority w:val="9"/>
    <w:rPr>
      <w:rFonts w:asciiTheme="majorHAnsi" w:hAnsiTheme="majorHAnsi" w:eastAsiaTheme="majorEastAsia" w:cstheme="majorBidi"/>
      <w:b/>
      <w:bCs/>
      <w:sz w:val="24"/>
      <w:szCs w:val="24"/>
    </w:rPr>
  </w:style>
  <w:style w:type="paragraph" w:customStyle="1" w:styleId="742">
    <w:name w:val="cke_editable_file_617"/>
    <w:basedOn w:val="725"/>
    <w:autoRedefine/>
    <w:qFormat/>
    <w:uiPriority w:val="0"/>
    <w:rPr>
      <w:rFonts w:ascii="仿宋_GB2312" w:eastAsia="仿宋_GB2312"/>
    </w:rPr>
  </w:style>
  <w:style w:type="paragraph" w:customStyle="1" w:styleId="743">
    <w:name w:val="marker_file_617"/>
    <w:basedOn w:val="725"/>
    <w:autoRedefine/>
    <w:qFormat/>
    <w:uiPriority w:val="0"/>
    <w:pPr>
      <w:shd w:val="clear" w:color="auto" w:fill="FFFF00"/>
    </w:pPr>
  </w:style>
  <w:style w:type="paragraph" w:customStyle="1" w:styleId="744">
    <w:name w:val="Normal (Web)_file_617"/>
    <w:basedOn w:val="725"/>
    <w:autoRedefine/>
    <w:semiHidden/>
    <w:unhideWhenUsed/>
    <w:qFormat/>
    <w:uiPriority w:val="99"/>
  </w:style>
  <w:style w:type="paragraph" w:customStyle="1" w:styleId="745">
    <w:name w:val="Normal_file_618"/>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46">
    <w:name w:val="heading 1_file_618"/>
    <w:basedOn w:val="745"/>
    <w:autoRedefine/>
    <w:qFormat/>
    <w:uiPriority w:val="9"/>
    <w:pPr>
      <w:outlineLvl w:val="0"/>
    </w:pPr>
    <w:rPr>
      <w:kern w:val="36"/>
      <w:sz w:val="48"/>
      <w:szCs w:val="48"/>
    </w:rPr>
  </w:style>
  <w:style w:type="paragraph" w:customStyle="1" w:styleId="747">
    <w:name w:val="heading 2_file_618"/>
    <w:basedOn w:val="745"/>
    <w:autoRedefine/>
    <w:qFormat/>
    <w:uiPriority w:val="9"/>
    <w:pPr>
      <w:outlineLvl w:val="1"/>
    </w:pPr>
    <w:rPr>
      <w:sz w:val="36"/>
      <w:szCs w:val="36"/>
    </w:rPr>
  </w:style>
  <w:style w:type="paragraph" w:customStyle="1" w:styleId="748">
    <w:name w:val="heading 3_file_618"/>
    <w:basedOn w:val="745"/>
    <w:autoRedefine/>
    <w:qFormat/>
    <w:uiPriority w:val="9"/>
    <w:pPr>
      <w:outlineLvl w:val="2"/>
    </w:pPr>
    <w:rPr>
      <w:sz w:val="27"/>
      <w:szCs w:val="27"/>
    </w:rPr>
  </w:style>
  <w:style w:type="paragraph" w:customStyle="1" w:styleId="749">
    <w:name w:val="heading 4_file_618"/>
    <w:basedOn w:val="745"/>
    <w:autoRedefine/>
    <w:qFormat/>
    <w:uiPriority w:val="9"/>
    <w:pPr>
      <w:outlineLvl w:val="3"/>
    </w:pPr>
  </w:style>
  <w:style w:type="paragraph" w:customStyle="1" w:styleId="750">
    <w:name w:val="heading 5_file_618"/>
    <w:basedOn w:val="745"/>
    <w:autoRedefine/>
    <w:qFormat/>
    <w:uiPriority w:val="9"/>
    <w:pPr>
      <w:outlineLvl w:val="4"/>
    </w:pPr>
    <w:rPr>
      <w:sz w:val="20"/>
      <w:szCs w:val="20"/>
    </w:rPr>
  </w:style>
  <w:style w:type="paragraph" w:customStyle="1" w:styleId="751">
    <w:name w:val="heading 6_file_618"/>
    <w:basedOn w:val="745"/>
    <w:autoRedefine/>
    <w:qFormat/>
    <w:uiPriority w:val="9"/>
    <w:pPr>
      <w:outlineLvl w:val="5"/>
    </w:pPr>
    <w:rPr>
      <w:sz w:val="15"/>
      <w:szCs w:val="15"/>
    </w:rPr>
  </w:style>
  <w:style w:type="character" w:customStyle="1" w:styleId="752">
    <w:name w:val="Default Paragraph Font_file_618"/>
    <w:autoRedefine/>
    <w:semiHidden/>
    <w:unhideWhenUsed/>
    <w:qFormat/>
    <w:uiPriority w:val="1"/>
  </w:style>
  <w:style w:type="table" w:customStyle="1" w:styleId="753">
    <w:name w:val="Normal Table_file_618"/>
    <w:autoRedefine/>
    <w:semiHidden/>
    <w:unhideWhenUsed/>
    <w:qFormat/>
    <w:uiPriority w:val="99"/>
    <w:tblPr>
      <w:tblCellMar>
        <w:top w:w="0" w:type="dxa"/>
        <w:left w:w="108" w:type="dxa"/>
        <w:bottom w:w="0" w:type="dxa"/>
        <w:right w:w="108" w:type="dxa"/>
      </w:tblCellMar>
    </w:tblPr>
  </w:style>
  <w:style w:type="character" w:customStyle="1" w:styleId="754">
    <w:name w:val="Hyperlink_file_618"/>
    <w:basedOn w:val="752"/>
    <w:autoRedefine/>
    <w:semiHidden/>
    <w:unhideWhenUsed/>
    <w:qFormat/>
    <w:uiPriority w:val="99"/>
    <w:rPr>
      <w:color w:val="0782C1"/>
      <w:u w:val="single"/>
    </w:rPr>
  </w:style>
  <w:style w:type="character" w:customStyle="1" w:styleId="755">
    <w:name w:val="FollowedHyperlink_file_618"/>
    <w:basedOn w:val="752"/>
    <w:autoRedefine/>
    <w:semiHidden/>
    <w:unhideWhenUsed/>
    <w:qFormat/>
    <w:uiPriority w:val="99"/>
    <w:rPr>
      <w:color w:val="0782C1"/>
      <w:u w:val="single"/>
    </w:rPr>
  </w:style>
  <w:style w:type="character" w:customStyle="1" w:styleId="756">
    <w:name w:val="标题 1 Char_file_618"/>
    <w:basedOn w:val="752"/>
    <w:link w:val="4"/>
    <w:autoRedefine/>
    <w:qFormat/>
    <w:uiPriority w:val="9"/>
    <w:rPr>
      <w:rFonts w:ascii="宋体" w:hAnsi="宋体" w:eastAsia="宋体" w:cs="宋体"/>
      <w:b/>
      <w:bCs/>
      <w:kern w:val="44"/>
      <w:sz w:val="44"/>
      <w:szCs w:val="44"/>
    </w:rPr>
  </w:style>
  <w:style w:type="character" w:customStyle="1" w:styleId="757">
    <w:name w:val="标题 2 Char_file_618"/>
    <w:basedOn w:val="752"/>
    <w:link w:val="5"/>
    <w:autoRedefine/>
    <w:semiHidden/>
    <w:qFormat/>
    <w:uiPriority w:val="9"/>
    <w:rPr>
      <w:rFonts w:asciiTheme="majorHAnsi" w:hAnsiTheme="majorHAnsi" w:eastAsiaTheme="majorEastAsia" w:cstheme="majorBidi"/>
      <w:b/>
      <w:bCs/>
      <w:sz w:val="32"/>
      <w:szCs w:val="32"/>
    </w:rPr>
  </w:style>
  <w:style w:type="character" w:customStyle="1" w:styleId="758">
    <w:name w:val="标题 3 Char_file_618"/>
    <w:basedOn w:val="752"/>
    <w:link w:val="6"/>
    <w:autoRedefine/>
    <w:semiHidden/>
    <w:qFormat/>
    <w:uiPriority w:val="9"/>
    <w:rPr>
      <w:rFonts w:ascii="宋体" w:hAnsi="宋体" w:eastAsia="宋体" w:cs="宋体"/>
      <w:b/>
      <w:bCs/>
      <w:sz w:val="32"/>
      <w:szCs w:val="32"/>
    </w:rPr>
  </w:style>
  <w:style w:type="character" w:customStyle="1" w:styleId="759">
    <w:name w:val="标题 4 Char_file_618"/>
    <w:basedOn w:val="752"/>
    <w:link w:val="7"/>
    <w:autoRedefine/>
    <w:semiHidden/>
    <w:qFormat/>
    <w:uiPriority w:val="9"/>
    <w:rPr>
      <w:rFonts w:asciiTheme="majorHAnsi" w:hAnsiTheme="majorHAnsi" w:eastAsiaTheme="majorEastAsia" w:cstheme="majorBidi"/>
      <w:b/>
      <w:bCs/>
      <w:sz w:val="28"/>
      <w:szCs w:val="28"/>
    </w:rPr>
  </w:style>
  <w:style w:type="character" w:customStyle="1" w:styleId="760">
    <w:name w:val="标题 5 Char_file_618"/>
    <w:basedOn w:val="752"/>
    <w:link w:val="8"/>
    <w:autoRedefine/>
    <w:semiHidden/>
    <w:qFormat/>
    <w:uiPriority w:val="9"/>
    <w:rPr>
      <w:rFonts w:ascii="宋体" w:hAnsi="宋体" w:eastAsia="宋体" w:cs="宋体"/>
      <w:b/>
      <w:bCs/>
      <w:sz w:val="28"/>
      <w:szCs w:val="28"/>
    </w:rPr>
  </w:style>
  <w:style w:type="character" w:customStyle="1" w:styleId="761">
    <w:name w:val="标题 6 Char_file_618"/>
    <w:basedOn w:val="752"/>
    <w:link w:val="10"/>
    <w:autoRedefine/>
    <w:semiHidden/>
    <w:qFormat/>
    <w:uiPriority w:val="9"/>
    <w:rPr>
      <w:rFonts w:asciiTheme="majorHAnsi" w:hAnsiTheme="majorHAnsi" w:eastAsiaTheme="majorEastAsia" w:cstheme="majorBidi"/>
      <w:b/>
      <w:bCs/>
      <w:sz w:val="24"/>
      <w:szCs w:val="24"/>
    </w:rPr>
  </w:style>
  <w:style w:type="paragraph" w:customStyle="1" w:styleId="762">
    <w:name w:val="cke_editable_file_618"/>
    <w:basedOn w:val="745"/>
    <w:autoRedefine/>
    <w:qFormat/>
    <w:uiPriority w:val="0"/>
    <w:rPr>
      <w:rFonts w:ascii="仿宋_GB2312" w:eastAsia="仿宋_GB2312"/>
    </w:rPr>
  </w:style>
  <w:style w:type="paragraph" w:customStyle="1" w:styleId="763">
    <w:name w:val="marker_file_618"/>
    <w:basedOn w:val="745"/>
    <w:autoRedefine/>
    <w:qFormat/>
    <w:uiPriority w:val="0"/>
    <w:pPr>
      <w:shd w:val="clear" w:color="auto" w:fill="FFFF00"/>
    </w:pPr>
  </w:style>
  <w:style w:type="paragraph" w:customStyle="1" w:styleId="764">
    <w:name w:val="Normal (Web)_file_618"/>
    <w:basedOn w:val="745"/>
    <w:autoRedefine/>
    <w:semiHidden/>
    <w:unhideWhenUsed/>
    <w:qFormat/>
    <w:uiPriority w:val="99"/>
  </w:style>
  <w:style w:type="paragraph" w:customStyle="1" w:styleId="765">
    <w:name w:val="Normal_file_619"/>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66">
    <w:name w:val="heading 1_file_619"/>
    <w:basedOn w:val="765"/>
    <w:autoRedefine/>
    <w:qFormat/>
    <w:uiPriority w:val="9"/>
    <w:pPr>
      <w:outlineLvl w:val="0"/>
    </w:pPr>
    <w:rPr>
      <w:kern w:val="36"/>
      <w:sz w:val="48"/>
      <w:szCs w:val="48"/>
    </w:rPr>
  </w:style>
  <w:style w:type="paragraph" w:customStyle="1" w:styleId="767">
    <w:name w:val="heading 2_file_619"/>
    <w:basedOn w:val="765"/>
    <w:autoRedefine/>
    <w:qFormat/>
    <w:uiPriority w:val="9"/>
    <w:pPr>
      <w:outlineLvl w:val="1"/>
    </w:pPr>
    <w:rPr>
      <w:sz w:val="36"/>
      <w:szCs w:val="36"/>
    </w:rPr>
  </w:style>
  <w:style w:type="paragraph" w:customStyle="1" w:styleId="768">
    <w:name w:val="heading 3_file_619"/>
    <w:basedOn w:val="765"/>
    <w:autoRedefine/>
    <w:qFormat/>
    <w:uiPriority w:val="9"/>
    <w:pPr>
      <w:outlineLvl w:val="2"/>
    </w:pPr>
    <w:rPr>
      <w:sz w:val="27"/>
      <w:szCs w:val="27"/>
    </w:rPr>
  </w:style>
  <w:style w:type="paragraph" w:customStyle="1" w:styleId="769">
    <w:name w:val="heading 4_file_619"/>
    <w:basedOn w:val="765"/>
    <w:autoRedefine/>
    <w:qFormat/>
    <w:uiPriority w:val="9"/>
    <w:pPr>
      <w:outlineLvl w:val="3"/>
    </w:pPr>
  </w:style>
  <w:style w:type="paragraph" w:customStyle="1" w:styleId="770">
    <w:name w:val="heading 5_file_619"/>
    <w:basedOn w:val="765"/>
    <w:autoRedefine/>
    <w:qFormat/>
    <w:uiPriority w:val="9"/>
    <w:pPr>
      <w:outlineLvl w:val="4"/>
    </w:pPr>
    <w:rPr>
      <w:sz w:val="20"/>
      <w:szCs w:val="20"/>
    </w:rPr>
  </w:style>
  <w:style w:type="paragraph" w:customStyle="1" w:styleId="771">
    <w:name w:val="heading 6_file_619"/>
    <w:basedOn w:val="765"/>
    <w:autoRedefine/>
    <w:qFormat/>
    <w:uiPriority w:val="9"/>
    <w:pPr>
      <w:outlineLvl w:val="5"/>
    </w:pPr>
    <w:rPr>
      <w:sz w:val="15"/>
      <w:szCs w:val="15"/>
    </w:rPr>
  </w:style>
  <w:style w:type="character" w:customStyle="1" w:styleId="772">
    <w:name w:val="Default Paragraph Font_file_619"/>
    <w:autoRedefine/>
    <w:semiHidden/>
    <w:unhideWhenUsed/>
    <w:qFormat/>
    <w:uiPriority w:val="1"/>
  </w:style>
  <w:style w:type="table" w:customStyle="1" w:styleId="773">
    <w:name w:val="Normal Table_file_619"/>
    <w:autoRedefine/>
    <w:semiHidden/>
    <w:unhideWhenUsed/>
    <w:qFormat/>
    <w:uiPriority w:val="99"/>
    <w:tblPr>
      <w:tblCellMar>
        <w:top w:w="0" w:type="dxa"/>
        <w:left w:w="108" w:type="dxa"/>
        <w:bottom w:w="0" w:type="dxa"/>
        <w:right w:w="108" w:type="dxa"/>
      </w:tblCellMar>
    </w:tblPr>
  </w:style>
  <w:style w:type="character" w:customStyle="1" w:styleId="774">
    <w:name w:val="Hyperlink_file_619"/>
    <w:basedOn w:val="772"/>
    <w:autoRedefine/>
    <w:semiHidden/>
    <w:unhideWhenUsed/>
    <w:qFormat/>
    <w:uiPriority w:val="99"/>
    <w:rPr>
      <w:color w:val="0782C1"/>
      <w:u w:val="single"/>
    </w:rPr>
  </w:style>
  <w:style w:type="character" w:customStyle="1" w:styleId="775">
    <w:name w:val="FollowedHyperlink_file_619"/>
    <w:basedOn w:val="772"/>
    <w:autoRedefine/>
    <w:semiHidden/>
    <w:unhideWhenUsed/>
    <w:qFormat/>
    <w:uiPriority w:val="99"/>
    <w:rPr>
      <w:color w:val="0782C1"/>
      <w:u w:val="single"/>
    </w:rPr>
  </w:style>
  <w:style w:type="character" w:customStyle="1" w:styleId="776">
    <w:name w:val="标题 1 Char_file_619"/>
    <w:basedOn w:val="772"/>
    <w:link w:val="4"/>
    <w:autoRedefine/>
    <w:qFormat/>
    <w:uiPriority w:val="9"/>
    <w:rPr>
      <w:rFonts w:ascii="宋体" w:hAnsi="宋体" w:eastAsia="宋体" w:cs="宋体"/>
      <w:b/>
      <w:bCs/>
      <w:kern w:val="44"/>
      <w:sz w:val="44"/>
      <w:szCs w:val="44"/>
    </w:rPr>
  </w:style>
  <w:style w:type="character" w:customStyle="1" w:styleId="777">
    <w:name w:val="标题 2 Char_file_619"/>
    <w:basedOn w:val="772"/>
    <w:link w:val="5"/>
    <w:autoRedefine/>
    <w:semiHidden/>
    <w:qFormat/>
    <w:uiPriority w:val="9"/>
    <w:rPr>
      <w:rFonts w:asciiTheme="majorHAnsi" w:hAnsiTheme="majorHAnsi" w:eastAsiaTheme="majorEastAsia" w:cstheme="majorBidi"/>
      <w:b/>
      <w:bCs/>
      <w:sz w:val="32"/>
      <w:szCs w:val="32"/>
    </w:rPr>
  </w:style>
  <w:style w:type="character" w:customStyle="1" w:styleId="778">
    <w:name w:val="标题 3 Char_file_619"/>
    <w:basedOn w:val="772"/>
    <w:link w:val="6"/>
    <w:autoRedefine/>
    <w:semiHidden/>
    <w:qFormat/>
    <w:uiPriority w:val="9"/>
    <w:rPr>
      <w:rFonts w:ascii="宋体" w:hAnsi="宋体" w:eastAsia="宋体" w:cs="宋体"/>
      <w:b/>
      <w:bCs/>
      <w:sz w:val="32"/>
      <w:szCs w:val="32"/>
    </w:rPr>
  </w:style>
  <w:style w:type="character" w:customStyle="1" w:styleId="779">
    <w:name w:val="标题 4 Char_file_619"/>
    <w:basedOn w:val="772"/>
    <w:link w:val="7"/>
    <w:autoRedefine/>
    <w:semiHidden/>
    <w:qFormat/>
    <w:uiPriority w:val="9"/>
    <w:rPr>
      <w:rFonts w:asciiTheme="majorHAnsi" w:hAnsiTheme="majorHAnsi" w:eastAsiaTheme="majorEastAsia" w:cstheme="majorBidi"/>
      <w:b/>
      <w:bCs/>
      <w:sz w:val="28"/>
      <w:szCs w:val="28"/>
    </w:rPr>
  </w:style>
  <w:style w:type="character" w:customStyle="1" w:styleId="780">
    <w:name w:val="标题 5 Char_file_619"/>
    <w:basedOn w:val="772"/>
    <w:link w:val="8"/>
    <w:autoRedefine/>
    <w:semiHidden/>
    <w:qFormat/>
    <w:uiPriority w:val="9"/>
    <w:rPr>
      <w:rFonts w:ascii="宋体" w:hAnsi="宋体" w:eastAsia="宋体" w:cs="宋体"/>
      <w:b/>
      <w:bCs/>
      <w:sz w:val="28"/>
      <w:szCs w:val="28"/>
    </w:rPr>
  </w:style>
  <w:style w:type="character" w:customStyle="1" w:styleId="781">
    <w:name w:val="标题 6 Char_file_619"/>
    <w:basedOn w:val="772"/>
    <w:link w:val="10"/>
    <w:autoRedefine/>
    <w:semiHidden/>
    <w:qFormat/>
    <w:uiPriority w:val="9"/>
    <w:rPr>
      <w:rFonts w:asciiTheme="majorHAnsi" w:hAnsiTheme="majorHAnsi" w:eastAsiaTheme="majorEastAsia" w:cstheme="majorBidi"/>
      <w:b/>
      <w:bCs/>
      <w:sz w:val="24"/>
      <w:szCs w:val="24"/>
    </w:rPr>
  </w:style>
  <w:style w:type="paragraph" w:customStyle="1" w:styleId="782">
    <w:name w:val="cke_editable_file_619"/>
    <w:basedOn w:val="765"/>
    <w:autoRedefine/>
    <w:qFormat/>
    <w:uiPriority w:val="0"/>
    <w:rPr>
      <w:rFonts w:ascii="仿宋_GB2312" w:eastAsia="仿宋_GB2312"/>
    </w:rPr>
  </w:style>
  <w:style w:type="paragraph" w:customStyle="1" w:styleId="783">
    <w:name w:val="marker_file_619"/>
    <w:basedOn w:val="765"/>
    <w:autoRedefine/>
    <w:qFormat/>
    <w:uiPriority w:val="0"/>
    <w:pPr>
      <w:shd w:val="clear" w:color="auto" w:fill="FFFF00"/>
    </w:pPr>
  </w:style>
  <w:style w:type="paragraph" w:customStyle="1" w:styleId="784">
    <w:name w:val="Normal (Web)_file_619"/>
    <w:basedOn w:val="765"/>
    <w:autoRedefine/>
    <w:semiHidden/>
    <w:unhideWhenUsed/>
    <w:qFormat/>
    <w:uiPriority w:val="99"/>
  </w:style>
  <w:style w:type="table" w:customStyle="1" w:styleId="785">
    <w:name w:val="Normal Table_file_300_file_574_file_172_file_557_file_153"/>
    <w:autoRedefine/>
    <w:unhideWhenUsed/>
    <w:qFormat/>
    <w:uiPriority w:val="99"/>
    <w:tblPr>
      <w:tblCellMar>
        <w:top w:w="0" w:type="dxa"/>
        <w:left w:w="108" w:type="dxa"/>
        <w:bottom w:w="0" w:type="dxa"/>
        <w:right w:w="108" w:type="dxa"/>
      </w:tblCellMar>
    </w:tblPr>
  </w:style>
  <w:style w:type="paragraph" w:customStyle="1" w:styleId="786">
    <w:name w:val="Plain Text_file_300_file_574_file_172_file_557_file_153"/>
    <w:basedOn w:val="787"/>
    <w:autoRedefine/>
    <w:qFormat/>
    <w:uiPriority w:val="0"/>
    <w:rPr>
      <w:rFonts w:ascii="宋体" w:hAnsi="Courier New" w:cs="Courier New"/>
      <w:szCs w:val="21"/>
    </w:rPr>
  </w:style>
  <w:style w:type="paragraph" w:customStyle="1" w:styleId="787">
    <w:name w:val="Normal_file_300_file_574_file_172_file_557_file_15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8">
    <w:name w:val="pa-1_file_2831_file_153"/>
    <w:basedOn w:val="789"/>
    <w:autoRedefine/>
    <w:qFormat/>
    <w:uiPriority w:val="0"/>
    <w:pPr>
      <w:widowControl/>
      <w:spacing w:line="280" w:lineRule="atLeast"/>
    </w:pPr>
    <w:rPr>
      <w:rFonts w:ascii="宋体" w:hAnsi="宋体" w:cs="宋体"/>
      <w:kern w:val="0"/>
      <w:sz w:val="24"/>
    </w:rPr>
  </w:style>
  <w:style w:type="paragraph" w:customStyle="1" w:styleId="789">
    <w:name w:val="Normal_file_2831_file_153"/>
    <w:autoRedefine/>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90">
    <w:name w:val="Normal Table_file_153"/>
    <w:autoRedefine/>
    <w:semiHidden/>
    <w:qFormat/>
    <w:uiPriority w:val="0"/>
    <w:tblPr>
      <w:tblCellMar>
        <w:top w:w="0" w:type="dxa"/>
        <w:left w:w="108" w:type="dxa"/>
        <w:bottom w:w="0" w:type="dxa"/>
        <w:right w:w="108" w:type="dxa"/>
      </w:tblCellMar>
    </w:tblPr>
  </w:style>
  <w:style w:type="character" w:customStyle="1" w:styleId="791">
    <w:name w:val="ca-21_file_2831_file_153"/>
    <w:basedOn w:val="792"/>
    <w:autoRedefine/>
    <w:qFormat/>
    <w:uiPriority w:val="0"/>
    <w:rPr>
      <w:rFonts w:hint="eastAsia" w:ascii="宋体" w:hAnsi="宋体" w:eastAsia="宋体"/>
      <w:sz w:val="21"/>
      <w:szCs w:val="21"/>
    </w:rPr>
  </w:style>
  <w:style w:type="character" w:customStyle="1" w:styleId="792">
    <w:name w:val="Default Paragraph Font_file_2831_file_153"/>
    <w:autoRedefine/>
    <w:unhideWhenUsed/>
    <w:qFormat/>
    <w:uiPriority w:val="1"/>
  </w:style>
  <w:style w:type="character" w:customStyle="1" w:styleId="793">
    <w:name w:val="ca-21_file_153"/>
    <w:basedOn w:val="794"/>
    <w:autoRedefine/>
    <w:qFormat/>
    <w:uiPriority w:val="0"/>
    <w:rPr>
      <w:rFonts w:hint="eastAsia" w:ascii="宋体" w:hAnsi="宋体" w:eastAsia="宋体"/>
      <w:sz w:val="21"/>
      <w:szCs w:val="21"/>
    </w:rPr>
  </w:style>
  <w:style w:type="character" w:customStyle="1" w:styleId="794">
    <w:name w:val="Default Paragraph Font_file_153"/>
    <w:autoRedefine/>
    <w:semiHidden/>
    <w:qFormat/>
    <w:uiPriority w:val="0"/>
  </w:style>
  <w:style w:type="paragraph" w:customStyle="1" w:styleId="795">
    <w:name w:val="pa-3_file_2831_file_153"/>
    <w:basedOn w:val="789"/>
    <w:autoRedefine/>
    <w:qFormat/>
    <w:uiPriority w:val="0"/>
    <w:pPr>
      <w:widowControl/>
      <w:spacing w:line="240" w:lineRule="atLeast"/>
    </w:pPr>
    <w:rPr>
      <w:rFonts w:ascii="宋体" w:hAnsi="宋体" w:cs="宋体"/>
      <w:kern w:val="0"/>
      <w:sz w:val="24"/>
    </w:rPr>
  </w:style>
  <w:style w:type="character" w:customStyle="1" w:styleId="796">
    <w:name w:val="ca-21_file_3393_file_915_file_131_file_150_file_153"/>
    <w:autoRedefine/>
    <w:qFormat/>
    <w:uiPriority w:val="0"/>
    <w:rPr>
      <w:rFonts w:ascii="宋体" w:hAnsi="宋体" w:eastAsia="宋体"/>
      <w:w w:val="100"/>
      <w:sz w:val="21"/>
      <w:szCs w:val="21"/>
      <w:shd w:val="clear" w:color="auto" w:fill="auto"/>
    </w:rPr>
  </w:style>
  <w:style w:type="character" w:customStyle="1" w:styleId="797">
    <w:name w:val="ca-41_file_2831_file_153"/>
    <w:autoRedefine/>
    <w:qFormat/>
    <w:uiPriority w:val="0"/>
    <w:rPr>
      <w:rFonts w:hint="eastAsia" w:ascii="宋体" w:hAnsi="宋体" w:eastAsia="宋体"/>
      <w:color w:val="FF0000"/>
      <w:sz w:val="21"/>
      <w:szCs w:val="21"/>
    </w:rPr>
  </w:style>
  <w:style w:type="paragraph" w:customStyle="1" w:styleId="798">
    <w:name w:val="Normal Indent_file_153"/>
    <w:basedOn w:val="799"/>
    <w:autoRedefine/>
    <w:qFormat/>
    <w:uiPriority w:val="0"/>
    <w:pPr>
      <w:spacing w:line="240" w:lineRule="atLeast"/>
      <w:ind w:left="900" w:hanging="900"/>
      <w:jc w:val="left"/>
    </w:pPr>
    <w:rPr>
      <w:rFonts w:ascii="宋体"/>
      <w:snapToGrid w:val="0"/>
      <w:kern w:val="0"/>
      <w:sz w:val="20"/>
      <w:szCs w:val="20"/>
    </w:rPr>
  </w:style>
  <w:style w:type="paragraph" w:customStyle="1" w:styleId="799">
    <w:name w:val="Normal_file_153"/>
    <w:next w:val="5"/>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00">
    <w:name w:val="ca-41_file_131_file_150_file_153"/>
    <w:autoRedefine/>
    <w:qFormat/>
    <w:uiPriority w:val="0"/>
    <w:rPr>
      <w:rFonts w:hint="eastAsia" w:ascii="宋体" w:hAnsi="宋体" w:eastAsia="宋体"/>
      <w:color w:val="FF0000"/>
      <w:sz w:val="21"/>
      <w:szCs w:val="21"/>
    </w:rPr>
  </w:style>
  <w:style w:type="character" w:customStyle="1" w:styleId="801">
    <w:name w:val=" Char Char2"/>
    <w:basedOn w:val="50"/>
    <w:link w:val="4"/>
    <w:autoRedefine/>
    <w:qFormat/>
    <w:locked/>
    <w:uiPriority w:val="0"/>
    <w:rPr>
      <w:rFonts w:eastAsia="宋体"/>
      <w:b/>
      <w:bCs/>
      <w:kern w:val="44"/>
      <w:sz w:val="44"/>
      <w:szCs w:val="44"/>
      <w:lang w:val="en-US" w:eastAsia="zh-CN" w:bidi="ar-SA"/>
    </w:rPr>
  </w:style>
  <w:style w:type="paragraph" w:customStyle="1" w:styleId="802">
    <w:name w:val="列出段落1_file_195_file_141"/>
    <w:basedOn w:val="803"/>
    <w:autoRedefine/>
    <w:unhideWhenUsed/>
    <w:qFormat/>
    <w:uiPriority w:val="99"/>
    <w:pPr>
      <w:ind w:firstLine="420" w:firstLineChars="200"/>
    </w:pPr>
    <w:rPr>
      <w:rFonts w:ascii="Cambria Math" w:hAnsi="Cambria Math"/>
    </w:rPr>
  </w:style>
  <w:style w:type="paragraph" w:customStyle="1" w:styleId="803">
    <w:name w:val="Normal_file_195_file_141"/>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804">
    <w:name w:val="Normal (Web)_file_195_file_141"/>
    <w:basedOn w:val="803"/>
    <w:autoRedefine/>
    <w:qFormat/>
    <w:uiPriority w:val="0"/>
    <w:pPr>
      <w:widowControl/>
      <w:spacing w:before="100" w:beforeAutospacing="1" w:after="100" w:afterAutospacing="1"/>
      <w:jc w:val="left"/>
    </w:pPr>
    <w:rPr>
      <w:rFonts w:ascii="仿宋_GB2312" w:hAnsi="仿宋_GB2312"/>
      <w:sz w:val="24"/>
    </w:rPr>
  </w:style>
  <w:style w:type="paragraph" w:customStyle="1" w:styleId="805">
    <w:name w:val="_Style 2_file_195_file_141"/>
    <w:basedOn w:val="803"/>
    <w:autoRedefine/>
    <w:unhideWhenUsed/>
    <w:qFormat/>
    <w:uiPriority w:val="99"/>
    <w:pPr>
      <w:ind w:firstLine="420" w:firstLineChars="200"/>
    </w:pPr>
    <w:rPr>
      <w:rFonts w:hint="eastAsia" w:ascii="Cambria Math" w:hAnsi="Cambria Math"/>
    </w:rPr>
  </w:style>
  <w:style w:type="paragraph" w:customStyle="1" w:styleId="806">
    <w:name w:val="Default_file_195_file_141"/>
    <w:autoRedefine/>
    <w:qFormat/>
    <w:uiPriority w:val="0"/>
    <w:pPr>
      <w:widowControl w:val="0"/>
      <w:autoSpaceDE w:val="0"/>
      <w:autoSpaceDN w:val="0"/>
      <w:adjustRightInd w:val="0"/>
    </w:pPr>
    <w:rPr>
      <w:rFonts w:ascii="Arial" w:hAnsi="Times New Roman" w:eastAsia="Arial" w:cs="Arial"/>
      <w:color w:val="000000"/>
      <w:sz w:val="24"/>
      <w:szCs w:val="24"/>
      <w:lang w:val="en-US" w:eastAsia="zh-CN" w:bidi="ar-SA"/>
    </w:rPr>
  </w:style>
  <w:style w:type="character" w:customStyle="1" w:styleId="807">
    <w:name w:val="ca-21_file_300_file_2600"/>
    <w:basedOn w:val="808"/>
    <w:autoRedefine/>
    <w:qFormat/>
    <w:uiPriority w:val="0"/>
    <w:rPr>
      <w:rFonts w:hint="eastAsia" w:ascii="宋体" w:hAnsi="宋体" w:eastAsia="宋体"/>
      <w:sz w:val="21"/>
      <w:szCs w:val="21"/>
    </w:rPr>
  </w:style>
  <w:style w:type="character" w:customStyle="1" w:styleId="808">
    <w:name w:val="Default Paragraph Font_file_300_file_2600"/>
    <w:autoRedefine/>
    <w:semiHidden/>
    <w:unhideWhenUsed/>
    <w:qFormat/>
    <w:uiPriority w:val="1"/>
  </w:style>
  <w:style w:type="paragraph" w:customStyle="1" w:styleId="809">
    <w:name w:val="List Paragraph_file_195_file_141"/>
    <w:basedOn w:val="803"/>
    <w:autoRedefine/>
    <w:qFormat/>
    <w:uiPriority w:val="34"/>
    <w:pPr>
      <w:ind w:firstLine="420" w:firstLineChars="200"/>
    </w:pPr>
    <w:rPr>
      <w:rFonts w:ascii="Calibri" w:hAnsi="Calibri" w:eastAsia="宋体" w:cs="Times New Roman"/>
    </w:rPr>
  </w:style>
  <w:style w:type="character" w:customStyle="1" w:styleId="810">
    <w:name w:val="annotation reference_file_195_file_141"/>
    <w:autoRedefine/>
    <w:semiHidden/>
    <w:qFormat/>
    <w:uiPriority w:val="99"/>
    <w:rPr>
      <w:sz w:val="21"/>
      <w:szCs w:val="21"/>
    </w:rPr>
  </w:style>
  <w:style w:type="character" w:customStyle="1" w:styleId="811">
    <w:name w:val="font31"/>
    <w:basedOn w:val="50"/>
    <w:autoRedefine/>
    <w:qFormat/>
    <w:uiPriority w:val="0"/>
    <w:rPr>
      <w:rFonts w:hint="eastAsia" w:ascii="仿宋" w:hAnsi="仿宋" w:eastAsia="仿宋" w:cs="仿宋"/>
      <w:color w:val="000000"/>
      <w:sz w:val="24"/>
      <w:szCs w:val="24"/>
      <w:u w:val="none"/>
    </w:rPr>
  </w:style>
  <w:style w:type="character" w:customStyle="1" w:styleId="812">
    <w:name w:val="font21"/>
    <w:basedOn w:val="50"/>
    <w:autoRedefine/>
    <w:qFormat/>
    <w:uiPriority w:val="0"/>
    <w:rPr>
      <w:rFonts w:hint="eastAsia" w:ascii="仿宋" w:hAnsi="仿宋" w:eastAsia="仿宋" w:cs="仿宋"/>
      <w:color w:val="000000"/>
      <w:sz w:val="24"/>
      <w:szCs w:val="24"/>
      <w:u w:val="none"/>
    </w:rPr>
  </w:style>
  <w:style w:type="table" w:customStyle="1" w:styleId="813">
    <w:name w:val="Normal Table_file_2600"/>
    <w:autoRedefine/>
    <w:semiHidden/>
    <w:qFormat/>
    <w:uiPriority w:val="0"/>
    <w:tblPr>
      <w:tblCellMar>
        <w:top w:w="0" w:type="dxa"/>
        <w:left w:w="108" w:type="dxa"/>
        <w:bottom w:w="0" w:type="dxa"/>
        <w:right w:w="108" w:type="dxa"/>
      </w:tblCellMar>
    </w:tblPr>
  </w:style>
  <w:style w:type="paragraph" w:customStyle="1" w:styleId="814">
    <w:name w:val="Normal (Web)_file_743"/>
    <w:basedOn w:val="815"/>
    <w:autoRedefine/>
    <w:semiHidden/>
    <w:unhideWhenUsed/>
    <w:qFormat/>
    <w:uiPriority w:val="99"/>
    <w:pPr>
      <w:spacing w:before="100" w:beforeAutospacing="1" w:after="100" w:afterAutospacing="1"/>
    </w:pPr>
  </w:style>
  <w:style w:type="paragraph" w:customStyle="1" w:styleId="815">
    <w:name w:val="Normal_file_743"/>
    <w:autoRedefine/>
    <w:qFormat/>
    <w:uiPriority w:val="0"/>
    <w:rPr>
      <w:rFonts w:ascii="宋体" w:hAnsi="宋体" w:eastAsia="宋体" w:cs="宋体"/>
      <w:sz w:val="24"/>
      <w:szCs w:val="24"/>
      <w:lang w:val="en-US" w:eastAsia="zh-CN" w:bidi="ar-SA"/>
    </w:rPr>
  </w:style>
  <w:style w:type="paragraph" w:customStyle="1" w:styleId="816">
    <w:name w:val="Normal (Web)_file_678_file_689"/>
    <w:basedOn w:val="817"/>
    <w:autoRedefine/>
    <w:unhideWhenUsed/>
    <w:qFormat/>
    <w:uiPriority w:val="99"/>
    <w:pPr>
      <w:spacing w:before="100" w:beforeAutospacing="1" w:after="100" w:afterAutospacing="1"/>
    </w:pPr>
  </w:style>
  <w:style w:type="paragraph" w:customStyle="1" w:styleId="817">
    <w:name w:val="Normal_file_678_file_689"/>
    <w:autoRedefine/>
    <w:qFormat/>
    <w:uiPriority w:val="0"/>
    <w:rPr>
      <w:rFonts w:ascii="宋体" w:hAnsi="宋体" w:eastAsia="宋体" w:cs="宋体"/>
      <w:sz w:val="24"/>
      <w:szCs w:val="24"/>
      <w:lang w:val="en-US" w:eastAsia="zh-CN" w:bidi="ar-SA"/>
    </w:rPr>
  </w:style>
  <w:style w:type="paragraph" w:customStyle="1" w:styleId="818">
    <w:name w:val="Plain Text_file_157"/>
    <w:basedOn w:val="819"/>
    <w:autoRedefine/>
    <w:qFormat/>
    <w:uiPriority w:val="0"/>
    <w:rPr>
      <w:rFonts w:ascii="宋体" w:hAnsi="Courier New" w:cs="Courier New"/>
      <w:szCs w:val="21"/>
    </w:rPr>
  </w:style>
  <w:style w:type="paragraph" w:customStyle="1" w:styleId="819">
    <w:name w:val="Normal_file_157"/>
    <w:next w:val="5"/>
    <w:autoRedefine/>
    <w:qFormat/>
    <w:uiPriority w:val="0"/>
    <w:pPr>
      <w:widowControl w:val="0"/>
      <w:jc w:val="both"/>
    </w:pPr>
    <w:rPr>
      <w:rFonts w:ascii="等线" w:hAnsi="等线" w:eastAsia="等线" w:cs="Times New Roman"/>
      <w:kern w:val="2"/>
      <w:sz w:val="21"/>
      <w:szCs w:val="22"/>
      <w:lang w:val="en-US" w:eastAsia="zh-CN" w:bidi="ar-SA"/>
    </w:rPr>
  </w:style>
  <w:style w:type="table" w:customStyle="1" w:styleId="820">
    <w:name w:val="Normal Table_file_157"/>
    <w:autoRedefine/>
    <w:semiHidden/>
    <w:qFormat/>
    <w:uiPriority w:val="0"/>
    <w:tblPr>
      <w:tblCellMar>
        <w:top w:w="0" w:type="dxa"/>
        <w:left w:w="108" w:type="dxa"/>
        <w:bottom w:w="0" w:type="dxa"/>
        <w:right w:w="108" w:type="dxa"/>
      </w:tblCellMar>
    </w:tblPr>
  </w:style>
  <w:style w:type="paragraph" w:customStyle="1" w:styleId="821">
    <w:name w:val="Normal (Web)_file_163"/>
    <w:basedOn w:val="822"/>
    <w:autoRedefine/>
    <w:unhideWhenUsed/>
    <w:qFormat/>
    <w:uiPriority w:val="99"/>
  </w:style>
  <w:style w:type="paragraph" w:customStyle="1" w:styleId="822">
    <w:name w:val="Normal_file_163"/>
    <w:autoRedefine/>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823">
    <w:name w:val="ca-21_file_351"/>
    <w:basedOn w:val="824"/>
    <w:autoRedefine/>
    <w:qFormat/>
    <w:uiPriority w:val="0"/>
    <w:rPr>
      <w:rFonts w:ascii="宋体" w:hAnsi="宋体" w:eastAsia="宋体"/>
      <w:w w:val="100"/>
      <w:sz w:val="21"/>
      <w:szCs w:val="21"/>
      <w:shd w:val="clear" w:color="auto" w:fill="auto"/>
    </w:rPr>
  </w:style>
  <w:style w:type="character" w:customStyle="1" w:styleId="824">
    <w:name w:val="Default Paragraph Font_file_351"/>
    <w:autoRedefine/>
    <w:semiHidden/>
    <w:qFormat/>
    <w:uiPriority w:val="0"/>
  </w:style>
  <w:style w:type="character" w:customStyle="1" w:styleId="825">
    <w:name w:val="ca-21_file_3393_file_915"/>
    <w:basedOn w:val="826"/>
    <w:qFormat/>
    <w:uiPriority w:val="0"/>
    <w:rPr>
      <w:rFonts w:ascii="宋体" w:hAnsi="宋体" w:eastAsia="宋体"/>
      <w:w w:val="100"/>
      <w:sz w:val="21"/>
      <w:szCs w:val="21"/>
      <w:shd w:val="clear" w:color="auto" w:fill="auto"/>
    </w:rPr>
  </w:style>
  <w:style w:type="character" w:customStyle="1" w:styleId="826">
    <w:name w:val="Default Paragraph Font_file_3393_file_915"/>
    <w:semiHidden/>
    <w:qFormat/>
    <w:uiPriority w:val="0"/>
  </w:style>
  <w:style w:type="character" w:customStyle="1" w:styleId="827">
    <w:name w:val="Emphasis_file_559"/>
    <w:basedOn w:val="828"/>
    <w:qFormat/>
    <w:uiPriority w:val="20"/>
    <w:rPr>
      <w:i/>
      <w:iCs/>
    </w:rPr>
  </w:style>
  <w:style w:type="character" w:customStyle="1" w:styleId="828">
    <w:name w:val="Default Paragraph Font_file_559"/>
    <w:unhideWhenUsed/>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70867-4B33-4F50-B3B2-4C9B875C0E32}">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106</Pages>
  <Words>70156</Words>
  <Characters>74104</Characters>
  <Lines>165</Lines>
  <Paragraphs>46</Paragraphs>
  <TotalTime>26</TotalTime>
  <ScaleCrop>false</ScaleCrop>
  <LinksUpToDate>false</LinksUpToDate>
  <CharactersWithSpaces>79281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2019-07-09T02:58:00Z</dcterms:created>
  <dc:creator>柳州市政府集中采购中心</dc:creator>
  <cp:lastModifiedBy>余茜</cp:lastModifiedBy>
  <cp:lastPrinted>2018-11-29T07:27:00Z</cp:lastPrinted>
  <dcterms:modified xsi:type="dcterms:W3CDTF">2024-07-04T08:06:03Z</dcterms:modified>
  <dc:title>询价通知书</dc:title>
  <cp:revision>809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A6BD4228CB4046A38C4DA3D020DB71DA_13</vt:lpwstr>
  </property>
</Properties>
</file>