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6E6E3">
      <w:pPr>
        <w:jc w:val="center"/>
        <w:rPr>
          <w:rFonts w:hint="eastAsia" w:asciiTheme="majorEastAsia" w:hAnsiTheme="majorEastAsia" w:eastAsiaTheme="majorEastAsia" w:cstheme="majorEastAsia"/>
          <w:b/>
          <w:bCs/>
          <w:sz w:val="36"/>
          <w:szCs w:val="36"/>
          <w:lang w:val="en-US" w:eastAsia="zh-CN"/>
        </w:rPr>
      </w:pPr>
      <w:bookmarkStart w:id="0" w:name="_GoBack"/>
      <w:bookmarkEnd w:id="0"/>
      <w:r>
        <w:rPr>
          <w:rFonts w:hint="eastAsia" w:asciiTheme="majorEastAsia" w:hAnsiTheme="majorEastAsia" w:eastAsiaTheme="majorEastAsia" w:cstheme="majorEastAsia"/>
          <w:b/>
          <w:bCs/>
          <w:sz w:val="36"/>
          <w:szCs w:val="36"/>
          <w:lang w:val="en-US" w:eastAsia="zh-CN"/>
        </w:rPr>
        <w:t>2025年柳城县高标准农田改造提升项目（沙埔镇长隆村、六广村）</w:t>
      </w:r>
    </w:p>
    <w:p w14:paraId="38280FFB">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施工单位招募公告</w:t>
      </w:r>
    </w:p>
    <w:p w14:paraId="16D4584A">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2025年柳城县高标准农田改造提升项目（沙埔镇长隆村、六广村），已获上级有关部门审批，现面向社会招募项目承建单位，具体情况及要求如下：</w:t>
      </w:r>
    </w:p>
    <w:p w14:paraId="0ABB65AD">
      <w:pPr>
        <w:numPr>
          <w:ilvl w:val="0"/>
          <w:numId w:val="1"/>
        </w:numPr>
        <w:tabs>
          <w:tab w:val="left" w:pos="7042"/>
        </w:tabs>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项目基本情况</w:t>
      </w:r>
      <w:r>
        <w:rPr>
          <w:rFonts w:hint="eastAsia" w:asciiTheme="minorEastAsia" w:hAnsiTheme="minorEastAsia" w:cstheme="minorEastAsia"/>
          <w:sz w:val="28"/>
          <w:szCs w:val="28"/>
          <w:lang w:val="en-US" w:eastAsia="zh-CN"/>
        </w:rPr>
        <w:tab/>
      </w:r>
    </w:p>
    <w:tbl>
      <w:tblPr>
        <w:tblStyle w:val="3"/>
        <w:tblpPr w:leftFromText="180" w:rightFromText="180" w:vertAnchor="text" w:horzAnchor="page" w:tblpX="1543" w:tblpY="265"/>
        <w:tblOverlap w:val="never"/>
        <w:tblW w:w="8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3"/>
        <w:gridCol w:w="2664"/>
        <w:gridCol w:w="2436"/>
      </w:tblGrid>
      <w:tr w14:paraId="38F4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53" w:type="dxa"/>
          </w:tcPr>
          <w:p w14:paraId="1402B9B8">
            <w:pPr>
              <w:numPr>
                <w:ilvl w:val="0"/>
                <w:numId w:val="0"/>
              </w:num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单项工程名称</w:t>
            </w:r>
          </w:p>
        </w:tc>
        <w:tc>
          <w:tcPr>
            <w:tcW w:w="2664" w:type="dxa"/>
          </w:tcPr>
          <w:p w14:paraId="5771A87A">
            <w:pPr>
              <w:numPr>
                <w:ilvl w:val="0"/>
                <w:numId w:val="0"/>
              </w:num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项目建设面积（亩）</w:t>
            </w:r>
          </w:p>
        </w:tc>
        <w:tc>
          <w:tcPr>
            <w:tcW w:w="2436" w:type="dxa"/>
          </w:tcPr>
          <w:p w14:paraId="44F5A811">
            <w:pPr>
              <w:numPr>
                <w:ilvl w:val="0"/>
                <w:numId w:val="0"/>
              </w:num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预算资金（元）</w:t>
            </w:r>
          </w:p>
        </w:tc>
      </w:tr>
      <w:tr w14:paraId="2AAD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253" w:type="dxa"/>
          </w:tcPr>
          <w:p w14:paraId="079990B0">
            <w:pPr>
              <w:numPr>
                <w:ilvl w:val="0"/>
                <w:numId w:val="0"/>
              </w:numPr>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8"/>
                <w:szCs w:val="28"/>
                <w:lang w:val="en-US" w:eastAsia="zh-CN"/>
              </w:rPr>
              <w:t>2025年柳城县高标准农田改造提升项目（沙埔镇长隆村、六广村）</w:t>
            </w:r>
          </w:p>
        </w:tc>
        <w:tc>
          <w:tcPr>
            <w:tcW w:w="2664" w:type="dxa"/>
          </w:tcPr>
          <w:p w14:paraId="34BEA71D">
            <w:pPr>
              <w:numPr>
                <w:ilvl w:val="0"/>
                <w:numId w:val="0"/>
              </w:numPr>
              <w:jc w:val="center"/>
              <w:rPr>
                <w:rFonts w:hint="eastAsia" w:asciiTheme="minorEastAsia" w:hAnsiTheme="minorEastAsia" w:cstheme="minorEastAsia"/>
                <w:sz w:val="28"/>
                <w:szCs w:val="28"/>
                <w:vertAlign w:val="baseline"/>
                <w:lang w:val="en-US" w:eastAsia="zh-CN"/>
              </w:rPr>
            </w:pPr>
          </w:p>
          <w:p w14:paraId="3E4544EC">
            <w:pPr>
              <w:numPr>
                <w:ilvl w:val="0"/>
                <w:numId w:val="0"/>
              </w:num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8"/>
                <w:szCs w:val="28"/>
                <w:vertAlign w:val="baseline"/>
                <w:lang w:val="en-US" w:eastAsia="zh-CN"/>
              </w:rPr>
              <w:t>3200</w:t>
            </w:r>
          </w:p>
        </w:tc>
        <w:tc>
          <w:tcPr>
            <w:tcW w:w="2436" w:type="dxa"/>
          </w:tcPr>
          <w:p w14:paraId="3FA6BD95">
            <w:pPr>
              <w:numPr>
                <w:ilvl w:val="0"/>
                <w:numId w:val="0"/>
              </w:numPr>
              <w:jc w:val="center"/>
              <w:rPr>
                <w:rFonts w:hint="eastAsia" w:asciiTheme="minorEastAsia" w:hAnsiTheme="minorEastAsia" w:eastAsiaTheme="minorEastAsia" w:cstheme="minorEastAsia"/>
                <w:sz w:val="21"/>
                <w:szCs w:val="21"/>
                <w:vertAlign w:val="baseline"/>
                <w:lang w:val="en-US" w:eastAsia="zh-CN"/>
              </w:rPr>
            </w:pPr>
          </w:p>
          <w:p w14:paraId="69A6F851">
            <w:pPr>
              <w:bidi w:val="0"/>
              <w:ind w:firstLine="653" w:firstLineChars="311"/>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6207030.35</w:t>
            </w:r>
          </w:p>
        </w:tc>
      </w:tr>
      <w:tr w14:paraId="1029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3" w:type="dxa"/>
          </w:tcPr>
          <w:p w14:paraId="22F4E836">
            <w:pPr>
              <w:numPr>
                <w:ilvl w:val="0"/>
                <w:numId w:val="0"/>
              </w:numPr>
              <w:tabs>
                <w:tab w:val="left" w:pos="271"/>
              </w:tabs>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合计</w:t>
            </w:r>
          </w:p>
        </w:tc>
        <w:tc>
          <w:tcPr>
            <w:tcW w:w="2664" w:type="dxa"/>
            <w:vAlign w:val="top"/>
          </w:tcPr>
          <w:p w14:paraId="67EEE697">
            <w:pPr>
              <w:numPr>
                <w:ilvl w:val="0"/>
                <w:numId w:val="0"/>
              </w:numPr>
              <w:ind w:left="0" w:leftChars="0" w:firstLine="0" w:firstLineChars="0"/>
              <w:jc w:val="center"/>
              <w:rPr>
                <w:rFonts w:hint="eastAsia" w:asciiTheme="minorEastAsia" w:hAnsiTheme="minorEastAsia" w:eastAsiaTheme="minorEastAsia" w:cstheme="minorEastAsia"/>
                <w:kern w:val="2"/>
                <w:sz w:val="21"/>
                <w:szCs w:val="21"/>
                <w:vertAlign w:val="baseline"/>
                <w:lang w:val="en-US" w:eastAsia="zh-CN" w:bidi="ar-SA"/>
              </w:rPr>
            </w:pPr>
          </w:p>
        </w:tc>
        <w:tc>
          <w:tcPr>
            <w:tcW w:w="2436" w:type="dxa"/>
          </w:tcPr>
          <w:p w14:paraId="34F58BA7">
            <w:pPr>
              <w:tabs>
                <w:tab w:val="left" w:pos="528"/>
                <w:tab w:val="center" w:pos="1169"/>
              </w:tabs>
              <w:bidi w:val="0"/>
              <w:ind w:firstLine="632" w:firstLineChars="300"/>
              <w:jc w:val="both"/>
              <w:rPr>
                <w:rFonts w:hint="default"/>
                <w:b/>
                <w:bCs/>
                <w:lang w:val="en-US" w:eastAsia="zh-CN"/>
              </w:rPr>
            </w:pPr>
            <w:r>
              <w:rPr>
                <w:rFonts w:hint="eastAsia"/>
                <w:b/>
                <w:bCs/>
                <w:lang w:val="en-US" w:eastAsia="zh-CN"/>
              </w:rPr>
              <w:t>6207030.35</w:t>
            </w:r>
          </w:p>
        </w:tc>
      </w:tr>
    </w:tbl>
    <w:p w14:paraId="23381209">
      <w:pPr>
        <w:numPr>
          <w:ilvl w:val="0"/>
          <w:numId w:val="0"/>
        </w:numPr>
        <w:tabs>
          <w:tab w:val="left" w:pos="9482"/>
        </w:tabs>
        <w:ind w:leftChars="0" w:firstLine="560" w:firstLineChars="200"/>
        <w:rPr>
          <w:rFonts w:hint="eastAsia" w:asciiTheme="minorEastAsia" w:hAnsiTheme="minorEastAsia" w:cstheme="minorEastAsia"/>
          <w:sz w:val="28"/>
          <w:szCs w:val="28"/>
          <w:lang w:val="en-US" w:eastAsia="zh-CN"/>
        </w:rPr>
      </w:pPr>
    </w:p>
    <w:p w14:paraId="59E42DE0">
      <w:pPr>
        <w:numPr>
          <w:ilvl w:val="0"/>
          <w:numId w:val="0"/>
        </w:numPr>
        <w:tabs>
          <w:tab w:val="left" w:pos="9482"/>
        </w:tabs>
        <w:ind w:leftChars="0" w:firstLine="560" w:firstLineChars="200"/>
        <w:rPr>
          <w:rFonts w:hint="eastAsia" w:asciiTheme="minorEastAsia" w:hAnsiTheme="minorEastAsia" w:cstheme="minorEastAsia"/>
          <w:sz w:val="28"/>
          <w:szCs w:val="28"/>
          <w:lang w:val="en-US" w:eastAsia="zh-CN"/>
        </w:rPr>
      </w:pPr>
    </w:p>
    <w:p w14:paraId="68708874">
      <w:pPr>
        <w:numPr>
          <w:ilvl w:val="0"/>
          <w:numId w:val="0"/>
        </w:numPr>
        <w:tabs>
          <w:tab w:val="left" w:pos="9127"/>
        </w:tabs>
        <w:ind w:leftChars="0"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b/>
      </w:r>
    </w:p>
    <w:p w14:paraId="5E19E0E2">
      <w:pPr>
        <w:numPr>
          <w:ilvl w:val="0"/>
          <w:numId w:val="0"/>
        </w:numPr>
        <w:tabs>
          <w:tab w:val="left" w:pos="9482"/>
        </w:tabs>
        <w:ind w:leftChars="0" w:firstLine="560" w:firstLineChars="200"/>
        <w:rPr>
          <w:rFonts w:hint="eastAsia" w:asciiTheme="minorEastAsia" w:hAnsiTheme="minorEastAsia" w:cstheme="minorEastAsia"/>
          <w:sz w:val="28"/>
          <w:szCs w:val="28"/>
          <w:lang w:val="en-US" w:eastAsia="zh-CN"/>
        </w:rPr>
      </w:pPr>
    </w:p>
    <w:p w14:paraId="5E900FA9">
      <w:pPr>
        <w:numPr>
          <w:ilvl w:val="0"/>
          <w:numId w:val="0"/>
        </w:numPr>
        <w:tabs>
          <w:tab w:val="left" w:pos="9482"/>
        </w:tabs>
        <w:ind w:leftChars="0" w:firstLine="560" w:firstLineChars="200"/>
        <w:rPr>
          <w:rFonts w:hint="eastAsia" w:asciiTheme="minorEastAsia" w:hAnsiTheme="minorEastAsia" w:cstheme="minorEastAsia"/>
          <w:sz w:val="28"/>
          <w:szCs w:val="28"/>
          <w:lang w:val="en-US" w:eastAsia="zh-CN"/>
        </w:rPr>
      </w:pPr>
    </w:p>
    <w:p w14:paraId="000A99AD">
      <w:pPr>
        <w:numPr>
          <w:ilvl w:val="0"/>
          <w:numId w:val="0"/>
        </w:numPr>
        <w:tabs>
          <w:tab w:val="left" w:pos="9482"/>
        </w:tabs>
        <w:rPr>
          <w:rFonts w:hint="eastAsia" w:asciiTheme="minorEastAsia" w:hAnsiTheme="minorEastAsia" w:cstheme="minorEastAsia"/>
          <w:sz w:val="28"/>
          <w:szCs w:val="28"/>
          <w:lang w:val="en-US" w:eastAsia="zh-CN"/>
        </w:rPr>
      </w:pPr>
    </w:p>
    <w:p w14:paraId="5C29C738">
      <w:pPr>
        <w:numPr>
          <w:ilvl w:val="0"/>
          <w:numId w:val="0"/>
        </w:numPr>
        <w:tabs>
          <w:tab w:val="left" w:pos="9482"/>
        </w:tabs>
        <w:ind w:leftChars="0"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二、资格要求</w:t>
      </w:r>
      <w:r>
        <w:rPr>
          <w:rFonts w:hint="eastAsia" w:asciiTheme="minorEastAsia" w:hAnsiTheme="minorEastAsia" w:cstheme="minorEastAsia"/>
          <w:sz w:val="28"/>
          <w:szCs w:val="28"/>
          <w:lang w:val="en-US" w:eastAsia="zh-CN"/>
        </w:rPr>
        <w:tab/>
      </w:r>
    </w:p>
    <w:p w14:paraId="7964299B">
      <w:pPr>
        <w:numPr>
          <w:ilvl w:val="0"/>
          <w:numId w:val="0"/>
        </w:num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1、需具有合法有效的营业照、银行开户许可证、税务登记以及开展相关业务的资质；</w:t>
      </w:r>
    </w:p>
    <w:p w14:paraId="0198D20E">
      <w:pPr>
        <w:numPr>
          <w:ilvl w:val="0"/>
          <w:numId w:val="0"/>
        </w:numPr>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2、施工单位的资质要求为市政工程或公路工程；</w:t>
      </w:r>
    </w:p>
    <w:p w14:paraId="4070D27A">
      <w:pPr>
        <w:numPr>
          <w:ilvl w:val="0"/>
          <w:numId w:val="0"/>
        </w:numPr>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3、柳城县本级预算单位零星工程定点服务单位采购及让利系数一览表中项目指定公司；</w:t>
      </w:r>
    </w:p>
    <w:p w14:paraId="1BAB89D0">
      <w:pPr>
        <w:numPr>
          <w:ilvl w:val="0"/>
          <w:numId w:val="0"/>
        </w:numPr>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4、具有建设项目承建经验，且群众口碑良好。</w:t>
      </w:r>
    </w:p>
    <w:p w14:paraId="4DAEFAF2">
      <w:pPr>
        <w:numPr>
          <w:ilvl w:val="0"/>
          <w:numId w:val="0"/>
        </w:numPr>
        <w:ind w:leftChars="0"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三、报名方式</w:t>
      </w:r>
    </w:p>
    <w:p w14:paraId="4F06737D">
      <w:pPr>
        <w:numPr>
          <w:ilvl w:val="0"/>
          <w:numId w:val="0"/>
        </w:numPr>
        <w:ind w:leftChars="0"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有意向报名参与以上项目建设的公司，请于2025年1月15日之前将营业执照、建筑业企业资质证书、安全和产许可证的复印件提交到沙埔镇人民政府糖业办公室（原财政所二楼）。</w:t>
      </w:r>
    </w:p>
    <w:p w14:paraId="5A94D404">
      <w:pPr>
        <w:numPr>
          <w:ilvl w:val="0"/>
          <w:numId w:val="0"/>
        </w:numPr>
        <w:ind w:leftChars="0"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联系电话：0772－7011413</w:t>
      </w:r>
    </w:p>
    <w:p w14:paraId="6516270E">
      <w:pPr>
        <w:numPr>
          <w:ilvl w:val="0"/>
          <w:numId w:val="0"/>
        </w:numPr>
        <w:ind w:leftChars="0"/>
        <w:rPr>
          <w:rFonts w:hint="default" w:asciiTheme="minorEastAsia" w:hAnsiTheme="minorEastAsia" w:cstheme="minorEastAsia"/>
          <w:sz w:val="28"/>
          <w:szCs w:val="28"/>
          <w:lang w:val="en-US" w:eastAsia="zh-CN"/>
        </w:rPr>
      </w:pPr>
    </w:p>
    <w:p w14:paraId="78417478">
      <w:pPr>
        <w:numPr>
          <w:ilvl w:val="0"/>
          <w:numId w:val="0"/>
        </w:numPr>
        <w:ind w:leftChars="0" w:firstLine="7000" w:firstLineChars="25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沙埔镇人民政府</w:t>
      </w:r>
    </w:p>
    <w:p w14:paraId="7D54A2A8">
      <w:pPr>
        <w:numPr>
          <w:ilvl w:val="0"/>
          <w:numId w:val="0"/>
        </w:numPr>
        <w:ind w:leftChars="0" w:firstLine="7000" w:firstLineChars="2500"/>
        <w:rPr>
          <w:rFonts w:hint="default"/>
          <w:sz w:val="32"/>
          <w:szCs w:val="32"/>
          <w:lang w:val="en-US" w:eastAsia="zh-CN"/>
        </w:rPr>
      </w:pPr>
      <w:r>
        <w:rPr>
          <w:rFonts w:hint="eastAsia" w:asciiTheme="minorEastAsia" w:hAnsiTheme="minorEastAsia" w:cstheme="minorEastAsia"/>
          <w:sz w:val="28"/>
          <w:szCs w:val="28"/>
          <w:lang w:val="en-US" w:eastAsia="zh-CN"/>
        </w:rPr>
        <w:t>2025年1月8日</w:t>
      </w:r>
    </w:p>
    <w:p w14:paraId="6DE56528"/>
    <w:sectPr>
      <w:pgSz w:w="11906" w:h="16838"/>
      <w:pgMar w:top="283" w:right="567" w:bottom="283" w:left="62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1BBAF"/>
    <w:multiLevelType w:val="singleLevel"/>
    <w:tmpl w:val="E8B1BB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GUxY2YwYzFjNDA2M2E1YTlkOGFjZmQ0MGYyMDMifQ=="/>
  </w:docVars>
  <w:rsids>
    <w:rsidRoot w:val="43332CCB"/>
    <w:rsid w:val="1C0B2D42"/>
    <w:rsid w:val="43332CCB"/>
    <w:rsid w:val="66223EE6"/>
    <w:rsid w:val="7477281A"/>
    <w:rsid w:val="774E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438</Characters>
  <Lines>0</Lines>
  <Paragraphs>0</Paragraphs>
  <TotalTime>3</TotalTime>
  <ScaleCrop>false</ScaleCrop>
  <LinksUpToDate>false</LinksUpToDate>
  <CharactersWithSpaces>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2025-01-08T08:35:00Z</dcterms:created>
  <dc:creator>Administrator</dc:creator>
  <cp:lastModifiedBy>Administrator</cp:lastModifiedBy>
  <dcterms:modified xsi:type="dcterms:W3CDTF">2025-01-10T00:13:56Z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A334856E67A14522B84C73443171338D_13</vt:lpwstr>
  </property>
</Properties>
</file>