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7D52F8">
      <w:pPr>
        <w:spacing w:line="360" w:lineRule="auto"/>
        <w:jc w:val="center"/>
        <w:rPr>
          <w:rFonts w:ascii="宋体" w:hAnsi="宋体" w:cs="宋体"/>
          <w:color w:val="auto"/>
          <w:sz w:val="52"/>
          <w:szCs w:val="52"/>
          <w:highlight w:val="none"/>
        </w:rPr>
      </w:pPr>
    </w:p>
    <w:p w14:paraId="53AD316E">
      <w:pPr>
        <w:spacing w:line="360" w:lineRule="auto"/>
        <w:jc w:val="center"/>
        <w:rPr>
          <w:rFonts w:ascii="宋体" w:hAnsi="宋体" w:cs="宋体"/>
          <w:color w:val="auto"/>
          <w:sz w:val="52"/>
          <w:szCs w:val="52"/>
          <w:highlight w:val="none"/>
        </w:rPr>
      </w:pPr>
    </w:p>
    <w:p w14:paraId="33E76FED">
      <w:pPr>
        <w:spacing w:line="360" w:lineRule="auto"/>
        <w:jc w:val="center"/>
        <w:rPr>
          <w:rFonts w:ascii="宋体" w:hAnsi="宋体" w:cs="宋体"/>
          <w:color w:val="auto"/>
          <w:sz w:val="52"/>
          <w:szCs w:val="52"/>
          <w:highlight w:val="none"/>
        </w:rPr>
      </w:pPr>
      <w:r>
        <w:rPr>
          <w:rFonts w:hint="eastAsia" w:ascii="宋体" w:hAnsi="宋体" w:cs="宋体"/>
          <w:color w:val="auto"/>
          <w:sz w:val="52"/>
          <w:szCs w:val="52"/>
          <w:highlight w:val="none"/>
        </w:rPr>
        <w:t>广西华良项目管理有限公司</w:t>
      </w:r>
    </w:p>
    <w:p w14:paraId="003272A8">
      <w:pPr>
        <w:snapToGrid w:val="0"/>
        <w:jc w:val="center"/>
        <w:rPr>
          <w:rFonts w:ascii="宋体" w:hAnsi="宋体" w:cs="宋体"/>
          <w:color w:val="auto"/>
          <w:sz w:val="72"/>
          <w:szCs w:val="72"/>
          <w:highlight w:val="none"/>
        </w:rPr>
      </w:pPr>
      <w:r>
        <w:rPr>
          <w:rFonts w:hint="eastAsia" w:ascii="宋体" w:hAnsi="宋体" w:cs="宋体"/>
          <w:color w:val="auto"/>
          <w:sz w:val="120"/>
          <w:szCs w:val="120"/>
          <w:highlight w:val="none"/>
        </w:rPr>
        <w:t>招 标 文 件</w:t>
      </w:r>
    </w:p>
    <w:p w14:paraId="34161EE3">
      <w:pPr>
        <w:snapToGrid w:val="0"/>
        <w:jc w:val="center"/>
        <w:rPr>
          <w:rFonts w:ascii="宋体" w:hAnsi="宋体" w:cs="宋体"/>
          <w:b/>
          <w:color w:val="auto"/>
          <w:sz w:val="48"/>
          <w:szCs w:val="48"/>
          <w:highlight w:val="none"/>
        </w:rPr>
      </w:pPr>
      <w:r>
        <w:rPr>
          <w:rFonts w:hint="eastAsia" w:ascii="宋体" w:hAnsi="宋体" w:cs="宋体"/>
          <w:b/>
          <w:color w:val="auto"/>
          <w:sz w:val="48"/>
          <w:szCs w:val="48"/>
          <w:highlight w:val="none"/>
        </w:rPr>
        <w:t>（全流程电子化采购）</w:t>
      </w:r>
    </w:p>
    <w:p w14:paraId="56DDF38E">
      <w:pPr>
        <w:snapToGrid w:val="0"/>
        <w:spacing w:line="360" w:lineRule="auto"/>
        <w:jc w:val="center"/>
        <w:rPr>
          <w:rFonts w:ascii="宋体" w:hAnsi="宋体" w:cs="宋体"/>
          <w:color w:val="auto"/>
          <w:sz w:val="30"/>
          <w:szCs w:val="72"/>
          <w:highlight w:val="none"/>
        </w:rPr>
      </w:pPr>
      <w:r>
        <w:rPr>
          <w:rFonts w:hint="eastAsia" w:ascii="宋体" w:hAnsi="宋体" w:cs="宋体"/>
          <w:b/>
          <w:color w:val="auto"/>
          <w:sz w:val="24"/>
          <w:highlight w:val="none"/>
        </w:rPr>
        <w:drawing>
          <wp:inline distT="0" distB="0" distL="114300" distR="114300">
            <wp:extent cx="2538730" cy="2223135"/>
            <wp:effectExtent l="0" t="0" r="13970" b="5715"/>
            <wp:docPr id="1" name="图片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OGO"/>
                    <pic:cNvPicPr>
                      <a:picLocks noChangeAspect="1"/>
                    </pic:cNvPicPr>
                  </pic:nvPicPr>
                  <pic:blipFill>
                    <a:blip r:embed="rId19"/>
                    <a:srcRect t="603" r="2293"/>
                    <a:stretch>
                      <a:fillRect/>
                    </a:stretch>
                  </pic:blipFill>
                  <pic:spPr>
                    <a:xfrm>
                      <a:off x="0" y="0"/>
                      <a:ext cx="2538730" cy="2223135"/>
                    </a:xfrm>
                    <a:prstGeom prst="rect">
                      <a:avLst/>
                    </a:prstGeom>
                    <a:noFill/>
                    <a:ln>
                      <a:noFill/>
                    </a:ln>
                  </pic:spPr>
                </pic:pic>
              </a:graphicData>
            </a:graphic>
          </wp:inline>
        </w:drawing>
      </w:r>
    </w:p>
    <w:p w14:paraId="3D67088F">
      <w:pPr>
        <w:pStyle w:val="23"/>
        <w:snapToGrid w:val="0"/>
        <w:spacing w:line="360" w:lineRule="auto"/>
        <w:ind w:left="2108" w:hanging="2108" w:hangingChars="700"/>
        <w:rPr>
          <w:rFonts w:hint="eastAsia" w:hAnsi="宋体" w:eastAsia="宋体" w:cs="宋体"/>
          <w:b/>
          <w:bCs/>
          <w:color w:val="auto"/>
          <w:sz w:val="30"/>
          <w:szCs w:val="30"/>
          <w:highlight w:val="none"/>
          <w:lang w:eastAsia="zh-CN"/>
        </w:rPr>
      </w:pPr>
      <w:r>
        <w:rPr>
          <w:rFonts w:hint="eastAsia" w:hAnsi="宋体" w:cs="宋体"/>
          <w:b/>
          <w:bCs/>
          <w:color w:val="auto"/>
          <w:sz w:val="30"/>
          <w:szCs w:val="30"/>
          <w:highlight w:val="none"/>
        </w:rPr>
        <w:t xml:space="preserve">     项目</w:t>
      </w:r>
      <w:r>
        <w:rPr>
          <w:rFonts w:hint="eastAsia" w:hAnsi="宋体" w:cs="宋体"/>
          <w:b/>
          <w:bCs/>
          <w:color w:val="auto"/>
          <w:w w:val="95"/>
          <w:sz w:val="30"/>
          <w:szCs w:val="30"/>
          <w:highlight w:val="none"/>
        </w:rPr>
        <w:t>名称</w:t>
      </w:r>
      <w:r>
        <w:rPr>
          <w:rFonts w:hint="eastAsia" w:hAnsi="宋体" w:cs="宋体"/>
          <w:b/>
          <w:bCs/>
          <w:color w:val="auto"/>
          <w:sz w:val="30"/>
          <w:szCs w:val="30"/>
          <w:highlight w:val="none"/>
        </w:rPr>
        <w:t>：</w:t>
      </w:r>
      <w:r>
        <w:rPr>
          <w:rFonts w:hint="eastAsia" w:hAnsi="宋体" w:cs="宋体"/>
          <w:b/>
          <w:bCs/>
          <w:color w:val="auto"/>
          <w:sz w:val="30"/>
          <w:szCs w:val="30"/>
          <w:highlight w:val="none"/>
          <w:lang w:eastAsia="zh-CN"/>
        </w:rPr>
        <w:t>柳州市黄村村及周边片区城中村改造项目（胜利地块）集体土地上房屋动迁服务</w:t>
      </w:r>
    </w:p>
    <w:p w14:paraId="0B268754">
      <w:pPr>
        <w:snapToGrid w:val="0"/>
        <w:spacing w:line="360" w:lineRule="auto"/>
        <w:rPr>
          <w:rFonts w:hint="eastAsia" w:ascii="宋体" w:hAnsi="宋体" w:eastAsia="宋体" w:cs="宋体"/>
          <w:b/>
          <w:color w:val="auto"/>
          <w:sz w:val="30"/>
          <w:szCs w:val="48"/>
          <w:highlight w:val="none"/>
          <w:lang w:eastAsia="zh-CN"/>
        </w:rPr>
      </w:pPr>
      <w:r>
        <w:rPr>
          <w:rFonts w:hint="eastAsia" w:ascii="宋体" w:hAnsi="宋体" w:cs="宋体"/>
          <w:b/>
          <w:bCs/>
          <w:color w:val="auto"/>
          <w:w w:val="95"/>
          <w:sz w:val="30"/>
          <w:szCs w:val="30"/>
          <w:highlight w:val="none"/>
        </w:rPr>
        <w:t xml:space="preserve">     项目</w:t>
      </w:r>
      <w:r>
        <w:rPr>
          <w:rFonts w:hint="eastAsia" w:ascii="宋体" w:hAnsi="宋体" w:cs="宋体"/>
          <w:b/>
          <w:bCs/>
          <w:color w:val="auto"/>
          <w:sz w:val="30"/>
          <w:szCs w:val="30"/>
          <w:highlight w:val="none"/>
        </w:rPr>
        <w:t>编号</w:t>
      </w:r>
      <w:r>
        <w:rPr>
          <w:rFonts w:hint="eastAsia" w:ascii="宋体" w:hAnsi="宋体" w:cs="宋体"/>
          <w:b/>
          <w:bCs/>
          <w:color w:val="auto"/>
          <w:w w:val="95"/>
          <w:sz w:val="30"/>
          <w:szCs w:val="30"/>
          <w:highlight w:val="none"/>
        </w:rPr>
        <w:t>：</w:t>
      </w:r>
      <w:r>
        <w:rPr>
          <w:rFonts w:hint="eastAsia" w:ascii="宋体" w:hAnsi="宋体" w:cs="宋体"/>
          <w:b/>
          <w:color w:val="auto"/>
          <w:sz w:val="30"/>
          <w:szCs w:val="48"/>
          <w:highlight w:val="none"/>
          <w:lang w:val="en-US" w:eastAsia="zh-CN"/>
        </w:rPr>
        <w:t>LZZC2025-G3-050007-GXHL</w:t>
      </w:r>
    </w:p>
    <w:p w14:paraId="0063AE1F">
      <w:pPr>
        <w:snapToGrid w:val="0"/>
        <w:spacing w:line="360" w:lineRule="auto"/>
        <w:ind w:firstLine="602" w:firstLineChars="200"/>
        <w:rPr>
          <w:rFonts w:ascii="宋体" w:hAnsi="宋体" w:cs="宋体"/>
          <w:b/>
          <w:color w:val="auto"/>
          <w:sz w:val="30"/>
          <w:szCs w:val="48"/>
          <w:highlight w:val="none"/>
        </w:rPr>
      </w:pPr>
    </w:p>
    <w:p w14:paraId="13A4B675">
      <w:pPr>
        <w:snapToGrid w:val="0"/>
        <w:spacing w:line="360" w:lineRule="auto"/>
        <w:ind w:firstLine="572" w:firstLineChars="200"/>
        <w:rPr>
          <w:rFonts w:ascii="宋体" w:hAnsi="宋体" w:cs="宋体"/>
          <w:b/>
          <w:bCs/>
          <w:color w:val="auto"/>
          <w:w w:val="95"/>
          <w:sz w:val="30"/>
          <w:szCs w:val="30"/>
          <w:highlight w:val="none"/>
        </w:rPr>
      </w:pPr>
      <w:r>
        <w:rPr>
          <w:rFonts w:hint="eastAsia" w:ascii="宋体" w:hAnsi="宋体" w:cs="宋体"/>
          <w:b/>
          <w:bCs/>
          <w:color w:val="auto"/>
          <w:w w:val="95"/>
          <w:sz w:val="30"/>
          <w:szCs w:val="30"/>
          <w:highlight w:val="none"/>
        </w:rPr>
        <w:t>采 购 人：柳州市柳北区征地拆迁和房屋征收补偿服务中心</w:t>
      </w:r>
    </w:p>
    <w:p w14:paraId="65D9177F">
      <w:pPr>
        <w:snapToGrid w:val="0"/>
        <w:spacing w:line="360" w:lineRule="auto"/>
        <w:rPr>
          <w:rFonts w:ascii="宋体" w:hAnsi="宋体" w:cs="宋体"/>
          <w:color w:val="auto"/>
          <w:sz w:val="30"/>
          <w:szCs w:val="72"/>
          <w:highlight w:val="none"/>
        </w:rPr>
      </w:pPr>
      <w:r>
        <w:rPr>
          <w:rFonts w:hint="eastAsia" w:ascii="宋体" w:hAnsi="宋体" w:cs="宋体"/>
          <w:b/>
          <w:bCs/>
          <w:color w:val="auto"/>
          <w:w w:val="95"/>
          <w:sz w:val="30"/>
          <w:szCs w:val="30"/>
          <w:highlight w:val="none"/>
        </w:rPr>
        <w:t xml:space="preserve">    采购代理机构：广西华良项目管理有限公司</w:t>
      </w:r>
    </w:p>
    <w:p w14:paraId="7F6BA0C3">
      <w:pPr>
        <w:pStyle w:val="23"/>
        <w:snapToGrid w:val="0"/>
        <w:spacing w:line="360" w:lineRule="auto"/>
        <w:ind w:firstLine="841" w:firstLineChars="294"/>
        <w:rPr>
          <w:rFonts w:hAnsi="宋体" w:cs="宋体"/>
          <w:color w:val="auto"/>
          <w:szCs w:val="20"/>
          <w:highlight w:val="none"/>
        </w:rPr>
      </w:pPr>
      <w:r>
        <w:rPr>
          <w:rFonts w:hint="eastAsia" w:hAnsi="宋体" w:cs="宋体"/>
          <w:b/>
          <w:bCs/>
          <w:color w:val="auto"/>
          <w:w w:val="95"/>
          <w:sz w:val="30"/>
          <w:szCs w:val="30"/>
          <w:highlight w:val="none"/>
        </w:rPr>
        <w:t xml:space="preserve">               202</w:t>
      </w:r>
      <w:r>
        <w:rPr>
          <w:rFonts w:hint="eastAsia" w:hAnsi="宋体" w:cs="宋体"/>
          <w:b/>
          <w:bCs/>
          <w:color w:val="auto"/>
          <w:w w:val="95"/>
          <w:sz w:val="30"/>
          <w:szCs w:val="30"/>
          <w:highlight w:val="none"/>
          <w:lang w:val="en-US" w:eastAsia="zh-CN"/>
        </w:rPr>
        <w:t>5</w:t>
      </w:r>
      <w:r>
        <w:rPr>
          <w:rFonts w:hint="eastAsia" w:hAnsi="宋体" w:cs="宋体"/>
          <w:b/>
          <w:bCs/>
          <w:color w:val="auto"/>
          <w:w w:val="95"/>
          <w:sz w:val="30"/>
          <w:szCs w:val="30"/>
          <w:highlight w:val="none"/>
        </w:rPr>
        <w:t>年</w:t>
      </w:r>
      <w:r>
        <w:rPr>
          <w:rFonts w:hint="eastAsia" w:hAnsi="宋体" w:cs="宋体"/>
          <w:b/>
          <w:bCs/>
          <w:color w:val="auto"/>
          <w:w w:val="95"/>
          <w:sz w:val="30"/>
          <w:szCs w:val="30"/>
          <w:highlight w:val="none"/>
          <w:lang w:val="en-US" w:eastAsia="zh-CN"/>
        </w:rPr>
        <w:t xml:space="preserve">   </w:t>
      </w:r>
      <w:r>
        <w:rPr>
          <w:rFonts w:hint="eastAsia" w:hAnsi="宋体" w:cs="宋体"/>
          <w:b/>
          <w:bCs/>
          <w:color w:val="auto"/>
          <w:w w:val="95"/>
          <w:sz w:val="30"/>
          <w:szCs w:val="30"/>
          <w:highlight w:val="none"/>
        </w:rPr>
        <w:t>月</w:t>
      </w:r>
    </w:p>
    <w:p w14:paraId="61BEF80F">
      <w:pPr>
        <w:spacing w:line="360" w:lineRule="auto"/>
        <w:jc w:val="center"/>
        <w:rPr>
          <w:rFonts w:ascii="宋体" w:hAnsi="宋体" w:cs="宋体"/>
          <w:b/>
          <w:color w:val="auto"/>
          <w:sz w:val="44"/>
          <w:szCs w:val="44"/>
          <w:highlight w:val="none"/>
        </w:rPr>
      </w:pPr>
    </w:p>
    <w:p w14:paraId="402B31C7">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目  录</w:t>
      </w:r>
    </w:p>
    <w:p w14:paraId="0CA806C2">
      <w:pPr>
        <w:pStyle w:val="31"/>
        <w:rPr>
          <w:rFonts w:asciiTheme="minorHAnsi" w:hAnsiTheme="minorHAnsi" w:eastAsiaTheme="minorEastAsia" w:cstheme="minorBidi"/>
          <w:b w:val="0"/>
          <w:bCs w:val="0"/>
          <w:caps w:val="0"/>
          <w:color w:val="auto"/>
          <w:sz w:val="21"/>
          <w:szCs w:val="22"/>
          <w:highlight w:val="none"/>
        </w:rPr>
      </w:pPr>
      <w:r>
        <w:rPr>
          <w:rFonts w:hint="eastAsia" w:cs="宋体"/>
          <w:b w:val="0"/>
          <w:color w:val="auto"/>
          <w:highlight w:val="none"/>
        </w:rPr>
        <w:fldChar w:fldCharType="begin"/>
      </w:r>
      <w:r>
        <w:rPr>
          <w:rFonts w:hint="eastAsia" w:cs="宋体"/>
          <w:b w:val="0"/>
          <w:color w:val="auto"/>
          <w:highlight w:val="none"/>
        </w:rPr>
        <w:instrText xml:space="preserve">TOC \o "1-2" \h \z \u</w:instrText>
      </w:r>
      <w:r>
        <w:rPr>
          <w:rFonts w:hint="eastAsia" w:cs="宋体"/>
          <w:b w:val="0"/>
          <w:color w:val="auto"/>
          <w:highlight w:val="none"/>
        </w:rPr>
        <w:fldChar w:fldCharType="separate"/>
      </w:r>
      <w:r>
        <w:rPr>
          <w:color w:val="auto"/>
          <w:highlight w:val="none"/>
        </w:rPr>
        <w:fldChar w:fldCharType="begin"/>
      </w:r>
      <w:r>
        <w:rPr>
          <w:color w:val="auto"/>
          <w:highlight w:val="none"/>
        </w:rPr>
        <w:instrText xml:space="preserve"> HYPERLINK \l "_Toc179997852" </w:instrText>
      </w:r>
      <w:r>
        <w:rPr>
          <w:color w:val="auto"/>
          <w:highlight w:val="none"/>
        </w:rPr>
        <w:fldChar w:fldCharType="separate"/>
      </w:r>
      <w:r>
        <w:rPr>
          <w:rStyle w:val="53"/>
          <w:rFonts w:hint="eastAsia" w:cs="宋体"/>
          <w:color w:val="auto"/>
          <w:highlight w:val="none"/>
        </w:rPr>
        <w:t>第一章</w:t>
      </w:r>
      <w:r>
        <w:rPr>
          <w:rStyle w:val="53"/>
          <w:rFonts w:hint="eastAsia" w:cs="宋体"/>
          <w:color w:val="auto"/>
          <w:highlight w:val="none"/>
          <w:lang w:val="en-US" w:eastAsia="zh-CN"/>
        </w:rPr>
        <w:t xml:space="preserve"> </w:t>
      </w:r>
      <w:r>
        <w:rPr>
          <w:rStyle w:val="53"/>
          <w:rFonts w:hint="eastAsia" w:cs="宋体"/>
          <w:color w:val="auto"/>
          <w:highlight w:val="none"/>
        </w:rPr>
        <w:t>招标公告</w:t>
      </w:r>
      <w:r>
        <w:rPr>
          <w:color w:val="auto"/>
          <w:highlight w:val="none"/>
        </w:rPr>
        <w:tab/>
      </w:r>
      <w:r>
        <w:rPr>
          <w:color w:val="auto"/>
          <w:highlight w:val="none"/>
        </w:rPr>
        <w:fldChar w:fldCharType="begin"/>
      </w:r>
      <w:r>
        <w:rPr>
          <w:color w:val="auto"/>
          <w:highlight w:val="none"/>
        </w:rPr>
        <w:instrText xml:space="preserve"> PAGEREF _Toc179997852 \h </w:instrText>
      </w:r>
      <w:r>
        <w:rPr>
          <w:color w:val="auto"/>
          <w:highlight w:val="none"/>
        </w:rPr>
        <w:fldChar w:fldCharType="separate"/>
      </w:r>
      <w:r>
        <w:rPr>
          <w:color w:val="auto"/>
          <w:highlight w:val="none"/>
        </w:rPr>
        <w:t>2</w:t>
      </w:r>
      <w:r>
        <w:rPr>
          <w:color w:val="auto"/>
          <w:highlight w:val="none"/>
        </w:rPr>
        <w:fldChar w:fldCharType="end"/>
      </w:r>
      <w:r>
        <w:rPr>
          <w:color w:val="auto"/>
          <w:highlight w:val="none"/>
        </w:rPr>
        <w:fldChar w:fldCharType="end"/>
      </w:r>
    </w:p>
    <w:p w14:paraId="6F95DFAE">
      <w:pPr>
        <w:pStyle w:val="31"/>
        <w:ind w:firstLine="241"/>
        <w:rPr>
          <w:rFonts w:asciiTheme="minorHAnsi" w:hAnsiTheme="minorHAnsi" w:eastAsiaTheme="minorEastAsia" w:cstheme="minorBidi"/>
          <w:b w:val="0"/>
          <w:bCs w:val="0"/>
          <w:caps w:val="0"/>
          <w:color w:val="auto"/>
          <w:sz w:val="21"/>
          <w:szCs w:val="22"/>
          <w:highlight w:val="none"/>
        </w:rPr>
      </w:pPr>
      <w:r>
        <w:rPr>
          <w:color w:val="auto"/>
          <w:highlight w:val="none"/>
        </w:rPr>
        <w:fldChar w:fldCharType="begin"/>
      </w:r>
      <w:r>
        <w:rPr>
          <w:color w:val="auto"/>
          <w:highlight w:val="none"/>
        </w:rPr>
        <w:instrText xml:space="preserve"> HYPERLINK \l "_Toc179997853" </w:instrText>
      </w:r>
      <w:r>
        <w:rPr>
          <w:color w:val="auto"/>
          <w:highlight w:val="none"/>
        </w:rPr>
        <w:fldChar w:fldCharType="separate"/>
      </w:r>
      <w:r>
        <w:rPr>
          <w:rStyle w:val="53"/>
          <w:rFonts w:hint="eastAsia" w:cs="宋体"/>
          <w:color w:val="auto"/>
          <w:highlight w:val="none"/>
        </w:rPr>
        <w:t>第二章</w:t>
      </w:r>
      <w:r>
        <w:rPr>
          <w:rStyle w:val="53"/>
          <w:rFonts w:hint="eastAsia" w:cs="宋体"/>
          <w:color w:val="auto"/>
          <w:highlight w:val="none"/>
          <w:lang w:val="en-US" w:eastAsia="zh-CN"/>
        </w:rPr>
        <w:t xml:space="preserve"> </w:t>
      </w:r>
      <w:r>
        <w:rPr>
          <w:rStyle w:val="53"/>
          <w:rFonts w:hint="eastAsia" w:cs="宋体"/>
          <w:color w:val="auto"/>
          <w:highlight w:val="none"/>
        </w:rPr>
        <w:t>采购需求</w:t>
      </w:r>
      <w:r>
        <w:rPr>
          <w:color w:val="auto"/>
          <w:highlight w:val="none"/>
        </w:rPr>
        <w:tab/>
      </w:r>
      <w:r>
        <w:rPr>
          <w:color w:val="auto"/>
          <w:highlight w:val="none"/>
        </w:rPr>
        <w:fldChar w:fldCharType="begin"/>
      </w:r>
      <w:r>
        <w:rPr>
          <w:color w:val="auto"/>
          <w:highlight w:val="none"/>
        </w:rPr>
        <w:instrText xml:space="preserve"> PAGEREF _Toc179997853 \h </w:instrText>
      </w:r>
      <w:r>
        <w:rPr>
          <w:color w:val="auto"/>
          <w:highlight w:val="none"/>
        </w:rPr>
        <w:fldChar w:fldCharType="separate"/>
      </w:r>
      <w:r>
        <w:rPr>
          <w:color w:val="auto"/>
          <w:highlight w:val="none"/>
        </w:rPr>
        <w:t>6</w:t>
      </w:r>
      <w:r>
        <w:rPr>
          <w:color w:val="auto"/>
          <w:highlight w:val="none"/>
        </w:rPr>
        <w:fldChar w:fldCharType="end"/>
      </w:r>
      <w:r>
        <w:rPr>
          <w:color w:val="auto"/>
          <w:highlight w:val="none"/>
        </w:rPr>
        <w:fldChar w:fldCharType="end"/>
      </w:r>
    </w:p>
    <w:p w14:paraId="5267F8C6">
      <w:pPr>
        <w:pStyle w:val="31"/>
        <w:ind w:firstLine="241"/>
        <w:rPr>
          <w:rFonts w:asciiTheme="minorHAnsi" w:hAnsiTheme="minorHAnsi" w:eastAsiaTheme="minorEastAsia" w:cstheme="minorBidi"/>
          <w:b w:val="0"/>
          <w:bCs w:val="0"/>
          <w:caps w:val="0"/>
          <w:color w:val="auto"/>
          <w:sz w:val="21"/>
          <w:szCs w:val="22"/>
          <w:highlight w:val="none"/>
        </w:rPr>
      </w:pPr>
      <w:r>
        <w:rPr>
          <w:color w:val="auto"/>
          <w:highlight w:val="none"/>
        </w:rPr>
        <w:fldChar w:fldCharType="begin"/>
      </w:r>
      <w:r>
        <w:rPr>
          <w:color w:val="auto"/>
          <w:highlight w:val="none"/>
        </w:rPr>
        <w:instrText xml:space="preserve"> HYPERLINK \l "_Toc179997854" </w:instrText>
      </w:r>
      <w:r>
        <w:rPr>
          <w:color w:val="auto"/>
          <w:highlight w:val="none"/>
        </w:rPr>
        <w:fldChar w:fldCharType="separate"/>
      </w:r>
      <w:r>
        <w:rPr>
          <w:rStyle w:val="53"/>
          <w:rFonts w:hint="eastAsia" w:cs="宋体"/>
          <w:color w:val="auto"/>
          <w:highlight w:val="none"/>
        </w:rPr>
        <w:t>第三章</w:t>
      </w:r>
      <w:r>
        <w:rPr>
          <w:rStyle w:val="53"/>
          <w:rFonts w:hint="eastAsia" w:cs="宋体"/>
          <w:color w:val="auto"/>
          <w:highlight w:val="none"/>
          <w:lang w:val="en-US" w:eastAsia="zh-CN"/>
        </w:rPr>
        <w:t xml:space="preserve"> </w:t>
      </w:r>
      <w:r>
        <w:rPr>
          <w:rStyle w:val="53"/>
          <w:rFonts w:hint="eastAsia" w:cs="宋体"/>
          <w:color w:val="auto"/>
          <w:highlight w:val="none"/>
        </w:rPr>
        <w:t>投标人须知</w:t>
      </w:r>
      <w:r>
        <w:rPr>
          <w:color w:val="auto"/>
          <w:highlight w:val="none"/>
        </w:rPr>
        <w:tab/>
      </w:r>
      <w:r>
        <w:rPr>
          <w:color w:val="auto"/>
          <w:highlight w:val="none"/>
        </w:rPr>
        <w:fldChar w:fldCharType="begin"/>
      </w:r>
      <w:r>
        <w:rPr>
          <w:color w:val="auto"/>
          <w:highlight w:val="none"/>
        </w:rPr>
        <w:instrText xml:space="preserve"> PAGEREF _Toc179997854 \h </w:instrText>
      </w:r>
      <w:r>
        <w:rPr>
          <w:color w:val="auto"/>
          <w:highlight w:val="none"/>
        </w:rPr>
        <w:fldChar w:fldCharType="separate"/>
      </w:r>
      <w:r>
        <w:rPr>
          <w:color w:val="auto"/>
          <w:highlight w:val="none"/>
        </w:rPr>
        <w:t>11</w:t>
      </w:r>
      <w:r>
        <w:rPr>
          <w:color w:val="auto"/>
          <w:highlight w:val="none"/>
        </w:rPr>
        <w:fldChar w:fldCharType="end"/>
      </w:r>
      <w:r>
        <w:rPr>
          <w:color w:val="auto"/>
          <w:highlight w:val="none"/>
        </w:rPr>
        <w:fldChar w:fldCharType="end"/>
      </w:r>
    </w:p>
    <w:p w14:paraId="59E0BD45">
      <w:pPr>
        <w:pStyle w:val="31"/>
        <w:ind w:firstLine="241"/>
        <w:rPr>
          <w:rFonts w:asciiTheme="minorHAnsi" w:hAnsiTheme="minorHAnsi" w:eastAsiaTheme="minorEastAsia" w:cstheme="minorBidi"/>
          <w:b w:val="0"/>
          <w:bCs w:val="0"/>
          <w:caps w:val="0"/>
          <w:color w:val="auto"/>
          <w:sz w:val="21"/>
          <w:szCs w:val="22"/>
          <w:highlight w:val="none"/>
        </w:rPr>
      </w:pPr>
      <w:r>
        <w:rPr>
          <w:color w:val="auto"/>
          <w:highlight w:val="none"/>
        </w:rPr>
        <w:fldChar w:fldCharType="begin"/>
      </w:r>
      <w:r>
        <w:rPr>
          <w:color w:val="auto"/>
          <w:highlight w:val="none"/>
        </w:rPr>
        <w:instrText xml:space="preserve"> HYPERLINK \l "_Toc179997855" </w:instrText>
      </w:r>
      <w:r>
        <w:rPr>
          <w:color w:val="auto"/>
          <w:highlight w:val="none"/>
        </w:rPr>
        <w:fldChar w:fldCharType="separate"/>
      </w:r>
      <w:r>
        <w:rPr>
          <w:rStyle w:val="53"/>
          <w:rFonts w:hint="eastAsia" w:cs="宋体"/>
          <w:color w:val="auto"/>
          <w:highlight w:val="none"/>
        </w:rPr>
        <w:t>第四章</w:t>
      </w:r>
      <w:r>
        <w:rPr>
          <w:rStyle w:val="53"/>
          <w:rFonts w:hint="eastAsia" w:cs="宋体"/>
          <w:color w:val="auto"/>
          <w:highlight w:val="none"/>
          <w:lang w:val="en-US" w:eastAsia="zh-CN"/>
        </w:rPr>
        <w:t xml:space="preserve"> </w:t>
      </w:r>
      <w:r>
        <w:rPr>
          <w:rStyle w:val="53"/>
          <w:rFonts w:hint="eastAsia" w:cs="宋体"/>
          <w:color w:val="auto"/>
          <w:highlight w:val="none"/>
        </w:rPr>
        <w:t>评标方法及评标标准</w:t>
      </w:r>
      <w:r>
        <w:rPr>
          <w:color w:val="auto"/>
          <w:highlight w:val="none"/>
        </w:rPr>
        <w:tab/>
      </w:r>
      <w:r>
        <w:rPr>
          <w:color w:val="auto"/>
          <w:highlight w:val="none"/>
        </w:rPr>
        <w:fldChar w:fldCharType="begin"/>
      </w:r>
      <w:r>
        <w:rPr>
          <w:color w:val="auto"/>
          <w:highlight w:val="none"/>
        </w:rPr>
        <w:instrText xml:space="preserve"> PAGEREF _Toc179997855 \h </w:instrText>
      </w:r>
      <w:r>
        <w:rPr>
          <w:color w:val="auto"/>
          <w:highlight w:val="none"/>
        </w:rPr>
        <w:fldChar w:fldCharType="separate"/>
      </w:r>
      <w:r>
        <w:rPr>
          <w:color w:val="auto"/>
          <w:highlight w:val="none"/>
        </w:rPr>
        <w:t>29</w:t>
      </w:r>
      <w:r>
        <w:rPr>
          <w:color w:val="auto"/>
          <w:highlight w:val="none"/>
        </w:rPr>
        <w:fldChar w:fldCharType="end"/>
      </w:r>
      <w:r>
        <w:rPr>
          <w:color w:val="auto"/>
          <w:highlight w:val="none"/>
        </w:rPr>
        <w:fldChar w:fldCharType="end"/>
      </w:r>
    </w:p>
    <w:p w14:paraId="7743B8A6">
      <w:pPr>
        <w:pStyle w:val="31"/>
        <w:ind w:firstLine="241"/>
        <w:rPr>
          <w:rFonts w:asciiTheme="minorHAnsi" w:hAnsiTheme="minorHAnsi" w:eastAsiaTheme="minorEastAsia" w:cstheme="minorBidi"/>
          <w:b w:val="0"/>
          <w:bCs w:val="0"/>
          <w:caps w:val="0"/>
          <w:color w:val="auto"/>
          <w:sz w:val="21"/>
          <w:szCs w:val="22"/>
          <w:highlight w:val="none"/>
        </w:rPr>
      </w:pPr>
      <w:r>
        <w:rPr>
          <w:color w:val="auto"/>
          <w:highlight w:val="none"/>
        </w:rPr>
        <w:fldChar w:fldCharType="begin"/>
      </w:r>
      <w:r>
        <w:rPr>
          <w:color w:val="auto"/>
          <w:highlight w:val="none"/>
        </w:rPr>
        <w:instrText xml:space="preserve"> HYPERLINK \l "_Toc179997856" </w:instrText>
      </w:r>
      <w:r>
        <w:rPr>
          <w:color w:val="auto"/>
          <w:highlight w:val="none"/>
        </w:rPr>
        <w:fldChar w:fldCharType="separate"/>
      </w:r>
      <w:r>
        <w:rPr>
          <w:rStyle w:val="53"/>
          <w:rFonts w:hint="eastAsia" w:cs="宋体"/>
          <w:color w:val="auto"/>
          <w:highlight w:val="none"/>
        </w:rPr>
        <w:t>第五章</w:t>
      </w:r>
      <w:r>
        <w:rPr>
          <w:rStyle w:val="53"/>
          <w:rFonts w:hint="eastAsia" w:cs="宋体"/>
          <w:color w:val="auto"/>
          <w:highlight w:val="none"/>
          <w:lang w:val="en-US" w:eastAsia="zh-CN"/>
        </w:rPr>
        <w:t xml:space="preserve"> </w:t>
      </w:r>
      <w:r>
        <w:rPr>
          <w:rStyle w:val="53"/>
          <w:rFonts w:hint="eastAsia" w:cs="宋体"/>
          <w:color w:val="auto"/>
          <w:highlight w:val="none"/>
        </w:rPr>
        <w:t>拟签订的合同文本</w:t>
      </w:r>
      <w:r>
        <w:rPr>
          <w:color w:val="auto"/>
          <w:highlight w:val="none"/>
        </w:rPr>
        <w:tab/>
      </w:r>
      <w:r>
        <w:rPr>
          <w:color w:val="auto"/>
          <w:highlight w:val="none"/>
        </w:rPr>
        <w:fldChar w:fldCharType="begin"/>
      </w:r>
      <w:r>
        <w:rPr>
          <w:color w:val="auto"/>
          <w:highlight w:val="none"/>
        </w:rPr>
        <w:instrText xml:space="preserve"> PAGEREF _Toc179997856 \h </w:instrText>
      </w:r>
      <w:r>
        <w:rPr>
          <w:color w:val="auto"/>
          <w:highlight w:val="none"/>
        </w:rPr>
        <w:fldChar w:fldCharType="separate"/>
      </w:r>
      <w:r>
        <w:rPr>
          <w:color w:val="auto"/>
          <w:highlight w:val="none"/>
        </w:rPr>
        <w:t>36</w:t>
      </w:r>
      <w:r>
        <w:rPr>
          <w:color w:val="auto"/>
          <w:highlight w:val="none"/>
        </w:rPr>
        <w:fldChar w:fldCharType="end"/>
      </w:r>
      <w:r>
        <w:rPr>
          <w:color w:val="auto"/>
          <w:highlight w:val="none"/>
        </w:rPr>
        <w:fldChar w:fldCharType="end"/>
      </w:r>
    </w:p>
    <w:p w14:paraId="09EBBB1E">
      <w:pPr>
        <w:pStyle w:val="31"/>
        <w:ind w:firstLine="241"/>
        <w:rPr>
          <w:rFonts w:asciiTheme="minorHAnsi" w:hAnsiTheme="minorHAnsi" w:eastAsiaTheme="minorEastAsia" w:cstheme="minorBidi"/>
          <w:b w:val="0"/>
          <w:bCs w:val="0"/>
          <w:caps w:val="0"/>
          <w:color w:val="auto"/>
          <w:sz w:val="21"/>
          <w:szCs w:val="22"/>
          <w:highlight w:val="none"/>
        </w:rPr>
      </w:pPr>
      <w:r>
        <w:rPr>
          <w:color w:val="auto"/>
          <w:highlight w:val="none"/>
        </w:rPr>
        <w:fldChar w:fldCharType="begin"/>
      </w:r>
      <w:r>
        <w:rPr>
          <w:color w:val="auto"/>
          <w:highlight w:val="none"/>
        </w:rPr>
        <w:instrText xml:space="preserve"> HYPERLINK \l "_Toc179997857" </w:instrText>
      </w:r>
      <w:r>
        <w:rPr>
          <w:color w:val="auto"/>
          <w:highlight w:val="none"/>
        </w:rPr>
        <w:fldChar w:fldCharType="separate"/>
      </w:r>
      <w:r>
        <w:rPr>
          <w:rStyle w:val="53"/>
          <w:rFonts w:hint="eastAsia" w:cs="宋体"/>
          <w:color w:val="auto"/>
          <w:highlight w:val="none"/>
        </w:rPr>
        <w:t>第六章</w:t>
      </w:r>
      <w:r>
        <w:rPr>
          <w:rStyle w:val="53"/>
          <w:rFonts w:hint="eastAsia" w:cs="宋体"/>
          <w:color w:val="auto"/>
          <w:highlight w:val="none"/>
          <w:lang w:val="en-US" w:eastAsia="zh-CN"/>
        </w:rPr>
        <w:t xml:space="preserve"> </w:t>
      </w:r>
      <w:r>
        <w:rPr>
          <w:rStyle w:val="53"/>
          <w:rFonts w:hint="eastAsia" w:cs="宋体"/>
          <w:color w:val="auto"/>
          <w:highlight w:val="none"/>
        </w:rPr>
        <w:t>投标文件格式</w:t>
      </w:r>
      <w:r>
        <w:rPr>
          <w:color w:val="auto"/>
          <w:highlight w:val="none"/>
        </w:rPr>
        <w:tab/>
      </w:r>
      <w:r>
        <w:rPr>
          <w:color w:val="auto"/>
          <w:highlight w:val="none"/>
        </w:rPr>
        <w:fldChar w:fldCharType="begin"/>
      </w:r>
      <w:r>
        <w:rPr>
          <w:color w:val="auto"/>
          <w:highlight w:val="none"/>
        </w:rPr>
        <w:instrText xml:space="preserve"> PAGEREF _Toc179997857 \h </w:instrText>
      </w:r>
      <w:r>
        <w:rPr>
          <w:color w:val="auto"/>
          <w:highlight w:val="none"/>
        </w:rPr>
        <w:fldChar w:fldCharType="separate"/>
      </w:r>
      <w:r>
        <w:rPr>
          <w:color w:val="auto"/>
          <w:highlight w:val="none"/>
        </w:rPr>
        <w:t>44</w:t>
      </w:r>
      <w:r>
        <w:rPr>
          <w:color w:val="auto"/>
          <w:highlight w:val="none"/>
        </w:rPr>
        <w:fldChar w:fldCharType="end"/>
      </w:r>
      <w:r>
        <w:rPr>
          <w:color w:val="auto"/>
          <w:highlight w:val="none"/>
        </w:rPr>
        <w:fldChar w:fldCharType="end"/>
      </w:r>
    </w:p>
    <w:p w14:paraId="76E74F8D">
      <w:pPr>
        <w:tabs>
          <w:tab w:val="right" w:leader="dot" w:pos="8789"/>
        </w:tabs>
        <w:snapToGrid w:val="0"/>
        <w:spacing w:line="500" w:lineRule="atLeast"/>
        <w:rPr>
          <w:rFonts w:ascii="宋体" w:hAnsi="宋体" w:cs="宋体"/>
          <w:color w:val="auto"/>
          <w:sz w:val="24"/>
          <w:highlight w:val="none"/>
        </w:rPr>
      </w:pPr>
      <w:r>
        <w:rPr>
          <w:rFonts w:hint="eastAsia" w:ascii="宋体" w:hAnsi="宋体" w:cs="宋体"/>
          <w:color w:val="auto"/>
          <w:highlight w:val="none"/>
        </w:rPr>
        <w:fldChar w:fldCharType="end"/>
      </w:r>
    </w:p>
    <w:p w14:paraId="617FB1F9">
      <w:pPr>
        <w:spacing w:beforeLines="50" w:line="480" w:lineRule="exact"/>
        <w:rPr>
          <w:rFonts w:ascii="宋体" w:hAnsi="宋体" w:cs="宋体"/>
          <w:color w:val="auto"/>
          <w:sz w:val="30"/>
          <w:highlight w:val="none"/>
        </w:rPr>
      </w:pPr>
    </w:p>
    <w:p w14:paraId="652BEA50">
      <w:pPr>
        <w:rPr>
          <w:rFonts w:ascii="宋体" w:hAnsi="宋体" w:cs="宋体"/>
          <w:color w:val="auto"/>
          <w:highlight w:val="none"/>
        </w:rPr>
      </w:pPr>
    </w:p>
    <w:p w14:paraId="7AFA1863">
      <w:pPr>
        <w:spacing w:beforeLines="50" w:line="480" w:lineRule="exact"/>
        <w:rPr>
          <w:rFonts w:ascii="宋体" w:hAnsi="宋体" w:cs="宋体"/>
          <w:color w:val="auto"/>
          <w:sz w:val="30"/>
          <w:highlight w:val="none"/>
        </w:rPr>
      </w:pPr>
    </w:p>
    <w:p w14:paraId="754DAD49">
      <w:pPr>
        <w:spacing w:beforeLines="50" w:line="480" w:lineRule="exact"/>
        <w:rPr>
          <w:rFonts w:ascii="宋体" w:hAnsi="宋体" w:cs="宋体"/>
          <w:color w:val="auto"/>
          <w:sz w:val="30"/>
          <w:highlight w:val="none"/>
        </w:rPr>
      </w:pPr>
    </w:p>
    <w:p w14:paraId="2D1E506D">
      <w:pPr>
        <w:pStyle w:val="15"/>
        <w:rPr>
          <w:rFonts w:ascii="宋体" w:hAnsi="宋体" w:cs="宋体"/>
          <w:b/>
          <w:bCs/>
          <w:color w:val="auto"/>
          <w:highlight w:val="none"/>
        </w:rPr>
      </w:pPr>
      <w:bookmarkStart w:id="0" w:name="_Toc254970630"/>
      <w:bookmarkStart w:id="1" w:name="_Toc254970489"/>
    </w:p>
    <w:p w14:paraId="6D82451C">
      <w:pPr>
        <w:pStyle w:val="2"/>
        <w:keepNext w:val="0"/>
        <w:keepLines w:val="0"/>
        <w:tabs>
          <w:tab w:val="left" w:pos="0"/>
          <w:tab w:val="left" w:pos="3165"/>
          <w:tab w:val="center" w:pos="4153"/>
        </w:tabs>
        <w:autoSpaceDE w:val="0"/>
        <w:autoSpaceDN w:val="0"/>
        <w:adjustRightInd w:val="0"/>
        <w:spacing w:before="0" w:after="0" w:line="360" w:lineRule="auto"/>
        <w:jc w:val="center"/>
        <w:rPr>
          <w:rFonts w:ascii="宋体" w:hAnsi="宋体" w:cs="宋体"/>
          <w:color w:val="auto"/>
          <w:highlight w:val="none"/>
        </w:rPr>
      </w:pPr>
      <w:r>
        <w:rPr>
          <w:rFonts w:hint="eastAsia" w:ascii="宋体" w:hAnsi="宋体" w:cs="宋体"/>
          <w:b w:val="0"/>
          <w:bCs w:val="0"/>
          <w:color w:val="auto"/>
          <w:highlight w:val="none"/>
        </w:rPr>
        <w:br w:type="page"/>
      </w:r>
      <w:bookmarkStart w:id="2" w:name="_Toc179997852"/>
      <w:r>
        <w:rPr>
          <w:rFonts w:hint="eastAsia" w:ascii="宋体" w:hAnsi="宋体" w:cs="宋体"/>
          <w:color w:val="auto"/>
          <w:highlight w:val="none"/>
        </w:rPr>
        <w:t>第一章</w:t>
      </w:r>
      <w:bookmarkEnd w:id="0"/>
      <w:bookmarkEnd w:id="1"/>
      <w:bookmarkStart w:id="3" w:name="_Toc28359001"/>
      <w:bookmarkStart w:id="4" w:name="_Toc35393789"/>
      <w:r>
        <w:rPr>
          <w:rFonts w:hint="eastAsia" w:ascii="宋体" w:hAnsi="宋体" w:cs="宋体"/>
          <w:color w:val="auto"/>
          <w:highlight w:val="none"/>
        </w:rPr>
        <w:t xml:space="preserve"> 招标公告</w:t>
      </w:r>
      <w:bookmarkEnd w:id="2"/>
      <w:bookmarkEnd w:id="3"/>
      <w:bookmarkEnd w:id="4"/>
    </w:p>
    <w:p w14:paraId="00C92866">
      <w:pPr>
        <w:pBdr>
          <w:top w:val="single" w:color="auto" w:sz="4" w:space="1"/>
          <w:left w:val="single" w:color="auto" w:sz="4" w:space="4"/>
          <w:bottom w:val="single" w:color="auto" w:sz="4" w:space="1"/>
          <w:right w:val="single" w:color="auto" w:sz="4" w:space="4"/>
        </w:pBd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项目概况</w:t>
      </w:r>
    </w:p>
    <w:p w14:paraId="1D32CB1C">
      <w:pPr>
        <w:pBdr>
          <w:top w:val="single" w:color="auto" w:sz="4" w:space="1"/>
          <w:left w:val="single" w:color="auto" w:sz="4" w:space="4"/>
          <w:bottom w:val="single" w:color="auto" w:sz="4" w:space="1"/>
          <w:right w:val="single" w:color="auto" w:sz="4" w:space="4"/>
        </w:pBd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u w:val="single"/>
          <w:lang w:eastAsia="zh-CN"/>
        </w:rPr>
        <w:t>柳州市黄村村及周边片区城中村改造项目（胜利地块）集体土地上房屋动迁服务</w:t>
      </w:r>
      <w:r>
        <w:rPr>
          <w:rFonts w:hint="eastAsia" w:ascii="宋体" w:hAnsi="宋体" w:cs="宋体"/>
          <w:color w:val="auto"/>
          <w:szCs w:val="21"/>
          <w:highlight w:val="none"/>
        </w:rPr>
        <w:t>招标项目的潜在投标人应在广西政府采购云平台（https://www.gcy.zfcg.gxzf.gov.cn/）获取（下载）招标文件，并于</w:t>
      </w:r>
      <w:r>
        <w:rPr>
          <w:rFonts w:hint="eastAsia" w:ascii="宋体" w:hAnsi="宋体" w:cs="宋体"/>
          <w:color w:val="auto"/>
          <w:szCs w:val="21"/>
          <w:highlight w:val="none"/>
          <w:u w:val="single"/>
        </w:rPr>
        <w:t>2025年</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月</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日9点20分</w:t>
      </w:r>
      <w:r>
        <w:rPr>
          <w:rFonts w:hint="eastAsia" w:ascii="宋体" w:hAnsi="宋体" w:cs="宋体"/>
          <w:bCs/>
          <w:color w:val="auto"/>
          <w:szCs w:val="21"/>
          <w:highlight w:val="none"/>
          <w:u w:val="single"/>
        </w:rPr>
        <w:t>（</w:t>
      </w:r>
      <w:r>
        <w:rPr>
          <w:rFonts w:hint="eastAsia" w:ascii="宋体" w:hAnsi="宋体" w:cs="宋体"/>
          <w:bCs/>
          <w:color w:val="auto"/>
          <w:szCs w:val="21"/>
          <w:highlight w:val="none"/>
        </w:rPr>
        <w:t>北京时间）前按要求递交（上传）投标文件</w:t>
      </w:r>
      <w:r>
        <w:rPr>
          <w:rFonts w:hint="eastAsia" w:ascii="宋体" w:hAnsi="宋体" w:cs="宋体"/>
          <w:color w:val="auto"/>
          <w:szCs w:val="21"/>
          <w:highlight w:val="none"/>
        </w:rPr>
        <w:t>。</w:t>
      </w:r>
    </w:p>
    <w:p w14:paraId="1BB5F4FE">
      <w:pPr>
        <w:spacing w:line="360" w:lineRule="auto"/>
        <w:rPr>
          <w:rFonts w:ascii="宋体" w:hAnsi="宋体" w:cs="宋体"/>
          <w:b/>
          <w:bCs/>
          <w:color w:val="auto"/>
          <w:szCs w:val="21"/>
          <w:highlight w:val="none"/>
        </w:rPr>
      </w:pPr>
      <w:bookmarkStart w:id="5" w:name="_Toc35393621"/>
      <w:bookmarkStart w:id="6" w:name="_Toc28359002"/>
      <w:bookmarkStart w:id="7" w:name="_Toc28359079"/>
      <w:bookmarkStart w:id="8" w:name="_Toc35393790"/>
      <w:bookmarkStart w:id="9" w:name="_Hlk24379207"/>
      <w:r>
        <w:rPr>
          <w:rFonts w:hint="eastAsia" w:ascii="宋体" w:hAnsi="宋体" w:cs="宋体"/>
          <w:b/>
          <w:bCs/>
          <w:color w:val="auto"/>
          <w:szCs w:val="21"/>
          <w:highlight w:val="none"/>
        </w:rPr>
        <w:t>一、项目基本情况</w:t>
      </w:r>
      <w:bookmarkEnd w:id="5"/>
      <w:bookmarkEnd w:id="6"/>
      <w:bookmarkEnd w:id="7"/>
      <w:bookmarkEnd w:id="8"/>
    </w:p>
    <w:bookmarkEnd w:id="9"/>
    <w:p w14:paraId="3F47A368">
      <w:pPr>
        <w:spacing w:line="360" w:lineRule="auto"/>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项目编号：LZZC2025-G3-050007-GXHL</w:t>
      </w:r>
      <w:bookmarkStart w:id="121" w:name="_GoBack"/>
      <w:bookmarkEnd w:id="121"/>
      <w:r>
        <w:rPr>
          <w:rFonts w:hint="eastAsia" w:ascii="宋体" w:hAnsi="宋体" w:cs="宋体"/>
          <w:color w:val="auto"/>
          <w:szCs w:val="21"/>
          <w:highlight w:val="none"/>
          <w:lang w:val="en-US" w:eastAsia="zh-CN"/>
        </w:rPr>
        <w:t xml:space="preserve"> </w:t>
      </w:r>
    </w:p>
    <w:p w14:paraId="2E8DE5F0">
      <w:pPr>
        <w:spacing w:line="360" w:lineRule="auto"/>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项目名称：</w:t>
      </w:r>
      <w:r>
        <w:rPr>
          <w:rFonts w:hint="eastAsia" w:ascii="宋体" w:hAnsi="宋体" w:cs="宋体"/>
          <w:color w:val="auto"/>
          <w:szCs w:val="21"/>
          <w:highlight w:val="none"/>
          <w:lang w:eastAsia="zh-CN"/>
        </w:rPr>
        <w:t>柳州市黄村村及周边片区城中村改造项目（胜利地块）集体土地上房屋动迁服务</w:t>
      </w:r>
    </w:p>
    <w:p w14:paraId="65318CCF">
      <w:pPr>
        <w:spacing w:line="300" w:lineRule="auto"/>
        <w:ind w:firstLine="420" w:firstLineChars="200"/>
        <w:rPr>
          <w:rFonts w:hint="eastAsia" w:ascii="宋体" w:hAnsi="宋体"/>
          <w:color w:val="auto"/>
          <w:szCs w:val="21"/>
          <w:highlight w:val="none"/>
        </w:rPr>
      </w:pPr>
      <w:r>
        <w:rPr>
          <w:rFonts w:hint="eastAsia" w:ascii="宋体" w:hAnsi="宋体"/>
          <w:color w:val="auto"/>
          <w:szCs w:val="21"/>
          <w:highlight w:val="none"/>
        </w:rPr>
        <w:t>预算总金额（元）：</w:t>
      </w:r>
      <w:r>
        <w:rPr>
          <w:rFonts w:hint="eastAsia" w:ascii="宋体" w:hAnsi="宋体"/>
          <w:color w:val="auto"/>
          <w:szCs w:val="21"/>
          <w:highlight w:val="none"/>
          <w:lang w:val="en-US" w:eastAsia="zh-CN"/>
        </w:rPr>
        <w:t>480万元</w:t>
      </w:r>
      <w:r>
        <w:rPr>
          <w:rFonts w:hint="eastAsia" w:ascii="宋体" w:hAnsi="宋体"/>
          <w:color w:val="auto"/>
          <w:szCs w:val="21"/>
          <w:highlight w:val="none"/>
        </w:rPr>
        <w:t xml:space="preserve"> </w:t>
      </w:r>
    </w:p>
    <w:p w14:paraId="7AF6BBC1">
      <w:pPr>
        <w:spacing w:line="360" w:lineRule="auto"/>
        <w:ind w:firstLine="420" w:firstLineChars="200"/>
        <w:rPr>
          <w:rFonts w:hint="eastAsia" w:ascii="宋体" w:hAnsi="宋体" w:eastAsia="宋体" w:cs="Arial"/>
          <w:bCs/>
          <w:color w:val="auto"/>
          <w:szCs w:val="21"/>
          <w:highlight w:val="none"/>
          <w:lang w:val="en-US" w:eastAsia="zh-CN"/>
        </w:rPr>
      </w:pPr>
      <w:r>
        <w:rPr>
          <w:rFonts w:hint="eastAsia" w:ascii="宋体" w:hAnsi="宋体"/>
          <w:color w:val="auto"/>
          <w:szCs w:val="21"/>
          <w:highlight w:val="none"/>
        </w:rPr>
        <w:t>采购需</w:t>
      </w:r>
      <w:r>
        <w:rPr>
          <w:rFonts w:hint="eastAsia" w:ascii="宋体" w:hAnsi="宋体" w:cs="Arial"/>
          <w:bCs/>
          <w:color w:val="auto"/>
          <w:szCs w:val="21"/>
          <w:highlight w:val="none"/>
        </w:rPr>
        <w:t>求：</w:t>
      </w:r>
      <w:bookmarkStart w:id="10" w:name="OLE_LINK10"/>
      <w:bookmarkStart w:id="11" w:name="OLE_LINK9"/>
      <w:r>
        <w:rPr>
          <w:rFonts w:hint="eastAsia" w:ascii="宋体" w:hAnsi="宋体" w:cs="Arial"/>
          <w:bCs/>
          <w:color w:val="auto"/>
          <w:szCs w:val="21"/>
          <w:highlight w:val="none"/>
        </w:rPr>
        <w:t>柳州市黄村村及周边片区城中村改造项目（胜利地块）集体土地上房屋动迁服务</w:t>
      </w:r>
      <w:r>
        <w:rPr>
          <w:rFonts w:hint="eastAsia" w:ascii="宋体" w:hAnsi="宋体" w:cs="Arial"/>
          <w:bCs/>
          <w:color w:val="auto"/>
          <w:szCs w:val="21"/>
          <w:highlight w:val="none"/>
          <w:lang w:val="en-US" w:eastAsia="zh-CN"/>
        </w:rPr>
        <w:t>，本项目共需征收327户（其中：私户125户；集体资产202户）的房屋及附属物；项目拟征收总建筑面积约21万平方米; 供应商负责与柳州市黄村村及周边片区城中村改造项目（胜利地块）集体土地上房屋被征收人进行房屋征收补偿安置协商、组织采购人与被征收人签订和实施房屋征收补偿安置协议等工作。</w:t>
      </w:r>
    </w:p>
    <w:bookmarkEnd w:id="10"/>
    <w:bookmarkEnd w:id="11"/>
    <w:p w14:paraId="70B6BC49">
      <w:pPr>
        <w:spacing w:line="300" w:lineRule="auto"/>
        <w:ind w:firstLine="420" w:firstLineChars="200"/>
        <w:rPr>
          <w:rFonts w:hint="eastAsia" w:ascii="宋体" w:hAnsi="宋体"/>
          <w:color w:val="auto"/>
          <w:szCs w:val="21"/>
          <w:highlight w:val="none"/>
        </w:rPr>
      </w:pPr>
      <w:r>
        <w:rPr>
          <w:rFonts w:hint="eastAsia" w:ascii="宋体" w:hAnsi="宋体"/>
          <w:color w:val="auto"/>
          <w:szCs w:val="21"/>
          <w:highlight w:val="none"/>
        </w:rPr>
        <w:t>标项一：</w:t>
      </w:r>
    </w:p>
    <w:p w14:paraId="242A85A2">
      <w:pPr>
        <w:spacing w:line="300" w:lineRule="auto"/>
        <w:ind w:firstLine="420" w:firstLineChars="200"/>
        <w:rPr>
          <w:rFonts w:hint="eastAsia" w:ascii="宋体" w:hAnsi="宋体"/>
          <w:color w:val="auto"/>
          <w:szCs w:val="21"/>
          <w:highlight w:val="none"/>
        </w:rPr>
      </w:pPr>
      <w:r>
        <w:rPr>
          <w:rFonts w:hint="eastAsia" w:ascii="宋体" w:hAnsi="宋体"/>
          <w:color w:val="auto"/>
          <w:szCs w:val="21"/>
          <w:highlight w:val="none"/>
        </w:rPr>
        <w:t>标项名称：柳州市黄村村及周边片区城中村改造项目（胜利地块）集体土地上房屋动迁服务（一）</w:t>
      </w:r>
    </w:p>
    <w:p w14:paraId="171F6529">
      <w:pPr>
        <w:spacing w:line="300" w:lineRule="auto"/>
        <w:ind w:firstLine="420" w:firstLineChars="200"/>
        <w:rPr>
          <w:rFonts w:ascii="宋体" w:hAnsi="宋体"/>
          <w:color w:val="auto"/>
          <w:szCs w:val="21"/>
          <w:highlight w:val="none"/>
        </w:rPr>
      </w:pPr>
      <w:r>
        <w:rPr>
          <w:rFonts w:hint="eastAsia" w:ascii="宋体" w:hAnsi="宋体"/>
          <w:color w:val="auto"/>
          <w:szCs w:val="21"/>
          <w:highlight w:val="none"/>
        </w:rPr>
        <w:t>数量：1项</w:t>
      </w:r>
    </w:p>
    <w:p w14:paraId="34F30450">
      <w:pPr>
        <w:spacing w:line="300" w:lineRule="auto"/>
        <w:ind w:firstLine="420" w:firstLineChars="200"/>
        <w:rPr>
          <w:rFonts w:hint="eastAsia" w:ascii="宋体" w:hAnsi="宋体" w:eastAsia="宋体"/>
          <w:color w:val="auto"/>
          <w:szCs w:val="21"/>
          <w:highlight w:val="none"/>
          <w:lang w:val="en-US" w:eastAsia="zh-CN"/>
        </w:rPr>
      </w:pPr>
      <w:r>
        <w:rPr>
          <w:rFonts w:hint="eastAsia" w:ascii="宋体" w:hAnsi="宋体"/>
          <w:color w:val="auto"/>
          <w:szCs w:val="21"/>
          <w:highlight w:val="none"/>
        </w:rPr>
        <w:t>预算金额（元）：235</w:t>
      </w:r>
      <w:r>
        <w:rPr>
          <w:rFonts w:hint="eastAsia" w:ascii="宋体" w:hAnsi="宋体"/>
          <w:color w:val="auto"/>
          <w:szCs w:val="21"/>
          <w:highlight w:val="none"/>
          <w:lang w:val="en-US" w:eastAsia="zh-CN"/>
        </w:rPr>
        <w:t>0000.00</w:t>
      </w:r>
      <w:r>
        <w:rPr>
          <w:rFonts w:hint="eastAsia" w:ascii="宋体" w:hAnsi="宋体"/>
          <w:color w:val="auto"/>
          <w:szCs w:val="21"/>
          <w:highlight w:val="none"/>
          <w:lang w:eastAsia="zh-CN"/>
        </w:rPr>
        <w:t>元</w:t>
      </w:r>
      <w:r>
        <w:rPr>
          <w:rFonts w:hint="eastAsia" w:ascii="宋体" w:hAnsi="宋体"/>
          <w:color w:val="auto"/>
          <w:szCs w:val="21"/>
          <w:highlight w:val="none"/>
          <w:lang w:val="en-US" w:eastAsia="zh-CN"/>
        </w:rPr>
        <w:t xml:space="preserve"> </w:t>
      </w:r>
    </w:p>
    <w:p w14:paraId="261BE7E1">
      <w:pPr>
        <w:spacing w:line="300" w:lineRule="auto"/>
        <w:ind w:firstLine="420" w:firstLineChars="200"/>
        <w:rPr>
          <w:rFonts w:ascii="宋体" w:hAnsi="宋体"/>
          <w:color w:val="auto"/>
          <w:szCs w:val="21"/>
          <w:highlight w:val="none"/>
        </w:rPr>
      </w:pPr>
      <w:r>
        <w:rPr>
          <w:rFonts w:hint="eastAsia" w:ascii="宋体" w:hAnsi="宋体"/>
          <w:color w:val="auto"/>
          <w:szCs w:val="21"/>
          <w:highlight w:val="none"/>
        </w:rPr>
        <w:t>简要规格描述或项目基本概况介绍、用途：柳州市黄村村及周边片区城中村改造项目（胜利地块）集体土地上房屋动迁服务（一）</w:t>
      </w:r>
      <w:r>
        <w:rPr>
          <w:rFonts w:hint="eastAsia" w:ascii="宋体" w:hAnsi="宋体" w:cs="Arial"/>
          <w:bCs/>
          <w:color w:val="auto"/>
          <w:szCs w:val="21"/>
          <w:highlight w:val="none"/>
          <w:lang w:eastAsia="zh-CN"/>
        </w:rPr>
        <w:t>；</w:t>
      </w:r>
      <w:r>
        <w:rPr>
          <w:rFonts w:hint="eastAsia" w:ascii="宋体" w:hAnsi="宋体" w:cs="Arial"/>
          <w:bCs/>
          <w:color w:val="auto"/>
          <w:szCs w:val="21"/>
          <w:highlight w:val="none"/>
        </w:rPr>
        <w:t>项目拟征收房屋14</w:t>
      </w:r>
      <w:r>
        <w:rPr>
          <w:rFonts w:hint="eastAsia" w:ascii="宋体" w:hAnsi="宋体" w:cs="Arial"/>
          <w:bCs/>
          <w:color w:val="auto"/>
          <w:szCs w:val="21"/>
          <w:highlight w:val="none"/>
          <w:lang w:val="en-US" w:eastAsia="zh-CN"/>
        </w:rPr>
        <w:t>6</w:t>
      </w:r>
      <w:r>
        <w:rPr>
          <w:rFonts w:hint="eastAsia" w:ascii="宋体" w:hAnsi="宋体" w:cs="Arial"/>
          <w:bCs/>
          <w:color w:val="auto"/>
          <w:szCs w:val="21"/>
          <w:highlight w:val="none"/>
          <w:lang w:eastAsia="zh-CN"/>
        </w:rPr>
        <w:t>户</w:t>
      </w:r>
      <w:r>
        <w:rPr>
          <w:rFonts w:hint="eastAsia" w:ascii="宋体" w:hAnsi="宋体" w:cs="Arial"/>
          <w:bCs/>
          <w:color w:val="auto"/>
          <w:szCs w:val="21"/>
          <w:highlight w:val="none"/>
        </w:rPr>
        <w:t>，面积101624.38平方米</w:t>
      </w:r>
      <w:r>
        <w:rPr>
          <w:rFonts w:hint="eastAsia" w:ascii="宋体" w:hAnsi="宋体" w:cs="宋体"/>
          <w:color w:val="auto"/>
          <w:szCs w:val="21"/>
          <w:highlight w:val="none"/>
        </w:rPr>
        <w:t>（最终以实际完成工作量为准）</w:t>
      </w:r>
      <w:r>
        <w:rPr>
          <w:rFonts w:hint="eastAsia" w:ascii="宋体" w:hAnsi="宋体" w:cs="Adobe 宋体 Std L"/>
          <w:color w:val="auto"/>
          <w:szCs w:val="21"/>
          <w:highlight w:val="none"/>
        </w:rPr>
        <w:t>。</w:t>
      </w:r>
      <w:r>
        <w:rPr>
          <w:rFonts w:hint="eastAsia" w:ascii="宋体" w:hAnsi="宋体" w:cs="Arial"/>
          <w:bCs/>
          <w:color w:val="auto"/>
          <w:szCs w:val="21"/>
          <w:highlight w:val="none"/>
        </w:rPr>
        <w:t>具体内容详见招标文件。</w:t>
      </w:r>
    </w:p>
    <w:p w14:paraId="2D10F713">
      <w:pPr>
        <w:spacing w:line="300" w:lineRule="auto"/>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rPr>
        <w:t>最高限价（元）：</w:t>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235</w:t>
      </w:r>
      <w:r>
        <w:rPr>
          <w:rFonts w:hint="eastAsia" w:ascii="宋体" w:hAnsi="宋体"/>
          <w:color w:val="auto"/>
          <w:szCs w:val="21"/>
          <w:highlight w:val="none"/>
          <w:lang w:val="en-US" w:eastAsia="zh-CN"/>
        </w:rPr>
        <w:t>0000.00</w:t>
      </w:r>
      <w:r>
        <w:rPr>
          <w:rFonts w:hint="eastAsia" w:ascii="宋体" w:hAnsi="宋体"/>
          <w:color w:val="auto"/>
          <w:szCs w:val="21"/>
          <w:highlight w:val="none"/>
          <w:lang w:eastAsia="zh-CN"/>
        </w:rPr>
        <w:t>元</w:t>
      </w:r>
    </w:p>
    <w:p w14:paraId="1F38B23E">
      <w:pPr>
        <w:spacing w:line="300" w:lineRule="auto"/>
        <w:ind w:firstLine="420" w:firstLineChars="200"/>
        <w:rPr>
          <w:rFonts w:hint="eastAsia" w:ascii="宋体" w:hAnsi="宋体"/>
          <w:bCs/>
          <w:color w:val="auto"/>
          <w:szCs w:val="21"/>
          <w:highlight w:val="none"/>
        </w:rPr>
      </w:pPr>
      <w:r>
        <w:rPr>
          <w:rFonts w:hint="eastAsia" w:ascii="宋体" w:hAnsi="宋体"/>
          <w:color w:val="auto"/>
          <w:szCs w:val="21"/>
          <w:highlight w:val="none"/>
        </w:rPr>
        <w:t>合同履约期限：</w:t>
      </w:r>
      <w:r>
        <w:rPr>
          <w:rFonts w:hint="eastAsia" w:ascii="宋体" w:hAnsi="宋体" w:cs="Arial"/>
          <w:bCs/>
          <w:color w:val="auto"/>
          <w:szCs w:val="21"/>
          <w:highlight w:val="none"/>
        </w:rPr>
        <w:t>服务年限暂定3年(最终以实际工作完成为准)</w:t>
      </w:r>
      <w:r>
        <w:rPr>
          <w:rFonts w:hint="eastAsia" w:ascii="宋体" w:hAnsi="宋体"/>
          <w:bCs/>
          <w:color w:val="auto"/>
          <w:szCs w:val="21"/>
          <w:highlight w:val="none"/>
        </w:rPr>
        <w:t>。</w:t>
      </w:r>
    </w:p>
    <w:p w14:paraId="6ABA6FCD">
      <w:pPr>
        <w:spacing w:line="300" w:lineRule="auto"/>
        <w:ind w:firstLine="420" w:firstLineChars="200"/>
        <w:rPr>
          <w:rFonts w:hint="eastAsia" w:ascii="宋体" w:hAnsi="宋体"/>
          <w:bCs/>
          <w:color w:val="auto"/>
          <w:szCs w:val="21"/>
          <w:highlight w:val="none"/>
        </w:rPr>
      </w:pPr>
    </w:p>
    <w:p w14:paraId="229DDCB2">
      <w:pPr>
        <w:spacing w:line="300" w:lineRule="auto"/>
        <w:ind w:firstLine="420" w:firstLineChars="200"/>
        <w:rPr>
          <w:rFonts w:hint="eastAsia" w:ascii="宋体" w:hAnsi="宋体"/>
          <w:color w:val="auto"/>
          <w:szCs w:val="21"/>
          <w:highlight w:val="none"/>
        </w:rPr>
      </w:pPr>
      <w:r>
        <w:rPr>
          <w:rFonts w:hint="eastAsia" w:ascii="宋体" w:hAnsi="宋体"/>
          <w:color w:val="auto"/>
          <w:szCs w:val="21"/>
          <w:highlight w:val="none"/>
        </w:rPr>
        <w:t>标项二：</w:t>
      </w:r>
    </w:p>
    <w:p w14:paraId="3220CB32">
      <w:pPr>
        <w:spacing w:line="300" w:lineRule="auto"/>
        <w:ind w:firstLine="420" w:firstLineChars="200"/>
        <w:rPr>
          <w:rFonts w:hint="eastAsia" w:ascii="宋体" w:hAnsi="宋体"/>
          <w:color w:val="auto"/>
          <w:szCs w:val="21"/>
          <w:highlight w:val="none"/>
        </w:rPr>
      </w:pPr>
      <w:r>
        <w:rPr>
          <w:rFonts w:hint="eastAsia" w:ascii="宋体" w:hAnsi="宋体"/>
          <w:color w:val="auto"/>
          <w:szCs w:val="21"/>
          <w:highlight w:val="none"/>
        </w:rPr>
        <w:t>标项名称：柳州市黄村村及周边片区城中村改造项目（胜利地块）集体土地上房屋动迁服务（</w:t>
      </w:r>
      <w:r>
        <w:rPr>
          <w:rFonts w:hint="eastAsia" w:ascii="宋体" w:hAnsi="宋体"/>
          <w:color w:val="auto"/>
          <w:szCs w:val="21"/>
          <w:highlight w:val="none"/>
          <w:lang w:eastAsia="zh-CN"/>
        </w:rPr>
        <w:t>二</w:t>
      </w:r>
      <w:r>
        <w:rPr>
          <w:rFonts w:hint="eastAsia" w:ascii="宋体" w:hAnsi="宋体"/>
          <w:color w:val="auto"/>
          <w:szCs w:val="21"/>
          <w:highlight w:val="none"/>
        </w:rPr>
        <w:t>）</w:t>
      </w:r>
    </w:p>
    <w:p w14:paraId="1A1C45B1">
      <w:pPr>
        <w:spacing w:line="300" w:lineRule="auto"/>
        <w:ind w:firstLine="420" w:firstLineChars="200"/>
        <w:rPr>
          <w:rFonts w:ascii="宋体" w:hAnsi="宋体"/>
          <w:color w:val="auto"/>
          <w:szCs w:val="21"/>
          <w:highlight w:val="none"/>
        </w:rPr>
      </w:pPr>
      <w:r>
        <w:rPr>
          <w:rFonts w:hint="eastAsia" w:ascii="宋体" w:hAnsi="宋体"/>
          <w:color w:val="auto"/>
          <w:szCs w:val="21"/>
          <w:highlight w:val="none"/>
        </w:rPr>
        <w:t>数量：1项</w:t>
      </w:r>
    </w:p>
    <w:p w14:paraId="11FBED0E">
      <w:pPr>
        <w:spacing w:line="300" w:lineRule="auto"/>
        <w:ind w:firstLine="420" w:firstLineChars="200"/>
        <w:rPr>
          <w:rFonts w:hint="default" w:ascii="宋体" w:hAnsi="宋体" w:eastAsia="宋体"/>
          <w:color w:val="auto"/>
          <w:szCs w:val="21"/>
          <w:highlight w:val="none"/>
          <w:lang w:val="en-US" w:eastAsia="zh-CN"/>
        </w:rPr>
      </w:pPr>
      <w:r>
        <w:rPr>
          <w:rFonts w:hint="eastAsia" w:ascii="宋体" w:hAnsi="宋体"/>
          <w:color w:val="auto"/>
          <w:szCs w:val="21"/>
          <w:highlight w:val="none"/>
        </w:rPr>
        <w:t>预算金额（元）：</w:t>
      </w:r>
      <w:r>
        <w:rPr>
          <w:rFonts w:hint="eastAsia" w:ascii="宋体" w:hAnsi="宋体"/>
          <w:color w:val="auto"/>
          <w:szCs w:val="21"/>
          <w:highlight w:val="none"/>
          <w:lang w:val="en-US" w:eastAsia="zh-CN"/>
        </w:rPr>
        <w:t>2</w:t>
      </w:r>
      <w:r>
        <w:rPr>
          <w:rFonts w:hint="eastAsia" w:ascii="宋体" w:hAnsi="宋体"/>
          <w:color w:val="auto"/>
          <w:szCs w:val="21"/>
          <w:highlight w:val="none"/>
        </w:rPr>
        <w:t>45</w:t>
      </w:r>
      <w:r>
        <w:rPr>
          <w:rFonts w:hint="eastAsia" w:ascii="宋体" w:hAnsi="宋体"/>
          <w:color w:val="auto"/>
          <w:szCs w:val="21"/>
          <w:highlight w:val="none"/>
          <w:lang w:val="en-US" w:eastAsia="zh-CN"/>
        </w:rPr>
        <w:t xml:space="preserve">0000.00元 </w:t>
      </w:r>
    </w:p>
    <w:p w14:paraId="4B88A833">
      <w:pPr>
        <w:spacing w:line="276" w:lineRule="auto"/>
        <w:ind w:firstLine="308" w:firstLineChars="147"/>
        <w:rPr>
          <w:rFonts w:ascii="宋体" w:hAnsi="宋体"/>
          <w:color w:val="auto"/>
          <w:szCs w:val="21"/>
          <w:highlight w:val="none"/>
        </w:rPr>
      </w:pPr>
      <w:r>
        <w:rPr>
          <w:rFonts w:hint="eastAsia" w:ascii="宋体" w:hAnsi="宋体"/>
          <w:color w:val="auto"/>
          <w:szCs w:val="21"/>
          <w:highlight w:val="none"/>
        </w:rPr>
        <w:t>简要规格描述或项目基本概况介绍、用途：柳州市黄村村及周边片区城中村改造项目（胜利地块）集体土地上房屋动迁服务（</w:t>
      </w:r>
      <w:r>
        <w:rPr>
          <w:rFonts w:hint="eastAsia" w:ascii="宋体" w:hAnsi="宋体"/>
          <w:color w:val="auto"/>
          <w:szCs w:val="21"/>
          <w:highlight w:val="none"/>
          <w:lang w:eastAsia="zh-CN"/>
        </w:rPr>
        <w:t>二</w:t>
      </w:r>
      <w:r>
        <w:rPr>
          <w:rFonts w:hint="eastAsia" w:ascii="宋体" w:hAnsi="宋体"/>
          <w:color w:val="auto"/>
          <w:szCs w:val="21"/>
          <w:highlight w:val="none"/>
        </w:rPr>
        <w:t>）</w:t>
      </w:r>
      <w:r>
        <w:rPr>
          <w:rFonts w:hint="eastAsia" w:ascii="宋体" w:hAnsi="宋体" w:cs="Arial"/>
          <w:bCs/>
          <w:color w:val="auto"/>
          <w:szCs w:val="21"/>
          <w:highlight w:val="none"/>
          <w:lang w:eastAsia="zh-CN"/>
        </w:rPr>
        <w:t>；</w:t>
      </w:r>
      <w:r>
        <w:rPr>
          <w:rFonts w:hint="eastAsia" w:ascii="宋体" w:hAnsi="宋体" w:cs="Arial"/>
          <w:bCs/>
          <w:color w:val="auto"/>
          <w:szCs w:val="21"/>
          <w:highlight w:val="none"/>
        </w:rPr>
        <w:t>项目拟征收房屋</w:t>
      </w:r>
      <w:r>
        <w:rPr>
          <w:rFonts w:hint="eastAsia" w:ascii="宋体" w:hAnsi="宋体" w:cs="Arial"/>
          <w:bCs/>
          <w:color w:val="auto"/>
          <w:szCs w:val="21"/>
          <w:highlight w:val="none"/>
          <w:lang w:val="en-US" w:eastAsia="zh-CN"/>
        </w:rPr>
        <w:t>181户，面积105462.4平方米</w:t>
      </w:r>
      <w:r>
        <w:rPr>
          <w:rFonts w:hint="eastAsia" w:ascii="宋体" w:hAnsi="宋体" w:cs="宋体"/>
          <w:color w:val="auto"/>
          <w:szCs w:val="21"/>
          <w:highlight w:val="none"/>
        </w:rPr>
        <w:t>（最终以实际完成工作量为准）</w:t>
      </w:r>
      <w:r>
        <w:rPr>
          <w:rFonts w:hint="eastAsia" w:ascii="宋体" w:hAnsi="宋体" w:cs="Adobe 宋体 Std L"/>
          <w:color w:val="auto"/>
          <w:szCs w:val="21"/>
          <w:highlight w:val="none"/>
        </w:rPr>
        <w:t>。</w:t>
      </w:r>
      <w:r>
        <w:rPr>
          <w:rFonts w:hint="eastAsia" w:ascii="宋体" w:hAnsi="宋体" w:cs="Arial"/>
          <w:bCs/>
          <w:color w:val="auto"/>
          <w:szCs w:val="21"/>
          <w:highlight w:val="none"/>
        </w:rPr>
        <w:t>具体内容详见招标文件。</w:t>
      </w:r>
    </w:p>
    <w:p w14:paraId="41BC4CF2">
      <w:pPr>
        <w:spacing w:line="300" w:lineRule="auto"/>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rPr>
        <w:t>最高限价（元）：</w:t>
      </w:r>
      <w:r>
        <w:rPr>
          <w:rFonts w:hint="eastAsia" w:ascii="宋体" w:hAnsi="宋体"/>
          <w:color w:val="auto"/>
          <w:szCs w:val="21"/>
          <w:highlight w:val="none"/>
          <w:lang w:val="en-US" w:eastAsia="zh-CN"/>
        </w:rPr>
        <w:t>2</w:t>
      </w:r>
      <w:r>
        <w:rPr>
          <w:rFonts w:hint="eastAsia" w:ascii="宋体" w:hAnsi="宋体"/>
          <w:color w:val="auto"/>
          <w:szCs w:val="21"/>
          <w:highlight w:val="none"/>
        </w:rPr>
        <w:t>45</w:t>
      </w:r>
      <w:r>
        <w:rPr>
          <w:rFonts w:hint="eastAsia" w:ascii="宋体" w:hAnsi="宋体"/>
          <w:color w:val="auto"/>
          <w:szCs w:val="21"/>
          <w:highlight w:val="none"/>
          <w:lang w:val="en-US" w:eastAsia="zh-CN"/>
        </w:rPr>
        <w:t xml:space="preserve">0000.00元 </w:t>
      </w:r>
    </w:p>
    <w:p w14:paraId="74BC25B6">
      <w:pPr>
        <w:spacing w:line="300" w:lineRule="auto"/>
        <w:ind w:firstLine="420" w:firstLineChars="200"/>
        <w:rPr>
          <w:rFonts w:hint="eastAsia" w:ascii="宋体" w:hAnsi="宋体"/>
          <w:bCs/>
          <w:color w:val="auto"/>
          <w:szCs w:val="21"/>
          <w:highlight w:val="none"/>
        </w:rPr>
      </w:pPr>
      <w:r>
        <w:rPr>
          <w:rFonts w:hint="eastAsia" w:ascii="宋体" w:hAnsi="宋体"/>
          <w:color w:val="auto"/>
          <w:szCs w:val="21"/>
          <w:highlight w:val="none"/>
        </w:rPr>
        <w:t>合同履约期限：</w:t>
      </w:r>
      <w:r>
        <w:rPr>
          <w:rFonts w:hint="eastAsia" w:ascii="宋体" w:hAnsi="宋体" w:cs="Arial"/>
          <w:bCs/>
          <w:color w:val="auto"/>
          <w:szCs w:val="21"/>
          <w:highlight w:val="none"/>
        </w:rPr>
        <w:t>服务年限暂定3年(最终以实际工作完成为准)</w:t>
      </w:r>
      <w:r>
        <w:rPr>
          <w:rFonts w:hint="eastAsia" w:ascii="宋体" w:hAnsi="宋体"/>
          <w:bCs/>
          <w:color w:val="auto"/>
          <w:szCs w:val="21"/>
          <w:highlight w:val="none"/>
        </w:rPr>
        <w:t>。</w:t>
      </w:r>
    </w:p>
    <w:p w14:paraId="1DF1E7F3">
      <w:pPr>
        <w:spacing w:line="360" w:lineRule="auto"/>
        <w:ind w:firstLine="420" w:firstLineChars="200"/>
        <w:rPr>
          <w:rFonts w:hint="eastAsia" w:ascii="宋体" w:hAnsi="宋体" w:cs="宋体"/>
          <w:color w:val="auto"/>
          <w:szCs w:val="21"/>
          <w:highlight w:val="none"/>
        </w:rPr>
      </w:pPr>
    </w:p>
    <w:p w14:paraId="4E9DDE2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本项目</w:t>
      </w:r>
      <w:r>
        <w:rPr>
          <w:rFonts w:hint="eastAsia" w:ascii="宋体" w:hAnsi="宋体" w:cs="宋体"/>
          <w:b/>
          <w:color w:val="auto"/>
          <w:szCs w:val="21"/>
          <w:highlight w:val="none"/>
        </w:rPr>
        <w:t>不</w:t>
      </w:r>
      <w:r>
        <w:rPr>
          <w:rFonts w:hint="eastAsia" w:ascii="宋体" w:hAnsi="宋体" w:cs="宋体"/>
          <w:b/>
          <w:bCs/>
          <w:color w:val="auto"/>
          <w:szCs w:val="21"/>
          <w:highlight w:val="none"/>
        </w:rPr>
        <w:t>接受</w:t>
      </w:r>
      <w:r>
        <w:rPr>
          <w:rFonts w:hint="eastAsia" w:ascii="宋体" w:hAnsi="宋体" w:cs="宋体"/>
          <w:color w:val="auto"/>
          <w:szCs w:val="21"/>
          <w:highlight w:val="none"/>
        </w:rPr>
        <w:t>联合体投标。</w:t>
      </w:r>
    </w:p>
    <w:p w14:paraId="298ECBE3">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备注：本项目为线上电子招标项目，采用远程异地评标，有意向参与本项目的供应商应当做好参与全流程电子招投标交易的充分准备。</w:t>
      </w:r>
    </w:p>
    <w:p w14:paraId="103ABAEB">
      <w:pPr>
        <w:spacing w:line="360" w:lineRule="auto"/>
        <w:rPr>
          <w:rFonts w:ascii="宋体" w:hAnsi="宋体" w:cs="宋体"/>
          <w:b/>
          <w:bCs/>
          <w:color w:val="auto"/>
          <w:szCs w:val="21"/>
          <w:highlight w:val="none"/>
        </w:rPr>
      </w:pPr>
      <w:bookmarkStart w:id="12" w:name="_Toc35393622"/>
      <w:bookmarkStart w:id="13" w:name="_Toc35393791"/>
      <w:bookmarkStart w:id="14" w:name="_Toc28359003"/>
      <w:bookmarkStart w:id="15" w:name="_Toc28359080"/>
      <w:r>
        <w:rPr>
          <w:rFonts w:hint="eastAsia" w:ascii="宋体" w:hAnsi="宋体" w:cs="宋体"/>
          <w:b/>
          <w:bCs/>
          <w:color w:val="auto"/>
          <w:szCs w:val="21"/>
          <w:highlight w:val="none"/>
        </w:rPr>
        <w:t>二、申请人的资格要求：</w:t>
      </w:r>
      <w:bookmarkEnd w:id="12"/>
      <w:bookmarkEnd w:id="13"/>
      <w:bookmarkEnd w:id="14"/>
      <w:bookmarkEnd w:id="15"/>
    </w:p>
    <w:p w14:paraId="5757E9C5">
      <w:pPr>
        <w:spacing w:line="360" w:lineRule="auto"/>
        <w:ind w:firstLine="420" w:firstLineChars="200"/>
        <w:rPr>
          <w:rFonts w:ascii="宋体" w:hAnsi="宋体" w:cs="宋体"/>
          <w:color w:val="auto"/>
          <w:szCs w:val="21"/>
          <w:highlight w:val="none"/>
        </w:rPr>
      </w:pPr>
      <w:bookmarkStart w:id="16" w:name="_Hlk51746371"/>
      <w:bookmarkStart w:id="17" w:name="_Toc28359081"/>
      <w:bookmarkStart w:id="18" w:name="_Toc35393792"/>
      <w:bookmarkStart w:id="19" w:name="_Toc35393623"/>
      <w:bookmarkStart w:id="20" w:name="_Toc28359004"/>
      <w:r>
        <w:rPr>
          <w:rFonts w:hint="eastAsia" w:ascii="宋体" w:hAnsi="宋体" w:cs="宋体"/>
          <w:color w:val="auto"/>
          <w:szCs w:val="21"/>
          <w:highlight w:val="none"/>
        </w:rPr>
        <w:t>1.满足《中华人民共和国政府采购法》第二十二条规定；</w:t>
      </w:r>
    </w:p>
    <w:p w14:paraId="03255CD5">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2.落实政府采购政策需满足的资格要求：本项目为专门面向中小企业采购项目，提供的服务全部由符合政策要求的中小企业承接：监狱企业、残疾人福利单位视同小型、微型企业；中小企业须符合本项目采购标的所属行业对应的中小企业划分标准；</w:t>
      </w:r>
    </w:p>
    <w:p w14:paraId="5595DF6C">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3.本项目的特定资格要求：无。</w:t>
      </w:r>
    </w:p>
    <w:bookmarkEnd w:id="16"/>
    <w:p w14:paraId="66AB1FB8">
      <w:pPr>
        <w:spacing w:line="360" w:lineRule="auto"/>
        <w:rPr>
          <w:rFonts w:ascii="宋体" w:hAnsi="宋体" w:cs="宋体"/>
          <w:b/>
          <w:bCs/>
          <w:color w:val="auto"/>
          <w:szCs w:val="21"/>
          <w:highlight w:val="none"/>
        </w:rPr>
      </w:pPr>
      <w:r>
        <w:rPr>
          <w:rFonts w:hint="eastAsia" w:ascii="宋体" w:hAnsi="宋体" w:cs="宋体"/>
          <w:b/>
          <w:bCs/>
          <w:color w:val="auto"/>
          <w:szCs w:val="21"/>
          <w:highlight w:val="none"/>
        </w:rPr>
        <w:t>三、获取招标文件</w:t>
      </w:r>
      <w:bookmarkEnd w:id="17"/>
      <w:bookmarkEnd w:id="18"/>
      <w:bookmarkEnd w:id="19"/>
      <w:bookmarkEnd w:id="20"/>
    </w:p>
    <w:p w14:paraId="595FCE22">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 xml:space="preserve">  时间：202</w:t>
      </w:r>
      <w:r>
        <w:rPr>
          <w:rFonts w:hint="eastAsia" w:ascii="宋体" w:hAnsi="宋体" w:cs="宋体"/>
          <w:bCs/>
          <w:color w:val="auto"/>
          <w:kern w:val="0"/>
          <w:szCs w:val="21"/>
          <w:highlight w:val="none"/>
          <w:lang w:val="en-US" w:eastAsia="zh-CN"/>
        </w:rPr>
        <w:t>5</w:t>
      </w:r>
      <w:r>
        <w:rPr>
          <w:rFonts w:hint="eastAsia" w:ascii="宋体" w:hAnsi="宋体" w:cs="宋体"/>
          <w:bCs/>
          <w:color w:val="auto"/>
          <w:kern w:val="0"/>
          <w:szCs w:val="21"/>
          <w:highlight w:val="none"/>
        </w:rPr>
        <w:t>年</w:t>
      </w:r>
      <w:r>
        <w:rPr>
          <w:rFonts w:hint="eastAsia" w:ascii="宋体" w:hAnsi="宋体" w:cs="宋体"/>
          <w:bCs/>
          <w:color w:val="auto"/>
          <w:kern w:val="0"/>
          <w:szCs w:val="21"/>
          <w:highlight w:val="none"/>
          <w:lang w:val="en-US" w:eastAsia="zh-CN"/>
        </w:rPr>
        <w:t xml:space="preserve">  </w:t>
      </w:r>
      <w:r>
        <w:rPr>
          <w:rFonts w:hint="eastAsia" w:ascii="宋体" w:hAnsi="宋体" w:cs="宋体"/>
          <w:bCs/>
          <w:color w:val="auto"/>
          <w:kern w:val="0"/>
          <w:szCs w:val="21"/>
          <w:highlight w:val="none"/>
        </w:rPr>
        <w:t>月</w:t>
      </w:r>
      <w:r>
        <w:rPr>
          <w:rFonts w:hint="eastAsia" w:ascii="宋体" w:hAnsi="宋体" w:cs="宋体"/>
          <w:bCs/>
          <w:color w:val="auto"/>
          <w:kern w:val="0"/>
          <w:szCs w:val="21"/>
          <w:highlight w:val="none"/>
          <w:lang w:val="en-US" w:eastAsia="zh-CN"/>
        </w:rPr>
        <w:t xml:space="preserve">  </w:t>
      </w:r>
      <w:r>
        <w:rPr>
          <w:rFonts w:hint="eastAsia" w:ascii="宋体" w:hAnsi="宋体" w:cs="宋体"/>
          <w:bCs/>
          <w:color w:val="auto"/>
          <w:kern w:val="0"/>
          <w:szCs w:val="21"/>
          <w:highlight w:val="none"/>
        </w:rPr>
        <w:t>日至202</w:t>
      </w:r>
      <w:r>
        <w:rPr>
          <w:rFonts w:hint="eastAsia" w:ascii="宋体" w:hAnsi="宋体" w:cs="宋体"/>
          <w:bCs/>
          <w:color w:val="auto"/>
          <w:kern w:val="0"/>
          <w:szCs w:val="21"/>
          <w:highlight w:val="none"/>
          <w:lang w:val="en-US" w:eastAsia="zh-CN"/>
        </w:rPr>
        <w:t>5</w:t>
      </w:r>
      <w:r>
        <w:rPr>
          <w:rFonts w:hint="eastAsia" w:ascii="宋体" w:hAnsi="宋体" w:cs="宋体"/>
          <w:bCs/>
          <w:color w:val="auto"/>
          <w:kern w:val="0"/>
          <w:szCs w:val="21"/>
          <w:highlight w:val="none"/>
        </w:rPr>
        <w:t>年</w:t>
      </w:r>
      <w:r>
        <w:rPr>
          <w:rFonts w:hint="eastAsia" w:ascii="宋体" w:hAnsi="宋体" w:cs="宋体"/>
          <w:bCs/>
          <w:color w:val="auto"/>
          <w:kern w:val="0"/>
          <w:szCs w:val="21"/>
          <w:highlight w:val="none"/>
          <w:lang w:val="en-US" w:eastAsia="zh-CN"/>
        </w:rPr>
        <w:t xml:space="preserve">  </w:t>
      </w:r>
      <w:r>
        <w:rPr>
          <w:rFonts w:hint="eastAsia" w:ascii="宋体" w:hAnsi="宋体" w:cs="宋体"/>
          <w:bCs/>
          <w:color w:val="auto"/>
          <w:kern w:val="0"/>
          <w:szCs w:val="21"/>
          <w:highlight w:val="none"/>
        </w:rPr>
        <w:t>月</w:t>
      </w:r>
      <w:r>
        <w:rPr>
          <w:rFonts w:hint="eastAsia" w:ascii="宋体" w:hAnsi="宋体" w:cs="宋体"/>
          <w:bCs/>
          <w:color w:val="auto"/>
          <w:kern w:val="0"/>
          <w:szCs w:val="21"/>
          <w:highlight w:val="none"/>
          <w:lang w:val="en-US" w:eastAsia="zh-CN"/>
        </w:rPr>
        <w:t xml:space="preserve">  </w:t>
      </w:r>
      <w:r>
        <w:rPr>
          <w:rFonts w:hint="eastAsia" w:ascii="宋体" w:hAnsi="宋体" w:cs="宋体"/>
          <w:bCs/>
          <w:color w:val="auto"/>
          <w:kern w:val="0"/>
          <w:szCs w:val="21"/>
          <w:highlight w:val="none"/>
        </w:rPr>
        <w:t>日，每天上午</w:t>
      </w:r>
      <w:r>
        <w:rPr>
          <w:rFonts w:hint="eastAsia" w:ascii="宋体" w:hAnsi="宋体" w:cs="宋体"/>
          <w:bCs/>
          <w:color w:val="auto"/>
          <w:kern w:val="0"/>
          <w:szCs w:val="21"/>
          <w:highlight w:val="none"/>
          <w:lang w:val="en-US" w:eastAsia="zh-CN"/>
        </w:rPr>
        <w:t>8</w:t>
      </w:r>
      <w:r>
        <w:rPr>
          <w:rFonts w:hint="eastAsia" w:ascii="宋体" w:hAnsi="宋体" w:cs="宋体"/>
          <w:bCs/>
          <w:color w:val="auto"/>
          <w:kern w:val="0"/>
          <w:szCs w:val="21"/>
          <w:highlight w:val="none"/>
        </w:rPr>
        <w:t>:00至12:00，下午12:00至</w:t>
      </w:r>
      <w:r>
        <w:rPr>
          <w:rFonts w:hint="eastAsia" w:ascii="宋体" w:hAnsi="宋体" w:cs="宋体"/>
          <w:bCs/>
          <w:color w:val="auto"/>
          <w:kern w:val="0"/>
          <w:szCs w:val="21"/>
          <w:highlight w:val="none"/>
          <w:lang w:val="en-US" w:eastAsia="zh-CN"/>
        </w:rPr>
        <w:t>17</w:t>
      </w:r>
      <w:r>
        <w:rPr>
          <w:rFonts w:hint="eastAsia" w:ascii="宋体" w:hAnsi="宋体" w:cs="宋体"/>
          <w:bCs/>
          <w:color w:val="auto"/>
          <w:kern w:val="0"/>
          <w:szCs w:val="21"/>
          <w:highlight w:val="none"/>
        </w:rPr>
        <w:t>:</w:t>
      </w:r>
      <w:r>
        <w:rPr>
          <w:rFonts w:hint="eastAsia" w:ascii="宋体" w:hAnsi="宋体" w:cs="宋体"/>
          <w:bCs/>
          <w:color w:val="auto"/>
          <w:kern w:val="0"/>
          <w:szCs w:val="21"/>
          <w:highlight w:val="none"/>
          <w:lang w:val="en-US" w:eastAsia="zh-CN"/>
        </w:rPr>
        <w:t>30</w:t>
      </w:r>
      <w:r>
        <w:rPr>
          <w:rFonts w:hint="eastAsia" w:ascii="宋体" w:hAnsi="宋体" w:cs="宋体"/>
          <w:bCs/>
          <w:color w:val="auto"/>
          <w:kern w:val="0"/>
          <w:szCs w:val="21"/>
          <w:highlight w:val="none"/>
        </w:rPr>
        <w:t>（北京时间，法定节假日除外）</w:t>
      </w:r>
    </w:p>
    <w:p w14:paraId="2CB7FC05">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 xml:space="preserve">    地点（网址）：“广西政府采购云”平台</w:t>
      </w:r>
    </w:p>
    <w:p w14:paraId="7805CA77">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 xml:space="preserve">    方式：供应商登录“广西政府采购云”平台（https://www.gcy.zfcg.gxzf.gov.cn/）在线申请获取采购文件（进入“项目采购”应用，在获取采购文件菜单中选择项目，实名获取采购文件）  </w:t>
      </w:r>
    </w:p>
    <w:p w14:paraId="455903DC">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 xml:space="preserve">    售价（元）：0</w:t>
      </w:r>
    </w:p>
    <w:p w14:paraId="3D374AB1">
      <w:pPr>
        <w:spacing w:line="360" w:lineRule="auto"/>
        <w:rPr>
          <w:rFonts w:ascii="宋体" w:hAnsi="宋体" w:cs="宋体"/>
          <w:b/>
          <w:bCs/>
          <w:color w:val="auto"/>
          <w:szCs w:val="21"/>
          <w:highlight w:val="none"/>
        </w:rPr>
      </w:pPr>
      <w:bookmarkStart w:id="21" w:name="_Toc28359082"/>
      <w:bookmarkStart w:id="22" w:name="_Toc28359005"/>
      <w:bookmarkStart w:id="23" w:name="_Toc35393793"/>
      <w:bookmarkStart w:id="24" w:name="_Toc35393624"/>
      <w:r>
        <w:rPr>
          <w:rFonts w:hint="eastAsia" w:ascii="宋体" w:hAnsi="宋体" w:cs="宋体"/>
          <w:b/>
          <w:bCs/>
          <w:color w:val="auto"/>
          <w:szCs w:val="21"/>
          <w:highlight w:val="none"/>
        </w:rPr>
        <w:t>四、提交投标文件</w:t>
      </w:r>
      <w:bookmarkEnd w:id="21"/>
      <w:bookmarkEnd w:id="22"/>
      <w:r>
        <w:rPr>
          <w:rFonts w:hint="eastAsia" w:ascii="宋体" w:hAnsi="宋体" w:cs="宋体"/>
          <w:b/>
          <w:bCs/>
          <w:color w:val="auto"/>
          <w:szCs w:val="21"/>
          <w:highlight w:val="none"/>
        </w:rPr>
        <w:t>截止时间、开标时间和地点</w:t>
      </w:r>
      <w:bookmarkEnd w:id="23"/>
      <w:bookmarkEnd w:id="24"/>
    </w:p>
    <w:p w14:paraId="2B9A24C1">
      <w:pPr>
        <w:spacing w:line="360" w:lineRule="auto"/>
        <w:ind w:firstLine="420" w:firstLineChars="200"/>
        <w:rPr>
          <w:rFonts w:ascii="宋体" w:hAnsi="宋体" w:cs="宋体"/>
          <w:bCs/>
          <w:color w:val="auto"/>
          <w:kern w:val="0"/>
          <w:szCs w:val="21"/>
          <w:highlight w:val="none"/>
        </w:rPr>
      </w:pPr>
      <w:bookmarkStart w:id="25" w:name="_Toc28359084"/>
      <w:bookmarkStart w:id="26" w:name="_Toc28359007"/>
      <w:bookmarkStart w:id="27" w:name="_Toc35393625"/>
      <w:bookmarkStart w:id="28" w:name="_Toc35393794"/>
      <w:r>
        <w:rPr>
          <w:rFonts w:hint="eastAsia" w:ascii="宋体" w:hAnsi="宋体" w:cs="宋体"/>
          <w:bCs/>
          <w:color w:val="auto"/>
          <w:kern w:val="0"/>
          <w:szCs w:val="21"/>
          <w:highlight w:val="none"/>
        </w:rPr>
        <w:t>提交投标文件截止时间：2025年</w:t>
      </w:r>
      <w:r>
        <w:rPr>
          <w:rFonts w:hint="eastAsia" w:ascii="宋体" w:hAnsi="宋体" w:cs="宋体"/>
          <w:bCs/>
          <w:color w:val="auto"/>
          <w:kern w:val="0"/>
          <w:szCs w:val="21"/>
          <w:highlight w:val="none"/>
          <w:lang w:val="en-US" w:eastAsia="zh-CN"/>
        </w:rPr>
        <w:t xml:space="preserve">  </w:t>
      </w:r>
      <w:r>
        <w:rPr>
          <w:rFonts w:hint="eastAsia" w:ascii="宋体" w:hAnsi="宋体" w:cs="宋体"/>
          <w:bCs/>
          <w:color w:val="auto"/>
          <w:kern w:val="0"/>
          <w:szCs w:val="21"/>
          <w:highlight w:val="none"/>
        </w:rPr>
        <w:t>月</w:t>
      </w:r>
      <w:r>
        <w:rPr>
          <w:rFonts w:hint="eastAsia" w:ascii="宋体" w:hAnsi="宋体" w:cs="宋体"/>
          <w:bCs/>
          <w:color w:val="auto"/>
          <w:kern w:val="0"/>
          <w:szCs w:val="21"/>
          <w:highlight w:val="none"/>
          <w:lang w:val="en-US" w:eastAsia="zh-CN"/>
        </w:rPr>
        <w:t xml:space="preserve">   </w:t>
      </w:r>
      <w:r>
        <w:rPr>
          <w:rFonts w:hint="eastAsia" w:ascii="宋体" w:hAnsi="宋体" w:cs="宋体"/>
          <w:bCs/>
          <w:color w:val="auto"/>
          <w:kern w:val="0"/>
          <w:szCs w:val="21"/>
          <w:highlight w:val="none"/>
        </w:rPr>
        <w:t>日9点20分（北京时间）</w:t>
      </w:r>
    </w:p>
    <w:p w14:paraId="47AE96EC">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  投标地点（网址）：请登录广西政府采购云平台投标客户端投标广西政府采购云平台（https://www.gcy.zfcg.gxzf.gov.cn/）（投标人应当在提交投标文件截止时间前完成电子投标文件的传输提交，提交截止时间前可以补充、修改或者撤回电子投标文件。补充或者修改电子投标文件的，应当先行撤回原文件，补充、修改后重新传输提交。提交投标文件截止时间前未完成传输的，视为撤回电子投标文件。提交投标文件截止时间后提交的电子投标文件，及未按规定编制并加密的电子投标文件，将被广西政府采购云平台拒收） </w:t>
      </w:r>
    </w:p>
    <w:p w14:paraId="5147D7DC">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    开标时间：202</w:t>
      </w:r>
      <w:r>
        <w:rPr>
          <w:rFonts w:hint="eastAsia" w:ascii="宋体" w:hAnsi="宋体" w:cs="宋体"/>
          <w:bCs/>
          <w:color w:val="auto"/>
          <w:kern w:val="0"/>
          <w:szCs w:val="21"/>
          <w:highlight w:val="none"/>
          <w:lang w:val="en-US" w:eastAsia="zh-CN"/>
        </w:rPr>
        <w:t>5</w:t>
      </w:r>
      <w:r>
        <w:rPr>
          <w:rFonts w:hint="eastAsia" w:ascii="宋体" w:hAnsi="宋体" w:cs="宋体"/>
          <w:bCs/>
          <w:color w:val="auto"/>
          <w:kern w:val="0"/>
          <w:szCs w:val="21"/>
          <w:highlight w:val="none"/>
        </w:rPr>
        <w:t>年</w:t>
      </w:r>
      <w:r>
        <w:rPr>
          <w:rFonts w:hint="eastAsia" w:ascii="宋体" w:hAnsi="宋体" w:cs="宋体"/>
          <w:bCs/>
          <w:color w:val="auto"/>
          <w:kern w:val="0"/>
          <w:szCs w:val="21"/>
          <w:highlight w:val="none"/>
          <w:lang w:val="en-US" w:eastAsia="zh-CN"/>
        </w:rPr>
        <w:t xml:space="preserve">  </w:t>
      </w:r>
      <w:r>
        <w:rPr>
          <w:rFonts w:hint="eastAsia" w:ascii="宋体" w:hAnsi="宋体" w:cs="宋体"/>
          <w:bCs/>
          <w:color w:val="auto"/>
          <w:kern w:val="0"/>
          <w:szCs w:val="21"/>
          <w:highlight w:val="none"/>
        </w:rPr>
        <w:t>月</w:t>
      </w:r>
      <w:r>
        <w:rPr>
          <w:rFonts w:hint="eastAsia" w:ascii="宋体" w:hAnsi="宋体" w:cs="宋体"/>
          <w:bCs/>
          <w:color w:val="auto"/>
          <w:kern w:val="0"/>
          <w:szCs w:val="21"/>
          <w:highlight w:val="none"/>
          <w:lang w:val="en-US" w:eastAsia="zh-CN"/>
        </w:rPr>
        <w:t xml:space="preserve">  </w:t>
      </w:r>
      <w:r>
        <w:rPr>
          <w:rFonts w:hint="eastAsia" w:ascii="宋体" w:hAnsi="宋体" w:cs="宋体"/>
          <w:bCs/>
          <w:color w:val="auto"/>
          <w:kern w:val="0"/>
          <w:szCs w:val="21"/>
          <w:highlight w:val="none"/>
        </w:rPr>
        <w:t>日 09:20 </w:t>
      </w:r>
    </w:p>
    <w:p w14:paraId="07DA877A">
      <w:pPr>
        <w:spacing w:line="360" w:lineRule="auto"/>
        <w:rPr>
          <w:rFonts w:ascii="宋体" w:hAnsi="宋体" w:cs="宋体"/>
          <w:bCs/>
          <w:color w:val="auto"/>
          <w:kern w:val="0"/>
          <w:szCs w:val="21"/>
          <w:highlight w:val="none"/>
        </w:rPr>
      </w:pPr>
      <w:r>
        <w:rPr>
          <w:rFonts w:hint="eastAsia" w:ascii="宋体" w:hAnsi="宋体" w:cs="宋体"/>
          <w:bCs/>
          <w:color w:val="auto"/>
          <w:kern w:val="0"/>
          <w:szCs w:val="21"/>
          <w:highlight w:val="none"/>
        </w:rPr>
        <w:t>    开标地点：广西政府采购云平台（https://www.gcy.zfcg.gxzf.gov.cn/） </w:t>
      </w:r>
    </w:p>
    <w:p w14:paraId="5B68568C">
      <w:pPr>
        <w:spacing w:line="360" w:lineRule="auto"/>
        <w:rPr>
          <w:rFonts w:ascii="宋体" w:hAnsi="宋体" w:cs="宋体"/>
          <w:b/>
          <w:bCs/>
          <w:color w:val="auto"/>
          <w:szCs w:val="21"/>
          <w:highlight w:val="none"/>
        </w:rPr>
      </w:pPr>
      <w:r>
        <w:rPr>
          <w:rFonts w:hint="eastAsia" w:ascii="宋体" w:hAnsi="宋体" w:cs="宋体"/>
          <w:b/>
          <w:bCs/>
          <w:color w:val="auto"/>
          <w:szCs w:val="21"/>
          <w:highlight w:val="none"/>
        </w:rPr>
        <w:t>五、公告期限</w:t>
      </w:r>
      <w:bookmarkEnd w:id="25"/>
      <w:bookmarkEnd w:id="26"/>
      <w:bookmarkEnd w:id="27"/>
      <w:bookmarkEnd w:id="28"/>
    </w:p>
    <w:p w14:paraId="022BF60B">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自本公告发布之日起5个工作日。</w:t>
      </w:r>
    </w:p>
    <w:p w14:paraId="35F7644C">
      <w:pPr>
        <w:spacing w:line="360" w:lineRule="auto"/>
        <w:rPr>
          <w:rFonts w:ascii="宋体" w:hAnsi="宋体" w:cs="宋体"/>
          <w:b/>
          <w:bCs/>
          <w:color w:val="auto"/>
          <w:szCs w:val="21"/>
          <w:highlight w:val="none"/>
        </w:rPr>
      </w:pPr>
      <w:bookmarkStart w:id="29" w:name="_Toc35393626"/>
      <w:bookmarkStart w:id="30" w:name="_Toc35393795"/>
      <w:r>
        <w:rPr>
          <w:rFonts w:hint="eastAsia" w:ascii="宋体" w:hAnsi="宋体" w:cs="宋体"/>
          <w:b/>
          <w:bCs/>
          <w:color w:val="auto"/>
          <w:szCs w:val="21"/>
          <w:highlight w:val="none"/>
        </w:rPr>
        <w:t>六、其他补充事宜</w:t>
      </w:r>
      <w:bookmarkEnd w:id="29"/>
      <w:bookmarkEnd w:id="30"/>
    </w:p>
    <w:p w14:paraId="71CE6CB8">
      <w:pPr>
        <w:spacing w:line="360" w:lineRule="auto"/>
        <w:rPr>
          <w:rFonts w:ascii="宋体" w:hAnsi="宋体" w:cs="宋体"/>
          <w:b/>
          <w:color w:val="auto"/>
          <w:kern w:val="0"/>
          <w:szCs w:val="21"/>
          <w:highlight w:val="none"/>
        </w:rPr>
      </w:pPr>
      <w:bookmarkStart w:id="31" w:name="_Hlk37429674"/>
      <w:bookmarkStart w:id="32" w:name="_Toc28359008"/>
      <w:bookmarkStart w:id="33" w:name="_Toc28359085"/>
      <w:bookmarkStart w:id="34" w:name="_Toc35393796"/>
      <w:bookmarkStart w:id="35" w:name="_Toc35393627"/>
      <w:r>
        <w:rPr>
          <w:rFonts w:hint="eastAsia" w:ascii="宋体" w:hAnsi="宋体" w:cs="宋体"/>
          <w:b/>
          <w:color w:val="auto"/>
          <w:kern w:val="0"/>
          <w:szCs w:val="21"/>
          <w:highlight w:val="none"/>
        </w:rPr>
        <w:t>1.本项目需要落实的政府采购政策</w:t>
      </w:r>
    </w:p>
    <w:bookmarkEnd w:id="31"/>
    <w:p w14:paraId="5E018473">
      <w:pPr>
        <w:spacing w:line="360" w:lineRule="auto"/>
        <w:rPr>
          <w:rFonts w:hint="eastAsia" w:ascii="宋体" w:hAnsi="宋体" w:cs="宋体"/>
          <w:bCs/>
          <w:color w:val="auto"/>
          <w:kern w:val="0"/>
          <w:szCs w:val="21"/>
          <w:highlight w:val="none"/>
        </w:rPr>
      </w:pPr>
      <w:r>
        <w:rPr>
          <w:rFonts w:hint="eastAsia" w:ascii="宋体" w:hAnsi="宋体" w:cs="宋体"/>
          <w:bCs/>
          <w:color w:val="auto"/>
          <w:kern w:val="0"/>
          <w:szCs w:val="21"/>
          <w:highlight w:val="none"/>
        </w:rPr>
        <w:t>（1）《政府采购促进中小企业发展管理办法》的通知（财库[2020]46号）。（2）《关于促进残疾人就业政府采购政策的通知》（财库[2017] 141号）。（3）《关于政府采购支持监狱企业发展有关问题的通知》（财库[2014]68号）。</w:t>
      </w:r>
      <w:r>
        <w:rPr>
          <w:rFonts w:hint="eastAsia" w:ascii="宋体" w:hAnsi="宋体" w:cs="宋体"/>
          <w:bCs/>
          <w:color w:val="auto"/>
          <w:kern w:val="0"/>
          <w:szCs w:val="21"/>
          <w:highlight w:val="none"/>
        </w:rPr>
        <w:br w:type="textWrapping"/>
      </w:r>
      <w:r>
        <w:rPr>
          <w:rFonts w:hint="eastAsia" w:ascii="宋体" w:hAnsi="宋体" w:cs="宋体"/>
          <w:bCs/>
          <w:color w:val="auto"/>
          <w:kern w:val="0"/>
          <w:szCs w:val="21"/>
          <w:highlight w:val="none"/>
        </w:rPr>
        <w:t>2.投标保证金：</w:t>
      </w:r>
      <w:r>
        <w:rPr>
          <w:rFonts w:hint="eastAsia" w:ascii="宋体" w:hAnsi="宋体" w:cs="宋体"/>
          <w:bCs/>
          <w:color w:val="auto"/>
          <w:kern w:val="0"/>
          <w:szCs w:val="21"/>
          <w:highlight w:val="none"/>
          <w:lang w:eastAsia="zh-CN"/>
        </w:rPr>
        <w:t>标项一：人民币贰万叁仟伍佰元整（￥</w:t>
      </w:r>
      <w:r>
        <w:rPr>
          <w:rFonts w:hint="eastAsia" w:ascii="宋体" w:hAnsi="宋体" w:cs="宋体"/>
          <w:bCs/>
          <w:color w:val="auto"/>
          <w:kern w:val="0"/>
          <w:szCs w:val="21"/>
          <w:highlight w:val="none"/>
          <w:lang w:val="en-US" w:eastAsia="zh-CN"/>
        </w:rPr>
        <w:t>23500.00</w:t>
      </w:r>
      <w:r>
        <w:rPr>
          <w:rFonts w:hint="eastAsia" w:ascii="宋体" w:hAnsi="宋体" w:cs="宋体"/>
          <w:bCs/>
          <w:color w:val="auto"/>
          <w:kern w:val="0"/>
          <w:szCs w:val="21"/>
          <w:highlight w:val="none"/>
          <w:lang w:eastAsia="zh-CN"/>
        </w:rPr>
        <w:t>）</w:t>
      </w:r>
      <w:r>
        <w:rPr>
          <w:rFonts w:hint="eastAsia" w:ascii="宋体" w:hAnsi="宋体" w:cs="宋体"/>
          <w:bCs/>
          <w:color w:val="auto"/>
          <w:kern w:val="0"/>
          <w:szCs w:val="21"/>
          <w:highlight w:val="none"/>
        </w:rPr>
        <w:t>；</w:t>
      </w:r>
    </w:p>
    <w:p w14:paraId="708E4BED">
      <w:pPr>
        <w:spacing w:line="360" w:lineRule="auto"/>
        <w:ind w:firstLine="1470" w:firstLineChars="700"/>
        <w:rPr>
          <w:rFonts w:hint="default" w:ascii="宋体" w:hAnsi="宋体" w:eastAsia="宋体" w:cs="宋体"/>
          <w:bCs/>
          <w:color w:val="auto"/>
          <w:kern w:val="0"/>
          <w:szCs w:val="21"/>
          <w:highlight w:val="none"/>
          <w:lang w:val="en-US" w:eastAsia="zh-CN"/>
        </w:rPr>
      </w:pPr>
      <w:r>
        <w:rPr>
          <w:rFonts w:hint="eastAsia" w:ascii="宋体" w:hAnsi="宋体" w:cs="宋体"/>
          <w:bCs/>
          <w:color w:val="auto"/>
          <w:kern w:val="0"/>
          <w:szCs w:val="21"/>
          <w:highlight w:val="none"/>
          <w:lang w:eastAsia="zh-CN"/>
        </w:rPr>
        <w:t>标项二：人民币贰万肆仟伍佰元整（￥</w:t>
      </w:r>
      <w:r>
        <w:rPr>
          <w:rFonts w:hint="eastAsia" w:ascii="宋体" w:hAnsi="宋体" w:cs="宋体"/>
          <w:bCs/>
          <w:color w:val="auto"/>
          <w:kern w:val="0"/>
          <w:szCs w:val="21"/>
          <w:highlight w:val="none"/>
          <w:lang w:val="en-US" w:eastAsia="zh-CN"/>
        </w:rPr>
        <w:t>24500.00</w:t>
      </w:r>
      <w:r>
        <w:rPr>
          <w:rFonts w:hint="eastAsia" w:ascii="宋体" w:hAnsi="宋体" w:cs="宋体"/>
          <w:bCs/>
          <w:color w:val="auto"/>
          <w:kern w:val="0"/>
          <w:szCs w:val="21"/>
          <w:highlight w:val="none"/>
          <w:lang w:eastAsia="zh-CN"/>
        </w:rPr>
        <w:t>）</w:t>
      </w:r>
      <w:r>
        <w:rPr>
          <w:rFonts w:hint="eastAsia" w:ascii="宋体" w:hAnsi="宋体" w:cs="宋体"/>
          <w:bCs/>
          <w:color w:val="auto"/>
          <w:kern w:val="0"/>
          <w:szCs w:val="21"/>
          <w:highlight w:val="none"/>
          <w:lang w:val="en-US" w:eastAsia="zh-CN"/>
        </w:rPr>
        <w:t>；</w:t>
      </w:r>
    </w:p>
    <w:p w14:paraId="7AA2F4D5">
      <w:pPr>
        <w:spacing w:line="360" w:lineRule="auto"/>
        <w:rPr>
          <w:rFonts w:ascii="宋体" w:hAnsi="宋体" w:cs="宋体"/>
          <w:color w:val="auto"/>
          <w:szCs w:val="21"/>
          <w:highlight w:val="none"/>
        </w:rPr>
      </w:pPr>
      <w:r>
        <w:rPr>
          <w:rFonts w:hint="eastAsia" w:ascii="宋体" w:hAnsi="宋体" w:cs="宋体"/>
          <w:bCs/>
          <w:color w:val="auto"/>
          <w:kern w:val="0"/>
          <w:szCs w:val="21"/>
          <w:highlight w:val="none"/>
        </w:rPr>
        <w:t xml:space="preserve">   投标人应于截标前将投标保证金以电汇、转账、网上银行支付、支票、汇票、本票或者金融机构、担保机构出具的保险、保函、电子保函等非现金形式递交。采用电汇、转账、网上银行支付方式的，在投标截止时间前交至采购代理机构保证金专户。</w:t>
      </w:r>
      <w:r>
        <w:rPr>
          <w:rFonts w:hint="eastAsia" w:ascii="宋体" w:hAnsi="宋体" w:cs="宋体"/>
          <w:bCs/>
          <w:color w:val="auto"/>
          <w:kern w:val="0"/>
          <w:szCs w:val="21"/>
          <w:highlight w:val="none"/>
        </w:rPr>
        <w:br w:type="textWrapping"/>
      </w:r>
      <w:r>
        <w:rPr>
          <w:rFonts w:hint="eastAsia" w:ascii="宋体" w:hAnsi="宋体" w:cs="宋体"/>
          <w:bCs/>
          <w:color w:val="auto"/>
          <w:kern w:val="0"/>
          <w:szCs w:val="21"/>
          <w:highlight w:val="none"/>
        </w:rPr>
        <w:t>开户名称：广西华良项目管理有限公司</w:t>
      </w:r>
      <w:r>
        <w:rPr>
          <w:rFonts w:hint="eastAsia" w:ascii="宋体" w:hAnsi="宋体" w:cs="宋体"/>
          <w:bCs/>
          <w:color w:val="auto"/>
          <w:kern w:val="0"/>
          <w:szCs w:val="21"/>
          <w:highlight w:val="none"/>
        </w:rPr>
        <w:br w:type="textWrapping"/>
      </w:r>
      <w:r>
        <w:rPr>
          <w:rFonts w:hint="eastAsia" w:ascii="宋体" w:hAnsi="宋体" w:cs="宋体"/>
          <w:bCs/>
          <w:color w:val="auto"/>
          <w:kern w:val="0"/>
          <w:szCs w:val="21"/>
          <w:highlight w:val="none"/>
        </w:rPr>
        <w:t>银行账号：4505 0162 0048 0000 0376</w:t>
      </w:r>
      <w:r>
        <w:rPr>
          <w:rFonts w:hint="eastAsia" w:ascii="宋体" w:hAnsi="宋体" w:cs="宋体"/>
          <w:bCs/>
          <w:color w:val="auto"/>
          <w:kern w:val="0"/>
          <w:szCs w:val="21"/>
          <w:highlight w:val="none"/>
        </w:rPr>
        <w:br w:type="textWrapping"/>
      </w:r>
      <w:r>
        <w:rPr>
          <w:rFonts w:hint="eastAsia" w:ascii="宋体" w:hAnsi="宋体" w:cs="宋体"/>
          <w:bCs/>
          <w:color w:val="auto"/>
          <w:kern w:val="0"/>
          <w:szCs w:val="21"/>
          <w:highlight w:val="none"/>
        </w:rPr>
        <w:t>开户银行：中国建设银行股份有限公司柳州</w:t>
      </w:r>
      <w:r>
        <w:rPr>
          <w:rFonts w:hint="eastAsia" w:ascii="宋体" w:hAnsi="宋体" w:cs="宋体"/>
          <w:bCs/>
          <w:color w:val="auto"/>
          <w:kern w:val="0"/>
          <w:szCs w:val="21"/>
          <w:highlight w:val="none"/>
          <w:lang w:eastAsia="zh-CN"/>
        </w:rPr>
        <w:t>莲塘</w:t>
      </w:r>
      <w:r>
        <w:rPr>
          <w:rFonts w:hint="eastAsia" w:ascii="宋体" w:hAnsi="宋体" w:cs="宋体"/>
          <w:bCs/>
          <w:color w:val="auto"/>
          <w:kern w:val="0"/>
          <w:szCs w:val="21"/>
          <w:highlight w:val="none"/>
        </w:rPr>
        <w:t>路支行</w:t>
      </w:r>
      <w:r>
        <w:rPr>
          <w:rFonts w:hint="eastAsia" w:ascii="宋体" w:hAnsi="宋体" w:cs="宋体"/>
          <w:bCs/>
          <w:color w:val="auto"/>
          <w:kern w:val="0"/>
          <w:szCs w:val="21"/>
          <w:highlight w:val="none"/>
        </w:rPr>
        <w:br w:type="textWrapping"/>
      </w:r>
      <w:r>
        <w:rPr>
          <w:rFonts w:hint="eastAsia" w:ascii="宋体" w:hAnsi="宋体" w:cs="宋体"/>
          <w:bCs/>
          <w:color w:val="auto"/>
          <w:kern w:val="0"/>
          <w:szCs w:val="21"/>
          <w:highlight w:val="none"/>
        </w:rPr>
        <w:t xml:space="preserve">    投标保证金以银行入账时间为准。采用支票、汇票、本票或者金融机构、担保机构出具的保险、保函、电子保函等方式的，在投标截止时间前，投标人必须递交单独密封的支票、汇票、本票或者金融机构、担保机构出具的保险、保函、电子保函原件。否则视为无效投标保证金。原件递交的形式可以是在线下开标现场（柳州市公共资源交易中心对应开标室）递交密封好的原件（原件放入一个密封袋中，并在封口处加盖供应商公章或委托代理人签字，以示密封，在封套上标记“项目名称（项目编号）投标保证金 ”字样），也可以以邮寄方式递交原件（邮寄地址及收件人详见采购公告采购代理机构信息）；若广西华良项目管理有限公司在保证金规定递交时间内没有收到上述原件的，其投标无效；因此供应商无论采用现场或者是邮寄递交上述原件时应充分考虑到达时间，以免影响投标。</w:t>
      </w:r>
      <w:r>
        <w:rPr>
          <w:rFonts w:hint="eastAsia" w:ascii="宋体" w:hAnsi="宋体" w:cs="宋体"/>
          <w:bCs/>
          <w:color w:val="auto"/>
          <w:kern w:val="0"/>
          <w:szCs w:val="21"/>
          <w:highlight w:val="none"/>
        </w:rPr>
        <w:br w:type="textWrapping"/>
      </w:r>
      <w:r>
        <w:rPr>
          <w:rFonts w:hint="eastAsia" w:ascii="宋体" w:hAnsi="宋体" w:cs="宋体"/>
          <w:b/>
          <w:color w:val="auto"/>
          <w:kern w:val="0"/>
          <w:szCs w:val="21"/>
          <w:highlight w:val="none"/>
        </w:rPr>
        <w:t>3.供应商参与电子投标特别说明</w:t>
      </w:r>
      <w:r>
        <w:rPr>
          <w:rFonts w:hint="eastAsia" w:ascii="宋体" w:hAnsi="宋体" w:cs="宋体"/>
          <w:bCs/>
          <w:color w:val="auto"/>
          <w:kern w:val="0"/>
          <w:szCs w:val="21"/>
          <w:highlight w:val="none"/>
        </w:rPr>
        <w:br w:type="textWrapping"/>
      </w:r>
      <w:r>
        <w:rPr>
          <w:rFonts w:hint="eastAsia" w:ascii="宋体" w:hAnsi="宋体" w:cs="宋体"/>
          <w:bCs/>
          <w:color w:val="auto"/>
          <w:kern w:val="0"/>
          <w:szCs w:val="21"/>
          <w:highlight w:val="none"/>
        </w:rPr>
        <w:t>（1）投标文件提交方式：本项目为全流程电子化项目，通过广西政府采购云平台（https://www.gcy.zfcg.gxzf.gov.cn/） 实行在线电子投标，供应商应先安装“广西政府采购云平台电子交易客户端”（请自行前往“广西政府云平台”进行下载），并按照本项目采购文件和“广西政府采购云平台”的要求编制、加密后在投标截止时间前通过网络上传至“广西政府采购云平台”，供应商在“广西政府采购云平台”提交电子版投标文件时，请填写参加远程开标活动经办人联系方式。电子投标具体操作流程参考广西政府采购云平台提供的《政府采购项目电子交易管理操作指南-供应商》，供应商如在操作过程中遇到问题或需技术支持，请致电广西政府采购云平台客服热线：95763。</w:t>
      </w:r>
      <w:r>
        <w:rPr>
          <w:rFonts w:hint="eastAsia" w:ascii="宋体" w:hAnsi="宋体" w:cs="宋体"/>
          <w:bCs/>
          <w:color w:val="auto"/>
          <w:kern w:val="0"/>
          <w:szCs w:val="21"/>
          <w:highlight w:val="none"/>
        </w:rPr>
        <w:br w:type="textWrapping"/>
      </w:r>
      <w:r>
        <w:rPr>
          <w:rFonts w:hint="eastAsia" w:ascii="宋体" w:hAnsi="宋体" w:cs="宋体"/>
          <w:bCs/>
          <w:color w:val="auto"/>
          <w:kern w:val="0"/>
          <w:szCs w:val="21"/>
          <w:highlight w:val="none"/>
        </w:rPr>
        <w:t>（2）未进行网上注册并办理数字证书（CA认证）的供应商将无法参与本项目政府采购活动，潜在供应商应当在投标截止时间前，完成电子交易平台上的CA数字证书办理及投标文件的提交。完成CA数字证书办理预计7日左右，投标人只需办理其中一家CA数字证书及签章，建议各投标人抓紧时间办理。</w:t>
      </w:r>
      <w:r>
        <w:rPr>
          <w:rFonts w:hint="eastAsia" w:ascii="宋体" w:hAnsi="宋体" w:cs="宋体"/>
          <w:bCs/>
          <w:color w:val="auto"/>
          <w:kern w:val="0"/>
          <w:szCs w:val="21"/>
          <w:highlight w:val="none"/>
        </w:rPr>
        <w:br w:type="textWrapping"/>
      </w:r>
      <w:r>
        <w:rPr>
          <w:rFonts w:hint="eastAsia" w:ascii="宋体" w:hAnsi="宋体" w:cs="宋体"/>
          <w:bCs/>
          <w:color w:val="auto"/>
          <w:kern w:val="0"/>
          <w:szCs w:val="21"/>
          <w:highlight w:val="none"/>
        </w:rPr>
        <w:t>（3）为确保网上操作合法、有效和安全，请投标供应商确保在电子投标过程中能够对相关数据电文进行加密和使用电子印章，妥善保管CA数字证书并使用有效的CA数字证书参与整个招标活动。</w:t>
      </w:r>
      <w:r>
        <w:rPr>
          <w:rFonts w:hint="eastAsia" w:ascii="宋体" w:hAnsi="宋体" w:cs="宋体"/>
          <w:bCs/>
          <w:color w:val="auto"/>
          <w:kern w:val="0"/>
          <w:szCs w:val="21"/>
          <w:highlight w:val="none"/>
        </w:rPr>
        <w:br w:type="textWrapping"/>
      </w:r>
      <w:r>
        <w:rPr>
          <w:rFonts w:hint="eastAsia" w:ascii="宋体" w:hAnsi="宋体" w:cs="宋体"/>
          <w:bCs/>
          <w:color w:val="auto"/>
          <w:kern w:val="0"/>
          <w:szCs w:val="21"/>
          <w:highlight w:val="none"/>
        </w:rPr>
        <w:t>注：投标人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广西政府采购云平台”将予以拒收。</w:t>
      </w:r>
      <w:r>
        <w:rPr>
          <w:rFonts w:hint="eastAsia" w:ascii="宋体" w:hAnsi="宋体" w:cs="宋体"/>
          <w:bCs/>
          <w:color w:val="auto"/>
          <w:kern w:val="0"/>
          <w:szCs w:val="21"/>
          <w:highlight w:val="none"/>
        </w:rPr>
        <w:br w:type="textWrapping"/>
      </w:r>
      <w:r>
        <w:rPr>
          <w:rFonts w:hint="eastAsia" w:ascii="宋体" w:hAnsi="宋体" w:cs="宋体"/>
          <w:bCs/>
          <w:color w:val="auto"/>
          <w:kern w:val="0"/>
          <w:szCs w:val="21"/>
          <w:highlight w:val="none"/>
        </w:rPr>
        <w:t>（4）CA证书在线解密：供应商投标时，需携带制作投标文件时用来加密的有效数字证书（CA认证）登录“广西政府采购云平台”电子开标大厅现场按规定时间对加密的投标文件进行解密，否则后果自负。</w:t>
      </w:r>
      <w:r>
        <w:rPr>
          <w:rFonts w:hint="eastAsia" w:ascii="宋体" w:hAnsi="宋体" w:cs="宋体"/>
          <w:bCs/>
          <w:color w:val="auto"/>
          <w:kern w:val="0"/>
          <w:szCs w:val="21"/>
          <w:highlight w:val="none"/>
        </w:rPr>
        <w:br w:type="textWrapping"/>
      </w:r>
      <w:r>
        <w:rPr>
          <w:rFonts w:hint="eastAsia" w:ascii="宋体" w:hAnsi="宋体" w:cs="宋体"/>
          <w:bCs/>
          <w:color w:val="auto"/>
          <w:kern w:val="0"/>
          <w:szCs w:val="21"/>
          <w:highlight w:val="none"/>
        </w:rPr>
        <w:t>4.发布公告的媒介：本次招标公告同时在中国政府采购网、广西政府采购网、柳州市政府采购网发布。  </w:t>
      </w:r>
      <w:r>
        <w:rPr>
          <w:rFonts w:hint="eastAsia" w:ascii="宋体" w:hAnsi="宋体" w:cs="宋体"/>
          <w:bCs/>
          <w:color w:val="auto"/>
          <w:kern w:val="0"/>
          <w:szCs w:val="21"/>
          <w:highlight w:val="none"/>
        </w:rPr>
        <w:br w:type="textWrapping"/>
      </w:r>
      <w:r>
        <w:rPr>
          <w:rFonts w:hint="eastAsia" w:ascii="宋体" w:hAnsi="宋体" w:cs="宋体"/>
          <w:bCs/>
          <w:color w:val="auto"/>
          <w:kern w:val="0"/>
          <w:szCs w:val="21"/>
          <w:highlight w:val="none"/>
        </w:rPr>
        <w:t>5、备注：本项目为线上电子招标项目，采用远程异地评标，有意向参与本项目的供应商应当做好参与全流程电子招投标交易的充分准备。</w:t>
      </w:r>
      <w:r>
        <w:rPr>
          <w:rFonts w:hint="eastAsia" w:ascii="宋体" w:hAnsi="宋体" w:cs="宋体"/>
          <w:color w:val="auto"/>
          <w:szCs w:val="21"/>
          <w:highlight w:val="none"/>
        </w:rPr>
        <w:t>  </w:t>
      </w:r>
    </w:p>
    <w:p w14:paraId="4E59BCBA">
      <w:pPr>
        <w:spacing w:line="360" w:lineRule="auto"/>
        <w:rPr>
          <w:rFonts w:ascii="宋体" w:hAnsi="宋体" w:cs="宋体"/>
          <w:b/>
          <w:bCs/>
          <w:color w:val="auto"/>
          <w:szCs w:val="21"/>
          <w:highlight w:val="none"/>
        </w:rPr>
      </w:pPr>
      <w:r>
        <w:rPr>
          <w:rFonts w:hint="eastAsia" w:ascii="宋体" w:hAnsi="宋体" w:cs="宋体"/>
          <w:b/>
          <w:bCs/>
          <w:color w:val="auto"/>
          <w:szCs w:val="21"/>
          <w:highlight w:val="none"/>
        </w:rPr>
        <w:t>七、对本次招标提出询问，请按以下方式联系。</w:t>
      </w:r>
      <w:bookmarkEnd w:id="32"/>
      <w:bookmarkEnd w:id="33"/>
      <w:bookmarkEnd w:id="34"/>
      <w:bookmarkEnd w:id="35"/>
    </w:p>
    <w:p w14:paraId="2B67B1EF">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1.采购人信息</w:t>
      </w:r>
    </w:p>
    <w:p w14:paraId="59885AF9">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名 称：柳州市柳北区征地拆迁和房屋征收补偿服务中心</w:t>
      </w:r>
    </w:p>
    <w:p w14:paraId="227B6664">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地址：柳州市柳北区跃进路128号绿水云间小区2栋2单元</w:t>
      </w:r>
    </w:p>
    <w:p w14:paraId="3CCB2E8D">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项目联系人：陶玉乔</w:t>
      </w:r>
    </w:p>
    <w:p w14:paraId="523B164E">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联系方式：0772-2508231</w:t>
      </w:r>
    </w:p>
    <w:p w14:paraId="6BAB703E">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2.采购代理机构信息</w:t>
      </w:r>
    </w:p>
    <w:p w14:paraId="236867FE">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名 称：广西华良项目管理有限公司</w:t>
      </w:r>
    </w:p>
    <w:p w14:paraId="238E616D">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地　址：广西柳州市屏山大道95号驾鹤商业街4号楼717室</w:t>
      </w:r>
    </w:p>
    <w:p w14:paraId="02B832CC">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项目联系人：</w:t>
      </w:r>
      <w:r>
        <w:rPr>
          <w:rFonts w:hint="eastAsia" w:ascii="宋体" w:hAnsi="宋体" w:cs="宋体"/>
          <w:color w:val="auto"/>
          <w:szCs w:val="21"/>
          <w:highlight w:val="none"/>
          <w:lang w:eastAsia="zh-CN"/>
        </w:rPr>
        <w:t>梁应丽、</w:t>
      </w:r>
      <w:r>
        <w:rPr>
          <w:rFonts w:hint="eastAsia" w:ascii="宋体" w:hAnsi="宋体" w:cs="宋体"/>
          <w:color w:val="auto"/>
          <w:szCs w:val="21"/>
          <w:highlight w:val="none"/>
        </w:rPr>
        <w:t>谢汶瑾</w:t>
      </w:r>
    </w:p>
    <w:p w14:paraId="45000877">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联系方式：0772-3601700</w:t>
      </w:r>
    </w:p>
    <w:p w14:paraId="459F4B01">
      <w:pPr>
        <w:spacing w:line="360" w:lineRule="auto"/>
        <w:rPr>
          <w:rFonts w:ascii="宋体" w:hAnsi="宋体" w:cs="宋体"/>
          <w:color w:val="auto"/>
          <w:szCs w:val="21"/>
          <w:highlight w:val="none"/>
        </w:rPr>
      </w:pPr>
    </w:p>
    <w:p w14:paraId="2A6345E7">
      <w:pPr>
        <w:pStyle w:val="2"/>
        <w:keepNext w:val="0"/>
        <w:keepLines w:val="0"/>
        <w:tabs>
          <w:tab w:val="left" w:pos="0"/>
          <w:tab w:val="left" w:pos="3165"/>
          <w:tab w:val="center" w:pos="4153"/>
        </w:tabs>
        <w:autoSpaceDE w:val="0"/>
        <w:autoSpaceDN w:val="0"/>
        <w:adjustRightInd w:val="0"/>
        <w:spacing w:before="0" w:after="0" w:line="360" w:lineRule="auto"/>
        <w:jc w:val="center"/>
        <w:rPr>
          <w:rFonts w:ascii="宋体" w:hAnsi="宋体" w:cs="宋体"/>
          <w:color w:val="auto"/>
          <w:highlight w:val="none"/>
        </w:rPr>
      </w:pPr>
      <w:r>
        <w:rPr>
          <w:rFonts w:hint="eastAsia" w:ascii="宋体" w:hAnsi="宋体" w:cs="宋体"/>
          <w:color w:val="auto"/>
          <w:sz w:val="24"/>
          <w:szCs w:val="20"/>
          <w:highlight w:val="none"/>
        </w:rPr>
        <w:br w:type="page"/>
      </w:r>
      <w:bookmarkStart w:id="36" w:name="_Toc179997853"/>
      <w:r>
        <w:rPr>
          <w:rFonts w:hint="eastAsia" w:ascii="宋体" w:hAnsi="宋体" w:cs="宋体"/>
          <w:color w:val="auto"/>
          <w:highlight w:val="none"/>
        </w:rPr>
        <w:t>第二章  采购需求</w:t>
      </w:r>
      <w:bookmarkEnd w:id="36"/>
    </w:p>
    <w:p w14:paraId="38826218">
      <w:pPr>
        <w:spacing w:line="360" w:lineRule="auto"/>
        <w:ind w:firstLine="424" w:firstLineChars="202"/>
        <w:jc w:val="left"/>
        <w:rPr>
          <w:rFonts w:ascii="宋体" w:hAnsi="宋体" w:cs="宋体"/>
          <w:color w:val="auto"/>
          <w:szCs w:val="21"/>
          <w:highlight w:val="none"/>
        </w:rPr>
      </w:pPr>
      <w:bookmarkStart w:id="37" w:name="_Toc254970490"/>
      <w:bookmarkStart w:id="38" w:name="_Toc254970631"/>
      <w:r>
        <w:rPr>
          <w:rFonts w:hint="eastAsia" w:ascii="宋体" w:hAnsi="宋体" w:cs="宋体"/>
          <w:color w:val="auto"/>
          <w:szCs w:val="21"/>
          <w:highlight w:val="none"/>
        </w:rPr>
        <w:t>说明：</w:t>
      </w:r>
    </w:p>
    <w:p w14:paraId="35740FF7">
      <w:pPr>
        <w:spacing w:line="360" w:lineRule="auto"/>
        <w:ind w:firstLine="424" w:firstLineChars="202"/>
        <w:jc w:val="left"/>
        <w:rPr>
          <w:rFonts w:ascii="宋体" w:hAnsi="宋体" w:cs="宋体"/>
          <w:color w:val="auto"/>
          <w:szCs w:val="21"/>
          <w:highlight w:val="none"/>
        </w:rPr>
      </w:pPr>
      <w:r>
        <w:rPr>
          <w:rFonts w:hint="eastAsia" w:ascii="宋体" w:hAnsi="宋体" w:cs="宋体"/>
          <w:color w:val="auto"/>
          <w:szCs w:val="21"/>
          <w:highlight w:val="none"/>
        </w:rPr>
        <w:t>1.</w:t>
      </w:r>
      <w:r>
        <w:rPr>
          <w:rFonts w:ascii="宋体" w:hAnsi="宋体" w:cs="宋体"/>
          <w:color w:val="auto"/>
          <w:szCs w:val="21"/>
          <w:highlight w:val="none"/>
        </w:rPr>
        <w:t>本需求中第二至五项为</w:t>
      </w:r>
      <w:r>
        <w:rPr>
          <w:rFonts w:hint="eastAsia" w:cs="宋体" w:asciiTheme="minorEastAsia" w:hAnsiTheme="minorEastAsia" w:eastAsiaTheme="minorEastAsia"/>
          <w:color w:val="auto"/>
          <w:szCs w:val="21"/>
          <w:highlight w:val="none"/>
        </w:rPr>
        <w:t>技术</w:t>
      </w:r>
      <w:r>
        <w:rPr>
          <w:rFonts w:ascii="宋体" w:hAnsi="宋体" w:cs="宋体"/>
          <w:color w:val="auto"/>
          <w:szCs w:val="21"/>
          <w:highlight w:val="none"/>
        </w:rPr>
        <w:t>服务</w:t>
      </w:r>
      <w:r>
        <w:rPr>
          <w:rFonts w:hint="eastAsia" w:ascii="宋体" w:hAnsi="宋体" w:cs="宋体"/>
          <w:color w:val="auto"/>
          <w:szCs w:val="21"/>
          <w:highlight w:val="none"/>
          <w:lang w:val="en-US" w:eastAsia="zh-CN"/>
        </w:rPr>
        <w:t>要</w:t>
      </w:r>
      <w:r>
        <w:rPr>
          <w:rFonts w:ascii="宋体" w:hAnsi="宋体" w:cs="宋体"/>
          <w:color w:val="auto"/>
          <w:szCs w:val="21"/>
          <w:highlight w:val="none"/>
        </w:rPr>
        <w:t>求。第六至十项为商务要求。</w:t>
      </w:r>
    </w:p>
    <w:p w14:paraId="0370B839">
      <w:pPr>
        <w:spacing w:line="360" w:lineRule="auto"/>
        <w:ind w:firstLine="424" w:firstLineChars="202"/>
        <w:jc w:val="left"/>
        <w:rPr>
          <w:rFonts w:ascii="宋体" w:hAnsi="宋体" w:cs="宋体"/>
          <w:color w:val="auto"/>
          <w:szCs w:val="21"/>
          <w:highlight w:val="none"/>
        </w:rPr>
      </w:pPr>
      <w:r>
        <w:rPr>
          <w:rFonts w:hint="eastAsia" w:ascii="宋体" w:hAnsi="宋体" w:cs="宋体"/>
          <w:color w:val="auto"/>
          <w:szCs w:val="21"/>
          <w:highlight w:val="none"/>
        </w:rPr>
        <w:t>2.“实质性要求”是指招标文件中已经指明不满足则投标无效的条款，或者不能负偏离的条款，或者采购需求中带“▲”的条款。</w:t>
      </w:r>
    </w:p>
    <w:p w14:paraId="67B49D61">
      <w:pPr>
        <w:spacing w:line="360" w:lineRule="auto"/>
        <w:ind w:firstLine="426" w:firstLineChars="202"/>
        <w:jc w:val="left"/>
        <w:rPr>
          <w:rFonts w:hint="eastAsia" w:hAnsi="宋体" w:cs="宋体"/>
          <w:bCs/>
          <w:color w:val="auto"/>
          <w:szCs w:val="21"/>
          <w:highlight w:val="none"/>
          <w:lang w:eastAsia="zh-CN"/>
        </w:rPr>
      </w:pPr>
      <w:r>
        <w:rPr>
          <w:rFonts w:hint="eastAsia" w:ascii="宋体" w:hAnsi="宋体" w:cs="宋体"/>
          <w:b/>
          <w:bCs/>
          <w:color w:val="auto"/>
          <w:szCs w:val="21"/>
          <w:highlight w:val="none"/>
        </w:rPr>
        <w:t>3.本项目采购标的</w:t>
      </w:r>
      <w:r>
        <w:rPr>
          <w:rFonts w:hint="eastAsia" w:ascii="宋体" w:hAnsi="宋体" w:cs="宋体"/>
          <w:b/>
          <w:bCs/>
          <w:color w:val="auto"/>
          <w:szCs w:val="21"/>
          <w:highlight w:val="none"/>
          <w:lang w:val="en-US" w:eastAsia="zh-CN"/>
        </w:rPr>
        <w:t>名称：</w:t>
      </w:r>
      <w:r>
        <w:rPr>
          <w:rFonts w:hint="eastAsia" w:hAnsi="宋体" w:cs="宋体"/>
          <w:bCs/>
          <w:color w:val="auto"/>
          <w:szCs w:val="21"/>
          <w:highlight w:val="none"/>
          <w:lang w:eastAsia="zh-CN"/>
        </w:rPr>
        <w:t>柳州市黄村村及周边片区城中村改造项目（胜利地块）集体土地上房屋动迁服务</w:t>
      </w:r>
    </w:p>
    <w:p w14:paraId="59788658">
      <w:pPr>
        <w:spacing w:line="360" w:lineRule="auto"/>
        <w:ind w:firstLine="424" w:firstLineChars="202"/>
        <w:jc w:val="left"/>
        <w:rPr>
          <w:rFonts w:ascii="宋体" w:hAnsi="宋体" w:cs="宋体"/>
          <w:color w:val="auto"/>
          <w:szCs w:val="21"/>
          <w:highlight w:val="none"/>
        </w:rPr>
      </w:pPr>
      <w:r>
        <w:rPr>
          <w:rFonts w:hint="eastAsia" w:hAnsi="宋体" w:cs="宋体"/>
          <w:bCs/>
          <w:color w:val="auto"/>
          <w:szCs w:val="21"/>
          <w:highlight w:val="none"/>
          <w:lang w:val="en-US" w:eastAsia="zh-CN"/>
        </w:rPr>
        <w:t>4.</w:t>
      </w:r>
      <w:r>
        <w:rPr>
          <w:rFonts w:hint="eastAsia" w:ascii="宋体" w:hAnsi="宋体" w:cs="宋体"/>
          <w:b/>
          <w:bCs/>
          <w:color w:val="auto"/>
          <w:szCs w:val="21"/>
          <w:highlight w:val="none"/>
        </w:rPr>
        <w:t>本项目采购标的所属行业：</w:t>
      </w:r>
      <w:r>
        <w:rPr>
          <w:rFonts w:hint="eastAsia" w:ascii="宋体" w:hAnsi="宋体"/>
          <w:b/>
          <w:bCs/>
          <w:color w:val="auto"/>
          <w:szCs w:val="21"/>
          <w:highlight w:val="none"/>
        </w:rPr>
        <w:t>其他未列明行业；</w:t>
      </w:r>
      <w:r>
        <w:rPr>
          <w:rFonts w:ascii="宋体" w:hAnsi="宋体" w:cs="宋体"/>
          <w:color w:val="auto"/>
          <w:szCs w:val="21"/>
          <w:highlight w:val="none"/>
        </w:rPr>
        <w:t xml:space="preserve"> </w:t>
      </w:r>
    </w:p>
    <w:p w14:paraId="1061A128">
      <w:pPr>
        <w:spacing w:line="360" w:lineRule="auto"/>
        <w:rPr>
          <w:rFonts w:ascii="宋体" w:hAnsi="宋体" w:cs="宋体"/>
          <w:b/>
          <w:color w:val="auto"/>
          <w:kern w:val="0"/>
          <w:szCs w:val="21"/>
          <w:highlight w:val="none"/>
        </w:rPr>
      </w:pPr>
      <w:r>
        <w:rPr>
          <w:rFonts w:hint="eastAsia" w:ascii="宋体" w:hAnsi="宋体" w:cs="宋体"/>
          <w:b/>
          <w:color w:val="auto"/>
          <w:kern w:val="0"/>
          <w:szCs w:val="21"/>
          <w:highlight w:val="none"/>
        </w:rPr>
        <w:t>一、项目概况：</w:t>
      </w:r>
    </w:p>
    <w:p w14:paraId="1CB9983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highlight w:val="none"/>
        </w:rPr>
      </w:pPr>
      <w:r>
        <w:rPr>
          <w:rFonts w:hint="eastAsia" w:ascii="宋体" w:hAnsi="宋体" w:cs="宋体"/>
          <w:color w:val="auto"/>
          <w:highlight w:val="none"/>
        </w:rPr>
        <w:t xml:space="preserve"> 依据</w:t>
      </w:r>
      <w:r>
        <w:rPr>
          <w:rFonts w:hint="eastAsia" w:ascii="宋体" w:hAnsi="宋体" w:eastAsia="宋体" w:cs="宋体"/>
          <w:color w:val="auto"/>
          <w:highlight w:val="none"/>
          <w:lang w:eastAsia="zh-CN"/>
        </w:rPr>
        <w:t>《柳州市发展和改革委员会关于</w:t>
      </w:r>
      <w:r>
        <w:rPr>
          <w:rFonts w:hint="eastAsia" w:ascii="宋体" w:hAnsi="宋体" w:eastAsia="宋体" w:cs="宋体"/>
          <w:color w:val="auto"/>
          <w:highlight w:val="none"/>
          <w:lang w:val="en-US" w:eastAsia="zh-CN"/>
        </w:rPr>
        <w:t>柳州市黄村村及周边片区城中村改造项目建议书的批复》</w:t>
      </w:r>
      <w:r>
        <w:rPr>
          <w:rFonts w:hint="eastAsia" w:ascii="宋体" w:hAnsi="宋体" w:eastAsia="宋体" w:cs="宋体"/>
          <w:color w:val="auto"/>
          <w:highlight w:val="none"/>
        </w:rPr>
        <w:t>（柳</w:t>
      </w:r>
      <w:r>
        <w:rPr>
          <w:rFonts w:hint="eastAsia" w:ascii="宋体" w:hAnsi="宋体" w:eastAsia="宋体" w:cs="宋体"/>
          <w:color w:val="auto"/>
          <w:highlight w:val="none"/>
          <w:lang w:eastAsia="zh-CN"/>
        </w:rPr>
        <w:t>发改规划</w:t>
      </w:r>
      <w:r>
        <w:rPr>
          <w:rFonts w:hint="eastAsia" w:ascii="宋体" w:hAnsi="宋体" w:eastAsia="宋体" w:cs="宋体"/>
          <w:color w:val="auto"/>
          <w:highlight w:val="none"/>
        </w:rPr>
        <w:t>〔2024〕</w:t>
      </w:r>
      <w:r>
        <w:rPr>
          <w:rFonts w:hint="eastAsia" w:ascii="宋体" w:hAnsi="宋体" w:eastAsia="宋体" w:cs="宋体"/>
          <w:color w:val="auto"/>
          <w:highlight w:val="none"/>
          <w:lang w:val="en-US" w:eastAsia="zh-CN"/>
        </w:rPr>
        <w:t>31</w:t>
      </w:r>
      <w:r>
        <w:rPr>
          <w:rFonts w:hint="eastAsia" w:ascii="宋体" w:hAnsi="宋体" w:eastAsia="宋体" w:cs="宋体"/>
          <w:color w:val="auto"/>
          <w:highlight w:val="none"/>
        </w:rPr>
        <w:t>号）</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《柳州市自然资源和规划局关于</w:t>
      </w:r>
      <w:r>
        <w:rPr>
          <w:rFonts w:hint="eastAsia" w:ascii="宋体" w:hAnsi="宋体" w:eastAsia="宋体" w:cs="宋体"/>
          <w:color w:val="auto"/>
          <w:highlight w:val="none"/>
          <w:lang w:val="en-US" w:eastAsia="zh-CN"/>
        </w:rPr>
        <w:t>柳州市黄村村及周边片区城中村改造项目（胜利地块）</w:t>
      </w:r>
      <w:r>
        <w:rPr>
          <w:rFonts w:hint="eastAsia" w:ascii="宋体" w:hAnsi="宋体" w:eastAsia="宋体" w:cs="宋体"/>
          <w:color w:val="auto"/>
          <w:highlight w:val="none"/>
        </w:rPr>
        <w:t>用地规划意见的函》（柳资源规划用地〔2024〕</w:t>
      </w:r>
      <w:r>
        <w:rPr>
          <w:rFonts w:hint="eastAsia" w:ascii="宋体" w:hAnsi="宋体" w:eastAsia="宋体" w:cs="宋体"/>
          <w:color w:val="auto"/>
          <w:highlight w:val="none"/>
          <w:lang w:val="en-US" w:eastAsia="zh-CN"/>
        </w:rPr>
        <w:t>42</w:t>
      </w:r>
      <w:r>
        <w:rPr>
          <w:rFonts w:hint="eastAsia" w:ascii="宋体" w:hAnsi="宋体" w:eastAsia="宋体" w:cs="宋体"/>
          <w:color w:val="auto"/>
          <w:highlight w:val="none"/>
        </w:rPr>
        <w:t>号）</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《柳州市自然资源和规划局关于</w:t>
      </w:r>
      <w:r>
        <w:rPr>
          <w:rFonts w:hint="eastAsia" w:ascii="宋体" w:hAnsi="宋体" w:eastAsia="宋体" w:cs="宋体"/>
          <w:color w:val="auto"/>
          <w:highlight w:val="none"/>
          <w:lang w:eastAsia="zh-CN"/>
        </w:rPr>
        <w:t>下达</w:t>
      </w:r>
      <w:r>
        <w:rPr>
          <w:rFonts w:hint="eastAsia" w:ascii="宋体" w:hAnsi="宋体" w:eastAsia="宋体" w:cs="宋体"/>
          <w:color w:val="auto"/>
          <w:highlight w:val="none"/>
          <w:lang w:val="en-US" w:eastAsia="zh-CN"/>
        </w:rPr>
        <w:t>柳州市黄村村及周边片区城中村改造项目（胜利地块）</w:t>
      </w:r>
      <w:r>
        <w:rPr>
          <w:rFonts w:hint="eastAsia" w:ascii="宋体" w:hAnsi="宋体" w:eastAsia="宋体" w:cs="宋体"/>
          <w:color w:val="auto"/>
          <w:highlight w:val="none"/>
          <w:lang w:eastAsia="zh-CN"/>
        </w:rPr>
        <w:t>项目集体土地预征地任务的通知</w:t>
      </w:r>
      <w:r>
        <w:rPr>
          <w:rFonts w:hint="eastAsia" w:ascii="宋体" w:hAnsi="宋体" w:eastAsia="宋体" w:cs="宋体"/>
          <w:color w:val="auto"/>
          <w:highlight w:val="none"/>
        </w:rPr>
        <w:t>》（柳资源规划</w:t>
      </w:r>
      <w:r>
        <w:rPr>
          <w:rFonts w:hint="eastAsia" w:ascii="宋体" w:hAnsi="宋体" w:eastAsia="宋体" w:cs="宋体"/>
          <w:color w:val="auto"/>
          <w:highlight w:val="none"/>
          <w:lang w:eastAsia="zh-CN"/>
        </w:rPr>
        <w:t>通</w:t>
      </w:r>
      <w:r>
        <w:rPr>
          <w:rFonts w:hint="eastAsia" w:ascii="宋体" w:hAnsi="宋体" w:eastAsia="宋体" w:cs="宋体"/>
          <w:color w:val="auto"/>
          <w:highlight w:val="none"/>
        </w:rPr>
        <w:t>〔2024〕</w:t>
      </w:r>
      <w:r>
        <w:rPr>
          <w:rFonts w:hint="eastAsia" w:ascii="宋体" w:hAnsi="宋体" w:eastAsia="宋体" w:cs="宋体"/>
          <w:color w:val="auto"/>
          <w:highlight w:val="none"/>
          <w:lang w:val="en-US" w:eastAsia="zh-CN"/>
        </w:rPr>
        <w:t>381</w:t>
      </w:r>
      <w:r>
        <w:rPr>
          <w:rFonts w:hint="eastAsia" w:ascii="宋体" w:hAnsi="宋体" w:eastAsia="宋体" w:cs="宋体"/>
          <w:color w:val="auto"/>
          <w:highlight w:val="none"/>
        </w:rPr>
        <w:t>号）</w:t>
      </w:r>
      <w:r>
        <w:rPr>
          <w:rFonts w:hint="eastAsia" w:ascii="宋体" w:hAnsi="宋体" w:cs="宋体"/>
          <w:color w:val="auto"/>
          <w:highlight w:val="none"/>
        </w:rPr>
        <w:t>等相关文件，柳州市柳北区征地拆迁和房屋征收补偿服务中心拟对“柳州市黄村村及周边片区城中村改造项目（</w:t>
      </w:r>
      <w:r>
        <w:rPr>
          <w:rFonts w:hint="eastAsia" w:ascii="宋体" w:hAnsi="宋体" w:cs="宋体"/>
          <w:color w:val="auto"/>
          <w:highlight w:val="none"/>
          <w:lang w:eastAsia="zh-CN"/>
        </w:rPr>
        <w:t>胜利地块</w:t>
      </w:r>
      <w:r>
        <w:rPr>
          <w:rFonts w:hint="eastAsia" w:ascii="宋体" w:hAnsi="宋体" w:cs="宋体"/>
          <w:color w:val="auto"/>
          <w:highlight w:val="none"/>
        </w:rPr>
        <w:t>）”项目</w:t>
      </w:r>
      <w:r>
        <w:rPr>
          <w:rFonts w:hint="eastAsia" w:ascii="宋体" w:hAnsi="宋体" w:cs="宋体"/>
          <w:color w:val="auto"/>
          <w:highlight w:val="none"/>
          <w:lang w:eastAsia="zh-CN"/>
        </w:rPr>
        <w:t>集体</w:t>
      </w:r>
      <w:r>
        <w:rPr>
          <w:rFonts w:hint="eastAsia" w:ascii="宋体" w:hAnsi="宋体" w:cs="宋体"/>
          <w:color w:val="auto"/>
          <w:highlight w:val="none"/>
        </w:rPr>
        <w:t>土地上房屋开展征收工作。</w:t>
      </w:r>
      <w:r>
        <w:rPr>
          <w:rFonts w:hint="eastAsia" w:ascii="宋体" w:hAnsi="宋体" w:cs="宋体"/>
          <w:bCs/>
          <w:color w:val="auto"/>
          <w:kern w:val="0"/>
          <w:szCs w:val="21"/>
          <w:highlight w:val="none"/>
        </w:rPr>
        <w:t>本项目为“柳州市黄</w:t>
      </w:r>
      <w:r>
        <w:rPr>
          <w:rFonts w:hint="eastAsia" w:ascii="宋体" w:hAnsi="宋体" w:cs="宋体"/>
          <w:color w:val="auto"/>
          <w:highlight w:val="none"/>
        </w:rPr>
        <w:t>村村及周边片区城中村改造项目（</w:t>
      </w:r>
      <w:r>
        <w:rPr>
          <w:rFonts w:hint="eastAsia" w:ascii="宋体" w:hAnsi="宋体" w:cs="宋体"/>
          <w:color w:val="auto"/>
          <w:highlight w:val="none"/>
          <w:lang w:eastAsia="zh-CN"/>
        </w:rPr>
        <w:t>胜利地块</w:t>
      </w:r>
      <w:r>
        <w:rPr>
          <w:rFonts w:hint="eastAsia" w:ascii="宋体" w:hAnsi="宋体" w:cs="宋体"/>
          <w:color w:val="auto"/>
          <w:highlight w:val="none"/>
        </w:rPr>
        <w:t>）”</w:t>
      </w:r>
      <w:r>
        <w:rPr>
          <w:rFonts w:hint="eastAsia" w:ascii="宋体" w:hAnsi="宋体" w:cs="宋体"/>
          <w:color w:val="auto"/>
          <w:highlight w:val="none"/>
          <w:lang w:eastAsia="zh-CN"/>
        </w:rPr>
        <w:t>集体</w:t>
      </w:r>
      <w:r>
        <w:rPr>
          <w:rFonts w:hint="eastAsia" w:ascii="宋体" w:hAnsi="宋体" w:cs="宋体"/>
          <w:color w:val="auto"/>
          <w:highlight w:val="none"/>
        </w:rPr>
        <w:t>土地上房屋动迁服务采购。</w:t>
      </w:r>
    </w:p>
    <w:p w14:paraId="7B73CC99">
      <w:pPr>
        <w:spacing w:line="360" w:lineRule="auto"/>
        <w:ind w:firstLine="420" w:firstLineChars="200"/>
        <w:rPr>
          <w:rFonts w:hint="eastAsia" w:ascii="宋体" w:hAnsi="宋体" w:cs="宋体"/>
          <w:color w:val="auto"/>
          <w:highlight w:val="none"/>
        </w:rPr>
      </w:pPr>
      <w:r>
        <w:rPr>
          <w:rFonts w:hint="eastAsia" w:ascii="宋体" w:hAnsi="宋体" w:cs="宋体"/>
          <w:color w:val="auto"/>
          <w:highlight w:val="none"/>
        </w:rPr>
        <w:t>本项目共需征收327户（其中：私户125户；集体资产202户）的房屋及附属物；项目拟征收总建筑面积约21万平方米; 供应商负责与柳州市黄村村及周边片区城中村改造项目（胜利地块）集体土地上房屋被征收人进行房屋征收补偿安置协商、组织采购人与被征收人签订和实施房屋征收补偿安置协议等工作</w:t>
      </w:r>
      <w:r>
        <w:rPr>
          <w:rFonts w:hint="eastAsia" w:ascii="宋体" w:hAnsi="宋体" w:cs="宋体"/>
          <w:bCs/>
          <w:color w:val="auto"/>
          <w:kern w:val="0"/>
          <w:szCs w:val="21"/>
          <w:highlight w:val="none"/>
        </w:rPr>
        <w:t>;预算资金金额：</w:t>
      </w:r>
      <w:r>
        <w:rPr>
          <w:rFonts w:hint="eastAsia" w:ascii="宋体" w:hAnsi="宋体" w:cs="宋体"/>
          <w:bCs/>
          <w:color w:val="auto"/>
          <w:kern w:val="0"/>
          <w:szCs w:val="21"/>
          <w:highlight w:val="none"/>
          <w:lang w:val="en-US" w:eastAsia="zh-CN"/>
        </w:rPr>
        <w:t>480</w:t>
      </w:r>
      <w:r>
        <w:rPr>
          <w:rFonts w:hint="eastAsia" w:ascii="宋体" w:hAnsi="宋体" w:cs="宋体"/>
          <w:bCs/>
          <w:color w:val="auto"/>
          <w:kern w:val="0"/>
          <w:szCs w:val="21"/>
          <w:highlight w:val="none"/>
        </w:rPr>
        <w:t>万元（最终以实际结</w:t>
      </w:r>
      <w:r>
        <w:rPr>
          <w:rFonts w:hint="eastAsia" w:ascii="宋体" w:hAnsi="宋体" w:cs="宋体"/>
          <w:color w:val="auto"/>
          <w:highlight w:val="none"/>
        </w:rPr>
        <w:t>算为准）。</w:t>
      </w:r>
    </w:p>
    <w:p w14:paraId="70A1866F">
      <w:pPr>
        <w:spacing w:line="360" w:lineRule="auto"/>
        <w:ind w:firstLine="420" w:firstLineChars="200"/>
        <w:rPr>
          <w:rFonts w:hint="eastAsia" w:ascii="宋体" w:hAnsi="宋体" w:cs="宋体"/>
          <w:color w:val="auto"/>
          <w:highlight w:val="none"/>
        </w:rPr>
      </w:pPr>
      <w:r>
        <w:rPr>
          <w:rFonts w:hint="eastAsia" w:ascii="宋体" w:hAnsi="宋体" w:cs="宋体"/>
          <w:color w:val="auto"/>
          <w:highlight w:val="none"/>
        </w:rPr>
        <w:t>征收范围地址：</w:t>
      </w:r>
    </w:p>
    <w:p w14:paraId="4B22F7BE">
      <w:pPr>
        <w:spacing w:line="360" w:lineRule="auto"/>
        <w:ind w:firstLine="420" w:firstLineChars="200"/>
        <w:rPr>
          <w:rFonts w:hint="eastAsia" w:ascii="宋体" w:hAnsi="宋体" w:cs="宋体"/>
          <w:color w:val="auto"/>
          <w:highlight w:val="none"/>
          <w:lang w:eastAsia="zh-CN"/>
        </w:rPr>
      </w:pPr>
      <w:r>
        <w:rPr>
          <w:rFonts w:hint="eastAsia" w:ascii="宋体" w:hAnsi="宋体" w:cs="宋体"/>
          <w:color w:val="auto"/>
          <w:highlight w:val="none"/>
        </w:rPr>
        <w:t>（一）红碑路北一巷24号、44号、78号等14</w:t>
      </w:r>
      <w:r>
        <w:rPr>
          <w:rFonts w:hint="eastAsia" w:ascii="宋体" w:hAnsi="宋体" w:cs="宋体"/>
          <w:color w:val="auto"/>
          <w:highlight w:val="none"/>
          <w:lang w:val="en-US" w:eastAsia="zh-CN"/>
        </w:rPr>
        <w:t>6</w:t>
      </w:r>
      <w:r>
        <w:rPr>
          <w:rFonts w:hint="eastAsia" w:ascii="宋体" w:hAnsi="宋体" w:cs="宋体"/>
          <w:color w:val="auto"/>
          <w:highlight w:val="none"/>
          <w:lang w:eastAsia="zh-CN"/>
        </w:rPr>
        <w:t>户</w:t>
      </w:r>
      <w:r>
        <w:rPr>
          <w:rFonts w:hint="eastAsia" w:ascii="宋体" w:hAnsi="宋体" w:cs="宋体"/>
          <w:color w:val="auto"/>
          <w:highlight w:val="none"/>
        </w:rPr>
        <w:t>房屋及附属物，面积101624.38平方米</w:t>
      </w:r>
      <w:r>
        <w:rPr>
          <w:rFonts w:hint="eastAsia" w:ascii="宋体" w:hAnsi="宋体" w:cs="宋体"/>
          <w:color w:val="auto"/>
          <w:highlight w:val="none"/>
          <w:lang w:eastAsia="zh-CN"/>
        </w:rPr>
        <w:t>；</w:t>
      </w:r>
    </w:p>
    <w:p w14:paraId="156974BB">
      <w:pPr>
        <w:spacing w:line="360" w:lineRule="auto"/>
        <w:ind w:firstLine="420" w:firstLineChars="200"/>
        <w:rPr>
          <w:rFonts w:hint="eastAsia" w:ascii="宋体" w:hAnsi="宋体" w:cs="宋体"/>
          <w:color w:val="auto"/>
          <w:highlight w:val="none"/>
          <w:lang w:eastAsia="zh-CN"/>
        </w:rPr>
      </w:pPr>
      <w:r>
        <w:rPr>
          <w:rFonts w:hint="eastAsia" w:ascii="宋体" w:hAnsi="宋体" w:cs="宋体"/>
          <w:color w:val="auto"/>
          <w:highlight w:val="none"/>
        </w:rPr>
        <w:t>（二）北雀路92号、红碑路北二巷2号等</w:t>
      </w:r>
      <w:r>
        <w:rPr>
          <w:rFonts w:hint="eastAsia" w:ascii="宋体" w:hAnsi="宋体" w:cs="宋体"/>
          <w:color w:val="auto"/>
          <w:highlight w:val="none"/>
          <w:lang w:val="en-US" w:eastAsia="zh-CN"/>
        </w:rPr>
        <w:t>181户</w:t>
      </w:r>
      <w:r>
        <w:rPr>
          <w:rFonts w:hint="eastAsia" w:ascii="宋体" w:hAnsi="宋体" w:cs="宋体"/>
          <w:color w:val="auto"/>
          <w:highlight w:val="none"/>
        </w:rPr>
        <w:t>房屋及附属物，面积</w:t>
      </w:r>
      <w:r>
        <w:rPr>
          <w:rFonts w:hint="eastAsia" w:ascii="宋体" w:hAnsi="宋体" w:cs="宋体"/>
          <w:color w:val="auto"/>
          <w:highlight w:val="none"/>
          <w:lang w:val="en-US" w:eastAsia="zh-CN"/>
        </w:rPr>
        <w:t>105462.4平方米</w:t>
      </w:r>
      <w:r>
        <w:rPr>
          <w:rFonts w:hint="eastAsia" w:ascii="宋体" w:hAnsi="宋体" w:cs="宋体"/>
          <w:color w:val="auto"/>
          <w:highlight w:val="none"/>
          <w:lang w:eastAsia="zh-CN"/>
        </w:rPr>
        <w:t>。</w:t>
      </w:r>
    </w:p>
    <w:p w14:paraId="17461150">
      <w:pPr>
        <w:spacing w:line="360" w:lineRule="auto"/>
        <w:rPr>
          <w:rFonts w:ascii="宋体" w:hAnsi="宋体" w:cs="宋体"/>
          <w:b/>
          <w:color w:val="auto"/>
          <w:kern w:val="0"/>
          <w:szCs w:val="21"/>
          <w:highlight w:val="none"/>
        </w:rPr>
      </w:pPr>
      <w:r>
        <w:rPr>
          <w:rFonts w:hint="eastAsia" w:ascii="宋体" w:hAnsi="宋体" w:cs="宋体"/>
          <w:color w:val="auto"/>
          <w:kern w:val="0"/>
          <w:szCs w:val="21"/>
          <w:highlight w:val="none"/>
        </w:rPr>
        <w:t>▲</w:t>
      </w:r>
      <w:r>
        <w:rPr>
          <w:rFonts w:hint="eastAsia" w:ascii="宋体" w:hAnsi="宋体" w:cs="宋体"/>
          <w:b/>
          <w:color w:val="auto"/>
          <w:kern w:val="0"/>
          <w:szCs w:val="21"/>
          <w:highlight w:val="none"/>
        </w:rPr>
        <w:t>二、服务范围：</w:t>
      </w:r>
    </w:p>
    <w:p w14:paraId="32F122C2">
      <w:pPr>
        <w:spacing w:line="360" w:lineRule="auto"/>
        <w:ind w:firstLine="420" w:firstLineChars="200"/>
        <w:rPr>
          <w:rFonts w:ascii="宋体" w:hAnsi="宋体" w:cs="宋体"/>
          <w:bCs/>
          <w:color w:val="auto"/>
          <w:kern w:val="0"/>
          <w:szCs w:val="21"/>
          <w:highlight w:val="none"/>
        </w:rPr>
      </w:pPr>
      <w:r>
        <w:rPr>
          <w:rFonts w:hint="eastAsia" w:ascii="宋体" w:hAnsi="宋体" w:cs="宋体"/>
          <w:bCs/>
          <w:color w:val="auto"/>
          <w:kern w:val="0"/>
          <w:szCs w:val="21"/>
          <w:highlight w:val="none"/>
        </w:rPr>
        <w:t xml:space="preserve"> 为“柳州市黄村村及周边片区城中村改造项目（胜利地块）”集体土地上房屋动迁服务采购项目规划定点红线范围内</w:t>
      </w:r>
      <w:r>
        <w:rPr>
          <w:rFonts w:hint="eastAsia" w:ascii="宋体" w:hAnsi="宋体" w:cs="宋体"/>
          <w:bCs/>
          <w:color w:val="auto"/>
          <w:kern w:val="0"/>
          <w:szCs w:val="21"/>
          <w:highlight w:val="none"/>
          <w:lang w:eastAsia="zh-CN"/>
        </w:rPr>
        <w:t>集体</w:t>
      </w:r>
      <w:r>
        <w:rPr>
          <w:rFonts w:hint="eastAsia" w:ascii="宋体" w:hAnsi="宋体" w:cs="宋体"/>
          <w:bCs/>
          <w:color w:val="auto"/>
          <w:kern w:val="0"/>
          <w:szCs w:val="21"/>
          <w:highlight w:val="none"/>
        </w:rPr>
        <w:t>土地上的房屋及附属物组织开展包括但不限于与被征收人进行房屋征收补偿安置协商、组织采购人与房屋被征收人签订和实施房屋征收补偿安置协议等工作。</w:t>
      </w:r>
    </w:p>
    <w:p w14:paraId="51A0ED93">
      <w:pPr>
        <w:spacing w:line="360" w:lineRule="auto"/>
        <w:rPr>
          <w:rFonts w:ascii="宋体" w:hAnsi="宋体" w:cs="宋体"/>
          <w:b/>
          <w:color w:val="auto"/>
          <w:kern w:val="0"/>
          <w:szCs w:val="21"/>
          <w:highlight w:val="none"/>
        </w:rPr>
      </w:pPr>
      <w:r>
        <w:rPr>
          <w:rFonts w:hint="eastAsia" w:ascii="宋体" w:hAnsi="宋体" w:cs="宋体"/>
          <w:color w:val="auto"/>
          <w:kern w:val="0"/>
          <w:szCs w:val="21"/>
          <w:highlight w:val="none"/>
        </w:rPr>
        <w:t>▲三、</w:t>
      </w:r>
      <w:r>
        <w:rPr>
          <w:rFonts w:hint="eastAsia" w:ascii="宋体" w:hAnsi="宋体" w:cs="宋体"/>
          <w:b/>
          <w:bCs/>
          <w:color w:val="auto"/>
          <w:highlight w:val="none"/>
        </w:rPr>
        <w:t>工作内容</w:t>
      </w:r>
      <w:r>
        <w:rPr>
          <w:rFonts w:hint="eastAsia" w:ascii="宋体" w:hAnsi="宋体" w:cs="宋体"/>
          <w:b/>
          <w:color w:val="auto"/>
          <w:kern w:val="0"/>
          <w:szCs w:val="21"/>
          <w:highlight w:val="none"/>
        </w:rPr>
        <w:t>及要求：</w:t>
      </w:r>
    </w:p>
    <w:p w14:paraId="7121A6A8">
      <w:pPr>
        <w:autoSpaceDE w:val="0"/>
        <w:autoSpaceDN w:val="0"/>
        <w:adjustRightInd w:val="0"/>
        <w:spacing w:line="360" w:lineRule="auto"/>
        <w:jc w:val="left"/>
        <w:rPr>
          <w:rFonts w:ascii="宋体" w:hAnsi="宋体" w:cs="宋体"/>
          <w:color w:val="auto"/>
          <w:szCs w:val="21"/>
          <w:highlight w:val="none"/>
        </w:rPr>
      </w:pPr>
      <w:r>
        <w:rPr>
          <w:rFonts w:hint="eastAsia" w:ascii="宋体" w:hAnsi="宋体" w:cs="宋体"/>
          <w:color w:val="auto"/>
          <w:highlight w:val="none"/>
        </w:rPr>
        <w:t xml:space="preserve">     按照《中华人民共和国民法典》、《中华人民共和国土地管理法》、《中华人民共和国土地管理法实施条例》、《广西壮族自治区实施（中华人民共和国土地管理法</w:t>
      </w:r>
      <w:r>
        <w:rPr>
          <w:rFonts w:hint="eastAsia" w:ascii="宋体" w:hAnsi="宋体" w:cs="宋体"/>
          <w:color w:val="auto"/>
          <w:highlight w:val="none"/>
          <w:lang w:val="en-US" w:eastAsia="zh-CN"/>
        </w:rPr>
        <w:t>)</w:t>
      </w:r>
      <w:r>
        <w:rPr>
          <w:rFonts w:hint="eastAsia" w:ascii="宋体" w:hAnsi="宋体" w:cs="宋体"/>
          <w:color w:val="auto"/>
          <w:highlight w:val="none"/>
        </w:rPr>
        <w:t>办法》、</w:t>
      </w:r>
      <w:r>
        <w:rPr>
          <w:rFonts w:hint="eastAsia" w:ascii="宋体" w:hAnsi="宋体" w:eastAsia="宋体" w:cs="宋体"/>
          <w:color w:val="auto"/>
          <w:highlight w:val="none"/>
          <w:lang w:eastAsia="zh-CN"/>
        </w:rPr>
        <w:t>《柳州市发展和改革委员会关于</w:t>
      </w:r>
      <w:r>
        <w:rPr>
          <w:rFonts w:hint="eastAsia" w:ascii="宋体" w:hAnsi="宋体" w:eastAsia="宋体" w:cs="宋体"/>
          <w:color w:val="auto"/>
          <w:highlight w:val="none"/>
          <w:lang w:val="en-US" w:eastAsia="zh-CN"/>
        </w:rPr>
        <w:t>柳州市黄村村及周边片区城中村改造项目建议书的批复》</w:t>
      </w:r>
      <w:r>
        <w:rPr>
          <w:rFonts w:hint="eastAsia" w:ascii="宋体" w:hAnsi="宋体" w:eastAsia="宋体" w:cs="宋体"/>
          <w:color w:val="auto"/>
          <w:highlight w:val="none"/>
        </w:rPr>
        <w:t>（柳</w:t>
      </w:r>
      <w:r>
        <w:rPr>
          <w:rFonts w:hint="eastAsia" w:ascii="宋体" w:hAnsi="宋体" w:eastAsia="宋体" w:cs="宋体"/>
          <w:color w:val="auto"/>
          <w:highlight w:val="none"/>
          <w:lang w:eastAsia="zh-CN"/>
        </w:rPr>
        <w:t>发改规划</w:t>
      </w:r>
      <w:r>
        <w:rPr>
          <w:rFonts w:hint="eastAsia" w:ascii="宋体" w:hAnsi="宋体" w:eastAsia="宋体" w:cs="宋体"/>
          <w:color w:val="auto"/>
          <w:highlight w:val="none"/>
        </w:rPr>
        <w:t>〔2024〕</w:t>
      </w:r>
      <w:r>
        <w:rPr>
          <w:rFonts w:hint="eastAsia" w:ascii="宋体" w:hAnsi="宋体" w:eastAsia="宋体" w:cs="宋体"/>
          <w:color w:val="auto"/>
          <w:highlight w:val="none"/>
          <w:lang w:val="en-US" w:eastAsia="zh-CN"/>
        </w:rPr>
        <w:t>31</w:t>
      </w:r>
      <w:r>
        <w:rPr>
          <w:rFonts w:hint="eastAsia" w:ascii="宋体" w:hAnsi="宋体" w:eastAsia="宋体" w:cs="宋体"/>
          <w:color w:val="auto"/>
          <w:highlight w:val="none"/>
        </w:rPr>
        <w:t>号）</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《柳州市自然资源和规划局关于</w:t>
      </w:r>
      <w:r>
        <w:rPr>
          <w:rFonts w:hint="eastAsia" w:ascii="宋体" w:hAnsi="宋体" w:eastAsia="宋体" w:cs="宋体"/>
          <w:color w:val="auto"/>
          <w:highlight w:val="none"/>
          <w:lang w:val="en-US" w:eastAsia="zh-CN"/>
        </w:rPr>
        <w:t>柳州市黄村村及周边片区城中村改造项目（胜利地块）</w:t>
      </w:r>
      <w:r>
        <w:rPr>
          <w:rFonts w:hint="eastAsia" w:ascii="宋体" w:hAnsi="宋体" w:eastAsia="宋体" w:cs="宋体"/>
          <w:color w:val="auto"/>
          <w:highlight w:val="none"/>
        </w:rPr>
        <w:t>用地规划意见的函》（柳资源规划用地〔2024〕</w:t>
      </w:r>
      <w:r>
        <w:rPr>
          <w:rFonts w:hint="eastAsia" w:ascii="宋体" w:hAnsi="宋体" w:eastAsia="宋体" w:cs="宋体"/>
          <w:color w:val="auto"/>
          <w:highlight w:val="none"/>
          <w:lang w:val="en-US" w:eastAsia="zh-CN"/>
        </w:rPr>
        <w:t>42</w:t>
      </w:r>
      <w:r>
        <w:rPr>
          <w:rFonts w:hint="eastAsia" w:ascii="宋体" w:hAnsi="宋体" w:eastAsia="宋体" w:cs="宋体"/>
          <w:color w:val="auto"/>
          <w:highlight w:val="none"/>
        </w:rPr>
        <w:t>号）</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《柳州市自然资源和规划局关于</w:t>
      </w:r>
      <w:r>
        <w:rPr>
          <w:rFonts w:hint="eastAsia" w:ascii="宋体" w:hAnsi="宋体" w:eastAsia="宋体" w:cs="宋体"/>
          <w:color w:val="auto"/>
          <w:highlight w:val="none"/>
          <w:lang w:eastAsia="zh-CN"/>
        </w:rPr>
        <w:t>下达</w:t>
      </w:r>
      <w:r>
        <w:rPr>
          <w:rFonts w:hint="eastAsia" w:ascii="宋体" w:hAnsi="宋体" w:eastAsia="宋体" w:cs="宋体"/>
          <w:color w:val="auto"/>
          <w:highlight w:val="none"/>
          <w:lang w:val="en-US" w:eastAsia="zh-CN"/>
        </w:rPr>
        <w:t>柳州市黄村村及周边片区城中村改造项目（胜利地块）</w:t>
      </w:r>
      <w:r>
        <w:rPr>
          <w:rFonts w:hint="eastAsia" w:ascii="宋体" w:hAnsi="宋体" w:eastAsia="宋体" w:cs="宋体"/>
          <w:color w:val="auto"/>
          <w:highlight w:val="none"/>
          <w:lang w:eastAsia="zh-CN"/>
        </w:rPr>
        <w:t>项目集体土地预征地任务的通知</w:t>
      </w:r>
      <w:r>
        <w:rPr>
          <w:rFonts w:hint="eastAsia" w:ascii="宋体" w:hAnsi="宋体" w:eastAsia="宋体" w:cs="宋体"/>
          <w:color w:val="auto"/>
          <w:highlight w:val="none"/>
        </w:rPr>
        <w:t>》（柳资源规划</w:t>
      </w:r>
      <w:r>
        <w:rPr>
          <w:rFonts w:hint="eastAsia" w:ascii="宋体" w:hAnsi="宋体" w:eastAsia="宋体" w:cs="宋体"/>
          <w:color w:val="auto"/>
          <w:highlight w:val="none"/>
          <w:lang w:eastAsia="zh-CN"/>
        </w:rPr>
        <w:t>通</w:t>
      </w:r>
      <w:r>
        <w:rPr>
          <w:rFonts w:hint="eastAsia" w:ascii="宋体" w:hAnsi="宋体" w:eastAsia="宋体" w:cs="宋体"/>
          <w:color w:val="auto"/>
          <w:highlight w:val="none"/>
        </w:rPr>
        <w:t>〔2024〕</w:t>
      </w:r>
      <w:r>
        <w:rPr>
          <w:rFonts w:hint="eastAsia" w:ascii="宋体" w:hAnsi="宋体" w:eastAsia="宋体" w:cs="宋体"/>
          <w:color w:val="auto"/>
          <w:highlight w:val="none"/>
          <w:lang w:val="en-US" w:eastAsia="zh-CN"/>
        </w:rPr>
        <w:t>381</w:t>
      </w:r>
      <w:r>
        <w:rPr>
          <w:rFonts w:hint="eastAsia" w:ascii="宋体" w:hAnsi="宋体" w:eastAsia="宋体" w:cs="宋体"/>
          <w:color w:val="auto"/>
          <w:highlight w:val="none"/>
        </w:rPr>
        <w:t>号）</w:t>
      </w:r>
      <w:r>
        <w:rPr>
          <w:rFonts w:hint="eastAsia" w:ascii="宋体" w:hAnsi="宋体" w:cs="宋体"/>
          <w:color w:val="auto"/>
          <w:highlight w:val="none"/>
        </w:rPr>
        <w:t>等相关文件和国家、省、市的其他有关法律、法规、政策文件和行业规范签订合同并开展项目动迁服务工作</w:t>
      </w:r>
      <w:r>
        <w:rPr>
          <w:rFonts w:ascii="宋体" w:hAnsi="宋体" w:cs="宋体"/>
          <w:color w:val="auto"/>
          <w:szCs w:val="21"/>
          <w:highlight w:val="none"/>
        </w:rPr>
        <w:t>，确保全过程各环节程序合法合规、资料齐全。</w:t>
      </w:r>
    </w:p>
    <w:p w14:paraId="18284B05">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中标人具体负责与房屋被征收人进行征收补偿安置协商、组织采购人与房屋被征收人签订和实施征收补偿安置协议等房屋征收工作。具体内容包含征收协商动员、组织采购人与房屋被征收人签订和实施补偿安置协议，迁移相关的供水、电力、煤气、通讯、有线电视、管线，设备搬迁等工作以及</w:t>
      </w:r>
      <w:r>
        <w:rPr>
          <w:rFonts w:hint="eastAsia" w:ascii="宋体" w:hAnsi="宋体" w:cs="宋体"/>
          <w:color w:val="auto"/>
          <w:highlight w:val="none"/>
        </w:rPr>
        <w:t>采购人</w:t>
      </w:r>
      <w:r>
        <w:rPr>
          <w:rFonts w:hint="eastAsia" w:ascii="宋体" w:hAnsi="宋体" w:cs="宋体"/>
          <w:color w:val="auto"/>
          <w:szCs w:val="21"/>
          <w:highlight w:val="none"/>
        </w:rPr>
        <w:t>根据项目实际情况临时安排的与本项目动迁工作相关的其他工作。</w:t>
      </w:r>
    </w:p>
    <w:p w14:paraId="1CB73AEC">
      <w:pPr>
        <w:pStyle w:val="109"/>
        <w:tabs>
          <w:tab w:val="left" w:pos="993"/>
        </w:tabs>
        <w:spacing w:line="360" w:lineRule="auto"/>
        <w:rPr>
          <w:rFonts w:ascii="宋体" w:hAnsi="宋体" w:cs="宋体"/>
          <w:color w:val="auto"/>
          <w:szCs w:val="21"/>
          <w:highlight w:val="none"/>
        </w:rPr>
      </w:pPr>
      <w:r>
        <w:rPr>
          <w:rFonts w:hint="eastAsia" w:ascii="宋体" w:hAnsi="宋体" w:cs="宋体"/>
          <w:color w:val="auto"/>
          <w:szCs w:val="21"/>
          <w:highlight w:val="none"/>
        </w:rPr>
        <w:t>2、中标人依据项目征收安置补偿方案（含补充方案）及有关法规政策依法依规组织开展征收补偿安置工作，在征收过程中如遇补偿项目增减、超出补偿标准等，应经</w:t>
      </w:r>
      <w:r>
        <w:rPr>
          <w:rFonts w:hint="eastAsia" w:ascii="宋体" w:hAnsi="宋体" w:cs="宋体"/>
          <w:color w:val="auto"/>
          <w:highlight w:val="none"/>
        </w:rPr>
        <w:t>采购人</w:t>
      </w:r>
      <w:r>
        <w:rPr>
          <w:rFonts w:hint="eastAsia" w:ascii="宋体" w:hAnsi="宋体" w:cs="宋体"/>
          <w:color w:val="auto"/>
          <w:szCs w:val="21"/>
          <w:highlight w:val="none"/>
        </w:rPr>
        <w:t>和项目征收指挥部研究同意，方可列入征收补偿内容。征收实施过程中，</w:t>
      </w:r>
      <w:r>
        <w:rPr>
          <w:rFonts w:hint="eastAsia" w:ascii="宋体" w:hAnsi="宋体" w:cs="宋体"/>
          <w:color w:val="auto"/>
          <w:highlight w:val="none"/>
        </w:rPr>
        <w:t>采购人</w:t>
      </w:r>
      <w:r>
        <w:rPr>
          <w:rFonts w:hint="eastAsia" w:ascii="宋体" w:hAnsi="宋体" w:cs="宋体"/>
          <w:color w:val="auto"/>
          <w:szCs w:val="21"/>
          <w:highlight w:val="none"/>
        </w:rPr>
        <w:t>有权随时进行抽查，中标人必须予以配合。</w:t>
      </w:r>
    </w:p>
    <w:p w14:paraId="2B98A5A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3、中标人必须按照</w:t>
      </w:r>
      <w:r>
        <w:rPr>
          <w:rFonts w:hint="eastAsia" w:ascii="宋体" w:hAnsi="宋体" w:cs="宋体"/>
          <w:color w:val="auto"/>
          <w:highlight w:val="none"/>
        </w:rPr>
        <w:t>采购人</w:t>
      </w:r>
      <w:r>
        <w:rPr>
          <w:rFonts w:hint="eastAsia" w:ascii="宋体" w:hAnsi="宋体" w:cs="宋体"/>
          <w:color w:val="auto"/>
          <w:szCs w:val="21"/>
          <w:highlight w:val="none"/>
        </w:rPr>
        <w:t>房屋征收计划派遣参加征收的工作人员，保证人员足额到位，并组成专门的项目工作组。项目征收工作实施过程中，中标人已确定的本项目工作人员不得参与其他项目的工作。</w:t>
      </w:r>
    </w:p>
    <w:p w14:paraId="2C7D535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在动迁活动过程中，未经</w:t>
      </w:r>
      <w:r>
        <w:rPr>
          <w:rFonts w:hint="eastAsia" w:ascii="宋体" w:hAnsi="宋体" w:cs="宋体"/>
          <w:color w:val="auto"/>
          <w:szCs w:val="21"/>
          <w:highlight w:val="none"/>
          <w:lang w:val="en-US" w:eastAsia="zh-CN"/>
        </w:rPr>
        <w:t>采购人</w:t>
      </w:r>
      <w:r>
        <w:rPr>
          <w:rFonts w:hint="eastAsia" w:ascii="宋体" w:hAnsi="宋体" w:cs="宋体"/>
          <w:color w:val="auto"/>
          <w:szCs w:val="21"/>
          <w:highlight w:val="none"/>
        </w:rPr>
        <w:t>审核同意，</w:t>
      </w:r>
      <w:r>
        <w:rPr>
          <w:rFonts w:hint="eastAsia" w:ascii="宋体" w:hAnsi="宋体" w:cs="宋体"/>
          <w:color w:val="auto"/>
          <w:szCs w:val="21"/>
          <w:highlight w:val="none"/>
          <w:lang w:val="en-US" w:eastAsia="zh-CN"/>
        </w:rPr>
        <w:t>中标人</w:t>
      </w:r>
      <w:r>
        <w:rPr>
          <w:rFonts w:hint="eastAsia" w:ascii="宋体" w:hAnsi="宋体" w:cs="宋体"/>
          <w:color w:val="auto"/>
          <w:szCs w:val="21"/>
          <w:highlight w:val="none"/>
        </w:rPr>
        <w:t>及其工作人员不得擅自与被征收人签订任何协议文件或出具书面承诺。</w:t>
      </w:r>
    </w:p>
    <w:p w14:paraId="1F81E2A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w:t>
      </w:r>
      <w:r>
        <w:rPr>
          <w:rFonts w:hint="eastAsia" w:ascii="宋体" w:hAnsi="宋体" w:cs="宋体"/>
          <w:color w:val="auto"/>
          <w:highlight w:val="none"/>
        </w:rPr>
        <w:t>采购人</w:t>
      </w:r>
      <w:r>
        <w:rPr>
          <w:rFonts w:hint="eastAsia" w:ascii="宋体" w:hAnsi="宋体" w:cs="宋体"/>
          <w:color w:val="auto"/>
          <w:szCs w:val="21"/>
          <w:highlight w:val="none"/>
        </w:rPr>
        <w:t>负责协调解决征收工作中的有关问题，中标人全力配合。</w:t>
      </w:r>
    </w:p>
    <w:p w14:paraId="7C908391">
      <w:pPr>
        <w:pStyle w:val="109"/>
        <w:tabs>
          <w:tab w:val="left" w:pos="993"/>
        </w:tabs>
        <w:spacing w:line="360" w:lineRule="auto"/>
        <w:rPr>
          <w:rFonts w:ascii="宋体" w:hAnsi="宋体" w:cs="宋体"/>
          <w:color w:val="auto"/>
          <w:szCs w:val="21"/>
          <w:highlight w:val="none"/>
        </w:rPr>
      </w:pPr>
      <w:r>
        <w:rPr>
          <w:rFonts w:hint="eastAsia" w:ascii="宋体" w:hAnsi="宋体" w:cs="宋体"/>
          <w:color w:val="auto"/>
          <w:szCs w:val="21"/>
          <w:highlight w:val="none"/>
        </w:rPr>
        <w:t>6、中标人应按时向</w:t>
      </w:r>
      <w:r>
        <w:rPr>
          <w:rFonts w:hint="eastAsia" w:ascii="宋体" w:hAnsi="宋体" w:cs="宋体"/>
          <w:color w:val="auto"/>
          <w:highlight w:val="none"/>
        </w:rPr>
        <w:t>采购人</w:t>
      </w:r>
      <w:r>
        <w:rPr>
          <w:rFonts w:hint="eastAsia" w:ascii="宋体" w:hAnsi="宋体" w:cs="宋体"/>
          <w:color w:val="auto"/>
          <w:szCs w:val="21"/>
          <w:highlight w:val="none"/>
        </w:rPr>
        <w:t>片区指挥部提供工程项目月进度、资金计划申报表和征收工作项目进度统计表，否则造成</w:t>
      </w:r>
      <w:r>
        <w:rPr>
          <w:rFonts w:hint="eastAsia" w:ascii="宋体" w:hAnsi="宋体" w:cs="宋体"/>
          <w:color w:val="auto"/>
          <w:highlight w:val="none"/>
        </w:rPr>
        <w:t>采购人</w:t>
      </w:r>
      <w:r>
        <w:rPr>
          <w:rFonts w:hint="eastAsia" w:ascii="宋体" w:hAnsi="宋体" w:cs="宋体"/>
          <w:color w:val="auto"/>
          <w:szCs w:val="21"/>
          <w:highlight w:val="none"/>
        </w:rPr>
        <w:t>付款不及时，则由中标人自行负责。征收工程完成并经</w:t>
      </w:r>
      <w:r>
        <w:rPr>
          <w:rFonts w:hint="eastAsia" w:ascii="宋体" w:hAnsi="宋体" w:cs="宋体"/>
          <w:color w:val="auto"/>
          <w:highlight w:val="none"/>
        </w:rPr>
        <w:t>采购人</w:t>
      </w:r>
      <w:r>
        <w:rPr>
          <w:rFonts w:hint="eastAsia" w:ascii="宋体" w:hAnsi="宋体" w:cs="宋体"/>
          <w:color w:val="auto"/>
          <w:szCs w:val="21"/>
          <w:highlight w:val="none"/>
        </w:rPr>
        <w:t>验收合格后，中标人应及时提交《征收工程结算书》及《征收工程完工报告书》。</w:t>
      </w:r>
    </w:p>
    <w:p w14:paraId="5C3FAA46">
      <w:pPr>
        <w:widowControl/>
        <w:spacing w:line="360" w:lineRule="auto"/>
        <w:ind w:firstLine="400"/>
        <w:rPr>
          <w:rFonts w:ascii="宋体" w:hAnsi="宋体" w:cs="宋体"/>
          <w:color w:val="auto"/>
          <w:highlight w:val="none"/>
        </w:rPr>
      </w:pPr>
      <w:r>
        <w:rPr>
          <w:rFonts w:hint="eastAsia" w:ascii="宋体" w:hAnsi="宋体" w:cs="宋体"/>
          <w:color w:val="auto"/>
          <w:highlight w:val="none"/>
        </w:rPr>
        <w:t>7、配合采购人接受审计、监察等部门的检查工作。</w:t>
      </w:r>
    </w:p>
    <w:p w14:paraId="0BC5CE3E">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8、整理动迁服务过程中的各项档案资料（含声像资料、电子档案资料等），并进行归档、移交给采购人等。</w:t>
      </w:r>
    </w:p>
    <w:p w14:paraId="5F3A684E">
      <w:pPr>
        <w:spacing w:line="360" w:lineRule="auto"/>
        <w:rPr>
          <w:rFonts w:ascii="宋体" w:hAnsi="宋体" w:cs="宋体"/>
          <w:color w:val="auto"/>
          <w:szCs w:val="21"/>
          <w:highlight w:val="none"/>
        </w:rPr>
      </w:pPr>
      <w:r>
        <w:rPr>
          <w:rFonts w:hint="eastAsia" w:ascii="宋体" w:hAnsi="宋体" w:cs="宋体"/>
          <w:color w:val="auto"/>
          <w:kern w:val="0"/>
          <w:szCs w:val="21"/>
          <w:highlight w:val="none"/>
        </w:rPr>
        <w:t>▲</w:t>
      </w:r>
      <w:r>
        <w:rPr>
          <w:rFonts w:hint="eastAsia" w:ascii="宋体" w:hAnsi="宋体" w:cs="宋体"/>
          <w:b/>
          <w:color w:val="auto"/>
          <w:szCs w:val="21"/>
          <w:highlight w:val="none"/>
        </w:rPr>
        <w:t>四、服务</w:t>
      </w:r>
      <w:r>
        <w:rPr>
          <w:rFonts w:hint="eastAsia" w:ascii="宋体" w:hAnsi="宋体" w:cs="宋体"/>
          <w:b/>
          <w:bCs/>
          <w:color w:val="auto"/>
          <w:szCs w:val="21"/>
          <w:highlight w:val="none"/>
        </w:rPr>
        <w:t>年限</w:t>
      </w:r>
      <w:r>
        <w:rPr>
          <w:rFonts w:hint="eastAsia" w:ascii="宋体" w:hAnsi="宋体" w:cs="宋体"/>
          <w:color w:val="auto"/>
          <w:szCs w:val="21"/>
          <w:highlight w:val="none"/>
        </w:rPr>
        <w:t>：暂定3年（最终以实际完成为准）。</w:t>
      </w:r>
    </w:p>
    <w:p w14:paraId="06A499E1">
      <w:pPr>
        <w:spacing w:line="360" w:lineRule="auto"/>
        <w:rPr>
          <w:rFonts w:ascii="宋体" w:hAnsi="宋体" w:cs="宋体"/>
          <w:b/>
          <w:color w:val="auto"/>
          <w:szCs w:val="21"/>
          <w:highlight w:val="none"/>
        </w:rPr>
      </w:pPr>
      <w:r>
        <w:rPr>
          <w:rFonts w:hint="eastAsia" w:ascii="宋体" w:hAnsi="宋体" w:cs="宋体"/>
          <w:color w:val="auto"/>
          <w:kern w:val="0"/>
          <w:szCs w:val="21"/>
          <w:highlight w:val="none"/>
        </w:rPr>
        <w:t>▲</w:t>
      </w:r>
      <w:r>
        <w:rPr>
          <w:rFonts w:hint="eastAsia" w:ascii="宋体" w:hAnsi="宋体" w:cs="宋体"/>
          <w:b/>
          <w:color w:val="auto"/>
          <w:szCs w:val="21"/>
          <w:highlight w:val="none"/>
        </w:rPr>
        <w:t>五、服务人员要求:</w:t>
      </w:r>
    </w:p>
    <w:p w14:paraId="0417FFBC">
      <w:pPr>
        <w:pStyle w:val="119"/>
        <w:spacing w:line="360" w:lineRule="auto"/>
        <w:ind w:firstLine="424" w:firstLineChars="202"/>
        <w:rPr>
          <w:rFonts w:ascii="宋体" w:hAnsi="宋体" w:cs="宋体"/>
          <w:color w:val="auto"/>
          <w:sz w:val="21"/>
          <w:szCs w:val="21"/>
          <w:highlight w:val="none"/>
          <w:lang w:eastAsia="zh-CN"/>
        </w:rPr>
      </w:pPr>
      <w:r>
        <w:rPr>
          <w:rFonts w:hint="eastAsia" w:ascii="宋体" w:hAnsi="宋体" w:cs="宋体"/>
          <w:color w:val="auto"/>
          <w:sz w:val="21"/>
          <w:szCs w:val="21"/>
          <w:highlight w:val="none"/>
          <w:lang w:eastAsia="zh-CN"/>
        </w:rPr>
        <w:t>（一）投标人须派出不少于</w:t>
      </w:r>
      <w:r>
        <w:rPr>
          <w:rFonts w:hint="eastAsia" w:ascii="宋体" w:hAnsi="宋体" w:cs="宋体"/>
          <w:color w:val="auto"/>
          <w:sz w:val="21"/>
          <w:szCs w:val="21"/>
          <w:highlight w:val="none"/>
          <w:lang w:val="en-US" w:eastAsia="zh-CN"/>
        </w:rPr>
        <w:t>8</w:t>
      </w:r>
      <w:r>
        <w:rPr>
          <w:rFonts w:hint="eastAsia" w:ascii="宋体" w:hAnsi="宋体" w:cs="宋体"/>
          <w:color w:val="auto"/>
          <w:sz w:val="21"/>
          <w:szCs w:val="21"/>
          <w:highlight w:val="none"/>
          <w:lang w:eastAsia="zh-CN"/>
        </w:rPr>
        <w:t>人的固定驻场动迁服务工作小组，并明确其中一人为动迁项目经理。</w:t>
      </w:r>
      <w:r>
        <w:rPr>
          <w:rFonts w:hint="eastAsia" w:cs="宋体" w:asciiTheme="minorEastAsia" w:hAnsiTheme="minorEastAsia" w:eastAsiaTheme="minorEastAsia"/>
          <w:color w:val="auto"/>
          <w:sz w:val="21"/>
          <w:szCs w:val="21"/>
          <w:highlight w:val="none"/>
          <w:lang w:eastAsia="zh-CN"/>
        </w:rPr>
        <w:t>动迁项目经理应具备中专或以上学历，并且具有2018年1月1日以来的动迁工作经历【</w:t>
      </w:r>
      <w:r>
        <w:rPr>
          <w:rFonts w:hint="eastAsia" w:cs="宋体" w:asciiTheme="minorEastAsia" w:hAnsiTheme="minorEastAsia" w:eastAsiaTheme="minorEastAsia"/>
          <w:b/>
          <w:bCs/>
          <w:color w:val="auto"/>
          <w:sz w:val="21"/>
          <w:szCs w:val="21"/>
          <w:highlight w:val="none"/>
          <w:lang w:eastAsia="zh-CN"/>
        </w:rPr>
        <w:t>投标文件中必须提供项目经理身份证、学历证复印件和动迁工作经历证明材料（证明材料为：</w:t>
      </w:r>
      <w:r>
        <w:rPr>
          <w:rFonts w:hint="eastAsia" w:cs="宋体" w:asciiTheme="minorEastAsia" w:hAnsiTheme="minorEastAsia" w:eastAsiaTheme="minorEastAsia"/>
          <w:b/>
          <w:bCs/>
          <w:color w:val="auto"/>
          <w:sz w:val="21"/>
          <w:szCs w:val="21"/>
          <w:highlight w:val="none"/>
          <w:u w:val="single"/>
          <w:lang w:eastAsia="zh-CN"/>
        </w:rPr>
        <w:t>动迁单位2018年1月1日以来与政府拆迁业务实施部门签订的动迁委托协议</w:t>
      </w:r>
      <w:r>
        <w:rPr>
          <w:rFonts w:hint="eastAsia" w:ascii="宋体" w:hAnsi="宋体" w:cs="宋体"/>
          <w:b/>
          <w:bCs/>
          <w:color w:val="auto"/>
          <w:highlight w:val="none"/>
          <w:u w:val="single"/>
        </w:rPr>
        <w:t>或劳务派遣协议</w:t>
      </w:r>
      <w:r>
        <w:rPr>
          <w:rFonts w:hint="eastAsia" w:ascii="宋体" w:hAnsi="宋体" w:cs="宋体"/>
          <w:b/>
          <w:bCs/>
          <w:color w:val="auto"/>
          <w:highlight w:val="none"/>
          <w:u w:val="single"/>
          <w:lang w:val="en-US" w:eastAsia="zh-CN"/>
        </w:rPr>
        <w:t xml:space="preserve"> </w:t>
      </w:r>
      <w:r>
        <w:rPr>
          <w:rFonts w:hint="eastAsia" w:cs="宋体" w:asciiTheme="minorEastAsia" w:hAnsiTheme="minorEastAsia" w:eastAsiaTheme="minorEastAsia"/>
          <w:b/>
          <w:bCs/>
          <w:color w:val="auto"/>
          <w:sz w:val="21"/>
          <w:szCs w:val="21"/>
          <w:highlight w:val="none"/>
          <w:lang w:eastAsia="zh-CN"/>
        </w:rPr>
        <w:t>和</w:t>
      </w:r>
      <w:r>
        <w:rPr>
          <w:rFonts w:hint="eastAsia" w:cs="宋体" w:asciiTheme="minorEastAsia" w:hAnsiTheme="minorEastAsia" w:eastAsiaTheme="minorEastAsia"/>
          <w:b/>
          <w:bCs/>
          <w:color w:val="auto"/>
          <w:sz w:val="21"/>
          <w:szCs w:val="21"/>
          <w:highlight w:val="none"/>
          <w:u w:val="single"/>
          <w:lang w:eastAsia="zh-CN"/>
        </w:rPr>
        <w:t xml:space="preserve"> 动迁单位出具的证明或动迁单位与项目经理本人签订的劳动（务）合同</w:t>
      </w:r>
      <w:r>
        <w:rPr>
          <w:rFonts w:hint="eastAsia" w:cs="宋体" w:asciiTheme="minorEastAsia" w:hAnsiTheme="minorEastAsia" w:eastAsiaTheme="minorEastAsia"/>
          <w:b/>
          <w:bCs/>
          <w:color w:val="auto"/>
          <w:sz w:val="21"/>
          <w:szCs w:val="21"/>
          <w:highlight w:val="none"/>
          <w:lang w:eastAsia="zh-CN"/>
        </w:rPr>
        <w:t>；证明材料中的动迁单位可以不是投标单位）。否则投标无效</w:t>
      </w:r>
      <w:r>
        <w:rPr>
          <w:rFonts w:hint="eastAsia" w:cs="宋体" w:asciiTheme="minorEastAsia" w:hAnsiTheme="minorEastAsia" w:eastAsiaTheme="minorEastAsia"/>
          <w:color w:val="auto"/>
          <w:sz w:val="21"/>
          <w:szCs w:val="21"/>
          <w:highlight w:val="none"/>
          <w:lang w:eastAsia="zh-CN"/>
        </w:rPr>
        <w:t>】。</w:t>
      </w:r>
      <w:r>
        <w:rPr>
          <w:rFonts w:hint="eastAsia" w:ascii="宋体" w:hAnsi="宋体" w:cs="宋体"/>
          <w:color w:val="auto"/>
          <w:sz w:val="21"/>
          <w:szCs w:val="21"/>
          <w:highlight w:val="none"/>
          <w:lang w:eastAsia="zh-CN"/>
        </w:rPr>
        <w:t>小组成员应熟悉房屋拆迁（征收）补偿方案、政策及相关的法律、法规，具有胜任房屋拆迁（征收）服务工作的政策理论水平和实际应用能力；</w:t>
      </w:r>
    </w:p>
    <w:p w14:paraId="30C30E23">
      <w:pPr>
        <w:pStyle w:val="119"/>
        <w:spacing w:line="360" w:lineRule="auto"/>
        <w:ind w:firstLine="424" w:firstLineChars="202"/>
        <w:rPr>
          <w:rFonts w:ascii="宋体" w:hAnsi="宋体" w:cs="宋体"/>
          <w:color w:val="auto"/>
          <w:sz w:val="21"/>
          <w:szCs w:val="21"/>
          <w:highlight w:val="none"/>
          <w:lang w:eastAsia="zh-CN"/>
        </w:rPr>
      </w:pPr>
      <w:r>
        <w:rPr>
          <w:rFonts w:hint="eastAsia" w:ascii="宋体" w:hAnsi="宋体" w:cs="宋体"/>
          <w:color w:val="auto"/>
          <w:sz w:val="21"/>
          <w:szCs w:val="21"/>
          <w:highlight w:val="none"/>
          <w:lang w:eastAsia="zh-CN"/>
        </w:rPr>
        <w:t>（二）廉洁奉公、遵纪守法，作风正派，秉公办事，政治原则性强；热爱本职工作，具有敬业精神和较强的工作责任心；</w:t>
      </w:r>
    </w:p>
    <w:p w14:paraId="4240732E">
      <w:pPr>
        <w:pStyle w:val="119"/>
        <w:spacing w:line="360" w:lineRule="auto"/>
        <w:ind w:firstLine="424" w:firstLineChars="202"/>
        <w:rPr>
          <w:rFonts w:ascii="宋体" w:hAnsi="宋体" w:cs="宋体"/>
          <w:color w:val="auto"/>
          <w:sz w:val="21"/>
          <w:szCs w:val="21"/>
          <w:highlight w:val="none"/>
          <w:lang w:eastAsia="zh-CN"/>
        </w:rPr>
      </w:pPr>
      <w:r>
        <w:rPr>
          <w:rFonts w:hint="eastAsia" w:ascii="宋体" w:hAnsi="宋体" w:cs="宋体"/>
          <w:color w:val="auto"/>
          <w:sz w:val="21"/>
          <w:szCs w:val="21"/>
          <w:highlight w:val="none"/>
          <w:lang w:eastAsia="zh-CN"/>
        </w:rPr>
        <w:t>（三）身体健康，有一定的组织、协调、沟通能力。</w:t>
      </w:r>
    </w:p>
    <w:p w14:paraId="3F5DFED3">
      <w:pPr>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    （四）动迁工作小组人员为专职工作人员，不得同时兼任其它项目工作，听从采购人统筹安排调度，全部固定于征收现场项目办公场地内办公，在项目结束前不得减少动迁工作小组人员，未经采购人同意，不得无故更换工作小组人员，若需更换需书面告知采购人并取得采购人同意后更换。对不符合要求的人员，采购人有权要求中标人更换，更换人员素质不得低于被更换的人员素质要求。</w:t>
      </w:r>
    </w:p>
    <w:p w14:paraId="24B30A1A">
      <w:pPr>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  （五）如动迁工作小组人员无法满足工作要求，需增加动迁人员的，应根据工作实际情况增加专业动迁人员，增加人员素质不低于小组专业动迁人员素质要求。中标人不得向采购人要求额外增加相关费用。</w:t>
      </w:r>
    </w:p>
    <w:p w14:paraId="1AA74E16">
      <w:pPr>
        <w:spacing w:line="360" w:lineRule="auto"/>
        <w:rPr>
          <w:rFonts w:ascii="宋体" w:hAnsi="宋体" w:cs="宋体"/>
          <w:b/>
          <w:color w:val="auto"/>
          <w:szCs w:val="21"/>
          <w:highlight w:val="none"/>
        </w:rPr>
      </w:pPr>
      <w:r>
        <w:rPr>
          <w:rFonts w:hint="eastAsia" w:ascii="宋体" w:hAnsi="宋体" w:cs="宋体"/>
          <w:b/>
          <w:color w:val="auto"/>
          <w:szCs w:val="21"/>
          <w:highlight w:val="none"/>
        </w:rPr>
        <w:t>六、投标报价</w:t>
      </w:r>
    </w:p>
    <w:p w14:paraId="3F96CCF2">
      <w:pPr>
        <w:spacing w:line="360" w:lineRule="auto"/>
        <w:rPr>
          <w:rFonts w:ascii="宋体" w:hAnsi="宋体" w:cs="宋体"/>
          <w:bCs/>
          <w:color w:val="auto"/>
          <w:kern w:val="0"/>
          <w:szCs w:val="21"/>
          <w:highlight w:val="none"/>
        </w:rPr>
      </w:pPr>
      <w:r>
        <w:rPr>
          <w:rFonts w:hint="eastAsia" w:ascii="宋体" w:hAnsi="宋体" w:cs="宋体"/>
          <w:b/>
          <w:bCs/>
          <w:color w:val="auto"/>
          <w:szCs w:val="21"/>
          <w:highlight w:val="none"/>
        </w:rPr>
        <w:t>1、</w:t>
      </w:r>
      <w:r>
        <w:rPr>
          <w:rFonts w:hint="eastAsia" w:ascii="宋体" w:hAnsi="宋体" w:cs="宋体"/>
          <w:b/>
          <w:color w:val="auto"/>
          <w:kern w:val="0"/>
          <w:szCs w:val="21"/>
          <w:highlight w:val="none"/>
        </w:rPr>
        <w:t>房屋征收实施费 包含</w:t>
      </w:r>
      <w:r>
        <w:rPr>
          <w:rFonts w:hint="eastAsia" w:ascii="宋体" w:hAnsi="宋体" w:cs="宋体"/>
          <w:bCs/>
          <w:color w:val="auto"/>
          <w:kern w:val="0"/>
          <w:szCs w:val="21"/>
          <w:highlight w:val="none"/>
        </w:rPr>
        <w:t>实施和完成本项目动迁服务内容的全部所需的</w:t>
      </w:r>
      <w:r>
        <w:rPr>
          <w:rFonts w:hint="eastAsia" w:ascii="宋体" w:hAnsi="宋体" w:cs="宋体"/>
          <w:b/>
          <w:color w:val="auto"/>
          <w:kern w:val="0"/>
          <w:szCs w:val="21"/>
          <w:highlight w:val="none"/>
          <w:u w:val="single"/>
        </w:rPr>
        <w:t>人工费、交通、通讯、现场勘察、协调、技术处理、办公、耗材等以及管理费、利润、税金、保险、政策性文件规定的合同包含的所有风险、责任等全部</w:t>
      </w:r>
      <w:r>
        <w:rPr>
          <w:rFonts w:hint="eastAsia" w:ascii="宋体" w:hAnsi="宋体" w:cs="宋体"/>
          <w:bCs/>
          <w:color w:val="auto"/>
          <w:kern w:val="0"/>
          <w:szCs w:val="21"/>
          <w:highlight w:val="none"/>
          <w:u w:val="single"/>
        </w:rPr>
        <w:t>费用</w:t>
      </w:r>
      <w:r>
        <w:rPr>
          <w:rFonts w:hint="eastAsia" w:ascii="宋体" w:hAnsi="宋体" w:cs="宋体"/>
          <w:bCs/>
          <w:color w:val="auto"/>
          <w:kern w:val="0"/>
          <w:szCs w:val="21"/>
          <w:highlight w:val="none"/>
        </w:rPr>
        <w:t>。投标人自行考虑投标报价会出现的其他风险。</w:t>
      </w:r>
    </w:p>
    <w:p w14:paraId="46451CF6">
      <w:pPr>
        <w:spacing w:line="360" w:lineRule="auto"/>
        <w:rPr>
          <w:rFonts w:ascii="宋体" w:hAnsi="宋体" w:cs="宋体"/>
          <w:b/>
          <w:bCs/>
          <w:color w:val="auto"/>
          <w:szCs w:val="21"/>
          <w:highlight w:val="none"/>
        </w:rPr>
      </w:pPr>
      <w:r>
        <w:rPr>
          <w:rFonts w:hint="eastAsia" w:ascii="宋体" w:hAnsi="宋体" w:cs="宋体"/>
          <w:b/>
          <w:bCs/>
          <w:color w:val="auto"/>
          <w:szCs w:val="21"/>
          <w:highlight w:val="none"/>
        </w:rPr>
        <w:t>2、报价方式</w:t>
      </w:r>
    </w:p>
    <w:p w14:paraId="07173B79">
      <w:pPr>
        <w:spacing w:line="360" w:lineRule="auto"/>
        <w:ind w:firstLine="420" w:firstLineChars="200"/>
        <w:rPr>
          <w:rFonts w:ascii="宋体" w:hAnsi="宋体" w:cs="宋体"/>
          <w:color w:val="auto"/>
          <w:kern w:val="0"/>
          <w:szCs w:val="21"/>
          <w:highlight w:val="none"/>
        </w:rPr>
      </w:pPr>
      <w:r>
        <w:rPr>
          <w:rFonts w:hint="eastAsia" w:ascii="宋体" w:hAnsi="宋体" w:cs="宋体"/>
          <w:color w:val="auto"/>
          <w:szCs w:val="21"/>
          <w:highlight w:val="none"/>
        </w:rPr>
        <w:t>本项目投标</w:t>
      </w:r>
      <w:r>
        <w:rPr>
          <w:rFonts w:hint="eastAsia" w:ascii="宋体" w:hAnsi="宋体" w:cs="宋体"/>
          <w:color w:val="auto"/>
          <w:kern w:val="0"/>
          <w:szCs w:val="21"/>
          <w:highlight w:val="none"/>
        </w:rPr>
        <w:t>报价采用</w:t>
      </w:r>
      <w:r>
        <w:rPr>
          <w:rFonts w:hint="eastAsia" w:ascii="宋体" w:hAnsi="宋体" w:cs="宋体"/>
          <w:color w:val="auto"/>
          <w:szCs w:val="21"/>
          <w:highlight w:val="none"/>
        </w:rPr>
        <w:t>价格优惠率进行报价。</w:t>
      </w:r>
      <w:r>
        <w:rPr>
          <w:rFonts w:hint="eastAsia" w:ascii="宋体" w:hAnsi="宋体" w:cs="宋体"/>
          <w:color w:val="auto"/>
          <w:kern w:val="0"/>
          <w:szCs w:val="21"/>
          <w:highlight w:val="none"/>
        </w:rPr>
        <w:t>由投标人按照</w:t>
      </w:r>
      <w:r>
        <w:rPr>
          <w:rFonts w:hint="eastAsia" w:ascii="宋体" w:hAnsi="宋体" w:cs="宋体"/>
          <w:color w:val="auto"/>
          <w:szCs w:val="21"/>
          <w:highlight w:val="none"/>
        </w:rPr>
        <w:t>“柳财发〔2013〕1 号”、“柳财发〔2015〕1 号”等文件规定，</w:t>
      </w:r>
      <w:r>
        <w:rPr>
          <w:rFonts w:hint="eastAsia" w:ascii="宋体" w:hAnsi="宋体" w:cs="宋体"/>
          <w:color w:val="auto"/>
          <w:kern w:val="0"/>
          <w:szCs w:val="21"/>
          <w:highlight w:val="none"/>
        </w:rPr>
        <w:t>根据项目工作要求及内容结合自身情况，对</w:t>
      </w:r>
      <w:r>
        <w:rPr>
          <w:rFonts w:hint="eastAsia" w:ascii="宋体" w:hAnsi="宋体" w:cs="宋体"/>
          <w:color w:val="auto"/>
          <w:szCs w:val="21"/>
          <w:highlight w:val="none"/>
        </w:rPr>
        <w:t>房屋征收实施费的</w:t>
      </w:r>
      <w:r>
        <w:rPr>
          <w:rFonts w:hint="eastAsia" w:ascii="宋体" w:hAnsi="宋体" w:cs="宋体"/>
          <w:bCs/>
          <w:color w:val="auto"/>
          <w:szCs w:val="21"/>
          <w:highlight w:val="none"/>
          <w:u w:val="single"/>
        </w:rPr>
        <w:t xml:space="preserve">优惠率 </w:t>
      </w:r>
      <w:r>
        <w:rPr>
          <w:rFonts w:hint="eastAsia" w:ascii="宋体" w:hAnsi="宋体" w:cs="宋体"/>
          <w:color w:val="auto"/>
          <w:kern w:val="0"/>
          <w:szCs w:val="21"/>
          <w:highlight w:val="none"/>
        </w:rPr>
        <w:t>进行合理报价。</w:t>
      </w:r>
    </w:p>
    <w:p w14:paraId="0FB04C78">
      <w:pPr>
        <w:numPr>
          <w:ilvl w:val="0"/>
          <w:numId w:val="3"/>
        </w:numPr>
        <w:spacing w:line="360" w:lineRule="auto"/>
        <w:rPr>
          <w:rFonts w:ascii="宋体" w:hAnsi="宋体" w:cs="宋体"/>
          <w:b/>
          <w:bCs/>
          <w:color w:val="auto"/>
          <w:kern w:val="0"/>
          <w:szCs w:val="21"/>
          <w:highlight w:val="none"/>
        </w:rPr>
      </w:pPr>
      <w:r>
        <w:rPr>
          <w:rFonts w:hint="eastAsia" w:ascii="宋体" w:hAnsi="宋体" w:cs="宋体"/>
          <w:b/>
          <w:bCs/>
          <w:color w:val="auto"/>
          <w:kern w:val="0"/>
          <w:szCs w:val="21"/>
          <w:highlight w:val="none"/>
        </w:rPr>
        <w:t>有效报价范围</w:t>
      </w:r>
    </w:p>
    <w:p w14:paraId="0702C636">
      <w:pPr>
        <w:spacing w:line="360" w:lineRule="auto"/>
        <w:ind w:firstLine="210" w:firstLineChars="100"/>
        <w:rPr>
          <w:rFonts w:ascii="宋体" w:hAnsi="宋体" w:cs="宋体"/>
          <w:color w:val="auto"/>
          <w:kern w:val="0"/>
          <w:szCs w:val="21"/>
          <w:highlight w:val="none"/>
        </w:rPr>
      </w:pPr>
      <w:r>
        <w:rPr>
          <w:rFonts w:hint="eastAsia" w:ascii="宋体" w:hAnsi="宋体" w:cs="宋体"/>
          <w:color w:val="auto"/>
          <w:szCs w:val="21"/>
          <w:highlight w:val="none"/>
        </w:rPr>
        <w:t xml:space="preserve"> 房屋征收实施费优惠率</w:t>
      </w:r>
      <w:r>
        <w:rPr>
          <w:rFonts w:hint="eastAsia" w:ascii="宋体" w:hAnsi="宋体" w:cs="宋体"/>
          <w:color w:val="auto"/>
          <w:kern w:val="0"/>
          <w:szCs w:val="21"/>
          <w:highlight w:val="none"/>
        </w:rPr>
        <w:t>有效报价范围为</w:t>
      </w:r>
      <w:r>
        <w:rPr>
          <w:rFonts w:hint="eastAsia" w:ascii="宋体" w:hAnsi="宋体" w:cs="宋体"/>
          <w:b/>
          <w:bCs/>
          <w:color w:val="auto"/>
          <w:kern w:val="0"/>
          <w:szCs w:val="21"/>
          <w:highlight w:val="none"/>
        </w:rPr>
        <w:t>：</w:t>
      </w:r>
      <w:r>
        <w:rPr>
          <w:rFonts w:hint="eastAsia" w:ascii="宋体" w:hAnsi="宋体" w:cs="宋体"/>
          <w:b/>
          <w:color w:val="auto"/>
          <w:kern w:val="0"/>
          <w:szCs w:val="21"/>
          <w:highlight w:val="none"/>
        </w:rPr>
        <w:t>30.00%—100.00%（含本数）</w:t>
      </w:r>
      <w:r>
        <w:rPr>
          <w:rFonts w:hint="eastAsia" w:ascii="宋体" w:hAnsi="宋体" w:cs="宋体"/>
          <w:color w:val="auto"/>
          <w:kern w:val="0"/>
          <w:szCs w:val="21"/>
          <w:highlight w:val="none"/>
        </w:rPr>
        <w:t>。超出有效报价范围的报价无效。</w:t>
      </w:r>
    </w:p>
    <w:p w14:paraId="37F2DDD1">
      <w:pPr>
        <w:widowControl/>
        <w:shd w:val="clear" w:color="auto" w:fill="FFFFFF"/>
        <w:spacing w:line="360" w:lineRule="auto"/>
        <w:rPr>
          <w:rFonts w:ascii="宋体" w:hAnsi="宋体" w:cs="宋体"/>
          <w:color w:val="auto"/>
          <w:szCs w:val="21"/>
          <w:highlight w:val="none"/>
        </w:rPr>
      </w:pPr>
      <w:r>
        <w:rPr>
          <w:rFonts w:hint="eastAsia" w:ascii="宋体" w:hAnsi="宋体" w:cs="宋体"/>
          <w:b/>
          <w:bCs/>
          <w:color w:val="auto"/>
          <w:szCs w:val="21"/>
          <w:highlight w:val="none"/>
        </w:rPr>
        <w:t>4、结算方式：</w:t>
      </w:r>
    </w:p>
    <w:p w14:paraId="17DBF733">
      <w:pPr>
        <w:widowControl/>
        <w:shd w:val="clear" w:color="auto" w:fill="FFFFFF"/>
        <w:spacing w:line="360" w:lineRule="auto"/>
        <w:ind w:firstLine="210" w:firstLineChars="100"/>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b/>
          <w:bCs/>
          <w:color w:val="auto"/>
          <w:kern w:val="0"/>
          <w:szCs w:val="21"/>
          <w:highlight w:val="none"/>
        </w:rPr>
        <w:t>房屋征收实施费</w:t>
      </w:r>
      <w:r>
        <w:rPr>
          <w:rFonts w:hint="eastAsia" w:ascii="宋体" w:hAnsi="宋体" w:cs="宋体"/>
          <w:color w:val="auto"/>
          <w:szCs w:val="21"/>
          <w:highlight w:val="none"/>
        </w:rPr>
        <w:t>以</w:t>
      </w:r>
      <w:r>
        <w:rPr>
          <w:rFonts w:hint="eastAsia" w:ascii="宋体" w:hAnsi="宋体" w:cs="宋体"/>
          <w:bCs/>
          <w:color w:val="auto"/>
          <w:kern w:val="0"/>
          <w:szCs w:val="21"/>
          <w:highlight w:val="none"/>
          <w:u w:val="single"/>
        </w:rPr>
        <w:t>实际完成的工作量为基准</w:t>
      </w:r>
      <w:r>
        <w:rPr>
          <w:rFonts w:hint="eastAsia" w:ascii="宋体" w:hAnsi="宋体" w:cs="宋体"/>
          <w:color w:val="auto"/>
          <w:szCs w:val="21"/>
          <w:highlight w:val="none"/>
        </w:rPr>
        <w:t>，</w:t>
      </w:r>
      <w:r>
        <w:rPr>
          <w:rFonts w:hint="eastAsia" w:ascii="宋体" w:hAnsi="宋体" w:cs="宋体"/>
          <w:b/>
          <w:bCs/>
          <w:color w:val="auto"/>
          <w:kern w:val="0"/>
          <w:szCs w:val="21"/>
          <w:highlight w:val="none"/>
        </w:rPr>
        <w:t>按</w:t>
      </w:r>
      <w:r>
        <w:rPr>
          <w:rFonts w:hint="eastAsia" w:ascii="宋体" w:hAnsi="宋体" w:cs="宋体"/>
          <w:color w:val="auto"/>
          <w:kern w:val="0"/>
          <w:szCs w:val="21"/>
          <w:highlight w:val="none"/>
          <w:u w:val="single"/>
        </w:rPr>
        <w:t>“柳财发〔2013〕1 号”</w:t>
      </w:r>
      <w:r>
        <w:rPr>
          <w:rFonts w:hint="eastAsia" w:ascii="宋体" w:hAnsi="宋体" w:cs="宋体"/>
          <w:b/>
          <w:bCs/>
          <w:color w:val="auto"/>
          <w:kern w:val="0"/>
          <w:szCs w:val="21"/>
          <w:highlight w:val="none"/>
        </w:rPr>
        <w:t>和</w:t>
      </w:r>
      <w:r>
        <w:rPr>
          <w:rFonts w:hint="eastAsia" w:ascii="宋体" w:hAnsi="宋体" w:cs="宋体"/>
          <w:color w:val="auto"/>
          <w:kern w:val="0"/>
          <w:szCs w:val="21"/>
          <w:highlight w:val="none"/>
          <w:u w:val="single"/>
        </w:rPr>
        <w:t>“柳财发〔2015〕1 号”</w:t>
      </w:r>
      <w:r>
        <w:rPr>
          <w:rFonts w:hint="eastAsia" w:ascii="宋体" w:hAnsi="宋体" w:cs="宋体"/>
          <w:color w:val="auto"/>
          <w:kern w:val="0"/>
          <w:szCs w:val="21"/>
          <w:highlight w:val="none"/>
        </w:rPr>
        <w:t>文件等规定</w:t>
      </w:r>
      <w:r>
        <w:rPr>
          <w:rFonts w:hint="eastAsia" w:ascii="宋体" w:hAnsi="宋体" w:cs="宋体"/>
          <w:color w:val="auto"/>
          <w:szCs w:val="21"/>
          <w:highlight w:val="none"/>
        </w:rPr>
        <w:t>计算的</w:t>
      </w:r>
      <w:r>
        <w:rPr>
          <w:rFonts w:hint="eastAsia" w:ascii="宋体" w:hAnsi="宋体" w:cs="宋体"/>
          <w:b/>
          <w:bCs/>
          <w:color w:val="auto"/>
          <w:szCs w:val="21"/>
          <w:highlight w:val="none"/>
        </w:rPr>
        <w:t>标准价×（1-房屋征收实施费优惠率）</w:t>
      </w:r>
      <w:r>
        <w:rPr>
          <w:rFonts w:hint="eastAsia" w:ascii="宋体" w:hAnsi="宋体" w:cs="宋体"/>
          <w:color w:val="auto"/>
          <w:szCs w:val="21"/>
          <w:highlight w:val="none"/>
        </w:rPr>
        <w:t>进行</w:t>
      </w:r>
      <w:r>
        <w:rPr>
          <w:rFonts w:hint="eastAsia" w:ascii="宋体" w:hAnsi="宋体" w:cs="宋体"/>
          <w:b/>
          <w:bCs/>
          <w:color w:val="auto"/>
          <w:szCs w:val="21"/>
          <w:highlight w:val="none"/>
        </w:rPr>
        <w:t>结算</w:t>
      </w:r>
      <w:r>
        <w:rPr>
          <w:rFonts w:hint="eastAsia" w:ascii="宋体" w:hAnsi="宋体" w:cs="宋体"/>
          <w:color w:val="auto"/>
          <w:szCs w:val="21"/>
          <w:highlight w:val="none"/>
        </w:rPr>
        <w:t>。</w:t>
      </w:r>
    </w:p>
    <w:p w14:paraId="5C1DDC3E">
      <w:pPr>
        <w:widowControl/>
        <w:shd w:val="clear" w:color="auto" w:fill="FFFFFF"/>
        <w:spacing w:line="360" w:lineRule="auto"/>
        <w:ind w:firstLine="422" w:firstLineChars="200"/>
        <w:rPr>
          <w:rFonts w:ascii="宋体" w:hAnsi="宋体" w:cs="宋体"/>
          <w:bCs/>
          <w:i/>
          <w:iCs/>
          <w:color w:val="auto"/>
          <w:szCs w:val="21"/>
          <w:highlight w:val="none"/>
          <w:u w:val="single"/>
        </w:rPr>
      </w:pPr>
      <w:r>
        <w:rPr>
          <w:rFonts w:hint="eastAsia" w:ascii="宋体" w:hAnsi="宋体" w:cs="宋体"/>
          <w:b/>
          <w:bCs/>
          <w:color w:val="auto"/>
          <w:szCs w:val="21"/>
          <w:highlight w:val="none"/>
        </w:rPr>
        <w:t>其中</w:t>
      </w:r>
      <w:r>
        <w:rPr>
          <w:rFonts w:hint="eastAsia" w:ascii="宋体" w:hAnsi="宋体" w:cs="宋体"/>
          <w:color w:val="auto"/>
          <w:szCs w:val="21"/>
          <w:highlight w:val="none"/>
        </w:rPr>
        <w:t>：</w:t>
      </w:r>
      <w:r>
        <w:rPr>
          <w:rFonts w:hint="eastAsia" w:ascii="宋体" w:hAnsi="宋体" w:cs="宋体"/>
          <w:bCs/>
          <w:color w:val="auto"/>
          <w:kern w:val="0"/>
          <w:szCs w:val="21"/>
          <w:highlight w:val="none"/>
          <w:u w:val="single"/>
        </w:rPr>
        <w:t>房屋征收的工作量经采购人审核后，方可核定为计费的工作量。</w:t>
      </w:r>
    </w:p>
    <w:p w14:paraId="0F789042">
      <w:pPr>
        <w:spacing w:line="360" w:lineRule="auto"/>
        <w:rPr>
          <w:rFonts w:ascii="宋体" w:hAnsi="宋体" w:cs="宋体"/>
          <w:color w:val="auto"/>
          <w:szCs w:val="21"/>
          <w:highlight w:val="none"/>
        </w:rPr>
      </w:pPr>
      <w:r>
        <w:rPr>
          <w:rFonts w:hint="eastAsia" w:ascii="宋体" w:hAnsi="宋体" w:cs="宋体"/>
          <w:b/>
          <w:color w:val="auto"/>
          <w:szCs w:val="21"/>
          <w:highlight w:val="none"/>
        </w:rPr>
        <w:t>七、付款方式</w:t>
      </w:r>
      <w:r>
        <w:rPr>
          <w:rFonts w:hint="eastAsia" w:ascii="宋体" w:hAnsi="宋体" w:cs="宋体"/>
          <w:color w:val="auto"/>
          <w:szCs w:val="21"/>
          <w:highlight w:val="none"/>
        </w:rPr>
        <w:t>：</w:t>
      </w:r>
    </w:p>
    <w:p w14:paraId="705D6B9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在项目征收工作完成率达30%时，由采购人根据中标人征收进度并审核签字同意后，采购人支付中标人征收实施费用。征收实施费进度款付至应付总费用的80%即停止支付，尾款在结算经市财政审核并向采购人移交完应归档资料、完工报告书及办理房产、土地证注销等手续后10个工作日内支付完毕。</w:t>
      </w:r>
    </w:p>
    <w:p w14:paraId="77D5A2EE">
      <w:pPr>
        <w:pStyle w:val="119"/>
        <w:spacing w:line="360" w:lineRule="auto"/>
        <w:rPr>
          <w:rFonts w:ascii="宋体" w:hAnsi="宋体" w:cs="宋体"/>
          <w:b/>
          <w:bCs/>
          <w:color w:val="auto"/>
          <w:sz w:val="21"/>
          <w:szCs w:val="21"/>
          <w:highlight w:val="none"/>
          <w:lang w:eastAsia="zh-CN"/>
        </w:rPr>
      </w:pPr>
      <w:r>
        <w:rPr>
          <w:rFonts w:hint="eastAsia" w:ascii="宋体" w:hAnsi="宋体" w:cs="宋体"/>
          <w:b/>
          <w:bCs/>
          <w:color w:val="auto"/>
          <w:sz w:val="21"/>
          <w:szCs w:val="21"/>
          <w:highlight w:val="none"/>
          <w:lang w:eastAsia="zh-CN"/>
        </w:rPr>
        <w:t>八、履约保证金</w:t>
      </w:r>
    </w:p>
    <w:p w14:paraId="664BC177">
      <w:pPr>
        <w:spacing w:line="360" w:lineRule="auto"/>
        <w:ind w:firstLine="420" w:firstLineChars="200"/>
        <w:rPr>
          <w:rFonts w:asciiTheme="minorEastAsia" w:hAnsiTheme="minorEastAsia" w:eastAsiaTheme="minorEastAsia"/>
          <w:color w:val="auto"/>
          <w:szCs w:val="21"/>
          <w:highlight w:val="none"/>
        </w:rPr>
      </w:pPr>
      <w:r>
        <w:rPr>
          <w:rFonts w:hint="eastAsia" w:ascii="宋体" w:hAnsi="宋体" w:cs="宋体"/>
          <w:color w:val="auto"/>
          <w:szCs w:val="21"/>
          <w:highlight w:val="none"/>
        </w:rPr>
        <w:t>1、履约保证金金额：中标人需向采购人</w:t>
      </w:r>
      <w:r>
        <w:rPr>
          <w:rFonts w:hint="eastAsia" w:asciiTheme="minorEastAsia" w:hAnsiTheme="minorEastAsia" w:eastAsiaTheme="minorEastAsia"/>
          <w:color w:val="auto"/>
          <w:szCs w:val="21"/>
          <w:highlight w:val="none"/>
        </w:rPr>
        <w:t>支付履约保证金</w:t>
      </w:r>
      <w:r>
        <w:rPr>
          <w:rFonts w:hint="eastAsia" w:asciiTheme="minorEastAsia" w:hAnsiTheme="minorEastAsia" w:eastAsiaTheme="minorEastAsia"/>
          <w:color w:val="auto"/>
          <w:szCs w:val="21"/>
          <w:highlight w:val="none"/>
          <w:u w:val="single"/>
        </w:rPr>
        <w:t>伍万元</w:t>
      </w:r>
      <w:r>
        <w:rPr>
          <w:rFonts w:hint="eastAsia" w:asciiTheme="minorEastAsia" w:hAnsiTheme="minorEastAsia" w:eastAsiaTheme="minorEastAsia"/>
          <w:color w:val="auto"/>
          <w:szCs w:val="21"/>
          <w:highlight w:val="none"/>
        </w:rPr>
        <w:t>整（￥</w:t>
      </w:r>
      <w:r>
        <w:rPr>
          <w:rFonts w:hint="eastAsia" w:asciiTheme="minorEastAsia" w:hAnsiTheme="minorEastAsia" w:eastAsiaTheme="minorEastAsia"/>
          <w:color w:val="auto"/>
          <w:szCs w:val="21"/>
          <w:highlight w:val="none"/>
          <w:u w:val="single"/>
        </w:rPr>
        <w:t>50000.00元</w:t>
      </w:r>
      <w:r>
        <w:rPr>
          <w:rFonts w:hint="eastAsia" w:asciiTheme="minorEastAsia" w:hAnsiTheme="minorEastAsia" w:eastAsiaTheme="minorEastAsia"/>
          <w:color w:val="auto"/>
          <w:szCs w:val="21"/>
          <w:highlight w:val="none"/>
        </w:rPr>
        <w:t>）。</w:t>
      </w:r>
      <w:r>
        <w:rPr>
          <w:rFonts w:hint="eastAsia" w:ascii="宋体" w:hAnsi="宋体" w:cs="宋体"/>
          <w:color w:val="auto"/>
          <w:szCs w:val="21"/>
          <w:highlight w:val="none"/>
        </w:rPr>
        <w:t>由中标人的投标保证金直接转为</w:t>
      </w:r>
      <w:r>
        <w:rPr>
          <w:rFonts w:hint="eastAsia" w:asciiTheme="minorEastAsia" w:hAnsiTheme="minorEastAsia" w:eastAsiaTheme="minorEastAsia"/>
          <w:color w:val="auto"/>
          <w:szCs w:val="21"/>
          <w:highlight w:val="none"/>
        </w:rPr>
        <w:t>履约保证金。</w:t>
      </w:r>
    </w:p>
    <w:p w14:paraId="707AD65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2、履约保证金退付方式、时间及条件：</w:t>
      </w:r>
      <w:r>
        <w:rPr>
          <w:rFonts w:hint="eastAsia" w:asciiTheme="minorEastAsia" w:hAnsiTheme="minorEastAsia" w:eastAsiaTheme="minorEastAsia"/>
          <w:color w:val="auto"/>
          <w:szCs w:val="21"/>
          <w:highlight w:val="none"/>
        </w:rPr>
        <w:t>待</w:t>
      </w:r>
      <w:r>
        <w:rPr>
          <w:rFonts w:hint="eastAsia" w:ascii="宋体" w:hAnsi="宋体" w:cs="宋体"/>
          <w:color w:val="auto"/>
          <w:szCs w:val="21"/>
          <w:highlight w:val="none"/>
        </w:rPr>
        <w:t>中标人</w:t>
      </w:r>
      <w:r>
        <w:rPr>
          <w:rFonts w:hint="eastAsia" w:asciiTheme="minorEastAsia" w:hAnsiTheme="minorEastAsia" w:eastAsiaTheme="minorEastAsia"/>
          <w:color w:val="auto"/>
          <w:szCs w:val="21"/>
          <w:highlight w:val="none"/>
        </w:rPr>
        <w:t>完成全部征收工作并通过整宗交地验收后5个工作日内甲方将该履约保证金全额退还给</w:t>
      </w:r>
      <w:r>
        <w:rPr>
          <w:rFonts w:hint="eastAsia" w:ascii="宋体" w:hAnsi="宋体" w:cs="宋体"/>
          <w:color w:val="auto"/>
          <w:szCs w:val="21"/>
          <w:highlight w:val="none"/>
        </w:rPr>
        <w:t>中标人（不计利息）。</w:t>
      </w:r>
    </w:p>
    <w:p w14:paraId="35EBC42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3、签订合同后，如中标人不按双方签订的合同规定履约，则没收其全部履约保证金，履约保证金不足以赔偿损失的，按实际损失赔偿。</w:t>
      </w:r>
    </w:p>
    <w:p w14:paraId="62DD182D">
      <w:pPr>
        <w:pStyle w:val="119"/>
        <w:spacing w:line="360" w:lineRule="auto"/>
        <w:rPr>
          <w:rFonts w:ascii="宋体" w:hAnsi="宋体" w:cs="宋体"/>
          <w:b/>
          <w:color w:val="auto"/>
          <w:sz w:val="21"/>
          <w:szCs w:val="21"/>
          <w:highlight w:val="none"/>
          <w:lang w:eastAsia="zh-CN"/>
        </w:rPr>
      </w:pPr>
      <w:r>
        <w:rPr>
          <w:rFonts w:hint="eastAsia" w:ascii="宋体" w:hAnsi="宋体" w:cs="宋体"/>
          <w:b/>
          <w:bCs/>
          <w:color w:val="auto"/>
          <w:sz w:val="21"/>
          <w:szCs w:val="21"/>
          <w:highlight w:val="none"/>
          <w:lang w:eastAsia="zh-CN"/>
        </w:rPr>
        <w:t>九、奖惩办法</w:t>
      </w:r>
    </w:p>
    <w:p w14:paraId="624C66B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1、动迁奖励办法及支付方式：在委托单位规定的时间内，拆迁（征收）协议签约率达到80%的，给予项目征收实施费用总额5%的奖励；签约率达到90%的，</w:t>
      </w:r>
      <w:r>
        <w:rPr>
          <w:rFonts w:hint="eastAsia" w:ascii="宋体" w:hAnsi="宋体" w:cs="宋体"/>
          <w:b/>
          <w:color w:val="auto"/>
          <w:szCs w:val="21"/>
          <w:highlight w:val="none"/>
        </w:rPr>
        <w:t>再给予</w:t>
      </w:r>
      <w:r>
        <w:rPr>
          <w:rFonts w:hint="eastAsia" w:ascii="宋体" w:hAnsi="宋体" w:cs="宋体"/>
          <w:color w:val="auto"/>
          <w:szCs w:val="21"/>
          <w:highlight w:val="none"/>
        </w:rPr>
        <w:t>项目征收实施费用总额10%的奖励；签约率达到100%的，再给予10%的奖励。奖励在中标人完成项目征收工作并移交场地给施工单位后随项目尾款一次性核付。</w:t>
      </w:r>
    </w:p>
    <w:p w14:paraId="2EA7923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如中标人因违反相关规定导致本合同解除的，奖励将不予支付。不予支付的上述奖励作为接替该项目的劳务服务机构在规定时间内完成工作的攻坚奖励。 </w:t>
      </w:r>
    </w:p>
    <w:p w14:paraId="11EFC627">
      <w:pPr>
        <w:pStyle w:val="119"/>
        <w:widowControl w:val="0"/>
        <w:spacing w:line="360" w:lineRule="auto"/>
        <w:ind w:firstLine="424" w:firstLineChars="202"/>
        <w:jc w:val="both"/>
        <w:rPr>
          <w:rFonts w:ascii="宋体" w:hAnsi="宋体" w:cs="宋体"/>
          <w:color w:val="auto"/>
          <w:kern w:val="2"/>
          <w:sz w:val="21"/>
          <w:szCs w:val="21"/>
          <w:highlight w:val="none"/>
          <w:lang w:eastAsia="zh-CN" w:bidi="ar-SA"/>
        </w:rPr>
      </w:pPr>
      <w:r>
        <w:rPr>
          <w:rFonts w:hint="eastAsia" w:ascii="宋体" w:hAnsi="宋体" w:cs="宋体"/>
          <w:color w:val="auto"/>
          <w:kern w:val="2"/>
          <w:sz w:val="21"/>
          <w:szCs w:val="21"/>
          <w:highlight w:val="none"/>
          <w:lang w:eastAsia="zh-CN" w:bidi="ar-SA"/>
        </w:rPr>
        <w:t>2、征收实施费用扣除标准</w:t>
      </w:r>
    </w:p>
    <w:p w14:paraId="30CDF51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中标人在规定时间内未达到签约完成率的，按下列标准扣除相应征收实施费用：</w:t>
      </w:r>
    </w:p>
    <w:p w14:paraId="1C91D2F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（1）完成率在70%~79%的，扣除5%征收实施费用；</w:t>
      </w:r>
    </w:p>
    <w:p w14:paraId="5B8C06A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（2）完成率在60%~69%的，扣除10%征收实施费用；</w:t>
      </w:r>
    </w:p>
    <w:p w14:paraId="2296A21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（3）完成率在50%~59%的，扣除15%征收实施费用；</w:t>
      </w:r>
    </w:p>
    <w:p w14:paraId="5512011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3、中标人在按规定时间内未完成司法强拆相关资料收集、整理及报送的，每户扣减5000元；被司法强制执行的每户扣减5000元。</w:t>
      </w:r>
    </w:p>
    <w:p w14:paraId="468147B6">
      <w:pPr>
        <w:spacing w:line="360" w:lineRule="auto"/>
        <w:rPr>
          <w:rFonts w:ascii="宋体" w:hAnsi="宋体" w:cs="宋体"/>
          <w:b/>
          <w:color w:val="auto"/>
          <w:szCs w:val="21"/>
          <w:highlight w:val="none"/>
        </w:rPr>
      </w:pPr>
      <w:r>
        <w:rPr>
          <w:rFonts w:hint="eastAsia" w:ascii="宋体" w:hAnsi="宋体" w:cs="宋体"/>
          <w:b/>
          <w:color w:val="auto"/>
          <w:szCs w:val="21"/>
          <w:highlight w:val="none"/>
        </w:rPr>
        <w:t>十、其他要求：</w:t>
      </w:r>
    </w:p>
    <w:p w14:paraId="5D5D6233">
      <w:pPr>
        <w:pStyle w:val="4"/>
        <w:spacing w:before="0" w:after="0" w:line="360" w:lineRule="auto"/>
        <w:ind w:firstLine="420" w:firstLineChars="200"/>
        <w:rPr>
          <w:rFonts w:ascii="宋体" w:hAnsi="宋体" w:cs="宋体"/>
          <w:b w:val="0"/>
          <w:color w:val="auto"/>
          <w:sz w:val="21"/>
          <w:szCs w:val="21"/>
          <w:highlight w:val="none"/>
        </w:rPr>
      </w:pPr>
      <w:r>
        <w:rPr>
          <w:rFonts w:hint="eastAsia" w:ascii="宋体" w:hAnsi="宋体" w:cs="宋体"/>
          <w:b w:val="0"/>
          <w:color w:val="auto"/>
          <w:sz w:val="21"/>
          <w:szCs w:val="21"/>
          <w:highlight w:val="none"/>
        </w:rPr>
        <w:t>按本项目招标文件第五章合同条款执行。</w:t>
      </w:r>
    </w:p>
    <w:p w14:paraId="0247FEB4">
      <w:pPr>
        <w:spacing w:line="360" w:lineRule="auto"/>
        <w:ind w:firstLine="424" w:firstLineChars="202"/>
        <w:jc w:val="left"/>
        <w:rPr>
          <w:rFonts w:ascii="宋体" w:hAnsi="宋体" w:cs="宋体"/>
          <w:color w:val="auto"/>
          <w:szCs w:val="21"/>
          <w:highlight w:val="none"/>
        </w:rPr>
      </w:pPr>
    </w:p>
    <w:bookmarkEnd w:id="37"/>
    <w:bookmarkEnd w:id="38"/>
    <w:p w14:paraId="5B384DBE">
      <w:pPr>
        <w:spacing w:line="360" w:lineRule="auto"/>
        <w:rPr>
          <w:rFonts w:ascii="宋体" w:hAnsi="宋体" w:cs="宋体"/>
          <w:color w:val="auto"/>
          <w:szCs w:val="21"/>
          <w:highlight w:val="none"/>
        </w:rPr>
      </w:pPr>
      <w:r>
        <w:rPr>
          <w:rFonts w:hint="eastAsia" w:ascii="宋体" w:hAnsi="宋体" w:cs="宋体"/>
          <w:color w:val="auto"/>
          <w:szCs w:val="21"/>
          <w:highlight w:val="none"/>
        </w:rPr>
        <w:br w:type="page"/>
      </w:r>
    </w:p>
    <w:p w14:paraId="1AA0423F">
      <w:pPr>
        <w:rPr>
          <w:rFonts w:ascii="宋体" w:hAnsi="宋体" w:cs="宋体"/>
          <w:color w:val="auto"/>
          <w:sz w:val="20"/>
          <w:szCs w:val="20"/>
          <w:highlight w:val="none"/>
        </w:rPr>
      </w:pPr>
    </w:p>
    <w:p w14:paraId="2A18C5F7">
      <w:pPr>
        <w:pStyle w:val="23"/>
        <w:jc w:val="left"/>
        <w:rPr>
          <w:rFonts w:hAnsi="宋体" w:cs="宋体"/>
          <w:color w:val="auto"/>
          <w:sz w:val="32"/>
          <w:szCs w:val="32"/>
          <w:highlight w:val="none"/>
        </w:rPr>
      </w:pPr>
      <w:r>
        <w:rPr>
          <w:rFonts w:hint="eastAsia" w:hAnsi="宋体" w:cs="宋体"/>
          <w:color w:val="auto"/>
          <w:sz w:val="32"/>
          <w:szCs w:val="32"/>
          <w:highlight w:val="none"/>
        </w:rPr>
        <w:t>附件：</w:t>
      </w:r>
    </w:p>
    <w:p w14:paraId="461F8627">
      <w:pPr>
        <w:spacing w:line="528" w:lineRule="exact"/>
        <w:jc w:val="center"/>
        <w:rPr>
          <w:rFonts w:ascii="Arial Unicode MS" w:hAnsi="Arial Unicode MS" w:eastAsia="Arial Unicode MS" w:cs="Arial Unicode MS"/>
          <w:color w:val="auto"/>
          <w:sz w:val="40"/>
          <w:szCs w:val="40"/>
          <w:highlight w:val="none"/>
        </w:rPr>
      </w:pPr>
      <w:r>
        <w:rPr>
          <w:rFonts w:hint="eastAsia" w:ascii="宋体" w:hAnsi="宋体" w:cs="宋体"/>
          <w:b/>
          <w:bCs/>
          <w:color w:val="auto"/>
          <w:sz w:val="32"/>
          <w:szCs w:val="32"/>
          <w:highlight w:val="none"/>
        </w:rPr>
        <w:t>中小微企业划型标准</w:t>
      </w:r>
    </w:p>
    <w:tbl>
      <w:tblPr>
        <w:tblStyle w:val="47"/>
        <w:tblW w:w="8912" w:type="dxa"/>
        <w:tblInd w:w="250" w:type="dxa"/>
        <w:tblLayout w:type="fixed"/>
        <w:tblCellMar>
          <w:top w:w="0" w:type="dxa"/>
          <w:left w:w="108" w:type="dxa"/>
          <w:bottom w:w="0" w:type="dxa"/>
          <w:right w:w="108" w:type="dxa"/>
        </w:tblCellMar>
      </w:tblPr>
      <w:tblGrid>
        <w:gridCol w:w="1701"/>
        <w:gridCol w:w="1384"/>
        <w:gridCol w:w="1241"/>
        <w:gridCol w:w="1886"/>
        <w:gridCol w:w="1628"/>
        <w:gridCol w:w="1072"/>
      </w:tblGrid>
      <w:tr w14:paraId="14A9F638">
        <w:tblPrEx>
          <w:tblCellMar>
            <w:top w:w="0" w:type="dxa"/>
            <w:left w:w="108" w:type="dxa"/>
            <w:bottom w:w="0" w:type="dxa"/>
            <w:right w:w="108" w:type="dxa"/>
          </w:tblCellMar>
        </w:tblPrEx>
        <w:trPr>
          <w:trHeight w:val="285" w:hRule="atLeast"/>
        </w:trPr>
        <w:tc>
          <w:tcPr>
            <w:tcW w:w="1701" w:type="dxa"/>
            <w:tcBorders>
              <w:top w:val="single" w:color="auto" w:sz="4" w:space="0"/>
              <w:left w:val="single" w:color="auto" w:sz="4" w:space="0"/>
              <w:bottom w:val="single" w:color="auto" w:sz="4" w:space="0"/>
              <w:right w:val="single" w:color="auto" w:sz="4" w:space="0"/>
            </w:tcBorders>
            <w:vAlign w:val="center"/>
          </w:tcPr>
          <w:p w14:paraId="158D64FE">
            <w:pPr>
              <w:widowControl/>
              <w:jc w:val="center"/>
              <w:rPr>
                <w:rFonts w:ascii="宋体" w:hAnsi="宋体" w:cs="宋体"/>
                <w:b/>
                <w:color w:val="auto"/>
                <w:kern w:val="0"/>
                <w:szCs w:val="21"/>
                <w:highlight w:val="none"/>
              </w:rPr>
            </w:pPr>
            <w:r>
              <w:rPr>
                <w:rFonts w:hint="eastAsia" w:ascii="宋体" w:hAnsi="宋体" w:cs="宋体"/>
                <w:b/>
                <w:color w:val="auto"/>
                <w:kern w:val="0"/>
                <w:szCs w:val="21"/>
                <w:highlight w:val="none"/>
              </w:rPr>
              <w:t>行业名称</w:t>
            </w:r>
          </w:p>
        </w:tc>
        <w:tc>
          <w:tcPr>
            <w:tcW w:w="1384" w:type="dxa"/>
            <w:tcBorders>
              <w:top w:val="single" w:color="auto" w:sz="4" w:space="0"/>
              <w:left w:val="nil"/>
              <w:bottom w:val="single" w:color="auto" w:sz="4" w:space="0"/>
              <w:right w:val="single" w:color="auto" w:sz="4" w:space="0"/>
            </w:tcBorders>
            <w:vAlign w:val="center"/>
          </w:tcPr>
          <w:p w14:paraId="24781931">
            <w:pPr>
              <w:widowControl/>
              <w:jc w:val="center"/>
              <w:rPr>
                <w:rFonts w:ascii="宋体" w:hAnsi="宋体" w:cs="宋体"/>
                <w:b/>
                <w:color w:val="auto"/>
                <w:kern w:val="0"/>
                <w:szCs w:val="21"/>
                <w:highlight w:val="none"/>
              </w:rPr>
            </w:pPr>
            <w:r>
              <w:rPr>
                <w:rFonts w:hint="eastAsia" w:ascii="宋体" w:hAnsi="宋体" w:cs="宋体"/>
                <w:b/>
                <w:color w:val="auto"/>
                <w:kern w:val="0"/>
                <w:szCs w:val="21"/>
                <w:highlight w:val="none"/>
              </w:rPr>
              <w:t>指标名称</w:t>
            </w:r>
          </w:p>
        </w:tc>
        <w:tc>
          <w:tcPr>
            <w:tcW w:w="1241" w:type="dxa"/>
            <w:tcBorders>
              <w:top w:val="single" w:color="auto" w:sz="4" w:space="0"/>
              <w:left w:val="nil"/>
              <w:bottom w:val="single" w:color="auto" w:sz="4" w:space="0"/>
              <w:right w:val="single" w:color="auto" w:sz="4" w:space="0"/>
            </w:tcBorders>
            <w:vAlign w:val="center"/>
          </w:tcPr>
          <w:p w14:paraId="22EB5911">
            <w:pPr>
              <w:widowControl/>
              <w:jc w:val="center"/>
              <w:rPr>
                <w:rFonts w:ascii="宋体" w:hAnsi="宋体" w:cs="宋体"/>
                <w:b/>
                <w:color w:val="auto"/>
                <w:kern w:val="0"/>
                <w:szCs w:val="21"/>
                <w:highlight w:val="none"/>
              </w:rPr>
            </w:pPr>
            <w:r>
              <w:rPr>
                <w:rFonts w:hint="eastAsia" w:ascii="宋体" w:hAnsi="宋体" w:cs="宋体"/>
                <w:b/>
                <w:color w:val="auto"/>
                <w:kern w:val="0"/>
                <w:szCs w:val="21"/>
                <w:highlight w:val="none"/>
              </w:rPr>
              <w:t>计量单位</w:t>
            </w:r>
          </w:p>
        </w:tc>
        <w:tc>
          <w:tcPr>
            <w:tcW w:w="1886" w:type="dxa"/>
            <w:tcBorders>
              <w:top w:val="single" w:color="auto" w:sz="4" w:space="0"/>
              <w:left w:val="nil"/>
              <w:bottom w:val="single" w:color="auto" w:sz="4" w:space="0"/>
              <w:right w:val="single" w:color="auto" w:sz="4" w:space="0"/>
            </w:tcBorders>
            <w:vAlign w:val="center"/>
          </w:tcPr>
          <w:p w14:paraId="2473BDA8">
            <w:pPr>
              <w:widowControl/>
              <w:jc w:val="center"/>
              <w:rPr>
                <w:rFonts w:ascii="宋体" w:hAnsi="宋体" w:cs="宋体"/>
                <w:b/>
                <w:color w:val="auto"/>
                <w:kern w:val="0"/>
                <w:szCs w:val="21"/>
                <w:highlight w:val="none"/>
              </w:rPr>
            </w:pPr>
            <w:r>
              <w:rPr>
                <w:rFonts w:hint="eastAsia" w:ascii="宋体" w:hAnsi="宋体" w:cs="宋体"/>
                <w:b/>
                <w:color w:val="auto"/>
                <w:kern w:val="0"/>
                <w:szCs w:val="21"/>
                <w:highlight w:val="none"/>
              </w:rPr>
              <w:t>中型</w:t>
            </w:r>
          </w:p>
        </w:tc>
        <w:tc>
          <w:tcPr>
            <w:tcW w:w="1628" w:type="dxa"/>
            <w:tcBorders>
              <w:top w:val="single" w:color="auto" w:sz="4" w:space="0"/>
              <w:left w:val="nil"/>
              <w:bottom w:val="single" w:color="auto" w:sz="4" w:space="0"/>
              <w:right w:val="single" w:color="auto" w:sz="4" w:space="0"/>
            </w:tcBorders>
            <w:vAlign w:val="center"/>
          </w:tcPr>
          <w:p w14:paraId="72E82D7E">
            <w:pPr>
              <w:widowControl/>
              <w:jc w:val="center"/>
              <w:rPr>
                <w:rFonts w:ascii="宋体" w:hAnsi="宋体" w:cs="宋体"/>
                <w:b/>
                <w:color w:val="auto"/>
                <w:kern w:val="0"/>
                <w:szCs w:val="21"/>
                <w:highlight w:val="none"/>
              </w:rPr>
            </w:pPr>
            <w:r>
              <w:rPr>
                <w:rFonts w:hint="eastAsia" w:ascii="宋体" w:hAnsi="宋体" w:cs="宋体"/>
                <w:b/>
                <w:color w:val="auto"/>
                <w:kern w:val="0"/>
                <w:szCs w:val="21"/>
                <w:highlight w:val="none"/>
              </w:rPr>
              <w:t>小型</w:t>
            </w:r>
          </w:p>
        </w:tc>
        <w:tc>
          <w:tcPr>
            <w:tcW w:w="1072" w:type="dxa"/>
            <w:tcBorders>
              <w:top w:val="single" w:color="auto" w:sz="4" w:space="0"/>
              <w:left w:val="nil"/>
              <w:bottom w:val="single" w:color="auto" w:sz="4" w:space="0"/>
              <w:right w:val="single" w:color="auto" w:sz="4" w:space="0"/>
            </w:tcBorders>
            <w:vAlign w:val="center"/>
          </w:tcPr>
          <w:p w14:paraId="50DCE920">
            <w:pPr>
              <w:widowControl/>
              <w:jc w:val="center"/>
              <w:rPr>
                <w:rFonts w:ascii="宋体" w:hAnsi="宋体" w:cs="宋体"/>
                <w:b/>
                <w:color w:val="auto"/>
                <w:kern w:val="0"/>
                <w:szCs w:val="21"/>
                <w:highlight w:val="none"/>
              </w:rPr>
            </w:pPr>
            <w:r>
              <w:rPr>
                <w:rFonts w:hint="eastAsia" w:ascii="宋体" w:hAnsi="宋体" w:cs="宋体"/>
                <w:b/>
                <w:color w:val="auto"/>
                <w:kern w:val="0"/>
                <w:szCs w:val="21"/>
                <w:highlight w:val="none"/>
              </w:rPr>
              <w:t>微型</w:t>
            </w:r>
          </w:p>
        </w:tc>
      </w:tr>
      <w:tr w14:paraId="356BB583">
        <w:tblPrEx>
          <w:tblCellMar>
            <w:top w:w="0" w:type="dxa"/>
            <w:left w:w="108" w:type="dxa"/>
            <w:bottom w:w="0" w:type="dxa"/>
            <w:right w:w="108" w:type="dxa"/>
          </w:tblCellMar>
        </w:tblPrEx>
        <w:trPr>
          <w:trHeight w:val="225" w:hRule="atLeast"/>
        </w:trPr>
        <w:tc>
          <w:tcPr>
            <w:tcW w:w="1701" w:type="dxa"/>
            <w:tcBorders>
              <w:top w:val="nil"/>
              <w:left w:val="single" w:color="auto" w:sz="4" w:space="0"/>
              <w:bottom w:val="single" w:color="auto" w:sz="4" w:space="0"/>
              <w:right w:val="single" w:color="auto" w:sz="4" w:space="0"/>
            </w:tcBorders>
            <w:vAlign w:val="center"/>
          </w:tcPr>
          <w:p w14:paraId="16951139">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农、林、牧、渔</w:t>
            </w:r>
          </w:p>
        </w:tc>
        <w:tc>
          <w:tcPr>
            <w:tcW w:w="1384" w:type="dxa"/>
            <w:tcBorders>
              <w:top w:val="nil"/>
              <w:left w:val="nil"/>
              <w:bottom w:val="single" w:color="auto" w:sz="4" w:space="0"/>
              <w:right w:val="single" w:color="auto" w:sz="4" w:space="0"/>
            </w:tcBorders>
            <w:vAlign w:val="center"/>
          </w:tcPr>
          <w:p w14:paraId="5B74EFC8">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1241" w:type="dxa"/>
            <w:tcBorders>
              <w:top w:val="nil"/>
              <w:left w:val="nil"/>
              <w:bottom w:val="single" w:color="auto" w:sz="4" w:space="0"/>
              <w:right w:val="single" w:color="auto" w:sz="4" w:space="0"/>
            </w:tcBorders>
            <w:vAlign w:val="center"/>
          </w:tcPr>
          <w:p w14:paraId="692AE9C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0DC15D4D">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500≤Y＜20000</w:t>
            </w:r>
          </w:p>
        </w:tc>
        <w:tc>
          <w:tcPr>
            <w:tcW w:w="1628" w:type="dxa"/>
            <w:tcBorders>
              <w:top w:val="nil"/>
              <w:left w:val="nil"/>
              <w:bottom w:val="single" w:color="auto" w:sz="4" w:space="0"/>
              <w:right w:val="single" w:color="auto" w:sz="4" w:space="0"/>
            </w:tcBorders>
            <w:vAlign w:val="center"/>
          </w:tcPr>
          <w:p w14:paraId="2B7604E5">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50≤Y＜500</w:t>
            </w:r>
          </w:p>
        </w:tc>
        <w:tc>
          <w:tcPr>
            <w:tcW w:w="1072" w:type="dxa"/>
            <w:tcBorders>
              <w:top w:val="nil"/>
              <w:left w:val="nil"/>
              <w:bottom w:val="single" w:color="auto" w:sz="4" w:space="0"/>
              <w:right w:val="single" w:color="auto" w:sz="4" w:space="0"/>
            </w:tcBorders>
            <w:vAlign w:val="center"/>
          </w:tcPr>
          <w:p w14:paraId="0D0DDBB9">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Y＜50</w:t>
            </w:r>
          </w:p>
        </w:tc>
      </w:tr>
      <w:tr w14:paraId="5256382F">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center"/>
          </w:tcPr>
          <w:p w14:paraId="2B08B84C">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工业</w:t>
            </w:r>
          </w:p>
        </w:tc>
        <w:tc>
          <w:tcPr>
            <w:tcW w:w="1384" w:type="dxa"/>
            <w:tcBorders>
              <w:top w:val="nil"/>
              <w:left w:val="nil"/>
              <w:bottom w:val="single" w:color="auto" w:sz="4" w:space="0"/>
              <w:right w:val="single" w:color="auto" w:sz="4" w:space="0"/>
            </w:tcBorders>
            <w:vAlign w:val="center"/>
          </w:tcPr>
          <w:p w14:paraId="496025E7">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1241" w:type="dxa"/>
            <w:tcBorders>
              <w:top w:val="nil"/>
              <w:left w:val="nil"/>
              <w:bottom w:val="single" w:color="auto" w:sz="4" w:space="0"/>
              <w:right w:val="single" w:color="auto" w:sz="4" w:space="0"/>
            </w:tcBorders>
            <w:vAlign w:val="center"/>
          </w:tcPr>
          <w:p w14:paraId="34FE935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886" w:type="dxa"/>
            <w:tcBorders>
              <w:top w:val="nil"/>
              <w:left w:val="nil"/>
              <w:bottom w:val="single" w:color="auto" w:sz="4" w:space="0"/>
              <w:right w:val="single" w:color="auto" w:sz="4" w:space="0"/>
            </w:tcBorders>
            <w:vAlign w:val="center"/>
          </w:tcPr>
          <w:p w14:paraId="37254FED">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28" w:type="dxa"/>
            <w:tcBorders>
              <w:top w:val="nil"/>
              <w:left w:val="nil"/>
              <w:bottom w:val="single" w:color="auto" w:sz="4" w:space="0"/>
              <w:right w:val="single" w:color="auto" w:sz="4" w:space="0"/>
            </w:tcBorders>
            <w:vAlign w:val="center"/>
          </w:tcPr>
          <w:p w14:paraId="022CD9DB">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20≤X＜300</w:t>
            </w:r>
          </w:p>
        </w:tc>
        <w:tc>
          <w:tcPr>
            <w:tcW w:w="1072" w:type="dxa"/>
            <w:tcBorders>
              <w:top w:val="nil"/>
              <w:left w:val="nil"/>
              <w:bottom w:val="single" w:color="auto" w:sz="4" w:space="0"/>
              <w:right w:val="single" w:color="auto" w:sz="4" w:space="0"/>
            </w:tcBorders>
            <w:vAlign w:val="center"/>
          </w:tcPr>
          <w:p w14:paraId="1204D811">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2037B2BF">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42A88F74">
            <w:pPr>
              <w:widowControl/>
              <w:jc w:val="left"/>
              <w:rPr>
                <w:rFonts w:ascii="宋体" w:hAnsi="宋体" w:cs="宋体"/>
                <w:b/>
                <w:bCs/>
                <w:color w:val="auto"/>
                <w:kern w:val="0"/>
                <w:szCs w:val="21"/>
                <w:highlight w:val="none"/>
              </w:rPr>
            </w:pPr>
          </w:p>
        </w:tc>
        <w:tc>
          <w:tcPr>
            <w:tcW w:w="1384" w:type="dxa"/>
            <w:tcBorders>
              <w:top w:val="nil"/>
              <w:left w:val="nil"/>
              <w:bottom w:val="single" w:color="auto" w:sz="4" w:space="0"/>
              <w:right w:val="single" w:color="auto" w:sz="4" w:space="0"/>
            </w:tcBorders>
            <w:vAlign w:val="center"/>
          </w:tcPr>
          <w:p w14:paraId="68597DBA">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1241" w:type="dxa"/>
            <w:tcBorders>
              <w:top w:val="nil"/>
              <w:left w:val="nil"/>
              <w:bottom w:val="single" w:color="auto" w:sz="4" w:space="0"/>
              <w:right w:val="single" w:color="auto" w:sz="4" w:space="0"/>
            </w:tcBorders>
            <w:vAlign w:val="center"/>
          </w:tcPr>
          <w:p w14:paraId="3FAC1BC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4FF8D923">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2000≤Y＜40000</w:t>
            </w:r>
          </w:p>
        </w:tc>
        <w:tc>
          <w:tcPr>
            <w:tcW w:w="1628" w:type="dxa"/>
            <w:tcBorders>
              <w:top w:val="nil"/>
              <w:left w:val="nil"/>
              <w:bottom w:val="single" w:color="auto" w:sz="4" w:space="0"/>
              <w:right w:val="single" w:color="auto" w:sz="4" w:space="0"/>
            </w:tcBorders>
            <w:vAlign w:val="center"/>
          </w:tcPr>
          <w:p w14:paraId="786324E0">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300≤Y＜2000</w:t>
            </w:r>
          </w:p>
        </w:tc>
        <w:tc>
          <w:tcPr>
            <w:tcW w:w="1072" w:type="dxa"/>
            <w:tcBorders>
              <w:top w:val="nil"/>
              <w:left w:val="nil"/>
              <w:bottom w:val="single" w:color="auto" w:sz="4" w:space="0"/>
              <w:right w:val="single" w:color="auto" w:sz="4" w:space="0"/>
            </w:tcBorders>
            <w:vAlign w:val="center"/>
          </w:tcPr>
          <w:p w14:paraId="435C447C">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Y＜300</w:t>
            </w:r>
          </w:p>
        </w:tc>
      </w:tr>
      <w:tr w14:paraId="59ED20E4">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center"/>
          </w:tcPr>
          <w:p w14:paraId="1BABB1EC">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建筑业</w:t>
            </w:r>
          </w:p>
        </w:tc>
        <w:tc>
          <w:tcPr>
            <w:tcW w:w="1384" w:type="dxa"/>
            <w:tcBorders>
              <w:top w:val="nil"/>
              <w:left w:val="nil"/>
              <w:bottom w:val="single" w:color="auto" w:sz="4" w:space="0"/>
              <w:right w:val="single" w:color="auto" w:sz="4" w:space="0"/>
            </w:tcBorders>
            <w:vAlign w:val="center"/>
          </w:tcPr>
          <w:p w14:paraId="07E3D323">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1241" w:type="dxa"/>
            <w:tcBorders>
              <w:top w:val="nil"/>
              <w:left w:val="nil"/>
              <w:bottom w:val="single" w:color="auto" w:sz="4" w:space="0"/>
              <w:right w:val="single" w:color="auto" w:sz="4" w:space="0"/>
            </w:tcBorders>
            <w:vAlign w:val="center"/>
          </w:tcPr>
          <w:p w14:paraId="563FA38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4B230836">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6000≤Y＜80000</w:t>
            </w:r>
          </w:p>
        </w:tc>
        <w:tc>
          <w:tcPr>
            <w:tcW w:w="1628" w:type="dxa"/>
            <w:tcBorders>
              <w:top w:val="nil"/>
              <w:left w:val="nil"/>
              <w:bottom w:val="single" w:color="auto" w:sz="4" w:space="0"/>
              <w:right w:val="single" w:color="auto" w:sz="4" w:space="0"/>
            </w:tcBorders>
            <w:vAlign w:val="center"/>
          </w:tcPr>
          <w:p w14:paraId="2FC9E405">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300≤Y＜6000</w:t>
            </w:r>
          </w:p>
        </w:tc>
        <w:tc>
          <w:tcPr>
            <w:tcW w:w="1072" w:type="dxa"/>
            <w:tcBorders>
              <w:top w:val="nil"/>
              <w:left w:val="nil"/>
              <w:bottom w:val="single" w:color="auto" w:sz="4" w:space="0"/>
              <w:right w:val="single" w:color="auto" w:sz="4" w:space="0"/>
            </w:tcBorders>
            <w:vAlign w:val="center"/>
          </w:tcPr>
          <w:p w14:paraId="58AF26AB">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Y＜300</w:t>
            </w:r>
          </w:p>
        </w:tc>
      </w:tr>
      <w:tr w14:paraId="440093EF">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50474D9F">
            <w:pPr>
              <w:widowControl/>
              <w:jc w:val="left"/>
              <w:rPr>
                <w:rFonts w:ascii="宋体" w:hAnsi="宋体" w:cs="宋体"/>
                <w:b/>
                <w:bCs/>
                <w:color w:val="auto"/>
                <w:kern w:val="0"/>
                <w:szCs w:val="21"/>
                <w:highlight w:val="none"/>
              </w:rPr>
            </w:pPr>
          </w:p>
        </w:tc>
        <w:tc>
          <w:tcPr>
            <w:tcW w:w="1384" w:type="dxa"/>
            <w:tcBorders>
              <w:top w:val="nil"/>
              <w:left w:val="nil"/>
              <w:bottom w:val="single" w:color="auto" w:sz="4" w:space="0"/>
              <w:right w:val="single" w:color="auto" w:sz="4" w:space="0"/>
            </w:tcBorders>
            <w:vAlign w:val="center"/>
          </w:tcPr>
          <w:p w14:paraId="7B62EB70">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1241" w:type="dxa"/>
            <w:tcBorders>
              <w:top w:val="nil"/>
              <w:left w:val="nil"/>
              <w:bottom w:val="single" w:color="auto" w:sz="4" w:space="0"/>
              <w:right w:val="single" w:color="auto" w:sz="4" w:space="0"/>
            </w:tcBorders>
            <w:vAlign w:val="center"/>
          </w:tcPr>
          <w:p w14:paraId="15785A8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453198BE">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5000≤Z＜80000</w:t>
            </w:r>
          </w:p>
        </w:tc>
        <w:tc>
          <w:tcPr>
            <w:tcW w:w="1628" w:type="dxa"/>
            <w:tcBorders>
              <w:top w:val="nil"/>
              <w:left w:val="nil"/>
              <w:bottom w:val="single" w:color="auto" w:sz="4" w:space="0"/>
              <w:right w:val="single" w:color="auto" w:sz="4" w:space="0"/>
            </w:tcBorders>
            <w:vAlign w:val="center"/>
          </w:tcPr>
          <w:p w14:paraId="6F5594D3">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300≤Z＜5000</w:t>
            </w:r>
          </w:p>
        </w:tc>
        <w:tc>
          <w:tcPr>
            <w:tcW w:w="1072" w:type="dxa"/>
            <w:tcBorders>
              <w:top w:val="nil"/>
              <w:left w:val="nil"/>
              <w:bottom w:val="single" w:color="auto" w:sz="4" w:space="0"/>
              <w:right w:val="single" w:color="auto" w:sz="4" w:space="0"/>
            </w:tcBorders>
            <w:vAlign w:val="center"/>
          </w:tcPr>
          <w:p w14:paraId="13C07381">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Z＜300</w:t>
            </w:r>
          </w:p>
        </w:tc>
      </w:tr>
      <w:tr w14:paraId="6C686D62">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center"/>
          </w:tcPr>
          <w:p w14:paraId="20680FA8">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批发业</w:t>
            </w:r>
          </w:p>
        </w:tc>
        <w:tc>
          <w:tcPr>
            <w:tcW w:w="1384" w:type="dxa"/>
            <w:tcBorders>
              <w:top w:val="nil"/>
              <w:left w:val="nil"/>
              <w:bottom w:val="single" w:color="auto" w:sz="4" w:space="0"/>
              <w:right w:val="single" w:color="auto" w:sz="4" w:space="0"/>
            </w:tcBorders>
            <w:vAlign w:val="center"/>
          </w:tcPr>
          <w:p w14:paraId="62A28F33">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1241" w:type="dxa"/>
            <w:tcBorders>
              <w:top w:val="nil"/>
              <w:left w:val="nil"/>
              <w:bottom w:val="single" w:color="auto" w:sz="4" w:space="0"/>
              <w:right w:val="single" w:color="auto" w:sz="4" w:space="0"/>
            </w:tcBorders>
            <w:vAlign w:val="center"/>
          </w:tcPr>
          <w:p w14:paraId="379E2B1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886" w:type="dxa"/>
            <w:tcBorders>
              <w:top w:val="nil"/>
              <w:left w:val="nil"/>
              <w:bottom w:val="single" w:color="auto" w:sz="4" w:space="0"/>
              <w:right w:val="single" w:color="auto" w:sz="4" w:space="0"/>
            </w:tcBorders>
            <w:vAlign w:val="center"/>
          </w:tcPr>
          <w:p w14:paraId="73162382">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20≤X＜200</w:t>
            </w:r>
          </w:p>
        </w:tc>
        <w:tc>
          <w:tcPr>
            <w:tcW w:w="1628" w:type="dxa"/>
            <w:tcBorders>
              <w:top w:val="nil"/>
              <w:left w:val="nil"/>
              <w:bottom w:val="single" w:color="auto" w:sz="4" w:space="0"/>
              <w:right w:val="single" w:color="auto" w:sz="4" w:space="0"/>
            </w:tcBorders>
            <w:vAlign w:val="center"/>
          </w:tcPr>
          <w:p w14:paraId="0E0E76D0">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5≤X＜20</w:t>
            </w:r>
          </w:p>
        </w:tc>
        <w:tc>
          <w:tcPr>
            <w:tcW w:w="1072" w:type="dxa"/>
            <w:tcBorders>
              <w:top w:val="nil"/>
              <w:left w:val="nil"/>
              <w:bottom w:val="single" w:color="auto" w:sz="4" w:space="0"/>
              <w:right w:val="single" w:color="auto" w:sz="4" w:space="0"/>
            </w:tcBorders>
            <w:vAlign w:val="center"/>
          </w:tcPr>
          <w:p w14:paraId="42E9FF36">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X＜5</w:t>
            </w:r>
          </w:p>
        </w:tc>
      </w:tr>
      <w:tr w14:paraId="19EC2544">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45C8A1CE">
            <w:pPr>
              <w:widowControl/>
              <w:jc w:val="left"/>
              <w:rPr>
                <w:rFonts w:ascii="宋体" w:hAnsi="宋体" w:cs="宋体"/>
                <w:b/>
                <w:bCs/>
                <w:color w:val="auto"/>
                <w:kern w:val="0"/>
                <w:szCs w:val="21"/>
                <w:highlight w:val="none"/>
              </w:rPr>
            </w:pPr>
          </w:p>
        </w:tc>
        <w:tc>
          <w:tcPr>
            <w:tcW w:w="1384" w:type="dxa"/>
            <w:tcBorders>
              <w:top w:val="nil"/>
              <w:left w:val="nil"/>
              <w:bottom w:val="single" w:color="auto" w:sz="4" w:space="0"/>
              <w:right w:val="single" w:color="auto" w:sz="4" w:space="0"/>
            </w:tcBorders>
            <w:vAlign w:val="center"/>
          </w:tcPr>
          <w:p w14:paraId="4F9919AA">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1241" w:type="dxa"/>
            <w:tcBorders>
              <w:top w:val="nil"/>
              <w:left w:val="nil"/>
              <w:bottom w:val="single" w:color="auto" w:sz="4" w:space="0"/>
              <w:right w:val="single" w:color="auto" w:sz="4" w:space="0"/>
            </w:tcBorders>
            <w:vAlign w:val="center"/>
          </w:tcPr>
          <w:p w14:paraId="7643050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118F8344">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5000≤Y＜40000</w:t>
            </w:r>
          </w:p>
        </w:tc>
        <w:tc>
          <w:tcPr>
            <w:tcW w:w="1628" w:type="dxa"/>
            <w:tcBorders>
              <w:top w:val="nil"/>
              <w:left w:val="nil"/>
              <w:bottom w:val="single" w:color="auto" w:sz="4" w:space="0"/>
              <w:right w:val="single" w:color="auto" w:sz="4" w:space="0"/>
            </w:tcBorders>
            <w:vAlign w:val="center"/>
          </w:tcPr>
          <w:p w14:paraId="18DB547B">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1000≤Y＜5000</w:t>
            </w:r>
          </w:p>
        </w:tc>
        <w:tc>
          <w:tcPr>
            <w:tcW w:w="1072" w:type="dxa"/>
            <w:tcBorders>
              <w:top w:val="nil"/>
              <w:left w:val="nil"/>
              <w:bottom w:val="single" w:color="auto" w:sz="4" w:space="0"/>
              <w:right w:val="single" w:color="auto" w:sz="4" w:space="0"/>
            </w:tcBorders>
            <w:vAlign w:val="center"/>
          </w:tcPr>
          <w:p w14:paraId="79020EF6">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Y＜1000</w:t>
            </w:r>
          </w:p>
        </w:tc>
      </w:tr>
      <w:tr w14:paraId="4B126E30">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center"/>
          </w:tcPr>
          <w:p w14:paraId="758EB1CC">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零售业</w:t>
            </w:r>
          </w:p>
        </w:tc>
        <w:tc>
          <w:tcPr>
            <w:tcW w:w="1384" w:type="dxa"/>
            <w:tcBorders>
              <w:top w:val="nil"/>
              <w:left w:val="nil"/>
              <w:bottom w:val="single" w:color="auto" w:sz="4" w:space="0"/>
              <w:right w:val="single" w:color="auto" w:sz="4" w:space="0"/>
            </w:tcBorders>
            <w:vAlign w:val="center"/>
          </w:tcPr>
          <w:p w14:paraId="5C0EA73D">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1241" w:type="dxa"/>
            <w:tcBorders>
              <w:top w:val="nil"/>
              <w:left w:val="nil"/>
              <w:bottom w:val="single" w:color="auto" w:sz="4" w:space="0"/>
              <w:right w:val="single" w:color="auto" w:sz="4" w:space="0"/>
            </w:tcBorders>
            <w:vAlign w:val="center"/>
          </w:tcPr>
          <w:p w14:paraId="3076C89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886" w:type="dxa"/>
            <w:tcBorders>
              <w:top w:val="nil"/>
              <w:left w:val="nil"/>
              <w:bottom w:val="single" w:color="auto" w:sz="4" w:space="0"/>
              <w:right w:val="single" w:color="auto" w:sz="4" w:space="0"/>
            </w:tcBorders>
            <w:vAlign w:val="center"/>
          </w:tcPr>
          <w:p w14:paraId="6EFF1894">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50≤X＜300</w:t>
            </w:r>
          </w:p>
        </w:tc>
        <w:tc>
          <w:tcPr>
            <w:tcW w:w="1628" w:type="dxa"/>
            <w:tcBorders>
              <w:top w:val="nil"/>
              <w:left w:val="nil"/>
              <w:bottom w:val="single" w:color="auto" w:sz="4" w:space="0"/>
              <w:right w:val="single" w:color="auto" w:sz="4" w:space="0"/>
            </w:tcBorders>
            <w:vAlign w:val="center"/>
          </w:tcPr>
          <w:p w14:paraId="23D714BB">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10≤X＜50</w:t>
            </w:r>
          </w:p>
        </w:tc>
        <w:tc>
          <w:tcPr>
            <w:tcW w:w="1072" w:type="dxa"/>
            <w:tcBorders>
              <w:top w:val="nil"/>
              <w:left w:val="nil"/>
              <w:bottom w:val="single" w:color="auto" w:sz="4" w:space="0"/>
              <w:right w:val="single" w:color="auto" w:sz="4" w:space="0"/>
            </w:tcBorders>
            <w:vAlign w:val="center"/>
          </w:tcPr>
          <w:p w14:paraId="5C805F0F">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583CE504">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4D5B7EDF">
            <w:pPr>
              <w:widowControl/>
              <w:jc w:val="left"/>
              <w:rPr>
                <w:rFonts w:ascii="宋体" w:hAnsi="宋体" w:cs="宋体"/>
                <w:b/>
                <w:bCs/>
                <w:color w:val="auto"/>
                <w:kern w:val="0"/>
                <w:szCs w:val="21"/>
                <w:highlight w:val="none"/>
              </w:rPr>
            </w:pPr>
          </w:p>
        </w:tc>
        <w:tc>
          <w:tcPr>
            <w:tcW w:w="1384" w:type="dxa"/>
            <w:tcBorders>
              <w:top w:val="nil"/>
              <w:left w:val="nil"/>
              <w:bottom w:val="single" w:color="auto" w:sz="4" w:space="0"/>
              <w:right w:val="single" w:color="auto" w:sz="4" w:space="0"/>
            </w:tcBorders>
            <w:vAlign w:val="center"/>
          </w:tcPr>
          <w:p w14:paraId="5EC8BD85">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1241" w:type="dxa"/>
            <w:tcBorders>
              <w:top w:val="nil"/>
              <w:left w:val="nil"/>
              <w:bottom w:val="single" w:color="auto" w:sz="4" w:space="0"/>
              <w:right w:val="single" w:color="auto" w:sz="4" w:space="0"/>
            </w:tcBorders>
            <w:vAlign w:val="center"/>
          </w:tcPr>
          <w:p w14:paraId="5A0D138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7A0D3D45">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500≤Y＜20000</w:t>
            </w:r>
          </w:p>
        </w:tc>
        <w:tc>
          <w:tcPr>
            <w:tcW w:w="1628" w:type="dxa"/>
            <w:tcBorders>
              <w:top w:val="nil"/>
              <w:left w:val="nil"/>
              <w:bottom w:val="single" w:color="auto" w:sz="4" w:space="0"/>
              <w:right w:val="single" w:color="auto" w:sz="4" w:space="0"/>
            </w:tcBorders>
            <w:vAlign w:val="center"/>
          </w:tcPr>
          <w:p w14:paraId="2BD5927A">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100≤Y＜500</w:t>
            </w:r>
          </w:p>
        </w:tc>
        <w:tc>
          <w:tcPr>
            <w:tcW w:w="1072" w:type="dxa"/>
            <w:tcBorders>
              <w:top w:val="nil"/>
              <w:left w:val="nil"/>
              <w:bottom w:val="single" w:color="auto" w:sz="4" w:space="0"/>
              <w:right w:val="single" w:color="auto" w:sz="4" w:space="0"/>
            </w:tcBorders>
            <w:vAlign w:val="center"/>
          </w:tcPr>
          <w:p w14:paraId="2EAF8F74">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79AB9D2F">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center"/>
          </w:tcPr>
          <w:p w14:paraId="70E56023">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交通运输业</w:t>
            </w:r>
          </w:p>
        </w:tc>
        <w:tc>
          <w:tcPr>
            <w:tcW w:w="1384" w:type="dxa"/>
            <w:tcBorders>
              <w:top w:val="nil"/>
              <w:left w:val="nil"/>
              <w:bottom w:val="single" w:color="auto" w:sz="4" w:space="0"/>
              <w:right w:val="single" w:color="auto" w:sz="4" w:space="0"/>
            </w:tcBorders>
            <w:vAlign w:val="center"/>
          </w:tcPr>
          <w:p w14:paraId="17D1F2D3">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1241" w:type="dxa"/>
            <w:tcBorders>
              <w:top w:val="nil"/>
              <w:left w:val="nil"/>
              <w:bottom w:val="single" w:color="auto" w:sz="4" w:space="0"/>
              <w:right w:val="single" w:color="auto" w:sz="4" w:space="0"/>
            </w:tcBorders>
            <w:vAlign w:val="center"/>
          </w:tcPr>
          <w:p w14:paraId="56873CA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886" w:type="dxa"/>
            <w:tcBorders>
              <w:top w:val="nil"/>
              <w:left w:val="nil"/>
              <w:bottom w:val="single" w:color="auto" w:sz="4" w:space="0"/>
              <w:right w:val="single" w:color="auto" w:sz="4" w:space="0"/>
            </w:tcBorders>
            <w:vAlign w:val="center"/>
          </w:tcPr>
          <w:p w14:paraId="12474D49">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28" w:type="dxa"/>
            <w:tcBorders>
              <w:top w:val="nil"/>
              <w:left w:val="nil"/>
              <w:bottom w:val="single" w:color="auto" w:sz="4" w:space="0"/>
              <w:right w:val="single" w:color="auto" w:sz="4" w:space="0"/>
            </w:tcBorders>
            <w:vAlign w:val="center"/>
          </w:tcPr>
          <w:p w14:paraId="4BEF7DFC">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20≤X＜300</w:t>
            </w:r>
          </w:p>
        </w:tc>
        <w:tc>
          <w:tcPr>
            <w:tcW w:w="1072" w:type="dxa"/>
            <w:tcBorders>
              <w:top w:val="nil"/>
              <w:left w:val="nil"/>
              <w:bottom w:val="single" w:color="auto" w:sz="4" w:space="0"/>
              <w:right w:val="single" w:color="auto" w:sz="4" w:space="0"/>
            </w:tcBorders>
            <w:vAlign w:val="center"/>
          </w:tcPr>
          <w:p w14:paraId="6A990CCB">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1CF99144">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2929C95F">
            <w:pPr>
              <w:widowControl/>
              <w:jc w:val="left"/>
              <w:rPr>
                <w:rFonts w:ascii="宋体" w:hAnsi="宋体" w:cs="宋体"/>
                <w:b/>
                <w:bCs/>
                <w:color w:val="auto"/>
                <w:kern w:val="0"/>
                <w:szCs w:val="21"/>
                <w:highlight w:val="none"/>
              </w:rPr>
            </w:pPr>
          </w:p>
        </w:tc>
        <w:tc>
          <w:tcPr>
            <w:tcW w:w="1384" w:type="dxa"/>
            <w:tcBorders>
              <w:top w:val="nil"/>
              <w:left w:val="nil"/>
              <w:bottom w:val="single" w:color="auto" w:sz="4" w:space="0"/>
              <w:right w:val="single" w:color="auto" w:sz="4" w:space="0"/>
            </w:tcBorders>
            <w:vAlign w:val="center"/>
          </w:tcPr>
          <w:p w14:paraId="0C80CB60">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1241" w:type="dxa"/>
            <w:tcBorders>
              <w:top w:val="nil"/>
              <w:left w:val="nil"/>
              <w:bottom w:val="single" w:color="auto" w:sz="4" w:space="0"/>
              <w:right w:val="single" w:color="auto" w:sz="4" w:space="0"/>
            </w:tcBorders>
            <w:vAlign w:val="center"/>
          </w:tcPr>
          <w:p w14:paraId="604239A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5ED8B572">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3000≤Y＜30000</w:t>
            </w:r>
          </w:p>
        </w:tc>
        <w:tc>
          <w:tcPr>
            <w:tcW w:w="1628" w:type="dxa"/>
            <w:tcBorders>
              <w:top w:val="nil"/>
              <w:left w:val="nil"/>
              <w:bottom w:val="single" w:color="auto" w:sz="4" w:space="0"/>
              <w:right w:val="single" w:color="auto" w:sz="4" w:space="0"/>
            </w:tcBorders>
            <w:vAlign w:val="center"/>
          </w:tcPr>
          <w:p w14:paraId="63E2B4FE">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200≤Y＜3000</w:t>
            </w:r>
          </w:p>
        </w:tc>
        <w:tc>
          <w:tcPr>
            <w:tcW w:w="1072" w:type="dxa"/>
            <w:tcBorders>
              <w:top w:val="nil"/>
              <w:left w:val="nil"/>
              <w:bottom w:val="single" w:color="auto" w:sz="4" w:space="0"/>
              <w:right w:val="single" w:color="auto" w:sz="4" w:space="0"/>
            </w:tcBorders>
            <w:vAlign w:val="center"/>
          </w:tcPr>
          <w:p w14:paraId="3F0F0C0C">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Y＜200</w:t>
            </w:r>
          </w:p>
        </w:tc>
      </w:tr>
      <w:tr w14:paraId="52F2176D">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center"/>
          </w:tcPr>
          <w:p w14:paraId="1F7F81AF">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仓储业</w:t>
            </w:r>
          </w:p>
        </w:tc>
        <w:tc>
          <w:tcPr>
            <w:tcW w:w="1384" w:type="dxa"/>
            <w:tcBorders>
              <w:top w:val="nil"/>
              <w:left w:val="nil"/>
              <w:bottom w:val="single" w:color="auto" w:sz="4" w:space="0"/>
              <w:right w:val="single" w:color="auto" w:sz="4" w:space="0"/>
            </w:tcBorders>
            <w:vAlign w:val="center"/>
          </w:tcPr>
          <w:p w14:paraId="1A3E8D5E">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1241" w:type="dxa"/>
            <w:tcBorders>
              <w:top w:val="nil"/>
              <w:left w:val="nil"/>
              <w:bottom w:val="single" w:color="auto" w:sz="4" w:space="0"/>
              <w:right w:val="single" w:color="auto" w:sz="4" w:space="0"/>
            </w:tcBorders>
            <w:vAlign w:val="center"/>
          </w:tcPr>
          <w:p w14:paraId="620630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886" w:type="dxa"/>
            <w:tcBorders>
              <w:top w:val="nil"/>
              <w:left w:val="nil"/>
              <w:bottom w:val="single" w:color="auto" w:sz="4" w:space="0"/>
              <w:right w:val="single" w:color="auto" w:sz="4" w:space="0"/>
            </w:tcBorders>
            <w:vAlign w:val="center"/>
          </w:tcPr>
          <w:p w14:paraId="6C115F9F">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100≤X＜200</w:t>
            </w:r>
          </w:p>
        </w:tc>
        <w:tc>
          <w:tcPr>
            <w:tcW w:w="1628" w:type="dxa"/>
            <w:tcBorders>
              <w:top w:val="nil"/>
              <w:left w:val="nil"/>
              <w:bottom w:val="single" w:color="auto" w:sz="4" w:space="0"/>
              <w:right w:val="single" w:color="auto" w:sz="4" w:space="0"/>
            </w:tcBorders>
            <w:vAlign w:val="center"/>
          </w:tcPr>
          <w:p w14:paraId="2C5F1E87">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20≤X＜100</w:t>
            </w:r>
          </w:p>
        </w:tc>
        <w:tc>
          <w:tcPr>
            <w:tcW w:w="1072" w:type="dxa"/>
            <w:tcBorders>
              <w:top w:val="nil"/>
              <w:left w:val="nil"/>
              <w:bottom w:val="single" w:color="auto" w:sz="4" w:space="0"/>
              <w:right w:val="single" w:color="auto" w:sz="4" w:space="0"/>
            </w:tcBorders>
            <w:vAlign w:val="center"/>
          </w:tcPr>
          <w:p w14:paraId="3E52FAC0">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4C6C8B7D">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38FB832A">
            <w:pPr>
              <w:widowControl/>
              <w:jc w:val="left"/>
              <w:rPr>
                <w:rFonts w:ascii="宋体" w:hAnsi="宋体" w:cs="宋体"/>
                <w:b/>
                <w:bCs/>
                <w:color w:val="auto"/>
                <w:kern w:val="0"/>
                <w:szCs w:val="21"/>
                <w:highlight w:val="none"/>
              </w:rPr>
            </w:pPr>
          </w:p>
        </w:tc>
        <w:tc>
          <w:tcPr>
            <w:tcW w:w="1384" w:type="dxa"/>
            <w:tcBorders>
              <w:top w:val="nil"/>
              <w:left w:val="nil"/>
              <w:bottom w:val="single" w:color="auto" w:sz="4" w:space="0"/>
              <w:right w:val="single" w:color="auto" w:sz="4" w:space="0"/>
            </w:tcBorders>
            <w:vAlign w:val="center"/>
          </w:tcPr>
          <w:p w14:paraId="735DB97B">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1241" w:type="dxa"/>
            <w:tcBorders>
              <w:top w:val="nil"/>
              <w:left w:val="nil"/>
              <w:bottom w:val="single" w:color="auto" w:sz="4" w:space="0"/>
              <w:right w:val="single" w:color="auto" w:sz="4" w:space="0"/>
            </w:tcBorders>
            <w:vAlign w:val="center"/>
          </w:tcPr>
          <w:p w14:paraId="3EBEE57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6335117E">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1000≤Y＜30000</w:t>
            </w:r>
          </w:p>
        </w:tc>
        <w:tc>
          <w:tcPr>
            <w:tcW w:w="1628" w:type="dxa"/>
            <w:tcBorders>
              <w:top w:val="nil"/>
              <w:left w:val="nil"/>
              <w:bottom w:val="single" w:color="auto" w:sz="4" w:space="0"/>
              <w:right w:val="single" w:color="auto" w:sz="4" w:space="0"/>
            </w:tcBorders>
            <w:vAlign w:val="center"/>
          </w:tcPr>
          <w:p w14:paraId="3FCD9803">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100≤Y＜1000</w:t>
            </w:r>
          </w:p>
        </w:tc>
        <w:tc>
          <w:tcPr>
            <w:tcW w:w="1072" w:type="dxa"/>
            <w:tcBorders>
              <w:top w:val="nil"/>
              <w:left w:val="nil"/>
              <w:bottom w:val="single" w:color="auto" w:sz="4" w:space="0"/>
              <w:right w:val="single" w:color="auto" w:sz="4" w:space="0"/>
            </w:tcBorders>
            <w:vAlign w:val="center"/>
          </w:tcPr>
          <w:p w14:paraId="75A55C3A">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24D03ABC">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center"/>
          </w:tcPr>
          <w:p w14:paraId="4F58DBE7">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邮政业</w:t>
            </w:r>
          </w:p>
        </w:tc>
        <w:tc>
          <w:tcPr>
            <w:tcW w:w="1384" w:type="dxa"/>
            <w:tcBorders>
              <w:top w:val="nil"/>
              <w:left w:val="nil"/>
              <w:bottom w:val="single" w:color="auto" w:sz="4" w:space="0"/>
              <w:right w:val="single" w:color="auto" w:sz="4" w:space="0"/>
            </w:tcBorders>
            <w:vAlign w:val="center"/>
          </w:tcPr>
          <w:p w14:paraId="1ACBC4CD">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1241" w:type="dxa"/>
            <w:tcBorders>
              <w:top w:val="nil"/>
              <w:left w:val="nil"/>
              <w:bottom w:val="single" w:color="auto" w:sz="4" w:space="0"/>
              <w:right w:val="single" w:color="auto" w:sz="4" w:space="0"/>
            </w:tcBorders>
            <w:vAlign w:val="center"/>
          </w:tcPr>
          <w:p w14:paraId="5827E2E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886" w:type="dxa"/>
            <w:tcBorders>
              <w:top w:val="nil"/>
              <w:left w:val="nil"/>
              <w:bottom w:val="single" w:color="auto" w:sz="4" w:space="0"/>
              <w:right w:val="single" w:color="auto" w:sz="4" w:space="0"/>
            </w:tcBorders>
            <w:vAlign w:val="center"/>
          </w:tcPr>
          <w:p w14:paraId="40C36C03">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28" w:type="dxa"/>
            <w:tcBorders>
              <w:top w:val="nil"/>
              <w:left w:val="nil"/>
              <w:bottom w:val="single" w:color="auto" w:sz="4" w:space="0"/>
              <w:right w:val="single" w:color="auto" w:sz="4" w:space="0"/>
            </w:tcBorders>
            <w:vAlign w:val="center"/>
          </w:tcPr>
          <w:p w14:paraId="2C201936">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20≤X＜300</w:t>
            </w:r>
          </w:p>
        </w:tc>
        <w:tc>
          <w:tcPr>
            <w:tcW w:w="1072" w:type="dxa"/>
            <w:tcBorders>
              <w:top w:val="nil"/>
              <w:left w:val="nil"/>
              <w:bottom w:val="single" w:color="auto" w:sz="4" w:space="0"/>
              <w:right w:val="single" w:color="auto" w:sz="4" w:space="0"/>
            </w:tcBorders>
            <w:vAlign w:val="center"/>
          </w:tcPr>
          <w:p w14:paraId="0DBE1FF0">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00EDE1FD">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3606AE5B">
            <w:pPr>
              <w:widowControl/>
              <w:jc w:val="left"/>
              <w:rPr>
                <w:rFonts w:ascii="宋体" w:hAnsi="宋体" w:cs="宋体"/>
                <w:b/>
                <w:bCs/>
                <w:color w:val="auto"/>
                <w:kern w:val="0"/>
                <w:szCs w:val="21"/>
                <w:highlight w:val="none"/>
              </w:rPr>
            </w:pPr>
          </w:p>
        </w:tc>
        <w:tc>
          <w:tcPr>
            <w:tcW w:w="1384" w:type="dxa"/>
            <w:tcBorders>
              <w:top w:val="nil"/>
              <w:left w:val="nil"/>
              <w:bottom w:val="single" w:color="auto" w:sz="4" w:space="0"/>
              <w:right w:val="single" w:color="auto" w:sz="4" w:space="0"/>
            </w:tcBorders>
            <w:vAlign w:val="center"/>
          </w:tcPr>
          <w:p w14:paraId="3DFECF4C">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1241" w:type="dxa"/>
            <w:tcBorders>
              <w:top w:val="nil"/>
              <w:left w:val="nil"/>
              <w:bottom w:val="single" w:color="auto" w:sz="4" w:space="0"/>
              <w:right w:val="single" w:color="auto" w:sz="4" w:space="0"/>
            </w:tcBorders>
            <w:vAlign w:val="center"/>
          </w:tcPr>
          <w:p w14:paraId="389ABF0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5B735E55">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2000≤Y＜30000</w:t>
            </w:r>
          </w:p>
        </w:tc>
        <w:tc>
          <w:tcPr>
            <w:tcW w:w="1628" w:type="dxa"/>
            <w:tcBorders>
              <w:top w:val="nil"/>
              <w:left w:val="nil"/>
              <w:bottom w:val="single" w:color="auto" w:sz="4" w:space="0"/>
              <w:right w:val="single" w:color="auto" w:sz="4" w:space="0"/>
            </w:tcBorders>
            <w:vAlign w:val="center"/>
          </w:tcPr>
          <w:p w14:paraId="2547A2D7">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100≤Y＜2000</w:t>
            </w:r>
          </w:p>
        </w:tc>
        <w:tc>
          <w:tcPr>
            <w:tcW w:w="1072" w:type="dxa"/>
            <w:tcBorders>
              <w:top w:val="nil"/>
              <w:left w:val="nil"/>
              <w:bottom w:val="single" w:color="auto" w:sz="4" w:space="0"/>
              <w:right w:val="single" w:color="auto" w:sz="4" w:space="0"/>
            </w:tcBorders>
            <w:vAlign w:val="center"/>
          </w:tcPr>
          <w:p w14:paraId="47B40DB0">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4A1652F9">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center"/>
          </w:tcPr>
          <w:p w14:paraId="4A1619BB">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住宿业</w:t>
            </w:r>
          </w:p>
        </w:tc>
        <w:tc>
          <w:tcPr>
            <w:tcW w:w="1384" w:type="dxa"/>
            <w:tcBorders>
              <w:top w:val="nil"/>
              <w:left w:val="nil"/>
              <w:bottom w:val="single" w:color="auto" w:sz="4" w:space="0"/>
              <w:right w:val="single" w:color="auto" w:sz="4" w:space="0"/>
            </w:tcBorders>
            <w:vAlign w:val="center"/>
          </w:tcPr>
          <w:p w14:paraId="75927A29">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1241" w:type="dxa"/>
            <w:tcBorders>
              <w:top w:val="nil"/>
              <w:left w:val="nil"/>
              <w:bottom w:val="single" w:color="auto" w:sz="4" w:space="0"/>
              <w:right w:val="single" w:color="auto" w:sz="4" w:space="0"/>
            </w:tcBorders>
            <w:vAlign w:val="center"/>
          </w:tcPr>
          <w:p w14:paraId="0018A3C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886" w:type="dxa"/>
            <w:tcBorders>
              <w:top w:val="nil"/>
              <w:left w:val="nil"/>
              <w:bottom w:val="single" w:color="auto" w:sz="4" w:space="0"/>
              <w:right w:val="single" w:color="auto" w:sz="4" w:space="0"/>
            </w:tcBorders>
            <w:vAlign w:val="center"/>
          </w:tcPr>
          <w:p w14:paraId="438DB3C6">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100≤X＜300</w:t>
            </w:r>
          </w:p>
        </w:tc>
        <w:tc>
          <w:tcPr>
            <w:tcW w:w="1628" w:type="dxa"/>
            <w:tcBorders>
              <w:top w:val="nil"/>
              <w:left w:val="nil"/>
              <w:bottom w:val="single" w:color="auto" w:sz="4" w:space="0"/>
              <w:right w:val="single" w:color="auto" w:sz="4" w:space="0"/>
            </w:tcBorders>
            <w:vAlign w:val="center"/>
          </w:tcPr>
          <w:p w14:paraId="2536A89A">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10≤X＜100</w:t>
            </w:r>
          </w:p>
        </w:tc>
        <w:tc>
          <w:tcPr>
            <w:tcW w:w="1072" w:type="dxa"/>
            <w:tcBorders>
              <w:top w:val="nil"/>
              <w:left w:val="nil"/>
              <w:bottom w:val="single" w:color="auto" w:sz="4" w:space="0"/>
              <w:right w:val="single" w:color="auto" w:sz="4" w:space="0"/>
            </w:tcBorders>
            <w:vAlign w:val="center"/>
          </w:tcPr>
          <w:p w14:paraId="09DAAE31">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0A119691">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71A8DB98">
            <w:pPr>
              <w:widowControl/>
              <w:jc w:val="left"/>
              <w:rPr>
                <w:rFonts w:ascii="宋体" w:hAnsi="宋体" w:cs="宋体"/>
                <w:b/>
                <w:bCs/>
                <w:color w:val="auto"/>
                <w:kern w:val="0"/>
                <w:szCs w:val="21"/>
                <w:highlight w:val="none"/>
              </w:rPr>
            </w:pPr>
          </w:p>
        </w:tc>
        <w:tc>
          <w:tcPr>
            <w:tcW w:w="1384" w:type="dxa"/>
            <w:tcBorders>
              <w:top w:val="nil"/>
              <w:left w:val="nil"/>
              <w:bottom w:val="single" w:color="auto" w:sz="4" w:space="0"/>
              <w:right w:val="single" w:color="auto" w:sz="4" w:space="0"/>
            </w:tcBorders>
            <w:vAlign w:val="center"/>
          </w:tcPr>
          <w:p w14:paraId="6FEF5C69">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1241" w:type="dxa"/>
            <w:tcBorders>
              <w:top w:val="nil"/>
              <w:left w:val="nil"/>
              <w:bottom w:val="single" w:color="auto" w:sz="4" w:space="0"/>
              <w:right w:val="single" w:color="auto" w:sz="4" w:space="0"/>
            </w:tcBorders>
            <w:vAlign w:val="center"/>
          </w:tcPr>
          <w:p w14:paraId="64C6AB4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563C90A7">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2000≤Y＜10000</w:t>
            </w:r>
          </w:p>
        </w:tc>
        <w:tc>
          <w:tcPr>
            <w:tcW w:w="1628" w:type="dxa"/>
            <w:tcBorders>
              <w:top w:val="nil"/>
              <w:left w:val="nil"/>
              <w:bottom w:val="single" w:color="auto" w:sz="4" w:space="0"/>
              <w:right w:val="single" w:color="auto" w:sz="4" w:space="0"/>
            </w:tcBorders>
            <w:vAlign w:val="center"/>
          </w:tcPr>
          <w:p w14:paraId="525AFC8F">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100≤Y＜2000</w:t>
            </w:r>
          </w:p>
        </w:tc>
        <w:tc>
          <w:tcPr>
            <w:tcW w:w="1072" w:type="dxa"/>
            <w:tcBorders>
              <w:top w:val="nil"/>
              <w:left w:val="nil"/>
              <w:bottom w:val="single" w:color="auto" w:sz="4" w:space="0"/>
              <w:right w:val="single" w:color="auto" w:sz="4" w:space="0"/>
            </w:tcBorders>
            <w:vAlign w:val="center"/>
          </w:tcPr>
          <w:p w14:paraId="231BBADA">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7F2CA6F0">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center"/>
          </w:tcPr>
          <w:p w14:paraId="48BDC979">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餐饮业</w:t>
            </w:r>
          </w:p>
        </w:tc>
        <w:tc>
          <w:tcPr>
            <w:tcW w:w="1384" w:type="dxa"/>
            <w:tcBorders>
              <w:top w:val="nil"/>
              <w:left w:val="nil"/>
              <w:bottom w:val="single" w:color="auto" w:sz="4" w:space="0"/>
              <w:right w:val="single" w:color="auto" w:sz="4" w:space="0"/>
            </w:tcBorders>
            <w:vAlign w:val="center"/>
          </w:tcPr>
          <w:p w14:paraId="31421D77">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1241" w:type="dxa"/>
            <w:tcBorders>
              <w:top w:val="nil"/>
              <w:left w:val="nil"/>
              <w:bottom w:val="single" w:color="auto" w:sz="4" w:space="0"/>
              <w:right w:val="single" w:color="auto" w:sz="4" w:space="0"/>
            </w:tcBorders>
            <w:vAlign w:val="center"/>
          </w:tcPr>
          <w:p w14:paraId="23EA0D6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886" w:type="dxa"/>
            <w:tcBorders>
              <w:top w:val="nil"/>
              <w:left w:val="nil"/>
              <w:bottom w:val="single" w:color="auto" w:sz="4" w:space="0"/>
              <w:right w:val="single" w:color="auto" w:sz="4" w:space="0"/>
            </w:tcBorders>
            <w:vAlign w:val="center"/>
          </w:tcPr>
          <w:p w14:paraId="717EED78">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100≤X＜300</w:t>
            </w:r>
          </w:p>
        </w:tc>
        <w:tc>
          <w:tcPr>
            <w:tcW w:w="1628" w:type="dxa"/>
            <w:tcBorders>
              <w:top w:val="nil"/>
              <w:left w:val="nil"/>
              <w:bottom w:val="single" w:color="auto" w:sz="4" w:space="0"/>
              <w:right w:val="single" w:color="auto" w:sz="4" w:space="0"/>
            </w:tcBorders>
            <w:vAlign w:val="center"/>
          </w:tcPr>
          <w:p w14:paraId="527A410D">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10≤X＜100</w:t>
            </w:r>
          </w:p>
        </w:tc>
        <w:tc>
          <w:tcPr>
            <w:tcW w:w="1072" w:type="dxa"/>
            <w:tcBorders>
              <w:top w:val="nil"/>
              <w:left w:val="nil"/>
              <w:bottom w:val="single" w:color="auto" w:sz="4" w:space="0"/>
              <w:right w:val="single" w:color="auto" w:sz="4" w:space="0"/>
            </w:tcBorders>
            <w:vAlign w:val="center"/>
          </w:tcPr>
          <w:p w14:paraId="7E5CF1D3">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773DBF8F">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60B2182A">
            <w:pPr>
              <w:widowControl/>
              <w:jc w:val="left"/>
              <w:rPr>
                <w:rFonts w:ascii="宋体" w:hAnsi="宋体" w:cs="宋体"/>
                <w:b/>
                <w:bCs/>
                <w:color w:val="auto"/>
                <w:kern w:val="0"/>
                <w:szCs w:val="21"/>
                <w:highlight w:val="none"/>
              </w:rPr>
            </w:pPr>
          </w:p>
        </w:tc>
        <w:tc>
          <w:tcPr>
            <w:tcW w:w="1384" w:type="dxa"/>
            <w:tcBorders>
              <w:top w:val="nil"/>
              <w:left w:val="nil"/>
              <w:bottom w:val="single" w:color="auto" w:sz="4" w:space="0"/>
              <w:right w:val="single" w:color="auto" w:sz="4" w:space="0"/>
            </w:tcBorders>
            <w:vAlign w:val="center"/>
          </w:tcPr>
          <w:p w14:paraId="622D3467">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1241" w:type="dxa"/>
            <w:tcBorders>
              <w:top w:val="nil"/>
              <w:left w:val="nil"/>
              <w:bottom w:val="single" w:color="auto" w:sz="4" w:space="0"/>
              <w:right w:val="single" w:color="auto" w:sz="4" w:space="0"/>
            </w:tcBorders>
            <w:vAlign w:val="center"/>
          </w:tcPr>
          <w:p w14:paraId="5B4B5A7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5E2000F1">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2000≤Y＜10000</w:t>
            </w:r>
          </w:p>
        </w:tc>
        <w:tc>
          <w:tcPr>
            <w:tcW w:w="1628" w:type="dxa"/>
            <w:tcBorders>
              <w:top w:val="nil"/>
              <w:left w:val="nil"/>
              <w:bottom w:val="single" w:color="auto" w:sz="4" w:space="0"/>
              <w:right w:val="single" w:color="auto" w:sz="4" w:space="0"/>
            </w:tcBorders>
            <w:vAlign w:val="center"/>
          </w:tcPr>
          <w:p w14:paraId="63B22AC5">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100≤Y＜2000</w:t>
            </w:r>
          </w:p>
        </w:tc>
        <w:tc>
          <w:tcPr>
            <w:tcW w:w="1072" w:type="dxa"/>
            <w:tcBorders>
              <w:top w:val="nil"/>
              <w:left w:val="nil"/>
              <w:bottom w:val="single" w:color="auto" w:sz="4" w:space="0"/>
              <w:right w:val="single" w:color="auto" w:sz="4" w:space="0"/>
            </w:tcBorders>
            <w:vAlign w:val="center"/>
          </w:tcPr>
          <w:p w14:paraId="0F02C8A5">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29DE49C5">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center"/>
          </w:tcPr>
          <w:p w14:paraId="15B7C9EF">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信息传输业</w:t>
            </w:r>
          </w:p>
        </w:tc>
        <w:tc>
          <w:tcPr>
            <w:tcW w:w="1384" w:type="dxa"/>
            <w:tcBorders>
              <w:top w:val="nil"/>
              <w:left w:val="nil"/>
              <w:bottom w:val="single" w:color="auto" w:sz="4" w:space="0"/>
              <w:right w:val="single" w:color="auto" w:sz="4" w:space="0"/>
            </w:tcBorders>
            <w:vAlign w:val="center"/>
          </w:tcPr>
          <w:p w14:paraId="00DF6452">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1241" w:type="dxa"/>
            <w:tcBorders>
              <w:top w:val="nil"/>
              <w:left w:val="nil"/>
              <w:bottom w:val="single" w:color="auto" w:sz="4" w:space="0"/>
              <w:right w:val="single" w:color="auto" w:sz="4" w:space="0"/>
            </w:tcBorders>
            <w:vAlign w:val="center"/>
          </w:tcPr>
          <w:p w14:paraId="4C14E94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886" w:type="dxa"/>
            <w:tcBorders>
              <w:top w:val="nil"/>
              <w:left w:val="nil"/>
              <w:bottom w:val="single" w:color="auto" w:sz="4" w:space="0"/>
              <w:right w:val="single" w:color="auto" w:sz="4" w:space="0"/>
            </w:tcBorders>
            <w:vAlign w:val="center"/>
          </w:tcPr>
          <w:p w14:paraId="36C8D0E9">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100≤X＜2000</w:t>
            </w:r>
          </w:p>
        </w:tc>
        <w:tc>
          <w:tcPr>
            <w:tcW w:w="1628" w:type="dxa"/>
            <w:tcBorders>
              <w:top w:val="nil"/>
              <w:left w:val="nil"/>
              <w:bottom w:val="single" w:color="auto" w:sz="4" w:space="0"/>
              <w:right w:val="single" w:color="auto" w:sz="4" w:space="0"/>
            </w:tcBorders>
            <w:vAlign w:val="center"/>
          </w:tcPr>
          <w:p w14:paraId="1DAFD4F1">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10≤X＜100</w:t>
            </w:r>
          </w:p>
        </w:tc>
        <w:tc>
          <w:tcPr>
            <w:tcW w:w="1072" w:type="dxa"/>
            <w:tcBorders>
              <w:top w:val="nil"/>
              <w:left w:val="nil"/>
              <w:bottom w:val="single" w:color="auto" w:sz="4" w:space="0"/>
              <w:right w:val="single" w:color="auto" w:sz="4" w:space="0"/>
            </w:tcBorders>
            <w:vAlign w:val="center"/>
          </w:tcPr>
          <w:p w14:paraId="2C223BD1">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483E633B">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5CECA07E">
            <w:pPr>
              <w:widowControl/>
              <w:jc w:val="left"/>
              <w:rPr>
                <w:rFonts w:ascii="宋体" w:hAnsi="宋体" w:cs="宋体"/>
                <w:b/>
                <w:bCs/>
                <w:color w:val="auto"/>
                <w:kern w:val="0"/>
                <w:szCs w:val="21"/>
                <w:highlight w:val="none"/>
              </w:rPr>
            </w:pPr>
          </w:p>
        </w:tc>
        <w:tc>
          <w:tcPr>
            <w:tcW w:w="1384" w:type="dxa"/>
            <w:tcBorders>
              <w:top w:val="nil"/>
              <w:left w:val="nil"/>
              <w:bottom w:val="single" w:color="auto" w:sz="4" w:space="0"/>
              <w:right w:val="single" w:color="auto" w:sz="4" w:space="0"/>
            </w:tcBorders>
            <w:vAlign w:val="center"/>
          </w:tcPr>
          <w:p w14:paraId="31C78438">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1241" w:type="dxa"/>
            <w:tcBorders>
              <w:top w:val="nil"/>
              <w:left w:val="nil"/>
              <w:bottom w:val="single" w:color="auto" w:sz="4" w:space="0"/>
              <w:right w:val="single" w:color="auto" w:sz="4" w:space="0"/>
            </w:tcBorders>
            <w:vAlign w:val="center"/>
          </w:tcPr>
          <w:p w14:paraId="15A6DB1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51F953DC">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1000≤Y＜100000</w:t>
            </w:r>
          </w:p>
        </w:tc>
        <w:tc>
          <w:tcPr>
            <w:tcW w:w="1628" w:type="dxa"/>
            <w:tcBorders>
              <w:top w:val="nil"/>
              <w:left w:val="nil"/>
              <w:bottom w:val="single" w:color="auto" w:sz="4" w:space="0"/>
              <w:right w:val="single" w:color="auto" w:sz="4" w:space="0"/>
            </w:tcBorders>
            <w:vAlign w:val="center"/>
          </w:tcPr>
          <w:p w14:paraId="3BACD564">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100≤Y＜1000</w:t>
            </w:r>
          </w:p>
        </w:tc>
        <w:tc>
          <w:tcPr>
            <w:tcW w:w="1072" w:type="dxa"/>
            <w:tcBorders>
              <w:top w:val="nil"/>
              <w:left w:val="nil"/>
              <w:bottom w:val="single" w:color="auto" w:sz="4" w:space="0"/>
              <w:right w:val="single" w:color="auto" w:sz="4" w:space="0"/>
            </w:tcBorders>
            <w:vAlign w:val="center"/>
          </w:tcPr>
          <w:p w14:paraId="4F8F6C99">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71FC6B75">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center"/>
          </w:tcPr>
          <w:p w14:paraId="6B4F4B14">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软件和信息技术服务业</w:t>
            </w:r>
          </w:p>
        </w:tc>
        <w:tc>
          <w:tcPr>
            <w:tcW w:w="1384" w:type="dxa"/>
            <w:tcBorders>
              <w:top w:val="nil"/>
              <w:left w:val="nil"/>
              <w:bottom w:val="single" w:color="auto" w:sz="4" w:space="0"/>
              <w:right w:val="single" w:color="auto" w:sz="4" w:space="0"/>
            </w:tcBorders>
            <w:vAlign w:val="center"/>
          </w:tcPr>
          <w:p w14:paraId="094B171F">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1241" w:type="dxa"/>
            <w:tcBorders>
              <w:top w:val="nil"/>
              <w:left w:val="nil"/>
              <w:bottom w:val="single" w:color="auto" w:sz="4" w:space="0"/>
              <w:right w:val="single" w:color="auto" w:sz="4" w:space="0"/>
            </w:tcBorders>
            <w:vAlign w:val="center"/>
          </w:tcPr>
          <w:p w14:paraId="05AE035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886" w:type="dxa"/>
            <w:tcBorders>
              <w:top w:val="nil"/>
              <w:left w:val="nil"/>
              <w:bottom w:val="single" w:color="auto" w:sz="4" w:space="0"/>
              <w:right w:val="single" w:color="auto" w:sz="4" w:space="0"/>
            </w:tcBorders>
            <w:vAlign w:val="center"/>
          </w:tcPr>
          <w:p w14:paraId="67AF3B91">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100≤X＜300</w:t>
            </w:r>
          </w:p>
        </w:tc>
        <w:tc>
          <w:tcPr>
            <w:tcW w:w="1628" w:type="dxa"/>
            <w:tcBorders>
              <w:top w:val="nil"/>
              <w:left w:val="nil"/>
              <w:bottom w:val="single" w:color="auto" w:sz="4" w:space="0"/>
              <w:right w:val="single" w:color="auto" w:sz="4" w:space="0"/>
            </w:tcBorders>
            <w:vAlign w:val="center"/>
          </w:tcPr>
          <w:p w14:paraId="044FCAF7">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10≤X＜100</w:t>
            </w:r>
          </w:p>
        </w:tc>
        <w:tc>
          <w:tcPr>
            <w:tcW w:w="1072" w:type="dxa"/>
            <w:tcBorders>
              <w:top w:val="nil"/>
              <w:left w:val="nil"/>
              <w:bottom w:val="single" w:color="auto" w:sz="4" w:space="0"/>
              <w:right w:val="single" w:color="auto" w:sz="4" w:space="0"/>
            </w:tcBorders>
            <w:vAlign w:val="center"/>
          </w:tcPr>
          <w:p w14:paraId="59F79674">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1460C369">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1C8920C5">
            <w:pPr>
              <w:widowControl/>
              <w:jc w:val="left"/>
              <w:rPr>
                <w:rFonts w:ascii="宋体" w:hAnsi="宋体" w:cs="宋体"/>
                <w:b/>
                <w:bCs/>
                <w:color w:val="auto"/>
                <w:kern w:val="0"/>
                <w:szCs w:val="21"/>
                <w:highlight w:val="none"/>
              </w:rPr>
            </w:pPr>
          </w:p>
        </w:tc>
        <w:tc>
          <w:tcPr>
            <w:tcW w:w="1384" w:type="dxa"/>
            <w:tcBorders>
              <w:top w:val="nil"/>
              <w:left w:val="nil"/>
              <w:bottom w:val="single" w:color="auto" w:sz="4" w:space="0"/>
              <w:right w:val="single" w:color="auto" w:sz="4" w:space="0"/>
            </w:tcBorders>
            <w:vAlign w:val="center"/>
          </w:tcPr>
          <w:p w14:paraId="6E650E3C">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1241" w:type="dxa"/>
            <w:tcBorders>
              <w:top w:val="nil"/>
              <w:left w:val="nil"/>
              <w:bottom w:val="single" w:color="auto" w:sz="4" w:space="0"/>
              <w:right w:val="single" w:color="auto" w:sz="4" w:space="0"/>
            </w:tcBorders>
            <w:vAlign w:val="center"/>
          </w:tcPr>
          <w:p w14:paraId="22FD22E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2F2B3C65">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1000≤Y＜10000</w:t>
            </w:r>
          </w:p>
        </w:tc>
        <w:tc>
          <w:tcPr>
            <w:tcW w:w="1628" w:type="dxa"/>
            <w:tcBorders>
              <w:top w:val="nil"/>
              <w:left w:val="nil"/>
              <w:bottom w:val="single" w:color="auto" w:sz="4" w:space="0"/>
              <w:right w:val="single" w:color="auto" w:sz="4" w:space="0"/>
            </w:tcBorders>
            <w:vAlign w:val="center"/>
          </w:tcPr>
          <w:p w14:paraId="09510543">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50≤Y＜1000</w:t>
            </w:r>
          </w:p>
        </w:tc>
        <w:tc>
          <w:tcPr>
            <w:tcW w:w="1072" w:type="dxa"/>
            <w:tcBorders>
              <w:top w:val="nil"/>
              <w:left w:val="nil"/>
              <w:bottom w:val="single" w:color="auto" w:sz="4" w:space="0"/>
              <w:right w:val="single" w:color="auto" w:sz="4" w:space="0"/>
            </w:tcBorders>
            <w:vAlign w:val="center"/>
          </w:tcPr>
          <w:p w14:paraId="71527433">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Y＜50</w:t>
            </w:r>
          </w:p>
        </w:tc>
      </w:tr>
      <w:tr w14:paraId="6CB0ECE0">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center"/>
          </w:tcPr>
          <w:p w14:paraId="3BDEA5EF">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房地产开发经营</w:t>
            </w:r>
          </w:p>
        </w:tc>
        <w:tc>
          <w:tcPr>
            <w:tcW w:w="1384" w:type="dxa"/>
            <w:tcBorders>
              <w:top w:val="nil"/>
              <w:left w:val="nil"/>
              <w:bottom w:val="single" w:color="auto" w:sz="4" w:space="0"/>
              <w:right w:val="single" w:color="auto" w:sz="4" w:space="0"/>
            </w:tcBorders>
            <w:vAlign w:val="center"/>
          </w:tcPr>
          <w:p w14:paraId="704D0110">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1241" w:type="dxa"/>
            <w:tcBorders>
              <w:top w:val="nil"/>
              <w:left w:val="nil"/>
              <w:bottom w:val="single" w:color="auto" w:sz="4" w:space="0"/>
              <w:right w:val="single" w:color="auto" w:sz="4" w:space="0"/>
            </w:tcBorders>
            <w:vAlign w:val="center"/>
          </w:tcPr>
          <w:p w14:paraId="3F0A3C6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7159D659">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1000≤Y＜200000</w:t>
            </w:r>
          </w:p>
        </w:tc>
        <w:tc>
          <w:tcPr>
            <w:tcW w:w="1628" w:type="dxa"/>
            <w:tcBorders>
              <w:top w:val="nil"/>
              <w:left w:val="nil"/>
              <w:bottom w:val="single" w:color="auto" w:sz="4" w:space="0"/>
              <w:right w:val="single" w:color="auto" w:sz="4" w:space="0"/>
            </w:tcBorders>
            <w:vAlign w:val="center"/>
          </w:tcPr>
          <w:p w14:paraId="02ED9B15">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100≤X＜1000</w:t>
            </w:r>
          </w:p>
        </w:tc>
        <w:tc>
          <w:tcPr>
            <w:tcW w:w="1072" w:type="dxa"/>
            <w:tcBorders>
              <w:top w:val="nil"/>
              <w:left w:val="nil"/>
              <w:bottom w:val="single" w:color="auto" w:sz="4" w:space="0"/>
              <w:right w:val="single" w:color="auto" w:sz="4" w:space="0"/>
            </w:tcBorders>
            <w:vAlign w:val="center"/>
          </w:tcPr>
          <w:p w14:paraId="334453AF">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X＜100</w:t>
            </w:r>
          </w:p>
        </w:tc>
      </w:tr>
      <w:tr w14:paraId="27E8E047">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1989510E">
            <w:pPr>
              <w:widowControl/>
              <w:jc w:val="left"/>
              <w:rPr>
                <w:rFonts w:ascii="宋体" w:hAnsi="宋体" w:cs="宋体"/>
                <w:b/>
                <w:bCs/>
                <w:color w:val="auto"/>
                <w:kern w:val="0"/>
                <w:szCs w:val="21"/>
                <w:highlight w:val="none"/>
              </w:rPr>
            </w:pPr>
          </w:p>
        </w:tc>
        <w:tc>
          <w:tcPr>
            <w:tcW w:w="1384" w:type="dxa"/>
            <w:tcBorders>
              <w:top w:val="nil"/>
              <w:left w:val="nil"/>
              <w:bottom w:val="single" w:color="auto" w:sz="4" w:space="0"/>
              <w:right w:val="single" w:color="auto" w:sz="4" w:space="0"/>
            </w:tcBorders>
            <w:vAlign w:val="center"/>
          </w:tcPr>
          <w:p w14:paraId="09DA2AFB">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1241" w:type="dxa"/>
            <w:tcBorders>
              <w:top w:val="nil"/>
              <w:left w:val="nil"/>
              <w:bottom w:val="single" w:color="auto" w:sz="4" w:space="0"/>
              <w:right w:val="single" w:color="auto" w:sz="4" w:space="0"/>
            </w:tcBorders>
            <w:vAlign w:val="center"/>
          </w:tcPr>
          <w:p w14:paraId="3515F71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7D56B0CE">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5000≤Z＜10000</w:t>
            </w:r>
          </w:p>
        </w:tc>
        <w:tc>
          <w:tcPr>
            <w:tcW w:w="1628" w:type="dxa"/>
            <w:tcBorders>
              <w:top w:val="nil"/>
              <w:left w:val="nil"/>
              <w:bottom w:val="single" w:color="auto" w:sz="4" w:space="0"/>
              <w:right w:val="single" w:color="auto" w:sz="4" w:space="0"/>
            </w:tcBorders>
            <w:vAlign w:val="center"/>
          </w:tcPr>
          <w:p w14:paraId="4CF7B278">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2000≤Y＜5000</w:t>
            </w:r>
          </w:p>
        </w:tc>
        <w:tc>
          <w:tcPr>
            <w:tcW w:w="1072" w:type="dxa"/>
            <w:tcBorders>
              <w:top w:val="nil"/>
              <w:left w:val="nil"/>
              <w:bottom w:val="single" w:color="auto" w:sz="4" w:space="0"/>
              <w:right w:val="single" w:color="auto" w:sz="4" w:space="0"/>
            </w:tcBorders>
            <w:vAlign w:val="center"/>
          </w:tcPr>
          <w:p w14:paraId="2CDFD3B2">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Y＜2000</w:t>
            </w:r>
          </w:p>
        </w:tc>
      </w:tr>
      <w:tr w14:paraId="2863B859">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center"/>
          </w:tcPr>
          <w:p w14:paraId="1B17E0FF">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物业管理</w:t>
            </w:r>
          </w:p>
        </w:tc>
        <w:tc>
          <w:tcPr>
            <w:tcW w:w="1384" w:type="dxa"/>
            <w:tcBorders>
              <w:top w:val="nil"/>
              <w:left w:val="nil"/>
              <w:bottom w:val="single" w:color="auto" w:sz="4" w:space="0"/>
              <w:right w:val="single" w:color="auto" w:sz="4" w:space="0"/>
            </w:tcBorders>
            <w:vAlign w:val="center"/>
          </w:tcPr>
          <w:p w14:paraId="46C677AE">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1241" w:type="dxa"/>
            <w:tcBorders>
              <w:top w:val="nil"/>
              <w:left w:val="nil"/>
              <w:bottom w:val="single" w:color="auto" w:sz="4" w:space="0"/>
              <w:right w:val="single" w:color="auto" w:sz="4" w:space="0"/>
            </w:tcBorders>
            <w:vAlign w:val="center"/>
          </w:tcPr>
          <w:p w14:paraId="54B310A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886" w:type="dxa"/>
            <w:tcBorders>
              <w:top w:val="nil"/>
              <w:left w:val="nil"/>
              <w:bottom w:val="single" w:color="auto" w:sz="4" w:space="0"/>
              <w:right w:val="single" w:color="auto" w:sz="4" w:space="0"/>
            </w:tcBorders>
            <w:vAlign w:val="center"/>
          </w:tcPr>
          <w:p w14:paraId="0B504FD4">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28" w:type="dxa"/>
            <w:tcBorders>
              <w:top w:val="nil"/>
              <w:left w:val="nil"/>
              <w:bottom w:val="single" w:color="auto" w:sz="4" w:space="0"/>
              <w:right w:val="single" w:color="auto" w:sz="4" w:space="0"/>
            </w:tcBorders>
            <w:vAlign w:val="center"/>
          </w:tcPr>
          <w:p w14:paraId="5BBF6950">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100≤X＜300</w:t>
            </w:r>
          </w:p>
        </w:tc>
        <w:tc>
          <w:tcPr>
            <w:tcW w:w="1072" w:type="dxa"/>
            <w:tcBorders>
              <w:top w:val="nil"/>
              <w:left w:val="nil"/>
              <w:bottom w:val="single" w:color="auto" w:sz="4" w:space="0"/>
              <w:right w:val="single" w:color="auto" w:sz="4" w:space="0"/>
            </w:tcBorders>
            <w:vAlign w:val="center"/>
          </w:tcPr>
          <w:p w14:paraId="7B693FC8">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X＜100</w:t>
            </w:r>
          </w:p>
        </w:tc>
      </w:tr>
      <w:tr w14:paraId="37266D7D">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1BADE2DB">
            <w:pPr>
              <w:widowControl/>
              <w:jc w:val="left"/>
              <w:rPr>
                <w:rFonts w:ascii="宋体" w:hAnsi="宋体" w:cs="宋体"/>
                <w:b/>
                <w:bCs/>
                <w:color w:val="auto"/>
                <w:kern w:val="0"/>
                <w:szCs w:val="21"/>
                <w:highlight w:val="none"/>
              </w:rPr>
            </w:pPr>
          </w:p>
        </w:tc>
        <w:tc>
          <w:tcPr>
            <w:tcW w:w="1384" w:type="dxa"/>
            <w:tcBorders>
              <w:top w:val="nil"/>
              <w:left w:val="nil"/>
              <w:bottom w:val="single" w:color="auto" w:sz="4" w:space="0"/>
              <w:right w:val="single" w:color="auto" w:sz="4" w:space="0"/>
            </w:tcBorders>
            <w:vAlign w:val="center"/>
          </w:tcPr>
          <w:p w14:paraId="46F81C49">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1241" w:type="dxa"/>
            <w:tcBorders>
              <w:top w:val="nil"/>
              <w:left w:val="nil"/>
              <w:bottom w:val="single" w:color="auto" w:sz="4" w:space="0"/>
              <w:right w:val="single" w:color="auto" w:sz="4" w:space="0"/>
            </w:tcBorders>
            <w:vAlign w:val="center"/>
          </w:tcPr>
          <w:p w14:paraId="1E7408D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37D824E2">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1000≤Y＜5000</w:t>
            </w:r>
          </w:p>
        </w:tc>
        <w:tc>
          <w:tcPr>
            <w:tcW w:w="1628" w:type="dxa"/>
            <w:tcBorders>
              <w:top w:val="nil"/>
              <w:left w:val="nil"/>
              <w:bottom w:val="single" w:color="auto" w:sz="4" w:space="0"/>
              <w:right w:val="single" w:color="auto" w:sz="4" w:space="0"/>
            </w:tcBorders>
            <w:vAlign w:val="center"/>
          </w:tcPr>
          <w:p w14:paraId="699B5059">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500≤Y＜1000</w:t>
            </w:r>
          </w:p>
        </w:tc>
        <w:tc>
          <w:tcPr>
            <w:tcW w:w="1072" w:type="dxa"/>
            <w:tcBorders>
              <w:top w:val="nil"/>
              <w:left w:val="nil"/>
              <w:bottom w:val="single" w:color="auto" w:sz="4" w:space="0"/>
              <w:right w:val="single" w:color="auto" w:sz="4" w:space="0"/>
            </w:tcBorders>
            <w:vAlign w:val="center"/>
          </w:tcPr>
          <w:p w14:paraId="49342DA7">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Y＜500</w:t>
            </w:r>
          </w:p>
        </w:tc>
      </w:tr>
      <w:tr w14:paraId="1776AE70">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center"/>
          </w:tcPr>
          <w:p w14:paraId="400C8091">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其他未列明行业</w:t>
            </w:r>
          </w:p>
        </w:tc>
        <w:tc>
          <w:tcPr>
            <w:tcW w:w="1384" w:type="dxa"/>
            <w:tcBorders>
              <w:top w:val="nil"/>
              <w:left w:val="nil"/>
              <w:bottom w:val="single" w:color="auto" w:sz="4" w:space="0"/>
              <w:right w:val="single" w:color="auto" w:sz="4" w:space="0"/>
            </w:tcBorders>
            <w:vAlign w:val="center"/>
          </w:tcPr>
          <w:p w14:paraId="6EDC43F0">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1241" w:type="dxa"/>
            <w:tcBorders>
              <w:top w:val="nil"/>
              <w:left w:val="nil"/>
              <w:bottom w:val="single" w:color="auto" w:sz="4" w:space="0"/>
              <w:right w:val="single" w:color="auto" w:sz="4" w:space="0"/>
            </w:tcBorders>
            <w:vAlign w:val="center"/>
          </w:tcPr>
          <w:p w14:paraId="0F8E737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886" w:type="dxa"/>
            <w:tcBorders>
              <w:top w:val="nil"/>
              <w:left w:val="nil"/>
              <w:bottom w:val="single" w:color="auto" w:sz="4" w:space="0"/>
              <w:right w:val="single" w:color="auto" w:sz="4" w:space="0"/>
            </w:tcBorders>
            <w:vAlign w:val="center"/>
          </w:tcPr>
          <w:p w14:paraId="6C33F907">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100≤X＜300</w:t>
            </w:r>
          </w:p>
        </w:tc>
        <w:tc>
          <w:tcPr>
            <w:tcW w:w="1628" w:type="dxa"/>
            <w:tcBorders>
              <w:top w:val="nil"/>
              <w:left w:val="nil"/>
              <w:bottom w:val="single" w:color="auto" w:sz="4" w:space="0"/>
              <w:right w:val="single" w:color="auto" w:sz="4" w:space="0"/>
            </w:tcBorders>
            <w:vAlign w:val="center"/>
          </w:tcPr>
          <w:p w14:paraId="196D5278">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10≤X＜100</w:t>
            </w:r>
          </w:p>
        </w:tc>
        <w:tc>
          <w:tcPr>
            <w:tcW w:w="1072" w:type="dxa"/>
            <w:tcBorders>
              <w:top w:val="nil"/>
              <w:left w:val="nil"/>
              <w:bottom w:val="single" w:color="auto" w:sz="4" w:space="0"/>
              <w:right w:val="single" w:color="auto" w:sz="4" w:space="0"/>
            </w:tcBorders>
            <w:vAlign w:val="center"/>
          </w:tcPr>
          <w:p w14:paraId="4957439A">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48FF563B">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0C925A98">
            <w:pPr>
              <w:widowControl/>
              <w:jc w:val="left"/>
              <w:rPr>
                <w:rFonts w:ascii="宋体" w:hAnsi="宋体" w:cs="宋体"/>
                <w:b/>
                <w:bCs/>
                <w:color w:val="auto"/>
                <w:kern w:val="0"/>
                <w:szCs w:val="21"/>
                <w:highlight w:val="none"/>
              </w:rPr>
            </w:pPr>
          </w:p>
        </w:tc>
        <w:tc>
          <w:tcPr>
            <w:tcW w:w="1384" w:type="dxa"/>
            <w:tcBorders>
              <w:top w:val="nil"/>
              <w:left w:val="nil"/>
              <w:bottom w:val="single" w:color="auto" w:sz="4" w:space="0"/>
              <w:right w:val="single" w:color="auto" w:sz="4" w:space="0"/>
            </w:tcBorders>
            <w:vAlign w:val="center"/>
          </w:tcPr>
          <w:p w14:paraId="4E358801">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1241" w:type="dxa"/>
            <w:tcBorders>
              <w:top w:val="nil"/>
              <w:left w:val="nil"/>
              <w:bottom w:val="single" w:color="auto" w:sz="4" w:space="0"/>
              <w:right w:val="single" w:color="auto" w:sz="4" w:space="0"/>
            </w:tcBorders>
            <w:vAlign w:val="center"/>
          </w:tcPr>
          <w:p w14:paraId="543F430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886" w:type="dxa"/>
            <w:tcBorders>
              <w:top w:val="nil"/>
              <w:left w:val="nil"/>
              <w:bottom w:val="single" w:color="auto" w:sz="4" w:space="0"/>
              <w:right w:val="single" w:color="auto" w:sz="4" w:space="0"/>
            </w:tcBorders>
            <w:vAlign w:val="center"/>
          </w:tcPr>
          <w:p w14:paraId="45BDFBFC">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8000≤Z＜120000</w:t>
            </w:r>
          </w:p>
        </w:tc>
        <w:tc>
          <w:tcPr>
            <w:tcW w:w="1628" w:type="dxa"/>
            <w:tcBorders>
              <w:top w:val="nil"/>
              <w:left w:val="nil"/>
              <w:bottom w:val="single" w:color="auto" w:sz="4" w:space="0"/>
              <w:right w:val="single" w:color="auto" w:sz="4" w:space="0"/>
            </w:tcBorders>
            <w:vAlign w:val="center"/>
          </w:tcPr>
          <w:p w14:paraId="0003E323">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100≤Z＜8000</w:t>
            </w:r>
          </w:p>
        </w:tc>
        <w:tc>
          <w:tcPr>
            <w:tcW w:w="1072" w:type="dxa"/>
            <w:tcBorders>
              <w:top w:val="nil"/>
              <w:left w:val="nil"/>
              <w:bottom w:val="single" w:color="auto" w:sz="4" w:space="0"/>
              <w:right w:val="single" w:color="auto" w:sz="4" w:space="0"/>
            </w:tcBorders>
            <w:vAlign w:val="center"/>
          </w:tcPr>
          <w:p w14:paraId="116E9AD7">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50108C7A">
        <w:tblPrEx>
          <w:tblCellMar>
            <w:top w:w="0" w:type="dxa"/>
            <w:left w:w="108" w:type="dxa"/>
            <w:bottom w:w="0" w:type="dxa"/>
            <w:right w:w="108" w:type="dxa"/>
          </w:tblCellMar>
        </w:tblPrEx>
        <w:trPr>
          <w:trHeight w:val="225" w:hRule="atLeast"/>
        </w:trPr>
        <w:tc>
          <w:tcPr>
            <w:tcW w:w="1701" w:type="dxa"/>
            <w:tcBorders>
              <w:top w:val="nil"/>
              <w:left w:val="single" w:color="auto" w:sz="4" w:space="0"/>
              <w:bottom w:val="single" w:color="auto" w:sz="4" w:space="0"/>
              <w:right w:val="single" w:color="auto" w:sz="4" w:space="0"/>
            </w:tcBorders>
            <w:vAlign w:val="center"/>
          </w:tcPr>
          <w:p w14:paraId="2F015057">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其他未列明行业</w:t>
            </w:r>
          </w:p>
        </w:tc>
        <w:tc>
          <w:tcPr>
            <w:tcW w:w="1384" w:type="dxa"/>
            <w:tcBorders>
              <w:top w:val="nil"/>
              <w:left w:val="nil"/>
              <w:bottom w:val="single" w:color="auto" w:sz="4" w:space="0"/>
              <w:right w:val="single" w:color="auto" w:sz="4" w:space="0"/>
            </w:tcBorders>
            <w:vAlign w:val="center"/>
          </w:tcPr>
          <w:p w14:paraId="5BD99BC7">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1241" w:type="dxa"/>
            <w:tcBorders>
              <w:top w:val="nil"/>
              <w:left w:val="nil"/>
              <w:bottom w:val="single" w:color="auto" w:sz="4" w:space="0"/>
              <w:right w:val="single" w:color="auto" w:sz="4" w:space="0"/>
            </w:tcBorders>
            <w:vAlign w:val="center"/>
          </w:tcPr>
          <w:p w14:paraId="3EAABD2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886" w:type="dxa"/>
            <w:tcBorders>
              <w:top w:val="nil"/>
              <w:left w:val="nil"/>
              <w:bottom w:val="single" w:color="auto" w:sz="4" w:space="0"/>
              <w:right w:val="single" w:color="auto" w:sz="4" w:space="0"/>
            </w:tcBorders>
            <w:vAlign w:val="center"/>
          </w:tcPr>
          <w:p w14:paraId="6ACF24A7">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100≤X＜300</w:t>
            </w:r>
          </w:p>
        </w:tc>
        <w:tc>
          <w:tcPr>
            <w:tcW w:w="1628" w:type="dxa"/>
            <w:tcBorders>
              <w:top w:val="nil"/>
              <w:left w:val="nil"/>
              <w:bottom w:val="single" w:color="auto" w:sz="4" w:space="0"/>
              <w:right w:val="single" w:color="auto" w:sz="4" w:space="0"/>
            </w:tcBorders>
            <w:vAlign w:val="center"/>
          </w:tcPr>
          <w:p w14:paraId="6C704758">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10≤X＜100</w:t>
            </w:r>
          </w:p>
        </w:tc>
        <w:tc>
          <w:tcPr>
            <w:tcW w:w="1072" w:type="dxa"/>
            <w:tcBorders>
              <w:top w:val="nil"/>
              <w:left w:val="nil"/>
              <w:bottom w:val="single" w:color="auto" w:sz="4" w:space="0"/>
              <w:right w:val="single" w:color="auto" w:sz="4" w:space="0"/>
            </w:tcBorders>
            <w:vAlign w:val="center"/>
          </w:tcPr>
          <w:p w14:paraId="46C44AB3">
            <w:pPr>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X＜10</w:t>
            </w:r>
          </w:p>
        </w:tc>
      </w:tr>
    </w:tbl>
    <w:p w14:paraId="550D4A71">
      <w:pPr>
        <w:ind w:firstLine="527" w:firstLineChars="250"/>
        <w:rPr>
          <w:rFonts w:ascii="宋体" w:hAnsi="宋体" w:cs="宋体"/>
          <w:color w:val="auto"/>
          <w:szCs w:val="21"/>
          <w:highlight w:val="none"/>
        </w:rPr>
      </w:pPr>
      <w:r>
        <w:rPr>
          <w:rFonts w:hint="eastAsia" w:ascii="宋体" w:hAnsi="宋体" w:cs="宋体"/>
          <w:b/>
          <w:bCs/>
          <w:color w:val="auto"/>
          <w:szCs w:val="21"/>
          <w:highlight w:val="none"/>
        </w:rPr>
        <w:t>说明</w:t>
      </w:r>
      <w:r>
        <w:rPr>
          <w:rFonts w:hint="eastAsia" w:ascii="宋体" w:hAnsi="宋体" w:cs="宋体"/>
          <w:color w:val="auto"/>
          <w:szCs w:val="21"/>
          <w:highlight w:val="none"/>
        </w:rPr>
        <w:t>：上述标准参照《关于印发中小企业划型标准规定的通知》（工信部联企业[2011]300号），大型、中型和小型企业须同时满足所列指标的下限，否则下划一档；微型企业只须满足所列指标中的一项即可。</w:t>
      </w:r>
    </w:p>
    <w:p w14:paraId="4E19315E">
      <w:pPr>
        <w:rPr>
          <w:rFonts w:ascii="宋体" w:hAnsi="宋体" w:cs="宋体"/>
          <w:color w:val="auto"/>
          <w:szCs w:val="21"/>
          <w:highlight w:val="none"/>
        </w:rPr>
        <w:sectPr>
          <w:headerReference r:id="rId3" w:type="first"/>
          <w:footerReference r:id="rId5" w:type="first"/>
          <w:footerReference r:id="rId4" w:type="default"/>
          <w:pgSz w:w="11910" w:h="16840"/>
          <w:pgMar w:top="1520" w:right="1500" w:bottom="280" w:left="1680" w:header="720" w:footer="720" w:gutter="0"/>
          <w:pgNumType w:start="0"/>
          <w:cols w:space="720" w:num="1"/>
          <w:titlePg/>
          <w:docGrid w:linePitch="286" w:charSpace="0"/>
        </w:sectPr>
      </w:pPr>
    </w:p>
    <w:p w14:paraId="333BB7D7">
      <w:pPr>
        <w:pStyle w:val="2"/>
        <w:keepNext w:val="0"/>
        <w:keepLines w:val="0"/>
        <w:tabs>
          <w:tab w:val="left" w:pos="0"/>
          <w:tab w:val="left" w:pos="3165"/>
          <w:tab w:val="center" w:pos="4153"/>
        </w:tabs>
        <w:autoSpaceDE w:val="0"/>
        <w:autoSpaceDN w:val="0"/>
        <w:adjustRightInd w:val="0"/>
        <w:spacing w:before="0" w:after="0" w:line="360" w:lineRule="auto"/>
        <w:jc w:val="center"/>
        <w:rPr>
          <w:rFonts w:ascii="宋体" w:hAnsi="宋体" w:cs="宋体"/>
          <w:color w:val="auto"/>
          <w:highlight w:val="none"/>
        </w:rPr>
      </w:pPr>
      <w:bookmarkStart w:id="39" w:name="_Toc179997854"/>
      <w:r>
        <w:rPr>
          <w:rFonts w:hint="eastAsia" w:ascii="宋体" w:hAnsi="宋体" w:cs="宋体"/>
          <w:color w:val="auto"/>
          <w:highlight w:val="none"/>
        </w:rPr>
        <w:t>第三章  投标人须知</w:t>
      </w:r>
      <w:bookmarkEnd w:id="39"/>
    </w:p>
    <w:p w14:paraId="1CD46328">
      <w:pPr>
        <w:jc w:val="center"/>
        <w:rPr>
          <w:rFonts w:ascii="宋体" w:hAnsi="宋体" w:cs="宋体"/>
          <w:b/>
          <w:color w:val="auto"/>
          <w:sz w:val="32"/>
          <w:szCs w:val="32"/>
          <w:highlight w:val="none"/>
        </w:rPr>
      </w:pPr>
      <w:bookmarkStart w:id="40" w:name="_Toc254970667"/>
      <w:bookmarkStart w:id="41" w:name="_Toc254970526"/>
      <w:r>
        <w:rPr>
          <w:rFonts w:hint="eastAsia" w:ascii="宋体" w:hAnsi="宋体" w:cs="宋体"/>
          <w:b/>
          <w:color w:val="auto"/>
          <w:sz w:val="32"/>
          <w:szCs w:val="32"/>
          <w:highlight w:val="none"/>
        </w:rPr>
        <w:t>投标人须知前附表</w:t>
      </w:r>
      <w:bookmarkEnd w:id="40"/>
      <w:bookmarkEnd w:id="41"/>
    </w:p>
    <w:tbl>
      <w:tblPr>
        <w:tblStyle w:val="48"/>
        <w:tblW w:w="9288" w:type="dxa"/>
        <w:tblInd w:w="-1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8531"/>
      </w:tblGrid>
      <w:tr w14:paraId="61800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1C36E565">
            <w:pPr>
              <w:snapToGrid w:val="0"/>
              <w:jc w:val="center"/>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条款号</w:t>
            </w:r>
          </w:p>
        </w:tc>
        <w:tc>
          <w:tcPr>
            <w:tcW w:w="8531" w:type="dxa"/>
            <w:vAlign w:val="center"/>
          </w:tcPr>
          <w:p w14:paraId="6881A5BE">
            <w:pPr>
              <w:snapToGrid w:val="0"/>
              <w:jc w:val="center"/>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编列内容</w:t>
            </w:r>
          </w:p>
        </w:tc>
      </w:tr>
      <w:tr w14:paraId="3E248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15F8ECFC">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w:t>
            </w:r>
          </w:p>
        </w:tc>
        <w:tc>
          <w:tcPr>
            <w:tcW w:w="8531" w:type="dxa"/>
            <w:vAlign w:val="center"/>
          </w:tcPr>
          <w:p w14:paraId="73B00CCF">
            <w:pPr>
              <w:snapToGrid w:val="0"/>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1.投标人的资格要求详见招标公告。</w:t>
            </w:r>
          </w:p>
          <w:p w14:paraId="67D74258">
            <w:pPr>
              <w:snapToGrid w:val="0"/>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2.投标人出现下列情形之一的，不得参加政府采购活动：</w:t>
            </w:r>
          </w:p>
          <w:p w14:paraId="5183DC30">
            <w:pPr>
              <w:snapToGrid w:val="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2.1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14:paraId="3110256C">
            <w:pPr>
              <w:snapToGrid w:val="0"/>
              <w:jc w:val="left"/>
              <w:rPr>
                <w:color w:val="auto"/>
                <w:highlight w:val="none"/>
              </w:rPr>
            </w:pPr>
            <w:r>
              <w:rPr>
                <w:rFonts w:hint="eastAsia" w:cs="宋体" w:asciiTheme="minorEastAsia" w:hAnsiTheme="minorEastAsia" w:eastAsiaTheme="minorEastAsia"/>
                <w:color w:val="auto"/>
                <w:szCs w:val="21"/>
                <w:highlight w:val="none"/>
              </w:rPr>
              <w:t>2.2对在“信用中国”网站（www.creditchina.gov.cn） 、中国政府采购网（www.ccgp.gov.cn）被列入失信被执行人、重大税收违法失信主体、政府采购严重违法失信行为记录名单及其他不符合《中华人民共和国政府采购法》第二十二条规定条件的供应商，不得参与政府采购活动。</w:t>
            </w:r>
          </w:p>
        </w:tc>
      </w:tr>
      <w:tr w14:paraId="0FD3D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3A20DCAF">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6.1</w:t>
            </w:r>
          </w:p>
        </w:tc>
        <w:tc>
          <w:tcPr>
            <w:tcW w:w="8531" w:type="dxa"/>
            <w:vAlign w:val="center"/>
          </w:tcPr>
          <w:p w14:paraId="09A24221">
            <w:pPr>
              <w:pStyle w:val="15"/>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本项目是否接受联合体投标：</w:t>
            </w:r>
          </w:p>
          <w:p w14:paraId="06983C5C">
            <w:pPr>
              <w:pStyle w:val="15"/>
              <w:rPr>
                <w:rFonts w:cs="宋体" w:asciiTheme="minorEastAsia" w:hAnsiTheme="minorEastAsia"/>
                <w:color w:val="auto"/>
                <w:szCs w:val="21"/>
                <w:highlight w:val="none"/>
              </w:rPr>
            </w:pPr>
            <w:r>
              <w:rPr>
                <w:rFonts w:hint="eastAsia" w:cs="宋体" w:asciiTheme="minorEastAsia" w:hAnsiTheme="minorEastAsia" w:eastAsiaTheme="minorEastAsia"/>
                <w:color w:val="auto"/>
                <w:szCs w:val="21"/>
                <w:highlight w:val="none"/>
              </w:rPr>
              <w:t>□本项目接受联合体投标</w:t>
            </w:r>
          </w:p>
          <w:p w14:paraId="0C9A6E7B">
            <w:pPr>
              <w:pStyle w:val="15"/>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bCs/>
                <w:color w:val="auto"/>
                <w:szCs w:val="21"/>
                <w:highlight w:val="none"/>
              </w:rPr>
              <w:sym w:font="Wingdings 2" w:char="0052"/>
            </w:r>
            <w:r>
              <w:rPr>
                <w:rFonts w:hint="eastAsia" w:cs="宋体" w:asciiTheme="minorEastAsia" w:hAnsiTheme="minorEastAsia" w:eastAsiaTheme="minorEastAsia"/>
                <w:b/>
                <w:color w:val="auto"/>
                <w:szCs w:val="21"/>
                <w:highlight w:val="none"/>
              </w:rPr>
              <w:t>本项目不接受联合体投标</w:t>
            </w:r>
          </w:p>
        </w:tc>
      </w:tr>
      <w:tr w14:paraId="67F58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2E3A18DC">
            <w:pPr>
              <w:jc w:val="center"/>
              <w:rPr>
                <w:rFonts w:cs="宋体" w:asciiTheme="minorEastAsia" w:hAnsiTheme="minorEastAsia"/>
                <w:color w:val="auto"/>
                <w:szCs w:val="21"/>
                <w:highlight w:val="none"/>
              </w:rPr>
            </w:pPr>
            <w:r>
              <w:rPr>
                <w:rFonts w:hint="eastAsia" w:cs="宋体" w:asciiTheme="minorEastAsia" w:hAnsiTheme="minorEastAsia"/>
                <w:color w:val="auto"/>
                <w:szCs w:val="21"/>
                <w:highlight w:val="none"/>
              </w:rPr>
              <w:t>6.2</w:t>
            </w:r>
          </w:p>
        </w:tc>
        <w:tc>
          <w:tcPr>
            <w:tcW w:w="8531" w:type="dxa"/>
            <w:vAlign w:val="center"/>
          </w:tcPr>
          <w:p w14:paraId="0357FBBC">
            <w:pPr>
              <w:pStyle w:val="15"/>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对于接受联合体投标</w:t>
            </w:r>
            <w:bookmarkStart w:id="42" w:name="_Hlk54105293"/>
            <w:r>
              <w:rPr>
                <w:rFonts w:hint="eastAsia" w:cs="宋体" w:asciiTheme="minorEastAsia" w:hAnsiTheme="minorEastAsia" w:eastAsiaTheme="minorEastAsia"/>
                <w:b/>
                <w:color w:val="auto"/>
                <w:szCs w:val="21"/>
                <w:highlight w:val="none"/>
              </w:rPr>
              <w:t>的项目，</w:t>
            </w:r>
            <w:bookmarkEnd w:id="42"/>
            <w:r>
              <w:rPr>
                <w:rFonts w:hint="eastAsia" w:cs="宋体" w:asciiTheme="minorEastAsia" w:hAnsiTheme="minorEastAsia" w:eastAsiaTheme="minorEastAsia"/>
                <w:b/>
                <w:color w:val="auto"/>
                <w:szCs w:val="21"/>
                <w:highlight w:val="none"/>
              </w:rPr>
              <w:t>联合体投标要求如下：</w:t>
            </w:r>
          </w:p>
        </w:tc>
      </w:tr>
      <w:tr w14:paraId="49E38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051BFBA7">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7.2</w:t>
            </w:r>
          </w:p>
        </w:tc>
        <w:tc>
          <w:tcPr>
            <w:tcW w:w="8531" w:type="dxa"/>
            <w:vAlign w:val="center"/>
          </w:tcPr>
          <w:p w14:paraId="610ECFE9">
            <w:pPr>
              <w:pStyle w:val="15"/>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sym w:font="Wingdings 2" w:char="0052"/>
            </w:r>
            <w:r>
              <w:rPr>
                <w:rFonts w:hint="eastAsia" w:cs="宋体" w:asciiTheme="minorEastAsia" w:hAnsiTheme="minorEastAsia" w:eastAsiaTheme="minorEastAsia"/>
                <w:b/>
                <w:bCs/>
                <w:color w:val="auto"/>
                <w:szCs w:val="21"/>
                <w:highlight w:val="none"/>
              </w:rPr>
              <w:t>不允许分包</w:t>
            </w:r>
          </w:p>
          <w:p w14:paraId="5F61A3CD">
            <w:pPr>
              <w:pStyle w:val="15"/>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□允许分包</w:t>
            </w:r>
          </w:p>
          <w:p w14:paraId="0F2BD5BA">
            <w:pPr>
              <w:pStyle w:val="15"/>
              <w:rPr>
                <w:rFonts w:cs="宋体" w:asciiTheme="minorEastAsia" w:hAnsiTheme="minorEastAsia" w:eastAsiaTheme="minorEastAsia"/>
                <w:color w:val="auto"/>
                <w:szCs w:val="21"/>
                <w:highlight w:val="none"/>
                <w:u w:val="single"/>
              </w:rPr>
            </w:pPr>
            <w:r>
              <w:rPr>
                <w:rFonts w:hint="eastAsia" w:cs="宋体" w:asciiTheme="minorEastAsia" w:hAnsiTheme="minorEastAsia" w:eastAsiaTheme="minorEastAsia"/>
                <w:color w:val="auto"/>
                <w:szCs w:val="21"/>
                <w:highlight w:val="none"/>
              </w:rPr>
              <w:t>分包内容：</w:t>
            </w:r>
          </w:p>
          <w:p w14:paraId="39CD89D2">
            <w:pPr>
              <w:pStyle w:val="15"/>
              <w:rPr>
                <w:rFonts w:cs="宋体" w:asciiTheme="minorEastAsia" w:hAnsiTheme="minorEastAsia" w:eastAsiaTheme="minorEastAsia"/>
                <w:color w:val="auto"/>
                <w:szCs w:val="21"/>
                <w:highlight w:val="none"/>
                <w:u w:val="single"/>
              </w:rPr>
            </w:pPr>
            <w:r>
              <w:rPr>
                <w:rFonts w:hint="eastAsia" w:cs="宋体" w:asciiTheme="minorEastAsia" w:hAnsiTheme="minorEastAsia" w:eastAsiaTheme="minorEastAsia"/>
                <w:color w:val="auto"/>
                <w:szCs w:val="21"/>
                <w:highlight w:val="none"/>
              </w:rPr>
              <w:t>分包金额或者比例：</w:t>
            </w:r>
            <w:r>
              <w:rPr>
                <w:rFonts w:hint="eastAsia" w:cs="宋体" w:asciiTheme="minorEastAsia" w:hAnsiTheme="minorEastAsia" w:eastAsiaTheme="minorEastAsia"/>
                <w:color w:val="auto"/>
                <w:szCs w:val="21"/>
                <w:highlight w:val="none"/>
                <w:u w:val="single"/>
              </w:rPr>
              <w:t xml:space="preserve">      。</w:t>
            </w:r>
          </w:p>
        </w:tc>
      </w:tr>
      <w:tr w14:paraId="4AB67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Merge w:val="restart"/>
            <w:vAlign w:val="center"/>
          </w:tcPr>
          <w:p w14:paraId="295C4CBA">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11.2</w:t>
            </w:r>
          </w:p>
        </w:tc>
        <w:tc>
          <w:tcPr>
            <w:tcW w:w="8531" w:type="dxa"/>
            <w:vAlign w:val="center"/>
          </w:tcPr>
          <w:p w14:paraId="3EAC4AE6">
            <w:pPr>
              <w:snapToGrid w:val="0"/>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sym w:font="Wingdings 2" w:char="0052"/>
            </w:r>
            <w:r>
              <w:rPr>
                <w:rFonts w:hint="eastAsia" w:cs="宋体" w:asciiTheme="minorEastAsia" w:hAnsiTheme="minorEastAsia" w:eastAsiaTheme="minorEastAsia"/>
                <w:b/>
                <w:bCs/>
                <w:color w:val="auto"/>
                <w:szCs w:val="21"/>
                <w:highlight w:val="none"/>
              </w:rPr>
              <w:t>不组织现场考察</w:t>
            </w:r>
          </w:p>
          <w:p w14:paraId="67297CA2">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□组织现场考察：</w:t>
            </w:r>
          </w:p>
          <w:p w14:paraId="35E03991">
            <w:pPr>
              <w:snapToGrid w:val="0"/>
              <w:rPr>
                <w:rFonts w:cs="宋体" w:asciiTheme="minorEastAsia" w:hAnsiTheme="minorEastAsia" w:eastAsiaTheme="minorEastAsia"/>
                <w:color w:val="auto"/>
                <w:szCs w:val="21"/>
                <w:highlight w:val="none"/>
                <w:u w:val="single"/>
              </w:rPr>
            </w:pPr>
            <w:r>
              <w:rPr>
                <w:rFonts w:hint="eastAsia" w:cs="宋体" w:asciiTheme="minorEastAsia" w:hAnsiTheme="minorEastAsia" w:eastAsiaTheme="minorEastAsia"/>
                <w:color w:val="auto"/>
                <w:szCs w:val="21"/>
                <w:highlight w:val="none"/>
              </w:rPr>
              <w:t>集中时间：年  月  日 时</w:t>
            </w:r>
            <w:r>
              <w:rPr>
                <w:rFonts w:hint="eastAsia" w:cs="宋体" w:asciiTheme="minorEastAsia" w:hAnsiTheme="minorEastAsia" w:eastAsiaTheme="minorEastAsia"/>
                <w:color w:val="auto"/>
                <w:szCs w:val="21"/>
                <w:highlight w:val="none"/>
                <w:u w:val="single"/>
              </w:rPr>
              <w:t xml:space="preserve"> 分</w:t>
            </w:r>
            <w:r>
              <w:rPr>
                <w:rFonts w:hint="eastAsia" w:cs="宋体" w:asciiTheme="minorEastAsia" w:hAnsiTheme="minorEastAsia" w:eastAsiaTheme="minorEastAsia"/>
                <w:color w:val="auto"/>
                <w:szCs w:val="21"/>
                <w:highlight w:val="none"/>
              </w:rPr>
              <w:t>，逾期后果自负。集中地点：</w:t>
            </w:r>
          </w:p>
          <w:p w14:paraId="010E3A72">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联系人：        ；联系电话：</w:t>
            </w:r>
          </w:p>
        </w:tc>
      </w:tr>
      <w:tr w14:paraId="4DE33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Merge w:val="continue"/>
            <w:vAlign w:val="center"/>
          </w:tcPr>
          <w:p w14:paraId="06935EA3">
            <w:pPr>
              <w:jc w:val="center"/>
              <w:rPr>
                <w:rFonts w:cs="宋体" w:asciiTheme="minorEastAsia" w:hAnsiTheme="minorEastAsia" w:eastAsiaTheme="minorEastAsia"/>
                <w:color w:val="auto"/>
                <w:szCs w:val="21"/>
                <w:highlight w:val="none"/>
              </w:rPr>
            </w:pPr>
          </w:p>
        </w:tc>
        <w:tc>
          <w:tcPr>
            <w:tcW w:w="8531" w:type="dxa"/>
            <w:vAlign w:val="center"/>
          </w:tcPr>
          <w:p w14:paraId="5ADE9AA8">
            <w:pPr>
              <w:snapToGrid w:val="0"/>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sym w:font="Wingdings 2" w:char="0052"/>
            </w:r>
            <w:r>
              <w:rPr>
                <w:rFonts w:hint="eastAsia" w:cs="宋体" w:asciiTheme="minorEastAsia" w:hAnsiTheme="minorEastAsia" w:eastAsiaTheme="minorEastAsia"/>
                <w:b/>
                <w:bCs/>
                <w:color w:val="auto"/>
                <w:szCs w:val="21"/>
                <w:highlight w:val="none"/>
              </w:rPr>
              <w:t>不组织召开开标前答疑会</w:t>
            </w:r>
          </w:p>
          <w:p w14:paraId="0A1192A2">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□组织召开开标前答疑会</w:t>
            </w:r>
          </w:p>
          <w:p w14:paraId="4F5AFB7D">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会议开始时间：年月日 时</w:t>
            </w:r>
            <w:r>
              <w:rPr>
                <w:rFonts w:hint="eastAsia" w:cs="宋体" w:asciiTheme="minorEastAsia" w:hAnsiTheme="minorEastAsia" w:eastAsiaTheme="minorEastAsia"/>
                <w:color w:val="auto"/>
                <w:szCs w:val="21"/>
                <w:highlight w:val="none"/>
                <w:u w:val="single"/>
              </w:rPr>
              <w:t xml:space="preserve">  分</w:t>
            </w:r>
            <w:r>
              <w:rPr>
                <w:rFonts w:hint="eastAsia" w:cs="宋体" w:asciiTheme="minorEastAsia" w:hAnsiTheme="minorEastAsia" w:eastAsiaTheme="minorEastAsia"/>
                <w:color w:val="auto"/>
                <w:szCs w:val="21"/>
                <w:highlight w:val="none"/>
              </w:rPr>
              <w:t>，逾期后果自负。会议地点：</w:t>
            </w:r>
          </w:p>
        </w:tc>
      </w:tr>
      <w:tr w14:paraId="57F7E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16D73190">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13</w:t>
            </w:r>
            <w:r>
              <w:rPr>
                <w:rFonts w:hint="eastAsia" w:cs="宋体" w:asciiTheme="minorEastAsia" w:hAnsiTheme="minorEastAsia"/>
                <w:color w:val="auto"/>
                <w:szCs w:val="21"/>
                <w:highlight w:val="none"/>
              </w:rPr>
              <w:t>（1）</w:t>
            </w:r>
          </w:p>
        </w:tc>
        <w:tc>
          <w:tcPr>
            <w:tcW w:w="8531" w:type="dxa"/>
            <w:vAlign w:val="center"/>
          </w:tcPr>
          <w:p w14:paraId="189F02A9">
            <w:pPr>
              <w:snapToGrid w:val="0"/>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资格证明文件</w:t>
            </w:r>
          </w:p>
          <w:p w14:paraId="3666875A">
            <w:pPr>
              <w:snapToGrid w:val="0"/>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color w:val="auto"/>
                <w:szCs w:val="21"/>
                <w:highlight w:val="none"/>
              </w:rPr>
              <w:t>1.投标人有效的主体资格证明文件：投标人为法人或者其他组织的，提供营业执照等证明文件原件扫描件（如营业执照或者事业单位法人证书或者登记证书等），投标人为自然人的，提供身份证原件扫描件；（</w:t>
            </w:r>
            <w:r>
              <w:rPr>
                <w:rFonts w:hint="eastAsia" w:cs="宋体" w:asciiTheme="minorEastAsia" w:hAnsiTheme="minorEastAsia" w:eastAsiaTheme="minorEastAsia"/>
                <w:b/>
                <w:color w:val="auto"/>
                <w:szCs w:val="21"/>
                <w:highlight w:val="none"/>
              </w:rPr>
              <w:t>必须提供，否则按无效投标处理</w:t>
            </w:r>
            <w:r>
              <w:rPr>
                <w:rFonts w:hint="eastAsia" w:cs="宋体" w:asciiTheme="minorEastAsia" w:hAnsiTheme="minorEastAsia" w:eastAsiaTheme="minorEastAsia"/>
                <w:color w:val="auto"/>
                <w:szCs w:val="21"/>
                <w:highlight w:val="none"/>
              </w:rPr>
              <w:t>）</w:t>
            </w:r>
          </w:p>
          <w:p w14:paraId="5DEA4E5A">
            <w:pPr>
              <w:snapToGrid w:val="0"/>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color w:val="auto"/>
                <w:szCs w:val="21"/>
                <w:highlight w:val="none"/>
              </w:rPr>
              <w:t>2.政府采购供应商资格信用承诺函（格式后附）；（</w:t>
            </w:r>
            <w:r>
              <w:rPr>
                <w:rFonts w:hint="eastAsia" w:cs="宋体" w:asciiTheme="minorEastAsia" w:hAnsiTheme="minorEastAsia" w:eastAsiaTheme="minorEastAsia"/>
                <w:b/>
                <w:color w:val="auto"/>
                <w:szCs w:val="21"/>
                <w:highlight w:val="none"/>
              </w:rPr>
              <w:t>必须提供，否则按无效投标处理</w:t>
            </w:r>
            <w:r>
              <w:rPr>
                <w:rFonts w:hint="eastAsia" w:cs="宋体" w:asciiTheme="minorEastAsia" w:hAnsiTheme="minorEastAsia" w:eastAsiaTheme="minorEastAsia"/>
                <w:color w:val="auto"/>
                <w:szCs w:val="21"/>
                <w:highlight w:val="none"/>
              </w:rPr>
              <w:t>）</w:t>
            </w:r>
          </w:p>
          <w:p w14:paraId="16F1D963">
            <w:pPr>
              <w:snapToGrid w:val="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3.投标人直接控股、管理关系信息表（格式后附）；（</w:t>
            </w:r>
            <w:r>
              <w:rPr>
                <w:rFonts w:hint="eastAsia" w:cs="宋体" w:asciiTheme="minorEastAsia" w:hAnsiTheme="minorEastAsia" w:eastAsiaTheme="minorEastAsia"/>
                <w:b/>
                <w:color w:val="auto"/>
                <w:szCs w:val="21"/>
                <w:highlight w:val="none"/>
              </w:rPr>
              <w:t>必须提供，否则按无效投标处理</w:t>
            </w:r>
            <w:r>
              <w:rPr>
                <w:rFonts w:hint="eastAsia" w:cs="宋体" w:asciiTheme="minorEastAsia" w:hAnsiTheme="minorEastAsia" w:eastAsiaTheme="minorEastAsia"/>
                <w:color w:val="auto"/>
                <w:szCs w:val="21"/>
                <w:highlight w:val="none"/>
              </w:rPr>
              <w:t>）</w:t>
            </w:r>
          </w:p>
          <w:p w14:paraId="0EC39112">
            <w:pPr>
              <w:snapToGrid w:val="0"/>
              <w:jc w:val="left"/>
              <w:rPr>
                <w:rFonts w:ascii="宋体" w:hAnsi="宋体" w:cs="宋体"/>
                <w:color w:val="auto"/>
                <w:szCs w:val="21"/>
                <w:highlight w:val="none"/>
              </w:rPr>
            </w:pPr>
            <w:r>
              <w:rPr>
                <w:rFonts w:hint="eastAsia" w:cs="宋体" w:asciiTheme="minorEastAsia" w:hAnsiTheme="minorEastAsia" w:eastAsiaTheme="minorEastAsia"/>
                <w:color w:val="auto"/>
                <w:szCs w:val="21"/>
                <w:highlight w:val="none"/>
              </w:rPr>
              <w:t>4.</w:t>
            </w:r>
            <w:r>
              <w:rPr>
                <w:rFonts w:hint="eastAsia" w:ascii="宋体" w:hAnsi="宋体" w:cs="宋体"/>
                <w:bCs/>
                <w:color w:val="auto"/>
                <w:szCs w:val="21"/>
                <w:highlight w:val="none"/>
              </w:rPr>
              <w:t>供应商的中小企业证明材料</w:t>
            </w:r>
            <w:r>
              <w:rPr>
                <w:rFonts w:hint="eastAsia" w:ascii="宋体" w:hAnsi="宋体" w:cs="宋体"/>
                <w:b/>
                <w:color w:val="auto"/>
                <w:szCs w:val="21"/>
                <w:highlight w:val="none"/>
              </w:rPr>
              <w:t>【</w:t>
            </w:r>
            <w:r>
              <w:rPr>
                <w:rFonts w:hint="eastAsia" w:ascii="宋体" w:hAnsi="宋体" w:cs="宋体"/>
                <w:color w:val="auto"/>
                <w:szCs w:val="21"/>
                <w:highlight w:val="none"/>
              </w:rPr>
              <w:t>中小企业声明函（格式后附）或由省级以上监狱管理局、戒毒管理局（含新疆生产建设兵团）出具的属于监狱企业的证明文件或残疾人福利性单位声明函（格式后附）；</w:t>
            </w:r>
            <w:r>
              <w:rPr>
                <w:rFonts w:hint="eastAsia" w:ascii="宋体" w:hAnsi="宋体" w:cs="宋体"/>
                <w:b/>
                <w:color w:val="auto"/>
                <w:szCs w:val="21"/>
                <w:highlight w:val="none"/>
              </w:rPr>
              <w:t>】</w:t>
            </w:r>
            <w:r>
              <w:rPr>
                <w:rFonts w:hint="eastAsia" w:ascii="宋体" w:hAnsi="宋体" w:cs="宋体"/>
                <w:color w:val="auto"/>
                <w:szCs w:val="21"/>
                <w:highlight w:val="none"/>
              </w:rPr>
              <w:t>（</w:t>
            </w:r>
            <w:r>
              <w:rPr>
                <w:rFonts w:hint="eastAsia" w:ascii="宋体" w:hAnsi="宋体" w:cs="宋体"/>
                <w:b/>
                <w:bCs/>
                <w:color w:val="auto"/>
                <w:szCs w:val="21"/>
                <w:highlight w:val="none"/>
              </w:rPr>
              <w:t>必须提供</w:t>
            </w:r>
            <w:r>
              <w:rPr>
                <w:rFonts w:hint="eastAsia" w:cs="宋体" w:asciiTheme="minorEastAsia" w:hAnsiTheme="minorEastAsia" w:eastAsiaTheme="minorEastAsia"/>
                <w:b/>
                <w:color w:val="auto"/>
                <w:szCs w:val="21"/>
                <w:highlight w:val="none"/>
              </w:rPr>
              <w:t>，否则按无效投标处理</w:t>
            </w:r>
            <w:r>
              <w:rPr>
                <w:rFonts w:hint="eastAsia" w:ascii="宋体" w:hAnsi="宋体" w:cs="宋体"/>
                <w:color w:val="auto"/>
                <w:szCs w:val="21"/>
                <w:highlight w:val="none"/>
              </w:rPr>
              <w:t>）</w:t>
            </w:r>
          </w:p>
          <w:p w14:paraId="06A8F9CC">
            <w:pPr>
              <w:snapToGrid w:val="0"/>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color w:val="auto"/>
                <w:szCs w:val="21"/>
                <w:highlight w:val="none"/>
              </w:rPr>
              <w:t>5.投标声明（格式后附）；（</w:t>
            </w:r>
            <w:r>
              <w:rPr>
                <w:rFonts w:hint="eastAsia" w:cs="宋体" w:asciiTheme="minorEastAsia" w:hAnsiTheme="minorEastAsia" w:eastAsiaTheme="minorEastAsia"/>
                <w:b/>
                <w:color w:val="auto"/>
                <w:szCs w:val="21"/>
                <w:highlight w:val="none"/>
              </w:rPr>
              <w:t>必须提供，否则按无效投标处理</w:t>
            </w:r>
            <w:r>
              <w:rPr>
                <w:rFonts w:hint="eastAsia" w:cs="宋体" w:asciiTheme="minorEastAsia" w:hAnsiTheme="minorEastAsia" w:eastAsiaTheme="minorEastAsia"/>
                <w:color w:val="auto"/>
                <w:szCs w:val="21"/>
                <w:highlight w:val="none"/>
              </w:rPr>
              <w:t>）</w:t>
            </w:r>
          </w:p>
          <w:p w14:paraId="24DD3026">
            <w:pPr>
              <w:snapToGrid w:val="0"/>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color w:val="auto"/>
                <w:szCs w:val="21"/>
                <w:highlight w:val="none"/>
              </w:rPr>
              <w:t>6.除招标文件规定必须提供以外，投标人认为需要提供的与资格审查相关的其他证明材料。</w:t>
            </w:r>
          </w:p>
          <w:p w14:paraId="64CA9D66">
            <w:pPr>
              <w:snapToGrid w:val="0"/>
              <w:jc w:val="left"/>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t>注：1.以上标明“必须提供”的材料属于扫描件的，必须加盖投标人电子签章，否则按无效投标</w:t>
            </w:r>
            <w:r>
              <w:rPr>
                <w:rFonts w:hint="eastAsia" w:cs="宋体" w:asciiTheme="minorEastAsia" w:hAnsiTheme="minorEastAsia" w:eastAsiaTheme="minorEastAsia"/>
                <w:b/>
                <w:color w:val="auto"/>
                <w:szCs w:val="21"/>
                <w:highlight w:val="none"/>
              </w:rPr>
              <w:t>处理。</w:t>
            </w:r>
          </w:p>
          <w:p w14:paraId="0B2D2D19">
            <w:pPr>
              <w:snapToGrid w:val="0"/>
              <w:ind w:firstLine="422" w:firstLineChars="200"/>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bCs/>
                <w:color w:val="auto"/>
                <w:szCs w:val="21"/>
                <w:highlight w:val="none"/>
              </w:rPr>
              <w:t>2.分公司参加投标的，应当取得总公司授权。</w:t>
            </w:r>
          </w:p>
        </w:tc>
      </w:tr>
      <w:tr w14:paraId="1AA39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300D299A">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13</w:t>
            </w:r>
            <w:r>
              <w:rPr>
                <w:rFonts w:hint="eastAsia" w:cs="宋体" w:asciiTheme="minorEastAsia" w:hAnsiTheme="minorEastAsia"/>
                <w:color w:val="auto"/>
                <w:szCs w:val="21"/>
                <w:highlight w:val="none"/>
              </w:rPr>
              <w:t>（2）</w:t>
            </w:r>
          </w:p>
        </w:tc>
        <w:tc>
          <w:tcPr>
            <w:tcW w:w="8531" w:type="dxa"/>
            <w:vAlign w:val="center"/>
          </w:tcPr>
          <w:p w14:paraId="52AEE522">
            <w:pPr>
              <w:snapToGrid w:val="0"/>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报价文件：</w:t>
            </w:r>
          </w:p>
          <w:p w14:paraId="542DE400">
            <w:pPr>
              <w:tabs>
                <w:tab w:val="left" w:pos="459"/>
              </w:tabs>
              <w:snapToGrid w:val="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1.投标函（格式后附）；</w:t>
            </w:r>
            <w:r>
              <w:rPr>
                <w:rFonts w:hint="eastAsia" w:cs="宋体" w:asciiTheme="minorEastAsia" w:hAnsiTheme="minorEastAsia" w:eastAsiaTheme="minorEastAsia"/>
                <w:b/>
                <w:color w:val="auto"/>
                <w:szCs w:val="21"/>
                <w:highlight w:val="none"/>
              </w:rPr>
              <w:t>（必须提供，否则按无效投标处理）</w:t>
            </w:r>
          </w:p>
          <w:p w14:paraId="75BC555C">
            <w:pPr>
              <w:snapToGrid w:val="0"/>
              <w:rPr>
                <w:rFonts w:cs="宋体" w:asciiTheme="minorEastAsia" w:hAnsiTheme="minorEastAsia" w:eastAsiaTheme="minorEastAsia"/>
                <w:color w:val="auto"/>
                <w:szCs w:val="21"/>
                <w:highlight w:val="none"/>
              </w:rPr>
            </w:pPr>
            <w:r>
              <w:rPr>
                <w:rFonts w:hint="eastAsia" w:ascii="宋体" w:hAnsi="宋体" w:cs="宋体"/>
                <w:color w:val="auto"/>
                <w:highlight w:val="none"/>
              </w:rPr>
              <w:t>2</w:t>
            </w:r>
            <w:r>
              <w:rPr>
                <w:rFonts w:hint="eastAsia" w:cs="宋体" w:asciiTheme="minorEastAsia" w:hAnsiTheme="minorEastAsia" w:eastAsiaTheme="minorEastAsia"/>
                <w:color w:val="auto"/>
                <w:szCs w:val="21"/>
                <w:highlight w:val="none"/>
              </w:rPr>
              <w:t>.开标一览表（格式后附）；</w:t>
            </w:r>
            <w:r>
              <w:rPr>
                <w:rFonts w:hint="eastAsia" w:cs="宋体" w:asciiTheme="minorEastAsia" w:hAnsiTheme="minorEastAsia" w:eastAsiaTheme="minorEastAsia"/>
                <w:b/>
                <w:bCs/>
                <w:color w:val="auto"/>
                <w:szCs w:val="21"/>
                <w:highlight w:val="none"/>
              </w:rPr>
              <w:t>（必须提供，否则作无效投标处理）</w:t>
            </w:r>
          </w:p>
          <w:p w14:paraId="52754DA7">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3.投标报价明细表（格式后附）；</w:t>
            </w:r>
            <w:r>
              <w:rPr>
                <w:rFonts w:hint="eastAsia" w:cs="宋体" w:asciiTheme="minorEastAsia" w:hAnsiTheme="minorEastAsia" w:eastAsiaTheme="minorEastAsia"/>
                <w:b/>
                <w:bCs/>
                <w:color w:val="auto"/>
                <w:szCs w:val="21"/>
                <w:highlight w:val="none"/>
              </w:rPr>
              <w:t>（必须提供，否则作无效投标处理）</w:t>
            </w:r>
          </w:p>
          <w:p w14:paraId="20F88B95">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4.投标人针对报价需要说明的其他文件和说明；（如有，请提供格式自拟）</w:t>
            </w:r>
          </w:p>
          <w:p w14:paraId="57CA8028">
            <w:pPr>
              <w:tabs>
                <w:tab w:val="left" w:pos="459"/>
              </w:tabs>
              <w:snapToGrid w:val="0"/>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注：投标函、</w:t>
            </w:r>
            <w:r>
              <w:rPr>
                <w:rFonts w:hint="eastAsia" w:ascii="宋体" w:hAnsi="宋体" w:cs="宋体"/>
                <w:b/>
                <w:bCs/>
                <w:color w:val="auto"/>
                <w:highlight w:val="none"/>
              </w:rPr>
              <w:t>投标报价明细表、</w:t>
            </w:r>
            <w:r>
              <w:rPr>
                <w:rFonts w:hint="eastAsia" w:cs="宋体" w:asciiTheme="minorEastAsia" w:hAnsiTheme="minorEastAsia" w:eastAsiaTheme="minorEastAsia"/>
                <w:b/>
                <w:color w:val="auto"/>
                <w:szCs w:val="21"/>
                <w:highlight w:val="none"/>
              </w:rPr>
              <w:t>开标一览表必须由投标人的法定代表人或者委托代理人在规定签章处逐一签字或者电子签名并加盖投标人</w:t>
            </w:r>
            <w:r>
              <w:rPr>
                <w:rFonts w:hint="eastAsia" w:cs="宋体" w:asciiTheme="minorEastAsia" w:hAnsiTheme="minorEastAsia" w:eastAsiaTheme="minorEastAsia"/>
                <w:b/>
                <w:bCs/>
                <w:color w:val="auto"/>
                <w:highlight w:val="none"/>
              </w:rPr>
              <w:t>电子签章</w:t>
            </w:r>
            <w:r>
              <w:rPr>
                <w:rFonts w:hint="eastAsia" w:cs="宋体" w:asciiTheme="minorEastAsia" w:hAnsiTheme="minorEastAsia" w:eastAsiaTheme="minorEastAsia"/>
                <w:b/>
                <w:color w:val="auto"/>
                <w:szCs w:val="21"/>
                <w:highlight w:val="none"/>
              </w:rPr>
              <w:t>，否则按无效投标处理。</w:t>
            </w:r>
          </w:p>
        </w:tc>
      </w:tr>
      <w:tr w14:paraId="00960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5CAC1FEA">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13</w:t>
            </w:r>
            <w:r>
              <w:rPr>
                <w:rFonts w:hint="eastAsia" w:cs="宋体" w:asciiTheme="minorEastAsia" w:hAnsiTheme="minorEastAsia"/>
                <w:color w:val="auto"/>
                <w:szCs w:val="21"/>
                <w:highlight w:val="none"/>
              </w:rPr>
              <w:t>（3）</w:t>
            </w:r>
          </w:p>
        </w:tc>
        <w:tc>
          <w:tcPr>
            <w:tcW w:w="8531" w:type="dxa"/>
            <w:vAlign w:val="center"/>
          </w:tcPr>
          <w:p w14:paraId="4C497E00">
            <w:pPr>
              <w:snapToGrid w:val="0"/>
              <w:jc w:val="left"/>
              <w:rPr>
                <w:rFonts w:ascii="宋体" w:hAnsi="宋体" w:cs="宋体"/>
                <w:b/>
                <w:color w:val="auto"/>
                <w:szCs w:val="21"/>
                <w:highlight w:val="none"/>
              </w:rPr>
            </w:pPr>
            <w:r>
              <w:rPr>
                <w:rFonts w:hint="eastAsia" w:ascii="宋体" w:hAnsi="宋体" w:cs="宋体"/>
                <w:b/>
                <w:color w:val="auto"/>
                <w:szCs w:val="21"/>
                <w:highlight w:val="none"/>
              </w:rPr>
              <w:t>商务和技术文件：</w:t>
            </w:r>
          </w:p>
          <w:p w14:paraId="0A5EE4EE">
            <w:pPr>
              <w:snapToGrid w:val="0"/>
              <w:jc w:val="left"/>
              <w:rPr>
                <w:rFonts w:ascii="宋体" w:hAnsi="宋体" w:cs="宋体"/>
                <w:color w:val="auto"/>
                <w:szCs w:val="21"/>
                <w:highlight w:val="none"/>
              </w:rPr>
            </w:pPr>
            <w:r>
              <w:rPr>
                <w:rFonts w:hint="eastAsia" w:ascii="宋体" w:hAnsi="宋体" w:cs="宋体"/>
                <w:color w:val="auto"/>
                <w:szCs w:val="21"/>
                <w:highlight w:val="none"/>
              </w:rPr>
              <w:t>1.无串通投标行为的承诺函（格式后附）；（</w:t>
            </w:r>
            <w:r>
              <w:rPr>
                <w:rFonts w:hint="eastAsia" w:ascii="宋体" w:hAnsi="宋体" w:cs="宋体"/>
                <w:b/>
                <w:color w:val="auto"/>
                <w:szCs w:val="21"/>
                <w:highlight w:val="none"/>
              </w:rPr>
              <w:t>必须提供，否则按无效投标处理</w:t>
            </w:r>
            <w:r>
              <w:rPr>
                <w:rFonts w:hint="eastAsia" w:ascii="宋体" w:hAnsi="宋体" w:cs="宋体"/>
                <w:color w:val="auto"/>
                <w:szCs w:val="21"/>
                <w:highlight w:val="none"/>
              </w:rPr>
              <w:t>）</w:t>
            </w:r>
          </w:p>
          <w:p w14:paraId="08CE0E3D">
            <w:pPr>
              <w:snapToGrid w:val="0"/>
              <w:jc w:val="left"/>
              <w:rPr>
                <w:rFonts w:ascii="宋体" w:hAnsi="宋体" w:cs="宋体"/>
                <w:b/>
                <w:color w:val="auto"/>
                <w:kern w:val="0"/>
                <w:szCs w:val="21"/>
                <w:highlight w:val="none"/>
              </w:rPr>
            </w:pPr>
            <w:r>
              <w:rPr>
                <w:rFonts w:hint="eastAsia" w:ascii="宋体" w:hAnsi="宋体" w:cs="宋体"/>
                <w:color w:val="auto"/>
                <w:szCs w:val="21"/>
                <w:highlight w:val="none"/>
              </w:rPr>
              <w:t>2.</w:t>
            </w:r>
            <w:r>
              <w:rPr>
                <w:rFonts w:hint="eastAsia" w:ascii="宋体" w:hAnsi="宋体" w:cs="宋体"/>
                <w:color w:val="auto"/>
                <w:kern w:val="0"/>
                <w:szCs w:val="21"/>
                <w:highlight w:val="none"/>
              </w:rPr>
              <w:t>投标保证金提交凭证</w:t>
            </w:r>
            <w:r>
              <w:rPr>
                <w:rFonts w:hint="eastAsia" w:ascii="宋体" w:hAnsi="宋体" w:cs="宋体"/>
                <w:color w:val="auto"/>
                <w:szCs w:val="21"/>
                <w:highlight w:val="none"/>
              </w:rPr>
              <w:t>原件扫描件</w:t>
            </w:r>
            <w:r>
              <w:rPr>
                <w:rFonts w:hint="eastAsia" w:ascii="宋体" w:hAnsi="宋体" w:cs="宋体"/>
                <w:color w:val="auto"/>
                <w:kern w:val="0"/>
                <w:szCs w:val="21"/>
                <w:highlight w:val="none"/>
              </w:rPr>
              <w:t>；</w:t>
            </w:r>
            <w:r>
              <w:rPr>
                <w:rFonts w:hint="eastAsia" w:ascii="宋体" w:hAnsi="宋体" w:cs="宋体"/>
                <w:b/>
                <w:color w:val="auto"/>
                <w:kern w:val="0"/>
                <w:szCs w:val="21"/>
                <w:highlight w:val="none"/>
              </w:rPr>
              <w:t>（如要求提交投标保证金的则必须提供，否则按无效投标处理）</w:t>
            </w:r>
          </w:p>
          <w:p w14:paraId="4677AD18">
            <w:pPr>
              <w:snapToGrid w:val="0"/>
              <w:jc w:val="left"/>
              <w:rPr>
                <w:rFonts w:ascii="宋体" w:hAnsi="宋体" w:cs="宋体"/>
                <w:color w:val="auto"/>
                <w:szCs w:val="21"/>
                <w:highlight w:val="none"/>
              </w:rPr>
            </w:pPr>
            <w:r>
              <w:rPr>
                <w:rFonts w:hint="eastAsia" w:ascii="宋体" w:hAnsi="宋体" w:cs="宋体"/>
                <w:color w:val="auto"/>
                <w:kern w:val="0"/>
                <w:szCs w:val="21"/>
                <w:highlight w:val="none"/>
              </w:rPr>
              <w:t>3.</w:t>
            </w:r>
            <w:r>
              <w:rPr>
                <w:rFonts w:hint="eastAsia" w:ascii="宋体" w:hAnsi="宋体" w:cs="宋体"/>
                <w:color w:val="auto"/>
                <w:szCs w:val="21"/>
                <w:highlight w:val="none"/>
              </w:rPr>
              <w:t>法定代表人身份证明及法定代表人有效身份证正反面原件扫描件（格式后附）；（</w:t>
            </w:r>
            <w:r>
              <w:rPr>
                <w:rFonts w:hint="eastAsia" w:ascii="宋体" w:hAnsi="宋体" w:cs="宋体"/>
                <w:b/>
                <w:bCs/>
                <w:color w:val="auto"/>
                <w:szCs w:val="21"/>
                <w:highlight w:val="none"/>
              </w:rPr>
              <w:t>除自然人投标外</w:t>
            </w:r>
            <w:r>
              <w:rPr>
                <w:rFonts w:hint="eastAsia" w:ascii="宋体" w:hAnsi="宋体" w:cs="宋体"/>
                <w:b/>
                <w:color w:val="auto"/>
                <w:szCs w:val="21"/>
                <w:highlight w:val="none"/>
              </w:rPr>
              <w:t>必须提供，否则按无效投标处理</w:t>
            </w:r>
            <w:r>
              <w:rPr>
                <w:rFonts w:hint="eastAsia" w:ascii="宋体" w:hAnsi="宋体" w:cs="宋体"/>
                <w:color w:val="auto"/>
                <w:szCs w:val="21"/>
                <w:highlight w:val="none"/>
              </w:rPr>
              <w:t>）</w:t>
            </w:r>
          </w:p>
          <w:p w14:paraId="33112562">
            <w:pPr>
              <w:snapToGrid w:val="0"/>
              <w:jc w:val="left"/>
              <w:rPr>
                <w:rFonts w:ascii="宋体" w:hAnsi="宋体" w:cs="宋体"/>
                <w:color w:val="auto"/>
                <w:szCs w:val="21"/>
                <w:highlight w:val="none"/>
              </w:rPr>
            </w:pPr>
            <w:r>
              <w:rPr>
                <w:rFonts w:hint="eastAsia" w:ascii="宋体" w:hAnsi="宋体" w:cs="宋体"/>
                <w:color w:val="auto"/>
                <w:szCs w:val="21"/>
                <w:highlight w:val="none"/>
              </w:rPr>
              <w:t>4.授权委托书及委托代理人有效身份证正反面原件扫描件（格式后附）；（</w:t>
            </w:r>
            <w:r>
              <w:rPr>
                <w:rFonts w:hint="eastAsia" w:ascii="宋体" w:hAnsi="宋体" w:cs="宋体"/>
                <w:b/>
                <w:color w:val="auto"/>
                <w:szCs w:val="21"/>
                <w:highlight w:val="none"/>
              </w:rPr>
              <w:t>委托时必须提供，否则按无效投标处理</w:t>
            </w:r>
            <w:r>
              <w:rPr>
                <w:rFonts w:hint="eastAsia" w:ascii="宋体" w:hAnsi="宋体" w:cs="宋体"/>
                <w:color w:val="auto"/>
                <w:szCs w:val="21"/>
                <w:highlight w:val="none"/>
              </w:rPr>
              <w:t>）</w:t>
            </w:r>
          </w:p>
          <w:p w14:paraId="4AA5277F">
            <w:pPr>
              <w:snapToGrid w:val="0"/>
              <w:jc w:val="left"/>
              <w:rPr>
                <w:rFonts w:ascii="宋体" w:hAnsi="宋体" w:cs="宋体"/>
                <w:color w:val="auto"/>
                <w:szCs w:val="21"/>
                <w:highlight w:val="none"/>
              </w:rPr>
            </w:pPr>
            <w:r>
              <w:rPr>
                <w:rFonts w:hint="eastAsia" w:ascii="宋体" w:hAnsi="宋体" w:cs="宋体"/>
                <w:color w:val="auto"/>
                <w:szCs w:val="21"/>
                <w:highlight w:val="none"/>
              </w:rPr>
              <w:t>5.商务要求偏离表（格式后附）；（</w:t>
            </w:r>
            <w:r>
              <w:rPr>
                <w:rFonts w:hint="eastAsia" w:ascii="宋体" w:hAnsi="宋体" w:cs="宋体"/>
                <w:b/>
                <w:color w:val="auto"/>
                <w:szCs w:val="21"/>
                <w:highlight w:val="none"/>
              </w:rPr>
              <w:t>必须提供，否则按无效投标处理</w:t>
            </w:r>
            <w:r>
              <w:rPr>
                <w:rFonts w:hint="eastAsia" w:ascii="宋体" w:hAnsi="宋体" w:cs="宋体"/>
                <w:color w:val="auto"/>
                <w:szCs w:val="21"/>
                <w:highlight w:val="none"/>
              </w:rPr>
              <w:t>）</w:t>
            </w:r>
          </w:p>
          <w:p w14:paraId="493D6D87">
            <w:pPr>
              <w:snapToGrid w:val="0"/>
              <w:jc w:val="left"/>
              <w:rPr>
                <w:rFonts w:ascii="宋体" w:hAnsi="宋体" w:cs="宋体"/>
                <w:color w:val="auto"/>
                <w:szCs w:val="21"/>
                <w:highlight w:val="none"/>
              </w:rPr>
            </w:pPr>
            <w:r>
              <w:rPr>
                <w:rFonts w:hint="eastAsia" w:ascii="宋体" w:hAnsi="宋体" w:cs="宋体"/>
                <w:color w:val="auto"/>
                <w:szCs w:val="21"/>
                <w:highlight w:val="none"/>
              </w:rPr>
              <w:t>6.</w:t>
            </w:r>
            <w:r>
              <w:rPr>
                <w:rFonts w:hint="eastAsia" w:ascii="宋体" w:hAnsi="宋体" w:cs="宋体"/>
                <w:color w:val="auto"/>
                <w:szCs w:val="21"/>
                <w:highlight w:val="none"/>
                <w:lang w:val="en-US" w:eastAsia="zh-CN"/>
              </w:rPr>
              <w:t>技术</w:t>
            </w:r>
            <w:r>
              <w:rPr>
                <w:rFonts w:hint="eastAsia" w:ascii="宋体" w:hAnsi="宋体" w:cs="宋体"/>
                <w:color w:val="auto"/>
                <w:szCs w:val="21"/>
                <w:highlight w:val="none"/>
              </w:rPr>
              <w:t>服务要求偏离表（格式后附）；（</w:t>
            </w:r>
            <w:r>
              <w:rPr>
                <w:rFonts w:hint="eastAsia" w:ascii="宋体" w:hAnsi="宋体" w:cs="宋体"/>
                <w:b/>
                <w:color w:val="auto"/>
                <w:szCs w:val="21"/>
                <w:highlight w:val="none"/>
              </w:rPr>
              <w:t>必须提供，否则按无效投标处理</w:t>
            </w:r>
            <w:r>
              <w:rPr>
                <w:rFonts w:hint="eastAsia" w:ascii="宋体" w:hAnsi="宋体" w:cs="宋体"/>
                <w:color w:val="auto"/>
                <w:szCs w:val="21"/>
                <w:highlight w:val="none"/>
              </w:rPr>
              <w:t>）</w:t>
            </w:r>
          </w:p>
          <w:p w14:paraId="17DC2961">
            <w:pPr>
              <w:snapToGrid w:val="0"/>
              <w:jc w:val="left"/>
              <w:rPr>
                <w:rFonts w:hint="eastAsia" w:ascii="宋体" w:hAnsi="宋体" w:cs="宋体"/>
                <w:color w:val="auto"/>
                <w:szCs w:val="21"/>
                <w:highlight w:val="none"/>
              </w:rPr>
            </w:pPr>
            <w:r>
              <w:rPr>
                <w:rFonts w:hint="eastAsia" w:ascii="宋体" w:hAnsi="宋体" w:cs="宋体"/>
                <w:bCs/>
                <w:color w:val="auto"/>
                <w:szCs w:val="21"/>
                <w:highlight w:val="none"/>
              </w:rPr>
              <w:t>7.</w:t>
            </w:r>
            <w:r>
              <w:rPr>
                <w:rFonts w:hint="eastAsia" w:cs="宋体" w:asciiTheme="minorEastAsia" w:hAnsiTheme="minorEastAsia" w:eastAsiaTheme="minorEastAsia"/>
                <w:color w:val="auto"/>
                <w:szCs w:val="21"/>
                <w:highlight w:val="none"/>
              </w:rPr>
              <w:t xml:space="preserve"> 项目经理</w:t>
            </w:r>
            <w:r>
              <w:rPr>
                <w:rFonts w:hint="eastAsia" w:ascii="宋体" w:hAnsi="宋体" w:cs="宋体"/>
                <w:bCs/>
                <w:color w:val="auto"/>
                <w:szCs w:val="21"/>
                <w:highlight w:val="none"/>
              </w:rPr>
              <w:t>的身份证、中专或以上学历证书</w:t>
            </w:r>
            <w:r>
              <w:rPr>
                <w:rFonts w:hint="eastAsia" w:ascii="宋体" w:hAnsi="宋体" w:cs="宋体"/>
                <w:b/>
                <w:color w:val="auto"/>
                <w:szCs w:val="21"/>
                <w:highlight w:val="none"/>
              </w:rPr>
              <w:t>和</w:t>
            </w:r>
            <w:r>
              <w:rPr>
                <w:rFonts w:hint="eastAsia" w:ascii="宋体" w:hAnsi="宋体" w:cs="宋体"/>
                <w:bCs/>
                <w:color w:val="auto"/>
                <w:szCs w:val="21"/>
                <w:highlight w:val="none"/>
              </w:rPr>
              <w:t>具备2018年1月1日以来的动迁工作经历相关证明材料</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b/>
                <w:bCs/>
                <w:color w:val="auto"/>
                <w:szCs w:val="21"/>
                <w:highlight w:val="none"/>
              </w:rPr>
              <w:t>证明材料为</w:t>
            </w:r>
            <w:r>
              <w:rPr>
                <w:rFonts w:hint="eastAsia" w:cs="宋体" w:asciiTheme="minorEastAsia" w:hAnsiTheme="minorEastAsia" w:eastAsiaTheme="minorEastAsia"/>
                <w:bCs/>
                <w:color w:val="auto"/>
                <w:szCs w:val="21"/>
                <w:highlight w:val="none"/>
              </w:rPr>
              <w:t>：</w:t>
            </w:r>
            <w:r>
              <w:rPr>
                <w:rFonts w:hint="eastAsia" w:cs="宋体" w:asciiTheme="minorEastAsia" w:hAnsiTheme="minorEastAsia" w:eastAsiaTheme="minorEastAsia"/>
                <w:bCs/>
                <w:color w:val="auto"/>
                <w:szCs w:val="21"/>
                <w:highlight w:val="none"/>
                <w:u w:val="single"/>
              </w:rPr>
              <w:t>动迁单位2018年1月1日以来与政府拆迁业务实施部门签订的动迁委托协议</w:t>
            </w:r>
            <w:r>
              <w:rPr>
                <w:rFonts w:hint="eastAsia" w:ascii="宋体" w:hAnsi="宋体" w:cs="宋体"/>
                <w:b w:val="0"/>
                <w:bCs w:val="0"/>
                <w:color w:val="auto"/>
                <w:highlight w:val="none"/>
                <w:u w:val="single"/>
              </w:rPr>
              <w:t>或劳务派遣协议</w:t>
            </w:r>
            <w:r>
              <w:rPr>
                <w:rFonts w:hint="eastAsia" w:cs="宋体" w:asciiTheme="minorEastAsia" w:hAnsiTheme="minorEastAsia" w:eastAsiaTheme="minorEastAsia"/>
                <w:bCs/>
                <w:color w:val="auto"/>
                <w:szCs w:val="21"/>
                <w:highlight w:val="none"/>
                <w:u w:val="single"/>
              </w:rPr>
              <w:t xml:space="preserve"> </w:t>
            </w:r>
            <w:r>
              <w:rPr>
                <w:rFonts w:hint="eastAsia" w:cs="宋体" w:asciiTheme="minorEastAsia" w:hAnsiTheme="minorEastAsia" w:eastAsiaTheme="minorEastAsia"/>
                <w:b/>
                <w:bCs/>
                <w:color w:val="auto"/>
                <w:szCs w:val="21"/>
                <w:highlight w:val="none"/>
              </w:rPr>
              <w:t>和</w:t>
            </w:r>
            <w:r>
              <w:rPr>
                <w:rFonts w:hint="eastAsia" w:cs="宋体" w:asciiTheme="minorEastAsia" w:hAnsiTheme="minorEastAsia" w:eastAsiaTheme="minorEastAsia"/>
                <w:bCs/>
                <w:color w:val="auto"/>
                <w:szCs w:val="21"/>
                <w:highlight w:val="none"/>
                <w:u w:val="single"/>
              </w:rPr>
              <w:t xml:space="preserve"> 动迁单位出具的证明或动迁单位与项目经理本人签订的劳动（务）合同</w:t>
            </w:r>
            <w:r>
              <w:rPr>
                <w:rFonts w:hint="eastAsia" w:cs="宋体" w:asciiTheme="minorEastAsia" w:hAnsiTheme="minorEastAsia" w:eastAsiaTheme="minorEastAsia"/>
                <w:bCs/>
                <w:color w:val="auto"/>
                <w:szCs w:val="21"/>
                <w:highlight w:val="none"/>
              </w:rPr>
              <w:t>；证明材料中的动迁单位可以不是投标单位。</w:t>
            </w:r>
            <w:r>
              <w:rPr>
                <w:rFonts w:hint="eastAsia" w:cs="宋体" w:asciiTheme="minorEastAsia" w:hAnsiTheme="minorEastAsia" w:eastAsiaTheme="minorEastAsia"/>
                <w:color w:val="auto"/>
                <w:szCs w:val="21"/>
                <w:highlight w:val="none"/>
              </w:rPr>
              <w:t>】</w:t>
            </w:r>
            <w:r>
              <w:rPr>
                <w:rFonts w:hint="eastAsia" w:ascii="宋体" w:hAnsi="宋体" w:cs="宋体"/>
                <w:color w:val="auto"/>
                <w:szCs w:val="21"/>
                <w:highlight w:val="none"/>
              </w:rPr>
              <w:t>（</w:t>
            </w:r>
            <w:r>
              <w:rPr>
                <w:rFonts w:hint="eastAsia" w:ascii="宋体" w:hAnsi="宋体" w:cs="宋体"/>
                <w:b/>
                <w:color w:val="auto"/>
                <w:szCs w:val="21"/>
                <w:highlight w:val="none"/>
              </w:rPr>
              <w:t>必须提供，否则按无效投标处理</w:t>
            </w:r>
            <w:r>
              <w:rPr>
                <w:rFonts w:hint="eastAsia" w:ascii="宋体" w:hAnsi="宋体" w:cs="宋体"/>
                <w:color w:val="auto"/>
                <w:szCs w:val="21"/>
                <w:highlight w:val="none"/>
              </w:rPr>
              <w:t>）</w:t>
            </w:r>
          </w:p>
          <w:p w14:paraId="2437C525">
            <w:pPr>
              <w:snapToGrid w:val="0"/>
              <w:jc w:val="left"/>
              <w:rPr>
                <w:rFonts w:ascii="宋体" w:hAnsi="宋体" w:cs="宋体"/>
                <w:color w:val="auto"/>
                <w:szCs w:val="21"/>
                <w:highlight w:val="none"/>
              </w:rPr>
            </w:pPr>
            <w:r>
              <w:rPr>
                <w:rFonts w:hint="eastAsia" w:ascii="宋体" w:hAnsi="宋体" w:cs="宋体"/>
                <w:bCs/>
                <w:color w:val="auto"/>
                <w:szCs w:val="21"/>
                <w:highlight w:val="none"/>
              </w:rPr>
              <w:t>8.</w:t>
            </w:r>
            <w:r>
              <w:rPr>
                <w:rFonts w:hint="eastAsia" w:ascii="宋体" w:hAnsi="宋体" w:cs="宋体"/>
                <w:color w:val="auto"/>
                <w:szCs w:val="21"/>
                <w:highlight w:val="none"/>
              </w:rPr>
              <w:t>动迁服务方案（包含但不限于动迁实施方案、动迁工作重点难点分析及相对应解决措施、针对本项目动迁管理制度方案、动迁服务质量保证措施等，具体可参考招标文件“第二章 采购需求”及“第四章 评标方法及评标标准”相关要求，格式自拟）</w:t>
            </w:r>
          </w:p>
          <w:p w14:paraId="265AFF7F">
            <w:pPr>
              <w:pStyle w:val="17"/>
              <w:spacing w:line="240" w:lineRule="auto"/>
              <w:rPr>
                <w:rFonts w:ascii="宋体" w:hAnsi="宋体" w:cs="宋体"/>
                <w:color w:val="auto"/>
                <w:kern w:val="2"/>
                <w:sz w:val="21"/>
                <w:szCs w:val="21"/>
                <w:highlight w:val="none"/>
              </w:rPr>
            </w:pPr>
            <w:r>
              <w:rPr>
                <w:rFonts w:hint="eastAsia" w:ascii="宋体" w:hAnsi="宋体" w:cs="宋体"/>
                <w:color w:val="auto"/>
                <w:kern w:val="2"/>
                <w:sz w:val="21"/>
                <w:szCs w:val="21"/>
                <w:highlight w:val="none"/>
              </w:rPr>
              <w:t>9.</w:t>
            </w:r>
            <w:r>
              <w:rPr>
                <w:rFonts w:hint="eastAsia" w:ascii="宋体" w:hAnsi="宋体" w:cs="宋体"/>
                <w:color w:val="auto"/>
                <w:sz w:val="21"/>
                <w:szCs w:val="21"/>
                <w:highlight w:val="none"/>
              </w:rPr>
              <w:t>应急处理突发事件应对措施</w:t>
            </w:r>
            <w:r>
              <w:rPr>
                <w:rFonts w:hint="eastAsia" w:ascii="宋体" w:hAnsi="宋体" w:cs="宋体"/>
                <w:color w:val="auto"/>
                <w:kern w:val="2"/>
                <w:sz w:val="21"/>
                <w:szCs w:val="21"/>
                <w:highlight w:val="none"/>
              </w:rPr>
              <w:t>（具体可参考招标文件</w:t>
            </w:r>
            <w:r>
              <w:rPr>
                <w:rFonts w:hint="eastAsia" w:ascii="宋体" w:hAnsi="宋体" w:cs="宋体"/>
                <w:color w:val="auto"/>
                <w:sz w:val="21"/>
                <w:szCs w:val="21"/>
                <w:highlight w:val="none"/>
              </w:rPr>
              <w:t>“第二章 采购需求”及“第四章 评标方法及评标标准”相关要求，</w:t>
            </w:r>
            <w:r>
              <w:rPr>
                <w:rFonts w:hint="eastAsia" w:ascii="宋体" w:hAnsi="宋体" w:cs="宋体"/>
                <w:color w:val="auto"/>
                <w:kern w:val="2"/>
                <w:sz w:val="21"/>
                <w:szCs w:val="21"/>
                <w:highlight w:val="none"/>
              </w:rPr>
              <w:t>格式自拟</w:t>
            </w:r>
            <w:r>
              <w:rPr>
                <w:rFonts w:hint="eastAsia" w:ascii="宋体" w:hAnsi="宋体" w:cs="宋体"/>
                <w:color w:val="auto"/>
                <w:sz w:val="21"/>
                <w:szCs w:val="21"/>
                <w:highlight w:val="none"/>
              </w:rPr>
              <w:t>）；</w:t>
            </w:r>
          </w:p>
          <w:p w14:paraId="22A4469C">
            <w:pPr>
              <w:snapToGrid w:val="0"/>
              <w:jc w:val="left"/>
              <w:rPr>
                <w:rFonts w:ascii="宋体" w:hAnsi="宋体" w:cs="宋体"/>
                <w:color w:val="auto"/>
                <w:szCs w:val="21"/>
                <w:highlight w:val="none"/>
              </w:rPr>
            </w:pPr>
            <w:r>
              <w:rPr>
                <w:rFonts w:hint="eastAsia" w:ascii="宋体" w:hAnsi="宋体" w:cs="宋体"/>
                <w:color w:val="auto"/>
                <w:szCs w:val="21"/>
                <w:highlight w:val="none"/>
              </w:rPr>
              <w:t>10.项目实施人员一览表（参考格式后附）；（</w:t>
            </w:r>
            <w:r>
              <w:rPr>
                <w:rFonts w:hint="eastAsia" w:ascii="宋体" w:hAnsi="宋体" w:cs="宋体"/>
                <w:b/>
                <w:color w:val="auto"/>
                <w:szCs w:val="21"/>
                <w:highlight w:val="none"/>
              </w:rPr>
              <w:t>必须提供，否则按无效投标处理</w:t>
            </w:r>
            <w:r>
              <w:rPr>
                <w:rFonts w:hint="eastAsia" w:ascii="宋体" w:hAnsi="宋体" w:cs="宋体"/>
                <w:color w:val="auto"/>
                <w:szCs w:val="21"/>
                <w:highlight w:val="none"/>
              </w:rPr>
              <w:t>）</w:t>
            </w:r>
          </w:p>
          <w:p w14:paraId="4FBBC64F">
            <w:pPr>
              <w:snapToGrid w:val="0"/>
              <w:jc w:val="left"/>
              <w:rPr>
                <w:rFonts w:ascii="宋体" w:hAnsi="宋体" w:cs="宋体"/>
                <w:color w:val="auto"/>
                <w:szCs w:val="21"/>
                <w:highlight w:val="none"/>
              </w:rPr>
            </w:pPr>
            <w:r>
              <w:rPr>
                <w:rFonts w:hint="eastAsia" w:ascii="宋体" w:hAnsi="宋体" w:cs="宋体"/>
                <w:color w:val="auto"/>
                <w:szCs w:val="21"/>
                <w:highlight w:val="none"/>
              </w:rPr>
              <w:t>11.投标人对本项目的合理化建议和改进措施（格式自拟）；</w:t>
            </w:r>
          </w:p>
          <w:p w14:paraId="2212B2E1">
            <w:pPr>
              <w:snapToGrid w:val="0"/>
              <w:jc w:val="left"/>
              <w:rPr>
                <w:rFonts w:ascii="宋体" w:hAnsi="宋体" w:cs="宋体"/>
                <w:color w:val="auto"/>
                <w:szCs w:val="21"/>
                <w:highlight w:val="none"/>
              </w:rPr>
            </w:pPr>
            <w:r>
              <w:rPr>
                <w:rFonts w:hint="eastAsia" w:ascii="宋体" w:hAnsi="宋体" w:cs="宋体"/>
                <w:color w:val="auto"/>
                <w:szCs w:val="21"/>
                <w:highlight w:val="none"/>
              </w:rPr>
              <w:t xml:space="preserve">12.除招标文件规定必须提供以外，投标人认为需要提供的其他材料（格式自拟）。（投标人根据“第二章 采购需求”及“第四章 评标方法及评标标准”提供有关证明材料，如有）。 </w:t>
            </w:r>
          </w:p>
          <w:p w14:paraId="36B4275E">
            <w:pPr>
              <w:snapToGrid w:val="0"/>
              <w:jc w:val="left"/>
              <w:rPr>
                <w:rFonts w:ascii="宋体" w:hAnsi="宋体" w:cs="宋体"/>
                <w:b/>
                <w:color w:val="auto"/>
                <w:szCs w:val="21"/>
                <w:highlight w:val="none"/>
              </w:rPr>
            </w:pPr>
            <w:r>
              <w:rPr>
                <w:rFonts w:hint="eastAsia" w:ascii="宋体" w:hAnsi="宋体" w:cs="宋体"/>
                <w:b/>
                <w:bCs/>
                <w:color w:val="auto"/>
                <w:szCs w:val="21"/>
                <w:highlight w:val="none"/>
              </w:rPr>
              <w:t>注：以上标明“必须提供”的材料属于扫描件的，必须加盖</w:t>
            </w:r>
            <w:r>
              <w:rPr>
                <w:rFonts w:hint="eastAsia" w:ascii="宋体" w:hAnsi="宋体" w:cs="宋体"/>
                <w:b/>
                <w:color w:val="auto"/>
                <w:szCs w:val="21"/>
                <w:highlight w:val="none"/>
              </w:rPr>
              <w:t>投标人</w:t>
            </w:r>
            <w:r>
              <w:rPr>
                <w:rFonts w:hint="eastAsia" w:ascii="宋体" w:hAnsi="宋体" w:cs="宋体"/>
                <w:b/>
                <w:bCs/>
                <w:color w:val="auto"/>
                <w:highlight w:val="none"/>
              </w:rPr>
              <w:t>电子签章</w:t>
            </w:r>
            <w:r>
              <w:rPr>
                <w:rFonts w:hint="eastAsia" w:ascii="宋体" w:hAnsi="宋体" w:cs="宋体"/>
                <w:b/>
                <w:bCs/>
                <w:color w:val="auto"/>
                <w:szCs w:val="21"/>
                <w:highlight w:val="none"/>
              </w:rPr>
              <w:t>，否则按无效投标</w:t>
            </w:r>
            <w:r>
              <w:rPr>
                <w:rFonts w:hint="eastAsia" w:ascii="宋体" w:hAnsi="宋体" w:cs="宋体"/>
                <w:b/>
                <w:color w:val="auto"/>
                <w:szCs w:val="21"/>
                <w:highlight w:val="none"/>
              </w:rPr>
              <w:t>处理</w:t>
            </w:r>
            <w:r>
              <w:rPr>
                <w:rFonts w:hint="eastAsia" w:ascii="宋体" w:hAnsi="宋体" w:cs="宋体"/>
                <w:b/>
                <w:bCs/>
                <w:color w:val="auto"/>
                <w:szCs w:val="21"/>
                <w:highlight w:val="none"/>
              </w:rPr>
              <w:t>。</w:t>
            </w:r>
          </w:p>
        </w:tc>
      </w:tr>
      <w:tr w14:paraId="51AC7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3DB9C674">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16</w:t>
            </w:r>
            <w:bookmarkStart w:id="43" w:name="_Hlt19194067"/>
            <w:bookmarkStart w:id="44" w:name="_Hlt19693759"/>
            <w:bookmarkStart w:id="45" w:name="_Hlt19194066"/>
            <w:bookmarkStart w:id="46" w:name="_Hlt19693758"/>
            <w:r>
              <w:rPr>
                <w:rFonts w:hint="eastAsia" w:cs="宋体" w:asciiTheme="minorEastAsia" w:hAnsiTheme="minorEastAsia" w:eastAsiaTheme="minorEastAsia"/>
                <w:color w:val="auto"/>
                <w:szCs w:val="21"/>
                <w:highlight w:val="none"/>
              </w:rPr>
              <w:t>.</w:t>
            </w:r>
            <w:bookmarkEnd w:id="43"/>
            <w:bookmarkEnd w:id="44"/>
            <w:bookmarkEnd w:id="45"/>
            <w:bookmarkEnd w:id="46"/>
            <w:r>
              <w:rPr>
                <w:rFonts w:hint="eastAsia" w:cs="宋体" w:asciiTheme="minorEastAsia" w:hAnsiTheme="minorEastAsia" w:eastAsiaTheme="minorEastAsia"/>
                <w:color w:val="auto"/>
                <w:szCs w:val="21"/>
                <w:highlight w:val="none"/>
              </w:rPr>
              <w:t>2</w:t>
            </w:r>
          </w:p>
        </w:tc>
        <w:tc>
          <w:tcPr>
            <w:tcW w:w="8531" w:type="dxa"/>
            <w:vAlign w:val="center"/>
          </w:tcPr>
          <w:p w14:paraId="39DEE0A2">
            <w:pPr>
              <w:rPr>
                <w:rFonts w:ascii="宋体" w:hAnsi="宋体" w:cs="宋体"/>
                <w:b/>
                <w:i/>
                <w:color w:val="auto"/>
                <w:szCs w:val="21"/>
                <w:highlight w:val="none"/>
              </w:rPr>
            </w:pPr>
            <w:r>
              <w:rPr>
                <w:rFonts w:hint="eastAsia" w:ascii="宋体" w:hAnsi="宋体" w:cs="宋体"/>
                <w:color w:val="auto"/>
                <w:szCs w:val="21"/>
                <w:highlight w:val="none"/>
              </w:rPr>
              <w:t>投标报价是履行合同的最终价格。具体详见招标文件第二章采购需求“合同价格构成”及“报价方式”。</w:t>
            </w:r>
          </w:p>
        </w:tc>
      </w:tr>
      <w:tr w14:paraId="314F3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7EE63C95">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 xml:space="preserve">16.4 </w:t>
            </w:r>
          </w:p>
        </w:tc>
        <w:tc>
          <w:tcPr>
            <w:tcW w:w="8531" w:type="dxa"/>
            <w:vAlign w:val="center"/>
          </w:tcPr>
          <w:p w14:paraId="7F32A2B8">
            <w:pPr>
              <w:ind w:firstLine="210" w:firstLineChars="100"/>
              <w:rPr>
                <w:rFonts w:ascii="宋体" w:hAnsi="宋体" w:cs="宋体"/>
                <w:color w:val="auto"/>
                <w:kern w:val="0"/>
                <w:szCs w:val="21"/>
                <w:highlight w:val="none"/>
              </w:rPr>
            </w:pPr>
            <w:r>
              <w:rPr>
                <w:rFonts w:hint="eastAsia" w:ascii="宋体" w:hAnsi="宋体" w:cs="宋体"/>
                <w:color w:val="auto"/>
                <w:szCs w:val="21"/>
                <w:highlight w:val="none"/>
              </w:rPr>
              <w:t>本项目有效报价范围：</w:t>
            </w:r>
            <w:r>
              <w:rPr>
                <w:rFonts w:hint="eastAsia" w:ascii="宋体" w:hAnsi="宋体" w:cs="宋体"/>
                <w:color w:val="auto"/>
                <w:kern w:val="0"/>
                <w:szCs w:val="21"/>
                <w:highlight w:val="none"/>
              </w:rPr>
              <w:t xml:space="preserve"> 30.00%—100.00%（含本数）。超出有效报价范围的报价无效。</w:t>
            </w:r>
          </w:p>
        </w:tc>
      </w:tr>
      <w:tr w14:paraId="15333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723F05FA">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17.2</w:t>
            </w:r>
          </w:p>
        </w:tc>
        <w:tc>
          <w:tcPr>
            <w:tcW w:w="8531" w:type="dxa"/>
            <w:vAlign w:val="center"/>
          </w:tcPr>
          <w:p w14:paraId="43FD4713">
            <w:pPr>
              <w:snapToGrid w:val="0"/>
              <w:rPr>
                <w:rFonts w:ascii="宋体" w:hAnsi="宋体" w:cs="宋体"/>
                <w:color w:val="auto"/>
                <w:szCs w:val="21"/>
                <w:highlight w:val="none"/>
              </w:rPr>
            </w:pPr>
            <w:r>
              <w:rPr>
                <w:rFonts w:hint="eastAsia" w:ascii="宋体" w:hAnsi="宋体" w:cs="宋体"/>
                <w:color w:val="auto"/>
                <w:szCs w:val="21"/>
                <w:highlight w:val="none"/>
              </w:rPr>
              <w:t>投标有效期：自投标截止之日起</w:t>
            </w:r>
            <w:r>
              <w:rPr>
                <w:rFonts w:hint="eastAsia" w:ascii="宋体" w:hAnsi="宋体" w:cs="宋体"/>
                <w:color w:val="auto"/>
                <w:szCs w:val="21"/>
                <w:highlight w:val="none"/>
                <w:u w:val="single"/>
              </w:rPr>
              <w:t>60</w:t>
            </w:r>
            <w:r>
              <w:rPr>
                <w:rFonts w:hint="eastAsia" w:ascii="宋体" w:hAnsi="宋体" w:cs="宋体"/>
                <w:color w:val="auto"/>
                <w:szCs w:val="21"/>
                <w:highlight w:val="none"/>
              </w:rPr>
              <w:t>日。</w:t>
            </w:r>
          </w:p>
        </w:tc>
      </w:tr>
      <w:tr w14:paraId="5AA7B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658E48FB">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18.1</w:t>
            </w:r>
          </w:p>
        </w:tc>
        <w:tc>
          <w:tcPr>
            <w:tcW w:w="8531" w:type="dxa"/>
            <w:vAlign w:val="center"/>
          </w:tcPr>
          <w:p w14:paraId="44E5DAF2">
            <w:pPr>
              <w:autoSpaceDE w:val="0"/>
              <w:autoSpaceDN w:val="0"/>
              <w:snapToGrid w:val="0"/>
              <w:textAlignment w:val="bottom"/>
              <w:rPr>
                <w:rFonts w:ascii="宋体" w:hAnsi="宋体" w:cs="宋体"/>
                <w:color w:val="auto"/>
                <w:szCs w:val="21"/>
                <w:highlight w:val="none"/>
              </w:rPr>
            </w:pPr>
            <w:r>
              <w:rPr>
                <w:rFonts w:hint="eastAsia" w:ascii="宋体" w:hAnsi="宋体" w:cs="宋体"/>
                <w:color w:val="auto"/>
                <w:szCs w:val="21"/>
                <w:highlight w:val="none"/>
              </w:rPr>
              <w:t>□本项目不收取投标保证金。</w:t>
            </w:r>
          </w:p>
          <w:p w14:paraId="140FD306">
            <w:pPr>
              <w:rPr>
                <w:rFonts w:ascii="宋体" w:hAnsi="宋体" w:cs="宋体"/>
                <w:b/>
                <w:color w:val="auto"/>
                <w:szCs w:val="21"/>
                <w:highlight w:val="none"/>
              </w:rPr>
            </w:pPr>
            <w:r>
              <w:rPr>
                <w:rFonts w:hint="eastAsia" w:ascii="宋体" w:hAnsi="宋体" w:cs="宋体"/>
                <w:b/>
                <w:color w:val="auto"/>
                <w:szCs w:val="21"/>
                <w:highlight w:val="none"/>
              </w:rPr>
              <w:sym w:font="Wingdings 2" w:char="0052"/>
            </w:r>
            <w:r>
              <w:rPr>
                <w:rFonts w:hint="eastAsia" w:ascii="宋体" w:hAnsi="宋体" w:cs="宋体"/>
                <w:b/>
                <w:color w:val="auto"/>
                <w:szCs w:val="21"/>
                <w:highlight w:val="none"/>
              </w:rPr>
              <w:t>本项目收取投标保证金。</w:t>
            </w:r>
          </w:p>
          <w:p w14:paraId="4A3A39E0">
            <w:pPr>
              <w:ind w:firstLine="211" w:firstLineChars="100"/>
              <w:rPr>
                <w:rFonts w:ascii="宋体" w:hAnsi="宋体" w:cs="宋体"/>
                <w:color w:val="auto"/>
                <w:szCs w:val="21"/>
                <w:highlight w:val="none"/>
              </w:rPr>
            </w:pPr>
            <w:r>
              <w:rPr>
                <w:rFonts w:hint="eastAsia" w:ascii="宋体" w:hAnsi="宋体" w:cs="宋体"/>
                <w:b/>
                <w:bCs/>
                <w:color w:val="auto"/>
                <w:szCs w:val="21"/>
                <w:highlight w:val="none"/>
              </w:rPr>
              <w:t>投标保证金金额：伍万元整</w:t>
            </w:r>
            <w:r>
              <w:rPr>
                <w:rFonts w:hint="eastAsia" w:asciiTheme="minorEastAsia" w:hAnsiTheme="minorEastAsia" w:eastAsiaTheme="minorEastAsia"/>
                <w:b/>
                <w:bCs/>
                <w:color w:val="auto"/>
                <w:szCs w:val="21"/>
                <w:highlight w:val="none"/>
              </w:rPr>
              <w:t>（￥</w:t>
            </w:r>
            <w:r>
              <w:rPr>
                <w:rFonts w:hint="eastAsia" w:asciiTheme="minorEastAsia" w:hAnsiTheme="minorEastAsia" w:eastAsiaTheme="minorEastAsia"/>
                <w:b/>
                <w:bCs/>
                <w:color w:val="auto"/>
                <w:szCs w:val="21"/>
                <w:highlight w:val="none"/>
                <w:u w:val="single"/>
              </w:rPr>
              <w:t>50000.00元</w:t>
            </w:r>
            <w:r>
              <w:rPr>
                <w:rFonts w:hint="eastAsia" w:asciiTheme="minorEastAsia" w:hAnsiTheme="minorEastAsia" w:eastAsiaTheme="minorEastAsia"/>
                <w:color w:val="auto"/>
                <w:szCs w:val="21"/>
                <w:highlight w:val="none"/>
              </w:rPr>
              <w:t>）</w:t>
            </w:r>
            <w:r>
              <w:rPr>
                <w:rFonts w:hint="eastAsia" w:ascii="宋体" w:hAnsi="宋体" w:cs="宋体"/>
                <w:color w:val="auto"/>
                <w:szCs w:val="21"/>
                <w:highlight w:val="none"/>
              </w:rPr>
              <w:t xml:space="preserve">；（须足额缴纳） </w:t>
            </w:r>
          </w:p>
          <w:p w14:paraId="2FE8BAA7">
            <w:pPr>
              <w:autoSpaceDE w:val="0"/>
              <w:autoSpaceDN w:val="0"/>
              <w:snapToGrid w:val="0"/>
              <w:textAlignment w:val="bottom"/>
              <w:rPr>
                <w:rFonts w:ascii="宋体" w:hAnsi="宋体" w:cs="宋体"/>
                <w:color w:val="auto"/>
                <w:szCs w:val="21"/>
                <w:highlight w:val="none"/>
              </w:rPr>
            </w:pPr>
            <w:r>
              <w:rPr>
                <w:rFonts w:hint="eastAsia" w:ascii="宋体" w:hAnsi="宋体" w:cs="宋体"/>
                <w:color w:val="auto"/>
                <w:szCs w:val="21"/>
                <w:highlight w:val="none"/>
              </w:rPr>
              <w:t xml:space="preserve"> 投标人应于截标前将投标保证金以电汇、转账、网上银行支付、支票、汇票、本票或者金融机构、担保机构出具的保险、保函、电子保函等非现金形式递交。采用电汇、转账、网上银行支付方式的，在投标截止时间前交至采购代理机构保证金专户。</w:t>
            </w:r>
            <w:r>
              <w:rPr>
                <w:rFonts w:hint="eastAsia" w:ascii="宋体" w:hAnsi="宋体" w:cs="宋体"/>
                <w:color w:val="auto"/>
                <w:szCs w:val="21"/>
                <w:highlight w:val="none"/>
              </w:rPr>
              <w:br w:type="textWrapping"/>
            </w:r>
            <w:r>
              <w:rPr>
                <w:rFonts w:hint="eastAsia" w:ascii="宋体" w:hAnsi="宋体" w:cs="宋体"/>
                <w:color w:val="auto"/>
                <w:szCs w:val="21"/>
                <w:highlight w:val="none"/>
              </w:rPr>
              <w:t>开户名称：广西华良项目管理有限公司</w:t>
            </w:r>
            <w:r>
              <w:rPr>
                <w:rFonts w:hint="eastAsia" w:ascii="宋体" w:hAnsi="宋体" w:cs="宋体"/>
                <w:color w:val="auto"/>
                <w:szCs w:val="21"/>
                <w:highlight w:val="none"/>
              </w:rPr>
              <w:br w:type="textWrapping"/>
            </w:r>
            <w:r>
              <w:rPr>
                <w:rFonts w:hint="eastAsia" w:ascii="宋体" w:hAnsi="宋体" w:cs="宋体"/>
                <w:color w:val="auto"/>
                <w:szCs w:val="21"/>
                <w:highlight w:val="none"/>
              </w:rPr>
              <w:t>银行账号：4505 0162 0048 0000 0376</w:t>
            </w:r>
            <w:r>
              <w:rPr>
                <w:rFonts w:hint="eastAsia" w:ascii="宋体" w:hAnsi="宋体" w:cs="宋体"/>
                <w:color w:val="auto"/>
                <w:szCs w:val="21"/>
                <w:highlight w:val="none"/>
              </w:rPr>
              <w:br w:type="textWrapping"/>
            </w:r>
            <w:r>
              <w:rPr>
                <w:rFonts w:hint="eastAsia" w:ascii="宋体" w:hAnsi="宋体" w:cs="宋体"/>
                <w:color w:val="auto"/>
                <w:szCs w:val="21"/>
                <w:highlight w:val="none"/>
              </w:rPr>
              <w:t>开户银行：中国建设银行股份有限公司柳州</w:t>
            </w:r>
            <w:r>
              <w:rPr>
                <w:rFonts w:hint="eastAsia" w:ascii="宋体" w:hAnsi="宋体" w:cs="宋体"/>
                <w:color w:val="auto"/>
                <w:szCs w:val="21"/>
                <w:highlight w:val="none"/>
                <w:lang w:eastAsia="zh-CN"/>
              </w:rPr>
              <w:t>莲塘路</w:t>
            </w:r>
            <w:r>
              <w:rPr>
                <w:rFonts w:hint="eastAsia" w:ascii="宋体" w:hAnsi="宋体" w:cs="宋体"/>
                <w:color w:val="auto"/>
                <w:szCs w:val="21"/>
                <w:highlight w:val="none"/>
              </w:rPr>
              <w:t>支行</w:t>
            </w:r>
            <w:r>
              <w:rPr>
                <w:rFonts w:hint="eastAsia" w:ascii="宋体" w:hAnsi="宋体" w:cs="宋体"/>
                <w:color w:val="auto"/>
                <w:szCs w:val="21"/>
                <w:highlight w:val="none"/>
              </w:rPr>
              <w:br w:type="textWrapping"/>
            </w:r>
            <w:r>
              <w:rPr>
                <w:rFonts w:hint="eastAsia" w:ascii="宋体" w:hAnsi="宋体" w:cs="宋体"/>
                <w:color w:val="auto"/>
                <w:szCs w:val="21"/>
                <w:highlight w:val="none"/>
              </w:rPr>
              <w:t xml:space="preserve">    投标保证金以银行入账时间为准。采用支票、汇票、本票或者金融机构、担保机构出具的保险、保函、电子保函等方式的，在投标截止时间前，投标人必须递交单独密封的支票、汇票、本票或者金融机构、担保机构出具的保险、保函、电子保函原件。否则视为无效投标保证金。原件递交的形式可以是在线下开标现场（柳州市公共资源交易中心对应开标室）递交密封好的原件（原件放入一个密封袋中，并在封口处加盖供应商公章或委托代理人签字，以示密封，在封套上标记“项目名称（项目编号）投标保证金 ”字样），也可以以邮寄方式递交原件（邮寄地址及收件人详见采购公告采购代理机构信息）；若广西华良项目管理有限公司在保证金规定递交时间内没有收到上述原件的，其投标无效；因此供应商无论采用现场或者是邮寄递交上述原件时应充分考虑到达时间，以免影响投标。</w:t>
            </w:r>
          </w:p>
        </w:tc>
      </w:tr>
      <w:tr w14:paraId="6206C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1F09F7D4">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20</w:t>
            </w:r>
          </w:p>
        </w:tc>
        <w:tc>
          <w:tcPr>
            <w:tcW w:w="8531" w:type="dxa"/>
            <w:vAlign w:val="center"/>
          </w:tcPr>
          <w:p w14:paraId="32CA8837">
            <w:pPr>
              <w:autoSpaceDE w:val="0"/>
              <w:autoSpaceDN w:val="0"/>
              <w:snapToGrid w:val="0"/>
              <w:textAlignment w:val="bottom"/>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本项目不接受电子备份投标文件</w:t>
            </w:r>
          </w:p>
        </w:tc>
      </w:tr>
      <w:tr w14:paraId="3BCF6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12152345">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21.1</w:t>
            </w:r>
          </w:p>
        </w:tc>
        <w:tc>
          <w:tcPr>
            <w:tcW w:w="8531" w:type="dxa"/>
            <w:vAlign w:val="center"/>
          </w:tcPr>
          <w:p w14:paraId="768F6CF2">
            <w:pPr>
              <w:snapToGrid w:val="0"/>
              <w:rPr>
                <w:rFonts w:cs="宋体" w:asciiTheme="minorEastAsia" w:hAnsiTheme="minorEastAsia" w:eastAsiaTheme="minorEastAsia"/>
                <w:color w:val="auto"/>
                <w:szCs w:val="21"/>
                <w:highlight w:val="none"/>
                <w:u w:val="single"/>
              </w:rPr>
            </w:pPr>
            <w:r>
              <w:rPr>
                <w:rFonts w:hint="eastAsia" w:cs="宋体" w:asciiTheme="minorEastAsia" w:hAnsiTheme="minorEastAsia" w:eastAsiaTheme="minorEastAsia"/>
                <w:color w:val="auto"/>
                <w:szCs w:val="21"/>
                <w:highlight w:val="none"/>
              </w:rPr>
              <w:t>1.投标文件提交截止时间：详见招标公告</w:t>
            </w:r>
          </w:p>
          <w:p w14:paraId="3DD9D938">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2.投标地点：详见招标公告</w:t>
            </w:r>
          </w:p>
        </w:tc>
      </w:tr>
      <w:tr w14:paraId="0BF48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2BA1385D">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23</w:t>
            </w:r>
          </w:p>
        </w:tc>
        <w:tc>
          <w:tcPr>
            <w:tcW w:w="8531" w:type="dxa"/>
            <w:vAlign w:val="center"/>
          </w:tcPr>
          <w:p w14:paraId="1ACE39D2">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1.开标时间：详见招标公告</w:t>
            </w:r>
          </w:p>
          <w:p w14:paraId="0B04C0D6">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2.开标地点：详见招标公告</w:t>
            </w:r>
          </w:p>
        </w:tc>
      </w:tr>
      <w:tr w14:paraId="73BEB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0518127B">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24.3（1）</w:t>
            </w:r>
          </w:p>
        </w:tc>
        <w:tc>
          <w:tcPr>
            <w:tcW w:w="8531" w:type="dxa"/>
            <w:vAlign w:val="center"/>
          </w:tcPr>
          <w:p w14:paraId="3289FF87">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电子投标文件解密时间：</w:t>
            </w:r>
            <w:r>
              <w:rPr>
                <w:rFonts w:hint="eastAsia" w:cs="宋体" w:asciiTheme="minorEastAsia" w:hAnsiTheme="minorEastAsia" w:eastAsiaTheme="minorEastAsia"/>
                <w:color w:val="auto"/>
                <w:szCs w:val="21"/>
                <w:highlight w:val="none"/>
                <w:u w:val="single"/>
              </w:rPr>
              <w:t>30</w:t>
            </w:r>
            <w:r>
              <w:rPr>
                <w:rFonts w:hint="eastAsia" w:cs="宋体" w:asciiTheme="minorEastAsia" w:hAnsiTheme="minorEastAsia" w:eastAsiaTheme="minorEastAsia"/>
                <w:color w:val="auto"/>
                <w:szCs w:val="21"/>
                <w:highlight w:val="none"/>
              </w:rPr>
              <w:t>分钟</w:t>
            </w:r>
          </w:p>
        </w:tc>
      </w:tr>
      <w:tr w14:paraId="24842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2608122C">
            <w:pPr>
              <w:jc w:val="center"/>
              <w:rPr>
                <w:rFonts w:cs="宋体" w:asciiTheme="minorEastAsia" w:hAnsiTheme="minorEastAsia"/>
                <w:color w:val="auto"/>
                <w:szCs w:val="21"/>
                <w:highlight w:val="none"/>
              </w:rPr>
            </w:pPr>
            <w:r>
              <w:rPr>
                <w:rFonts w:hint="eastAsia" w:cs="宋体" w:asciiTheme="minorEastAsia" w:hAnsiTheme="minorEastAsia"/>
                <w:color w:val="auto"/>
                <w:szCs w:val="21"/>
                <w:highlight w:val="none"/>
              </w:rPr>
              <w:t>24.3（2）</w:t>
            </w:r>
          </w:p>
        </w:tc>
        <w:tc>
          <w:tcPr>
            <w:tcW w:w="8531" w:type="dxa"/>
            <w:vAlign w:val="center"/>
          </w:tcPr>
          <w:p w14:paraId="5F1995E7">
            <w:pPr>
              <w:pStyle w:val="7"/>
              <w:spacing w:line="360" w:lineRule="auto"/>
              <w:ind w:firstLine="0"/>
              <w:rPr>
                <w:rFonts w:cs="宋体" w:asciiTheme="minorEastAsia" w:hAnsiTheme="minorEastAsia"/>
                <w:color w:val="auto"/>
                <w:szCs w:val="21"/>
                <w:highlight w:val="none"/>
              </w:rPr>
            </w:pPr>
            <w:r>
              <w:rPr>
                <w:rFonts w:hint="eastAsia" w:cs="宋体" w:asciiTheme="minorEastAsia" w:hAnsiTheme="minorEastAsia" w:eastAsiaTheme="minorEastAsia"/>
                <w:color w:val="auto"/>
                <w:szCs w:val="21"/>
                <w:highlight w:val="none"/>
              </w:rPr>
              <w:t>电子唱标内容以“广西政府采购云”平台远程开标大厅展示的内容为准</w:t>
            </w:r>
          </w:p>
        </w:tc>
      </w:tr>
      <w:tr w14:paraId="0FE97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0D38C586">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25.3（2）</w:t>
            </w:r>
          </w:p>
        </w:tc>
        <w:tc>
          <w:tcPr>
            <w:tcW w:w="8531" w:type="dxa"/>
            <w:vAlign w:val="center"/>
          </w:tcPr>
          <w:p w14:paraId="5590194C">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采购人或者采购代理机构在资格审查结束前，对投标人进行信用查询。</w:t>
            </w:r>
          </w:p>
          <w:p w14:paraId="54FF26C2">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b/>
                <w:color w:val="auto"/>
                <w:szCs w:val="21"/>
                <w:highlight w:val="none"/>
              </w:rPr>
              <w:t>查询渠道</w:t>
            </w:r>
            <w:r>
              <w:rPr>
                <w:rFonts w:hint="eastAsia" w:cs="宋体" w:asciiTheme="minorEastAsia" w:hAnsiTheme="minorEastAsia" w:eastAsiaTheme="minorEastAsia"/>
                <w:color w:val="auto"/>
                <w:szCs w:val="21"/>
                <w:highlight w:val="none"/>
              </w:rPr>
              <w:t>：“信用中国”网站（www.creditchina.gov.cn） 、中国政府采购网（www.ccgp.gov.cn）。</w:t>
            </w:r>
          </w:p>
          <w:p w14:paraId="169C69DE">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b/>
                <w:color w:val="auto"/>
                <w:szCs w:val="21"/>
                <w:highlight w:val="none"/>
              </w:rPr>
              <w:t>信用查询截止时点</w:t>
            </w:r>
            <w:r>
              <w:rPr>
                <w:rFonts w:hint="eastAsia" w:cs="宋体" w:asciiTheme="minorEastAsia" w:hAnsiTheme="minorEastAsia" w:eastAsiaTheme="minorEastAsia"/>
                <w:color w:val="auto"/>
                <w:szCs w:val="21"/>
                <w:highlight w:val="none"/>
              </w:rPr>
              <w:t>：资格审查结束前；</w:t>
            </w:r>
          </w:p>
          <w:p w14:paraId="6154BA99">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b/>
                <w:color w:val="auto"/>
                <w:szCs w:val="21"/>
                <w:highlight w:val="none"/>
              </w:rPr>
              <w:t>查询记录和证据留存方式：</w:t>
            </w:r>
            <w:r>
              <w:rPr>
                <w:rFonts w:hint="eastAsia" w:cs="宋体" w:asciiTheme="minorEastAsia" w:hAnsiTheme="minorEastAsia" w:eastAsiaTheme="minorEastAsia"/>
                <w:color w:val="auto"/>
                <w:szCs w:val="21"/>
                <w:highlight w:val="none"/>
              </w:rPr>
              <w:t>在查询网站中直接截图查询记录，截图作为证据</w:t>
            </w:r>
            <w:r>
              <w:rPr>
                <w:rFonts w:hint="eastAsia" w:ascii="宋体" w:hAnsi="宋体" w:cs="宋体"/>
                <w:color w:val="auto"/>
                <w:szCs w:val="21"/>
                <w:highlight w:val="none"/>
              </w:rPr>
              <w:t>与采购文件一并保存</w:t>
            </w:r>
            <w:r>
              <w:rPr>
                <w:rFonts w:hint="eastAsia" w:cs="宋体" w:asciiTheme="minorEastAsia" w:hAnsiTheme="minorEastAsia" w:eastAsiaTheme="minorEastAsia"/>
                <w:color w:val="auto"/>
                <w:szCs w:val="21"/>
                <w:highlight w:val="none"/>
              </w:rPr>
              <w:t>。</w:t>
            </w:r>
          </w:p>
          <w:p w14:paraId="55665A94">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b/>
                <w:color w:val="auto"/>
                <w:szCs w:val="21"/>
                <w:highlight w:val="none"/>
              </w:rPr>
              <w:t>信用信息使用规则</w:t>
            </w:r>
            <w:r>
              <w:rPr>
                <w:rFonts w:hint="eastAsia" w:cs="宋体" w:asciiTheme="minorEastAsia" w:hAnsiTheme="minorEastAsia" w:eastAsiaTheme="minorEastAsia"/>
                <w:color w:val="auto"/>
                <w:szCs w:val="21"/>
                <w:highlight w:val="none"/>
              </w:rPr>
              <w:t>：对在“信用中国”网站（www.creditchina.gov.cn） 、中国政府采购网（www.ccgp.gov.cn）被列入失信被执行人、重大税收违法失信主体、政府采购严重违法失信行为记录名单及其他不符合《中华人民共和国政府采购法》第二十二条规定条件的供应商，采购人或者采购代理机构应当拒绝其参与政府采购活动。两个以上的自然人、法人或者其他组织组成一个联合体，以一个供应商的身份共同参加政府采购活动的，应当对所有联合体成员进行信用记录查询，联合体成员存在不良信用记录（被列入失信被执行人、重大税收违法失信主体、政府采购严重违法失信行为记录名单及其他不符合《中华人民共和国政府采购法》第二十二条规定条件的供应商）的，视同联合体存在不良信用记录。</w:t>
            </w:r>
          </w:p>
          <w:p w14:paraId="1A632649">
            <w:pPr>
              <w:pStyle w:val="4"/>
              <w:spacing w:before="0" w:after="0" w:line="240" w:lineRule="auto"/>
              <w:outlineLvl w:val="2"/>
              <w:rPr>
                <w:rFonts w:cs="宋体" w:asciiTheme="minorEastAsia" w:hAnsiTheme="minorEastAsia" w:eastAsiaTheme="minorEastAsia"/>
                <w:bCs w:val="0"/>
                <w:color w:val="auto"/>
                <w:kern w:val="2"/>
                <w:sz w:val="21"/>
                <w:szCs w:val="21"/>
                <w:highlight w:val="none"/>
              </w:rPr>
            </w:pPr>
            <w:r>
              <w:rPr>
                <w:rFonts w:hint="eastAsia" w:cs="宋体" w:asciiTheme="minorEastAsia" w:hAnsiTheme="minorEastAsia" w:eastAsiaTheme="minorEastAsia"/>
                <w:bCs w:val="0"/>
                <w:color w:val="auto"/>
                <w:kern w:val="2"/>
                <w:sz w:val="21"/>
                <w:szCs w:val="21"/>
                <w:highlight w:val="none"/>
              </w:rPr>
              <w:t xml:space="preserve">甄别方式： </w:t>
            </w:r>
          </w:p>
          <w:p w14:paraId="7E63E5D5">
            <w:pPr>
              <w:pStyle w:val="4"/>
              <w:spacing w:before="0" w:after="0" w:line="240" w:lineRule="auto"/>
              <w:outlineLvl w:val="2"/>
              <w:rPr>
                <w:rFonts w:cs="宋体" w:asciiTheme="minorEastAsia" w:hAnsiTheme="minorEastAsia" w:eastAsiaTheme="minorEastAsia"/>
                <w:b w:val="0"/>
                <w:bCs w:val="0"/>
                <w:color w:val="auto"/>
                <w:kern w:val="2"/>
                <w:sz w:val="21"/>
                <w:szCs w:val="21"/>
                <w:highlight w:val="none"/>
              </w:rPr>
            </w:pPr>
            <w:r>
              <w:rPr>
                <w:rFonts w:hint="eastAsia" w:cs="宋体" w:asciiTheme="minorEastAsia" w:hAnsiTheme="minorEastAsia" w:eastAsiaTheme="minorEastAsia"/>
                <w:b w:val="0"/>
                <w:bCs w:val="0"/>
                <w:color w:val="auto"/>
                <w:kern w:val="2"/>
                <w:sz w:val="21"/>
                <w:szCs w:val="21"/>
                <w:highlight w:val="none"/>
              </w:rPr>
              <w:t xml:space="preserve">1.在本项目资格性审查时，采购人将对投标人信用进行查询，并按照以上信用信息使用规则处理; </w:t>
            </w:r>
          </w:p>
          <w:p w14:paraId="59D6B5C5">
            <w:pPr>
              <w:pStyle w:val="4"/>
              <w:spacing w:before="0" w:after="0" w:line="240" w:lineRule="auto"/>
              <w:outlineLvl w:val="2"/>
              <w:rPr>
                <w:rFonts w:cs="宋体" w:asciiTheme="minorEastAsia" w:hAnsiTheme="minorEastAsia" w:eastAsiaTheme="minorEastAsia"/>
                <w:b w:val="0"/>
                <w:bCs w:val="0"/>
                <w:color w:val="auto"/>
                <w:kern w:val="2"/>
                <w:sz w:val="21"/>
                <w:szCs w:val="21"/>
                <w:highlight w:val="none"/>
              </w:rPr>
            </w:pPr>
            <w:r>
              <w:rPr>
                <w:rFonts w:hint="eastAsia" w:cs="宋体" w:asciiTheme="minorEastAsia" w:hAnsiTheme="minorEastAsia" w:eastAsiaTheme="minorEastAsia"/>
                <w:b w:val="0"/>
                <w:bCs w:val="0"/>
                <w:color w:val="auto"/>
                <w:kern w:val="2"/>
                <w:sz w:val="21"/>
                <w:szCs w:val="21"/>
                <w:highlight w:val="none"/>
              </w:rPr>
              <w:t xml:space="preserve">2.在中标通知书发出前，采购人或者采购代理机构将对中标人信用进行查询，并按照以上信用信息使用规则处理； </w:t>
            </w:r>
          </w:p>
          <w:p w14:paraId="308DBC91">
            <w:pPr>
              <w:pStyle w:val="4"/>
              <w:spacing w:before="0" w:after="0" w:line="240" w:lineRule="auto"/>
              <w:outlineLvl w:val="2"/>
              <w:rPr>
                <w:color w:val="auto"/>
                <w:highlight w:val="none"/>
              </w:rPr>
            </w:pPr>
            <w:r>
              <w:rPr>
                <w:rFonts w:hint="eastAsia" w:cs="宋体" w:asciiTheme="minorEastAsia" w:hAnsiTheme="minorEastAsia" w:eastAsiaTheme="minorEastAsia"/>
                <w:b w:val="0"/>
                <w:bCs w:val="0"/>
                <w:color w:val="auto"/>
                <w:kern w:val="2"/>
                <w:sz w:val="21"/>
                <w:szCs w:val="21"/>
                <w:highlight w:val="none"/>
              </w:rPr>
              <w:t xml:space="preserve">3.根据财政部《财政部关于〈中华人民共和国政府采购法实施条例〉第十九条第一款“较大数额罚款”具体适用问题的意见》（财库(2022）3号)，“较大数额罚款”认定为200万元以上的罚款，法律、行政法规以及国务院有关部门明确规定相关领域“较大数额罚款”标准高于200万元的，从其规定。 </w:t>
            </w:r>
          </w:p>
        </w:tc>
      </w:tr>
      <w:tr w14:paraId="702B0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38346976">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26.1</w:t>
            </w:r>
          </w:p>
        </w:tc>
        <w:tc>
          <w:tcPr>
            <w:tcW w:w="8531" w:type="dxa"/>
            <w:vAlign w:val="center"/>
          </w:tcPr>
          <w:p w14:paraId="54180F34">
            <w:pPr>
              <w:autoSpaceDE w:val="0"/>
              <w:autoSpaceDN w:val="0"/>
              <w:snapToGrid w:val="0"/>
              <w:textAlignment w:val="bottom"/>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评标委员会的人数：</w:t>
            </w:r>
            <w:r>
              <w:rPr>
                <w:rFonts w:hint="eastAsia" w:cs="宋体" w:asciiTheme="minorEastAsia" w:hAnsiTheme="minorEastAsia" w:eastAsiaTheme="minorEastAsia"/>
                <w:color w:val="auto"/>
                <w:szCs w:val="21"/>
                <w:highlight w:val="none"/>
                <w:u w:val="single"/>
              </w:rPr>
              <w:t>5</w:t>
            </w:r>
            <w:r>
              <w:rPr>
                <w:rFonts w:hint="eastAsia" w:cs="宋体" w:asciiTheme="minorEastAsia" w:hAnsiTheme="minorEastAsia" w:eastAsiaTheme="minorEastAsia"/>
                <w:color w:val="auto"/>
                <w:szCs w:val="21"/>
                <w:highlight w:val="none"/>
              </w:rPr>
              <w:t>人</w:t>
            </w:r>
          </w:p>
        </w:tc>
      </w:tr>
      <w:tr w14:paraId="123BC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33B48035">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29.1</w:t>
            </w:r>
          </w:p>
        </w:tc>
        <w:tc>
          <w:tcPr>
            <w:tcW w:w="8531" w:type="dxa"/>
            <w:vAlign w:val="center"/>
          </w:tcPr>
          <w:p w14:paraId="1F798F18">
            <w:pPr>
              <w:autoSpaceDE w:val="0"/>
              <w:autoSpaceDN w:val="0"/>
              <w:snapToGrid w:val="0"/>
              <w:textAlignment w:val="bottom"/>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评标方法：</w:t>
            </w:r>
          </w:p>
          <w:p w14:paraId="7B93294C">
            <w:pPr>
              <w:autoSpaceDE w:val="0"/>
              <w:autoSpaceDN w:val="0"/>
              <w:snapToGrid w:val="0"/>
              <w:textAlignment w:val="bottom"/>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b/>
                <w:color w:val="auto"/>
                <w:szCs w:val="21"/>
                <w:highlight w:val="none"/>
              </w:rPr>
              <w:sym w:font="Wingdings 2" w:char="0052"/>
            </w:r>
            <w:r>
              <w:rPr>
                <w:rFonts w:hint="eastAsia" w:cs="宋体" w:asciiTheme="minorEastAsia" w:hAnsiTheme="minorEastAsia" w:eastAsiaTheme="minorEastAsia"/>
                <w:color w:val="auto"/>
                <w:szCs w:val="21"/>
                <w:highlight w:val="none"/>
              </w:rPr>
              <w:t>综合评分法</w:t>
            </w:r>
          </w:p>
          <w:p w14:paraId="186A4396">
            <w:pPr>
              <w:autoSpaceDE w:val="0"/>
              <w:autoSpaceDN w:val="0"/>
              <w:snapToGrid w:val="0"/>
              <w:textAlignment w:val="bottom"/>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□最低评标价法</w:t>
            </w:r>
          </w:p>
        </w:tc>
      </w:tr>
      <w:tr w14:paraId="09C48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654B2B7A">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29.2</w:t>
            </w:r>
          </w:p>
        </w:tc>
        <w:tc>
          <w:tcPr>
            <w:tcW w:w="8531" w:type="dxa"/>
            <w:vAlign w:val="center"/>
          </w:tcPr>
          <w:p w14:paraId="3517F562">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商务要求评审中允许负偏离的条款数</w:t>
            </w:r>
            <w:r>
              <w:rPr>
                <w:rFonts w:hint="eastAsia" w:cs="宋体" w:asciiTheme="minorEastAsia" w:hAnsiTheme="minorEastAsia" w:eastAsiaTheme="minorEastAsia"/>
                <w:b/>
                <w:bCs/>
                <w:color w:val="auto"/>
                <w:szCs w:val="21"/>
                <w:highlight w:val="none"/>
              </w:rPr>
              <w:t>为</w:t>
            </w:r>
            <w:r>
              <w:rPr>
                <w:rFonts w:hint="eastAsia" w:cs="宋体" w:asciiTheme="minorEastAsia" w:hAnsiTheme="minorEastAsia" w:eastAsiaTheme="minorEastAsia"/>
                <w:b/>
                <w:bCs/>
                <w:color w:val="auto"/>
                <w:szCs w:val="21"/>
                <w:highlight w:val="none"/>
                <w:u w:val="single"/>
              </w:rPr>
              <w:t xml:space="preserve"> 0 </w:t>
            </w:r>
            <w:r>
              <w:rPr>
                <w:rFonts w:hint="eastAsia" w:cs="宋体" w:asciiTheme="minorEastAsia" w:hAnsiTheme="minorEastAsia" w:eastAsiaTheme="minorEastAsia"/>
                <w:b/>
                <w:bCs/>
                <w:color w:val="auto"/>
                <w:szCs w:val="21"/>
                <w:highlight w:val="none"/>
              </w:rPr>
              <w:t>项</w:t>
            </w:r>
            <w:r>
              <w:rPr>
                <w:rFonts w:hint="eastAsia" w:cs="宋体" w:asciiTheme="minorEastAsia" w:hAnsiTheme="minorEastAsia" w:eastAsiaTheme="minorEastAsia"/>
                <w:color w:val="auto"/>
                <w:szCs w:val="21"/>
                <w:highlight w:val="none"/>
              </w:rPr>
              <w:t>。</w:t>
            </w:r>
          </w:p>
          <w:p w14:paraId="59430770">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技术服务要求评审中允许负偏离的条款数</w:t>
            </w:r>
            <w:r>
              <w:rPr>
                <w:rFonts w:hint="eastAsia" w:cs="宋体" w:asciiTheme="minorEastAsia" w:hAnsiTheme="minorEastAsia" w:eastAsiaTheme="minorEastAsia"/>
                <w:b/>
                <w:bCs/>
                <w:color w:val="auto"/>
                <w:szCs w:val="21"/>
                <w:highlight w:val="none"/>
              </w:rPr>
              <w:t>为</w:t>
            </w:r>
            <w:r>
              <w:rPr>
                <w:rFonts w:hint="eastAsia" w:cs="宋体" w:asciiTheme="minorEastAsia" w:hAnsiTheme="minorEastAsia" w:eastAsiaTheme="minorEastAsia"/>
                <w:b/>
                <w:bCs/>
                <w:color w:val="auto"/>
                <w:szCs w:val="21"/>
                <w:highlight w:val="none"/>
                <w:u w:val="single"/>
              </w:rPr>
              <w:t xml:space="preserve"> 0 </w:t>
            </w:r>
            <w:r>
              <w:rPr>
                <w:rFonts w:hint="eastAsia" w:cs="宋体" w:asciiTheme="minorEastAsia" w:hAnsiTheme="minorEastAsia" w:eastAsiaTheme="minorEastAsia"/>
                <w:b/>
                <w:bCs/>
                <w:color w:val="auto"/>
                <w:szCs w:val="21"/>
                <w:highlight w:val="none"/>
              </w:rPr>
              <w:t>项</w:t>
            </w:r>
            <w:r>
              <w:rPr>
                <w:rFonts w:hint="eastAsia" w:cs="宋体" w:asciiTheme="minorEastAsia" w:hAnsiTheme="minorEastAsia" w:eastAsiaTheme="minorEastAsia"/>
                <w:color w:val="auto"/>
                <w:szCs w:val="21"/>
                <w:highlight w:val="none"/>
              </w:rPr>
              <w:t>。</w:t>
            </w:r>
          </w:p>
        </w:tc>
      </w:tr>
      <w:tr w14:paraId="6AC30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2444D17E">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29.3</w:t>
            </w:r>
          </w:p>
        </w:tc>
        <w:tc>
          <w:tcPr>
            <w:tcW w:w="8531" w:type="dxa"/>
            <w:vAlign w:val="center"/>
          </w:tcPr>
          <w:p w14:paraId="6AD80FCA">
            <w:pPr>
              <w:snapToGrid w:val="0"/>
              <w:rPr>
                <w:rFonts w:ascii="宋体" w:hAnsi="宋体" w:cs="宋体"/>
                <w:color w:val="auto"/>
                <w:szCs w:val="21"/>
                <w:highlight w:val="none"/>
              </w:rPr>
            </w:pPr>
            <w:r>
              <w:rPr>
                <w:rFonts w:hint="eastAsia" w:ascii="宋体" w:hAnsi="宋体" w:cs="宋体"/>
                <w:color w:val="auto"/>
                <w:szCs w:val="21"/>
                <w:highlight w:val="none"/>
              </w:rPr>
              <w:t>中标候选人推荐数量：</w:t>
            </w:r>
          </w:p>
          <w:p w14:paraId="405038F0">
            <w:pPr>
              <w:snapToGrid w:val="0"/>
              <w:rPr>
                <w:rFonts w:ascii="宋体" w:hAnsi="宋体" w:cs="宋体"/>
                <w:bCs/>
                <w:color w:val="auto"/>
                <w:szCs w:val="21"/>
                <w:highlight w:val="none"/>
              </w:rPr>
            </w:pPr>
            <w:r>
              <w:rPr>
                <w:rFonts w:hint="eastAsia" w:ascii="宋体" w:hAnsi="宋体" w:cs="宋体"/>
                <w:bCs/>
                <w:color w:val="auto"/>
                <w:szCs w:val="21"/>
                <w:highlight w:val="none"/>
              </w:rPr>
              <w:sym w:font="Wingdings 2" w:char="00A3"/>
            </w:r>
            <w:r>
              <w:rPr>
                <w:rFonts w:hint="eastAsia" w:ascii="宋体" w:hAnsi="宋体" w:cs="宋体"/>
                <w:bCs/>
                <w:color w:val="auto"/>
                <w:szCs w:val="21"/>
                <w:highlight w:val="none"/>
              </w:rPr>
              <w:t>名</w:t>
            </w:r>
          </w:p>
          <w:p w14:paraId="5556F2A9">
            <w:pPr>
              <w:snapToGrid w:val="0"/>
              <w:rPr>
                <w:rFonts w:ascii="宋体" w:hAnsi="宋体" w:cs="宋体"/>
                <w:color w:val="auto"/>
                <w:szCs w:val="21"/>
                <w:highlight w:val="none"/>
              </w:rPr>
            </w:pPr>
            <w:r>
              <w:rPr>
                <w:rFonts w:hint="eastAsia" w:ascii="宋体" w:hAnsi="宋体" w:cs="宋体"/>
                <w:b/>
                <w:bCs/>
                <w:color w:val="auto"/>
                <w:szCs w:val="21"/>
                <w:highlight w:val="none"/>
              </w:rPr>
              <w:t>☑根据总得分由高到低排列次序并全部推荐为中标候选人</w:t>
            </w:r>
          </w:p>
        </w:tc>
      </w:tr>
      <w:tr w14:paraId="41E90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1FDD20E8">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30.1</w:t>
            </w:r>
          </w:p>
        </w:tc>
        <w:tc>
          <w:tcPr>
            <w:tcW w:w="8531" w:type="dxa"/>
            <w:vAlign w:val="center"/>
          </w:tcPr>
          <w:p w14:paraId="7DF54289">
            <w:pPr>
              <w:keepNext w:val="0"/>
              <w:keepLines w:val="0"/>
              <w:pageBreakBefore w:val="0"/>
              <w:widowControl w:val="0"/>
              <w:kinsoku/>
              <w:wordWrap/>
              <w:overflowPunct/>
              <w:topLinePunct w:val="0"/>
              <w:autoSpaceDE w:val="0"/>
              <w:autoSpaceDN w:val="0"/>
              <w:bidi w:val="0"/>
              <w:adjustRightInd/>
              <w:snapToGrid w:val="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特别说明：根据采购人的工作要求，“柳州市黄村村及周边片区城中村改造项目（黄村地块）、（胜利地块）”的房屋动迁工作须同时开展，为保证项目顺利实施，</w:t>
            </w:r>
            <w:r>
              <w:rPr>
                <w:rFonts w:hint="eastAsia" w:ascii="宋体" w:hAnsi="宋体" w:cs="宋体"/>
                <w:b/>
                <w:bCs/>
                <w:color w:val="auto"/>
                <w:sz w:val="21"/>
                <w:szCs w:val="21"/>
                <w:highlight w:val="none"/>
                <w:lang w:eastAsia="zh-CN"/>
              </w:rPr>
              <w:t>每个投标人只允许中</w:t>
            </w:r>
            <w:r>
              <w:rPr>
                <w:rFonts w:hint="eastAsia" w:ascii="宋体" w:hAnsi="宋体" w:cs="宋体"/>
                <w:b/>
                <w:bCs/>
                <w:color w:val="auto"/>
                <w:sz w:val="21"/>
                <w:szCs w:val="21"/>
                <w:highlight w:val="none"/>
                <w:lang w:val="en-US" w:eastAsia="zh-CN"/>
              </w:rPr>
              <w:t>1个标段，</w:t>
            </w:r>
            <w:r>
              <w:rPr>
                <w:rFonts w:hint="eastAsia" w:ascii="宋体" w:hAnsi="宋体" w:eastAsia="宋体" w:cs="宋体"/>
                <w:b/>
                <w:bCs/>
                <w:color w:val="auto"/>
                <w:sz w:val="21"/>
                <w:szCs w:val="21"/>
                <w:highlight w:val="none"/>
              </w:rPr>
              <w:t>如果本次采购项目的第一中标候选人已经在“柳州市黄村村及周边片区城中村改造项目”其他地块的房屋动迁服务招标采购中成为中标人，并且已经中标项目的实施人员与本项目投入的实施人员中有1人或以上存在相同的，将不得成为本次采购项目的中标人。采购人将确定排名第二的中标候选人为中标人。排名第二并且项目实施人员与本次的中标候选人因前款规定的同样原因被取消中标的，采购人可以确定排名第三的中标候选人为中标人，以此类推。</w:t>
            </w:r>
          </w:p>
          <w:p w14:paraId="3F71460B">
            <w:pPr>
              <w:autoSpaceDE w:val="0"/>
              <w:autoSpaceDN w:val="0"/>
              <w:snapToGrid w:val="0"/>
              <w:rPr>
                <w:rFonts w:ascii="宋体" w:hAnsi="宋体" w:cs="宋体"/>
                <w:color w:val="auto"/>
                <w:szCs w:val="21"/>
                <w:highlight w:val="none"/>
              </w:rPr>
            </w:pPr>
            <w:r>
              <w:rPr>
                <w:rFonts w:hint="eastAsia" w:ascii="宋体" w:hAnsi="宋体" w:cs="宋体"/>
                <w:color w:val="auto"/>
                <w:szCs w:val="21"/>
                <w:highlight w:val="none"/>
              </w:rPr>
              <w:t>采用综合评分法的采购项目，采购人确定中标人时，出现中标候选人并列的情形，采购人按以下的方式确定中标人：</w:t>
            </w:r>
          </w:p>
          <w:p w14:paraId="63BD6DB4">
            <w:pPr>
              <w:autoSpaceDE w:val="0"/>
              <w:autoSpaceDN w:val="0"/>
              <w:snapToGrid w:val="0"/>
              <w:rPr>
                <w:rFonts w:ascii="宋体" w:hAnsi="宋体" w:cs="宋体"/>
                <w:color w:val="auto"/>
                <w:szCs w:val="21"/>
                <w:highlight w:val="none"/>
              </w:rPr>
            </w:pPr>
            <w:r>
              <w:rPr>
                <w:rFonts w:hint="eastAsia" w:ascii="宋体" w:hAnsi="宋体" w:cs="宋体"/>
                <w:color w:val="auto"/>
                <w:szCs w:val="21"/>
                <w:highlight w:val="none"/>
              </w:rPr>
              <w:sym w:font="Wingdings 2" w:char="0052"/>
            </w:r>
            <w:r>
              <w:rPr>
                <w:rFonts w:hint="eastAsia" w:ascii="宋体" w:hAnsi="宋体" w:cs="宋体"/>
                <w:color w:val="auto"/>
                <w:szCs w:val="21"/>
                <w:highlight w:val="none"/>
              </w:rPr>
              <w:t>依次按投标报价低的优先、技术评分高的优先、商务评分高的优先的顺序确定；</w:t>
            </w:r>
          </w:p>
          <w:p w14:paraId="2D107335">
            <w:pPr>
              <w:autoSpaceDE w:val="0"/>
              <w:autoSpaceDN w:val="0"/>
              <w:snapToGrid w:val="0"/>
              <w:rPr>
                <w:rFonts w:ascii="宋体" w:hAnsi="宋体" w:cs="宋体"/>
                <w:color w:val="auto"/>
                <w:szCs w:val="21"/>
                <w:highlight w:val="none"/>
              </w:rPr>
            </w:pPr>
            <w:r>
              <w:rPr>
                <w:rFonts w:hint="eastAsia" w:ascii="宋体" w:hAnsi="宋体" w:cs="宋体"/>
                <w:color w:val="auto"/>
                <w:szCs w:val="21"/>
                <w:highlight w:val="none"/>
              </w:rPr>
              <w:t>□随机抽取；</w:t>
            </w:r>
          </w:p>
          <w:p w14:paraId="20FAE11A">
            <w:pPr>
              <w:autoSpaceDE w:val="0"/>
              <w:autoSpaceDN w:val="0"/>
              <w:snapToGrid w:val="0"/>
              <w:rPr>
                <w:color w:val="auto"/>
                <w:highlight w:val="none"/>
              </w:rPr>
            </w:pPr>
            <w:r>
              <w:rPr>
                <w:rFonts w:hint="eastAsia" w:ascii="宋体" w:hAnsi="宋体" w:cs="宋体"/>
                <w:color w:val="auto"/>
                <w:szCs w:val="21"/>
                <w:highlight w:val="none"/>
              </w:rPr>
              <w:t>□……</w:t>
            </w:r>
          </w:p>
        </w:tc>
      </w:tr>
      <w:tr w14:paraId="1F40C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6C9BD771">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35.1</w:t>
            </w:r>
          </w:p>
        </w:tc>
        <w:tc>
          <w:tcPr>
            <w:tcW w:w="8531" w:type="dxa"/>
            <w:vAlign w:val="center"/>
          </w:tcPr>
          <w:p w14:paraId="45F3DBD9">
            <w:pPr>
              <w:autoSpaceDE w:val="0"/>
              <w:autoSpaceDN w:val="0"/>
              <w:snapToGrid w:val="0"/>
              <w:textAlignment w:val="bottom"/>
              <w:rPr>
                <w:rFonts w:ascii="宋体" w:hAnsi="宋体" w:cs="宋体"/>
                <w:color w:val="auto"/>
                <w:szCs w:val="21"/>
                <w:highlight w:val="none"/>
              </w:rPr>
            </w:pPr>
            <w:r>
              <w:rPr>
                <w:rFonts w:hint="eastAsia" w:cs="宋体" w:asciiTheme="minorEastAsia" w:hAnsiTheme="minorEastAsia" w:eastAsiaTheme="minorEastAsia"/>
                <w:color w:val="auto"/>
                <w:szCs w:val="21"/>
                <w:highlight w:val="none"/>
              </w:rPr>
              <w:t>□本项目</w:t>
            </w:r>
            <w:r>
              <w:rPr>
                <w:rFonts w:hint="eastAsia" w:ascii="宋体" w:hAnsi="宋体" w:cs="宋体"/>
                <w:color w:val="auto"/>
                <w:szCs w:val="21"/>
                <w:highlight w:val="none"/>
              </w:rPr>
              <w:t>不收取履约保证金。</w:t>
            </w:r>
          </w:p>
          <w:p w14:paraId="568BA245">
            <w:pPr>
              <w:autoSpaceDE w:val="0"/>
              <w:autoSpaceDN w:val="0"/>
              <w:snapToGrid w:val="0"/>
              <w:textAlignment w:val="bottom"/>
              <w:rPr>
                <w:rFonts w:ascii="宋体" w:hAnsi="宋体" w:cs="宋体"/>
                <w:color w:val="auto"/>
                <w:szCs w:val="21"/>
                <w:highlight w:val="none"/>
              </w:rPr>
            </w:pPr>
            <w:r>
              <w:rPr>
                <w:rFonts w:hint="eastAsia" w:ascii="宋体" w:hAnsi="宋体" w:cs="宋体"/>
                <w:b/>
                <w:color w:val="auto"/>
                <w:szCs w:val="21"/>
                <w:highlight w:val="none"/>
              </w:rPr>
              <w:sym w:font="Wingdings 2" w:char="0052"/>
            </w:r>
            <w:r>
              <w:rPr>
                <w:rFonts w:hint="eastAsia" w:ascii="宋体" w:hAnsi="宋体" w:cs="宋体"/>
                <w:b/>
                <w:color w:val="auto"/>
                <w:szCs w:val="21"/>
                <w:highlight w:val="none"/>
              </w:rPr>
              <w:t>本项目收取履约保证金</w:t>
            </w:r>
            <w:r>
              <w:rPr>
                <w:rFonts w:hint="eastAsia" w:ascii="宋体" w:hAnsi="宋体" w:cs="宋体"/>
                <w:color w:val="auto"/>
                <w:szCs w:val="21"/>
                <w:highlight w:val="none"/>
              </w:rPr>
              <w:t>。</w:t>
            </w:r>
          </w:p>
          <w:p w14:paraId="19B64DB1">
            <w:pPr>
              <w:ind w:firstLine="420" w:firstLineChars="200"/>
              <w:rPr>
                <w:rFonts w:ascii="宋体" w:hAnsi="宋体" w:cs="宋体"/>
                <w:color w:val="auto"/>
                <w:szCs w:val="21"/>
                <w:highlight w:val="none"/>
              </w:rPr>
            </w:pPr>
            <w:r>
              <w:rPr>
                <w:rFonts w:hint="eastAsia" w:ascii="宋体" w:hAnsi="宋体" w:cs="宋体"/>
                <w:color w:val="auto"/>
                <w:szCs w:val="21"/>
                <w:highlight w:val="none"/>
              </w:rPr>
              <w:t>1、履约保证金金额：中标人需向采购人支付履约保证金</w:t>
            </w:r>
            <w:r>
              <w:rPr>
                <w:rFonts w:hint="eastAsia" w:ascii="宋体" w:hAnsi="宋体" w:cs="宋体"/>
                <w:color w:val="auto"/>
                <w:szCs w:val="21"/>
                <w:highlight w:val="none"/>
                <w:u w:val="single"/>
              </w:rPr>
              <w:t>伍万</w:t>
            </w:r>
            <w:r>
              <w:rPr>
                <w:rFonts w:hint="eastAsia" w:ascii="宋体" w:hAnsi="宋体" w:cs="宋体"/>
                <w:color w:val="auto"/>
                <w:szCs w:val="21"/>
                <w:highlight w:val="none"/>
              </w:rPr>
              <w:t>元整（￥</w:t>
            </w:r>
            <w:r>
              <w:rPr>
                <w:rFonts w:hint="eastAsia" w:ascii="宋体" w:hAnsi="宋体" w:cs="宋体"/>
                <w:color w:val="auto"/>
                <w:szCs w:val="21"/>
                <w:highlight w:val="none"/>
                <w:u w:val="single"/>
              </w:rPr>
              <w:t>50000.00元</w:t>
            </w:r>
            <w:r>
              <w:rPr>
                <w:rFonts w:hint="eastAsia" w:ascii="宋体" w:hAnsi="宋体" w:cs="宋体"/>
                <w:color w:val="auto"/>
                <w:szCs w:val="21"/>
                <w:highlight w:val="none"/>
              </w:rPr>
              <w:t>）。由中标人的投标保证金直接转为履约保证金。</w:t>
            </w:r>
          </w:p>
          <w:p w14:paraId="6D49709C">
            <w:pPr>
              <w:ind w:firstLine="420" w:firstLineChars="200"/>
              <w:rPr>
                <w:rFonts w:ascii="宋体" w:hAnsi="宋体" w:cs="宋体"/>
                <w:color w:val="auto"/>
                <w:szCs w:val="21"/>
                <w:highlight w:val="none"/>
              </w:rPr>
            </w:pPr>
            <w:r>
              <w:rPr>
                <w:rFonts w:hint="eastAsia" w:ascii="宋体" w:hAnsi="宋体" w:cs="宋体"/>
                <w:color w:val="auto"/>
                <w:szCs w:val="21"/>
                <w:highlight w:val="none"/>
              </w:rPr>
              <w:t>2、履约保证金退付方式、时间及条件：待中标人完成全部征收工作并通过整宗交地验收后5个工作日内甲方将该履约保证金全额退还给中标人（不计利息）。</w:t>
            </w:r>
          </w:p>
          <w:p w14:paraId="100D9668">
            <w:pPr>
              <w:ind w:firstLine="420" w:firstLineChars="200"/>
              <w:rPr>
                <w:rFonts w:cs="宋体" w:asciiTheme="minorEastAsia" w:hAnsiTheme="minorEastAsia" w:eastAsiaTheme="minorEastAsia"/>
                <w:color w:val="auto"/>
                <w:szCs w:val="21"/>
                <w:highlight w:val="none"/>
              </w:rPr>
            </w:pPr>
            <w:r>
              <w:rPr>
                <w:rFonts w:hint="eastAsia" w:ascii="宋体" w:hAnsi="宋体" w:cs="宋体"/>
                <w:color w:val="auto"/>
                <w:szCs w:val="21"/>
                <w:highlight w:val="none"/>
              </w:rPr>
              <w:t>3、签订合同后，如中标人不按签订的合同规定履约，则没收其全部履约保证金，履约保证金不足以赔偿损失的，按实际损失赔偿。</w:t>
            </w:r>
          </w:p>
        </w:tc>
      </w:tr>
      <w:tr w14:paraId="1AAA9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66A6370E">
            <w:pPr>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36.1</w:t>
            </w:r>
          </w:p>
        </w:tc>
        <w:tc>
          <w:tcPr>
            <w:tcW w:w="8531" w:type="dxa"/>
            <w:vAlign w:val="center"/>
          </w:tcPr>
          <w:p w14:paraId="4AD894AD">
            <w:pPr>
              <w:autoSpaceDE w:val="0"/>
              <w:autoSpaceDN w:val="0"/>
              <w:snapToGrid w:val="0"/>
              <w:textAlignment w:val="bottom"/>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 xml:space="preserve">签订合同携带的证明材料： </w:t>
            </w:r>
          </w:p>
          <w:p w14:paraId="6E2C2A4E">
            <w:pPr>
              <w:autoSpaceDE w:val="0"/>
              <w:autoSpaceDN w:val="0"/>
              <w:snapToGrid w:val="0"/>
              <w:textAlignment w:val="bottom"/>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委托代理人负责签订合同的，须携带授权委托书及委托代理人身份证原件等其他资格证件。</w:t>
            </w:r>
          </w:p>
          <w:p w14:paraId="580AFFA0">
            <w:pPr>
              <w:autoSpaceDE w:val="0"/>
              <w:autoSpaceDN w:val="0"/>
              <w:snapToGrid w:val="0"/>
              <w:textAlignment w:val="bottom"/>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法定代表人负责签订合同的，须携带法定代表人身份证明原件及身份证原件等其他证明材料。</w:t>
            </w:r>
          </w:p>
        </w:tc>
      </w:tr>
      <w:tr w14:paraId="284E6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488215EB">
            <w:pPr>
              <w:autoSpaceDE w:val="0"/>
              <w:autoSpaceDN w:val="0"/>
              <w:snapToGrid w:val="0"/>
              <w:textAlignment w:val="bottom"/>
              <w:rPr>
                <w:rFonts w:ascii="宋体" w:hAnsi="宋体" w:cs="宋体"/>
                <w:color w:val="auto"/>
                <w:szCs w:val="21"/>
                <w:highlight w:val="none"/>
              </w:rPr>
            </w:pPr>
            <w:r>
              <w:rPr>
                <w:rFonts w:hint="eastAsia" w:ascii="宋体" w:hAnsi="宋体" w:cs="宋体"/>
                <w:color w:val="auto"/>
                <w:szCs w:val="21"/>
                <w:highlight w:val="none"/>
              </w:rPr>
              <w:t>3</w:t>
            </w:r>
            <w:r>
              <w:rPr>
                <w:rFonts w:hint="eastAsia" w:cs="宋体" w:asciiTheme="minorEastAsia" w:hAnsiTheme="minorEastAsia"/>
                <w:color w:val="auto"/>
                <w:szCs w:val="21"/>
                <w:highlight w:val="none"/>
              </w:rPr>
              <w:t>8</w:t>
            </w:r>
            <w:r>
              <w:rPr>
                <w:rFonts w:hint="eastAsia" w:ascii="宋体" w:hAnsi="宋体" w:cs="宋体"/>
                <w:color w:val="auto"/>
                <w:szCs w:val="21"/>
                <w:highlight w:val="none"/>
              </w:rPr>
              <w:t>.2</w:t>
            </w:r>
          </w:p>
        </w:tc>
        <w:tc>
          <w:tcPr>
            <w:tcW w:w="8531" w:type="dxa"/>
            <w:vAlign w:val="center"/>
          </w:tcPr>
          <w:p w14:paraId="57AA1DAB">
            <w:pPr>
              <w:pStyle w:val="23"/>
              <w:autoSpaceDE w:val="0"/>
              <w:autoSpaceDN w:val="0"/>
              <w:snapToGrid w:val="0"/>
              <w:textAlignment w:val="bottom"/>
              <w:rPr>
                <w:rFonts w:hAnsi="宋体" w:cs="宋体"/>
                <w:color w:val="auto"/>
                <w:kern w:val="2"/>
                <w:sz w:val="21"/>
                <w:highlight w:val="none"/>
              </w:rPr>
            </w:pPr>
            <w:r>
              <w:rPr>
                <w:rFonts w:hint="eastAsia" w:hAnsi="宋体" w:cs="宋体"/>
                <w:color w:val="auto"/>
                <w:kern w:val="2"/>
                <w:sz w:val="21"/>
                <w:highlight w:val="none"/>
              </w:rPr>
              <w:t>接收质疑函方式：以纸质书面形式。</w:t>
            </w:r>
          </w:p>
          <w:p w14:paraId="2BDF699C">
            <w:pPr>
              <w:autoSpaceDE w:val="0"/>
              <w:autoSpaceDN w:val="0"/>
              <w:snapToGrid w:val="0"/>
              <w:textAlignment w:val="bottom"/>
              <w:rPr>
                <w:rFonts w:ascii="宋体" w:hAnsi="宋体" w:cs="宋体"/>
                <w:color w:val="auto"/>
                <w:szCs w:val="21"/>
                <w:highlight w:val="none"/>
              </w:rPr>
            </w:pPr>
            <w:r>
              <w:rPr>
                <w:rFonts w:hint="eastAsia" w:ascii="宋体" w:hAnsi="宋体" w:cs="宋体"/>
                <w:color w:val="auto"/>
                <w:szCs w:val="21"/>
                <w:highlight w:val="none"/>
              </w:rPr>
              <w:t>质疑联系部门及联系方式：广西华良项目管理有限公司，质疑联系人：谢汶瑾，联系电话：0772-3601700 ，通讯地址：柳州市屏山大道95号驾鹤商业街4号楼717室</w:t>
            </w:r>
          </w:p>
          <w:p w14:paraId="0593A094">
            <w:pPr>
              <w:pStyle w:val="23"/>
              <w:autoSpaceDE w:val="0"/>
              <w:autoSpaceDN w:val="0"/>
              <w:snapToGrid w:val="0"/>
              <w:textAlignment w:val="bottom"/>
              <w:rPr>
                <w:rFonts w:cs="宋体" w:asciiTheme="minorEastAsia" w:hAnsiTheme="minorEastAsia" w:eastAsiaTheme="minorEastAsia"/>
                <w:color w:val="auto"/>
                <w:kern w:val="2"/>
                <w:sz w:val="21"/>
                <w:highlight w:val="none"/>
              </w:rPr>
            </w:pPr>
            <w:r>
              <w:rPr>
                <w:rFonts w:hint="eastAsia" w:hAnsi="宋体" w:cs="宋体"/>
                <w:color w:val="auto"/>
                <w:kern w:val="2"/>
                <w:sz w:val="21"/>
                <w:highlight w:val="none"/>
              </w:rPr>
              <w:t>现场提交质疑办理业务时间：工作日，上午8：30-12：00，下午14：30-17：00（北京时间）</w:t>
            </w:r>
          </w:p>
          <w:p w14:paraId="4D6D73A7">
            <w:pPr>
              <w:pStyle w:val="23"/>
              <w:autoSpaceDE w:val="0"/>
              <w:autoSpaceDN w:val="0"/>
              <w:snapToGrid w:val="0"/>
              <w:textAlignment w:val="bottom"/>
              <w:rPr>
                <w:rFonts w:hAnsi="宋体" w:cs="宋体"/>
                <w:color w:val="auto"/>
                <w:kern w:val="2"/>
                <w:sz w:val="21"/>
                <w:highlight w:val="none"/>
              </w:rPr>
            </w:pPr>
            <w:r>
              <w:rPr>
                <w:rFonts w:hint="eastAsia" w:cs="宋体" w:asciiTheme="minorEastAsia" w:hAnsiTheme="minorEastAsia" w:eastAsiaTheme="minorEastAsia"/>
                <w:color w:val="auto"/>
                <w:highlight w:val="none"/>
              </w:rPr>
              <w:t>业务时间以外、双休日和法定节假日不办理业务。</w:t>
            </w:r>
          </w:p>
        </w:tc>
      </w:tr>
      <w:tr w14:paraId="6B602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4C867732">
            <w:pPr>
              <w:jc w:val="center"/>
              <w:rPr>
                <w:rFonts w:cs="宋体" w:asciiTheme="minorEastAsia" w:hAnsiTheme="minorEastAsia" w:eastAsiaTheme="minorEastAsia"/>
                <w:color w:val="auto"/>
                <w:szCs w:val="21"/>
                <w:highlight w:val="none"/>
              </w:rPr>
            </w:pPr>
            <w:bookmarkStart w:id="47" w:name="_Hlt17709148"/>
            <w:r>
              <w:rPr>
                <w:rFonts w:hint="eastAsia" w:cs="宋体" w:asciiTheme="minorEastAsia" w:hAnsiTheme="minorEastAsia" w:eastAsiaTheme="minorEastAsia"/>
                <w:color w:val="auto"/>
                <w:szCs w:val="21"/>
                <w:highlight w:val="none"/>
              </w:rPr>
              <w:t>3</w:t>
            </w:r>
            <w:bookmarkEnd w:id="47"/>
            <w:r>
              <w:rPr>
                <w:rFonts w:hint="eastAsia" w:cs="宋体" w:asciiTheme="minorEastAsia" w:hAnsiTheme="minorEastAsia" w:eastAsiaTheme="minorEastAsia"/>
                <w:color w:val="auto"/>
                <w:szCs w:val="21"/>
                <w:highlight w:val="none"/>
              </w:rPr>
              <w:t>9.1</w:t>
            </w:r>
          </w:p>
        </w:tc>
        <w:tc>
          <w:tcPr>
            <w:tcW w:w="8531" w:type="dxa"/>
            <w:vAlign w:val="center"/>
          </w:tcPr>
          <w:p w14:paraId="53629116">
            <w:pPr>
              <w:pStyle w:val="23"/>
              <w:snapToGrid w:val="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1.采购代理费支付方式：</w:t>
            </w:r>
          </w:p>
          <w:p w14:paraId="34F12A73">
            <w:pPr>
              <w:pStyle w:val="23"/>
              <w:snapToGrid w:val="0"/>
              <w:rPr>
                <w:rFonts w:cs="宋体" w:asciiTheme="minorEastAsia" w:hAnsiTheme="minorEastAsia" w:eastAsiaTheme="minorEastAsia"/>
                <w:b/>
                <w:bCs/>
                <w:color w:val="auto"/>
                <w:sz w:val="21"/>
                <w:highlight w:val="none"/>
              </w:rPr>
            </w:pPr>
            <w:r>
              <w:rPr>
                <w:rFonts w:hint="eastAsia" w:cs="宋体" w:asciiTheme="minorEastAsia" w:hAnsiTheme="minorEastAsia" w:eastAsiaTheme="minorEastAsia"/>
                <w:b/>
                <w:color w:val="auto"/>
                <w:highlight w:val="none"/>
              </w:rPr>
              <w:sym w:font="Wingdings 2" w:char="0052"/>
            </w:r>
            <w:r>
              <w:rPr>
                <w:rFonts w:hint="eastAsia" w:cs="宋体" w:asciiTheme="minorEastAsia" w:hAnsiTheme="minorEastAsia" w:eastAsiaTheme="minorEastAsia"/>
                <w:b/>
                <w:bCs/>
                <w:color w:val="auto"/>
                <w:sz w:val="21"/>
                <w:highlight w:val="none"/>
              </w:rPr>
              <w:t>本项目代理服务费由</w:t>
            </w:r>
            <w:r>
              <w:rPr>
                <w:rFonts w:hint="eastAsia" w:cs="宋体" w:asciiTheme="minorEastAsia" w:hAnsiTheme="minorEastAsia" w:eastAsiaTheme="minorEastAsia"/>
                <w:b/>
                <w:bCs/>
                <w:color w:val="auto"/>
                <w:sz w:val="21"/>
                <w:highlight w:val="none"/>
                <w:u w:val="single"/>
              </w:rPr>
              <w:t>中标人</w:t>
            </w:r>
            <w:r>
              <w:rPr>
                <w:rFonts w:hint="eastAsia" w:cs="宋体" w:asciiTheme="minorEastAsia" w:hAnsiTheme="minorEastAsia" w:eastAsiaTheme="minorEastAsia"/>
                <w:b/>
                <w:bCs/>
                <w:color w:val="auto"/>
                <w:sz w:val="21"/>
                <w:highlight w:val="none"/>
              </w:rPr>
              <w:t>在领取中标通知书前，一次性向采购代理机构支付。</w:t>
            </w:r>
          </w:p>
          <w:p w14:paraId="65E96656">
            <w:pPr>
              <w:pStyle w:val="23"/>
              <w:snapToGrid w:val="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□采购人支付。</w:t>
            </w:r>
          </w:p>
          <w:p w14:paraId="1E1AD79E">
            <w:pPr>
              <w:pStyle w:val="23"/>
              <w:snapToGrid w:val="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2.采购代理费收取标准：</w:t>
            </w:r>
          </w:p>
          <w:p w14:paraId="0929210F">
            <w:pPr>
              <w:pStyle w:val="23"/>
              <w:snapToGrid w:val="0"/>
              <w:jc w:val="left"/>
              <w:rPr>
                <w:rFonts w:cs="宋体" w:asciiTheme="minorEastAsia" w:hAnsiTheme="minorEastAsia" w:eastAsiaTheme="minorEastAsia"/>
                <w:color w:val="auto"/>
                <w:sz w:val="21"/>
                <w:highlight w:val="none"/>
              </w:rPr>
            </w:pPr>
            <w:r>
              <w:rPr>
                <w:rFonts w:hint="eastAsia" w:cs="宋体" w:asciiTheme="minorEastAsia" w:hAnsiTheme="minorEastAsia" w:eastAsiaTheme="minorEastAsia"/>
                <w:b/>
                <w:color w:val="auto"/>
                <w:highlight w:val="none"/>
              </w:rPr>
              <w:sym w:font="Wingdings 2" w:char="0052"/>
            </w:r>
            <w:r>
              <w:rPr>
                <w:rFonts w:hint="eastAsia" w:cs="宋体" w:asciiTheme="minorEastAsia" w:hAnsiTheme="minorEastAsia" w:eastAsiaTheme="minorEastAsia"/>
                <w:color w:val="auto"/>
                <w:sz w:val="21"/>
                <w:highlight w:val="none"/>
              </w:rPr>
              <w:t>以本项目的预</w:t>
            </w:r>
            <w:r>
              <w:rPr>
                <w:rFonts w:hint="eastAsia" w:hAnsi="宋体" w:cs="宋体"/>
                <w:color w:val="auto"/>
                <w:sz w:val="21"/>
                <w:highlight w:val="none"/>
              </w:rPr>
              <w:t>算</w:t>
            </w:r>
            <w:r>
              <w:rPr>
                <w:rFonts w:hint="eastAsia" w:hAnsi="宋体" w:cs="宋体"/>
                <w:bCs/>
                <w:color w:val="auto"/>
                <w:sz w:val="21"/>
                <w:highlight w:val="none"/>
              </w:rPr>
              <w:t>资金</w:t>
            </w:r>
            <w:r>
              <w:rPr>
                <w:rFonts w:hint="eastAsia" w:hAnsi="宋体" w:cs="宋体"/>
                <w:color w:val="auto"/>
                <w:sz w:val="21"/>
                <w:highlight w:val="none"/>
              </w:rPr>
              <w:t>金</w:t>
            </w:r>
            <w:r>
              <w:rPr>
                <w:rFonts w:hint="eastAsia" w:cs="宋体" w:asciiTheme="minorEastAsia" w:hAnsiTheme="minorEastAsia" w:eastAsiaTheme="minorEastAsia"/>
                <w:color w:val="auto"/>
                <w:sz w:val="21"/>
                <w:highlight w:val="none"/>
              </w:rPr>
              <w:t>额为计费额，按本须知正文第39.2条规定的收费计算标准（□货物招标/</w:t>
            </w:r>
            <w:r>
              <w:rPr>
                <w:rFonts w:hint="eastAsia" w:cs="宋体" w:asciiTheme="minorEastAsia" w:hAnsiTheme="minorEastAsia" w:eastAsiaTheme="minorEastAsia"/>
                <w:b/>
                <w:color w:val="auto"/>
                <w:highlight w:val="none"/>
              </w:rPr>
              <w:sym w:font="Wingdings 2" w:char="0052"/>
            </w:r>
            <w:r>
              <w:rPr>
                <w:rFonts w:hint="eastAsia" w:cs="宋体" w:asciiTheme="minorEastAsia" w:hAnsiTheme="minorEastAsia" w:eastAsiaTheme="minorEastAsia"/>
                <w:color w:val="auto"/>
                <w:sz w:val="21"/>
                <w:highlight w:val="none"/>
              </w:rPr>
              <w:t>服务招标/□工程招标）采用差额定率累进法计算出收费基准价格，采购代理收费以收费基准价格收取，计算方法详见本须知正文第39.2条。</w:t>
            </w:r>
          </w:p>
          <w:p w14:paraId="424D0854">
            <w:pPr>
              <w:pStyle w:val="23"/>
              <w:snapToGrid w:val="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□固定采购代理收费</w:t>
            </w:r>
            <w:r>
              <w:rPr>
                <w:rFonts w:hint="eastAsia" w:asciiTheme="minorEastAsia" w:hAnsiTheme="minorEastAsia" w:eastAsiaTheme="minorEastAsia"/>
                <w:color w:val="auto"/>
                <w:highlight w:val="none"/>
              </w:rPr>
              <w:t>元整（￥</w:t>
            </w:r>
            <w:r>
              <w:rPr>
                <w:rFonts w:hint="eastAsia" w:asciiTheme="minorEastAsia" w:hAnsiTheme="minorEastAsia" w:eastAsiaTheme="minorEastAsia"/>
                <w:color w:val="auto"/>
                <w:highlight w:val="none"/>
                <w:u w:val="single"/>
              </w:rPr>
              <w:t>元</w:t>
            </w:r>
            <w:r>
              <w:rPr>
                <w:rFonts w:hint="eastAsia" w:asciiTheme="minorEastAsia" w:hAnsiTheme="minorEastAsia" w:eastAsiaTheme="minorEastAsia"/>
                <w:color w:val="auto"/>
                <w:highlight w:val="none"/>
              </w:rPr>
              <w:t>）</w:t>
            </w:r>
            <w:r>
              <w:rPr>
                <w:rFonts w:hint="eastAsia" w:cs="宋体" w:asciiTheme="minorEastAsia" w:hAnsiTheme="minorEastAsia" w:eastAsiaTheme="minorEastAsia"/>
                <w:color w:val="auto"/>
                <w:sz w:val="21"/>
                <w:highlight w:val="none"/>
              </w:rPr>
              <w:t xml:space="preserve"> 。</w:t>
            </w:r>
          </w:p>
          <w:p w14:paraId="246400FC">
            <w:pPr>
              <w:pStyle w:val="23"/>
              <w:snapToGrid w:val="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3.账户名称：广西华良项目管理有限公司</w:t>
            </w:r>
          </w:p>
          <w:p w14:paraId="3BF5BE14">
            <w:pPr>
              <w:pStyle w:val="23"/>
              <w:shd w:val="clear" w:color="auto" w:fill="FFFFFF"/>
              <w:snapToGrid w:val="0"/>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账户名称：广西华良项目管理有限公司</w:t>
            </w:r>
          </w:p>
          <w:p w14:paraId="6B53287B">
            <w:pPr>
              <w:pStyle w:val="23"/>
              <w:shd w:val="clear" w:color="auto" w:fill="FFFFFF"/>
              <w:snapToGrid w:val="0"/>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 xml:space="preserve">银行账号： 4505 0162 0048 0000 0376 </w:t>
            </w:r>
          </w:p>
          <w:p w14:paraId="708C203E">
            <w:pPr>
              <w:adjustRightInd w:val="0"/>
              <w:snapToGrid w:val="0"/>
              <w:ind w:firstLine="420" w:firstLineChars="2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Cs w:val="21"/>
                <w:highlight w:val="none"/>
              </w:rPr>
              <w:t>开户银行：中国建设银行股份有限公司柳州</w:t>
            </w:r>
            <w:r>
              <w:rPr>
                <w:rFonts w:hint="eastAsia" w:cs="宋体" w:asciiTheme="minorEastAsia" w:hAnsiTheme="minorEastAsia" w:eastAsiaTheme="minorEastAsia"/>
                <w:color w:val="auto"/>
                <w:kern w:val="0"/>
                <w:szCs w:val="21"/>
                <w:highlight w:val="none"/>
                <w:lang w:eastAsia="zh-CN"/>
              </w:rPr>
              <w:t>莲塘</w:t>
            </w:r>
            <w:r>
              <w:rPr>
                <w:rFonts w:hint="eastAsia" w:cs="宋体" w:asciiTheme="minorEastAsia" w:hAnsiTheme="minorEastAsia" w:eastAsiaTheme="minorEastAsia"/>
                <w:color w:val="auto"/>
                <w:kern w:val="0"/>
                <w:szCs w:val="21"/>
                <w:highlight w:val="none"/>
              </w:rPr>
              <w:t xml:space="preserve">路支行  </w:t>
            </w:r>
          </w:p>
        </w:tc>
      </w:tr>
      <w:tr w14:paraId="7CC14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28A22714">
            <w:pPr>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40.1</w:t>
            </w:r>
          </w:p>
        </w:tc>
        <w:tc>
          <w:tcPr>
            <w:tcW w:w="8531" w:type="dxa"/>
            <w:vAlign w:val="center"/>
          </w:tcPr>
          <w:p w14:paraId="0CE7C0C1">
            <w:pPr>
              <w:snapToGrid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解释：构成本招标文件的各个组成文件应互为解释，互为说明；除招标文件中有特别规定外，仅适用于招标投标阶段的规定，按更正公告（澄清公告）、招标公告、采购需求、投标人须知、评标方法及评标标准、拟签订的合同文本、投标文件格式的先后顺序解释；同一组成文件中就同一事项的规定或者约定不一致的，以编排顺序在后者为准；同一组成文件不同版本之间有不一致的，以形成时间在后者为准；更正公告（澄清公告）与同步更新的招标文件不一致时以更正公告（澄清公告）为准。按本款前述规定仍不能形成结论的，由采购人或者采购代理机构负责解释。</w:t>
            </w:r>
          </w:p>
        </w:tc>
      </w:tr>
      <w:tr w14:paraId="05018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vAlign w:val="center"/>
          </w:tcPr>
          <w:p w14:paraId="1AE92632">
            <w:pPr>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40.2</w:t>
            </w:r>
          </w:p>
        </w:tc>
        <w:tc>
          <w:tcPr>
            <w:tcW w:w="8531" w:type="dxa"/>
            <w:vAlign w:val="center"/>
          </w:tcPr>
          <w:p w14:paraId="285CF6CA">
            <w:pPr>
              <w:pStyle w:val="23"/>
              <w:snapToGrid w:val="0"/>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bCs/>
                <w:color w:val="auto"/>
                <w:sz w:val="21"/>
                <w:highlight w:val="none"/>
              </w:rPr>
              <w:t>1.本招标文件中描述投标人的“公章”是指根据我国对公章的管理规定，用投标人法定主体行为名称制作的印章，除本招标文件有特殊规定外，投标人的财务章、部门章、分公司章、工会章、合同章、投标专用章、业务专用章及银行的转账章、现金收讫章、现金付讫章等其他形式印章均不能代替公章。</w:t>
            </w:r>
          </w:p>
          <w:p w14:paraId="47E9C775">
            <w:pPr>
              <w:pStyle w:val="23"/>
              <w:snapToGrid w:val="0"/>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bCs/>
                <w:color w:val="auto"/>
                <w:sz w:val="21"/>
                <w:highlight w:val="none"/>
              </w:rPr>
              <w:t>2.本招标文件所称的“</w:t>
            </w:r>
            <w:r>
              <w:rPr>
                <w:rFonts w:hint="eastAsia" w:cs="宋体" w:asciiTheme="minorEastAsia" w:hAnsiTheme="minorEastAsia" w:eastAsiaTheme="minorEastAsia"/>
                <w:color w:val="auto"/>
                <w:sz w:val="21"/>
                <w:highlight w:val="none"/>
              </w:rPr>
              <w:t>电子签章</w:t>
            </w:r>
            <w:r>
              <w:rPr>
                <w:rFonts w:hint="eastAsia" w:cs="宋体" w:asciiTheme="minorEastAsia" w:hAnsiTheme="minorEastAsia" w:eastAsiaTheme="minorEastAsia"/>
                <w:bCs/>
                <w:color w:val="auto"/>
                <w:sz w:val="21"/>
                <w:highlight w:val="none"/>
              </w:rPr>
              <w:t>”、“电子签名”</w:t>
            </w:r>
            <w:r>
              <w:rPr>
                <w:rFonts w:hint="eastAsia" w:cs="宋体" w:asciiTheme="minorEastAsia" w:hAnsiTheme="minorEastAsia" w:eastAsiaTheme="minorEastAsia"/>
                <w:color w:val="auto"/>
                <w:sz w:val="21"/>
                <w:highlight w:val="none"/>
              </w:rPr>
              <w:t>，是指经“政采云”平台认可的CA认证的电子签名数据为表现形式的印章，可用于签署电子投标文件，电子印章与实物印章具有同等法律效力，不因其采用电子化表现形式而否定其法律效力。</w:t>
            </w:r>
          </w:p>
          <w:p w14:paraId="4700FDE0">
            <w:pPr>
              <w:pStyle w:val="23"/>
              <w:snapToGrid w:val="0"/>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bCs/>
                <w:color w:val="auto"/>
                <w:sz w:val="21"/>
                <w:highlight w:val="none"/>
              </w:rPr>
              <w:t>3.投标人为其他组织或者自然人时，本招标文件规定的法定代表人指负责人或者自然人。本招标文件所称负责人是指参加投标的其他组织营业执照或者执业许可证等证照上的负责人，本招标文件所称自然人指参与投标的自然人本人，且应具备独立承担民事责任能力，自然人应当为年满18岁以上成年人（十六周岁以上的未成年人，以自己的劳动收入为主要生活来源的，视为完全民事行为能力人）。</w:t>
            </w:r>
          </w:p>
          <w:p w14:paraId="2035B27C">
            <w:pPr>
              <w:pStyle w:val="23"/>
              <w:snapToGrid w:val="0"/>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bCs/>
                <w:color w:val="auto"/>
                <w:sz w:val="21"/>
                <w:highlight w:val="none"/>
              </w:rPr>
              <w:t>4.本招标文件中描述投标人的“签字”是指投标人的法定代表人或者委托代理人亲自在文件规定签字处亲笔写上个人的名字的行为，私章、签字章、印鉴、影印等其他形式均不能代替亲笔签字。</w:t>
            </w:r>
          </w:p>
          <w:p w14:paraId="6A111534">
            <w:pPr>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bCs/>
                <w:color w:val="auto"/>
                <w:szCs w:val="21"/>
                <w:highlight w:val="none"/>
              </w:rPr>
              <w:t>5.</w:t>
            </w:r>
            <w:r>
              <w:rPr>
                <w:rFonts w:hint="eastAsia" w:cs="宋体" w:asciiTheme="minorEastAsia" w:hAnsiTheme="minorEastAsia" w:eastAsiaTheme="minorEastAsia"/>
                <w:bCs/>
                <w:color w:val="auto"/>
                <w:kern w:val="0"/>
                <w:szCs w:val="21"/>
                <w:highlight w:val="none"/>
              </w:rPr>
              <w:t>本招标文件所称的“以上”“以下”“以内”“届满”，包括本数；所称的“不满”“超过”“以外”，不包括本数。</w:t>
            </w:r>
          </w:p>
        </w:tc>
      </w:tr>
    </w:tbl>
    <w:p w14:paraId="6984659C">
      <w:pPr>
        <w:rPr>
          <w:rFonts w:cs="宋体" w:asciiTheme="minorEastAsia" w:hAnsiTheme="minorEastAsia" w:eastAsiaTheme="minorEastAsia"/>
          <w:bCs/>
          <w:color w:val="auto"/>
          <w:kern w:val="0"/>
          <w:szCs w:val="21"/>
          <w:highlight w:val="none"/>
        </w:rPr>
      </w:pPr>
      <w:r>
        <w:rPr>
          <w:rFonts w:hint="eastAsia" w:cs="宋体" w:asciiTheme="minorEastAsia" w:hAnsiTheme="minorEastAsia" w:eastAsiaTheme="minorEastAsia"/>
          <w:bCs/>
          <w:color w:val="auto"/>
          <w:kern w:val="0"/>
          <w:szCs w:val="21"/>
          <w:highlight w:val="none"/>
        </w:rPr>
        <w:t>备注: “投标人须知前附表”的"编列内容"中,同时有“□”和“☑”选择性的内容，</w:t>
      </w:r>
      <w:r>
        <w:rPr>
          <w:rFonts w:hint="eastAsia" w:cs="宋体" w:asciiTheme="minorEastAsia" w:hAnsiTheme="minorEastAsia" w:eastAsiaTheme="minorEastAsia"/>
          <w:b/>
          <w:bCs/>
          <w:color w:val="auto"/>
          <w:kern w:val="0"/>
          <w:szCs w:val="21"/>
          <w:highlight w:val="none"/>
        </w:rPr>
        <w:t>标“☑”的内容为本项目选择的内容</w:t>
      </w:r>
      <w:r>
        <w:rPr>
          <w:rFonts w:hint="eastAsia" w:cs="宋体" w:asciiTheme="minorEastAsia" w:hAnsiTheme="minorEastAsia" w:eastAsiaTheme="minorEastAsia"/>
          <w:bCs/>
          <w:color w:val="auto"/>
          <w:kern w:val="0"/>
          <w:szCs w:val="21"/>
          <w:highlight w:val="none"/>
        </w:rPr>
        <w:t>，“□”的内容不适用于本项目。</w:t>
      </w:r>
    </w:p>
    <w:p w14:paraId="0D499022">
      <w:pPr>
        <w:pStyle w:val="4"/>
        <w:keepNext w:val="0"/>
        <w:keepLines w:val="0"/>
        <w:spacing w:before="0" w:after="0" w:line="360" w:lineRule="auto"/>
        <w:jc w:val="center"/>
        <w:rPr>
          <w:rFonts w:cs="宋体" w:asciiTheme="minorEastAsia" w:hAnsiTheme="minorEastAsia" w:eastAsiaTheme="minorEastAsia"/>
          <w:color w:val="auto"/>
          <w:highlight w:val="none"/>
        </w:rPr>
      </w:pPr>
      <w:r>
        <w:rPr>
          <w:rFonts w:hint="eastAsia" w:ascii="宋体" w:hAnsi="宋体" w:cs="宋体"/>
          <w:color w:val="auto"/>
          <w:highlight w:val="none"/>
        </w:rPr>
        <w:br w:type="page"/>
      </w:r>
      <w:r>
        <w:rPr>
          <w:rFonts w:hint="eastAsia" w:cs="宋体" w:asciiTheme="minorEastAsia" w:hAnsiTheme="minorEastAsia" w:eastAsiaTheme="minorEastAsia"/>
          <w:color w:val="auto"/>
          <w:highlight w:val="none"/>
        </w:rPr>
        <w:t>投标人须知正文</w:t>
      </w:r>
    </w:p>
    <w:p w14:paraId="0A555568">
      <w:pPr>
        <w:pStyle w:val="4"/>
        <w:keepNext w:val="0"/>
        <w:keepLines w:val="0"/>
        <w:spacing w:before="0" w:after="0" w:line="360" w:lineRule="auto"/>
        <w:jc w:val="center"/>
        <w:rPr>
          <w:rFonts w:cs="宋体" w:asciiTheme="minorEastAsia" w:hAnsiTheme="minorEastAsia" w:eastAsiaTheme="minorEastAsia"/>
          <w:color w:val="auto"/>
          <w:sz w:val="28"/>
          <w:szCs w:val="28"/>
          <w:highlight w:val="none"/>
        </w:rPr>
      </w:pPr>
      <w:r>
        <w:rPr>
          <w:rFonts w:hint="eastAsia" w:cs="宋体" w:asciiTheme="minorEastAsia" w:hAnsiTheme="minorEastAsia" w:eastAsiaTheme="minorEastAsia"/>
          <w:color w:val="auto"/>
          <w:sz w:val="28"/>
          <w:szCs w:val="28"/>
          <w:highlight w:val="none"/>
        </w:rPr>
        <w:t>一、总  则</w:t>
      </w:r>
    </w:p>
    <w:p w14:paraId="01852400">
      <w:pPr>
        <w:pStyle w:val="6"/>
        <w:keepNext w:val="0"/>
        <w:keepLines w:val="0"/>
        <w:spacing w:before="0" w:after="0" w:line="360" w:lineRule="auto"/>
        <w:rPr>
          <w:rFonts w:cs="宋体" w:asciiTheme="minorEastAsia" w:hAnsiTheme="minorEastAsia" w:eastAsiaTheme="minorEastAsia"/>
          <w:color w:val="auto"/>
          <w:sz w:val="21"/>
          <w:szCs w:val="21"/>
          <w:highlight w:val="none"/>
        </w:rPr>
      </w:pPr>
      <w:bookmarkStart w:id="48" w:name="_Toc254970527"/>
      <w:bookmarkStart w:id="49" w:name="_Toc254970668"/>
      <w:r>
        <w:rPr>
          <w:rFonts w:hint="eastAsia" w:cs="宋体" w:asciiTheme="minorEastAsia" w:hAnsiTheme="minorEastAsia" w:eastAsiaTheme="minorEastAsia"/>
          <w:color w:val="auto"/>
          <w:sz w:val="21"/>
          <w:szCs w:val="21"/>
          <w:highlight w:val="none"/>
        </w:rPr>
        <w:t>1.适用范围</w:t>
      </w:r>
      <w:bookmarkEnd w:id="48"/>
      <w:bookmarkEnd w:id="49"/>
    </w:p>
    <w:p w14:paraId="11A1BCE6">
      <w:pPr>
        <w:snapToGrid w:val="0"/>
        <w:spacing w:line="360" w:lineRule="auto"/>
        <w:ind w:firstLine="420" w:firstLineChars="20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1.1适用法律：本项目采购人、采购代理机构、投标人、评标委员会的相关行为均受《中华人民共和国政府采购法》、《中华人民共和国政府采购法实施条例》、《政府采购货物和服务招标投标管理办法》及本项目本级和上级财政部门政府采购有关规定的约束和保护。</w:t>
      </w:r>
    </w:p>
    <w:p w14:paraId="7760AE0B">
      <w:pPr>
        <w:snapToGrid w:val="0"/>
        <w:spacing w:line="360" w:lineRule="auto"/>
        <w:ind w:firstLine="420" w:firstLineChars="20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1.2本招标文件</w:t>
      </w:r>
      <w:r>
        <w:rPr>
          <w:rFonts w:hint="eastAsia" w:cs="宋体" w:asciiTheme="minorEastAsia" w:hAnsiTheme="minorEastAsia" w:eastAsiaTheme="minorEastAsia"/>
          <w:color w:val="auto"/>
          <w:spacing w:val="-6"/>
          <w:szCs w:val="21"/>
          <w:highlight w:val="none"/>
        </w:rPr>
        <w:t>适用于本项目的所有采购程序和环节（法律、法规另有规定的，从其规定）。</w:t>
      </w:r>
    </w:p>
    <w:p w14:paraId="45208FDC">
      <w:pPr>
        <w:pStyle w:val="6"/>
        <w:keepNext w:val="0"/>
        <w:keepLines w:val="0"/>
        <w:spacing w:before="0" w:after="0" w:line="360" w:lineRule="auto"/>
        <w:rPr>
          <w:rFonts w:cs="宋体" w:asciiTheme="minorEastAsia" w:hAnsiTheme="minorEastAsia" w:eastAsiaTheme="minorEastAsia"/>
          <w:color w:val="auto"/>
          <w:sz w:val="21"/>
          <w:szCs w:val="21"/>
          <w:highlight w:val="none"/>
        </w:rPr>
      </w:pPr>
      <w:bookmarkStart w:id="50" w:name="_Toc254970669"/>
      <w:bookmarkStart w:id="51" w:name="_Toc254970528"/>
      <w:r>
        <w:rPr>
          <w:rFonts w:hint="eastAsia" w:cs="宋体" w:asciiTheme="minorEastAsia" w:hAnsiTheme="minorEastAsia" w:eastAsiaTheme="minorEastAsia"/>
          <w:color w:val="auto"/>
          <w:sz w:val="21"/>
          <w:szCs w:val="21"/>
          <w:highlight w:val="none"/>
        </w:rPr>
        <w:t>2.定义</w:t>
      </w:r>
      <w:bookmarkEnd w:id="50"/>
      <w:bookmarkEnd w:id="51"/>
    </w:p>
    <w:p w14:paraId="7720136A">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2.1“采购人”是指依法进行政府采购的国家机关、事业单位、团体组织。</w:t>
      </w:r>
    </w:p>
    <w:p w14:paraId="03929C24">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2.2“采购代理机构”是指政府采购集中采购机构和集中采购机构以外的采购代理机构。</w:t>
      </w:r>
    </w:p>
    <w:p w14:paraId="1B2439C7">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2.3“供应商”是指向采购人提供货物、工程或者服务的法人、其他组织或者自然人。</w:t>
      </w:r>
    </w:p>
    <w:p w14:paraId="20922DF4">
      <w:pPr>
        <w:pStyle w:val="7"/>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2.4“投标人”是指响应招标、参加投标竞争的法人、其他组织或者自然人。</w:t>
      </w:r>
    </w:p>
    <w:p w14:paraId="35332612">
      <w:pPr>
        <w:pStyle w:val="6"/>
        <w:keepNext w:val="0"/>
        <w:keepLines w:val="0"/>
        <w:spacing w:before="0" w:after="0" w:line="360" w:lineRule="auto"/>
        <w:ind w:firstLine="420" w:firstLineChars="20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2.5“服务”是指除货物和工程以外的其他政府采购对象。</w:t>
      </w:r>
    </w:p>
    <w:p w14:paraId="067F6F1C">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2.6“书面形式”是指合同书、信件和数据电文（包括电报、电传、传真、电子数据交换和电子邮件）等可以有形地表现所载内容的形式。</w:t>
      </w:r>
    </w:p>
    <w:p w14:paraId="1B77FFED">
      <w:pPr>
        <w:pStyle w:val="6"/>
        <w:keepNext w:val="0"/>
        <w:keepLines w:val="0"/>
        <w:spacing w:before="0" w:after="0" w:line="360" w:lineRule="auto"/>
        <w:ind w:firstLine="420" w:firstLineChars="20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2.7“实质性要求”是指招标文件中已经指明不满足则投标无效的条款，或者不能负偏离的条款，或者采购需求中带“▲”的条款。</w:t>
      </w:r>
    </w:p>
    <w:p w14:paraId="08973736">
      <w:pPr>
        <w:snapToGrid w:val="0"/>
        <w:spacing w:line="360" w:lineRule="auto"/>
        <w:ind w:firstLine="420" w:firstLineChars="20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2.8“正偏离”，是指投标文件对招标文件“采购需求”中有关条款作出的响应优于条款要求并有利于采购人的情形。</w:t>
      </w:r>
    </w:p>
    <w:p w14:paraId="56A42FD6">
      <w:pPr>
        <w:snapToGrid w:val="0"/>
        <w:spacing w:line="360" w:lineRule="auto"/>
        <w:ind w:firstLine="420" w:firstLineChars="20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2.9“负偏离”，是指投标文件对招标文件“采购需求”中有关条款作出的响应不满足条款要求，导致采购人要求不能得到满足的情形。</w:t>
      </w:r>
    </w:p>
    <w:p w14:paraId="097B51AF">
      <w:pPr>
        <w:snapToGrid w:val="0"/>
        <w:spacing w:line="360" w:lineRule="auto"/>
        <w:ind w:firstLine="420" w:firstLineChars="20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2.10“允许负偏离的条款”是指采购需求中的不属于“实质性要求”的条款。</w:t>
      </w:r>
      <w:bookmarkStart w:id="52" w:name="_Toc254970670"/>
      <w:bookmarkStart w:id="53" w:name="_Toc254970529"/>
    </w:p>
    <w:p w14:paraId="7D7EC8D1">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3.</w:t>
      </w:r>
      <w:bookmarkEnd w:id="52"/>
      <w:bookmarkEnd w:id="53"/>
      <w:r>
        <w:rPr>
          <w:rFonts w:hint="eastAsia" w:cs="宋体" w:asciiTheme="minorEastAsia" w:hAnsiTheme="minorEastAsia" w:eastAsiaTheme="minorEastAsia"/>
          <w:color w:val="auto"/>
          <w:sz w:val="21"/>
          <w:szCs w:val="21"/>
          <w:highlight w:val="none"/>
        </w:rPr>
        <w:t>投标人的资格要求</w:t>
      </w:r>
    </w:p>
    <w:p w14:paraId="50CFD115">
      <w:pPr>
        <w:snapToGrid w:val="0"/>
        <w:spacing w:line="360" w:lineRule="auto"/>
        <w:ind w:firstLine="420" w:firstLineChars="20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投标人的资格要求详见“投标人须知前附表”。</w:t>
      </w:r>
    </w:p>
    <w:p w14:paraId="489A0BE3">
      <w:pPr>
        <w:pStyle w:val="6"/>
        <w:keepNext w:val="0"/>
        <w:keepLines w:val="0"/>
        <w:spacing w:before="0" w:after="0" w:line="360" w:lineRule="auto"/>
        <w:rPr>
          <w:rFonts w:cs="宋体" w:asciiTheme="minorEastAsia" w:hAnsiTheme="minorEastAsia" w:eastAsiaTheme="minorEastAsia"/>
          <w:color w:val="auto"/>
          <w:sz w:val="21"/>
          <w:szCs w:val="21"/>
          <w:highlight w:val="none"/>
        </w:rPr>
      </w:pPr>
      <w:bookmarkStart w:id="54" w:name="_Toc254970530"/>
      <w:bookmarkStart w:id="55" w:name="_Toc254970671"/>
      <w:r>
        <w:rPr>
          <w:rFonts w:hint="eastAsia" w:cs="宋体" w:asciiTheme="minorEastAsia" w:hAnsiTheme="minorEastAsia" w:eastAsiaTheme="minorEastAsia"/>
          <w:color w:val="auto"/>
          <w:sz w:val="21"/>
          <w:szCs w:val="21"/>
          <w:highlight w:val="none"/>
        </w:rPr>
        <w:t>4.投标委托</w:t>
      </w:r>
      <w:bookmarkEnd w:id="54"/>
      <w:bookmarkEnd w:id="55"/>
    </w:p>
    <w:p w14:paraId="2291B466">
      <w:pPr>
        <w:snapToGrid w:val="0"/>
        <w:spacing w:line="360" w:lineRule="auto"/>
        <w:ind w:firstLine="420" w:firstLineChars="20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投标人代表参加投标活动过程中必须携带个人有效身份证件。如投标人代表不是法定代表人，须持有授权委托书（按第六章要求格式填写）。</w:t>
      </w:r>
    </w:p>
    <w:p w14:paraId="78BBCA56">
      <w:pPr>
        <w:pStyle w:val="6"/>
        <w:keepNext w:val="0"/>
        <w:keepLines w:val="0"/>
        <w:spacing w:before="0" w:after="0" w:line="360" w:lineRule="auto"/>
        <w:rPr>
          <w:rFonts w:cs="宋体" w:asciiTheme="minorEastAsia" w:hAnsiTheme="minorEastAsia" w:eastAsiaTheme="minorEastAsia"/>
          <w:color w:val="auto"/>
          <w:sz w:val="21"/>
          <w:szCs w:val="21"/>
          <w:highlight w:val="none"/>
        </w:rPr>
      </w:pPr>
      <w:bookmarkStart w:id="56" w:name="_5.投标费用"/>
      <w:bookmarkEnd w:id="56"/>
      <w:bookmarkStart w:id="57" w:name="_Toc254970672"/>
      <w:bookmarkStart w:id="58" w:name="_Toc254970531"/>
      <w:r>
        <w:rPr>
          <w:rFonts w:hint="eastAsia" w:cs="宋体" w:asciiTheme="minorEastAsia" w:hAnsiTheme="minorEastAsia" w:eastAsiaTheme="minorEastAsia"/>
          <w:color w:val="auto"/>
          <w:sz w:val="21"/>
          <w:szCs w:val="21"/>
          <w:highlight w:val="none"/>
        </w:rPr>
        <w:t>5.投标费用</w:t>
      </w:r>
      <w:bookmarkEnd w:id="57"/>
      <w:bookmarkEnd w:id="58"/>
    </w:p>
    <w:p w14:paraId="24848F0B">
      <w:pPr>
        <w:snapToGrid w:val="0"/>
        <w:spacing w:line="360" w:lineRule="auto"/>
        <w:ind w:firstLine="420" w:firstLineChars="20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投标费用：投标人应承担参与本次采购活动有关的所有费用，包括但不限于获取招标文件、勘查现场、编制和提交投标文件、参加澄清说明、签订合同等，不论投标结果如何，均应自行承担。</w:t>
      </w:r>
    </w:p>
    <w:p w14:paraId="70A7560B">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6.联合体投标</w:t>
      </w:r>
    </w:p>
    <w:p w14:paraId="06AFCFD0">
      <w:pPr>
        <w:snapToGrid w:val="0"/>
        <w:spacing w:line="360" w:lineRule="auto"/>
        <w:ind w:firstLine="420" w:firstLineChars="20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6.1本项目是否接受联合体投标，详见“投标人须知前附表”。</w:t>
      </w:r>
    </w:p>
    <w:p w14:paraId="19A9F004">
      <w:pPr>
        <w:snapToGrid w:val="0"/>
        <w:spacing w:line="360" w:lineRule="auto"/>
        <w:ind w:firstLine="420" w:firstLineChars="200"/>
        <w:jc w:val="left"/>
        <w:rPr>
          <w:rFonts w:cs="宋体" w:asciiTheme="minorEastAsia" w:hAnsiTheme="minorEastAsia" w:eastAsiaTheme="minorEastAsia"/>
          <w:bCs/>
          <w:color w:val="auto"/>
          <w:szCs w:val="21"/>
          <w:highlight w:val="none"/>
        </w:rPr>
      </w:pPr>
      <w:r>
        <w:rPr>
          <w:rFonts w:hint="eastAsia" w:cs="宋体" w:asciiTheme="minorEastAsia" w:hAnsiTheme="minorEastAsia" w:eastAsiaTheme="minorEastAsia"/>
          <w:bCs/>
          <w:color w:val="auto"/>
          <w:szCs w:val="21"/>
          <w:highlight w:val="none"/>
        </w:rPr>
        <w:t>6.2如接受联合体投标，联合体投标要求详见“投标人须知前附表”。</w:t>
      </w:r>
    </w:p>
    <w:p w14:paraId="19A5D139">
      <w:pPr>
        <w:snapToGrid w:val="0"/>
        <w:spacing w:line="360" w:lineRule="auto"/>
        <w:ind w:firstLine="420" w:firstLineChars="20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bCs/>
          <w:color w:val="auto"/>
          <w:szCs w:val="21"/>
          <w:highlight w:val="none"/>
        </w:rPr>
        <w:t>6.3</w:t>
      </w:r>
      <w:r>
        <w:rPr>
          <w:rFonts w:hint="eastAsia" w:cs="宋体" w:asciiTheme="minorEastAsia" w:hAnsiTheme="minorEastAsia" w:eastAsiaTheme="minorEastAsia"/>
          <w:color w:val="auto"/>
          <w:szCs w:val="21"/>
          <w:highlight w:val="none"/>
        </w:rPr>
        <w:t>根据《政府采购促进中小企业发展管理办法》（财库〔2020〕46号）第九条第二款及《广西壮族自治区财政厅关于持续优化政府采购营商环境推动高质量发展的通知》（桂财采〔2024〕55号）的规定，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的扣除，用扣除后的价格参加评审。</w:t>
      </w:r>
    </w:p>
    <w:p w14:paraId="77F74F47">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 xml:space="preserve">7.转包与分包             </w:t>
      </w:r>
    </w:p>
    <w:p w14:paraId="66652C3C">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bookmarkStart w:id="59" w:name="_Toc254970532"/>
      <w:bookmarkStart w:id="60" w:name="_Toc254970673"/>
      <w:r>
        <w:rPr>
          <w:rFonts w:hint="eastAsia" w:cs="宋体" w:asciiTheme="minorEastAsia" w:hAnsiTheme="minorEastAsia" w:eastAsiaTheme="minorEastAsia"/>
          <w:b w:val="0"/>
          <w:color w:val="auto"/>
          <w:sz w:val="21"/>
          <w:szCs w:val="21"/>
          <w:highlight w:val="none"/>
        </w:rPr>
        <w:t xml:space="preserve">   7.1本项目不允许转包。</w:t>
      </w:r>
    </w:p>
    <w:p w14:paraId="2421626E">
      <w:pPr>
        <w:pStyle w:val="6"/>
        <w:keepNext w:val="0"/>
        <w:keepLines w:val="0"/>
        <w:spacing w:before="0" w:after="0" w:line="360" w:lineRule="auto"/>
        <w:ind w:firstLine="315" w:firstLineChars="15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7.2本项目是否允许分包详见“投标人须知前附表”，本项目不允许违法分包。允许分包的非主体、非关键性工作，根据法律法规规定承担该工作需要行政许可的，如该工作由投标人自行承担，投标人应具备相应的行政许可，如投标人不具备相应的行政许可必须采用分包的方式，但分包投标人应具备相应行政许可。</w:t>
      </w:r>
    </w:p>
    <w:p w14:paraId="293B466A">
      <w:pPr>
        <w:pStyle w:val="6"/>
        <w:keepNext w:val="0"/>
        <w:keepLines w:val="0"/>
        <w:spacing w:before="0" w:after="0" w:line="360" w:lineRule="auto"/>
        <w:ind w:firstLine="315" w:firstLineChars="15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7.3投标人根据招标文件的规定和采购项目的实际情况，拟在中标后将中标项目的非主体、非关键性工作分包的，应当在投标文件中载明分包承担主体，分包承担主体应当具备相应资质条件且不得再次分包。</w:t>
      </w:r>
    </w:p>
    <w:p w14:paraId="7A2103A7">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8.特别说明</w:t>
      </w:r>
      <w:bookmarkEnd w:id="59"/>
      <w:bookmarkEnd w:id="60"/>
    </w:p>
    <w:p w14:paraId="7654FD7A">
      <w:pPr>
        <w:pStyle w:val="6"/>
        <w:keepNext w:val="0"/>
        <w:keepLines w:val="0"/>
        <w:spacing w:before="0" w:after="0" w:line="360" w:lineRule="auto"/>
        <w:ind w:firstLine="367" w:firstLineChars="175"/>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8.1如果本招标文件要求提供投标人或制造商的资格、信誉、荣誉、业绩与企业认证等材料的，资格、信誉、荣誉、业绩与企业认证等必须为投标人或者制造商所拥有或自身获得 。</w:t>
      </w:r>
    </w:p>
    <w:p w14:paraId="6F944532">
      <w:pPr>
        <w:pStyle w:val="6"/>
        <w:keepNext w:val="0"/>
        <w:keepLines w:val="0"/>
        <w:spacing w:before="0" w:after="0" w:line="360" w:lineRule="auto"/>
        <w:ind w:firstLine="367" w:firstLineChars="175"/>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8.2投标人应仔细阅读招标文件的所有内容，按照招标文件的要求提交投标文件，并对所提供的全部资料的真实性承担法律责任。</w:t>
      </w:r>
    </w:p>
    <w:p w14:paraId="5DEDEA02">
      <w:pPr>
        <w:pStyle w:val="6"/>
        <w:keepNext w:val="0"/>
        <w:keepLines w:val="0"/>
        <w:spacing w:before="0" w:after="0" w:line="360" w:lineRule="auto"/>
        <w:ind w:firstLine="367" w:firstLineChars="175"/>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8.3投标人在投标活动中提供任何虚假材料，将报监管部门查处；中标后发现的，中标人须依照《中华人民共和国消费者权益保护法》规定赔偿采购人，且民事赔偿并不免除违法投标人的行政与刑事责任。</w:t>
      </w:r>
    </w:p>
    <w:p w14:paraId="5F573AFF">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9.回避与串通投标</w:t>
      </w:r>
    </w:p>
    <w:p w14:paraId="15806391">
      <w:pPr>
        <w:pStyle w:val="6"/>
        <w:keepNext w:val="0"/>
        <w:keepLines w:val="0"/>
        <w:spacing w:before="0" w:after="0" w:line="360" w:lineRule="auto"/>
        <w:ind w:firstLine="367" w:firstLineChars="175"/>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9.1在政府采购活动中，采购人员及相关人员与供应商有下列利害关系之一的，应当回避：</w:t>
      </w:r>
    </w:p>
    <w:p w14:paraId="304321B2">
      <w:pPr>
        <w:pStyle w:val="23"/>
        <w:snapToGrid w:val="0"/>
        <w:spacing w:line="360" w:lineRule="auto"/>
        <w:ind w:firstLine="420" w:firstLineChars="200"/>
        <w:rPr>
          <w:rFonts w:cs="宋体" w:asciiTheme="minorEastAsia" w:hAnsiTheme="minorEastAsia" w:eastAsiaTheme="minorEastAsia"/>
          <w:color w:val="auto"/>
          <w:kern w:val="2"/>
          <w:sz w:val="21"/>
          <w:highlight w:val="none"/>
        </w:rPr>
      </w:pPr>
      <w:r>
        <w:rPr>
          <w:rFonts w:hint="eastAsia" w:cs="宋体" w:asciiTheme="minorEastAsia" w:hAnsiTheme="minorEastAsia" w:eastAsiaTheme="minorEastAsia"/>
          <w:color w:val="auto"/>
          <w:kern w:val="2"/>
          <w:sz w:val="21"/>
          <w:highlight w:val="none"/>
        </w:rPr>
        <w:t>（1）参加采购活动前3年内与供应商存在劳动关系；</w:t>
      </w:r>
    </w:p>
    <w:p w14:paraId="58099D06">
      <w:pPr>
        <w:pStyle w:val="23"/>
        <w:snapToGrid w:val="0"/>
        <w:spacing w:line="360" w:lineRule="auto"/>
        <w:ind w:firstLine="420" w:firstLineChars="200"/>
        <w:rPr>
          <w:rFonts w:cs="宋体" w:asciiTheme="minorEastAsia" w:hAnsiTheme="minorEastAsia" w:eastAsiaTheme="minorEastAsia"/>
          <w:color w:val="auto"/>
          <w:kern w:val="2"/>
          <w:sz w:val="21"/>
          <w:highlight w:val="none"/>
        </w:rPr>
      </w:pPr>
      <w:r>
        <w:rPr>
          <w:rFonts w:hint="eastAsia" w:cs="宋体" w:asciiTheme="minorEastAsia" w:hAnsiTheme="minorEastAsia" w:eastAsiaTheme="minorEastAsia"/>
          <w:color w:val="auto"/>
          <w:kern w:val="2"/>
          <w:sz w:val="21"/>
          <w:highlight w:val="none"/>
        </w:rPr>
        <w:t>（2）参加采购活动前3年内担任供应商的董事、监事；</w:t>
      </w:r>
    </w:p>
    <w:p w14:paraId="73D2774F">
      <w:pPr>
        <w:pStyle w:val="23"/>
        <w:snapToGrid w:val="0"/>
        <w:spacing w:line="360" w:lineRule="auto"/>
        <w:ind w:firstLine="420" w:firstLineChars="200"/>
        <w:rPr>
          <w:rFonts w:cs="宋体" w:asciiTheme="minorEastAsia" w:hAnsiTheme="minorEastAsia" w:eastAsiaTheme="minorEastAsia"/>
          <w:color w:val="auto"/>
          <w:kern w:val="2"/>
          <w:sz w:val="21"/>
          <w:highlight w:val="none"/>
        </w:rPr>
      </w:pPr>
      <w:r>
        <w:rPr>
          <w:rFonts w:hint="eastAsia" w:cs="宋体" w:asciiTheme="minorEastAsia" w:hAnsiTheme="minorEastAsia" w:eastAsiaTheme="minorEastAsia"/>
          <w:color w:val="auto"/>
          <w:kern w:val="2"/>
          <w:sz w:val="21"/>
          <w:highlight w:val="none"/>
        </w:rPr>
        <w:t>（3）参加采购活动前3年内是供应商的控股股东或者实际控制人；</w:t>
      </w:r>
    </w:p>
    <w:p w14:paraId="0D8B3358">
      <w:pPr>
        <w:pStyle w:val="23"/>
        <w:snapToGrid w:val="0"/>
        <w:spacing w:line="360" w:lineRule="auto"/>
        <w:ind w:firstLine="420" w:firstLineChars="200"/>
        <w:rPr>
          <w:rFonts w:cs="宋体" w:asciiTheme="minorEastAsia" w:hAnsiTheme="minorEastAsia" w:eastAsiaTheme="minorEastAsia"/>
          <w:color w:val="auto"/>
          <w:kern w:val="2"/>
          <w:sz w:val="21"/>
          <w:highlight w:val="none"/>
        </w:rPr>
      </w:pPr>
      <w:r>
        <w:rPr>
          <w:rFonts w:hint="eastAsia" w:cs="宋体" w:asciiTheme="minorEastAsia" w:hAnsiTheme="minorEastAsia" w:eastAsiaTheme="minorEastAsia"/>
          <w:color w:val="auto"/>
          <w:kern w:val="2"/>
          <w:sz w:val="21"/>
          <w:highlight w:val="none"/>
        </w:rPr>
        <w:t>（4）与供应商的法定代表人或者负责人有夫妻、直系血亲、三代以内旁系血亲或者近姻亲关系；</w:t>
      </w:r>
    </w:p>
    <w:p w14:paraId="1E2F686D">
      <w:pPr>
        <w:pStyle w:val="23"/>
        <w:snapToGrid w:val="0"/>
        <w:spacing w:line="360" w:lineRule="auto"/>
        <w:ind w:firstLine="420" w:firstLineChars="200"/>
        <w:rPr>
          <w:rFonts w:cs="宋体" w:asciiTheme="minorEastAsia" w:hAnsiTheme="minorEastAsia" w:eastAsiaTheme="minorEastAsia"/>
          <w:color w:val="auto"/>
          <w:kern w:val="2"/>
          <w:sz w:val="21"/>
          <w:highlight w:val="none"/>
        </w:rPr>
      </w:pPr>
      <w:r>
        <w:rPr>
          <w:rFonts w:hint="eastAsia" w:cs="宋体" w:asciiTheme="minorEastAsia" w:hAnsiTheme="minorEastAsia" w:eastAsiaTheme="minorEastAsia"/>
          <w:color w:val="auto"/>
          <w:kern w:val="2"/>
          <w:sz w:val="21"/>
          <w:highlight w:val="none"/>
        </w:rPr>
        <w:t>（5）与供应商有其他可能影响政府采购活动公平、公正进行的关系。</w:t>
      </w:r>
    </w:p>
    <w:p w14:paraId="1EB5FF8F">
      <w:pPr>
        <w:pStyle w:val="23"/>
        <w:snapToGrid w:val="0"/>
        <w:spacing w:line="360" w:lineRule="auto"/>
        <w:ind w:firstLine="420" w:firstLineChars="200"/>
        <w:rPr>
          <w:rFonts w:cs="宋体" w:asciiTheme="minorEastAsia" w:hAnsiTheme="minorEastAsia" w:eastAsiaTheme="minorEastAsia"/>
          <w:color w:val="auto"/>
          <w:kern w:val="2"/>
          <w:sz w:val="21"/>
          <w:highlight w:val="none"/>
        </w:rPr>
      </w:pPr>
      <w:r>
        <w:rPr>
          <w:rFonts w:hint="eastAsia" w:cs="宋体" w:asciiTheme="minorEastAsia" w:hAnsiTheme="minorEastAsia" w:eastAsiaTheme="minorEastAsia"/>
          <w:color w:val="auto"/>
          <w:kern w:val="2"/>
          <w:sz w:val="21"/>
          <w:highlight w:val="none"/>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770916C3">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9.2有下列情形之一的视为投标人相互串通投标，投标文件将被视为无效：</w:t>
      </w:r>
    </w:p>
    <w:p w14:paraId="4E085CCA">
      <w:pPr>
        <w:pStyle w:val="23"/>
        <w:snapToGrid w:val="0"/>
        <w:spacing w:line="360" w:lineRule="auto"/>
        <w:ind w:firstLine="422" w:firstLineChars="200"/>
        <w:rPr>
          <w:rFonts w:cs="宋体" w:asciiTheme="minorEastAsia" w:hAnsiTheme="minorEastAsia" w:eastAsiaTheme="minorEastAsia"/>
          <w:b/>
          <w:color w:val="auto"/>
          <w:kern w:val="2"/>
          <w:sz w:val="21"/>
          <w:highlight w:val="none"/>
        </w:rPr>
      </w:pPr>
      <w:r>
        <w:rPr>
          <w:rFonts w:hint="eastAsia" w:cs="宋体" w:asciiTheme="minorEastAsia" w:hAnsiTheme="minorEastAsia" w:eastAsiaTheme="minorEastAsia"/>
          <w:b/>
          <w:color w:val="auto"/>
          <w:kern w:val="2"/>
          <w:sz w:val="21"/>
          <w:highlight w:val="none"/>
        </w:rPr>
        <w:t xml:space="preserve">（1）不同投标人的投标文件由同一单位或者个人编制； </w:t>
      </w:r>
    </w:p>
    <w:p w14:paraId="65EE1AC0">
      <w:pPr>
        <w:pStyle w:val="23"/>
        <w:snapToGrid w:val="0"/>
        <w:spacing w:line="360" w:lineRule="auto"/>
        <w:ind w:firstLine="422" w:firstLineChars="200"/>
        <w:rPr>
          <w:rFonts w:cs="宋体" w:asciiTheme="minorEastAsia" w:hAnsiTheme="minorEastAsia" w:eastAsiaTheme="minorEastAsia"/>
          <w:b/>
          <w:color w:val="auto"/>
          <w:kern w:val="2"/>
          <w:sz w:val="21"/>
          <w:highlight w:val="none"/>
        </w:rPr>
      </w:pPr>
      <w:r>
        <w:rPr>
          <w:rFonts w:hint="eastAsia" w:cs="宋体" w:asciiTheme="minorEastAsia" w:hAnsiTheme="minorEastAsia" w:eastAsiaTheme="minorEastAsia"/>
          <w:b/>
          <w:color w:val="auto"/>
          <w:kern w:val="2"/>
          <w:sz w:val="21"/>
          <w:highlight w:val="none"/>
        </w:rPr>
        <w:t>（2）不同投标人委托同一单位或者个人办理投标事宜；</w:t>
      </w:r>
    </w:p>
    <w:p w14:paraId="0BE28F70">
      <w:pPr>
        <w:pStyle w:val="23"/>
        <w:snapToGrid w:val="0"/>
        <w:spacing w:line="360" w:lineRule="auto"/>
        <w:ind w:firstLine="422" w:firstLineChars="200"/>
        <w:rPr>
          <w:rFonts w:cs="宋体" w:asciiTheme="minorEastAsia" w:hAnsiTheme="minorEastAsia" w:eastAsiaTheme="minorEastAsia"/>
          <w:b/>
          <w:color w:val="auto"/>
          <w:kern w:val="2"/>
          <w:sz w:val="21"/>
          <w:highlight w:val="none"/>
        </w:rPr>
      </w:pPr>
      <w:r>
        <w:rPr>
          <w:rFonts w:hint="eastAsia" w:cs="宋体" w:asciiTheme="minorEastAsia" w:hAnsiTheme="minorEastAsia" w:eastAsiaTheme="minorEastAsia"/>
          <w:b/>
          <w:color w:val="auto"/>
          <w:kern w:val="2"/>
          <w:sz w:val="21"/>
          <w:highlight w:val="none"/>
        </w:rPr>
        <w:t>（3）不同的投标人的投标文件载明的项目管理员为同一个人；</w:t>
      </w:r>
    </w:p>
    <w:p w14:paraId="6F7AE071">
      <w:pPr>
        <w:pStyle w:val="23"/>
        <w:snapToGrid w:val="0"/>
        <w:spacing w:line="360" w:lineRule="auto"/>
        <w:ind w:firstLine="422" w:firstLineChars="200"/>
        <w:rPr>
          <w:rFonts w:cs="宋体" w:asciiTheme="minorEastAsia" w:hAnsiTheme="minorEastAsia" w:eastAsiaTheme="minorEastAsia"/>
          <w:b/>
          <w:color w:val="auto"/>
          <w:kern w:val="2"/>
          <w:sz w:val="21"/>
          <w:highlight w:val="none"/>
        </w:rPr>
      </w:pPr>
      <w:r>
        <w:rPr>
          <w:rFonts w:hint="eastAsia" w:cs="宋体" w:asciiTheme="minorEastAsia" w:hAnsiTheme="minorEastAsia" w:eastAsiaTheme="minorEastAsia"/>
          <w:b/>
          <w:color w:val="auto"/>
          <w:kern w:val="2"/>
          <w:sz w:val="21"/>
          <w:highlight w:val="none"/>
        </w:rPr>
        <w:t>（4）不同投标人的投标文件异常一致或者投标报价呈规律性差异；</w:t>
      </w:r>
    </w:p>
    <w:p w14:paraId="4B1A0CDF">
      <w:pPr>
        <w:pStyle w:val="23"/>
        <w:snapToGrid w:val="0"/>
        <w:spacing w:line="360" w:lineRule="auto"/>
        <w:ind w:firstLine="422" w:firstLineChars="200"/>
        <w:rPr>
          <w:rFonts w:cs="宋体" w:asciiTheme="minorEastAsia" w:hAnsiTheme="minorEastAsia" w:eastAsiaTheme="minorEastAsia"/>
          <w:b/>
          <w:color w:val="auto"/>
          <w:kern w:val="2"/>
          <w:sz w:val="21"/>
          <w:highlight w:val="none"/>
        </w:rPr>
      </w:pPr>
      <w:r>
        <w:rPr>
          <w:rFonts w:hint="eastAsia" w:cs="宋体" w:asciiTheme="minorEastAsia" w:hAnsiTheme="minorEastAsia" w:eastAsiaTheme="minorEastAsia"/>
          <w:b/>
          <w:color w:val="auto"/>
          <w:kern w:val="2"/>
          <w:sz w:val="21"/>
          <w:highlight w:val="none"/>
        </w:rPr>
        <w:t>（5）不同投标人的投标文件相互混装；</w:t>
      </w:r>
    </w:p>
    <w:p w14:paraId="6B071727">
      <w:pPr>
        <w:pStyle w:val="23"/>
        <w:snapToGrid w:val="0"/>
        <w:spacing w:line="360" w:lineRule="auto"/>
        <w:ind w:firstLine="422" w:firstLineChars="200"/>
        <w:rPr>
          <w:rFonts w:cs="宋体" w:asciiTheme="minorEastAsia" w:hAnsiTheme="minorEastAsia" w:eastAsiaTheme="minorEastAsia"/>
          <w:b/>
          <w:color w:val="auto"/>
          <w:kern w:val="2"/>
          <w:sz w:val="21"/>
          <w:highlight w:val="none"/>
        </w:rPr>
      </w:pPr>
      <w:r>
        <w:rPr>
          <w:rFonts w:hint="eastAsia" w:cs="宋体" w:asciiTheme="minorEastAsia" w:hAnsiTheme="minorEastAsia" w:eastAsiaTheme="minorEastAsia"/>
          <w:b/>
          <w:color w:val="auto"/>
          <w:kern w:val="2"/>
          <w:sz w:val="21"/>
          <w:highlight w:val="none"/>
        </w:rPr>
        <w:t>（6）不同投标人的投标保证金从同一单位或者个人账户转出。</w:t>
      </w:r>
    </w:p>
    <w:p w14:paraId="19D404B9">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Cs/>
          <w:color w:val="auto"/>
          <w:sz w:val="21"/>
          <w:szCs w:val="21"/>
          <w:highlight w:val="none"/>
        </w:rPr>
        <w:t>9.3供应商有下列情形之一的，属于恶意串通行为，将报同级监督管理部门：</w:t>
      </w:r>
    </w:p>
    <w:p w14:paraId="6AA1C780">
      <w:pPr>
        <w:pStyle w:val="23"/>
        <w:snapToGrid w:val="0"/>
        <w:spacing w:line="360" w:lineRule="auto"/>
        <w:ind w:firstLine="420" w:firstLineChars="200"/>
        <w:rPr>
          <w:rFonts w:cs="宋体" w:asciiTheme="minorEastAsia" w:hAnsiTheme="minorEastAsia" w:eastAsiaTheme="minorEastAsia"/>
          <w:color w:val="auto"/>
          <w:kern w:val="2"/>
          <w:sz w:val="21"/>
          <w:highlight w:val="none"/>
        </w:rPr>
      </w:pPr>
      <w:r>
        <w:rPr>
          <w:rFonts w:hint="eastAsia" w:cs="宋体" w:asciiTheme="minorEastAsia" w:hAnsiTheme="minorEastAsia" w:eastAsiaTheme="minorEastAsia"/>
          <w:color w:val="auto"/>
          <w:kern w:val="2"/>
          <w:sz w:val="21"/>
          <w:highlight w:val="none"/>
        </w:rPr>
        <w:t>（1）供应商直接或者间接从采购人或者采购代理机构处获得其他供应商的相关信息并修改其投标文件或者响应文件；</w:t>
      </w:r>
    </w:p>
    <w:p w14:paraId="4E03F00A">
      <w:pPr>
        <w:pStyle w:val="23"/>
        <w:snapToGrid w:val="0"/>
        <w:spacing w:line="360" w:lineRule="auto"/>
        <w:ind w:firstLine="420" w:firstLineChars="200"/>
        <w:rPr>
          <w:rFonts w:cs="宋体" w:asciiTheme="minorEastAsia" w:hAnsiTheme="minorEastAsia" w:eastAsiaTheme="minorEastAsia"/>
          <w:color w:val="auto"/>
          <w:kern w:val="2"/>
          <w:sz w:val="21"/>
          <w:highlight w:val="none"/>
        </w:rPr>
      </w:pPr>
      <w:r>
        <w:rPr>
          <w:rFonts w:hint="eastAsia" w:cs="宋体" w:asciiTheme="minorEastAsia" w:hAnsiTheme="minorEastAsia" w:eastAsiaTheme="minorEastAsia"/>
          <w:color w:val="auto"/>
          <w:kern w:val="2"/>
          <w:sz w:val="21"/>
          <w:highlight w:val="none"/>
        </w:rPr>
        <w:t>（2）供应商按照采购人或者采购代理机构的授意撤换、修改投标文件或者响应文件；</w:t>
      </w:r>
    </w:p>
    <w:p w14:paraId="04173058">
      <w:pPr>
        <w:pStyle w:val="23"/>
        <w:snapToGrid w:val="0"/>
        <w:spacing w:line="360" w:lineRule="auto"/>
        <w:ind w:firstLine="420" w:firstLineChars="200"/>
        <w:rPr>
          <w:rFonts w:cs="宋体" w:asciiTheme="minorEastAsia" w:hAnsiTheme="minorEastAsia" w:eastAsiaTheme="minorEastAsia"/>
          <w:color w:val="auto"/>
          <w:kern w:val="2"/>
          <w:sz w:val="21"/>
          <w:highlight w:val="none"/>
        </w:rPr>
      </w:pPr>
      <w:r>
        <w:rPr>
          <w:rFonts w:hint="eastAsia" w:cs="宋体" w:asciiTheme="minorEastAsia" w:hAnsiTheme="minorEastAsia" w:eastAsiaTheme="minorEastAsia"/>
          <w:color w:val="auto"/>
          <w:kern w:val="2"/>
          <w:sz w:val="21"/>
          <w:highlight w:val="none"/>
        </w:rPr>
        <w:t>（3）供应商之间协商报价、技术方案等投标文件或者响应文件的实质性内容；</w:t>
      </w:r>
    </w:p>
    <w:p w14:paraId="6AE92878">
      <w:pPr>
        <w:pStyle w:val="23"/>
        <w:snapToGrid w:val="0"/>
        <w:spacing w:line="360" w:lineRule="auto"/>
        <w:ind w:firstLine="420" w:firstLineChars="200"/>
        <w:rPr>
          <w:rFonts w:cs="宋体" w:asciiTheme="minorEastAsia" w:hAnsiTheme="minorEastAsia" w:eastAsiaTheme="minorEastAsia"/>
          <w:color w:val="auto"/>
          <w:kern w:val="2"/>
          <w:sz w:val="21"/>
          <w:highlight w:val="none"/>
        </w:rPr>
      </w:pPr>
      <w:r>
        <w:rPr>
          <w:rFonts w:hint="eastAsia" w:cs="宋体" w:asciiTheme="minorEastAsia" w:hAnsiTheme="minorEastAsia" w:eastAsiaTheme="minorEastAsia"/>
          <w:color w:val="auto"/>
          <w:kern w:val="2"/>
          <w:sz w:val="21"/>
          <w:highlight w:val="none"/>
        </w:rPr>
        <w:t>（4）属于同一集团、协会、商会等组织成员的供应商按照该组织要求协同参加政府采购活动；</w:t>
      </w:r>
    </w:p>
    <w:p w14:paraId="66CEC613">
      <w:pPr>
        <w:pStyle w:val="23"/>
        <w:snapToGrid w:val="0"/>
        <w:spacing w:line="360" w:lineRule="auto"/>
        <w:ind w:firstLine="420" w:firstLineChars="200"/>
        <w:rPr>
          <w:rFonts w:cs="宋体" w:asciiTheme="minorEastAsia" w:hAnsiTheme="minorEastAsia" w:eastAsiaTheme="minorEastAsia"/>
          <w:color w:val="auto"/>
          <w:kern w:val="2"/>
          <w:sz w:val="21"/>
          <w:highlight w:val="none"/>
        </w:rPr>
      </w:pPr>
      <w:r>
        <w:rPr>
          <w:rFonts w:hint="eastAsia" w:cs="宋体" w:asciiTheme="minorEastAsia" w:hAnsiTheme="minorEastAsia" w:eastAsiaTheme="minorEastAsia"/>
          <w:color w:val="auto"/>
          <w:kern w:val="2"/>
          <w:sz w:val="21"/>
          <w:highlight w:val="none"/>
        </w:rPr>
        <w:t>（5）供应商之间事先约定一致抬高或者压低投标报价，或者在招标项目中事先约定轮流以高价位或者低价位中标，或者事先约定由某一特定供应商中标，然后再参加投标；</w:t>
      </w:r>
    </w:p>
    <w:p w14:paraId="35C5EAC7">
      <w:pPr>
        <w:pStyle w:val="23"/>
        <w:snapToGrid w:val="0"/>
        <w:spacing w:line="360" w:lineRule="auto"/>
        <w:ind w:firstLine="420" w:firstLineChars="200"/>
        <w:rPr>
          <w:rFonts w:cs="宋体" w:asciiTheme="minorEastAsia" w:hAnsiTheme="minorEastAsia" w:eastAsiaTheme="minorEastAsia"/>
          <w:color w:val="auto"/>
          <w:kern w:val="2"/>
          <w:sz w:val="21"/>
          <w:highlight w:val="none"/>
        </w:rPr>
      </w:pPr>
      <w:r>
        <w:rPr>
          <w:rFonts w:hint="eastAsia" w:cs="宋体" w:asciiTheme="minorEastAsia" w:hAnsiTheme="minorEastAsia" w:eastAsiaTheme="minorEastAsia"/>
          <w:color w:val="auto"/>
          <w:kern w:val="2"/>
          <w:sz w:val="21"/>
          <w:highlight w:val="none"/>
        </w:rPr>
        <w:t>（6）供应商之间商定部分供应商放弃参加政府采购活动或者放弃中标；</w:t>
      </w:r>
    </w:p>
    <w:p w14:paraId="03B53229">
      <w:pPr>
        <w:pStyle w:val="23"/>
        <w:snapToGrid w:val="0"/>
        <w:spacing w:line="360" w:lineRule="auto"/>
        <w:ind w:firstLine="420" w:firstLineChars="200"/>
        <w:rPr>
          <w:rFonts w:cs="宋体" w:asciiTheme="minorEastAsia" w:hAnsiTheme="minorEastAsia" w:eastAsiaTheme="minorEastAsia"/>
          <w:color w:val="auto"/>
          <w:kern w:val="2"/>
          <w:sz w:val="21"/>
          <w:highlight w:val="none"/>
        </w:rPr>
      </w:pPr>
      <w:r>
        <w:rPr>
          <w:rFonts w:hint="eastAsia" w:cs="宋体" w:asciiTheme="minorEastAsia" w:hAnsiTheme="minorEastAsia" w:eastAsiaTheme="minorEastAsia"/>
          <w:color w:val="auto"/>
          <w:kern w:val="2"/>
          <w:sz w:val="21"/>
          <w:highlight w:val="none"/>
        </w:rPr>
        <w:t>（7）供应商与采购人或者采购代理机构之间、供应商相互之间，为谋求特定供应商中标或者排斥其他供应商的其他串通行为。</w:t>
      </w:r>
    </w:p>
    <w:p w14:paraId="3CA675DD">
      <w:pPr>
        <w:pStyle w:val="4"/>
        <w:keepNext w:val="0"/>
        <w:keepLines w:val="0"/>
        <w:spacing w:before="0" w:after="0" w:line="360" w:lineRule="auto"/>
        <w:jc w:val="center"/>
        <w:rPr>
          <w:rFonts w:cs="宋体" w:asciiTheme="minorEastAsia" w:hAnsiTheme="minorEastAsia" w:eastAsiaTheme="minorEastAsia"/>
          <w:color w:val="auto"/>
          <w:sz w:val="28"/>
          <w:szCs w:val="28"/>
          <w:highlight w:val="none"/>
        </w:rPr>
      </w:pPr>
      <w:bookmarkStart w:id="61" w:name="_Toc254970675"/>
      <w:bookmarkStart w:id="62" w:name="_Toc254970534"/>
      <w:r>
        <w:rPr>
          <w:rFonts w:hint="eastAsia" w:cs="宋体" w:asciiTheme="minorEastAsia" w:hAnsiTheme="minorEastAsia" w:eastAsiaTheme="minorEastAsia"/>
          <w:color w:val="auto"/>
          <w:sz w:val="28"/>
          <w:szCs w:val="28"/>
          <w:highlight w:val="none"/>
        </w:rPr>
        <w:t>二、招标文件</w:t>
      </w:r>
      <w:bookmarkEnd w:id="61"/>
      <w:bookmarkEnd w:id="62"/>
    </w:p>
    <w:p w14:paraId="25222F06">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10.招标文件的组成</w:t>
      </w:r>
    </w:p>
    <w:p w14:paraId="6A96B152">
      <w:pPr>
        <w:snapToGrid w:val="0"/>
        <w:spacing w:line="360" w:lineRule="auto"/>
        <w:ind w:firstLine="42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（1）招标公告；</w:t>
      </w:r>
    </w:p>
    <w:p w14:paraId="0C79CAE6">
      <w:pPr>
        <w:snapToGrid w:val="0"/>
        <w:spacing w:line="360" w:lineRule="auto"/>
        <w:ind w:firstLine="42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 xml:space="preserve">（2）采购需求； </w:t>
      </w:r>
    </w:p>
    <w:p w14:paraId="7FCFEAAE">
      <w:pPr>
        <w:snapToGrid w:val="0"/>
        <w:spacing w:line="360" w:lineRule="auto"/>
        <w:ind w:firstLine="42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（3）投标人须知；</w:t>
      </w:r>
    </w:p>
    <w:p w14:paraId="695D3BB6">
      <w:pPr>
        <w:snapToGrid w:val="0"/>
        <w:spacing w:line="360" w:lineRule="auto"/>
        <w:ind w:firstLine="42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（4）评标方法及评标标准；</w:t>
      </w:r>
    </w:p>
    <w:p w14:paraId="575E7C65">
      <w:pPr>
        <w:snapToGrid w:val="0"/>
        <w:spacing w:line="360" w:lineRule="auto"/>
        <w:ind w:firstLine="42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（5）拟签订的合同文本；</w:t>
      </w:r>
    </w:p>
    <w:p w14:paraId="28B8959D">
      <w:pPr>
        <w:snapToGrid w:val="0"/>
        <w:spacing w:line="360" w:lineRule="auto"/>
        <w:ind w:firstLine="42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（6）投标文件格式。</w:t>
      </w:r>
    </w:p>
    <w:p w14:paraId="7295D15F">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11.招标文件的澄清、修改 、现场考察和答疑会</w:t>
      </w:r>
    </w:p>
    <w:p w14:paraId="53FE0C88">
      <w:pPr>
        <w:pStyle w:val="6"/>
        <w:keepNext w:val="0"/>
        <w:keepLines w:val="0"/>
        <w:spacing w:before="0" w:after="0" w:line="360" w:lineRule="auto"/>
        <w:ind w:firstLine="315" w:firstLineChars="15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11.1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14:paraId="2D2DB89C">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4143BF7A">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11.2</w:t>
      </w:r>
      <w:bookmarkStart w:id="63" w:name="_Hlk53134511"/>
      <w:r>
        <w:rPr>
          <w:rFonts w:hint="eastAsia" w:cs="宋体" w:asciiTheme="minorEastAsia" w:hAnsiTheme="minorEastAsia" w:eastAsiaTheme="minorEastAsia"/>
          <w:color w:val="auto"/>
          <w:sz w:val="21"/>
          <w:highlight w:val="none"/>
        </w:rPr>
        <w:t>采购人或者采购代理机构可以在招标文件提供期限截止后，组织已获取招标文件的潜在投标人现场考察或者召开开标前答疑会，具体详见“投标人须知前附表”。</w:t>
      </w:r>
    </w:p>
    <w:bookmarkEnd w:id="63"/>
    <w:p w14:paraId="5DEB9EB1">
      <w:pPr>
        <w:pStyle w:val="4"/>
        <w:keepNext w:val="0"/>
        <w:keepLines w:val="0"/>
        <w:spacing w:before="0" w:after="0" w:line="360" w:lineRule="auto"/>
        <w:jc w:val="center"/>
        <w:rPr>
          <w:rFonts w:cs="宋体" w:asciiTheme="minorEastAsia" w:hAnsiTheme="minorEastAsia" w:eastAsiaTheme="minorEastAsia"/>
          <w:color w:val="auto"/>
          <w:sz w:val="28"/>
          <w:szCs w:val="28"/>
          <w:highlight w:val="none"/>
        </w:rPr>
      </w:pPr>
      <w:bookmarkStart w:id="64" w:name="_Toc254970535"/>
      <w:bookmarkStart w:id="65" w:name="_Toc254970676"/>
      <w:r>
        <w:rPr>
          <w:rFonts w:hint="eastAsia" w:cs="宋体" w:asciiTheme="minorEastAsia" w:hAnsiTheme="minorEastAsia" w:eastAsiaTheme="minorEastAsia"/>
          <w:color w:val="auto"/>
          <w:sz w:val="28"/>
          <w:szCs w:val="28"/>
          <w:highlight w:val="none"/>
        </w:rPr>
        <w:t>三、投标文件的编制</w:t>
      </w:r>
      <w:bookmarkEnd w:id="64"/>
      <w:bookmarkEnd w:id="65"/>
    </w:p>
    <w:p w14:paraId="08D708DA">
      <w:pPr>
        <w:pStyle w:val="6"/>
        <w:keepNext w:val="0"/>
        <w:keepLines w:val="0"/>
        <w:spacing w:before="0" w:after="0" w:line="360" w:lineRule="auto"/>
        <w:rPr>
          <w:rFonts w:cs="宋体" w:asciiTheme="minorEastAsia" w:hAnsiTheme="minorEastAsia" w:eastAsiaTheme="minorEastAsia"/>
          <w:color w:val="auto"/>
          <w:sz w:val="21"/>
          <w:szCs w:val="21"/>
          <w:highlight w:val="none"/>
        </w:rPr>
      </w:pPr>
      <w:bookmarkStart w:id="66" w:name="_Toc254970536"/>
      <w:bookmarkStart w:id="67" w:name="_Toc254970677"/>
      <w:r>
        <w:rPr>
          <w:rFonts w:hint="eastAsia" w:cs="宋体" w:asciiTheme="minorEastAsia" w:hAnsiTheme="minorEastAsia" w:eastAsiaTheme="minorEastAsia"/>
          <w:color w:val="auto"/>
          <w:sz w:val="21"/>
          <w:szCs w:val="21"/>
          <w:highlight w:val="none"/>
        </w:rPr>
        <w:t>12.投标文件的编制原则</w:t>
      </w:r>
    </w:p>
    <w:p w14:paraId="57CD28B8">
      <w:pPr>
        <w:snapToGrid w:val="0"/>
        <w:spacing w:line="360" w:lineRule="auto"/>
        <w:ind w:firstLine="42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投标人必须按照招标文件的要求编制投标文件。投标文件必须对招标文件提出的要求和条件作出明确响应。</w:t>
      </w:r>
    </w:p>
    <w:p w14:paraId="5217C93D">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13.投标文件的组成</w:t>
      </w:r>
      <w:bookmarkEnd w:id="66"/>
      <w:bookmarkEnd w:id="67"/>
    </w:p>
    <w:p w14:paraId="3E0B507B">
      <w:pPr>
        <w:snapToGrid w:val="0"/>
        <w:spacing w:line="360" w:lineRule="auto"/>
        <w:ind w:firstLine="420" w:firstLineChars="20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投标文件由资格证明文件、报价文件、商务及技术文件三部分组成。</w:t>
      </w:r>
    </w:p>
    <w:p w14:paraId="46291C58">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bookmarkStart w:id="68" w:name="_13.1报价文件:_具体材料见“投标人须知前附表”。"/>
      <w:bookmarkEnd w:id="68"/>
      <w:r>
        <w:rPr>
          <w:rFonts w:hint="eastAsia" w:cs="宋体" w:asciiTheme="minorEastAsia" w:hAnsiTheme="minorEastAsia" w:eastAsiaTheme="minorEastAsia"/>
          <w:b w:val="0"/>
          <w:color w:val="auto"/>
          <w:sz w:val="21"/>
          <w:szCs w:val="21"/>
          <w:highlight w:val="none"/>
        </w:rPr>
        <w:t xml:space="preserve">  （1）资格证明文件：具体材料见“投标人须知前附表”。</w:t>
      </w:r>
    </w:p>
    <w:p w14:paraId="2DAEF8DC">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bookmarkStart w:id="69" w:name="_13.2资格证明文件：具体材料见“投标人须知前附表”。"/>
      <w:bookmarkEnd w:id="69"/>
      <w:r>
        <w:rPr>
          <w:rFonts w:hint="eastAsia" w:cs="宋体" w:asciiTheme="minorEastAsia" w:hAnsiTheme="minorEastAsia" w:eastAsiaTheme="minorEastAsia"/>
          <w:b w:val="0"/>
          <w:color w:val="auto"/>
          <w:sz w:val="21"/>
          <w:szCs w:val="21"/>
          <w:highlight w:val="none"/>
        </w:rPr>
        <w:t xml:space="preserve">  （2）</w:t>
      </w:r>
      <w:bookmarkStart w:id="70" w:name="_13.3商务文件:_具体材料见“投标人须知前附表”。"/>
      <w:bookmarkEnd w:id="70"/>
      <w:r>
        <w:rPr>
          <w:rFonts w:hint="eastAsia" w:cs="宋体" w:asciiTheme="minorEastAsia" w:hAnsiTheme="minorEastAsia" w:eastAsiaTheme="minorEastAsia"/>
          <w:b w:val="0"/>
          <w:color w:val="auto"/>
          <w:sz w:val="21"/>
          <w:szCs w:val="21"/>
          <w:highlight w:val="none"/>
        </w:rPr>
        <w:t>报价文件： 具体材料见“投标人须知前附表”。</w:t>
      </w:r>
    </w:p>
    <w:p w14:paraId="7DF08B97">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（3）商务和技术文件：具体材料见“投标人须知前附表”。</w:t>
      </w:r>
    </w:p>
    <w:p w14:paraId="01CF272A">
      <w:pPr>
        <w:pStyle w:val="6"/>
        <w:keepNext w:val="0"/>
        <w:keepLines w:val="0"/>
        <w:spacing w:before="0" w:after="0" w:line="360" w:lineRule="auto"/>
        <w:rPr>
          <w:rFonts w:cs="宋体" w:asciiTheme="minorEastAsia" w:hAnsiTheme="minorEastAsia" w:eastAsiaTheme="minorEastAsia"/>
          <w:color w:val="auto"/>
          <w:sz w:val="21"/>
          <w:szCs w:val="21"/>
          <w:highlight w:val="none"/>
        </w:rPr>
      </w:pPr>
      <w:bookmarkStart w:id="71" w:name="_13.5投标文件电子版：具体材料见“投标人须知前附表”。"/>
      <w:bookmarkEnd w:id="71"/>
      <w:bookmarkStart w:id="72" w:name="_13.4技术文件：具体材料见“投标人须知前附表”。"/>
      <w:bookmarkEnd w:id="72"/>
      <w:bookmarkStart w:id="73" w:name="_Toc254970537"/>
      <w:bookmarkStart w:id="74" w:name="_Toc254970678"/>
      <w:r>
        <w:rPr>
          <w:rFonts w:hint="eastAsia" w:cs="宋体" w:asciiTheme="minorEastAsia" w:hAnsiTheme="minorEastAsia" w:eastAsiaTheme="minorEastAsia"/>
          <w:color w:val="auto"/>
          <w:sz w:val="21"/>
          <w:szCs w:val="21"/>
          <w:highlight w:val="none"/>
        </w:rPr>
        <w:t>14.投标文件的语言及计量</w:t>
      </w:r>
      <w:bookmarkEnd w:id="73"/>
      <w:bookmarkEnd w:id="74"/>
    </w:p>
    <w:p w14:paraId="5E60E55B">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14.1语言文字</w:t>
      </w:r>
    </w:p>
    <w:p w14:paraId="12E8AE32">
      <w:pPr>
        <w:pStyle w:val="6"/>
        <w:keepNext w:val="0"/>
        <w:keepLines w:val="0"/>
        <w:spacing w:before="0" w:after="0" w:line="360" w:lineRule="auto"/>
        <w:ind w:firstLine="420" w:firstLineChars="20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投标文件以及投标人与采购人就有关投标事宜的所有来往函电，均应以中文书写（除专用术语外，与招标投标有关的语言均使用中文。必要时专用术语应附有中文注释）。投标人提交的支持文件和印刷的文献可以使用别的语言，但其相应内容应同时附中文翻译文本，在解释投标文件时以中文翻译文本为主。对不同文字文本投标文件的解释发生异议的，以中文文本为准。</w:t>
      </w:r>
    </w:p>
    <w:p w14:paraId="4497BD19">
      <w:pPr>
        <w:pStyle w:val="6"/>
        <w:keepNext w:val="0"/>
        <w:keepLines w:val="0"/>
        <w:spacing w:before="0" w:after="0" w:line="360" w:lineRule="auto"/>
        <w:ind w:firstLine="420" w:firstLineChars="20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14.2投标计量单位</w:t>
      </w:r>
    </w:p>
    <w:p w14:paraId="78D4F8D6">
      <w:pPr>
        <w:pStyle w:val="6"/>
        <w:keepNext w:val="0"/>
        <w:keepLines w:val="0"/>
        <w:spacing w:before="0" w:after="0" w:line="360" w:lineRule="auto"/>
        <w:ind w:firstLine="420" w:firstLineChars="20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招标文件已有明确规定的，使用招标文件规定的计量单位；招标文件没有规定的，应采用中华人民共和国法定计量单位，货币种类为人民币</w:t>
      </w:r>
      <w:r>
        <w:rPr>
          <w:rFonts w:hint="eastAsia" w:cs="宋体" w:asciiTheme="minorEastAsia" w:hAnsiTheme="minorEastAsia" w:eastAsiaTheme="minorEastAsia"/>
          <w:bCs/>
          <w:color w:val="auto"/>
          <w:sz w:val="21"/>
          <w:szCs w:val="21"/>
          <w:highlight w:val="none"/>
        </w:rPr>
        <w:t>，否则视同未响应。</w:t>
      </w:r>
    </w:p>
    <w:p w14:paraId="29C995F2">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15.投标的风险</w:t>
      </w:r>
    </w:p>
    <w:p w14:paraId="03283433">
      <w:pPr>
        <w:pStyle w:val="23"/>
        <w:snapToGrid w:val="0"/>
        <w:spacing w:line="360" w:lineRule="auto"/>
        <w:ind w:firstLine="420" w:firstLineChars="200"/>
        <w:jc w:val="left"/>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投标人没有按照招标文件要求提供全部资料，或者投标人没有对招标文件作出实质性响应是投标人的风险，并可能导致其投标被拒绝。</w:t>
      </w:r>
    </w:p>
    <w:p w14:paraId="323CB166">
      <w:pPr>
        <w:pStyle w:val="6"/>
        <w:keepNext w:val="0"/>
        <w:keepLines w:val="0"/>
        <w:spacing w:before="0" w:after="0" w:line="360" w:lineRule="auto"/>
        <w:rPr>
          <w:rFonts w:cs="宋体" w:asciiTheme="minorEastAsia" w:hAnsiTheme="minorEastAsia" w:eastAsiaTheme="minorEastAsia"/>
          <w:color w:val="auto"/>
          <w:sz w:val="21"/>
          <w:szCs w:val="21"/>
          <w:highlight w:val="none"/>
        </w:rPr>
      </w:pPr>
      <w:bookmarkStart w:id="75" w:name="_Toc254970679"/>
      <w:bookmarkStart w:id="76" w:name="_Toc254970538"/>
      <w:r>
        <w:rPr>
          <w:rFonts w:hint="eastAsia" w:cs="宋体" w:asciiTheme="minorEastAsia" w:hAnsiTheme="minorEastAsia" w:eastAsiaTheme="minorEastAsia"/>
          <w:color w:val="auto"/>
          <w:sz w:val="21"/>
          <w:szCs w:val="21"/>
          <w:highlight w:val="none"/>
        </w:rPr>
        <w:t>16.投标报价</w:t>
      </w:r>
      <w:bookmarkEnd w:id="75"/>
      <w:bookmarkEnd w:id="76"/>
    </w:p>
    <w:p w14:paraId="0F2E5077">
      <w:pPr>
        <w:spacing w:line="360" w:lineRule="auto"/>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szCs w:val="21"/>
          <w:highlight w:val="none"/>
        </w:rPr>
        <w:t xml:space="preserve">  16.1投</w:t>
      </w:r>
      <w:r>
        <w:rPr>
          <w:rFonts w:hint="eastAsia" w:cs="宋体" w:asciiTheme="minorEastAsia" w:hAnsiTheme="minorEastAsia" w:eastAsiaTheme="minorEastAsia"/>
          <w:color w:val="auto"/>
          <w:kern w:val="0"/>
          <w:szCs w:val="21"/>
          <w:highlight w:val="none"/>
        </w:rPr>
        <w:t>标报价应按“第六章　投标文件格式”中“投标报价明细表”格式填写。同时在广西政府采购云平台填写“开标一览表”，格式按广西政府采购云平台要求。</w:t>
      </w:r>
    </w:p>
    <w:p w14:paraId="515ADF0F">
      <w:pPr>
        <w:pStyle w:val="6"/>
        <w:keepNext w:val="0"/>
        <w:keepLines w:val="0"/>
        <w:spacing w:before="0" w:after="0" w:line="360" w:lineRule="auto"/>
        <w:rPr>
          <w:rFonts w:ascii="宋体" w:hAnsi="宋体" w:cs="宋体"/>
          <w:b w:val="0"/>
          <w:color w:val="auto"/>
          <w:sz w:val="21"/>
          <w:szCs w:val="21"/>
          <w:highlight w:val="none"/>
        </w:rPr>
      </w:pPr>
      <w:bookmarkStart w:id="77" w:name="_16.2投标报价具体定义见投标人须知前附表。"/>
      <w:bookmarkEnd w:id="77"/>
      <w:r>
        <w:rPr>
          <w:rFonts w:hint="eastAsia" w:ascii="宋体" w:hAnsi="宋体" w:cs="宋体"/>
          <w:b w:val="0"/>
          <w:color w:val="auto"/>
          <w:sz w:val="21"/>
          <w:szCs w:val="21"/>
          <w:highlight w:val="none"/>
        </w:rPr>
        <w:t xml:space="preserve"> 16.2投标报价具体包括内容详见“投标人须知前附表”。</w:t>
      </w:r>
    </w:p>
    <w:p w14:paraId="2A0A9278">
      <w:pPr>
        <w:pStyle w:val="6"/>
        <w:keepNext w:val="0"/>
        <w:keepLines w:val="0"/>
        <w:spacing w:before="0" w:after="0" w:line="360" w:lineRule="auto"/>
        <w:rPr>
          <w:rFonts w:ascii="宋体" w:hAnsi="宋体" w:cs="宋体"/>
          <w:b w:val="0"/>
          <w:color w:val="auto"/>
          <w:sz w:val="21"/>
          <w:szCs w:val="21"/>
          <w:highlight w:val="none"/>
        </w:rPr>
      </w:pPr>
      <w:r>
        <w:rPr>
          <w:rFonts w:hint="eastAsia" w:ascii="宋体" w:hAnsi="宋体" w:cs="宋体"/>
          <w:b w:val="0"/>
          <w:color w:val="auto"/>
          <w:sz w:val="21"/>
          <w:szCs w:val="21"/>
          <w:highlight w:val="none"/>
        </w:rPr>
        <w:t xml:space="preserve">  16.3投标人必须就所投每个分标（如有）的全部内容分别作完整唯一总价报价，不得存在漏项报价；投标人必须就所投分标的单项内容作唯一报价。</w:t>
      </w:r>
    </w:p>
    <w:p w14:paraId="2BFBDB74">
      <w:pPr>
        <w:spacing w:line="360" w:lineRule="auto"/>
        <w:ind w:firstLine="210" w:firstLineChars="100"/>
        <w:rPr>
          <w:rFonts w:ascii="宋体" w:hAnsi="宋体" w:cs="宋体"/>
          <w:color w:val="auto"/>
          <w:szCs w:val="21"/>
          <w:highlight w:val="none"/>
        </w:rPr>
      </w:pPr>
      <w:r>
        <w:rPr>
          <w:rFonts w:hint="eastAsia" w:ascii="宋体" w:hAnsi="宋体" w:cs="宋体"/>
          <w:color w:val="auto"/>
          <w:highlight w:val="none"/>
        </w:rPr>
        <w:t>16.4 本项目投标报价是以优惠率报价，超出</w:t>
      </w:r>
      <w:r>
        <w:rPr>
          <w:rFonts w:hint="eastAsia" w:ascii="宋体" w:hAnsi="宋体" w:cs="宋体"/>
          <w:color w:val="auto"/>
          <w:kern w:val="0"/>
          <w:szCs w:val="21"/>
          <w:highlight w:val="none"/>
        </w:rPr>
        <w:t>有效报价范围</w:t>
      </w:r>
      <w:r>
        <w:rPr>
          <w:rFonts w:hint="eastAsia" w:ascii="宋体" w:hAnsi="宋体" w:cs="宋体"/>
          <w:color w:val="auto"/>
          <w:highlight w:val="none"/>
        </w:rPr>
        <w:t>的投标报价按无效投标处理。本项目的</w:t>
      </w:r>
      <w:r>
        <w:rPr>
          <w:rFonts w:hint="eastAsia" w:ascii="宋体" w:hAnsi="宋体" w:cs="宋体"/>
          <w:color w:val="auto"/>
          <w:kern w:val="0"/>
          <w:szCs w:val="21"/>
          <w:highlight w:val="none"/>
        </w:rPr>
        <w:t>有效报价范围</w:t>
      </w:r>
      <w:r>
        <w:rPr>
          <w:rFonts w:hint="eastAsia" w:ascii="宋体" w:hAnsi="宋体" w:cs="宋体"/>
          <w:color w:val="auto"/>
          <w:highlight w:val="none"/>
        </w:rPr>
        <w:t>：详见</w:t>
      </w:r>
      <w:r>
        <w:rPr>
          <w:rFonts w:hint="eastAsia" w:ascii="宋体" w:hAnsi="宋体" w:cs="宋体"/>
          <w:color w:val="auto"/>
          <w:szCs w:val="21"/>
          <w:highlight w:val="none"/>
        </w:rPr>
        <w:t>“投标人须知前附表”。</w:t>
      </w:r>
    </w:p>
    <w:p w14:paraId="5E230A45">
      <w:pPr>
        <w:pStyle w:val="6"/>
        <w:keepNext w:val="0"/>
        <w:keepLines w:val="0"/>
        <w:spacing w:before="0" w:after="0" w:line="360" w:lineRule="auto"/>
        <w:rPr>
          <w:rFonts w:ascii="宋体" w:hAnsi="宋体" w:cs="宋体"/>
          <w:color w:val="auto"/>
          <w:sz w:val="21"/>
          <w:szCs w:val="21"/>
          <w:highlight w:val="none"/>
        </w:rPr>
      </w:pPr>
      <w:r>
        <w:rPr>
          <w:rFonts w:hint="eastAsia" w:ascii="宋体" w:hAnsi="宋体" w:cs="宋体"/>
          <w:color w:val="auto"/>
          <w:sz w:val="21"/>
          <w:szCs w:val="21"/>
          <w:highlight w:val="none"/>
        </w:rPr>
        <w:t>17.投标有效期</w:t>
      </w:r>
      <w:bookmarkStart w:id="78" w:name="_17.1投标有效期应按“投标人须知中的前附表”规定的期限。"/>
      <w:bookmarkEnd w:id="78"/>
    </w:p>
    <w:p w14:paraId="74FFE933">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b w:val="0"/>
          <w:color w:val="auto"/>
          <w:sz w:val="21"/>
          <w:szCs w:val="21"/>
          <w:highlight w:val="none"/>
        </w:rPr>
        <w:t>17.1投标有效期是指为保证采购人有足够的时间在开标后完成评标、定标、合同签订等工作而要求投标人提交的投标文件在一定时间内保持有效的期限。</w:t>
      </w:r>
    </w:p>
    <w:p w14:paraId="14B7457C">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17.2</w:t>
      </w:r>
      <w:bookmarkStart w:id="79" w:name="_Toc254970681"/>
      <w:bookmarkStart w:id="80" w:name="_Toc254970540"/>
      <w:r>
        <w:rPr>
          <w:rFonts w:hint="eastAsia" w:cs="宋体" w:asciiTheme="minorEastAsia" w:hAnsiTheme="minorEastAsia" w:eastAsiaTheme="minorEastAsia"/>
          <w:b w:val="0"/>
          <w:color w:val="auto"/>
          <w:sz w:val="21"/>
          <w:szCs w:val="21"/>
          <w:highlight w:val="none"/>
        </w:rPr>
        <w:t xml:space="preserve"> 投标有效期应按规定的期限作出承诺，具体详见“投标人须知前附表”。</w:t>
      </w:r>
    </w:p>
    <w:p w14:paraId="62514CF3">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17.3投标人的投标文件在投标有效期内均保持有效。</w:t>
      </w:r>
      <w:bookmarkEnd w:id="79"/>
      <w:bookmarkEnd w:id="80"/>
    </w:p>
    <w:p w14:paraId="47229496">
      <w:pPr>
        <w:pStyle w:val="6"/>
        <w:keepNext w:val="0"/>
        <w:keepLines w:val="0"/>
        <w:spacing w:before="0" w:after="0" w:line="360" w:lineRule="auto"/>
        <w:rPr>
          <w:rFonts w:cs="宋体" w:asciiTheme="minorEastAsia" w:hAnsiTheme="minorEastAsia" w:eastAsiaTheme="minorEastAsia"/>
          <w:color w:val="auto"/>
          <w:sz w:val="21"/>
          <w:szCs w:val="21"/>
          <w:highlight w:val="none"/>
        </w:rPr>
      </w:pPr>
      <w:bookmarkStart w:id="81" w:name="_18.投标保证金"/>
      <w:bookmarkEnd w:id="81"/>
      <w:bookmarkStart w:id="82" w:name="_Toc254970541"/>
      <w:bookmarkStart w:id="83" w:name="_Toc254970682"/>
      <w:r>
        <w:rPr>
          <w:rFonts w:hint="eastAsia" w:cs="宋体" w:asciiTheme="minorEastAsia" w:hAnsiTheme="minorEastAsia" w:eastAsiaTheme="minorEastAsia"/>
          <w:color w:val="auto"/>
          <w:sz w:val="21"/>
          <w:szCs w:val="21"/>
          <w:highlight w:val="none"/>
        </w:rPr>
        <w:t>18.投标保证金</w:t>
      </w:r>
      <w:bookmarkEnd w:id="82"/>
      <w:bookmarkEnd w:id="83"/>
    </w:p>
    <w:p w14:paraId="0AC3EA33">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18.1投标人须按“投标人须知前附表”的规定提交投标保证金。</w:t>
      </w:r>
    </w:p>
    <w:p w14:paraId="5862902A">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18.2投标保证金的退还</w:t>
      </w:r>
    </w:p>
    <w:p w14:paraId="3E6159B0">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未中标人的投标保证金自中标通知书发出之日起5个工作日内退还；中标人的投标保证金自政府采购合同签订之日起5个工作日内退还</w:t>
      </w:r>
      <w:r>
        <w:rPr>
          <w:rFonts w:hint="eastAsia" w:ascii="宋体" w:hAnsi="宋体" w:cs="宋体"/>
          <w:color w:val="auto"/>
          <w:szCs w:val="21"/>
          <w:highlight w:val="none"/>
        </w:rPr>
        <w:t>（要求提交履约保证金的项目，</w:t>
      </w:r>
      <w:r>
        <w:rPr>
          <w:rFonts w:hint="eastAsia" w:cs="宋体" w:asciiTheme="minorEastAsia" w:hAnsiTheme="minorEastAsia" w:eastAsiaTheme="minorEastAsia"/>
          <w:color w:val="auto"/>
          <w:szCs w:val="21"/>
          <w:highlight w:val="none"/>
        </w:rPr>
        <w:t>中标人的投标保证金</w:t>
      </w:r>
      <w:r>
        <w:rPr>
          <w:rFonts w:hint="eastAsia" w:ascii="宋体" w:hAnsi="宋体" w:cs="宋体"/>
          <w:color w:val="auto"/>
          <w:szCs w:val="21"/>
          <w:highlight w:val="none"/>
        </w:rPr>
        <w:t>直接转为履约保证金）</w:t>
      </w:r>
      <w:r>
        <w:rPr>
          <w:rFonts w:hint="eastAsia" w:cs="宋体" w:asciiTheme="minorEastAsia" w:hAnsiTheme="minorEastAsia" w:eastAsiaTheme="minorEastAsia"/>
          <w:color w:val="auto"/>
          <w:szCs w:val="21"/>
          <w:highlight w:val="none"/>
        </w:rPr>
        <w:t xml:space="preserve">。 </w:t>
      </w:r>
    </w:p>
    <w:p w14:paraId="65F541E0">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18.3除逾期退还投标保证金和终止招标的情形以外，投标保证金不计息。</w:t>
      </w:r>
    </w:p>
    <w:p w14:paraId="2D17FEF1">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18.4投标人有下列情形之一的，投标保证金将不予退还： </w:t>
      </w:r>
    </w:p>
    <w:p w14:paraId="5E3B3CE1">
      <w:pPr>
        <w:snapToGrid w:val="0"/>
        <w:spacing w:line="360" w:lineRule="auto"/>
        <w:ind w:firstLine="411" w:firstLineChars="196"/>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（1）投标人在投标有效期内撤销投标文件的；</w:t>
      </w:r>
    </w:p>
    <w:p w14:paraId="2F4A8817">
      <w:pPr>
        <w:snapToGrid w:val="0"/>
        <w:spacing w:line="360" w:lineRule="auto"/>
        <w:ind w:firstLine="411" w:firstLineChars="196"/>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（2）未按规定提交履约保证金的；</w:t>
      </w:r>
    </w:p>
    <w:p w14:paraId="347402CD">
      <w:pPr>
        <w:snapToGrid w:val="0"/>
        <w:spacing w:line="360" w:lineRule="auto"/>
        <w:ind w:firstLine="411" w:firstLineChars="196"/>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（3）投标人在投标过程中弄虚作假，提供虚假材料的；</w:t>
      </w:r>
    </w:p>
    <w:p w14:paraId="0DE0AEEF">
      <w:pPr>
        <w:snapToGrid w:val="0"/>
        <w:spacing w:line="360" w:lineRule="auto"/>
        <w:ind w:firstLine="411" w:firstLineChars="196"/>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（4）中标人无正当理由不与采购人签订合同的；</w:t>
      </w:r>
    </w:p>
    <w:p w14:paraId="3885020C">
      <w:pPr>
        <w:snapToGrid w:val="0"/>
        <w:spacing w:line="360" w:lineRule="auto"/>
        <w:ind w:firstLine="420" w:firstLineChars="200"/>
        <w:rPr>
          <w:rFonts w:cs="宋体" w:asciiTheme="minorEastAsia" w:hAnsiTheme="minorEastAsia" w:eastAsiaTheme="minorEastAsia"/>
          <w:color w:val="auto"/>
          <w:szCs w:val="21"/>
          <w:highlight w:val="none"/>
        </w:rPr>
      </w:pPr>
      <w:bookmarkStart w:id="84" w:name="_Toc254970683"/>
      <w:bookmarkStart w:id="85" w:name="_Toc254970542"/>
      <w:r>
        <w:rPr>
          <w:rFonts w:hint="eastAsia" w:cs="宋体" w:asciiTheme="minorEastAsia" w:hAnsiTheme="minorEastAsia" w:eastAsiaTheme="minorEastAsia"/>
          <w:color w:val="auto"/>
          <w:szCs w:val="21"/>
          <w:highlight w:val="none"/>
        </w:rPr>
        <w:t>（5）投标人出现本章第9.2、9.3情形的；</w:t>
      </w:r>
    </w:p>
    <w:p w14:paraId="4101CF2E">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（6）法律法规规定的其他情形。</w:t>
      </w:r>
    </w:p>
    <w:bookmarkEnd w:id="84"/>
    <w:bookmarkEnd w:id="85"/>
    <w:p w14:paraId="70AABD89">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19.投标文件的编制</w:t>
      </w:r>
    </w:p>
    <w:p w14:paraId="67DB3F5F">
      <w:pPr>
        <w:pStyle w:val="6"/>
        <w:keepNext w:val="0"/>
        <w:keepLines w:val="0"/>
        <w:spacing w:before="0" w:after="0" w:line="360" w:lineRule="auto"/>
        <w:ind w:firstLine="315" w:firstLineChars="15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19.1投标人应先安装“广西政府采购云电子投标客户端”（请自行前往“广西政府采购云”平台进行下载），并按照本项目招标文件规定的格式和顺序和“广西政府采购云”平台的要求编制并加密。投标文件内容不完整、编排混乱导致投标文件被误读、漏读或者查找不到相关内容的，由此引发的后果由投标人承担。</w:t>
      </w:r>
    </w:p>
    <w:p w14:paraId="67EE9D6F">
      <w:pPr>
        <w:pStyle w:val="6"/>
        <w:keepNext w:val="0"/>
        <w:keepLines w:val="0"/>
        <w:spacing w:before="0" w:after="0" w:line="360" w:lineRule="auto"/>
        <w:ind w:firstLine="315" w:firstLineChars="150"/>
        <w:rPr>
          <w:rFonts w:cs="宋体" w:asciiTheme="minorEastAsia" w:hAnsiTheme="minorEastAsia" w:eastAsiaTheme="minorEastAsia"/>
          <w:b w:val="0"/>
          <w:color w:val="auto"/>
          <w:sz w:val="21"/>
          <w:szCs w:val="21"/>
          <w:highlight w:val="none"/>
        </w:rPr>
      </w:pPr>
      <w:bookmarkStart w:id="86" w:name="_19.2投标文件应按报价文件、资格证明文件、商务文件、技术文件分别编制"/>
      <w:bookmarkEnd w:id="86"/>
      <w:r>
        <w:rPr>
          <w:rFonts w:hint="eastAsia" w:cs="宋体" w:asciiTheme="minorEastAsia" w:hAnsiTheme="minorEastAsia" w:eastAsiaTheme="minorEastAsia"/>
          <w:b w:val="0"/>
          <w:color w:val="auto"/>
          <w:sz w:val="21"/>
          <w:szCs w:val="21"/>
          <w:highlight w:val="none"/>
        </w:rPr>
        <w:t>19.2为确保网上操作合法、有效和安全，投标人应当在投标截止时间前完成在“广西政府采购云”平台的身份认证，确保在电子投标过程中能够对相关数据电文进行加密和使用电子签章。</w:t>
      </w:r>
    </w:p>
    <w:p w14:paraId="1017C757">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19.3投标文件须由投标人在规定位置签字（或者电子签名）、盖章（具体以投标人须知前附表或投标文件格式规定为准），</w:t>
      </w:r>
      <w:r>
        <w:rPr>
          <w:rFonts w:hint="eastAsia" w:cs="宋体" w:asciiTheme="minorEastAsia" w:hAnsiTheme="minorEastAsia" w:eastAsiaTheme="minorEastAsia"/>
          <w:bCs/>
          <w:color w:val="auto"/>
          <w:sz w:val="21"/>
          <w:szCs w:val="21"/>
          <w:highlight w:val="none"/>
        </w:rPr>
        <w:t>否则按无效投标处理</w:t>
      </w:r>
      <w:r>
        <w:rPr>
          <w:rFonts w:hint="eastAsia" w:cs="宋体" w:asciiTheme="minorEastAsia" w:hAnsiTheme="minorEastAsia" w:eastAsiaTheme="minorEastAsia"/>
          <w:b w:val="0"/>
          <w:color w:val="auto"/>
          <w:sz w:val="21"/>
          <w:szCs w:val="21"/>
          <w:highlight w:val="none"/>
        </w:rPr>
        <w:t>。</w:t>
      </w:r>
    </w:p>
    <w:p w14:paraId="14B752BE">
      <w:pPr>
        <w:pStyle w:val="6"/>
        <w:keepNext w:val="0"/>
        <w:keepLines w:val="0"/>
        <w:spacing w:before="0" w:after="0" w:line="360" w:lineRule="auto"/>
        <w:ind w:firstLine="315" w:firstLineChars="15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19.4投标文件中标注的投标人名称应与主体资格证明（如营业执照或者事业单位法人证书或者执业许可证或者登记证书等）及公章一致，并与“广西政府采购云”平台中获取招标文件的投标人名称一致，投标人为自然人的，标注的投标人名称应与身份证姓名及签名一致，</w:t>
      </w:r>
      <w:r>
        <w:rPr>
          <w:rFonts w:hint="eastAsia" w:cs="宋体" w:asciiTheme="minorEastAsia" w:hAnsiTheme="minorEastAsia" w:eastAsiaTheme="minorEastAsia"/>
          <w:color w:val="auto"/>
          <w:sz w:val="21"/>
          <w:szCs w:val="21"/>
          <w:highlight w:val="none"/>
        </w:rPr>
        <w:t>否则按无效投标处理</w:t>
      </w:r>
      <w:r>
        <w:rPr>
          <w:rFonts w:hint="eastAsia" w:cs="宋体" w:asciiTheme="minorEastAsia" w:hAnsiTheme="minorEastAsia" w:eastAsiaTheme="minorEastAsia"/>
          <w:b w:val="0"/>
          <w:color w:val="auto"/>
          <w:sz w:val="21"/>
          <w:szCs w:val="21"/>
          <w:highlight w:val="none"/>
        </w:rPr>
        <w:t>。</w:t>
      </w:r>
    </w:p>
    <w:p w14:paraId="6A764F6E">
      <w:pPr>
        <w:pStyle w:val="6"/>
        <w:keepNext w:val="0"/>
        <w:keepLines w:val="0"/>
        <w:spacing w:before="0" w:after="0" w:line="360" w:lineRule="auto"/>
        <w:ind w:firstLine="315" w:firstLineChars="15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19.5投标文件应尽量避免涂改、行间插字或者删除。如果出现上述情况，改动之处应由投标人的法定代表人或者其委托代理人签字（或者电子签名）或者加盖公章或者加盖电子签章。投标文件因字迹潦草或者表达不清所引起的后果由投标人承担。</w:t>
      </w:r>
    </w:p>
    <w:p w14:paraId="2AED582F">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20.电子备份投标文件</w:t>
      </w:r>
    </w:p>
    <w:p w14:paraId="72849245">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电子备份投标文件是指通过“广西政府采购云电子投标客户端”在线编制生成且后缀名为“bfbs”的文件，是否接受电子备份投标文件</w:t>
      </w:r>
      <w:r>
        <w:rPr>
          <w:rFonts w:hint="eastAsia" w:cs="宋体" w:asciiTheme="minorEastAsia" w:hAnsiTheme="minorEastAsia" w:eastAsiaTheme="minorEastAsia"/>
          <w:bCs/>
          <w:color w:val="auto"/>
          <w:szCs w:val="21"/>
          <w:highlight w:val="none"/>
        </w:rPr>
        <w:t>详见在“投标人须知前附表”。</w:t>
      </w:r>
    </w:p>
    <w:p w14:paraId="4E52DFDD">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21.投标文件的提交</w:t>
      </w:r>
    </w:p>
    <w:p w14:paraId="5B6F7636">
      <w:pPr>
        <w:spacing w:line="360" w:lineRule="auto"/>
        <w:ind w:firstLine="420" w:firstLineChars="200"/>
        <w:rPr>
          <w:rFonts w:cs="宋体" w:asciiTheme="minorEastAsia" w:hAnsiTheme="minorEastAsia" w:eastAsiaTheme="minorEastAsia"/>
          <w:b/>
          <w:color w:val="auto"/>
          <w:szCs w:val="21"/>
          <w:highlight w:val="none"/>
        </w:rPr>
      </w:pPr>
      <w:bookmarkStart w:id="87" w:name="_21.1投标人必须在“投标人须知中的前附表”规定的投标文件接收时间和投"/>
      <w:bookmarkEnd w:id="87"/>
      <w:r>
        <w:rPr>
          <w:rFonts w:hint="eastAsia" w:cs="宋体" w:asciiTheme="minorEastAsia" w:hAnsiTheme="minorEastAsia" w:eastAsiaTheme="minorEastAsia"/>
          <w:bCs/>
          <w:color w:val="auto"/>
          <w:szCs w:val="21"/>
          <w:highlight w:val="none"/>
        </w:rPr>
        <w:t>21.1投标人必须在“投标人须知前附表”规定的</w:t>
      </w:r>
      <w:r>
        <w:rPr>
          <w:rFonts w:hint="eastAsia" w:cs="宋体" w:asciiTheme="minorEastAsia" w:hAnsiTheme="minorEastAsia" w:eastAsiaTheme="minorEastAsia"/>
          <w:color w:val="auto"/>
          <w:szCs w:val="21"/>
          <w:highlight w:val="none"/>
        </w:rPr>
        <w:t>投标文件提交截止时间前将</w:t>
      </w:r>
      <w:r>
        <w:rPr>
          <w:rFonts w:hint="eastAsia" w:cs="宋体" w:asciiTheme="minorEastAsia" w:hAnsiTheme="minorEastAsia" w:eastAsiaTheme="minorEastAsia"/>
          <w:bCs/>
          <w:color w:val="auto"/>
          <w:szCs w:val="21"/>
          <w:highlight w:val="none"/>
        </w:rPr>
        <w:t>电子投标文件提交至投标地点。电子投标文件应在制作完成后，在投标截止时间前通过有效数字证书（CA认证锁）进行电子签章、加密，然后通过网络将加密的电子投标文件递交至</w:t>
      </w:r>
      <w:r>
        <w:rPr>
          <w:rFonts w:hint="eastAsia" w:cs="宋体" w:asciiTheme="minorEastAsia" w:hAnsiTheme="minorEastAsia" w:eastAsiaTheme="minorEastAsia"/>
          <w:b/>
          <w:color w:val="auto"/>
          <w:szCs w:val="21"/>
          <w:highlight w:val="none"/>
        </w:rPr>
        <w:t>“广西政府采购云”平台</w:t>
      </w:r>
      <w:r>
        <w:rPr>
          <w:rFonts w:hint="eastAsia" w:cs="宋体" w:asciiTheme="minorEastAsia" w:hAnsiTheme="minorEastAsia" w:eastAsiaTheme="minorEastAsia"/>
          <w:bCs/>
          <w:color w:val="auto"/>
          <w:szCs w:val="21"/>
          <w:highlight w:val="none"/>
        </w:rPr>
        <w:t xml:space="preserve">。 </w:t>
      </w:r>
    </w:p>
    <w:p w14:paraId="550A00FC">
      <w:pPr>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21.2未在规定时间内提交或者未按照招标文件要求加密的电子投标文件，“广西政府采购云”平台将拒收。</w:t>
      </w:r>
    </w:p>
    <w:p w14:paraId="3CB608CB">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22. 投标文件的补充、修改、撤回与退回</w:t>
      </w:r>
    </w:p>
    <w:p w14:paraId="213DEF4D">
      <w:pPr>
        <w:snapToGrid w:val="0"/>
        <w:spacing w:line="360" w:lineRule="auto"/>
        <w:ind w:firstLine="420"/>
        <w:jc w:val="left"/>
        <w:rPr>
          <w:rFonts w:cs="宋体" w:asciiTheme="minorEastAsia" w:hAnsiTheme="minorEastAsia" w:eastAsiaTheme="minorEastAsia"/>
          <w:color w:val="auto"/>
          <w:szCs w:val="21"/>
          <w:highlight w:val="none"/>
        </w:rPr>
      </w:pPr>
      <w:bookmarkStart w:id="88" w:name="_Toc254970684"/>
      <w:bookmarkStart w:id="89" w:name="_Toc254970543"/>
      <w:r>
        <w:rPr>
          <w:rFonts w:hint="eastAsia" w:cs="宋体" w:asciiTheme="minorEastAsia" w:hAnsiTheme="minorEastAsia" w:eastAsiaTheme="minorEastAsia"/>
          <w:color w:val="auto"/>
          <w:szCs w:val="21"/>
          <w:highlight w:val="none"/>
        </w:rPr>
        <w:t>22.1</w:t>
      </w:r>
      <w:r>
        <w:rPr>
          <w:rFonts w:hint="eastAsia" w:cs="宋体" w:asciiTheme="minorEastAsia" w:hAnsiTheme="minorEastAsia" w:eastAsiaTheme="minorEastAsia"/>
          <w:bCs/>
          <w:color w:val="auto"/>
          <w:szCs w:val="21"/>
          <w:highlight w:val="none"/>
        </w:rPr>
        <w:t>投标人应当在投标截止时间前完成电子投标文件的上传、提交，投标截止时间前可以补充、修改或者撤回投标文件。补充或者修改投标文件的，应当先行撤回原投标文件，补充、修改后重新上传、提交，投标截止时间前未完成上传、提交的，视为撤回投标文件。投标截止时间以后上传递交的投标文件，“</w:t>
      </w:r>
      <w:r>
        <w:rPr>
          <w:rFonts w:hint="eastAsia" w:cs="宋体" w:asciiTheme="minorEastAsia" w:hAnsiTheme="minorEastAsia" w:eastAsiaTheme="minorEastAsia"/>
          <w:color w:val="auto"/>
          <w:szCs w:val="21"/>
          <w:highlight w:val="none"/>
        </w:rPr>
        <w:t>广西政府采购云</w:t>
      </w:r>
      <w:r>
        <w:rPr>
          <w:rFonts w:hint="eastAsia" w:cs="宋体" w:asciiTheme="minorEastAsia" w:hAnsiTheme="minorEastAsia" w:eastAsiaTheme="minorEastAsia"/>
          <w:bCs/>
          <w:color w:val="auto"/>
          <w:szCs w:val="21"/>
          <w:highlight w:val="none"/>
        </w:rPr>
        <w:t>”平台将予以拒收。</w:t>
      </w:r>
      <w:r>
        <w:rPr>
          <w:rFonts w:hint="eastAsia" w:cs="宋体" w:asciiTheme="minorEastAsia" w:hAnsiTheme="minorEastAsia" w:eastAsiaTheme="minorEastAsia"/>
          <w:color w:val="auto"/>
          <w:szCs w:val="21"/>
          <w:highlight w:val="none"/>
        </w:rPr>
        <w:t>（补充、修改或者撤回方式可登录</w:t>
      </w:r>
      <w:r>
        <w:rPr>
          <w:rFonts w:hint="eastAsia" w:cs="宋体" w:asciiTheme="minorEastAsia" w:hAnsiTheme="minorEastAsia" w:eastAsiaTheme="minorEastAsia"/>
          <w:color w:val="auto"/>
          <w:kern w:val="0"/>
          <w:szCs w:val="21"/>
          <w:highlight w:val="none"/>
        </w:rPr>
        <w:t>“</w:t>
      </w:r>
      <w:r>
        <w:rPr>
          <w:rFonts w:hint="eastAsia" w:cs="宋体" w:asciiTheme="minorEastAsia" w:hAnsiTheme="minorEastAsia" w:eastAsiaTheme="minorEastAsia"/>
          <w:color w:val="auto"/>
          <w:szCs w:val="21"/>
          <w:highlight w:val="none"/>
        </w:rPr>
        <w:t>广西政府采购云</w:t>
      </w:r>
      <w:r>
        <w:rPr>
          <w:rFonts w:hint="eastAsia" w:cs="宋体" w:asciiTheme="minorEastAsia" w:hAnsiTheme="minorEastAsia" w:eastAsiaTheme="minorEastAsia"/>
          <w:color w:val="auto"/>
          <w:kern w:val="0"/>
          <w:szCs w:val="21"/>
          <w:highlight w:val="none"/>
        </w:rPr>
        <w:t>”平台，</w:t>
      </w:r>
      <w:r>
        <w:rPr>
          <w:rFonts w:hint="eastAsia" w:cs="宋体" w:asciiTheme="minorEastAsia" w:hAnsiTheme="minorEastAsia" w:eastAsiaTheme="minorEastAsia"/>
          <w:color w:val="auto"/>
          <w:szCs w:val="21"/>
          <w:highlight w:val="none"/>
        </w:rPr>
        <w:t>依次进入“服务中心”中查看 “电子投标文件制作与投送教程”）</w:t>
      </w:r>
    </w:p>
    <w:bookmarkEnd w:id="88"/>
    <w:bookmarkEnd w:id="89"/>
    <w:p w14:paraId="14B6601F">
      <w:pPr>
        <w:pStyle w:val="115"/>
        <w:spacing w:before="0"/>
        <w:ind w:firstLine="420"/>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22.2“广西政府采购云”平台收到投标文件后向供应商发出确认回执通知。在投标截止时间前，除供应商补充、修改或者撤回投标文件外，任何单位和个人不得解密或提取投标文件。</w:t>
      </w:r>
    </w:p>
    <w:p w14:paraId="13A0CDDC">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22.3在投标截止时间后，采购人和采购代理机构对已提交的投标文件概不退回。</w:t>
      </w:r>
    </w:p>
    <w:p w14:paraId="4DA4675B">
      <w:pPr>
        <w:pStyle w:val="4"/>
        <w:keepNext w:val="0"/>
        <w:keepLines w:val="0"/>
        <w:spacing w:before="0" w:after="0" w:line="360" w:lineRule="auto"/>
        <w:jc w:val="center"/>
        <w:rPr>
          <w:rFonts w:cs="宋体" w:asciiTheme="minorEastAsia" w:hAnsiTheme="minorEastAsia" w:eastAsiaTheme="minorEastAsia"/>
          <w:color w:val="auto"/>
          <w:sz w:val="28"/>
          <w:szCs w:val="28"/>
          <w:highlight w:val="none"/>
        </w:rPr>
      </w:pPr>
      <w:bookmarkStart w:id="90" w:name="_Toc254970544"/>
      <w:bookmarkStart w:id="91" w:name="_Toc254970685"/>
      <w:r>
        <w:rPr>
          <w:rFonts w:hint="eastAsia" w:cs="宋体" w:asciiTheme="minorEastAsia" w:hAnsiTheme="minorEastAsia" w:eastAsiaTheme="minorEastAsia"/>
          <w:color w:val="auto"/>
          <w:sz w:val="28"/>
          <w:szCs w:val="28"/>
          <w:highlight w:val="none"/>
        </w:rPr>
        <w:t>四、开    标</w:t>
      </w:r>
      <w:bookmarkEnd w:id="90"/>
      <w:bookmarkEnd w:id="91"/>
    </w:p>
    <w:p w14:paraId="43D67638">
      <w:pPr>
        <w:pStyle w:val="6"/>
        <w:keepNext w:val="0"/>
        <w:keepLines w:val="0"/>
        <w:spacing w:before="0" w:after="0" w:line="360" w:lineRule="auto"/>
        <w:rPr>
          <w:rFonts w:cs="宋体" w:asciiTheme="minorEastAsia" w:hAnsiTheme="minorEastAsia" w:eastAsiaTheme="minorEastAsia"/>
          <w:color w:val="auto"/>
          <w:sz w:val="21"/>
          <w:szCs w:val="21"/>
          <w:highlight w:val="none"/>
        </w:rPr>
      </w:pPr>
      <w:bookmarkStart w:id="92" w:name="_23.开标时间和地点"/>
      <w:bookmarkEnd w:id="92"/>
      <w:r>
        <w:rPr>
          <w:rFonts w:hint="eastAsia" w:cs="宋体" w:asciiTheme="minorEastAsia" w:hAnsiTheme="minorEastAsia" w:eastAsiaTheme="minorEastAsia"/>
          <w:color w:val="auto"/>
          <w:sz w:val="21"/>
          <w:szCs w:val="21"/>
          <w:highlight w:val="none"/>
        </w:rPr>
        <w:t>23.开标时间和地点</w:t>
      </w:r>
    </w:p>
    <w:p w14:paraId="7FB4BE93">
      <w:pPr>
        <w:spacing w:line="360" w:lineRule="auto"/>
        <w:ind w:firstLine="420" w:firstLineChars="200"/>
        <w:rPr>
          <w:rFonts w:cs="宋体" w:asciiTheme="minorEastAsia" w:hAnsiTheme="minorEastAsia" w:eastAsiaTheme="minorEastAsia"/>
          <w:bCs/>
          <w:color w:val="auto"/>
          <w:szCs w:val="21"/>
          <w:highlight w:val="none"/>
        </w:rPr>
      </w:pPr>
      <w:r>
        <w:rPr>
          <w:rFonts w:hint="eastAsia" w:cs="宋体" w:asciiTheme="minorEastAsia" w:hAnsiTheme="minorEastAsia" w:eastAsiaTheme="minorEastAsia"/>
          <w:bCs/>
          <w:color w:val="auto"/>
          <w:szCs w:val="21"/>
          <w:highlight w:val="none"/>
        </w:rPr>
        <w:t>开标时间及地点详见“投标人须知前附表”</w:t>
      </w:r>
    </w:p>
    <w:p w14:paraId="1D4C2522">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24.开标程序</w:t>
      </w:r>
    </w:p>
    <w:p w14:paraId="2EC005BD">
      <w:pPr>
        <w:pStyle w:val="7"/>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24.1提交投标文件截止时间止，投标人不足3家的，不得开标。</w:t>
      </w:r>
    </w:p>
    <w:p w14:paraId="6AC009F6">
      <w:pPr>
        <w:pStyle w:val="7"/>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24.2采购代理机构将按照招标文件规定的时间通过“广西政府采购云”平台组织线上开标活动，所有供应商均应当准时在线参加，投标人因未在线参加开标而导致投标文件无法按时解密等一切后果由投标人自己承担。</w:t>
      </w:r>
    </w:p>
    <w:p w14:paraId="2E68DEFA">
      <w:pPr>
        <w:pStyle w:val="7"/>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24.3开标程序</w:t>
      </w:r>
    </w:p>
    <w:p w14:paraId="494A4181">
      <w:pPr>
        <w:pStyle w:val="7"/>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（1）解密电子投标文件。“广西政府采购云”平台按开标时间自动提取所有投标文件。采购代理机构依托“广西政府采购云”平台向各投标人发出电子加密投标文件【开始解密】通知，由投标人按</w:t>
      </w:r>
      <w:r>
        <w:rPr>
          <w:rFonts w:hint="eastAsia" w:cs="宋体" w:asciiTheme="minorEastAsia" w:hAnsiTheme="minorEastAsia" w:eastAsiaTheme="minorEastAsia"/>
          <w:bCs/>
          <w:color w:val="auto"/>
          <w:szCs w:val="21"/>
          <w:highlight w:val="none"/>
        </w:rPr>
        <w:t>“投标人须知前附表”</w:t>
      </w:r>
      <w:r>
        <w:rPr>
          <w:rFonts w:hint="eastAsia" w:cs="宋体" w:asciiTheme="minorEastAsia" w:hAnsiTheme="minorEastAsia" w:eastAsiaTheme="minorEastAsia"/>
          <w:color w:val="auto"/>
          <w:szCs w:val="21"/>
          <w:highlight w:val="none"/>
        </w:rPr>
        <w:t>规定的时间内自行进行投标文件解密。投标人的法定代表人或其委托代理人须凭加密时所用的CA锁准时登录到“广西政府采购云”平台电子开标大厅签到并对电子投标文件解密。</w:t>
      </w:r>
      <w:r>
        <w:rPr>
          <w:rFonts w:hint="eastAsia" w:cs="宋体" w:asciiTheme="minorEastAsia" w:hAnsiTheme="minorEastAsia" w:eastAsiaTheme="minorEastAsia"/>
          <w:b/>
          <w:color w:val="auto"/>
          <w:szCs w:val="21"/>
          <w:highlight w:val="none"/>
        </w:rPr>
        <w:t>投标人未在规定的时间内解密投标文件或者解密失败的，投标人的投标文件作无效处理。</w:t>
      </w:r>
    </w:p>
    <w:p w14:paraId="23C27171">
      <w:pPr>
        <w:pStyle w:val="7"/>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（2）电子唱标。投标文件解密结束，宣布的内容均在“广西政府采购云”平台远程开标大厅展示，具体详见</w:t>
      </w:r>
      <w:r>
        <w:rPr>
          <w:rFonts w:hint="eastAsia" w:cs="宋体" w:asciiTheme="minorEastAsia" w:hAnsiTheme="minorEastAsia" w:eastAsiaTheme="minorEastAsia"/>
          <w:bCs/>
          <w:color w:val="auto"/>
          <w:szCs w:val="21"/>
          <w:highlight w:val="none"/>
        </w:rPr>
        <w:t>“投标人须知前附表”</w:t>
      </w:r>
      <w:r>
        <w:rPr>
          <w:rFonts w:hint="eastAsia" w:cs="宋体" w:asciiTheme="minorEastAsia" w:hAnsiTheme="minorEastAsia" w:eastAsiaTheme="minorEastAsia"/>
          <w:color w:val="auto"/>
          <w:szCs w:val="21"/>
          <w:highlight w:val="none"/>
        </w:rPr>
        <w:t>；</w:t>
      </w:r>
    </w:p>
    <w:p w14:paraId="4BA64FE2">
      <w:pPr>
        <w:pStyle w:val="7"/>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（3）开标过程由采购代理机构如实记录，并电子留痕，由参加电子开标的各投标人代表对电子开标记录在开标记录公布后15分钟内进行当场校核及勘误，并线上确认是否有异议，未确认的视同认可开标结果。</w:t>
      </w:r>
    </w:p>
    <w:p w14:paraId="6F7EE9C7">
      <w:pPr>
        <w:pStyle w:val="7"/>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17092D79">
      <w:pPr>
        <w:pStyle w:val="7"/>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（5）开标结束。</w:t>
      </w:r>
    </w:p>
    <w:p w14:paraId="74F91715">
      <w:pPr>
        <w:pStyle w:val="23"/>
        <w:snapToGrid w:val="0"/>
        <w:spacing w:line="360" w:lineRule="auto"/>
        <w:ind w:firstLine="422"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b/>
          <w:bCs/>
          <w:color w:val="auto"/>
          <w:sz w:val="21"/>
          <w:highlight w:val="none"/>
        </w:rPr>
        <w:t>特别说明：</w:t>
      </w:r>
      <w:r>
        <w:rPr>
          <w:rFonts w:hint="eastAsia" w:cs="宋体" w:asciiTheme="minorEastAsia" w:hAnsiTheme="minorEastAsia" w:eastAsiaTheme="minorEastAsia"/>
          <w:color w:val="auto"/>
          <w:sz w:val="21"/>
          <w:highlight w:val="none"/>
        </w:rPr>
        <w:t>如遇“广西政府采购云”平台电子化开标或评审程序调整的，按调整后执行。</w:t>
      </w:r>
    </w:p>
    <w:p w14:paraId="67A8D152">
      <w:pPr>
        <w:pStyle w:val="4"/>
        <w:keepNext w:val="0"/>
        <w:keepLines w:val="0"/>
        <w:spacing w:before="0" w:after="0" w:line="360" w:lineRule="auto"/>
        <w:jc w:val="center"/>
        <w:rPr>
          <w:rFonts w:cs="宋体" w:asciiTheme="minorEastAsia" w:hAnsiTheme="minorEastAsia" w:eastAsiaTheme="minorEastAsia"/>
          <w:color w:val="auto"/>
          <w:sz w:val="28"/>
          <w:szCs w:val="28"/>
          <w:highlight w:val="none"/>
        </w:rPr>
      </w:pPr>
      <w:r>
        <w:rPr>
          <w:rFonts w:hint="eastAsia" w:cs="宋体" w:asciiTheme="minorEastAsia" w:hAnsiTheme="minorEastAsia" w:eastAsiaTheme="minorEastAsia"/>
          <w:color w:val="auto"/>
          <w:sz w:val="28"/>
          <w:szCs w:val="28"/>
          <w:highlight w:val="none"/>
        </w:rPr>
        <w:t>五、资格审查</w:t>
      </w:r>
    </w:p>
    <w:p w14:paraId="2F8BFF8D">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25.资格审查</w:t>
      </w:r>
    </w:p>
    <w:p w14:paraId="06298850">
      <w:pPr>
        <w:pStyle w:val="6"/>
        <w:keepNext w:val="0"/>
        <w:keepLines w:val="0"/>
        <w:spacing w:before="0" w:after="0" w:line="360" w:lineRule="auto"/>
        <w:ind w:firstLine="315" w:firstLineChars="15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25.1开标结束后，采购人或者采购代理机构通过电子开评标系统依据招标文件对电子投标文件进行线上资格审查。</w:t>
      </w:r>
    </w:p>
    <w:p w14:paraId="2DE355C6">
      <w:pPr>
        <w:pStyle w:val="6"/>
        <w:keepNext w:val="0"/>
        <w:keepLines w:val="0"/>
        <w:spacing w:before="0" w:after="0" w:line="360" w:lineRule="auto"/>
        <w:ind w:firstLine="315" w:firstLineChars="15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25.2资格审查标准为本招标文件中载明对投标人资格要求的条件。本项目资格审查采用合格制，凡符合招标文件规定的投标人资格要求的投标人均通过资格审查。</w:t>
      </w:r>
    </w:p>
    <w:p w14:paraId="73F2DD47">
      <w:pPr>
        <w:pStyle w:val="6"/>
        <w:keepNext w:val="0"/>
        <w:keepLines w:val="0"/>
        <w:numPr>
          <w:ilvl w:val="0"/>
          <w:numId w:val="0"/>
        </w:numPr>
        <w:spacing w:before="0" w:after="0" w:line="360" w:lineRule="auto"/>
        <w:ind w:firstLine="422" w:firstLineChars="200"/>
        <w:rPr>
          <w:rFonts w:cs="宋体" w:asciiTheme="minorEastAsia" w:hAnsiTheme="minorEastAsia" w:eastAsiaTheme="minorEastAsia"/>
          <w:color w:val="auto"/>
          <w:sz w:val="21"/>
          <w:szCs w:val="21"/>
          <w:highlight w:val="none"/>
        </w:rPr>
      </w:pPr>
      <w:bookmarkStart w:id="93" w:name="_25.3_投标人有下列情形之一的，资格审查不通过而导致其投标无效："/>
      <w:bookmarkEnd w:id="93"/>
      <w:r>
        <w:rPr>
          <w:rFonts w:hint="eastAsia" w:cs="宋体" w:asciiTheme="minorEastAsia" w:hAnsiTheme="minorEastAsia" w:eastAsiaTheme="minorEastAsia"/>
          <w:color w:val="auto"/>
          <w:sz w:val="21"/>
          <w:szCs w:val="21"/>
          <w:highlight w:val="none"/>
        </w:rPr>
        <w:t>25.3 投标人有下列情形之一的，资格审查不通过，作无效投标处理：</w:t>
      </w:r>
    </w:p>
    <w:p w14:paraId="41658CF0">
      <w:pPr>
        <w:pStyle w:val="23"/>
        <w:snapToGrid w:val="0"/>
        <w:spacing w:line="360" w:lineRule="auto"/>
        <w:ind w:firstLine="422" w:firstLineChars="200"/>
        <w:rPr>
          <w:rFonts w:cs="宋体" w:asciiTheme="minorEastAsia" w:hAnsiTheme="minorEastAsia" w:eastAsiaTheme="minorEastAsia"/>
          <w:b/>
          <w:color w:val="auto"/>
          <w:sz w:val="21"/>
          <w:highlight w:val="none"/>
        </w:rPr>
      </w:pPr>
      <w:r>
        <w:rPr>
          <w:rFonts w:hint="eastAsia" w:cs="宋体" w:asciiTheme="minorEastAsia" w:hAnsiTheme="minorEastAsia" w:eastAsiaTheme="minorEastAsia"/>
          <w:b/>
          <w:color w:val="auto"/>
          <w:sz w:val="21"/>
          <w:highlight w:val="none"/>
        </w:rPr>
        <w:t>（1）不具备招标文件中规定的资格要求的；</w:t>
      </w:r>
    </w:p>
    <w:p w14:paraId="3BB55EDE">
      <w:pPr>
        <w:pStyle w:val="23"/>
        <w:snapToGrid w:val="0"/>
        <w:spacing w:line="360" w:lineRule="auto"/>
        <w:ind w:firstLine="422" w:firstLineChars="200"/>
        <w:rPr>
          <w:rFonts w:cs="宋体" w:asciiTheme="minorEastAsia" w:hAnsiTheme="minorEastAsia" w:eastAsiaTheme="minorEastAsia"/>
          <w:b/>
          <w:color w:val="auto"/>
          <w:sz w:val="21"/>
          <w:highlight w:val="none"/>
        </w:rPr>
      </w:pPr>
      <w:r>
        <w:rPr>
          <w:rFonts w:hint="eastAsia" w:cs="宋体" w:asciiTheme="minorEastAsia" w:hAnsiTheme="minorEastAsia" w:eastAsiaTheme="minorEastAsia"/>
          <w:b/>
          <w:color w:val="auto"/>
          <w:sz w:val="21"/>
          <w:highlight w:val="none"/>
        </w:rPr>
        <w:t>（2）在“信用中国”网站（www.creditchina.gov.cn）、中国政府采购网（www.ccgp.gov.cn）被列入失信被执行人、重大税收违法失信主体、政府采购严重违法失信行为记录名单及其他不符合《中华人民共和国政府采购法》第二十二条规定条件的；（注：其中信用查询规则见“投标人须知前附表”，“广西政府采购云”平台已与“信用中国”网站、中国政府采购网实现数据对接，可直接在线查询）</w:t>
      </w:r>
    </w:p>
    <w:p w14:paraId="1136D0D7">
      <w:pPr>
        <w:pStyle w:val="23"/>
        <w:snapToGrid w:val="0"/>
        <w:spacing w:line="360" w:lineRule="auto"/>
        <w:ind w:firstLine="422" w:firstLineChars="200"/>
        <w:rPr>
          <w:rFonts w:cs="宋体" w:asciiTheme="minorEastAsia" w:hAnsiTheme="minorEastAsia" w:eastAsiaTheme="minorEastAsia"/>
          <w:b/>
          <w:color w:val="auto"/>
          <w:sz w:val="21"/>
          <w:highlight w:val="none"/>
        </w:rPr>
      </w:pPr>
      <w:r>
        <w:rPr>
          <w:rFonts w:hint="eastAsia" w:cs="宋体" w:asciiTheme="minorEastAsia" w:hAnsiTheme="minorEastAsia" w:eastAsiaTheme="minorEastAsia"/>
          <w:b/>
          <w:color w:val="auto"/>
          <w:sz w:val="21"/>
          <w:highlight w:val="none"/>
        </w:rPr>
        <w:t>（3）同一合同项下的不同投标人，单位负责人为同一人或者存在直接控股、管理关系的；为本项目提供过整体设计、规范编制或者项目管理、监理、检测等服务的供应商，再参加该采购项目的其他采购活动的；</w:t>
      </w:r>
    </w:p>
    <w:p w14:paraId="410183B0">
      <w:pPr>
        <w:pStyle w:val="23"/>
        <w:snapToGrid w:val="0"/>
        <w:spacing w:line="360" w:lineRule="auto"/>
        <w:ind w:firstLine="422" w:firstLineChars="200"/>
        <w:rPr>
          <w:rFonts w:cs="宋体" w:asciiTheme="minorEastAsia" w:hAnsiTheme="minorEastAsia" w:eastAsiaTheme="minorEastAsia"/>
          <w:b/>
          <w:color w:val="auto"/>
          <w:sz w:val="21"/>
          <w:highlight w:val="none"/>
        </w:rPr>
      </w:pPr>
      <w:r>
        <w:rPr>
          <w:rFonts w:hint="eastAsia" w:cs="宋体" w:asciiTheme="minorEastAsia" w:hAnsiTheme="minorEastAsia" w:eastAsiaTheme="minorEastAsia"/>
          <w:b/>
          <w:color w:val="auto"/>
          <w:sz w:val="21"/>
          <w:highlight w:val="none"/>
        </w:rPr>
        <w:t>（4）投标文件中的资格证明文件缺少任一项“投标人须知前附表”资格证明文件规定“必须提供”的文件资料的；</w:t>
      </w:r>
    </w:p>
    <w:p w14:paraId="77E282CE">
      <w:pPr>
        <w:pStyle w:val="23"/>
        <w:snapToGrid w:val="0"/>
        <w:spacing w:line="360" w:lineRule="auto"/>
        <w:ind w:firstLine="422" w:firstLineChars="200"/>
        <w:rPr>
          <w:rFonts w:cs="宋体" w:asciiTheme="minorEastAsia" w:hAnsiTheme="minorEastAsia" w:eastAsiaTheme="minorEastAsia"/>
          <w:b/>
          <w:color w:val="auto"/>
          <w:sz w:val="21"/>
          <w:highlight w:val="none"/>
        </w:rPr>
      </w:pPr>
      <w:r>
        <w:rPr>
          <w:rFonts w:hint="eastAsia" w:cs="宋体" w:asciiTheme="minorEastAsia" w:hAnsiTheme="minorEastAsia" w:eastAsiaTheme="minorEastAsia"/>
          <w:b/>
          <w:color w:val="auto"/>
          <w:sz w:val="21"/>
          <w:highlight w:val="none"/>
        </w:rPr>
        <w:t>（5）投标文件中的资格证明文件出现任一项不符合“投标人须知前附表”资格证明文件规定“必须提供”的文件资料要求或者无效的。</w:t>
      </w:r>
    </w:p>
    <w:p w14:paraId="7D52C58E">
      <w:pPr>
        <w:pStyle w:val="7"/>
        <w:spacing w:line="360" w:lineRule="auto"/>
        <w:ind w:firstLine="0"/>
        <w:rPr>
          <w:rFonts w:cs="宋体" w:asciiTheme="minorEastAsia" w:hAnsiTheme="minorEastAsia" w:eastAsiaTheme="minorEastAsia"/>
          <w:b/>
          <w:color w:val="auto"/>
          <w:spacing w:val="-6"/>
          <w:szCs w:val="21"/>
          <w:highlight w:val="none"/>
        </w:rPr>
      </w:pPr>
      <w:r>
        <w:rPr>
          <w:rFonts w:hint="eastAsia" w:asciiTheme="minorEastAsia" w:hAnsiTheme="minorEastAsia" w:eastAsiaTheme="minorEastAsia"/>
          <w:b/>
          <w:color w:val="auto"/>
          <w:szCs w:val="21"/>
          <w:highlight w:val="none"/>
        </w:rPr>
        <w:t xml:space="preserve">  （6）以联合体投标的，</w:t>
      </w:r>
      <w:r>
        <w:rPr>
          <w:rFonts w:hint="eastAsia" w:hAnsi="宋体"/>
          <w:b/>
          <w:color w:val="auto"/>
          <w:szCs w:val="21"/>
          <w:highlight w:val="none"/>
        </w:rPr>
        <w:t>联合体</w:t>
      </w:r>
      <w:r>
        <w:rPr>
          <w:rFonts w:hint="eastAsia" w:asciiTheme="minorEastAsia" w:hAnsiTheme="minorEastAsia" w:eastAsiaTheme="minorEastAsia"/>
          <w:b/>
          <w:color w:val="auto"/>
          <w:szCs w:val="21"/>
          <w:highlight w:val="none"/>
        </w:rPr>
        <w:t>不满足</w:t>
      </w:r>
      <w:r>
        <w:rPr>
          <w:rFonts w:hint="eastAsia" w:cs="宋体" w:asciiTheme="minorEastAsia" w:hAnsiTheme="minorEastAsia" w:eastAsiaTheme="minorEastAsia"/>
          <w:b/>
          <w:color w:val="auto"/>
          <w:spacing w:val="-6"/>
          <w:szCs w:val="21"/>
          <w:highlight w:val="none"/>
        </w:rPr>
        <w:t>“投标人须知前附表”第6.2条要求的；</w:t>
      </w:r>
    </w:p>
    <w:p w14:paraId="57AF41DF">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color w:val="auto"/>
          <w:sz w:val="21"/>
          <w:szCs w:val="21"/>
          <w:highlight w:val="none"/>
        </w:rPr>
        <w:t>25.4合格投标人不足3家的，不得评标。</w:t>
      </w:r>
    </w:p>
    <w:p w14:paraId="6CE84312">
      <w:pPr>
        <w:pStyle w:val="4"/>
        <w:keepNext w:val="0"/>
        <w:keepLines w:val="0"/>
        <w:spacing w:before="0" w:after="0" w:line="360" w:lineRule="auto"/>
        <w:jc w:val="center"/>
        <w:rPr>
          <w:rFonts w:cs="宋体" w:asciiTheme="minorEastAsia" w:hAnsiTheme="minorEastAsia" w:eastAsiaTheme="minorEastAsia"/>
          <w:color w:val="auto"/>
          <w:sz w:val="28"/>
          <w:szCs w:val="28"/>
          <w:highlight w:val="none"/>
        </w:rPr>
      </w:pPr>
      <w:r>
        <w:rPr>
          <w:rFonts w:hint="eastAsia" w:cs="宋体" w:asciiTheme="minorEastAsia" w:hAnsiTheme="minorEastAsia" w:eastAsiaTheme="minorEastAsia"/>
          <w:color w:val="auto"/>
          <w:sz w:val="28"/>
          <w:szCs w:val="28"/>
          <w:highlight w:val="none"/>
        </w:rPr>
        <w:t>六、评   标</w:t>
      </w:r>
    </w:p>
    <w:p w14:paraId="6BE1DE68">
      <w:pPr>
        <w:pStyle w:val="6"/>
        <w:keepNext w:val="0"/>
        <w:keepLines w:val="0"/>
        <w:spacing w:before="0" w:after="0" w:line="360" w:lineRule="auto"/>
        <w:rPr>
          <w:rFonts w:cs="宋体" w:asciiTheme="minorEastAsia" w:hAnsiTheme="minorEastAsia" w:eastAsiaTheme="minorEastAsia"/>
          <w:color w:val="auto"/>
          <w:sz w:val="21"/>
          <w:szCs w:val="21"/>
          <w:highlight w:val="none"/>
        </w:rPr>
      </w:pPr>
      <w:bookmarkStart w:id="94" w:name="_26.组建评标委员会"/>
      <w:bookmarkEnd w:id="94"/>
      <w:r>
        <w:rPr>
          <w:rFonts w:hint="eastAsia" w:cs="宋体" w:asciiTheme="minorEastAsia" w:hAnsiTheme="minorEastAsia" w:eastAsiaTheme="minorEastAsia"/>
          <w:color w:val="auto"/>
          <w:sz w:val="21"/>
          <w:szCs w:val="21"/>
          <w:highlight w:val="none"/>
        </w:rPr>
        <w:t>26.组建评标委员会</w:t>
      </w:r>
    </w:p>
    <w:p w14:paraId="7FB8C36C">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26.1评标委员会由采购人代表和评审专家组成，具体人数详见“投标人须知前附表”，其中评审专家不得少于成员总数的三分之二。</w:t>
      </w:r>
    </w:p>
    <w:p w14:paraId="78940060">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26.2参加过采购项目前期咨询论证的专家，不得参加该采购项目的评审活动。</w:t>
      </w:r>
    </w:p>
    <w:p w14:paraId="0633A28F">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26.3</w:t>
      </w:r>
      <w:r>
        <w:rPr>
          <w:rFonts w:hint="eastAsia" w:cs="宋体" w:asciiTheme="minorEastAsia" w:hAnsiTheme="minorEastAsia" w:eastAsiaTheme="minorEastAsia"/>
          <w:bCs/>
          <w:color w:val="auto"/>
          <w:sz w:val="21"/>
          <w:highlight w:val="none"/>
        </w:rPr>
        <w:t>采购代理机构应当基于“</w:t>
      </w:r>
      <w:r>
        <w:rPr>
          <w:rFonts w:hint="eastAsia" w:cs="宋体" w:asciiTheme="minorEastAsia" w:hAnsiTheme="minorEastAsia" w:eastAsiaTheme="minorEastAsia"/>
          <w:color w:val="auto"/>
          <w:sz w:val="21"/>
          <w:highlight w:val="none"/>
        </w:rPr>
        <w:t>广西政府采购云</w:t>
      </w:r>
      <w:r>
        <w:rPr>
          <w:rFonts w:hint="eastAsia" w:cs="宋体" w:asciiTheme="minorEastAsia" w:hAnsiTheme="minorEastAsia" w:eastAsiaTheme="minorEastAsia"/>
          <w:bCs/>
          <w:color w:val="auto"/>
          <w:sz w:val="21"/>
          <w:highlight w:val="none"/>
        </w:rPr>
        <w:t>”平台抽（选）取评审专家。</w:t>
      </w:r>
    </w:p>
    <w:p w14:paraId="2D2B6FE5">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27.评标的依据</w:t>
      </w:r>
    </w:p>
    <w:p w14:paraId="60BB5B0D">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评标委员会以“第四章 评标方法和评标标准”为依据对投标文件进行评审，没有规定的方法、评审因素和标准，不作为评标依据。</w:t>
      </w:r>
    </w:p>
    <w:p w14:paraId="3812BA29">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28.评标原则</w:t>
      </w:r>
    </w:p>
    <w:p w14:paraId="3D4CE77A">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28.1评标原则。评标委员会评标时必须公平、公正、客观，不带任何倾向性和启发性；不得向外界透露任何与评标有关的内容；任何单位和个人不得干扰、影响评标的正常进行；评标委员会及有关工作人员不得私下与投标人接触，不得收受利害关系人的财物或者其他好处。</w:t>
      </w:r>
    </w:p>
    <w:p w14:paraId="1F1C2319">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28.2</w:t>
      </w:r>
      <w:bookmarkStart w:id="95" w:name="_28.3评标方法。本项目将按须知前附表规定的评标办法进行评标，具体评标"/>
      <w:bookmarkEnd w:id="95"/>
      <w:r>
        <w:rPr>
          <w:rFonts w:hint="eastAsia" w:cs="宋体" w:asciiTheme="minorEastAsia" w:hAnsiTheme="minorEastAsia" w:eastAsiaTheme="minorEastAsia"/>
          <w:color w:val="auto"/>
          <w:sz w:val="21"/>
          <w:highlight w:val="none"/>
        </w:rPr>
        <w:t>评委表决。评标委员会成员对需要共同认定的事项存在争议的，应当按照少数服从多数的原则作出结论。</w:t>
      </w:r>
    </w:p>
    <w:p w14:paraId="055BE123">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28.3评标的保密。采购人、采购代理机构应当采取必要措施，保证评标在严格保密（封闭式评标）的情况下进行。除采购人代表、评标现场组织人员外，采购人的其他工作人员以及与评标工作无关的人员不得进入评标现场。有关人员对评标情况以及在评标过程中获悉的国家秘密、商业秘密负有保密责任。</w:t>
      </w:r>
    </w:p>
    <w:p w14:paraId="05AA30C9">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28.4评标过程的监控。本项目电子评标过程实行网上留痕、全程录音、录像监控，</w:t>
      </w:r>
      <w:r>
        <w:rPr>
          <w:rFonts w:hint="eastAsia" w:cs="宋体" w:asciiTheme="minorEastAsia" w:hAnsiTheme="minorEastAsia" w:eastAsiaTheme="minorEastAsia"/>
          <w:b/>
          <w:color w:val="auto"/>
          <w:sz w:val="21"/>
          <w:highlight w:val="none"/>
        </w:rPr>
        <w:t>投标人在评标过程中所进行的试图影响评标结果的不公正活动，可能导致其投标按无效处理。</w:t>
      </w:r>
    </w:p>
    <w:p w14:paraId="356F3F4F">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29.评标方法及中标候选人推荐</w:t>
      </w:r>
    </w:p>
    <w:p w14:paraId="6DFC0701">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29.1本项目的评标方法详见“投标人须知前附表”。</w:t>
      </w:r>
    </w:p>
    <w:p w14:paraId="01C3D161">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29.2商务/技术服务要求允许负偏离的条款数详见“投标人须知前附表”。</w:t>
      </w:r>
    </w:p>
    <w:p w14:paraId="08DC75CE">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29.3中标候选人推荐数量详见“投标人须知前附表”。</w:t>
      </w:r>
    </w:p>
    <w:p w14:paraId="76990203">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29.4 电子交易活动的中止。采购过程中出现以下情形，导致电子交易平台无法正常运行，或者无法保证电子交易的公平、公正和安全时，采购代理机构可以中止电子交易活动：</w:t>
      </w:r>
    </w:p>
    <w:p w14:paraId="1A5813E7">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 xml:space="preserve">（1）电子交易平台发生故障而无法登录访问的； </w:t>
      </w:r>
    </w:p>
    <w:p w14:paraId="3A0B2B90">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（2）电子交易平台应用或数据库出现错误，不能进行正常操作的；</w:t>
      </w:r>
    </w:p>
    <w:p w14:paraId="73DD1E5E">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（3）电子交易平台发现严重安全漏洞，有潜在泄密危险的；</w:t>
      </w:r>
    </w:p>
    <w:p w14:paraId="09BD9292">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 xml:space="preserve">（4）病毒发作导致不能进行正常操作的； </w:t>
      </w:r>
    </w:p>
    <w:p w14:paraId="1BE00F6D">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（5）其他无法保证电子交易的公平、公正和安全的情况。</w:t>
      </w:r>
    </w:p>
    <w:p w14:paraId="17768891">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出现以上情形，不影响采购公平、公正性的，采购代理机构可以待上述情形消除后继续组织电子交易活动；影响或可能影响采购公平、公正性的，经采购代理机构确认、报采购人同意后，终止电子采购活动，应当重新采购。采购代理机构必须对原有的资料及信息作出妥善保密处理，并报财政部门备案。</w:t>
      </w:r>
    </w:p>
    <w:p w14:paraId="412320A4">
      <w:pPr>
        <w:pStyle w:val="4"/>
        <w:keepNext w:val="0"/>
        <w:keepLines w:val="0"/>
        <w:spacing w:before="0" w:after="0" w:line="360" w:lineRule="auto"/>
        <w:jc w:val="center"/>
        <w:rPr>
          <w:rFonts w:cs="宋体" w:asciiTheme="minorEastAsia" w:hAnsiTheme="minorEastAsia" w:eastAsiaTheme="minorEastAsia"/>
          <w:color w:val="auto"/>
          <w:sz w:val="28"/>
          <w:szCs w:val="28"/>
          <w:highlight w:val="none"/>
        </w:rPr>
      </w:pPr>
      <w:bookmarkStart w:id="96" w:name="_Toc254970546"/>
      <w:bookmarkStart w:id="97" w:name="_Toc254970687"/>
      <w:r>
        <w:rPr>
          <w:rFonts w:hint="eastAsia" w:cs="宋体" w:asciiTheme="minorEastAsia" w:hAnsiTheme="minorEastAsia" w:eastAsiaTheme="minorEastAsia"/>
          <w:color w:val="auto"/>
          <w:sz w:val="28"/>
          <w:szCs w:val="28"/>
          <w:highlight w:val="none"/>
        </w:rPr>
        <w:t>七、</w:t>
      </w:r>
      <w:bookmarkEnd w:id="96"/>
      <w:bookmarkEnd w:id="97"/>
      <w:r>
        <w:rPr>
          <w:rFonts w:hint="eastAsia" w:cs="宋体" w:asciiTheme="minorEastAsia" w:hAnsiTheme="minorEastAsia" w:eastAsiaTheme="minorEastAsia"/>
          <w:color w:val="auto"/>
          <w:sz w:val="28"/>
          <w:szCs w:val="28"/>
          <w:highlight w:val="none"/>
        </w:rPr>
        <w:t>中标和合同</w:t>
      </w:r>
    </w:p>
    <w:p w14:paraId="511C53BF">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30确定中标人</w:t>
      </w:r>
    </w:p>
    <w:p w14:paraId="042B972B">
      <w:pPr>
        <w:pStyle w:val="6"/>
        <w:keepNext w:val="0"/>
        <w:keepLines w:val="0"/>
        <w:spacing w:before="0" w:after="0" w:line="360" w:lineRule="auto"/>
        <w:ind w:firstLine="420" w:firstLineChars="20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30.1采购代理机构在评标结束之日起2个工作日内将评标报告送采购人，采购人在收到评标报告之日起5个工作日内，在评标报告确定的中标候选人名单中按顺序确定中标人。中标候选人并列的，按照“投标人须知前附表”规定的方式确定中标人。采购人也可以事先授权评标委员会直接确定中标人。</w:t>
      </w:r>
    </w:p>
    <w:p w14:paraId="1813DB22">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30.2采购人在收到评标报告5个工作日内未按评标报告推荐的中标候选人顺序确定中标人，又不能说明合法理由的，视同按评标报告推荐的顺序确定排名第一的中标候选人为中标人。</w:t>
      </w:r>
    </w:p>
    <w:p w14:paraId="3470562A">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30.3出现下列情形之一的，应予废标：</w:t>
      </w:r>
    </w:p>
    <w:p w14:paraId="3D8AFCBD">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（1）符合专业条件的供应商或者对招标文件作实质响应的供应商不足三家的；</w:t>
      </w:r>
    </w:p>
    <w:p w14:paraId="4EA29A30">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（2）出现影响采购公正的违法、违规行为的；</w:t>
      </w:r>
    </w:p>
    <w:p w14:paraId="2AF857BA">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（3）投标人的报价均超过了采购预算（有效报价范围），采购人不能支付的；</w:t>
      </w:r>
    </w:p>
    <w:p w14:paraId="4875CEF3">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（4）因重大变故，采购任务取消的。</w:t>
      </w:r>
    </w:p>
    <w:p w14:paraId="43EBFECF">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废标后，采购人应当将废标理由通知所有投标人。</w:t>
      </w:r>
    </w:p>
    <w:p w14:paraId="7C14429F">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31. 结果公告</w:t>
      </w:r>
    </w:p>
    <w:p w14:paraId="30D7E29E">
      <w:pPr>
        <w:pStyle w:val="6"/>
        <w:keepNext w:val="0"/>
        <w:keepLines w:val="0"/>
        <w:spacing w:before="0" w:after="0" w:line="360" w:lineRule="auto"/>
        <w:ind w:firstLine="420" w:firstLineChars="20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31.1采购人或者采购代理机构应当自中标人确定之日起2个工作日内，在省级以上财政部门指定的媒体上公告中标结果，招标文件应当随中标结果同时公告。采购人或者采购代理发出中标通知书前，应当对中标人信用进行查询，对列入失信被执行人、重大税收违法失信主体、政府采购严重违法失信行为记录名单及其他不符合《中华人民共和国政府采购法》第二十二条规定条件的投标人，取消其中标资格，并确定排名第二的中标候选人为中标人。排名第二的中标候选人因前款规定的同样原因被取消中标资格的，采购人可以确定排名第三的中标候选人为中标人，以此类推。</w:t>
      </w:r>
    </w:p>
    <w:p w14:paraId="6A88B2D5">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以上信息查询记录及相关证据与采购文件一并保存。</w:t>
      </w:r>
    </w:p>
    <w:p w14:paraId="47779324">
      <w:pPr>
        <w:pStyle w:val="6"/>
        <w:keepNext w:val="0"/>
        <w:keepLines w:val="0"/>
        <w:spacing w:before="0" w:after="0" w:line="360" w:lineRule="auto"/>
        <w:ind w:firstLine="420" w:firstLineChars="20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31.2中标供应商享受《政府采购促进中小企业发展管理办法》（财库〔2020〕46号）规定的中小企业扶持政策的，采购人、采购代理机构应当随中标结果公开中标供应商的《中小企业声明函》。</w:t>
      </w:r>
    </w:p>
    <w:p w14:paraId="7CB171E9">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32.发出中标通知书</w:t>
      </w:r>
    </w:p>
    <w:p w14:paraId="20AC8A5E">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在发布中标公告的同时，采购代理机构向中标人发出中标通知书。对未通过资格审查的投标人，应当告知其未通过的原因；采用综合评分办法评审的，还应当告知未中标人本人的评审得分与排序。</w:t>
      </w:r>
    </w:p>
    <w:p w14:paraId="65FFEA5C">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33. 无义务解释未中标原因</w:t>
      </w:r>
    </w:p>
    <w:p w14:paraId="56789461">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采购代理机构无义务向未中标的投标人解释未中标原因。</w:t>
      </w:r>
    </w:p>
    <w:p w14:paraId="253BDDBD">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34.合同授予标准</w:t>
      </w:r>
    </w:p>
    <w:p w14:paraId="2B3E42B8">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合同将授予被确定实质上响应招标文件要求，具备履行合同能力的中标人。</w:t>
      </w:r>
    </w:p>
    <w:p w14:paraId="02BAE625">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35.履约保证金</w:t>
      </w:r>
    </w:p>
    <w:p w14:paraId="6658A581">
      <w:pPr>
        <w:pStyle w:val="6"/>
        <w:keepNext w:val="0"/>
        <w:keepLines w:val="0"/>
        <w:spacing w:before="0" w:after="0" w:line="360" w:lineRule="auto"/>
        <w:ind w:firstLine="315" w:firstLineChars="150"/>
        <w:rPr>
          <w:rFonts w:cs="宋体" w:asciiTheme="minorEastAsia" w:hAnsiTheme="minorEastAsia" w:eastAsiaTheme="minorEastAsia"/>
          <w:b w:val="0"/>
          <w:color w:val="auto"/>
          <w:sz w:val="21"/>
          <w:szCs w:val="21"/>
          <w:highlight w:val="none"/>
        </w:rPr>
      </w:pPr>
      <w:bookmarkStart w:id="98" w:name="_39.1中标人须于签订合同前按本须知前附表规定的金额转账或电汇到指定账"/>
      <w:bookmarkEnd w:id="98"/>
      <w:r>
        <w:rPr>
          <w:rFonts w:hint="eastAsia" w:cs="宋体" w:asciiTheme="minorEastAsia" w:hAnsiTheme="minorEastAsia" w:eastAsiaTheme="minorEastAsia"/>
          <w:b w:val="0"/>
          <w:color w:val="auto"/>
          <w:sz w:val="21"/>
          <w:szCs w:val="21"/>
          <w:highlight w:val="none"/>
        </w:rPr>
        <w:t>35.1 履约保证金的金额、提交方式、退付的时间和条件详见 “投标人须知前附表”。中标人未按规定提交履约保证金的，视为拒绝与采购人签订合同。</w:t>
      </w:r>
    </w:p>
    <w:p w14:paraId="2A65E1B5">
      <w:pPr>
        <w:pStyle w:val="6"/>
        <w:keepNext w:val="0"/>
        <w:keepLines w:val="0"/>
        <w:spacing w:before="0" w:after="0" w:line="360" w:lineRule="auto"/>
        <w:ind w:firstLine="315" w:firstLineChars="150"/>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b w:val="0"/>
          <w:bCs/>
          <w:color w:val="auto"/>
          <w:sz w:val="21"/>
          <w:szCs w:val="21"/>
          <w:highlight w:val="none"/>
        </w:rPr>
        <w:t>35.2在履约保证金退还日期前，若中标人的开户名称、开户银行、帐号有变动的，请以书面形式通知履约保证金收取单位，否则由此产生的后果由中标人自行承担。</w:t>
      </w:r>
    </w:p>
    <w:p w14:paraId="274A1787">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36.签订合同</w:t>
      </w:r>
    </w:p>
    <w:p w14:paraId="37CB55D7">
      <w:pPr>
        <w:pStyle w:val="6"/>
        <w:keepNext w:val="0"/>
        <w:keepLines w:val="0"/>
        <w:spacing w:before="0" w:after="0" w:line="360" w:lineRule="auto"/>
        <w:ind w:firstLine="316" w:firstLineChars="150"/>
        <w:rPr>
          <w:rFonts w:cs="宋体" w:asciiTheme="minorEastAsia" w:hAnsiTheme="minorEastAsia" w:eastAsiaTheme="minorEastAsia"/>
          <w:b w:val="0"/>
          <w:color w:val="auto"/>
          <w:sz w:val="21"/>
          <w:szCs w:val="21"/>
          <w:highlight w:val="none"/>
        </w:rPr>
      </w:pPr>
      <w:bookmarkStart w:id="99" w:name="_40.1投标人接到中标通知书后，按须知前附表规定向采购人出示相关资格证"/>
      <w:bookmarkEnd w:id="99"/>
      <w:r>
        <w:rPr>
          <w:rFonts w:hint="eastAsia" w:cs="宋体" w:asciiTheme="minorEastAsia" w:hAnsiTheme="minorEastAsia" w:eastAsiaTheme="minorEastAsia"/>
          <w:color w:val="auto"/>
          <w:sz w:val="21"/>
          <w:szCs w:val="21"/>
          <w:highlight w:val="none"/>
        </w:rPr>
        <w:t>36.1签订采购合同：中标人领取中标通知书后，</w:t>
      </w:r>
      <w:r>
        <w:rPr>
          <w:rFonts w:hint="eastAsia" w:cs="宋体" w:asciiTheme="minorEastAsia" w:hAnsiTheme="minorEastAsia" w:eastAsiaTheme="minorEastAsia"/>
          <w:color w:val="auto"/>
          <w:kern w:val="0"/>
          <w:sz w:val="21"/>
          <w:szCs w:val="21"/>
          <w:highlight w:val="none"/>
        </w:rPr>
        <w:t>在</w:t>
      </w:r>
      <w:r>
        <w:rPr>
          <w:rFonts w:hint="eastAsia" w:cs="宋体" w:asciiTheme="minorEastAsia" w:hAnsiTheme="minorEastAsia" w:eastAsiaTheme="minorEastAsia"/>
          <w:color w:val="auto"/>
          <w:kern w:val="0"/>
          <w:sz w:val="21"/>
          <w:szCs w:val="21"/>
          <w:highlight w:val="none"/>
          <w:lang w:val="zh-CN"/>
        </w:rPr>
        <w:t>规定的日期、时间、地点，由法定代表人或其授权代表与采购人代表签订采购合同。如中标人为联合体的，由联合体成员各方法定代表人或其授权代表与采购人代表签订合同。</w:t>
      </w:r>
    </w:p>
    <w:p w14:paraId="131B7F4C">
      <w:pPr>
        <w:pStyle w:val="6"/>
        <w:keepNext w:val="0"/>
        <w:keepLines w:val="0"/>
        <w:spacing w:before="0" w:after="0" w:line="360" w:lineRule="auto"/>
        <w:ind w:firstLine="315" w:firstLineChars="15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线下签订纸质合同：投标人领取中标通知书后，按“投标人须知前附表”规定向采购人出示相关证明材料，经采购人核验合格后方可签订合同。</w:t>
      </w:r>
    </w:p>
    <w:p w14:paraId="220D5CCC">
      <w:pPr>
        <w:pStyle w:val="6"/>
        <w:keepNext w:val="0"/>
        <w:keepLines w:val="0"/>
        <w:numPr>
          <w:ilvl w:val="0"/>
          <w:numId w:val="0"/>
        </w:numPr>
        <w:spacing w:before="0" w:after="0" w:line="360" w:lineRule="auto"/>
        <w:ind w:firstLine="420" w:firstLineChars="20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36.2签订合同时间：按中标通知书规定的时间与采购人签订合同。</w:t>
      </w:r>
    </w:p>
    <w:p w14:paraId="2BA7CFAA">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36.3中标人拒绝签订政府采购合同（包括但不限于放弃中标、因不可抗力不能履行合同而放弃签订合同），采购人可以按照评审报告推荐的中标候选人名单排序，确定下一候选人为中标供应商，也可以重新开展政府采购活动。如采购人无正当理由拒签合同的，给中标供应商造成损失的，中标供应商可追究采购人承担相应的法律责任。</w:t>
      </w:r>
    </w:p>
    <w:p w14:paraId="4BEE7E23">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36.4政府采购合同是政府采购项目验收的依据，中标供应商和采购人应当按照采购合同约定的各自的权利和义务全面履行合同。任何一方当事人在履行合同过程中均不得擅自变更、中止或终止合同。政府采购合同继续履行将损害国家利益和社会公共利益的，双方当事人应当变更、中止或终止合同。有过错的一方应当承担赔偿责任，双方都有过错的，各自承担相应的责任。</w:t>
      </w:r>
    </w:p>
    <w:p w14:paraId="62EB7089">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36.5采购人或中标供应商不得单方面向合同另一方提出任何招标文件没有约定的条件或不合理的要求，作为签订合同的条件；也不得协商另行订立背离招标文件和合同实质性内容的协议。</w:t>
      </w:r>
    </w:p>
    <w:p w14:paraId="00B03372">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36.6如签订合同并生效后，供应商无故拒绝或延期，除按照合同条款处理外，将承担相应的法律责任。</w:t>
      </w:r>
    </w:p>
    <w:p w14:paraId="28B5CCB8">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36.7政府采购合同履行中，采购人需追加与合同标的相同的货物、工程或者服务的，在不改变合同其他条款的前提下，可以与供应商协商签订补充合同，但所有补充合同的采购金额不得超过原合同采购金额的10%。</w:t>
      </w:r>
    </w:p>
    <w:p w14:paraId="6177D05E">
      <w:pPr>
        <w:pStyle w:val="6"/>
        <w:keepNext w:val="0"/>
        <w:keepLines w:val="0"/>
        <w:spacing w:before="0" w:after="0" w:line="360" w:lineRule="auto"/>
        <w:rPr>
          <w:rFonts w:cs="宋体" w:asciiTheme="minorEastAsia" w:hAnsiTheme="minorEastAsia" w:eastAsiaTheme="minorEastAsia"/>
          <w:color w:val="auto"/>
          <w:sz w:val="21"/>
          <w:szCs w:val="21"/>
          <w:highlight w:val="none"/>
        </w:rPr>
      </w:pPr>
      <w:bookmarkStart w:id="100" w:name="_41.政府采购合同公告"/>
      <w:bookmarkEnd w:id="100"/>
      <w:r>
        <w:rPr>
          <w:rFonts w:hint="eastAsia" w:cs="宋体" w:asciiTheme="minorEastAsia" w:hAnsiTheme="minorEastAsia" w:eastAsiaTheme="minorEastAsia"/>
          <w:color w:val="auto"/>
          <w:sz w:val="21"/>
          <w:szCs w:val="21"/>
          <w:highlight w:val="none"/>
        </w:rPr>
        <w:t>37.政府采购合同公告</w:t>
      </w:r>
    </w:p>
    <w:p w14:paraId="47CFA081">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采购人或者受托采购代理机构应当自政府采购合同签订之日起2个工作日内，将政府采购合同在省级以上人民政府财政部门指定的媒体上公告，但政府采购合同中涉及国家秘密、商业秘密的内容除外。</w:t>
      </w:r>
    </w:p>
    <w:p w14:paraId="13E79E53">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38. 询问、质疑和投诉</w:t>
      </w:r>
    </w:p>
    <w:p w14:paraId="4BD2CE8B">
      <w:pPr>
        <w:pStyle w:val="7"/>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38.1供应商对政府采购活动事项有疑问的，可以向采购人提出询问，采购人或者采购代理机构应当在3个工作日内对供应商依法提出的询问作出答复，但答复的内容不得涉及商业秘密。</w:t>
      </w:r>
    </w:p>
    <w:p w14:paraId="1BB6A870">
      <w:pPr>
        <w:pStyle w:val="6"/>
        <w:keepNext w:val="0"/>
        <w:keepLines w:val="0"/>
        <w:spacing w:before="0" w:after="0" w:line="360" w:lineRule="auto"/>
        <w:ind w:firstLine="315" w:firstLineChars="150"/>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38.2供应商认为招标文件、采购过程或者中标结果使自己的合法权益受到损害的，必须在知道或者应知其权益受到损害之日起7个工作日内，以书面形式向采购人、采购代理机构提出质疑。采购人、采购代理机构接收质疑函的方式、联系部门、联系电话和通讯地址等信息详见“投标人须知前附表”。具体质疑起算时间如下： </w:t>
      </w:r>
    </w:p>
    <w:p w14:paraId="253E6909">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（1）对可以质疑的招标文件提出质疑的，为收到招标文件之日或者招标文件公告期限届满之日；</w:t>
      </w:r>
    </w:p>
    <w:p w14:paraId="330A1F41">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（2）对采购过程提出质疑的，为各采购程序环节结束之日；</w:t>
      </w:r>
    </w:p>
    <w:p w14:paraId="2D9BDA3C">
      <w:pPr>
        <w:pStyle w:val="23"/>
        <w:snapToGrid w:val="0"/>
        <w:spacing w:line="360" w:lineRule="auto"/>
        <w:ind w:firstLine="420" w:firstLineChars="200"/>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color w:val="auto"/>
          <w:sz w:val="21"/>
          <w:highlight w:val="none"/>
        </w:rPr>
        <w:t>（3）对中标结果提出质疑的，为中标结果公告期限届满之日。</w:t>
      </w:r>
    </w:p>
    <w:p w14:paraId="22F447BA">
      <w:pPr>
        <w:pStyle w:val="6"/>
        <w:keepNext w:val="0"/>
        <w:keepLines w:val="0"/>
        <w:spacing w:before="0" w:after="0" w:line="360" w:lineRule="auto"/>
        <w:ind w:firstLine="315" w:firstLineChars="150"/>
        <w:rPr>
          <w:rFonts w:cs="宋体" w:asciiTheme="minorEastAsia" w:hAnsiTheme="minorEastAsia" w:eastAsiaTheme="minorEastAsia"/>
          <w:b w:val="0"/>
          <w:color w:val="auto"/>
          <w:sz w:val="21"/>
          <w:szCs w:val="21"/>
          <w:highlight w:val="none"/>
        </w:rPr>
      </w:pPr>
      <w:bookmarkStart w:id="101" w:name="_9.2质疑、投诉应当采用书面形式，质疑函、投诉书均应明确阐述招标文件、"/>
      <w:bookmarkEnd w:id="101"/>
      <w:r>
        <w:rPr>
          <w:rFonts w:hint="eastAsia" w:cs="宋体" w:asciiTheme="minorEastAsia" w:hAnsiTheme="minorEastAsia" w:eastAsiaTheme="minorEastAsia"/>
          <w:b w:val="0"/>
          <w:color w:val="auto"/>
          <w:sz w:val="21"/>
          <w:szCs w:val="21"/>
          <w:highlight w:val="none"/>
        </w:rPr>
        <w:t>38.3</w:t>
      </w:r>
      <w:r>
        <w:rPr>
          <w:rFonts w:hint="eastAsia" w:cs="宋体" w:asciiTheme="minorEastAsia" w:hAnsiTheme="minorEastAsia" w:eastAsiaTheme="minorEastAsia"/>
          <w:b w:val="0"/>
          <w:bCs/>
          <w:color w:val="auto"/>
          <w:sz w:val="21"/>
          <w:szCs w:val="21"/>
          <w:highlight w:val="none"/>
        </w:rPr>
        <w:t>供应商提出质疑应当提交质疑函和必要的证明材料，针对同一采购程序环节的质疑必须在法定质疑期内一次性提出。质疑函应当包括下列内容（质疑函格式后附）：</w:t>
      </w:r>
    </w:p>
    <w:p w14:paraId="46DFC18A">
      <w:pPr>
        <w:pStyle w:val="23"/>
        <w:snapToGrid w:val="0"/>
        <w:spacing w:line="360" w:lineRule="auto"/>
        <w:ind w:firstLine="420" w:firstLineChars="200"/>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bCs/>
          <w:color w:val="auto"/>
          <w:sz w:val="21"/>
          <w:highlight w:val="none"/>
        </w:rPr>
        <w:t>（1）供应商的姓名或者名称、地址、邮编、联系人及联系电话；</w:t>
      </w:r>
    </w:p>
    <w:p w14:paraId="1FF01E6D">
      <w:pPr>
        <w:pStyle w:val="23"/>
        <w:snapToGrid w:val="0"/>
        <w:spacing w:line="360" w:lineRule="auto"/>
        <w:ind w:firstLine="420" w:firstLineChars="200"/>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bCs/>
          <w:color w:val="auto"/>
          <w:sz w:val="21"/>
          <w:highlight w:val="none"/>
        </w:rPr>
        <w:t>（2）质疑项目的名称、编号；</w:t>
      </w:r>
    </w:p>
    <w:p w14:paraId="1E295365">
      <w:pPr>
        <w:pStyle w:val="23"/>
        <w:snapToGrid w:val="0"/>
        <w:spacing w:line="360" w:lineRule="auto"/>
        <w:ind w:firstLine="420" w:firstLineChars="200"/>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bCs/>
          <w:color w:val="auto"/>
          <w:sz w:val="21"/>
          <w:highlight w:val="none"/>
        </w:rPr>
        <w:t>（3）具体、明确的质疑事项和与质疑事项相关的请求；</w:t>
      </w:r>
    </w:p>
    <w:p w14:paraId="408510C3">
      <w:pPr>
        <w:pStyle w:val="23"/>
        <w:snapToGrid w:val="0"/>
        <w:spacing w:line="360" w:lineRule="auto"/>
        <w:ind w:firstLine="420" w:firstLineChars="200"/>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bCs/>
          <w:color w:val="auto"/>
          <w:sz w:val="21"/>
          <w:highlight w:val="none"/>
        </w:rPr>
        <w:t>（4）事实依据；</w:t>
      </w:r>
    </w:p>
    <w:p w14:paraId="598B83CF">
      <w:pPr>
        <w:pStyle w:val="23"/>
        <w:snapToGrid w:val="0"/>
        <w:spacing w:line="360" w:lineRule="auto"/>
        <w:ind w:firstLine="420" w:firstLineChars="200"/>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bCs/>
          <w:color w:val="auto"/>
          <w:sz w:val="21"/>
          <w:highlight w:val="none"/>
        </w:rPr>
        <w:t>（5）必要的法律依据；</w:t>
      </w:r>
    </w:p>
    <w:p w14:paraId="67B38EF3">
      <w:pPr>
        <w:pStyle w:val="23"/>
        <w:snapToGrid w:val="0"/>
        <w:spacing w:line="360" w:lineRule="auto"/>
        <w:ind w:firstLine="420" w:firstLineChars="200"/>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bCs/>
          <w:color w:val="auto"/>
          <w:sz w:val="21"/>
          <w:highlight w:val="none"/>
        </w:rPr>
        <w:t>（6）提出质疑的日期。</w:t>
      </w:r>
    </w:p>
    <w:p w14:paraId="1D6BE1A4">
      <w:pPr>
        <w:pStyle w:val="23"/>
        <w:snapToGrid w:val="0"/>
        <w:spacing w:line="360" w:lineRule="auto"/>
        <w:ind w:firstLine="420" w:firstLineChars="200"/>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bCs/>
          <w:color w:val="auto"/>
          <w:sz w:val="21"/>
          <w:highlight w:val="none"/>
        </w:rPr>
        <w:t>供应商为自然人的，应当由本人签字；供应商为法人或者其他组织的，应当由法定代表人、主要负责人，或者其委托代理人签字或者盖章，并加盖公章。</w:t>
      </w:r>
    </w:p>
    <w:p w14:paraId="7CA574D4">
      <w:pPr>
        <w:pStyle w:val="6"/>
        <w:keepNext w:val="0"/>
        <w:keepLines w:val="0"/>
        <w:snapToGrid w:val="0"/>
        <w:spacing w:before="0" w:after="0" w:line="360" w:lineRule="auto"/>
        <w:ind w:firstLine="420" w:firstLineChars="200"/>
        <w:rPr>
          <w:rFonts w:cs="宋体" w:asciiTheme="minorEastAsia" w:hAnsiTheme="minorEastAsia" w:eastAsiaTheme="minorEastAsia"/>
          <w:b w:val="0"/>
          <w:bCs/>
          <w:color w:val="auto"/>
          <w:sz w:val="21"/>
          <w:szCs w:val="21"/>
          <w:highlight w:val="none"/>
        </w:rPr>
      </w:pPr>
      <w:r>
        <w:rPr>
          <w:rFonts w:hint="eastAsia" w:cs="宋体" w:asciiTheme="minorEastAsia" w:hAnsiTheme="minorEastAsia" w:eastAsiaTheme="minorEastAsia"/>
          <w:b w:val="0"/>
          <w:color w:val="auto"/>
          <w:sz w:val="21"/>
          <w:szCs w:val="21"/>
          <w:highlight w:val="none"/>
        </w:rPr>
        <w:t>3</w:t>
      </w:r>
      <w:r>
        <w:rPr>
          <w:rFonts w:hint="eastAsia" w:cs="宋体" w:asciiTheme="minorEastAsia" w:hAnsiTheme="minorEastAsia" w:eastAsiaTheme="minorEastAsia"/>
          <w:b w:val="0"/>
          <w:bCs/>
          <w:color w:val="auto"/>
          <w:sz w:val="21"/>
          <w:szCs w:val="21"/>
          <w:highlight w:val="none"/>
        </w:rPr>
        <w:t>8.4采购人、采购代理机构认为供应商质疑不成立，或者成立但未对中标结果构成影响的，继续开展采购活动；认为供应商质疑成立且影响或者可能影响中标结果的，按照下列情况处理：</w:t>
      </w:r>
    </w:p>
    <w:p w14:paraId="67AAF1B4">
      <w:pPr>
        <w:pStyle w:val="23"/>
        <w:snapToGrid w:val="0"/>
        <w:spacing w:line="360" w:lineRule="auto"/>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bCs/>
          <w:color w:val="auto"/>
          <w:sz w:val="21"/>
          <w:highlight w:val="none"/>
        </w:rPr>
        <w:t>　　（一）对招标文件提出的质疑，依法通过澄清或者修改可以继续开展采购活动的，澄清或者修改招标文件后继续开展采购活动；否则应当修改招标文件后重新开展采购活动。</w:t>
      </w:r>
    </w:p>
    <w:p w14:paraId="35BE14A0">
      <w:pPr>
        <w:pStyle w:val="23"/>
        <w:snapToGrid w:val="0"/>
        <w:spacing w:line="360" w:lineRule="auto"/>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bCs/>
          <w:color w:val="auto"/>
          <w:sz w:val="21"/>
          <w:highlight w:val="none"/>
        </w:rPr>
        <w:t>　　（二）对采购过程、中标结果提出的质疑，合格供应商符合法定数量时，可以从合格的中标候选人中另行确定中标供应商的，应当依法另行确定中标供应商；否则应当重新开展采购活动。</w:t>
      </w:r>
    </w:p>
    <w:p w14:paraId="1BB2D9BA">
      <w:pPr>
        <w:pStyle w:val="23"/>
        <w:snapToGrid w:val="0"/>
        <w:spacing w:line="360" w:lineRule="auto"/>
        <w:ind w:firstLine="420"/>
        <w:rPr>
          <w:rFonts w:cs="宋体" w:asciiTheme="minorEastAsia" w:hAnsiTheme="minorEastAsia" w:eastAsiaTheme="minorEastAsia"/>
          <w:bCs/>
          <w:color w:val="auto"/>
          <w:sz w:val="21"/>
          <w:highlight w:val="none"/>
        </w:rPr>
      </w:pPr>
      <w:r>
        <w:rPr>
          <w:rFonts w:hint="eastAsia" w:cs="宋体" w:asciiTheme="minorEastAsia" w:hAnsiTheme="minorEastAsia" w:eastAsiaTheme="minorEastAsia"/>
          <w:bCs/>
          <w:color w:val="auto"/>
          <w:sz w:val="21"/>
          <w:highlight w:val="none"/>
        </w:rPr>
        <w:t>质疑答复导致中标结果改变的，采购人或者采购代理机构应当将有关情况书面报告本级财政部门。</w:t>
      </w:r>
    </w:p>
    <w:p w14:paraId="198BBF7F">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38.5质疑供应商对采购人、采购代理机构的答复不满意，或者采购人、采购代理机构未在规定时间内作出答复的，可以在答复期满后15个工作日内向《政府采购质疑和投诉办法》（财政部令第94号）第六条规定的财政部门提起投诉（投诉书格式后附）。</w:t>
      </w:r>
    </w:p>
    <w:p w14:paraId="4A007C28">
      <w:pPr>
        <w:pStyle w:val="4"/>
        <w:keepNext w:val="0"/>
        <w:keepLines w:val="0"/>
        <w:spacing w:before="0" w:after="0" w:line="360" w:lineRule="auto"/>
        <w:jc w:val="center"/>
        <w:rPr>
          <w:rFonts w:cs="宋体" w:asciiTheme="minorEastAsia" w:hAnsiTheme="minorEastAsia" w:eastAsiaTheme="minorEastAsia"/>
          <w:color w:val="auto"/>
          <w:sz w:val="28"/>
          <w:szCs w:val="28"/>
          <w:highlight w:val="none"/>
        </w:rPr>
      </w:pPr>
      <w:bookmarkStart w:id="102" w:name="_八、其他事项"/>
      <w:bookmarkEnd w:id="102"/>
      <w:r>
        <w:rPr>
          <w:rFonts w:hint="eastAsia" w:cs="宋体" w:asciiTheme="minorEastAsia" w:hAnsiTheme="minorEastAsia" w:eastAsiaTheme="minorEastAsia"/>
          <w:color w:val="auto"/>
          <w:sz w:val="28"/>
          <w:szCs w:val="28"/>
          <w:highlight w:val="none"/>
        </w:rPr>
        <w:t>八、其他事项</w:t>
      </w:r>
    </w:p>
    <w:p w14:paraId="59CD1488">
      <w:pPr>
        <w:pStyle w:val="6"/>
        <w:keepNext w:val="0"/>
        <w:keepLines w:val="0"/>
        <w:spacing w:before="0" w:after="0" w:line="360" w:lineRule="auto"/>
        <w:rPr>
          <w:rFonts w:ascii="宋体" w:hAnsi="宋体" w:cs="宋体"/>
          <w:color w:val="auto"/>
          <w:sz w:val="21"/>
          <w:szCs w:val="21"/>
          <w:highlight w:val="none"/>
        </w:rPr>
      </w:pPr>
      <w:bookmarkStart w:id="103" w:name="_42.代理服务费"/>
      <w:bookmarkEnd w:id="103"/>
      <w:r>
        <w:rPr>
          <w:rFonts w:hint="eastAsia" w:ascii="宋体" w:hAnsi="宋体" w:cs="宋体"/>
          <w:color w:val="auto"/>
          <w:sz w:val="21"/>
          <w:szCs w:val="21"/>
          <w:highlight w:val="none"/>
        </w:rPr>
        <w:t>39.代理服务费</w:t>
      </w:r>
    </w:p>
    <w:p w14:paraId="0467C3ED">
      <w:pPr>
        <w:pStyle w:val="6"/>
        <w:keepNext w:val="0"/>
        <w:keepLines w:val="0"/>
        <w:spacing w:before="0" w:after="0" w:line="360" w:lineRule="auto"/>
        <w:rPr>
          <w:rFonts w:ascii="宋体" w:hAnsi="宋体" w:cs="宋体"/>
          <w:color w:val="auto"/>
          <w:sz w:val="21"/>
          <w:szCs w:val="21"/>
          <w:highlight w:val="none"/>
        </w:rPr>
      </w:pPr>
      <w:r>
        <w:rPr>
          <w:rFonts w:hint="eastAsia" w:ascii="宋体" w:hAnsi="宋体" w:cs="宋体"/>
          <w:b w:val="0"/>
          <w:color w:val="auto"/>
          <w:sz w:val="21"/>
          <w:szCs w:val="21"/>
          <w:highlight w:val="none"/>
        </w:rPr>
        <w:t>39.1代理服务收取标准及缴费账户详见“投标人须知前附表”，投标人为联合体的，可以由联合体中的一方或者多方共同交纳代理服务费。</w:t>
      </w:r>
    </w:p>
    <w:p w14:paraId="0F15F598">
      <w:pPr>
        <w:pStyle w:val="6"/>
        <w:keepNext w:val="0"/>
        <w:keepLines w:val="0"/>
        <w:spacing w:before="0" w:after="0" w:line="360" w:lineRule="auto"/>
        <w:rPr>
          <w:rFonts w:ascii="宋体" w:hAnsi="宋体" w:cs="宋体"/>
          <w:b w:val="0"/>
          <w:color w:val="auto"/>
          <w:sz w:val="21"/>
          <w:szCs w:val="21"/>
          <w:highlight w:val="none"/>
        </w:rPr>
      </w:pPr>
      <w:r>
        <w:rPr>
          <w:rFonts w:hint="eastAsia" w:ascii="宋体" w:hAnsi="宋体" w:cs="宋体"/>
          <w:b w:val="0"/>
          <w:color w:val="auto"/>
          <w:sz w:val="21"/>
          <w:szCs w:val="21"/>
          <w:highlight w:val="none"/>
        </w:rPr>
        <w:t xml:space="preserve">   39.2代理服务收费标准：</w:t>
      </w:r>
    </w:p>
    <w:tbl>
      <w:tblPr>
        <w:tblStyle w:val="47"/>
        <w:tblW w:w="87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72"/>
        <w:gridCol w:w="1707"/>
        <w:gridCol w:w="1735"/>
        <w:gridCol w:w="1706"/>
      </w:tblGrid>
      <w:tr w14:paraId="6657B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72" w:type="dxa"/>
            <w:tcBorders>
              <w:tl2br w:val="single" w:color="auto" w:sz="4" w:space="0"/>
            </w:tcBorders>
          </w:tcPr>
          <w:p w14:paraId="4C08091B">
            <w:pPr>
              <w:rPr>
                <w:rFonts w:ascii="宋体" w:hAnsi="宋体" w:cs="宋体"/>
                <w:color w:val="auto"/>
                <w:szCs w:val="21"/>
                <w:highlight w:val="none"/>
              </w:rPr>
            </w:pPr>
            <w:r>
              <w:rPr>
                <w:rFonts w:hint="eastAsia" w:ascii="宋体" w:hAnsi="宋体" w:cs="宋体"/>
                <w:color w:val="auto"/>
                <w:szCs w:val="21"/>
                <w:highlight w:val="none"/>
              </w:rPr>
              <w:t xml:space="preserve">               费率</w:t>
            </w:r>
          </w:p>
          <w:p w14:paraId="171DEA0E">
            <w:pPr>
              <w:rPr>
                <w:rFonts w:ascii="宋体" w:hAnsi="宋体" w:cs="宋体"/>
                <w:color w:val="auto"/>
                <w:szCs w:val="21"/>
                <w:highlight w:val="none"/>
              </w:rPr>
            </w:pPr>
            <w:r>
              <w:rPr>
                <w:rFonts w:hint="eastAsia" w:ascii="宋体" w:hAnsi="宋体" w:cs="宋体"/>
                <w:color w:val="auto"/>
                <w:szCs w:val="21"/>
                <w:highlight w:val="none"/>
              </w:rPr>
              <w:t>中标金额</w:t>
            </w:r>
          </w:p>
        </w:tc>
        <w:tc>
          <w:tcPr>
            <w:tcW w:w="1707" w:type="dxa"/>
            <w:vAlign w:val="center"/>
          </w:tcPr>
          <w:p w14:paraId="0F1F8972">
            <w:pPr>
              <w:ind w:firstLine="105" w:firstLineChars="50"/>
              <w:jc w:val="center"/>
              <w:rPr>
                <w:rFonts w:ascii="宋体" w:hAnsi="宋体" w:cs="宋体"/>
                <w:color w:val="auto"/>
                <w:szCs w:val="21"/>
                <w:highlight w:val="none"/>
              </w:rPr>
            </w:pPr>
            <w:r>
              <w:rPr>
                <w:rFonts w:hint="eastAsia" w:ascii="宋体" w:hAnsi="宋体" w:cs="宋体"/>
                <w:color w:val="auto"/>
                <w:szCs w:val="21"/>
                <w:highlight w:val="none"/>
              </w:rPr>
              <w:t>货物招标</w:t>
            </w:r>
          </w:p>
        </w:tc>
        <w:tc>
          <w:tcPr>
            <w:tcW w:w="1735" w:type="dxa"/>
            <w:vAlign w:val="center"/>
          </w:tcPr>
          <w:p w14:paraId="11235F88">
            <w:pPr>
              <w:jc w:val="center"/>
              <w:rPr>
                <w:rFonts w:ascii="宋体" w:hAnsi="宋体" w:cs="宋体"/>
                <w:color w:val="auto"/>
                <w:szCs w:val="21"/>
                <w:highlight w:val="none"/>
              </w:rPr>
            </w:pPr>
            <w:r>
              <w:rPr>
                <w:rFonts w:hint="eastAsia" w:ascii="宋体" w:hAnsi="宋体" w:cs="宋体"/>
                <w:color w:val="auto"/>
                <w:szCs w:val="21"/>
                <w:highlight w:val="none"/>
              </w:rPr>
              <w:t>服务招标</w:t>
            </w:r>
          </w:p>
        </w:tc>
        <w:tc>
          <w:tcPr>
            <w:tcW w:w="1706" w:type="dxa"/>
            <w:vAlign w:val="center"/>
          </w:tcPr>
          <w:p w14:paraId="64B5EC62">
            <w:pPr>
              <w:jc w:val="center"/>
              <w:rPr>
                <w:rFonts w:ascii="宋体" w:hAnsi="宋体" w:cs="宋体"/>
                <w:color w:val="auto"/>
                <w:szCs w:val="21"/>
                <w:highlight w:val="none"/>
              </w:rPr>
            </w:pPr>
            <w:r>
              <w:rPr>
                <w:rFonts w:hint="eastAsia" w:ascii="宋体" w:hAnsi="宋体" w:cs="宋体"/>
                <w:color w:val="auto"/>
                <w:szCs w:val="21"/>
                <w:highlight w:val="none"/>
              </w:rPr>
              <w:t>工程招标</w:t>
            </w:r>
          </w:p>
        </w:tc>
      </w:tr>
      <w:tr w14:paraId="64952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72" w:type="dxa"/>
          </w:tcPr>
          <w:p w14:paraId="4A16D39D">
            <w:pPr>
              <w:jc w:val="center"/>
              <w:rPr>
                <w:rFonts w:ascii="宋体" w:hAnsi="宋体" w:cs="宋体"/>
                <w:color w:val="auto"/>
                <w:szCs w:val="21"/>
                <w:highlight w:val="none"/>
              </w:rPr>
            </w:pPr>
            <w:r>
              <w:rPr>
                <w:rFonts w:hint="eastAsia" w:ascii="宋体" w:hAnsi="宋体" w:cs="宋体"/>
                <w:color w:val="auto"/>
                <w:szCs w:val="21"/>
                <w:highlight w:val="none"/>
              </w:rPr>
              <w:t>100万元以下</w:t>
            </w:r>
          </w:p>
        </w:tc>
        <w:tc>
          <w:tcPr>
            <w:tcW w:w="1707" w:type="dxa"/>
          </w:tcPr>
          <w:p w14:paraId="16AD1E8E">
            <w:pPr>
              <w:jc w:val="center"/>
              <w:rPr>
                <w:rFonts w:ascii="宋体" w:hAnsi="宋体" w:cs="宋体"/>
                <w:color w:val="auto"/>
                <w:szCs w:val="21"/>
                <w:highlight w:val="none"/>
              </w:rPr>
            </w:pPr>
            <w:r>
              <w:rPr>
                <w:rFonts w:hint="eastAsia" w:ascii="宋体" w:hAnsi="宋体" w:cs="宋体"/>
                <w:color w:val="auto"/>
                <w:kern w:val="0"/>
                <w:szCs w:val="21"/>
                <w:highlight w:val="none"/>
              </w:rPr>
              <w:t>1.5%</w:t>
            </w:r>
          </w:p>
        </w:tc>
        <w:tc>
          <w:tcPr>
            <w:tcW w:w="1735" w:type="dxa"/>
          </w:tcPr>
          <w:p w14:paraId="44974B7C">
            <w:pPr>
              <w:ind w:firstLine="210" w:firstLineChars="100"/>
              <w:jc w:val="center"/>
              <w:rPr>
                <w:rFonts w:ascii="宋体" w:hAnsi="宋体" w:cs="宋体"/>
                <w:color w:val="auto"/>
                <w:szCs w:val="21"/>
                <w:highlight w:val="none"/>
              </w:rPr>
            </w:pPr>
            <w:r>
              <w:rPr>
                <w:rFonts w:hint="eastAsia" w:ascii="宋体" w:hAnsi="宋体" w:cs="宋体"/>
                <w:color w:val="auto"/>
                <w:kern w:val="0"/>
                <w:szCs w:val="21"/>
                <w:highlight w:val="none"/>
              </w:rPr>
              <w:t>1.5%</w:t>
            </w:r>
          </w:p>
        </w:tc>
        <w:tc>
          <w:tcPr>
            <w:tcW w:w="1706" w:type="dxa"/>
          </w:tcPr>
          <w:p w14:paraId="0B43DD7A">
            <w:pPr>
              <w:ind w:firstLine="210" w:firstLineChars="100"/>
              <w:jc w:val="center"/>
              <w:rPr>
                <w:rFonts w:ascii="宋体" w:hAnsi="宋体" w:cs="宋体"/>
                <w:color w:val="auto"/>
                <w:szCs w:val="21"/>
                <w:highlight w:val="none"/>
              </w:rPr>
            </w:pPr>
            <w:r>
              <w:rPr>
                <w:rFonts w:hint="eastAsia" w:ascii="宋体" w:hAnsi="宋体" w:cs="宋体"/>
                <w:color w:val="auto"/>
                <w:kern w:val="0"/>
                <w:szCs w:val="21"/>
                <w:highlight w:val="none"/>
              </w:rPr>
              <w:t>1.0%</w:t>
            </w:r>
          </w:p>
        </w:tc>
      </w:tr>
      <w:tr w14:paraId="1A846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72" w:type="dxa"/>
          </w:tcPr>
          <w:p w14:paraId="372ECA6D">
            <w:pPr>
              <w:jc w:val="center"/>
              <w:rPr>
                <w:rFonts w:ascii="宋体" w:hAnsi="宋体" w:cs="宋体"/>
                <w:color w:val="auto"/>
                <w:szCs w:val="21"/>
                <w:highlight w:val="none"/>
              </w:rPr>
            </w:pPr>
            <w:r>
              <w:rPr>
                <w:rFonts w:hint="eastAsia" w:ascii="宋体" w:hAnsi="宋体" w:cs="宋体"/>
                <w:color w:val="auto"/>
                <w:szCs w:val="21"/>
                <w:highlight w:val="none"/>
              </w:rPr>
              <w:t>100～500万元</w:t>
            </w:r>
          </w:p>
        </w:tc>
        <w:tc>
          <w:tcPr>
            <w:tcW w:w="1707" w:type="dxa"/>
          </w:tcPr>
          <w:p w14:paraId="78B48F14">
            <w:pPr>
              <w:ind w:firstLine="210" w:firstLineChars="100"/>
              <w:jc w:val="center"/>
              <w:rPr>
                <w:rFonts w:ascii="宋体" w:hAnsi="宋体" w:cs="宋体"/>
                <w:color w:val="auto"/>
                <w:szCs w:val="21"/>
                <w:highlight w:val="none"/>
              </w:rPr>
            </w:pPr>
            <w:r>
              <w:rPr>
                <w:rFonts w:hint="eastAsia" w:ascii="宋体" w:hAnsi="宋体" w:cs="宋体"/>
                <w:color w:val="auto"/>
                <w:kern w:val="0"/>
                <w:szCs w:val="21"/>
                <w:highlight w:val="none"/>
              </w:rPr>
              <w:t>1.1%</w:t>
            </w:r>
          </w:p>
        </w:tc>
        <w:tc>
          <w:tcPr>
            <w:tcW w:w="1735" w:type="dxa"/>
          </w:tcPr>
          <w:p w14:paraId="2B1B0A6F">
            <w:pPr>
              <w:ind w:firstLine="210" w:firstLineChars="100"/>
              <w:jc w:val="center"/>
              <w:rPr>
                <w:rFonts w:ascii="宋体" w:hAnsi="宋体" w:cs="宋体"/>
                <w:color w:val="auto"/>
                <w:szCs w:val="21"/>
                <w:highlight w:val="none"/>
              </w:rPr>
            </w:pPr>
            <w:r>
              <w:rPr>
                <w:rFonts w:hint="eastAsia" w:ascii="宋体" w:hAnsi="宋体" w:cs="宋体"/>
                <w:color w:val="auto"/>
                <w:kern w:val="0"/>
                <w:szCs w:val="21"/>
                <w:highlight w:val="none"/>
              </w:rPr>
              <w:t>0.8%</w:t>
            </w:r>
          </w:p>
        </w:tc>
        <w:tc>
          <w:tcPr>
            <w:tcW w:w="1706" w:type="dxa"/>
          </w:tcPr>
          <w:p w14:paraId="34E3CA2B">
            <w:pPr>
              <w:ind w:firstLine="210" w:firstLineChars="100"/>
              <w:jc w:val="center"/>
              <w:rPr>
                <w:rFonts w:ascii="宋体" w:hAnsi="宋体" w:cs="宋体"/>
                <w:color w:val="auto"/>
                <w:szCs w:val="21"/>
                <w:highlight w:val="none"/>
              </w:rPr>
            </w:pPr>
            <w:r>
              <w:rPr>
                <w:rFonts w:hint="eastAsia" w:ascii="宋体" w:hAnsi="宋体" w:cs="宋体"/>
                <w:color w:val="auto"/>
                <w:kern w:val="0"/>
                <w:szCs w:val="21"/>
                <w:highlight w:val="none"/>
              </w:rPr>
              <w:t>0.7%</w:t>
            </w:r>
          </w:p>
        </w:tc>
      </w:tr>
      <w:tr w14:paraId="4CFAD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72" w:type="dxa"/>
          </w:tcPr>
          <w:p w14:paraId="7A990177">
            <w:pPr>
              <w:jc w:val="center"/>
              <w:rPr>
                <w:rFonts w:ascii="宋体" w:hAnsi="宋体" w:cs="宋体"/>
                <w:color w:val="auto"/>
                <w:szCs w:val="21"/>
                <w:highlight w:val="none"/>
              </w:rPr>
            </w:pPr>
            <w:r>
              <w:rPr>
                <w:rFonts w:hint="eastAsia" w:ascii="宋体" w:hAnsi="宋体" w:cs="宋体"/>
                <w:color w:val="auto"/>
                <w:szCs w:val="21"/>
                <w:highlight w:val="none"/>
              </w:rPr>
              <w:t>500～1000万元</w:t>
            </w:r>
          </w:p>
        </w:tc>
        <w:tc>
          <w:tcPr>
            <w:tcW w:w="1707" w:type="dxa"/>
          </w:tcPr>
          <w:p w14:paraId="5CBAFF32">
            <w:pPr>
              <w:jc w:val="center"/>
              <w:rPr>
                <w:rFonts w:ascii="宋体" w:hAnsi="宋体" w:cs="宋体"/>
                <w:color w:val="auto"/>
                <w:szCs w:val="21"/>
                <w:highlight w:val="none"/>
              </w:rPr>
            </w:pPr>
            <w:r>
              <w:rPr>
                <w:rFonts w:hint="eastAsia" w:ascii="宋体" w:hAnsi="宋体" w:cs="宋体"/>
                <w:color w:val="auto"/>
                <w:kern w:val="0"/>
                <w:szCs w:val="21"/>
                <w:highlight w:val="none"/>
              </w:rPr>
              <w:t>0.8%</w:t>
            </w:r>
          </w:p>
        </w:tc>
        <w:tc>
          <w:tcPr>
            <w:tcW w:w="1735" w:type="dxa"/>
          </w:tcPr>
          <w:p w14:paraId="3729FDC5">
            <w:pPr>
              <w:ind w:firstLine="210" w:firstLineChars="100"/>
              <w:jc w:val="center"/>
              <w:rPr>
                <w:rFonts w:ascii="宋体" w:hAnsi="宋体" w:cs="宋体"/>
                <w:color w:val="auto"/>
                <w:szCs w:val="21"/>
                <w:highlight w:val="none"/>
              </w:rPr>
            </w:pPr>
            <w:r>
              <w:rPr>
                <w:rFonts w:hint="eastAsia" w:ascii="宋体" w:hAnsi="宋体" w:cs="宋体"/>
                <w:color w:val="auto"/>
                <w:kern w:val="0"/>
                <w:szCs w:val="21"/>
                <w:highlight w:val="none"/>
              </w:rPr>
              <w:t>0.45%</w:t>
            </w:r>
          </w:p>
        </w:tc>
        <w:tc>
          <w:tcPr>
            <w:tcW w:w="1706" w:type="dxa"/>
          </w:tcPr>
          <w:p w14:paraId="329D8656">
            <w:pPr>
              <w:ind w:firstLine="210" w:firstLineChars="100"/>
              <w:jc w:val="center"/>
              <w:rPr>
                <w:rFonts w:ascii="宋体" w:hAnsi="宋体" w:cs="宋体"/>
                <w:color w:val="auto"/>
                <w:szCs w:val="21"/>
                <w:highlight w:val="none"/>
              </w:rPr>
            </w:pPr>
            <w:r>
              <w:rPr>
                <w:rFonts w:hint="eastAsia" w:ascii="宋体" w:hAnsi="宋体" w:cs="宋体"/>
                <w:color w:val="auto"/>
                <w:kern w:val="0"/>
                <w:szCs w:val="21"/>
                <w:highlight w:val="none"/>
              </w:rPr>
              <w:t>0.55%</w:t>
            </w:r>
          </w:p>
        </w:tc>
      </w:tr>
      <w:tr w14:paraId="59041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72" w:type="dxa"/>
          </w:tcPr>
          <w:p w14:paraId="537A33A2">
            <w:pPr>
              <w:jc w:val="center"/>
              <w:rPr>
                <w:rFonts w:ascii="宋体" w:hAnsi="宋体" w:cs="宋体"/>
                <w:color w:val="auto"/>
                <w:szCs w:val="21"/>
                <w:highlight w:val="none"/>
              </w:rPr>
            </w:pPr>
            <w:r>
              <w:rPr>
                <w:rFonts w:hint="eastAsia" w:ascii="宋体" w:hAnsi="宋体" w:cs="宋体"/>
                <w:color w:val="auto"/>
                <w:szCs w:val="21"/>
                <w:highlight w:val="none"/>
              </w:rPr>
              <w:t>1000～5000万元</w:t>
            </w:r>
          </w:p>
        </w:tc>
        <w:tc>
          <w:tcPr>
            <w:tcW w:w="1707" w:type="dxa"/>
          </w:tcPr>
          <w:p w14:paraId="77FA44DE">
            <w:pPr>
              <w:ind w:firstLine="210" w:firstLineChars="100"/>
              <w:jc w:val="center"/>
              <w:rPr>
                <w:rFonts w:ascii="宋体" w:hAnsi="宋体" w:cs="宋体"/>
                <w:color w:val="auto"/>
                <w:szCs w:val="21"/>
                <w:highlight w:val="none"/>
              </w:rPr>
            </w:pPr>
            <w:r>
              <w:rPr>
                <w:rFonts w:hint="eastAsia" w:ascii="宋体" w:hAnsi="宋体" w:cs="宋体"/>
                <w:color w:val="auto"/>
                <w:kern w:val="0"/>
                <w:szCs w:val="21"/>
                <w:highlight w:val="none"/>
              </w:rPr>
              <w:t>0.5%</w:t>
            </w:r>
          </w:p>
        </w:tc>
        <w:tc>
          <w:tcPr>
            <w:tcW w:w="1735" w:type="dxa"/>
          </w:tcPr>
          <w:p w14:paraId="310B556A">
            <w:pPr>
              <w:ind w:firstLine="210" w:firstLineChars="100"/>
              <w:jc w:val="center"/>
              <w:rPr>
                <w:rFonts w:ascii="宋体" w:hAnsi="宋体" w:cs="宋体"/>
                <w:color w:val="auto"/>
                <w:szCs w:val="21"/>
                <w:highlight w:val="none"/>
              </w:rPr>
            </w:pPr>
            <w:r>
              <w:rPr>
                <w:rFonts w:hint="eastAsia" w:ascii="宋体" w:hAnsi="宋体" w:cs="宋体"/>
                <w:color w:val="auto"/>
                <w:kern w:val="0"/>
                <w:szCs w:val="21"/>
                <w:highlight w:val="none"/>
              </w:rPr>
              <w:t>0.25%</w:t>
            </w:r>
          </w:p>
        </w:tc>
        <w:tc>
          <w:tcPr>
            <w:tcW w:w="1706" w:type="dxa"/>
          </w:tcPr>
          <w:p w14:paraId="63696766">
            <w:pPr>
              <w:ind w:firstLine="210" w:firstLineChars="100"/>
              <w:jc w:val="center"/>
              <w:rPr>
                <w:rFonts w:ascii="宋体" w:hAnsi="宋体" w:cs="宋体"/>
                <w:color w:val="auto"/>
                <w:szCs w:val="21"/>
                <w:highlight w:val="none"/>
              </w:rPr>
            </w:pPr>
            <w:r>
              <w:rPr>
                <w:rFonts w:hint="eastAsia" w:ascii="宋体" w:hAnsi="宋体" w:cs="宋体"/>
                <w:color w:val="auto"/>
                <w:kern w:val="0"/>
                <w:szCs w:val="21"/>
                <w:highlight w:val="none"/>
              </w:rPr>
              <w:t>0.35%</w:t>
            </w:r>
          </w:p>
        </w:tc>
      </w:tr>
      <w:tr w14:paraId="180F2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72" w:type="dxa"/>
          </w:tcPr>
          <w:p w14:paraId="69655AB7">
            <w:pPr>
              <w:jc w:val="center"/>
              <w:rPr>
                <w:rFonts w:ascii="宋体" w:hAnsi="宋体" w:cs="宋体"/>
                <w:color w:val="auto"/>
                <w:szCs w:val="21"/>
                <w:highlight w:val="none"/>
              </w:rPr>
            </w:pPr>
            <w:r>
              <w:rPr>
                <w:rFonts w:hint="eastAsia" w:ascii="宋体" w:hAnsi="宋体" w:cs="宋体"/>
                <w:color w:val="auto"/>
                <w:szCs w:val="21"/>
                <w:highlight w:val="none"/>
              </w:rPr>
              <w:t>5000万元～1亿元</w:t>
            </w:r>
          </w:p>
        </w:tc>
        <w:tc>
          <w:tcPr>
            <w:tcW w:w="1707" w:type="dxa"/>
          </w:tcPr>
          <w:p w14:paraId="1E08EF9F">
            <w:pPr>
              <w:ind w:firstLine="210" w:firstLineChars="100"/>
              <w:jc w:val="center"/>
              <w:rPr>
                <w:rFonts w:ascii="宋体" w:hAnsi="宋体" w:cs="宋体"/>
                <w:color w:val="auto"/>
                <w:szCs w:val="21"/>
                <w:highlight w:val="none"/>
              </w:rPr>
            </w:pPr>
            <w:r>
              <w:rPr>
                <w:rFonts w:hint="eastAsia" w:ascii="宋体" w:hAnsi="宋体" w:cs="宋体"/>
                <w:color w:val="auto"/>
                <w:kern w:val="0"/>
                <w:szCs w:val="21"/>
                <w:highlight w:val="none"/>
              </w:rPr>
              <w:t>0.25%</w:t>
            </w:r>
          </w:p>
        </w:tc>
        <w:tc>
          <w:tcPr>
            <w:tcW w:w="1735" w:type="dxa"/>
          </w:tcPr>
          <w:p w14:paraId="0ACFCF89">
            <w:pPr>
              <w:ind w:firstLine="210" w:firstLineChars="100"/>
              <w:jc w:val="center"/>
              <w:rPr>
                <w:rFonts w:ascii="宋体" w:hAnsi="宋体" w:cs="宋体"/>
                <w:color w:val="auto"/>
                <w:szCs w:val="21"/>
                <w:highlight w:val="none"/>
              </w:rPr>
            </w:pPr>
            <w:r>
              <w:rPr>
                <w:rFonts w:hint="eastAsia" w:ascii="宋体" w:hAnsi="宋体" w:cs="宋体"/>
                <w:color w:val="auto"/>
                <w:kern w:val="0"/>
                <w:szCs w:val="21"/>
                <w:highlight w:val="none"/>
              </w:rPr>
              <w:t>0.1%</w:t>
            </w:r>
          </w:p>
        </w:tc>
        <w:tc>
          <w:tcPr>
            <w:tcW w:w="1706" w:type="dxa"/>
          </w:tcPr>
          <w:p w14:paraId="05CD3D46">
            <w:pPr>
              <w:ind w:firstLine="210" w:firstLineChars="100"/>
              <w:jc w:val="center"/>
              <w:rPr>
                <w:rFonts w:ascii="宋体" w:hAnsi="宋体" w:cs="宋体"/>
                <w:color w:val="auto"/>
                <w:szCs w:val="21"/>
                <w:highlight w:val="none"/>
              </w:rPr>
            </w:pPr>
            <w:r>
              <w:rPr>
                <w:rFonts w:hint="eastAsia" w:ascii="宋体" w:hAnsi="宋体" w:cs="宋体"/>
                <w:color w:val="auto"/>
                <w:kern w:val="0"/>
                <w:szCs w:val="21"/>
                <w:highlight w:val="none"/>
              </w:rPr>
              <w:t>0.2%</w:t>
            </w:r>
          </w:p>
        </w:tc>
      </w:tr>
      <w:tr w14:paraId="788DD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72" w:type="dxa"/>
          </w:tcPr>
          <w:p w14:paraId="4B6DB7CF">
            <w:pPr>
              <w:jc w:val="center"/>
              <w:rPr>
                <w:rFonts w:ascii="宋体" w:hAnsi="宋体" w:cs="宋体"/>
                <w:color w:val="auto"/>
                <w:szCs w:val="21"/>
                <w:highlight w:val="none"/>
              </w:rPr>
            </w:pPr>
            <w:r>
              <w:rPr>
                <w:rFonts w:hint="eastAsia" w:ascii="宋体" w:hAnsi="宋体" w:cs="宋体"/>
                <w:color w:val="auto"/>
                <w:szCs w:val="21"/>
                <w:highlight w:val="none"/>
              </w:rPr>
              <w:t>1～5亿元</w:t>
            </w:r>
          </w:p>
        </w:tc>
        <w:tc>
          <w:tcPr>
            <w:tcW w:w="1707" w:type="dxa"/>
          </w:tcPr>
          <w:p w14:paraId="2B7180BC">
            <w:pPr>
              <w:ind w:firstLine="210" w:firstLineChars="100"/>
              <w:jc w:val="center"/>
              <w:rPr>
                <w:rFonts w:ascii="宋体" w:hAnsi="宋体" w:cs="宋体"/>
                <w:color w:val="auto"/>
                <w:szCs w:val="21"/>
                <w:highlight w:val="none"/>
              </w:rPr>
            </w:pPr>
            <w:r>
              <w:rPr>
                <w:rFonts w:hint="eastAsia" w:ascii="宋体" w:hAnsi="宋体" w:cs="宋体"/>
                <w:color w:val="auto"/>
                <w:szCs w:val="21"/>
                <w:highlight w:val="none"/>
              </w:rPr>
              <w:t>0.05%</w:t>
            </w:r>
          </w:p>
        </w:tc>
        <w:tc>
          <w:tcPr>
            <w:tcW w:w="1735" w:type="dxa"/>
          </w:tcPr>
          <w:p w14:paraId="13CC6FD4">
            <w:pPr>
              <w:jc w:val="center"/>
              <w:rPr>
                <w:rFonts w:ascii="宋体" w:hAnsi="宋体" w:cs="宋体"/>
                <w:color w:val="auto"/>
                <w:szCs w:val="21"/>
                <w:highlight w:val="none"/>
              </w:rPr>
            </w:pPr>
            <w:r>
              <w:rPr>
                <w:rFonts w:hint="eastAsia" w:ascii="宋体" w:hAnsi="宋体" w:cs="宋体"/>
                <w:color w:val="auto"/>
                <w:szCs w:val="21"/>
                <w:highlight w:val="none"/>
              </w:rPr>
              <w:t>0.05%</w:t>
            </w:r>
          </w:p>
        </w:tc>
        <w:tc>
          <w:tcPr>
            <w:tcW w:w="1706" w:type="dxa"/>
          </w:tcPr>
          <w:p w14:paraId="36BDD472">
            <w:pPr>
              <w:jc w:val="center"/>
              <w:rPr>
                <w:rFonts w:ascii="宋体" w:hAnsi="宋体" w:cs="宋体"/>
                <w:color w:val="auto"/>
                <w:szCs w:val="21"/>
                <w:highlight w:val="none"/>
              </w:rPr>
            </w:pPr>
            <w:r>
              <w:rPr>
                <w:rFonts w:hint="eastAsia" w:ascii="宋体" w:hAnsi="宋体" w:cs="宋体"/>
                <w:color w:val="auto"/>
                <w:szCs w:val="21"/>
                <w:highlight w:val="none"/>
              </w:rPr>
              <w:t>0.05%</w:t>
            </w:r>
          </w:p>
        </w:tc>
      </w:tr>
      <w:tr w14:paraId="69A9C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72" w:type="dxa"/>
          </w:tcPr>
          <w:p w14:paraId="6F92F3C5">
            <w:pPr>
              <w:jc w:val="center"/>
              <w:rPr>
                <w:rFonts w:ascii="宋体" w:hAnsi="宋体" w:cs="宋体"/>
                <w:color w:val="auto"/>
                <w:szCs w:val="21"/>
                <w:highlight w:val="none"/>
              </w:rPr>
            </w:pPr>
            <w:r>
              <w:rPr>
                <w:rFonts w:hint="eastAsia" w:ascii="宋体" w:hAnsi="宋体" w:cs="宋体"/>
                <w:color w:val="auto"/>
                <w:szCs w:val="21"/>
                <w:highlight w:val="none"/>
              </w:rPr>
              <w:t>5～10亿元</w:t>
            </w:r>
          </w:p>
        </w:tc>
        <w:tc>
          <w:tcPr>
            <w:tcW w:w="1707" w:type="dxa"/>
          </w:tcPr>
          <w:p w14:paraId="234CB49B">
            <w:pPr>
              <w:ind w:firstLine="105" w:firstLineChars="50"/>
              <w:jc w:val="center"/>
              <w:rPr>
                <w:rFonts w:ascii="宋体" w:hAnsi="宋体" w:cs="宋体"/>
                <w:color w:val="auto"/>
                <w:szCs w:val="21"/>
                <w:highlight w:val="none"/>
              </w:rPr>
            </w:pPr>
            <w:r>
              <w:rPr>
                <w:rFonts w:hint="eastAsia" w:ascii="宋体" w:hAnsi="宋体" w:cs="宋体"/>
                <w:color w:val="auto"/>
                <w:szCs w:val="21"/>
                <w:highlight w:val="none"/>
              </w:rPr>
              <w:t>0.035%</w:t>
            </w:r>
          </w:p>
        </w:tc>
        <w:tc>
          <w:tcPr>
            <w:tcW w:w="1735" w:type="dxa"/>
          </w:tcPr>
          <w:p w14:paraId="750CF6BB">
            <w:pPr>
              <w:jc w:val="center"/>
              <w:rPr>
                <w:rFonts w:ascii="宋体" w:hAnsi="宋体" w:cs="宋体"/>
                <w:color w:val="auto"/>
                <w:szCs w:val="21"/>
                <w:highlight w:val="none"/>
              </w:rPr>
            </w:pPr>
            <w:r>
              <w:rPr>
                <w:rFonts w:hint="eastAsia" w:ascii="宋体" w:hAnsi="宋体" w:cs="宋体"/>
                <w:color w:val="auto"/>
                <w:szCs w:val="21"/>
                <w:highlight w:val="none"/>
              </w:rPr>
              <w:t>0.035%</w:t>
            </w:r>
          </w:p>
        </w:tc>
        <w:tc>
          <w:tcPr>
            <w:tcW w:w="1706" w:type="dxa"/>
          </w:tcPr>
          <w:p w14:paraId="4E8EBB4A">
            <w:pPr>
              <w:ind w:firstLine="105" w:firstLineChars="50"/>
              <w:jc w:val="center"/>
              <w:rPr>
                <w:rFonts w:ascii="宋体" w:hAnsi="宋体" w:cs="宋体"/>
                <w:color w:val="auto"/>
                <w:szCs w:val="21"/>
                <w:highlight w:val="none"/>
              </w:rPr>
            </w:pPr>
            <w:r>
              <w:rPr>
                <w:rFonts w:hint="eastAsia" w:ascii="宋体" w:hAnsi="宋体" w:cs="宋体"/>
                <w:color w:val="auto"/>
                <w:szCs w:val="21"/>
                <w:highlight w:val="none"/>
              </w:rPr>
              <w:t>0.035%</w:t>
            </w:r>
          </w:p>
        </w:tc>
      </w:tr>
      <w:tr w14:paraId="1022C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72" w:type="dxa"/>
          </w:tcPr>
          <w:p w14:paraId="24142DCC">
            <w:pPr>
              <w:jc w:val="center"/>
              <w:rPr>
                <w:rFonts w:ascii="宋体" w:hAnsi="宋体" w:cs="宋体"/>
                <w:color w:val="auto"/>
                <w:szCs w:val="21"/>
                <w:highlight w:val="none"/>
              </w:rPr>
            </w:pPr>
            <w:r>
              <w:rPr>
                <w:rFonts w:hint="eastAsia" w:ascii="宋体" w:hAnsi="宋体" w:cs="宋体"/>
                <w:color w:val="auto"/>
                <w:szCs w:val="21"/>
                <w:highlight w:val="none"/>
              </w:rPr>
              <w:t>10～50亿元</w:t>
            </w:r>
          </w:p>
        </w:tc>
        <w:tc>
          <w:tcPr>
            <w:tcW w:w="1707" w:type="dxa"/>
          </w:tcPr>
          <w:p w14:paraId="25DEFA62">
            <w:pPr>
              <w:ind w:firstLine="105" w:firstLineChars="50"/>
              <w:jc w:val="center"/>
              <w:rPr>
                <w:rFonts w:ascii="宋体" w:hAnsi="宋体" w:cs="宋体"/>
                <w:color w:val="auto"/>
                <w:szCs w:val="21"/>
                <w:highlight w:val="none"/>
              </w:rPr>
            </w:pPr>
            <w:r>
              <w:rPr>
                <w:rFonts w:hint="eastAsia" w:ascii="宋体" w:hAnsi="宋体" w:cs="宋体"/>
                <w:color w:val="auto"/>
                <w:szCs w:val="21"/>
                <w:highlight w:val="none"/>
              </w:rPr>
              <w:t>0.008%</w:t>
            </w:r>
          </w:p>
        </w:tc>
        <w:tc>
          <w:tcPr>
            <w:tcW w:w="1735" w:type="dxa"/>
          </w:tcPr>
          <w:p w14:paraId="529282E2">
            <w:pPr>
              <w:ind w:firstLine="210" w:firstLineChars="100"/>
              <w:jc w:val="center"/>
              <w:rPr>
                <w:rFonts w:ascii="宋体" w:hAnsi="宋体" w:cs="宋体"/>
                <w:color w:val="auto"/>
                <w:szCs w:val="21"/>
                <w:highlight w:val="none"/>
              </w:rPr>
            </w:pPr>
            <w:r>
              <w:rPr>
                <w:rFonts w:hint="eastAsia" w:ascii="宋体" w:hAnsi="宋体" w:cs="宋体"/>
                <w:color w:val="auto"/>
                <w:szCs w:val="21"/>
                <w:highlight w:val="none"/>
              </w:rPr>
              <w:t>0.008%</w:t>
            </w:r>
          </w:p>
        </w:tc>
        <w:tc>
          <w:tcPr>
            <w:tcW w:w="1706" w:type="dxa"/>
          </w:tcPr>
          <w:p w14:paraId="5FAD5887">
            <w:pPr>
              <w:ind w:firstLine="105" w:firstLineChars="50"/>
              <w:jc w:val="center"/>
              <w:rPr>
                <w:rFonts w:ascii="宋体" w:hAnsi="宋体" w:cs="宋体"/>
                <w:color w:val="auto"/>
                <w:szCs w:val="21"/>
                <w:highlight w:val="none"/>
              </w:rPr>
            </w:pPr>
            <w:r>
              <w:rPr>
                <w:rFonts w:hint="eastAsia" w:ascii="宋体" w:hAnsi="宋体" w:cs="宋体"/>
                <w:color w:val="auto"/>
                <w:szCs w:val="21"/>
                <w:highlight w:val="none"/>
              </w:rPr>
              <w:t>0.008%</w:t>
            </w:r>
          </w:p>
        </w:tc>
      </w:tr>
      <w:tr w14:paraId="6BDB4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72" w:type="dxa"/>
          </w:tcPr>
          <w:p w14:paraId="071D948B">
            <w:pPr>
              <w:jc w:val="center"/>
              <w:rPr>
                <w:rFonts w:ascii="宋体" w:hAnsi="宋体" w:cs="宋体"/>
                <w:color w:val="auto"/>
                <w:szCs w:val="21"/>
                <w:highlight w:val="none"/>
              </w:rPr>
            </w:pPr>
            <w:r>
              <w:rPr>
                <w:rFonts w:hint="eastAsia" w:ascii="宋体" w:hAnsi="宋体" w:cs="宋体"/>
                <w:color w:val="auto"/>
                <w:szCs w:val="21"/>
                <w:highlight w:val="none"/>
              </w:rPr>
              <w:t>50～100亿元</w:t>
            </w:r>
          </w:p>
        </w:tc>
        <w:tc>
          <w:tcPr>
            <w:tcW w:w="1707" w:type="dxa"/>
          </w:tcPr>
          <w:p w14:paraId="743AF568">
            <w:pPr>
              <w:jc w:val="center"/>
              <w:rPr>
                <w:rFonts w:ascii="宋体" w:hAnsi="宋体" w:cs="宋体"/>
                <w:color w:val="auto"/>
                <w:szCs w:val="21"/>
                <w:highlight w:val="none"/>
              </w:rPr>
            </w:pPr>
            <w:r>
              <w:rPr>
                <w:rFonts w:hint="eastAsia" w:ascii="宋体" w:hAnsi="宋体" w:cs="宋体"/>
                <w:color w:val="auto"/>
                <w:szCs w:val="21"/>
                <w:highlight w:val="none"/>
              </w:rPr>
              <w:t>0.006%</w:t>
            </w:r>
          </w:p>
        </w:tc>
        <w:tc>
          <w:tcPr>
            <w:tcW w:w="1735" w:type="dxa"/>
          </w:tcPr>
          <w:p w14:paraId="366863E7">
            <w:pPr>
              <w:ind w:firstLine="210" w:firstLineChars="100"/>
              <w:jc w:val="center"/>
              <w:rPr>
                <w:rFonts w:ascii="宋体" w:hAnsi="宋体" w:cs="宋体"/>
                <w:color w:val="auto"/>
                <w:szCs w:val="21"/>
                <w:highlight w:val="none"/>
              </w:rPr>
            </w:pPr>
            <w:r>
              <w:rPr>
                <w:rFonts w:hint="eastAsia" w:ascii="宋体" w:hAnsi="宋体" w:cs="宋体"/>
                <w:color w:val="auto"/>
                <w:szCs w:val="21"/>
                <w:highlight w:val="none"/>
              </w:rPr>
              <w:t>0.006%</w:t>
            </w:r>
          </w:p>
        </w:tc>
        <w:tc>
          <w:tcPr>
            <w:tcW w:w="1706" w:type="dxa"/>
          </w:tcPr>
          <w:p w14:paraId="71D74303">
            <w:pPr>
              <w:ind w:firstLine="105" w:firstLineChars="50"/>
              <w:jc w:val="center"/>
              <w:rPr>
                <w:rFonts w:ascii="宋体" w:hAnsi="宋体" w:cs="宋体"/>
                <w:color w:val="auto"/>
                <w:szCs w:val="21"/>
                <w:highlight w:val="none"/>
              </w:rPr>
            </w:pPr>
            <w:r>
              <w:rPr>
                <w:rFonts w:hint="eastAsia" w:ascii="宋体" w:hAnsi="宋体" w:cs="宋体"/>
                <w:color w:val="auto"/>
                <w:szCs w:val="21"/>
                <w:highlight w:val="none"/>
              </w:rPr>
              <w:t>0.006%</w:t>
            </w:r>
          </w:p>
        </w:tc>
      </w:tr>
      <w:tr w14:paraId="516BC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72" w:type="dxa"/>
          </w:tcPr>
          <w:p w14:paraId="5572D314">
            <w:pPr>
              <w:jc w:val="center"/>
              <w:rPr>
                <w:rFonts w:ascii="宋体" w:hAnsi="宋体" w:cs="宋体"/>
                <w:color w:val="auto"/>
                <w:szCs w:val="21"/>
                <w:highlight w:val="none"/>
              </w:rPr>
            </w:pPr>
            <w:r>
              <w:rPr>
                <w:rFonts w:hint="eastAsia" w:ascii="宋体" w:hAnsi="宋体" w:cs="宋体"/>
                <w:color w:val="auto"/>
                <w:szCs w:val="21"/>
                <w:highlight w:val="none"/>
              </w:rPr>
              <w:t>100亿以上</w:t>
            </w:r>
          </w:p>
        </w:tc>
        <w:tc>
          <w:tcPr>
            <w:tcW w:w="1707" w:type="dxa"/>
          </w:tcPr>
          <w:p w14:paraId="0E399686">
            <w:pPr>
              <w:jc w:val="center"/>
              <w:rPr>
                <w:rFonts w:ascii="宋体" w:hAnsi="宋体" w:cs="宋体"/>
                <w:color w:val="auto"/>
                <w:szCs w:val="21"/>
                <w:highlight w:val="none"/>
              </w:rPr>
            </w:pPr>
            <w:r>
              <w:rPr>
                <w:rFonts w:hint="eastAsia" w:ascii="宋体" w:hAnsi="宋体" w:cs="宋体"/>
                <w:color w:val="auto"/>
                <w:szCs w:val="21"/>
                <w:highlight w:val="none"/>
              </w:rPr>
              <w:t>0.004%</w:t>
            </w:r>
          </w:p>
        </w:tc>
        <w:tc>
          <w:tcPr>
            <w:tcW w:w="1735" w:type="dxa"/>
          </w:tcPr>
          <w:p w14:paraId="2E375FF3">
            <w:pPr>
              <w:ind w:firstLine="210" w:firstLineChars="100"/>
              <w:jc w:val="center"/>
              <w:rPr>
                <w:rFonts w:ascii="宋体" w:hAnsi="宋体" w:cs="宋体"/>
                <w:color w:val="auto"/>
                <w:szCs w:val="21"/>
                <w:highlight w:val="none"/>
              </w:rPr>
            </w:pPr>
            <w:r>
              <w:rPr>
                <w:rFonts w:hint="eastAsia" w:ascii="宋体" w:hAnsi="宋体" w:cs="宋体"/>
                <w:color w:val="auto"/>
                <w:szCs w:val="21"/>
                <w:highlight w:val="none"/>
              </w:rPr>
              <w:t>0.004%</w:t>
            </w:r>
          </w:p>
        </w:tc>
        <w:tc>
          <w:tcPr>
            <w:tcW w:w="1706" w:type="dxa"/>
          </w:tcPr>
          <w:p w14:paraId="1453B870">
            <w:pPr>
              <w:ind w:firstLine="105" w:firstLineChars="50"/>
              <w:jc w:val="center"/>
              <w:rPr>
                <w:rFonts w:ascii="宋体" w:hAnsi="宋体" w:cs="宋体"/>
                <w:color w:val="auto"/>
                <w:szCs w:val="21"/>
                <w:highlight w:val="none"/>
              </w:rPr>
            </w:pPr>
            <w:r>
              <w:rPr>
                <w:rFonts w:hint="eastAsia" w:ascii="宋体" w:hAnsi="宋体" w:cs="宋体"/>
                <w:color w:val="auto"/>
                <w:szCs w:val="21"/>
                <w:highlight w:val="none"/>
              </w:rPr>
              <w:t>0.004%</w:t>
            </w:r>
          </w:p>
        </w:tc>
      </w:tr>
    </w:tbl>
    <w:p w14:paraId="6C6B6C6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注:</w:t>
      </w:r>
    </w:p>
    <w:p w14:paraId="040E97E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（1）按本表费率计算的收费为采购代理的收费基准价格；</w:t>
      </w:r>
    </w:p>
    <w:p w14:paraId="78D60BF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（2）采购代理收费按差额定率累进法计算。</w:t>
      </w:r>
    </w:p>
    <w:p w14:paraId="09773042">
      <w:pPr>
        <w:pStyle w:val="6"/>
        <w:keepNext w:val="0"/>
        <w:keepLines w:val="0"/>
        <w:spacing w:before="0" w:after="0" w:line="360" w:lineRule="auto"/>
        <w:rPr>
          <w:rFonts w:ascii="宋体" w:hAnsi="宋体" w:cs="宋体"/>
          <w:color w:val="auto"/>
          <w:sz w:val="21"/>
          <w:szCs w:val="21"/>
          <w:highlight w:val="none"/>
        </w:rPr>
      </w:pPr>
      <w:r>
        <w:rPr>
          <w:rFonts w:hint="eastAsia" w:ascii="宋体" w:hAnsi="宋体" w:cs="宋体"/>
          <w:color w:val="auto"/>
          <w:sz w:val="21"/>
          <w:szCs w:val="21"/>
          <w:highlight w:val="none"/>
        </w:rPr>
        <w:t>40. 需要补充的其他内容</w:t>
      </w:r>
    </w:p>
    <w:p w14:paraId="08CEA481">
      <w:pPr>
        <w:pStyle w:val="23"/>
        <w:spacing w:line="360" w:lineRule="auto"/>
        <w:ind w:firstLine="420" w:firstLineChars="200"/>
        <w:rPr>
          <w:rFonts w:hAnsi="宋体" w:cs="宋体"/>
          <w:color w:val="auto"/>
          <w:sz w:val="21"/>
          <w:highlight w:val="none"/>
        </w:rPr>
      </w:pPr>
      <w:r>
        <w:rPr>
          <w:rFonts w:hint="eastAsia" w:hAnsi="宋体" w:cs="宋体"/>
          <w:color w:val="auto"/>
          <w:sz w:val="21"/>
          <w:highlight w:val="none"/>
        </w:rPr>
        <w:t>40.1本招标文件解释规则详见“投标人须知前附表”。</w:t>
      </w:r>
    </w:p>
    <w:p w14:paraId="5F70AC41">
      <w:pPr>
        <w:pStyle w:val="23"/>
        <w:spacing w:line="360" w:lineRule="auto"/>
        <w:ind w:firstLine="420" w:firstLineChars="200"/>
        <w:rPr>
          <w:rFonts w:hAnsi="宋体" w:cs="宋体"/>
          <w:color w:val="auto"/>
          <w:sz w:val="21"/>
          <w:highlight w:val="none"/>
        </w:rPr>
      </w:pPr>
      <w:r>
        <w:rPr>
          <w:rFonts w:hint="eastAsia" w:hAnsi="宋体" w:cs="宋体"/>
          <w:color w:val="auto"/>
          <w:sz w:val="21"/>
          <w:highlight w:val="none"/>
        </w:rPr>
        <w:t>40.2 其他事项详见“投标人须知前附表”。</w:t>
      </w:r>
    </w:p>
    <w:p w14:paraId="6F84E371">
      <w:pPr>
        <w:pStyle w:val="23"/>
        <w:spacing w:line="360" w:lineRule="auto"/>
        <w:ind w:firstLine="420" w:firstLineChars="200"/>
        <w:rPr>
          <w:rFonts w:hAnsi="宋体" w:cs="宋体"/>
          <w:color w:val="auto"/>
          <w:sz w:val="21"/>
          <w:highlight w:val="none"/>
        </w:rPr>
      </w:pPr>
      <w:r>
        <w:rPr>
          <w:rFonts w:hint="eastAsia" w:hAnsi="宋体" w:cs="宋体"/>
          <w:color w:val="auto"/>
          <w:sz w:val="21"/>
          <w:highlight w:val="none"/>
        </w:rPr>
        <w:t>40.3本招标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招标文件规定的中小企业扶持政策：</w:t>
      </w:r>
    </w:p>
    <w:p w14:paraId="6CEB6C23">
      <w:pPr>
        <w:pStyle w:val="23"/>
        <w:spacing w:line="360" w:lineRule="auto"/>
        <w:ind w:firstLine="420" w:firstLineChars="200"/>
        <w:rPr>
          <w:rFonts w:hAnsi="宋体" w:cs="宋体"/>
          <w:color w:val="auto"/>
          <w:sz w:val="21"/>
          <w:highlight w:val="none"/>
        </w:rPr>
      </w:pPr>
      <w:r>
        <w:rPr>
          <w:rFonts w:hint="eastAsia" w:hAnsi="宋体" w:cs="宋体"/>
          <w:color w:val="auto"/>
          <w:sz w:val="21"/>
          <w:highlight w:val="none"/>
        </w:rPr>
        <w:t>（1）在货物采购项目中，货物由中小企业制造，即货物由中小企业生产且使用该中小企业商号或者注册商标，不对其中涉及的工程承建商和服务的承接商作出要求；</w:t>
      </w:r>
    </w:p>
    <w:p w14:paraId="152E91C1">
      <w:pPr>
        <w:pStyle w:val="23"/>
        <w:spacing w:line="360" w:lineRule="auto"/>
        <w:ind w:firstLine="420" w:firstLineChars="200"/>
        <w:rPr>
          <w:rFonts w:hAnsi="宋体" w:cs="宋体"/>
          <w:color w:val="auto"/>
          <w:sz w:val="21"/>
          <w:highlight w:val="none"/>
        </w:rPr>
      </w:pPr>
      <w:r>
        <w:rPr>
          <w:rFonts w:hint="eastAsia" w:hAnsi="宋体" w:cs="宋体"/>
          <w:color w:val="auto"/>
          <w:sz w:val="21"/>
          <w:highlight w:val="none"/>
        </w:rPr>
        <w:t>（2）在工程采购项目中，工程由中小企业承建，即工程施工单位为中小企业，不对其中涉及的货物的制造商和服务的承接商作出要求；</w:t>
      </w:r>
    </w:p>
    <w:p w14:paraId="3F2FFD43">
      <w:pPr>
        <w:pStyle w:val="23"/>
        <w:spacing w:line="360" w:lineRule="auto"/>
        <w:ind w:firstLine="420" w:firstLineChars="200"/>
        <w:rPr>
          <w:rFonts w:hAnsi="宋体" w:cs="宋体"/>
          <w:color w:val="auto"/>
          <w:sz w:val="21"/>
          <w:highlight w:val="none"/>
        </w:rPr>
      </w:pPr>
      <w:r>
        <w:rPr>
          <w:rFonts w:hint="eastAsia" w:hAnsi="宋体" w:cs="宋体"/>
          <w:color w:val="auto"/>
          <w:sz w:val="21"/>
          <w:highlight w:val="none"/>
        </w:rPr>
        <w:t>（3）在服务采购项目中，服务由中小企业承接，即提供服务的人员为中小企业依照《中华人民共和国劳动合同法》订立劳动合同的从业人员，不对其中涉及的货物的制造商和工程承建商作出要求。</w:t>
      </w:r>
    </w:p>
    <w:p w14:paraId="76474D3F">
      <w:pPr>
        <w:pStyle w:val="23"/>
        <w:spacing w:line="360" w:lineRule="auto"/>
        <w:ind w:firstLine="420" w:firstLineChars="200"/>
        <w:rPr>
          <w:rFonts w:hAnsi="宋体" w:cs="宋体"/>
          <w:color w:val="auto"/>
          <w:sz w:val="21"/>
          <w:highlight w:val="none"/>
        </w:rPr>
      </w:pPr>
      <w:r>
        <w:rPr>
          <w:rFonts w:hint="eastAsia" w:hAnsi="宋体" w:cs="宋体"/>
          <w:color w:val="auto"/>
          <w:sz w:val="21"/>
          <w:highlight w:val="none"/>
        </w:rPr>
        <w:t>在货物采购项目中，供应商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w:t>
      </w:r>
    </w:p>
    <w:p w14:paraId="202C6CE6">
      <w:pPr>
        <w:pStyle w:val="17"/>
        <w:spacing w:line="360" w:lineRule="auto"/>
        <w:ind w:left="210" w:hanging="210" w:hangingChars="100"/>
        <w:rPr>
          <w:rFonts w:ascii="宋体" w:hAnsi="宋体" w:cs="宋体"/>
          <w:color w:val="auto"/>
          <w:highlight w:val="none"/>
        </w:rPr>
      </w:pPr>
      <w:r>
        <w:rPr>
          <w:rFonts w:hint="eastAsia" w:ascii="宋体" w:hAnsi="宋体" w:cs="宋体"/>
          <w:color w:val="auto"/>
          <w:sz w:val="21"/>
          <w:szCs w:val="21"/>
          <w:highlight w:val="none"/>
        </w:rPr>
        <w:t xml:space="preserve">      依据本招标文件规定享受扶持政策获得政府采购合同的，小微企业不得将合同分包给大中型企业，中型企业不得将合同分包给大型企业。</w:t>
      </w:r>
      <w:r>
        <w:rPr>
          <w:rFonts w:hint="eastAsia" w:ascii="宋体" w:hAnsi="宋体" w:cs="宋体"/>
          <w:color w:val="auto"/>
          <w:highlight w:val="none"/>
        </w:rPr>
        <w:br w:type="page"/>
      </w:r>
    </w:p>
    <w:p w14:paraId="55C8E5EA">
      <w:pPr>
        <w:pStyle w:val="2"/>
        <w:spacing w:before="0" w:after="0" w:line="360" w:lineRule="auto"/>
        <w:jc w:val="center"/>
        <w:rPr>
          <w:rFonts w:ascii="宋体" w:hAnsi="宋体" w:cs="宋体"/>
          <w:color w:val="auto"/>
          <w:highlight w:val="none"/>
        </w:rPr>
      </w:pPr>
      <w:bookmarkStart w:id="104" w:name="_Toc330456896"/>
      <w:bookmarkStart w:id="105" w:name="_Toc254970689"/>
      <w:bookmarkStart w:id="106" w:name="_Toc179997855"/>
      <w:bookmarkStart w:id="107" w:name="_Toc254970548"/>
      <w:r>
        <w:rPr>
          <w:rFonts w:hint="eastAsia" w:ascii="宋体" w:hAnsi="宋体" w:cs="宋体"/>
          <w:color w:val="auto"/>
          <w:highlight w:val="none"/>
        </w:rPr>
        <w:t>第四章  评标方法及评标标准</w:t>
      </w:r>
      <w:bookmarkEnd w:id="104"/>
      <w:bookmarkEnd w:id="105"/>
      <w:bookmarkEnd w:id="106"/>
      <w:bookmarkEnd w:id="107"/>
    </w:p>
    <w:p w14:paraId="67D4BA68">
      <w:pPr>
        <w:widowControl/>
        <w:spacing w:line="360" w:lineRule="auto"/>
        <w:jc w:val="center"/>
        <w:rPr>
          <w:rFonts w:cs="宋体" w:asciiTheme="minorEastAsia" w:hAnsiTheme="minorEastAsia" w:eastAsiaTheme="minorEastAsia"/>
          <w:b/>
          <w:bCs/>
          <w:color w:val="auto"/>
          <w:kern w:val="0"/>
          <w:sz w:val="28"/>
          <w:szCs w:val="28"/>
          <w:highlight w:val="none"/>
        </w:rPr>
      </w:pPr>
      <w:r>
        <w:rPr>
          <w:rFonts w:hint="eastAsia" w:cs="宋体" w:asciiTheme="minorEastAsia" w:hAnsiTheme="minorEastAsia" w:eastAsiaTheme="minorEastAsia"/>
          <w:b/>
          <w:bCs/>
          <w:color w:val="auto"/>
          <w:kern w:val="0"/>
          <w:sz w:val="28"/>
          <w:szCs w:val="28"/>
          <w:highlight w:val="none"/>
        </w:rPr>
        <w:t>一、评标方法</w:t>
      </w:r>
    </w:p>
    <w:p w14:paraId="6378B04B">
      <w:pPr>
        <w:pStyle w:val="23"/>
        <w:spacing w:line="360" w:lineRule="auto"/>
        <w:ind w:firstLine="42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综合评分法，是指投标文件满足招标文件全部实质性要求，且按照评审因素的量化指标评审得分最高的投标人为中标候选人的评标方法。</w:t>
      </w:r>
    </w:p>
    <w:p w14:paraId="3EABB39C">
      <w:pPr>
        <w:pStyle w:val="4"/>
        <w:keepNext w:val="0"/>
        <w:keepLines w:val="0"/>
        <w:spacing w:before="0" w:after="0" w:line="360" w:lineRule="auto"/>
        <w:jc w:val="center"/>
        <w:rPr>
          <w:rFonts w:cs="宋体" w:asciiTheme="minorEastAsia" w:hAnsiTheme="minorEastAsia" w:eastAsiaTheme="minorEastAsia"/>
          <w:color w:val="auto"/>
          <w:sz w:val="28"/>
          <w:szCs w:val="28"/>
          <w:highlight w:val="none"/>
        </w:rPr>
      </w:pPr>
      <w:r>
        <w:rPr>
          <w:rFonts w:hint="eastAsia" w:cs="宋体" w:asciiTheme="minorEastAsia" w:hAnsiTheme="minorEastAsia" w:eastAsiaTheme="minorEastAsia"/>
          <w:color w:val="auto"/>
          <w:sz w:val="28"/>
          <w:szCs w:val="28"/>
          <w:highlight w:val="none"/>
        </w:rPr>
        <w:t>二、评标程序</w:t>
      </w:r>
    </w:p>
    <w:p w14:paraId="7BC6905E">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1.符合性审查</w:t>
      </w:r>
    </w:p>
    <w:p w14:paraId="6DD533C6">
      <w:pPr>
        <w:pStyle w:val="23"/>
        <w:snapToGrid w:val="0"/>
        <w:spacing w:line="360" w:lineRule="auto"/>
        <w:ind w:firstLine="420"/>
        <w:rPr>
          <w:rFonts w:cs="宋体" w:asciiTheme="minorEastAsia" w:hAnsiTheme="minorEastAsia" w:eastAsiaTheme="minorEastAsia"/>
          <w:b/>
          <w:color w:val="auto"/>
          <w:kern w:val="2"/>
          <w:sz w:val="21"/>
          <w:highlight w:val="none"/>
        </w:rPr>
      </w:pPr>
      <w:r>
        <w:rPr>
          <w:rFonts w:hint="eastAsia" w:cs="宋体" w:asciiTheme="minorEastAsia" w:hAnsiTheme="minorEastAsia" w:eastAsiaTheme="minorEastAsia"/>
          <w:b/>
          <w:color w:val="auto"/>
          <w:kern w:val="2"/>
          <w:sz w:val="21"/>
          <w:highlight w:val="none"/>
        </w:rPr>
        <w:t>评标委员会应当对符合资格的投标人的投标文件进行投标报价、商务、技术等实质性内容符合性审查，以确定其是否满足招标文件的实质性要求。</w:t>
      </w:r>
    </w:p>
    <w:p w14:paraId="18A98E6A">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2.符合性审查不通过而导致投标无效的情形</w:t>
      </w:r>
    </w:p>
    <w:p w14:paraId="2B2F7BA0">
      <w:pPr>
        <w:snapToGrid w:val="0"/>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投标人的投标文件中存在对招标文件的任何实质性要求和条件的负偏离，将被视为投标无效。</w:t>
      </w:r>
    </w:p>
    <w:p w14:paraId="5E6AF1C0">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2.1在报价评审时，如发现下列情形之一的，将被视为投标无效：</w:t>
      </w:r>
    </w:p>
    <w:p w14:paraId="1CA6144C">
      <w:pPr>
        <w:pStyle w:val="7"/>
        <w:numPr>
          <w:ilvl w:val="0"/>
          <w:numId w:val="4"/>
        </w:numPr>
        <w:spacing w:line="360" w:lineRule="auto"/>
        <w:ind w:firstLine="398" w:firstLineChars="200"/>
        <w:rPr>
          <w:rFonts w:cs="宋体" w:asciiTheme="minorEastAsia" w:hAnsiTheme="minorEastAsia" w:eastAsiaTheme="minorEastAsia"/>
          <w:b/>
          <w:color w:val="auto"/>
          <w:spacing w:val="-6"/>
          <w:szCs w:val="21"/>
          <w:highlight w:val="none"/>
        </w:rPr>
      </w:pPr>
      <w:r>
        <w:rPr>
          <w:rFonts w:hint="eastAsia" w:cs="宋体" w:asciiTheme="minorEastAsia" w:hAnsiTheme="minorEastAsia" w:eastAsiaTheme="minorEastAsia"/>
          <w:b/>
          <w:color w:val="auto"/>
          <w:spacing w:val="-6"/>
          <w:szCs w:val="21"/>
          <w:highlight w:val="none"/>
        </w:rPr>
        <w:t>报价文件未提供“投标人须知前附表”第13（2）条规定中“必须提供”的文件资料的；</w:t>
      </w:r>
    </w:p>
    <w:p w14:paraId="238483AB">
      <w:pPr>
        <w:pStyle w:val="7"/>
        <w:numPr>
          <w:ilvl w:val="0"/>
          <w:numId w:val="4"/>
        </w:numPr>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未采用人民币报价或者未按照招标文件标明的币种报价的；</w:t>
      </w:r>
    </w:p>
    <w:p w14:paraId="1A7BBDA4">
      <w:pPr>
        <w:pStyle w:val="7"/>
        <w:numPr>
          <w:ilvl w:val="0"/>
          <w:numId w:val="4"/>
        </w:numPr>
        <w:spacing w:line="360" w:lineRule="auto"/>
        <w:ind w:firstLine="422"/>
        <w:rPr>
          <w:rFonts w:cs="宋体" w:asciiTheme="minorEastAsia" w:hAnsiTheme="minorEastAsia" w:eastAsiaTheme="minorEastAsia"/>
          <w:b/>
          <w:color w:val="auto"/>
          <w:spacing w:val="-6"/>
          <w:szCs w:val="21"/>
          <w:highlight w:val="none"/>
        </w:rPr>
      </w:pPr>
      <w:r>
        <w:rPr>
          <w:rFonts w:hint="eastAsia" w:cs="宋体" w:asciiTheme="minorEastAsia" w:hAnsiTheme="minorEastAsia" w:eastAsiaTheme="minorEastAsia"/>
          <w:b/>
          <w:color w:val="auto"/>
          <w:spacing w:val="-6"/>
          <w:szCs w:val="21"/>
          <w:highlight w:val="none"/>
        </w:rPr>
        <w:t>各分标（如有，下同）</w:t>
      </w:r>
      <w:r>
        <w:rPr>
          <w:rFonts w:hint="eastAsia" w:ascii="宋体" w:hAnsi="宋体" w:cs="宋体"/>
          <w:b/>
          <w:color w:val="auto"/>
          <w:szCs w:val="21"/>
          <w:highlight w:val="none"/>
        </w:rPr>
        <w:t>房屋征收实施费</w:t>
      </w:r>
      <w:r>
        <w:rPr>
          <w:rFonts w:hint="eastAsia" w:cs="宋体" w:asciiTheme="minorEastAsia" w:hAnsiTheme="minorEastAsia" w:eastAsiaTheme="minorEastAsia"/>
          <w:b/>
          <w:color w:val="auto"/>
          <w:szCs w:val="21"/>
          <w:highlight w:val="none"/>
        </w:rPr>
        <w:t>的</w:t>
      </w:r>
      <w:r>
        <w:rPr>
          <w:rFonts w:hint="eastAsia" w:ascii="宋体" w:hAnsi="宋体" w:cs="宋体"/>
          <w:b/>
          <w:bCs/>
          <w:color w:val="auto"/>
          <w:szCs w:val="21"/>
          <w:highlight w:val="none"/>
        </w:rPr>
        <w:t>优惠率</w:t>
      </w:r>
      <w:r>
        <w:rPr>
          <w:rFonts w:hint="eastAsia" w:cs="宋体" w:asciiTheme="minorEastAsia" w:hAnsiTheme="minorEastAsia" w:eastAsiaTheme="minorEastAsia"/>
          <w:b/>
          <w:color w:val="auto"/>
          <w:spacing w:val="-6"/>
          <w:szCs w:val="21"/>
          <w:highlight w:val="none"/>
        </w:rPr>
        <w:t>报价超出招标文件相应分标规定的有效报价范围的；</w:t>
      </w:r>
    </w:p>
    <w:p w14:paraId="1331D542">
      <w:pPr>
        <w:pStyle w:val="7"/>
        <w:numPr>
          <w:ilvl w:val="0"/>
          <w:numId w:val="4"/>
        </w:numPr>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投标人未就所投分标</w:t>
      </w:r>
      <w:r>
        <w:rPr>
          <w:rFonts w:hint="eastAsia" w:ascii="宋体" w:hAnsi="宋体" w:cs="宋体"/>
          <w:b/>
          <w:color w:val="auto"/>
          <w:szCs w:val="21"/>
          <w:highlight w:val="none"/>
        </w:rPr>
        <w:t>房屋征收实施费</w:t>
      </w:r>
      <w:r>
        <w:rPr>
          <w:rFonts w:hint="eastAsia" w:cs="宋体" w:asciiTheme="minorEastAsia" w:hAnsiTheme="minorEastAsia" w:eastAsiaTheme="minorEastAsia"/>
          <w:b/>
          <w:color w:val="auto"/>
          <w:szCs w:val="21"/>
          <w:highlight w:val="none"/>
        </w:rPr>
        <w:t>的</w:t>
      </w:r>
      <w:r>
        <w:rPr>
          <w:rFonts w:hint="eastAsia" w:ascii="宋体" w:hAnsi="宋体" w:cs="宋体"/>
          <w:b/>
          <w:bCs/>
          <w:color w:val="auto"/>
          <w:szCs w:val="21"/>
          <w:highlight w:val="none"/>
        </w:rPr>
        <w:t>优惠率</w:t>
      </w:r>
      <w:r>
        <w:rPr>
          <w:rFonts w:hint="eastAsia" w:cs="宋体" w:asciiTheme="minorEastAsia" w:hAnsiTheme="minorEastAsia" w:eastAsiaTheme="minorEastAsia"/>
          <w:b/>
          <w:color w:val="auto"/>
          <w:szCs w:val="21"/>
          <w:highlight w:val="none"/>
        </w:rPr>
        <w:t>进行报价；投标人未就所投分标</w:t>
      </w:r>
      <w:r>
        <w:rPr>
          <w:rFonts w:hint="eastAsia" w:ascii="宋体" w:hAnsi="宋体" w:cs="宋体"/>
          <w:b/>
          <w:color w:val="auto"/>
          <w:szCs w:val="21"/>
          <w:highlight w:val="none"/>
        </w:rPr>
        <w:t>房屋征收实施费</w:t>
      </w:r>
      <w:r>
        <w:rPr>
          <w:rFonts w:hint="eastAsia" w:cs="宋体" w:asciiTheme="minorEastAsia" w:hAnsiTheme="minorEastAsia" w:eastAsiaTheme="minorEastAsia"/>
          <w:b/>
          <w:color w:val="auto"/>
          <w:szCs w:val="21"/>
          <w:highlight w:val="none"/>
        </w:rPr>
        <w:t>的</w:t>
      </w:r>
      <w:r>
        <w:rPr>
          <w:rFonts w:hint="eastAsia" w:ascii="宋体" w:hAnsi="宋体" w:cs="宋体"/>
          <w:b/>
          <w:bCs/>
          <w:color w:val="auto"/>
          <w:szCs w:val="21"/>
          <w:highlight w:val="none"/>
        </w:rPr>
        <w:t>优惠率</w:t>
      </w:r>
      <w:r>
        <w:rPr>
          <w:rFonts w:hint="eastAsia" w:cs="宋体" w:asciiTheme="minorEastAsia" w:hAnsiTheme="minorEastAsia" w:eastAsiaTheme="minorEastAsia"/>
          <w:b/>
          <w:color w:val="auto"/>
          <w:szCs w:val="21"/>
          <w:highlight w:val="none"/>
        </w:rPr>
        <w:t>作唯一报价；存在有选择、有条件报价的（招标文件允许有备选方案或者其他约定的除外）；</w:t>
      </w:r>
    </w:p>
    <w:p w14:paraId="35A2BAB9">
      <w:pPr>
        <w:pStyle w:val="7"/>
        <w:numPr>
          <w:ilvl w:val="0"/>
          <w:numId w:val="4"/>
        </w:numPr>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修正后的报价，投标人不确认的；</w:t>
      </w:r>
    </w:p>
    <w:p w14:paraId="5738D35D">
      <w:pPr>
        <w:pStyle w:val="7"/>
        <w:numPr>
          <w:ilvl w:val="0"/>
          <w:numId w:val="4"/>
        </w:numPr>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投标人属于本章第5.1条（2）项情形的。</w:t>
      </w:r>
    </w:p>
    <w:p w14:paraId="7C992920">
      <w:pPr>
        <w:pStyle w:val="7"/>
        <w:numPr>
          <w:ilvl w:val="0"/>
          <w:numId w:val="4"/>
        </w:numPr>
        <w:spacing w:line="360" w:lineRule="auto"/>
        <w:ind w:firstLine="398"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pacing w:val="-6"/>
          <w:szCs w:val="21"/>
          <w:highlight w:val="none"/>
        </w:rPr>
        <w:t>报价文件</w:t>
      </w:r>
      <w:r>
        <w:rPr>
          <w:rFonts w:hint="eastAsia" w:cs="宋体" w:asciiTheme="minorEastAsia" w:hAnsiTheme="minorEastAsia" w:eastAsiaTheme="minorEastAsia"/>
          <w:b/>
          <w:color w:val="auto"/>
          <w:szCs w:val="21"/>
          <w:highlight w:val="none"/>
        </w:rPr>
        <w:t>响应的标的数量及单位与招标文件要求实质性不一致的。</w:t>
      </w:r>
    </w:p>
    <w:p w14:paraId="770BAA59">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2.2在商务评审时，如发现下列情形之一的，将被视为投标无效：</w:t>
      </w:r>
    </w:p>
    <w:p w14:paraId="58119A3A">
      <w:pPr>
        <w:snapToGrid w:val="0"/>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（1）投标文件未按招标文件要求签署、盖章的（指招标文件中要求“必须提供”的资料）；</w:t>
      </w:r>
    </w:p>
    <w:p w14:paraId="270903E3">
      <w:pPr>
        <w:snapToGrid w:val="0"/>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 xml:space="preserve">（2）委托代理人未能出具有效身份证或者出具的身份证与授权委托书中的信息不符的； </w:t>
      </w:r>
    </w:p>
    <w:p w14:paraId="1831FED3">
      <w:pPr>
        <w:snapToGrid w:val="0"/>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（3）要求提交投标保证金的项目，提供的投标保证金为无效投标保证金的或者未按照招标文件的规定提交投标保证金的；</w:t>
      </w:r>
    </w:p>
    <w:p w14:paraId="47FCD2E2">
      <w:pPr>
        <w:snapToGrid w:val="0"/>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（3）投标文件未提供“投标人须知前附表”第13（3）条规定中“必须提供”或者“委托时必须提供”的文件资料的；</w:t>
      </w:r>
    </w:p>
    <w:p w14:paraId="17570AEC">
      <w:pPr>
        <w:snapToGrid w:val="0"/>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（4）商务要求评审允许负偏离的条款数超过“投标人须知前附表”规定项数的；</w:t>
      </w:r>
    </w:p>
    <w:p w14:paraId="1436ED51">
      <w:pPr>
        <w:snapToGrid w:val="0"/>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（5）投标文件的实质性内容未使用中文表述、使用计量单位不符合招标文件要求的；</w:t>
      </w:r>
    </w:p>
    <w:p w14:paraId="4E0E8784">
      <w:pPr>
        <w:snapToGrid w:val="0"/>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（6）投标文件中的文件资料因填写不齐全或者内容虚假或者出现其他情形而导致被评标委员会认定无效的；</w:t>
      </w:r>
    </w:p>
    <w:p w14:paraId="6909364A">
      <w:pPr>
        <w:snapToGrid w:val="0"/>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（7）投标文件含有采购人不能接受的附加条件的；</w:t>
      </w:r>
    </w:p>
    <w:p w14:paraId="6066350A">
      <w:pPr>
        <w:snapToGrid w:val="0"/>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（8）属于投标人须知正文第9.2条情形的；</w:t>
      </w:r>
    </w:p>
    <w:p w14:paraId="58B35D1C">
      <w:pPr>
        <w:snapToGrid w:val="0"/>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（9）投标文件标注的项目名称或者项目编号与招标文件标注的项目名称或者项目编号不一致的；</w:t>
      </w:r>
    </w:p>
    <w:p w14:paraId="4F6FFCAC">
      <w:pPr>
        <w:snapToGrid w:val="0"/>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（10）招标文件明确不允许分包，投标文件拟分包的；</w:t>
      </w:r>
    </w:p>
    <w:p w14:paraId="27F92BC5">
      <w:pPr>
        <w:snapToGrid w:val="0"/>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（11）未响应招标文件实质性要求的；</w:t>
      </w:r>
    </w:p>
    <w:p w14:paraId="138BC62E">
      <w:pPr>
        <w:snapToGrid w:val="0"/>
        <w:spacing w:line="360" w:lineRule="auto"/>
        <w:ind w:firstLine="422"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（12）法律、法规和招标文件规定的其他无效情形。</w:t>
      </w:r>
    </w:p>
    <w:p w14:paraId="1821BE5A">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2.3在技术评审时，如发现下列情形之一的，将被视为投标无效：</w:t>
      </w:r>
    </w:p>
    <w:p w14:paraId="44E9B947">
      <w:pPr>
        <w:pStyle w:val="18"/>
        <w:snapToGrid w:val="0"/>
        <w:spacing w:line="360" w:lineRule="auto"/>
        <w:ind w:firstLine="413" w:firstLineChars="196"/>
        <w:rPr>
          <w:rFonts w:cs="宋体" w:asciiTheme="minorEastAsia" w:hAnsiTheme="minorEastAsia" w:eastAsiaTheme="minorEastAsia"/>
          <w:b/>
          <w:color w:val="auto"/>
          <w:kern w:val="2"/>
          <w:sz w:val="21"/>
          <w:szCs w:val="21"/>
          <w:highlight w:val="none"/>
        </w:rPr>
      </w:pPr>
      <w:r>
        <w:rPr>
          <w:rFonts w:hint="eastAsia" w:cs="宋体" w:asciiTheme="minorEastAsia" w:hAnsiTheme="minorEastAsia" w:eastAsiaTheme="minorEastAsia"/>
          <w:b/>
          <w:color w:val="auto"/>
          <w:kern w:val="2"/>
          <w:sz w:val="21"/>
          <w:szCs w:val="21"/>
          <w:highlight w:val="none"/>
        </w:rPr>
        <w:t>（1）技术服务要求评审允许负偏离的条款数超过“投标人须知前附表”规定项数的；</w:t>
      </w:r>
    </w:p>
    <w:p w14:paraId="01142DAA">
      <w:pPr>
        <w:pStyle w:val="18"/>
        <w:snapToGrid w:val="0"/>
        <w:spacing w:line="360" w:lineRule="auto"/>
        <w:ind w:firstLine="413" w:firstLineChars="196"/>
        <w:rPr>
          <w:rFonts w:cs="宋体" w:asciiTheme="minorEastAsia" w:hAnsiTheme="minorEastAsia" w:eastAsiaTheme="minorEastAsia"/>
          <w:b/>
          <w:color w:val="auto"/>
          <w:kern w:val="2"/>
          <w:sz w:val="21"/>
          <w:szCs w:val="21"/>
          <w:highlight w:val="none"/>
        </w:rPr>
      </w:pPr>
      <w:r>
        <w:rPr>
          <w:rFonts w:hint="eastAsia" w:cs="宋体" w:asciiTheme="minorEastAsia" w:hAnsiTheme="minorEastAsia" w:eastAsiaTheme="minorEastAsia"/>
          <w:b/>
          <w:color w:val="auto"/>
          <w:kern w:val="2"/>
          <w:sz w:val="21"/>
          <w:szCs w:val="21"/>
          <w:highlight w:val="none"/>
        </w:rPr>
        <w:t>（2）投标文件未提供“投标人须知前附表”第13（3）条规定中“必须提供”的文件资料的；</w:t>
      </w:r>
    </w:p>
    <w:p w14:paraId="409E8BA2">
      <w:pPr>
        <w:pStyle w:val="18"/>
        <w:snapToGrid w:val="0"/>
        <w:spacing w:line="360" w:lineRule="auto"/>
        <w:ind w:firstLine="413" w:firstLineChars="196"/>
        <w:rPr>
          <w:rFonts w:cs="宋体" w:asciiTheme="minorEastAsia" w:hAnsiTheme="minorEastAsia" w:eastAsiaTheme="minorEastAsia"/>
          <w:b/>
          <w:color w:val="auto"/>
          <w:kern w:val="2"/>
          <w:sz w:val="21"/>
          <w:szCs w:val="21"/>
          <w:highlight w:val="none"/>
        </w:rPr>
      </w:pPr>
      <w:r>
        <w:rPr>
          <w:rFonts w:hint="eastAsia" w:cs="宋体" w:asciiTheme="minorEastAsia" w:hAnsiTheme="minorEastAsia" w:eastAsiaTheme="minorEastAsia"/>
          <w:b/>
          <w:color w:val="auto"/>
          <w:kern w:val="2"/>
          <w:sz w:val="21"/>
          <w:szCs w:val="21"/>
          <w:highlight w:val="none"/>
        </w:rPr>
        <w:t>（3）虚假投标，或者出现其他情形而导致被评标委员会认定无效的；</w:t>
      </w:r>
    </w:p>
    <w:p w14:paraId="280387E8">
      <w:pPr>
        <w:pStyle w:val="18"/>
        <w:snapToGrid w:val="0"/>
        <w:spacing w:line="360" w:lineRule="auto"/>
        <w:ind w:firstLine="413" w:firstLineChars="196"/>
        <w:rPr>
          <w:rFonts w:cs="宋体" w:asciiTheme="minorEastAsia" w:hAnsiTheme="minorEastAsia" w:eastAsiaTheme="minorEastAsia"/>
          <w:b/>
          <w:color w:val="auto"/>
          <w:kern w:val="2"/>
          <w:sz w:val="21"/>
          <w:szCs w:val="21"/>
          <w:highlight w:val="none"/>
        </w:rPr>
      </w:pPr>
      <w:r>
        <w:rPr>
          <w:rFonts w:hint="eastAsia" w:cs="宋体" w:asciiTheme="minorEastAsia" w:hAnsiTheme="minorEastAsia" w:eastAsiaTheme="minorEastAsia"/>
          <w:b/>
          <w:color w:val="auto"/>
          <w:kern w:val="2"/>
          <w:sz w:val="21"/>
          <w:szCs w:val="21"/>
          <w:highlight w:val="none"/>
        </w:rPr>
        <w:t>（4）</w:t>
      </w:r>
      <w:bookmarkStart w:id="108" w:name="_Hlk71706244"/>
      <w:r>
        <w:rPr>
          <w:rFonts w:hint="eastAsia" w:cs="宋体" w:asciiTheme="minorEastAsia" w:hAnsiTheme="minorEastAsia" w:eastAsiaTheme="minorEastAsia"/>
          <w:b/>
          <w:color w:val="auto"/>
          <w:kern w:val="2"/>
          <w:sz w:val="21"/>
          <w:szCs w:val="21"/>
          <w:highlight w:val="none"/>
        </w:rPr>
        <w:t>招标文件未载明允许提供备选（替代）投标方案或明确不允许提供备选（替代）投标方案时，投标人提供了备选（替代）投标方案的；</w:t>
      </w:r>
      <w:bookmarkEnd w:id="108"/>
    </w:p>
    <w:p w14:paraId="5AE09489">
      <w:pPr>
        <w:pStyle w:val="18"/>
        <w:snapToGrid w:val="0"/>
        <w:spacing w:line="360" w:lineRule="auto"/>
        <w:ind w:firstLine="413" w:firstLineChars="196"/>
        <w:rPr>
          <w:rFonts w:cs="宋体" w:asciiTheme="minorEastAsia" w:hAnsiTheme="minorEastAsia" w:eastAsiaTheme="minorEastAsia"/>
          <w:b/>
          <w:color w:val="auto"/>
          <w:kern w:val="2"/>
          <w:sz w:val="21"/>
          <w:szCs w:val="21"/>
          <w:highlight w:val="none"/>
        </w:rPr>
      </w:pPr>
      <w:r>
        <w:rPr>
          <w:rFonts w:hint="eastAsia" w:cs="宋体" w:asciiTheme="minorEastAsia" w:hAnsiTheme="minorEastAsia" w:eastAsiaTheme="minorEastAsia"/>
          <w:b/>
          <w:color w:val="auto"/>
          <w:kern w:val="2"/>
          <w:sz w:val="21"/>
          <w:szCs w:val="21"/>
          <w:highlight w:val="none"/>
        </w:rPr>
        <w:t>（5）未响应招标文件实质性要求的。</w:t>
      </w:r>
    </w:p>
    <w:p w14:paraId="04FF9AF6">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3.澄清补正</w:t>
      </w:r>
    </w:p>
    <w:p w14:paraId="67A3CB82">
      <w:pPr>
        <w:spacing w:line="360" w:lineRule="auto"/>
        <w:ind w:firstLine="420"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color w:val="auto"/>
          <w:szCs w:val="21"/>
          <w:highlight w:val="none"/>
        </w:rPr>
        <w:t>对投标文件中含义不明确、同类问题表述不一致或者有明显文字和计算错误的内容，评标委员会应在“广西政府采购云”平台发布电子澄清函，要求投标人在规定时间内作出必要的澄清、说明或者补正。投标人在“广西政府采购云”平台接收到电子澄清函后根据澄清函内容上传PDF格式回函，电子澄清答复函使用CA证书加盖投标人电子签章后在线上传至评标委员会。投标人的澄清、说明或者补正不得超出投标文件的范围或者改变投标文件的实质性内容。</w:t>
      </w:r>
    </w:p>
    <w:p w14:paraId="27EDB69D">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异常情况处理：如遇无法正常使用线上发送澄清函的情况，将启动书面形式办理。启动书面形式办理的情况下，评标委员会以书面形式要求投标人在规定时间内作出必要的澄清、说明或者补正。投标人的澄清、说明或者补正必须采用书面形式，并加盖公章，或者由法定代表人或者其授权的代表签字。</w:t>
      </w:r>
    </w:p>
    <w:p w14:paraId="35F6C91A">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未按评标委员会的要求作出明确澄清、说明或者更正的投标人的投标文件将按照有利于采购人的原则由评标委员会进行判定。</w:t>
      </w:r>
    </w:p>
    <w:p w14:paraId="6B049476">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4.投标文件修正</w:t>
      </w:r>
    </w:p>
    <w:p w14:paraId="02287A48">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4.1投标文件报价出现前后不一致的，按照下列规定修正： </w:t>
      </w:r>
    </w:p>
    <w:p w14:paraId="58693FDF">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（1）投标文件中开标一览表（报价表）内容与投标文件中相应内容不一致的，以开标一览表（报价表）为准；</w:t>
      </w:r>
    </w:p>
    <w:p w14:paraId="6E2C9521">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（2）大写金额和小写金额不一致的，以大写金额为准；</w:t>
      </w:r>
    </w:p>
    <w:p w14:paraId="13A5345F">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（3）单价金额（</w:t>
      </w:r>
      <w:r>
        <w:rPr>
          <w:rFonts w:hint="eastAsia" w:ascii="Times New Roman" w:hAnsi="宋体" w:cs="宋体"/>
          <w:color w:val="auto"/>
          <w:kern w:val="2"/>
          <w:sz w:val="21"/>
          <w:highlight w:val="none"/>
        </w:rPr>
        <w:t>优惠率</w:t>
      </w:r>
      <w:r>
        <w:rPr>
          <w:rFonts w:hint="eastAsia" w:cs="宋体" w:asciiTheme="minorEastAsia" w:hAnsiTheme="minorEastAsia" w:eastAsiaTheme="minorEastAsia"/>
          <w:color w:val="auto"/>
          <w:sz w:val="21"/>
          <w:highlight w:val="none"/>
        </w:rPr>
        <w:t>）小数点或者百分比有明显错位的，以开标一览表的总价（</w:t>
      </w:r>
      <w:r>
        <w:rPr>
          <w:rFonts w:hint="eastAsia" w:ascii="Times New Roman" w:hAnsi="宋体" w:cs="宋体"/>
          <w:color w:val="auto"/>
          <w:kern w:val="2"/>
          <w:sz w:val="21"/>
          <w:highlight w:val="none"/>
        </w:rPr>
        <w:t>优惠率</w:t>
      </w:r>
      <w:r>
        <w:rPr>
          <w:rFonts w:hint="eastAsia" w:cs="宋体" w:asciiTheme="minorEastAsia" w:hAnsiTheme="minorEastAsia" w:eastAsiaTheme="minorEastAsia"/>
          <w:color w:val="auto"/>
          <w:sz w:val="21"/>
          <w:highlight w:val="none"/>
        </w:rPr>
        <w:t>）为准，并修改单价；</w:t>
      </w:r>
    </w:p>
    <w:p w14:paraId="4F6CC97D">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（4）总价金额（</w:t>
      </w:r>
      <w:r>
        <w:rPr>
          <w:rFonts w:hint="eastAsia" w:ascii="Times New Roman" w:hAnsi="宋体" w:cs="宋体"/>
          <w:color w:val="auto"/>
          <w:kern w:val="2"/>
          <w:sz w:val="21"/>
          <w:highlight w:val="none"/>
        </w:rPr>
        <w:t>优惠率</w:t>
      </w:r>
      <w:r>
        <w:rPr>
          <w:rFonts w:hint="eastAsia" w:cs="宋体" w:asciiTheme="minorEastAsia" w:hAnsiTheme="minorEastAsia" w:eastAsiaTheme="minorEastAsia"/>
          <w:color w:val="auto"/>
          <w:sz w:val="21"/>
          <w:highlight w:val="none"/>
        </w:rPr>
        <w:t>）与按单价（</w:t>
      </w:r>
      <w:r>
        <w:rPr>
          <w:rFonts w:hint="eastAsia" w:ascii="Times New Roman" w:hAnsi="宋体" w:cs="宋体"/>
          <w:color w:val="auto"/>
          <w:kern w:val="2"/>
          <w:sz w:val="21"/>
          <w:highlight w:val="none"/>
        </w:rPr>
        <w:t>优惠率</w:t>
      </w:r>
      <w:r>
        <w:rPr>
          <w:rFonts w:hint="eastAsia" w:cs="宋体" w:asciiTheme="minorEastAsia" w:hAnsiTheme="minorEastAsia" w:eastAsiaTheme="minorEastAsia"/>
          <w:color w:val="auto"/>
          <w:sz w:val="21"/>
          <w:highlight w:val="none"/>
        </w:rPr>
        <w:t>）汇总金额（</w:t>
      </w:r>
      <w:r>
        <w:rPr>
          <w:rFonts w:hint="eastAsia" w:ascii="Times New Roman" w:hAnsi="宋体" w:cs="宋体"/>
          <w:color w:val="auto"/>
          <w:kern w:val="2"/>
          <w:sz w:val="21"/>
          <w:highlight w:val="none"/>
        </w:rPr>
        <w:t>优惠率</w:t>
      </w:r>
      <w:r>
        <w:rPr>
          <w:rFonts w:hint="eastAsia" w:cs="宋体" w:asciiTheme="minorEastAsia" w:hAnsiTheme="minorEastAsia" w:eastAsiaTheme="minorEastAsia"/>
          <w:color w:val="auto"/>
          <w:sz w:val="21"/>
          <w:highlight w:val="none"/>
        </w:rPr>
        <w:t>）不一致的，以单价金额（</w:t>
      </w:r>
      <w:r>
        <w:rPr>
          <w:rFonts w:hint="eastAsia" w:ascii="Times New Roman" w:hAnsi="宋体" w:cs="宋体"/>
          <w:color w:val="auto"/>
          <w:kern w:val="2"/>
          <w:sz w:val="21"/>
          <w:highlight w:val="none"/>
        </w:rPr>
        <w:t>优惠率</w:t>
      </w:r>
      <w:r>
        <w:rPr>
          <w:rFonts w:hint="eastAsia" w:cs="宋体" w:asciiTheme="minorEastAsia" w:hAnsiTheme="minorEastAsia" w:eastAsiaTheme="minorEastAsia"/>
          <w:color w:val="auto"/>
          <w:sz w:val="21"/>
          <w:highlight w:val="none"/>
        </w:rPr>
        <w:t>）计算结果为准。</w:t>
      </w:r>
    </w:p>
    <w:p w14:paraId="5E92EB4C">
      <w:pPr>
        <w:pStyle w:val="23"/>
        <w:snapToGrid w:val="0"/>
        <w:spacing w:line="360" w:lineRule="auto"/>
        <w:ind w:firstLine="420" w:firstLineChars="200"/>
        <w:rPr>
          <w:rFonts w:cs="宋体" w:asciiTheme="minorEastAsia" w:hAnsiTheme="minorEastAsia" w:eastAsiaTheme="minorEastAsia"/>
          <w:color w:val="auto"/>
          <w:sz w:val="21"/>
          <w:highlight w:val="none"/>
        </w:rPr>
      </w:pPr>
      <w:r>
        <w:rPr>
          <w:rFonts w:hint="eastAsia" w:cs="宋体" w:asciiTheme="minorEastAsia" w:hAnsiTheme="minorEastAsia" w:eastAsiaTheme="minorEastAsia"/>
          <w:color w:val="auto"/>
          <w:sz w:val="21"/>
          <w:highlight w:val="none"/>
        </w:rPr>
        <w:t>同时出现两种以上不一致的，按照以上（1）-（4）规定的顺序修正。修正后的报价经投标人确认后产生约束力，投标人不确认的，</w:t>
      </w:r>
      <w:r>
        <w:rPr>
          <w:rFonts w:hint="eastAsia" w:cs="宋体" w:asciiTheme="minorEastAsia" w:hAnsiTheme="minorEastAsia" w:eastAsiaTheme="minorEastAsia"/>
          <w:b/>
          <w:color w:val="auto"/>
          <w:kern w:val="2"/>
          <w:sz w:val="21"/>
          <w:highlight w:val="none"/>
        </w:rPr>
        <w:t>其投标无效</w:t>
      </w:r>
      <w:r>
        <w:rPr>
          <w:rFonts w:hint="eastAsia" w:cs="宋体" w:asciiTheme="minorEastAsia" w:hAnsiTheme="minorEastAsia" w:eastAsiaTheme="minorEastAsia"/>
          <w:color w:val="auto"/>
          <w:sz w:val="21"/>
          <w:highlight w:val="none"/>
        </w:rPr>
        <w:t>。</w:t>
      </w:r>
    </w:p>
    <w:p w14:paraId="51704B04">
      <w:pPr>
        <w:pStyle w:val="6"/>
        <w:keepNext w:val="0"/>
        <w:keepLines w:val="0"/>
        <w:spacing w:before="0" w:after="0" w:line="360" w:lineRule="auto"/>
        <w:rPr>
          <w:rFonts w:cs="宋体" w:asciiTheme="minorEastAsia" w:hAnsiTheme="minorEastAsia" w:eastAsiaTheme="minorEastAsia"/>
          <w:b w:val="0"/>
          <w:color w:val="auto"/>
          <w:sz w:val="21"/>
          <w:szCs w:val="21"/>
          <w:highlight w:val="none"/>
        </w:rPr>
      </w:pPr>
      <w:r>
        <w:rPr>
          <w:rFonts w:hint="eastAsia" w:cs="宋体" w:asciiTheme="minorEastAsia" w:hAnsiTheme="minorEastAsia" w:eastAsiaTheme="minorEastAsia"/>
          <w:b w:val="0"/>
          <w:color w:val="auto"/>
          <w:sz w:val="21"/>
          <w:szCs w:val="21"/>
          <w:highlight w:val="none"/>
        </w:rPr>
        <w:t xml:space="preserve">    4.2经投标人确认修正后的报价若超过采购预算金额或者最高限价（有效报价范围），</w:t>
      </w:r>
      <w:r>
        <w:rPr>
          <w:rFonts w:hint="eastAsia" w:cs="宋体" w:asciiTheme="minorEastAsia" w:hAnsiTheme="minorEastAsia" w:eastAsiaTheme="minorEastAsia"/>
          <w:color w:val="auto"/>
          <w:sz w:val="21"/>
          <w:szCs w:val="21"/>
          <w:highlight w:val="none"/>
        </w:rPr>
        <w:t>投标人的投标文件作无效投标处理</w:t>
      </w:r>
      <w:r>
        <w:rPr>
          <w:rFonts w:hint="eastAsia" w:cs="宋体" w:asciiTheme="minorEastAsia" w:hAnsiTheme="minorEastAsia" w:eastAsiaTheme="minorEastAsia"/>
          <w:b w:val="0"/>
          <w:color w:val="auto"/>
          <w:sz w:val="21"/>
          <w:szCs w:val="21"/>
          <w:highlight w:val="none"/>
        </w:rPr>
        <w:t>。</w:t>
      </w:r>
    </w:p>
    <w:p w14:paraId="79ABA507">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4.3经投标人确认修正后的报价作为签订合同的依据，并以此报价计算价格分。</w:t>
      </w:r>
    </w:p>
    <w:p w14:paraId="33B4F1A0">
      <w:pPr>
        <w:pStyle w:val="6"/>
        <w:keepNext w:val="0"/>
        <w:keepLines w:val="0"/>
        <w:spacing w:before="0" w:after="0" w:line="360" w:lineRule="auto"/>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5.比较与评价</w:t>
      </w:r>
    </w:p>
    <w:p w14:paraId="6D973E18">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5.1采用综合评分法的</w:t>
      </w:r>
    </w:p>
    <w:p w14:paraId="32067D57">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（1）评标委员会按照招标文件中规定的评标方法及评标标准，对符合性审查合格的投标文件进行商务和技术评估，综合比较与评价。</w:t>
      </w:r>
    </w:p>
    <w:p w14:paraId="01E16B4F">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（2）评标委员会独立对每个投标人的投标文件进行评价，并汇总每个投标人的得分。</w:t>
      </w:r>
    </w:p>
    <w:p w14:paraId="3D2509FC">
      <w:pPr>
        <w:snapToGrid w:val="0"/>
        <w:spacing w:line="360" w:lineRule="auto"/>
        <w:ind w:firstLine="630" w:firstLineChars="3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color w:val="auto"/>
          <w:szCs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包含但不仅限于</w:t>
      </w:r>
      <w:r>
        <w:rPr>
          <w:rFonts w:hint="eastAsia"/>
          <w:color w:val="auto"/>
          <w:spacing w:val="-6"/>
          <w:sz w:val="24"/>
          <w:highlight w:val="none"/>
        </w:rPr>
        <w:t>：</w:t>
      </w:r>
      <w:r>
        <w:rPr>
          <w:rFonts w:hint="eastAsia" w:ascii="宋体" w:hAnsi="宋体" w:cs="宋体"/>
          <w:color w:val="auto"/>
          <w:spacing w:val="-4"/>
          <w:szCs w:val="21"/>
          <w:highlight w:val="none"/>
          <w:u w:val="single"/>
        </w:rPr>
        <w:t>拟投入本项目的人员数量及工资报酬成本，</w:t>
      </w:r>
      <w:r>
        <w:rPr>
          <w:rFonts w:hint="eastAsia" w:ascii="宋体" w:hAnsi="宋体" w:cs="宋体"/>
          <w:color w:val="auto"/>
          <w:szCs w:val="21"/>
          <w:highlight w:val="none"/>
          <w:u w:val="single"/>
        </w:rPr>
        <w:t>管理费用，税费，财务成本等相关成本和合理利润等及相关证明材料，以及评审时评委认为有必要提供的其他资料。以上资料必须齐全，并且相关资料真实性及合理性必须完全为评标委员会所接受</w:t>
      </w:r>
      <w:r>
        <w:rPr>
          <w:rFonts w:hint="eastAsia" w:ascii="宋体" w:hAnsi="宋体" w:cs="宋体"/>
          <w:color w:val="auto"/>
          <w:szCs w:val="21"/>
          <w:highlight w:val="none"/>
        </w:rPr>
        <w:t>）</w:t>
      </w:r>
      <w:r>
        <w:rPr>
          <w:rFonts w:hint="eastAsia" w:cs="宋体" w:asciiTheme="minorEastAsia" w:hAnsiTheme="minorEastAsia" w:eastAsiaTheme="minorEastAsia"/>
          <w:color w:val="auto"/>
          <w:szCs w:val="21"/>
          <w:highlight w:val="none"/>
        </w:rPr>
        <w:t>；</w:t>
      </w:r>
      <w:r>
        <w:rPr>
          <w:rFonts w:hint="eastAsia" w:cs="宋体" w:asciiTheme="minorEastAsia" w:hAnsiTheme="minorEastAsia" w:eastAsiaTheme="minorEastAsia"/>
          <w:b/>
          <w:color w:val="auto"/>
          <w:szCs w:val="21"/>
          <w:highlight w:val="none"/>
        </w:rPr>
        <w:t>投标人不能证明其报价合理性的，评标委员会将其作为无效投标处理。</w:t>
      </w:r>
    </w:p>
    <w:p w14:paraId="31CEC30F">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（3）评标委员会按照招标文件中规定的评标方法和标准计算各投标人的报价得分。在计算过程中，不得去掉最高报价或者最低报价。</w:t>
      </w:r>
    </w:p>
    <w:p w14:paraId="3AEEAA78">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（4）各投标人的得分为所有评委的有效评分的算术平均数。</w:t>
      </w:r>
    </w:p>
    <w:p w14:paraId="0C4471FC">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（5）评标委员会按照招标文件中的规定推荐中标候选人。</w:t>
      </w:r>
    </w:p>
    <w:p w14:paraId="75CC20FF">
      <w:pPr>
        <w:snapToGrid w:val="0"/>
        <w:spacing w:line="360" w:lineRule="auto"/>
        <w:ind w:firstLine="420" w:firstLineChars="200"/>
        <w:rPr>
          <w:rFonts w:ascii="宋体" w:hAnsi="宋体" w:cs="宋体"/>
          <w:color w:val="auto"/>
          <w:sz w:val="28"/>
          <w:szCs w:val="28"/>
          <w:highlight w:val="none"/>
        </w:rPr>
      </w:pPr>
      <w:r>
        <w:rPr>
          <w:rFonts w:hint="eastAsia" w:cs="宋体" w:asciiTheme="minorEastAsia" w:hAnsiTheme="minorEastAsia" w:eastAsiaTheme="minorEastAsia"/>
          <w:color w:val="auto"/>
          <w:szCs w:val="21"/>
          <w:highlight w:val="none"/>
        </w:rPr>
        <w:t>（6）起草并签署评标报告。评标委员会根据评标委员会成员签字的原始评标记录和评标结果编写评标报告。评标委员会成员均应当在评标报告上签字，对自己的评标意见承担法律责任。对评标过程中需要共同认定的事项存在争议的，应当按照少数服从多数的原则做出结论。持不同意见的评标委员会成员应当在评标报告上签署不同意见及理由，否则视为同意评标报告。</w:t>
      </w:r>
      <w:r>
        <w:rPr>
          <w:rFonts w:hint="eastAsia" w:ascii="宋体" w:hAnsi="宋体" w:cs="宋体"/>
          <w:color w:val="auto"/>
          <w:highlight w:val="none"/>
        </w:rPr>
        <w:br w:type="page"/>
      </w:r>
      <w:bookmarkStart w:id="109" w:name="_Hlk71707917"/>
      <w:r>
        <w:rPr>
          <w:rFonts w:hint="eastAsia" w:ascii="宋体" w:hAnsi="宋体" w:cs="宋体"/>
          <w:b/>
          <w:bCs/>
          <w:color w:val="auto"/>
          <w:sz w:val="28"/>
          <w:szCs w:val="28"/>
          <w:highlight w:val="none"/>
        </w:rPr>
        <w:t>三、评标标准</w:t>
      </w:r>
      <w:bookmarkEnd w:id="109"/>
    </w:p>
    <w:p w14:paraId="693C188A">
      <w:pPr>
        <w:spacing w:line="416" w:lineRule="auto"/>
        <w:jc w:val="center"/>
        <w:outlineLvl w:val="2"/>
        <w:rPr>
          <w:rFonts w:ascii="宋体" w:hAnsi="宋体" w:cs="宋体"/>
          <w:b/>
          <w:bCs/>
          <w:color w:val="auto"/>
          <w:kern w:val="0"/>
          <w:sz w:val="28"/>
          <w:szCs w:val="28"/>
          <w:highlight w:val="none"/>
        </w:rPr>
      </w:pPr>
      <w:r>
        <w:rPr>
          <w:rFonts w:hint="eastAsia" w:ascii="宋体" w:hAnsi="宋体" w:cs="宋体"/>
          <w:b/>
          <w:bCs/>
          <w:color w:val="auto"/>
          <w:kern w:val="0"/>
          <w:sz w:val="28"/>
          <w:szCs w:val="28"/>
          <w:highlight w:val="none"/>
        </w:rPr>
        <w:t>综合评分法</w:t>
      </w:r>
    </w:p>
    <w:tbl>
      <w:tblPr>
        <w:tblStyle w:val="47"/>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1124"/>
        <w:gridCol w:w="6846"/>
        <w:gridCol w:w="640"/>
      </w:tblGrid>
      <w:tr w14:paraId="3B423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30" w:type="dxa"/>
            <w:vAlign w:val="center"/>
          </w:tcPr>
          <w:p w14:paraId="1DBC887C">
            <w:pPr>
              <w:adjustRightInd w:val="0"/>
              <w:spacing w:line="400" w:lineRule="exact"/>
              <w:jc w:val="center"/>
              <w:textAlignment w:val="baseline"/>
              <w:rPr>
                <w:rFonts w:ascii="宋体" w:hAnsi="宋体" w:cs="宋体"/>
                <w:b/>
                <w:bCs/>
                <w:color w:val="auto"/>
                <w:szCs w:val="21"/>
                <w:highlight w:val="none"/>
              </w:rPr>
            </w:pPr>
            <w:r>
              <w:rPr>
                <w:rFonts w:hint="eastAsia" w:ascii="宋体" w:hAnsi="宋体" w:cs="宋体"/>
                <w:b/>
                <w:bCs/>
                <w:color w:val="auto"/>
                <w:szCs w:val="21"/>
                <w:highlight w:val="none"/>
              </w:rPr>
              <w:t>序号</w:t>
            </w:r>
          </w:p>
        </w:tc>
        <w:tc>
          <w:tcPr>
            <w:tcW w:w="1124" w:type="dxa"/>
            <w:vAlign w:val="center"/>
          </w:tcPr>
          <w:p w14:paraId="0E414C2C">
            <w:pPr>
              <w:adjustRightInd w:val="0"/>
              <w:spacing w:line="400" w:lineRule="exact"/>
              <w:jc w:val="center"/>
              <w:textAlignment w:val="baseline"/>
              <w:rPr>
                <w:rFonts w:ascii="宋体" w:hAnsi="宋体" w:cs="宋体"/>
                <w:b/>
                <w:bCs/>
                <w:color w:val="auto"/>
                <w:szCs w:val="21"/>
                <w:highlight w:val="none"/>
              </w:rPr>
            </w:pPr>
            <w:r>
              <w:rPr>
                <w:rFonts w:hint="eastAsia" w:ascii="宋体" w:hAnsi="宋体" w:cs="宋体"/>
                <w:b/>
                <w:color w:val="auto"/>
                <w:szCs w:val="21"/>
                <w:highlight w:val="none"/>
              </w:rPr>
              <w:t>评审因素</w:t>
            </w:r>
          </w:p>
        </w:tc>
        <w:tc>
          <w:tcPr>
            <w:tcW w:w="6846" w:type="dxa"/>
            <w:vAlign w:val="center"/>
          </w:tcPr>
          <w:p w14:paraId="45A5A469">
            <w:pPr>
              <w:pStyle w:val="23"/>
              <w:jc w:val="center"/>
              <w:rPr>
                <w:rFonts w:hAnsi="宋体" w:cs="宋体"/>
                <w:b/>
                <w:bCs/>
                <w:color w:val="auto"/>
                <w:kern w:val="2"/>
                <w:sz w:val="21"/>
                <w:highlight w:val="none"/>
              </w:rPr>
            </w:pPr>
            <w:r>
              <w:rPr>
                <w:rFonts w:hint="eastAsia" w:hAnsi="宋体" w:cs="宋体"/>
                <w:b/>
                <w:color w:val="auto"/>
                <w:highlight w:val="none"/>
              </w:rPr>
              <w:t>评标标准</w:t>
            </w:r>
          </w:p>
        </w:tc>
        <w:tc>
          <w:tcPr>
            <w:tcW w:w="640" w:type="dxa"/>
            <w:vAlign w:val="center"/>
          </w:tcPr>
          <w:p w14:paraId="39928399">
            <w:pPr>
              <w:pStyle w:val="23"/>
              <w:rPr>
                <w:rFonts w:hAnsi="宋体" w:cs="宋体"/>
                <w:b/>
                <w:bCs/>
                <w:color w:val="auto"/>
                <w:highlight w:val="none"/>
              </w:rPr>
            </w:pPr>
            <w:r>
              <w:rPr>
                <w:rFonts w:hint="eastAsia" w:hAnsi="宋体" w:cs="宋体"/>
                <w:b/>
                <w:bCs/>
                <w:color w:val="auto"/>
                <w:highlight w:val="none"/>
              </w:rPr>
              <w:t>分值</w:t>
            </w:r>
          </w:p>
        </w:tc>
      </w:tr>
      <w:tr w14:paraId="4366A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 w:hRule="atLeast"/>
          <w:jc w:val="center"/>
        </w:trPr>
        <w:tc>
          <w:tcPr>
            <w:tcW w:w="630" w:type="dxa"/>
            <w:vAlign w:val="center"/>
          </w:tcPr>
          <w:p w14:paraId="52E9AEDD">
            <w:pPr>
              <w:adjustRightInd w:val="0"/>
              <w:spacing w:line="400" w:lineRule="exact"/>
              <w:jc w:val="center"/>
              <w:textAlignment w:val="baseline"/>
              <w:rPr>
                <w:rFonts w:ascii="宋体" w:hAnsi="宋体" w:cs="宋体"/>
                <w:b/>
                <w:bCs/>
                <w:color w:val="auto"/>
                <w:szCs w:val="21"/>
                <w:highlight w:val="none"/>
              </w:rPr>
            </w:pPr>
            <w:r>
              <w:rPr>
                <w:rFonts w:hint="eastAsia" w:ascii="宋体" w:hAnsi="宋体" w:cs="宋体"/>
                <w:b/>
                <w:bCs/>
                <w:color w:val="auto"/>
                <w:szCs w:val="21"/>
                <w:highlight w:val="none"/>
              </w:rPr>
              <w:t>1</w:t>
            </w:r>
          </w:p>
        </w:tc>
        <w:tc>
          <w:tcPr>
            <w:tcW w:w="1124" w:type="dxa"/>
            <w:vAlign w:val="center"/>
          </w:tcPr>
          <w:p w14:paraId="7558B128">
            <w:pPr>
              <w:adjustRightInd w:val="0"/>
              <w:spacing w:line="288" w:lineRule="auto"/>
              <w:jc w:val="center"/>
              <w:textAlignment w:val="baseline"/>
              <w:rPr>
                <w:rFonts w:ascii="宋体" w:hAnsi="宋体" w:cs="宋体"/>
                <w:b/>
                <w:bCs/>
                <w:color w:val="auto"/>
                <w:szCs w:val="21"/>
                <w:highlight w:val="none"/>
              </w:rPr>
            </w:pPr>
            <w:r>
              <w:rPr>
                <w:rFonts w:hint="eastAsia" w:ascii="宋体" w:hAnsi="宋体" w:cs="宋体"/>
                <w:b/>
                <w:bCs/>
                <w:color w:val="auto"/>
                <w:szCs w:val="21"/>
                <w:highlight w:val="none"/>
              </w:rPr>
              <w:t>价格分</w:t>
            </w:r>
          </w:p>
        </w:tc>
        <w:tc>
          <w:tcPr>
            <w:tcW w:w="6846" w:type="dxa"/>
            <w:vAlign w:val="center"/>
          </w:tcPr>
          <w:p w14:paraId="54E5E960">
            <w:pPr>
              <w:pStyle w:val="23"/>
              <w:spacing w:line="288" w:lineRule="auto"/>
              <w:rPr>
                <w:rFonts w:hAnsi="宋体" w:cs="宋体"/>
                <w:b/>
                <w:bCs/>
                <w:color w:val="auto"/>
                <w:kern w:val="2"/>
                <w:sz w:val="21"/>
                <w:highlight w:val="none"/>
              </w:rPr>
            </w:pPr>
            <w:r>
              <w:rPr>
                <w:rFonts w:hint="eastAsia" w:hAnsi="宋体" w:cs="宋体"/>
                <w:b/>
                <w:bCs/>
                <w:color w:val="auto"/>
                <w:kern w:val="2"/>
                <w:sz w:val="21"/>
                <w:highlight w:val="none"/>
              </w:rPr>
              <w:t>一、政府采购政策扣除</w:t>
            </w:r>
          </w:p>
          <w:p w14:paraId="76BFDAB9">
            <w:pPr>
              <w:spacing w:line="288" w:lineRule="auto"/>
              <w:ind w:firstLine="422" w:firstLineChars="200"/>
              <w:rPr>
                <w:rFonts w:ascii="宋体" w:hAnsi="宋体" w:cs="宋体"/>
                <w:color w:val="auto"/>
                <w:szCs w:val="21"/>
                <w:highlight w:val="none"/>
              </w:rPr>
            </w:pPr>
            <w:r>
              <w:rPr>
                <w:rFonts w:hint="eastAsia" w:ascii="宋体" w:hAnsi="宋体" w:cs="宋体"/>
                <w:b/>
                <w:color w:val="auto"/>
                <w:szCs w:val="21"/>
                <w:highlight w:val="none"/>
              </w:rPr>
              <w:t>本项目为专门面向中小企业采购的项目</w:t>
            </w:r>
            <w:r>
              <w:rPr>
                <w:rFonts w:hint="eastAsia" w:ascii="宋体" w:hAnsi="宋体" w:cs="宋体"/>
                <w:b/>
                <w:bCs/>
                <w:color w:val="auto"/>
                <w:szCs w:val="21"/>
                <w:highlight w:val="none"/>
              </w:rPr>
              <w:t>（本项目所属行业详见招标文件第二章采购需求）</w:t>
            </w:r>
            <w:r>
              <w:rPr>
                <w:rFonts w:hint="eastAsia" w:ascii="宋体" w:hAnsi="宋体" w:cs="宋体"/>
                <w:b/>
                <w:color w:val="auto"/>
                <w:szCs w:val="21"/>
                <w:highlight w:val="none"/>
              </w:rPr>
              <w:t>，不再执行价格评审优惠的扶持政策。</w:t>
            </w:r>
          </w:p>
          <w:p w14:paraId="45B3E7C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8" w:lineRule="auto"/>
              <w:jc w:val="left"/>
              <w:rPr>
                <w:rFonts w:ascii="宋体" w:hAnsi="宋体" w:cs="宋体"/>
                <w:b/>
                <w:color w:val="auto"/>
                <w:kern w:val="0"/>
                <w:szCs w:val="21"/>
                <w:highlight w:val="none"/>
              </w:rPr>
            </w:pPr>
            <w:r>
              <w:rPr>
                <w:rFonts w:hint="eastAsia" w:ascii="宋体" w:hAnsi="宋体" w:cs="宋体"/>
                <w:b/>
                <w:color w:val="auto"/>
                <w:szCs w:val="21"/>
                <w:highlight w:val="none"/>
              </w:rPr>
              <w:t>二、</w:t>
            </w:r>
            <w:r>
              <w:rPr>
                <w:rFonts w:hint="eastAsia" w:ascii="宋体" w:hAnsi="宋体" w:cs="宋体"/>
                <w:b/>
                <w:color w:val="auto"/>
                <w:kern w:val="0"/>
                <w:szCs w:val="21"/>
                <w:highlight w:val="none"/>
              </w:rPr>
              <w:t>有效报价范围：</w:t>
            </w:r>
          </w:p>
          <w:p w14:paraId="4B2B2757">
            <w:pPr>
              <w:spacing w:line="288" w:lineRule="auto"/>
              <w:ind w:firstLine="210" w:firstLineChars="100"/>
              <w:rPr>
                <w:rFonts w:ascii="宋体" w:hAnsi="宋体" w:cs="宋体"/>
                <w:color w:val="auto"/>
                <w:kern w:val="0"/>
                <w:szCs w:val="21"/>
                <w:highlight w:val="none"/>
              </w:rPr>
            </w:pPr>
            <w:r>
              <w:rPr>
                <w:rFonts w:hint="eastAsia" w:ascii="宋体" w:hAnsi="宋体" w:cs="宋体"/>
                <w:color w:val="auto"/>
                <w:kern w:val="0"/>
                <w:szCs w:val="21"/>
                <w:highlight w:val="none"/>
              </w:rPr>
              <w:t xml:space="preserve">  有效报价为通过资格评审和符合性审查合格、</w:t>
            </w:r>
            <w:r>
              <w:rPr>
                <w:rFonts w:hint="eastAsia" w:ascii="宋体" w:hAnsi="宋体" w:cs="宋体"/>
                <w:bCs/>
                <w:color w:val="auto"/>
                <w:szCs w:val="21"/>
                <w:highlight w:val="none"/>
              </w:rPr>
              <w:t>房屋征收实施费优惠率在</w:t>
            </w:r>
            <w:r>
              <w:rPr>
                <w:rFonts w:hint="eastAsia" w:ascii="宋体" w:hAnsi="宋体" w:cs="宋体"/>
                <w:bCs/>
                <w:color w:val="auto"/>
                <w:kern w:val="0"/>
                <w:szCs w:val="21"/>
                <w:highlight w:val="none"/>
              </w:rPr>
              <w:t>30.00%—100.00%范围内（含本数）</w:t>
            </w:r>
            <w:r>
              <w:rPr>
                <w:rFonts w:hint="eastAsia" w:ascii="宋体" w:hAnsi="宋体" w:cs="宋体"/>
                <w:color w:val="auto"/>
                <w:kern w:val="0"/>
                <w:szCs w:val="21"/>
                <w:highlight w:val="none"/>
              </w:rPr>
              <w:t>。</w:t>
            </w:r>
            <w:r>
              <w:rPr>
                <w:rFonts w:hint="eastAsia" w:ascii="宋体" w:hAnsi="宋体" w:cs="宋体"/>
                <w:bCs/>
                <w:color w:val="auto"/>
                <w:kern w:val="0"/>
                <w:szCs w:val="21"/>
                <w:highlight w:val="none"/>
              </w:rPr>
              <w:t>超除有效报价范围的报价无效。</w:t>
            </w:r>
          </w:p>
          <w:p w14:paraId="73985356">
            <w:pPr>
              <w:pStyle w:val="23"/>
              <w:spacing w:line="288" w:lineRule="auto"/>
              <w:rPr>
                <w:rFonts w:hAnsi="宋体" w:cs="宋体"/>
                <w:b/>
                <w:color w:val="auto"/>
                <w:sz w:val="21"/>
                <w:highlight w:val="none"/>
              </w:rPr>
            </w:pPr>
            <w:r>
              <w:rPr>
                <w:rFonts w:hint="eastAsia" w:hAnsi="宋体" w:cs="宋体"/>
                <w:b/>
                <w:color w:val="auto"/>
                <w:sz w:val="21"/>
                <w:highlight w:val="none"/>
              </w:rPr>
              <w:t>三、报价分（满分10分）</w:t>
            </w:r>
          </w:p>
          <w:p w14:paraId="4302F597">
            <w:pPr>
              <w:autoSpaceDE w:val="0"/>
              <w:autoSpaceDN w:val="0"/>
              <w:adjustRightInd w:val="0"/>
              <w:spacing w:line="288" w:lineRule="auto"/>
              <w:jc w:val="left"/>
              <w:rPr>
                <w:rFonts w:ascii="宋体" w:hAnsi="宋体" w:cs="宋体"/>
                <w:color w:val="auto"/>
                <w:kern w:val="0"/>
                <w:szCs w:val="21"/>
                <w:highlight w:val="none"/>
              </w:rPr>
            </w:pPr>
            <w:r>
              <w:rPr>
                <w:rFonts w:hint="eastAsia" w:ascii="宋体" w:hAnsi="宋体" w:cs="宋体"/>
                <w:color w:val="auto"/>
                <w:kern w:val="0"/>
                <w:szCs w:val="21"/>
                <w:highlight w:val="none"/>
              </w:rPr>
              <w:t>（1）价格分采用低价优先法计算，即满足招标文件要求且报价最低的供应商的投标报价为评标基准价，其价格分为满分。</w:t>
            </w:r>
          </w:p>
          <w:p w14:paraId="28C6B32A">
            <w:pPr>
              <w:widowControl/>
              <w:spacing w:line="288" w:lineRule="auto"/>
              <w:jc w:val="left"/>
              <w:rPr>
                <w:rFonts w:ascii="宋体" w:hAnsi="宋体" w:cs="宋体"/>
                <w:color w:val="auto"/>
                <w:szCs w:val="21"/>
                <w:highlight w:val="none"/>
              </w:rPr>
            </w:pPr>
            <w:r>
              <w:rPr>
                <w:rFonts w:hint="eastAsia" w:ascii="宋体" w:hAnsi="宋体" w:cs="宋体"/>
                <w:color w:val="auto"/>
                <w:szCs w:val="21"/>
                <w:highlight w:val="none"/>
              </w:rPr>
              <w:t>（3）价格分计算公式：</w:t>
            </w:r>
          </w:p>
          <w:p w14:paraId="4684278F">
            <w:pPr>
              <w:widowControl/>
              <w:spacing w:line="288" w:lineRule="auto"/>
              <w:jc w:val="left"/>
              <w:rPr>
                <w:rFonts w:ascii="宋体" w:hAnsi="宋体" w:cs="宋体"/>
                <w:bCs/>
                <w:color w:val="auto"/>
                <w:szCs w:val="21"/>
                <w:highlight w:val="none"/>
              </w:rPr>
            </w:pPr>
            <w:r>
              <w:rPr>
                <w:rFonts w:hint="eastAsia" w:ascii="宋体" w:hAnsi="宋体" w:cs="宋体"/>
                <w:bCs/>
                <w:color w:val="auto"/>
                <w:szCs w:val="21"/>
                <w:highlight w:val="none"/>
              </w:rPr>
              <w:t>某个投标人的价格分=（评标基准价／某投标人的评标价）×</w:t>
            </w:r>
            <w:r>
              <w:rPr>
                <w:rFonts w:hint="eastAsia" w:ascii="宋体" w:hAnsi="宋体" w:cs="宋体"/>
                <w:bCs/>
                <w:color w:val="auto"/>
                <w:szCs w:val="21"/>
                <w:highlight w:val="none"/>
                <w:u w:val="single"/>
              </w:rPr>
              <w:t>10</w:t>
            </w:r>
            <w:r>
              <w:rPr>
                <w:rFonts w:hint="eastAsia" w:ascii="宋体" w:hAnsi="宋体" w:cs="宋体"/>
                <w:bCs/>
                <w:color w:val="auto"/>
                <w:szCs w:val="21"/>
                <w:highlight w:val="none"/>
              </w:rPr>
              <w:t>分</w:t>
            </w:r>
          </w:p>
          <w:p w14:paraId="644CD0E1">
            <w:pPr>
              <w:spacing w:line="288" w:lineRule="auto"/>
              <w:rPr>
                <w:rFonts w:ascii="宋体" w:hAnsi="宋体" w:cs="宋体"/>
                <w:color w:val="auto"/>
                <w:kern w:val="0"/>
                <w:szCs w:val="21"/>
                <w:highlight w:val="none"/>
              </w:rPr>
            </w:pPr>
            <w:r>
              <w:rPr>
                <w:rFonts w:hint="eastAsia" w:ascii="宋体" w:hAnsi="宋体" w:cs="宋体"/>
                <w:color w:val="auto"/>
                <w:kern w:val="0"/>
                <w:szCs w:val="21"/>
                <w:highlight w:val="none"/>
              </w:rPr>
              <w:t>注：</w:t>
            </w:r>
          </w:p>
          <w:p w14:paraId="6B826A36">
            <w:pPr>
              <w:spacing w:line="288" w:lineRule="auto"/>
              <w:rPr>
                <w:rFonts w:cs="宋体" w:asciiTheme="minorEastAsia" w:hAnsiTheme="minorEastAsia" w:eastAsiaTheme="minorEastAsia"/>
                <w:color w:val="auto"/>
                <w:kern w:val="0"/>
                <w:szCs w:val="21"/>
                <w:highlight w:val="none"/>
              </w:rPr>
            </w:pPr>
            <w:r>
              <w:rPr>
                <w:rFonts w:hint="eastAsia" w:ascii="宋体" w:hAnsi="宋体" w:cs="宋体"/>
                <w:color w:val="auto"/>
                <w:kern w:val="0"/>
                <w:szCs w:val="21"/>
                <w:highlight w:val="none"/>
              </w:rPr>
              <w:t>A、</w:t>
            </w:r>
            <w:r>
              <w:rPr>
                <w:rFonts w:hint="eastAsia" w:cs="宋体" w:asciiTheme="minorEastAsia" w:hAnsiTheme="minorEastAsia" w:eastAsiaTheme="minorEastAsia"/>
                <w:color w:val="auto"/>
                <w:kern w:val="0"/>
                <w:szCs w:val="21"/>
                <w:highlight w:val="none"/>
              </w:rPr>
              <w:t>投标报价=（</w:t>
            </w:r>
            <w:r>
              <w:rPr>
                <w:rFonts w:asciiTheme="minorEastAsia" w:hAnsiTheme="minorEastAsia" w:eastAsiaTheme="minorEastAsia"/>
                <w:color w:val="auto"/>
                <w:kern w:val="0"/>
                <w:szCs w:val="21"/>
                <w:highlight w:val="none"/>
              </w:rPr>
              <w:t>1-</w:t>
            </w:r>
            <w:r>
              <w:rPr>
                <w:rFonts w:hint="eastAsia" w:cs="宋体" w:asciiTheme="minorEastAsia" w:hAnsiTheme="minorEastAsia" w:eastAsiaTheme="minorEastAsia"/>
                <w:color w:val="auto"/>
                <w:kern w:val="0"/>
                <w:szCs w:val="21"/>
                <w:highlight w:val="none"/>
              </w:rPr>
              <w:t xml:space="preserve">优惠率） </w:t>
            </w:r>
          </w:p>
          <w:p w14:paraId="750C32C5">
            <w:pPr>
              <w:spacing w:line="288" w:lineRule="auto"/>
              <w:rPr>
                <w:rFonts w:ascii="宋体" w:hAnsi="宋体" w:cs="宋体"/>
                <w:color w:val="auto"/>
                <w:highlight w:val="none"/>
              </w:rPr>
            </w:pPr>
            <w:r>
              <w:rPr>
                <w:rFonts w:hint="eastAsia" w:cs="宋体" w:asciiTheme="minorEastAsia" w:hAnsiTheme="minorEastAsia" w:eastAsiaTheme="minorEastAsia"/>
                <w:color w:val="auto"/>
                <w:szCs w:val="21"/>
                <w:highlight w:val="none"/>
              </w:rPr>
              <w:t>B、评标价=投标报价</w:t>
            </w:r>
          </w:p>
        </w:tc>
        <w:tc>
          <w:tcPr>
            <w:tcW w:w="640" w:type="dxa"/>
            <w:vAlign w:val="center"/>
          </w:tcPr>
          <w:p w14:paraId="0A56B24B">
            <w:pPr>
              <w:snapToGrid w:val="0"/>
              <w:ind w:firstLine="11" w:firstLineChars="5"/>
              <w:jc w:val="center"/>
              <w:rPr>
                <w:rFonts w:ascii="宋体" w:hAnsi="宋体" w:cs="宋体"/>
                <w:b/>
                <w:bCs/>
                <w:color w:val="auto"/>
                <w:szCs w:val="21"/>
                <w:highlight w:val="none"/>
              </w:rPr>
            </w:pPr>
            <w:r>
              <w:rPr>
                <w:rFonts w:hint="eastAsia" w:ascii="宋体" w:hAnsi="宋体" w:cs="宋体"/>
                <w:b/>
                <w:bCs/>
                <w:color w:val="auto"/>
                <w:szCs w:val="21"/>
                <w:highlight w:val="none"/>
              </w:rPr>
              <w:t>10</w:t>
            </w:r>
          </w:p>
        </w:tc>
      </w:tr>
      <w:tr w14:paraId="3FE05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30" w:type="dxa"/>
            <w:vAlign w:val="center"/>
          </w:tcPr>
          <w:p w14:paraId="1B7195FD">
            <w:pPr>
              <w:adjustRightInd w:val="0"/>
              <w:snapToGrid w:val="0"/>
              <w:spacing w:line="400" w:lineRule="exact"/>
              <w:ind w:left="-105" w:leftChars="-50" w:right="-105" w:rightChars="-50"/>
              <w:jc w:val="center"/>
              <w:textAlignment w:val="baseline"/>
              <w:rPr>
                <w:rFonts w:ascii="宋体" w:hAnsi="宋体" w:cs="宋体"/>
                <w:b/>
                <w:color w:val="auto"/>
                <w:spacing w:val="-18"/>
                <w:szCs w:val="21"/>
                <w:highlight w:val="none"/>
              </w:rPr>
            </w:pPr>
            <w:r>
              <w:rPr>
                <w:rFonts w:hint="eastAsia" w:ascii="宋体" w:hAnsi="宋体" w:cs="宋体"/>
                <w:b/>
                <w:color w:val="auto"/>
                <w:spacing w:val="-18"/>
                <w:szCs w:val="21"/>
                <w:highlight w:val="none"/>
              </w:rPr>
              <w:t>2</w:t>
            </w:r>
          </w:p>
        </w:tc>
        <w:tc>
          <w:tcPr>
            <w:tcW w:w="1124" w:type="dxa"/>
            <w:vAlign w:val="center"/>
          </w:tcPr>
          <w:p w14:paraId="7836C6F3">
            <w:pPr>
              <w:jc w:val="center"/>
              <w:rPr>
                <w:rFonts w:ascii="宋体" w:hAnsi="宋体" w:cs="宋体"/>
                <w:b/>
                <w:bCs/>
                <w:color w:val="auto"/>
                <w:szCs w:val="21"/>
                <w:highlight w:val="none"/>
              </w:rPr>
            </w:pPr>
            <w:r>
              <w:rPr>
                <w:rFonts w:ascii="宋体" w:hAnsi="宋体" w:cs="宋体"/>
                <w:b/>
                <w:bCs/>
                <w:color w:val="auto"/>
                <w:szCs w:val="21"/>
                <w:highlight w:val="none"/>
              </w:rPr>
              <w:t>技术分</w:t>
            </w:r>
          </w:p>
        </w:tc>
        <w:tc>
          <w:tcPr>
            <w:tcW w:w="6846" w:type="dxa"/>
            <w:vAlign w:val="center"/>
          </w:tcPr>
          <w:p w14:paraId="37B846E3">
            <w:pPr>
              <w:jc w:val="left"/>
              <w:rPr>
                <w:rFonts w:asciiTheme="minorEastAsia" w:hAnsiTheme="minorEastAsia" w:eastAsiaTheme="minorEastAsia"/>
                <w:b/>
                <w:bCs/>
                <w:color w:val="auto"/>
                <w:szCs w:val="21"/>
                <w:highlight w:val="none"/>
              </w:rPr>
            </w:pPr>
          </w:p>
        </w:tc>
        <w:tc>
          <w:tcPr>
            <w:tcW w:w="640" w:type="dxa"/>
            <w:vAlign w:val="center"/>
          </w:tcPr>
          <w:p w14:paraId="47299D9E">
            <w:pPr>
              <w:jc w:val="center"/>
              <w:rPr>
                <w:rFonts w:asciiTheme="minorEastAsia" w:hAnsiTheme="minorEastAsia" w:eastAsiaTheme="minorEastAsia"/>
                <w:b/>
                <w:bCs/>
                <w:color w:val="auto"/>
                <w:szCs w:val="21"/>
                <w:highlight w:val="none"/>
              </w:rPr>
            </w:pPr>
          </w:p>
        </w:tc>
      </w:tr>
      <w:tr w14:paraId="7FCAF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30" w:type="dxa"/>
            <w:vAlign w:val="center"/>
          </w:tcPr>
          <w:p w14:paraId="00774120">
            <w:pPr>
              <w:adjustRightInd w:val="0"/>
              <w:snapToGrid w:val="0"/>
              <w:spacing w:line="288" w:lineRule="auto"/>
              <w:jc w:val="center"/>
              <w:textAlignment w:val="baseline"/>
              <w:rPr>
                <w:rFonts w:ascii="宋体" w:hAnsi="宋体" w:cs="宋体"/>
                <w:b/>
                <w:color w:val="auto"/>
                <w:spacing w:val="-18"/>
                <w:szCs w:val="21"/>
                <w:highlight w:val="none"/>
              </w:rPr>
            </w:pPr>
            <w:r>
              <w:rPr>
                <w:rFonts w:hint="eastAsia" w:ascii="宋体" w:hAnsi="宋体" w:cs="宋体"/>
                <w:b/>
                <w:color w:val="auto"/>
                <w:spacing w:val="-18"/>
                <w:szCs w:val="21"/>
                <w:highlight w:val="none"/>
              </w:rPr>
              <w:t>2.1</w:t>
            </w:r>
          </w:p>
        </w:tc>
        <w:tc>
          <w:tcPr>
            <w:tcW w:w="1124" w:type="dxa"/>
            <w:vAlign w:val="center"/>
          </w:tcPr>
          <w:p w14:paraId="45D31AFA">
            <w:pPr>
              <w:spacing w:line="288" w:lineRule="auto"/>
              <w:jc w:val="center"/>
              <w:rPr>
                <w:rFonts w:ascii="宋体" w:hAnsi="宋体" w:cs="宋体"/>
                <w:b/>
                <w:bCs/>
                <w:color w:val="auto"/>
                <w:szCs w:val="21"/>
                <w:highlight w:val="none"/>
              </w:rPr>
            </w:pPr>
            <w:r>
              <w:rPr>
                <w:rFonts w:hint="eastAsia" w:ascii="宋体" w:hAnsi="宋体" w:cs="宋体"/>
                <w:b/>
                <w:bCs/>
                <w:color w:val="auto"/>
                <w:szCs w:val="21"/>
                <w:highlight w:val="none"/>
              </w:rPr>
              <w:t>动迁实施方案</w:t>
            </w:r>
          </w:p>
        </w:tc>
        <w:tc>
          <w:tcPr>
            <w:tcW w:w="6846" w:type="dxa"/>
            <w:vAlign w:val="center"/>
          </w:tcPr>
          <w:p w14:paraId="2607B41A">
            <w:pPr>
              <w:spacing w:line="288"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根据投标人提供的动迁实施方案（包括但不限于对项目理解、实施方案所包含的项目进度控制及进度保障措施等）独立进行评审： </w:t>
            </w:r>
          </w:p>
          <w:p w14:paraId="6122E14E">
            <w:pPr>
              <w:spacing w:line="288" w:lineRule="auto"/>
              <w:jc w:val="left"/>
              <w:rPr>
                <w:rFonts w:ascii="宋体" w:hAnsi="宋体" w:cs="宋体"/>
                <w:b/>
                <w:color w:val="auto"/>
                <w:szCs w:val="21"/>
                <w:highlight w:val="none"/>
              </w:rPr>
            </w:pPr>
            <w:r>
              <w:rPr>
                <w:rFonts w:hint="eastAsia" w:ascii="宋体" w:hAnsi="宋体" w:cs="宋体"/>
                <w:b/>
                <w:color w:val="auto"/>
                <w:szCs w:val="21"/>
                <w:highlight w:val="none"/>
              </w:rPr>
              <w:t>一档（0分）</w:t>
            </w:r>
            <w:r>
              <w:rPr>
                <w:rFonts w:hint="eastAsia" w:ascii="宋体" w:hAnsi="宋体" w:cs="宋体"/>
                <w:color w:val="auto"/>
                <w:szCs w:val="21"/>
                <w:highlight w:val="none"/>
              </w:rPr>
              <w:t>：未提供动迁实施方案或者方案不满足二档要求。</w:t>
            </w:r>
          </w:p>
          <w:p w14:paraId="3A9D1F90">
            <w:pPr>
              <w:spacing w:line="288" w:lineRule="auto"/>
              <w:rPr>
                <w:rFonts w:ascii="宋体" w:hAnsi="宋体" w:cs="宋体"/>
                <w:color w:val="auto"/>
                <w:szCs w:val="21"/>
                <w:highlight w:val="none"/>
              </w:rPr>
            </w:pPr>
            <w:r>
              <w:rPr>
                <w:rFonts w:hint="eastAsia" w:ascii="宋体" w:hAnsi="宋体" w:cs="宋体"/>
                <w:b/>
                <w:bCs/>
                <w:color w:val="auto"/>
                <w:szCs w:val="21"/>
                <w:highlight w:val="none"/>
              </w:rPr>
              <w:t>二档（4分）：</w:t>
            </w:r>
            <w:r>
              <w:rPr>
                <w:rFonts w:hint="eastAsia" w:ascii="宋体" w:hAnsi="宋体" w:cs="宋体"/>
                <w:color w:val="auto"/>
                <w:szCs w:val="21"/>
                <w:highlight w:val="none"/>
              </w:rPr>
              <w:t>对项目整体理解不够透彻，整体实施方案内容不全面、不完整、不够符合项目需求、针对性不强；管理措施及工作计划主要保证措施简单，建档不及时，可追溯性不强。</w:t>
            </w:r>
          </w:p>
          <w:p w14:paraId="1BF7B606">
            <w:pPr>
              <w:spacing w:line="288" w:lineRule="auto"/>
              <w:rPr>
                <w:rFonts w:ascii="宋体" w:hAnsi="宋体" w:cs="宋体"/>
                <w:color w:val="auto"/>
                <w:szCs w:val="21"/>
                <w:highlight w:val="none"/>
              </w:rPr>
            </w:pPr>
            <w:r>
              <w:rPr>
                <w:rFonts w:hint="eastAsia" w:ascii="宋体" w:hAnsi="宋体" w:cs="宋体"/>
                <w:b/>
                <w:bCs/>
                <w:color w:val="auto"/>
                <w:szCs w:val="21"/>
                <w:highlight w:val="none"/>
              </w:rPr>
              <w:t>三档（8分）</w:t>
            </w:r>
            <w:r>
              <w:rPr>
                <w:rFonts w:hint="eastAsia" w:ascii="宋体" w:hAnsi="宋体" w:cs="宋体"/>
                <w:color w:val="auto"/>
                <w:szCs w:val="21"/>
                <w:highlight w:val="none"/>
              </w:rPr>
              <w:t>：对项目整体理解透彻、对地块情况有进行</w:t>
            </w:r>
            <w:r>
              <w:rPr>
                <w:rFonts w:hint="eastAsia" w:ascii="宋体" w:hAnsi="宋体" w:cs="宋体"/>
                <w:color w:val="auto"/>
                <w:szCs w:val="21"/>
                <w:highlight w:val="none"/>
                <w:lang w:val="en-US" w:eastAsia="zh-CN"/>
              </w:rPr>
              <w:t>勘</w:t>
            </w:r>
            <w:r>
              <w:rPr>
                <w:rFonts w:hint="eastAsia" w:ascii="宋体" w:hAnsi="宋体" w:cs="宋体"/>
                <w:color w:val="auto"/>
                <w:szCs w:val="21"/>
                <w:highlight w:val="none"/>
              </w:rPr>
              <w:t>查。整体实施方案内容基本全面、完整，基本符合项目需求、有一定针对性；管理措施及工作计划较合理、科学，建档及时，可追溯性强。</w:t>
            </w:r>
          </w:p>
          <w:p w14:paraId="21127B2E">
            <w:pPr>
              <w:spacing w:line="288" w:lineRule="auto"/>
              <w:rPr>
                <w:rFonts w:ascii="宋体" w:hAnsi="宋体" w:cs="宋体"/>
                <w:b/>
                <w:bCs/>
                <w:color w:val="auto"/>
                <w:szCs w:val="21"/>
                <w:highlight w:val="none"/>
              </w:rPr>
            </w:pPr>
            <w:r>
              <w:rPr>
                <w:rFonts w:hint="eastAsia" w:ascii="宋体" w:hAnsi="宋体" w:cs="宋体"/>
                <w:b/>
                <w:bCs/>
                <w:color w:val="auto"/>
                <w:szCs w:val="21"/>
                <w:highlight w:val="none"/>
              </w:rPr>
              <w:t>四档（12分）：</w:t>
            </w:r>
            <w:r>
              <w:rPr>
                <w:rFonts w:hint="eastAsia" w:ascii="宋体" w:hAnsi="宋体" w:cs="宋体"/>
                <w:color w:val="auto"/>
                <w:szCs w:val="21"/>
                <w:highlight w:val="none"/>
              </w:rPr>
              <w:t>对项目整体理解透彻全面，对地块情况进行过实地</w:t>
            </w:r>
            <w:r>
              <w:rPr>
                <w:rFonts w:hint="eastAsia" w:ascii="宋体" w:hAnsi="宋体" w:cs="宋体"/>
                <w:color w:val="auto"/>
                <w:szCs w:val="21"/>
                <w:highlight w:val="none"/>
                <w:lang w:val="en-US" w:eastAsia="zh-CN"/>
              </w:rPr>
              <w:t>勘</w:t>
            </w:r>
            <w:r>
              <w:rPr>
                <w:rFonts w:hint="eastAsia" w:ascii="宋体" w:hAnsi="宋体" w:cs="宋体"/>
                <w:color w:val="auto"/>
                <w:szCs w:val="21"/>
                <w:highlight w:val="none"/>
              </w:rPr>
              <w:t>查。整体实施方案内容详尽，符合项目需求、针对性强。管理措施合理、科学，项目进度控制计划详细可行，针对本项目制定了项目任务时间表，进度保障措施严谨规范，工作流程条理清晰。建档及时，可追溯性强。</w:t>
            </w:r>
          </w:p>
        </w:tc>
        <w:tc>
          <w:tcPr>
            <w:tcW w:w="640" w:type="dxa"/>
            <w:vAlign w:val="center"/>
          </w:tcPr>
          <w:p w14:paraId="6E44B789">
            <w:pPr>
              <w:spacing w:line="288" w:lineRule="auto"/>
              <w:jc w:val="center"/>
              <w:rPr>
                <w:rFonts w:ascii="宋体" w:hAnsi="宋体" w:cs="宋体"/>
                <w:bCs/>
                <w:color w:val="auto"/>
                <w:szCs w:val="21"/>
                <w:highlight w:val="none"/>
              </w:rPr>
            </w:pPr>
            <w:r>
              <w:rPr>
                <w:rFonts w:hint="eastAsia" w:ascii="宋体" w:hAnsi="宋体" w:cs="宋体"/>
                <w:b/>
                <w:color w:val="auto"/>
                <w:szCs w:val="21"/>
                <w:highlight w:val="none"/>
              </w:rPr>
              <w:t>12</w:t>
            </w:r>
          </w:p>
        </w:tc>
      </w:tr>
      <w:tr w14:paraId="5A131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30" w:type="dxa"/>
            <w:vAlign w:val="center"/>
          </w:tcPr>
          <w:p w14:paraId="11651CE7">
            <w:pPr>
              <w:adjustRightInd w:val="0"/>
              <w:snapToGrid w:val="0"/>
              <w:spacing w:line="288" w:lineRule="auto"/>
              <w:jc w:val="center"/>
              <w:textAlignment w:val="baseline"/>
              <w:rPr>
                <w:rFonts w:ascii="宋体" w:hAnsi="宋体" w:cs="宋体"/>
                <w:b/>
                <w:color w:val="auto"/>
                <w:spacing w:val="-18"/>
                <w:szCs w:val="21"/>
                <w:highlight w:val="none"/>
              </w:rPr>
            </w:pPr>
            <w:r>
              <w:rPr>
                <w:rFonts w:hint="eastAsia" w:ascii="宋体" w:hAnsi="宋体" w:cs="宋体"/>
                <w:b/>
                <w:color w:val="auto"/>
                <w:spacing w:val="-18"/>
                <w:szCs w:val="21"/>
                <w:highlight w:val="none"/>
              </w:rPr>
              <w:t>2.2</w:t>
            </w:r>
          </w:p>
        </w:tc>
        <w:tc>
          <w:tcPr>
            <w:tcW w:w="1124" w:type="dxa"/>
            <w:shd w:val="clear" w:color="auto" w:fill="auto"/>
            <w:vAlign w:val="center"/>
          </w:tcPr>
          <w:p w14:paraId="4016E5A0">
            <w:pPr>
              <w:spacing w:line="288" w:lineRule="auto"/>
              <w:jc w:val="center"/>
              <w:rPr>
                <w:rFonts w:ascii="宋体" w:hAnsi="宋体" w:cs="宋体"/>
                <w:b/>
                <w:bCs/>
                <w:color w:val="auto"/>
                <w:szCs w:val="21"/>
                <w:highlight w:val="none"/>
              </w:rPr>
            </w:pPr>
            <w:r>
              <w:rPr>
                <w:rFonts w:hint="eastAsia" w:ascii="宋体" w:hAnsi="宋体" w:cs="宋体"/>
                <w:b/>
                <w:bCs/>
                <w:color w:val="auto"/>
                <w:szCs w:val="21"/>
                <w:highlight w:val="none"/>
              </w:rPr>
              <w:t>动迁工作重点难点分析及相对应解决措施</w:t>
            </w:r>
          </w:p>
        </w:tc>
        <w:tc>
          <w:tcPr>
            <w:tcW w:w="6846" w:type="dxa"/>
            <w:shd w:val="clear" w:color="auto" w:fill="auto"/>
            <w:vAlign w:val="center"/>
          </w:tcPr>
          <w:p w14:paraId="2E60B239">
            <w:pPr>
              <w:spacing w:line="288" w:lineRule="auto"/>
              <w:ind w:firstLine="420" w:firstLineChars="200"/>
              <w:rPr>
                <w:rFonts w:ascii="宋体" w:hAnsi="宋体" w:cs="宋体"/>
                <w:color w:val="auto"/>
                <w:szCs w:val="21"/>
                <w:highlight w:val="none"/>
              </w:rPr>
            </w:pPr>
            <w:r>
              <w:rPr>
                <w:rFonts w:hint="eastAsia" w:ascii="宋体" w:hAnsi="宋体" w:cs="宋体"/>
                <w:bCs/>
                <w:color w:val="auto"/>
                <w:szCs w:val="21"/>
                <w:highlight w:val="none"/>
              </w:rPr>
              <w:t>由评标委员会成员根据投标人</w:t>
            </w:r>
            <w:r>
              <w:rPr>
                <w:rFonts w:hint="eastAsia" w:ascii="宋体" w:hAnsi="宋体" w:cs="宋体"/>
                <w:color w:val="auto"/>
                <w:szCs w:val="21"/>
                <w:highlight w:val="none"/>
              </w:rPr>
              <w:t xml:space="preserve">提供的动迁实施方案中对本项目动迁工作重点、难点的理解分析及相应的解决方案（包括但不限于：对本项目实施重、难点的认识、理解及分析、针对本项目实施重、难点拟定的解决方案、针对本项目动迁工作实施的初步设想、政策宣传、服务计划、保证被征收户社会稳定的组织措施等）独立进行评审： </w:t>
            </w:r>
          </w:p>
          <w:p w14:paraId="1BCEBD03">
            <w:pPr>
              <w:spacing w:line="288" w:lineRule="auto"/>
              <w:jc w:val="left"/>
              <w:rPr>
                <w:rFonts w:ascii="宋体" w:hAnsi="宋体" w:cs="宋体"/>
                <w:b/>
                <w:color w:val="auto"/>
                <w:szCs w:val="21"/>
                <w:highlight w:val="none"/>
              </w:rPr>
            </w:pPr>
            <w:r>
              <w:rPr>
                <w:rFonts w:hint="eastAsia" w:ascii="宋体" w:hAnsi="宋体" w:cs="宋体"/>
                <w:b/>
                <w:color w:val="auto"/>
                <w:szCs w:val="21"/>
                <w:highlight w:val="none"/>
              </w:rPr>
              <w:t>一档（0分）</w:t>
            </w:r>
            <w:r>
              <w:rPr>
                <w:rFonts w:hint="eastAsia" w:ascii="宋体" w:hAnsi="宋体" w:cs="宋体"/>
                <w:color w:val="auto"/>
                <w:szCs w:val="21"/>
                <w:highlight w:val="none"/>
              </w:rPr>
              <w:t>：未提供动迁工作重点难点分析及相对应解决措施或者相关措施不满足二档要求。</w:t>
            </w:r>
          </w:p>
          <w:p w14:paraId="3386E8DC">
            <w:pPr>
              <w:spacing w:line="288" w:lineRule="auto"/>
              <w:jc w:val="left"/>
              <w:rPr>
                <w:rFonts w:ascii="宋体" w:hAnsi="宋体" w:cs="宋体"/>
                <w:color w:val="auto"/>
                <w:szCs w:val="21"/>
                <w:highlight w:val="none"/>
              </w:rPr>
            </w:pPr>
            <w:r>
              <w:rPr>
                <w:rFonts w:hint="eastAsia" w:ascii="宋体" w:hAnsi="宋体" w:cs="宋体"/>
                <w:b/>
                <w:color w:val="auto"/>
                <w:szCs w:val="21"/>
                <w:highlight w:val="none"/>
              </w:rPr>
              <w:t>二档（5分）</w:t>
            </w:r>
            <w:r>
              <w:rPr>
                <w:rFonts w:hint="eastAsia" w:ascii="宋体" w:hAnsi="宋体" w:cs="宋体"/>
                <w:color w:val="auto"/>
                <w:szCs w:val="21"/>
                <w:highlight w:val="none"/>
              </w:rPr>
              <w:t>：投标人对本项目动迁工作实施重、难点的认识、理解及分析基本准确，解决方案基本合理，对本项目动迁工作实施的初步设想，政策宣传、服务计划、保证被征收户社会稳定的组织措施有部分内容缺失。</w:t>
            </w:r>
          </w:p>
          <w:p w14:paraId="67D34C35">
            <w:pPr>
              <w:spacing w:line="288" w:lineRule="auto"/>
              <w:rPr>
                <w:rFonts w:ascii="宋体" w:hAnsi="宋体" w:cs="宋体"/>
                <w:color w:val="auto"/>
                <w:szCs w:val="21"/>
                <w:highlight w:val="none"/>
              </w:rPr>
            </w:pPr>
            <w:r>
              <w:rPr>
                <w:rFonts w:hint="eastAsia" w:ascii="宋体" w:hAnsi="宋体" w:cs="宋体"/>
                <w:b/>
                <w:color w:val="auto"/>
                <w:szCs w:val="21"/>
                <w:highlight w:val="none"/>
              </w:rPr>
              <w:t>三档（10分）</w:t>
            </w:r>
            <w:r>
              <w:rPr>
                <w:rFonts w:hint="eastAsia" w:ascii="宋体" w:hAnsi="宋体" w:cs="宋体"/>
                <w:color w:val="auto"/>
                <w:szCs w:val="21"/>
                <w:highlight w:val="none"/>
              </w:rPr>
              <w:t>：投标人对本项目实施重、难点的认识、理解及分析基本准确，解决方案基本合理，对本项目实施的初步设想比较合理，政策宣传、服务计划、保证被征收户社会稳定的组织措施较完整，可行性较强。</w:t>
            </w:r>
          </w:p>
          <w:p w14:paraId="2EA2B992">
            <w:pPr>
              <w:spacing w:line="288" w:lineRule="auto"/>
              <w:rPr>
                <w:rFonts w:ascii="宋体" w:hAnsi="宋体" w:cs="宋体"/>
                <w:bCs/>
                <w:color w:val="auto"/>
                <w:szCs w:val="21"/>
                <w:highlight w:val="none"/>
              </w:rPr>
            </w:pPr>
            <w:r>
              <w:rPr>
                <w:rFonts w:hint="eastAsia" w:ascii="宋体" w:hAnsi="宋体" w:cs="宋体"/>
                <w:b/>
                <w:color w:val="auto"/>
                <w:szCs w:val="21"/>
                <w:highlight w:val="none"/>
              </w:rPr>
              <w:t>四档（15分）</w:t>
            </w:r>
            <w:r>
              <w:rPr>
                <w:rFonts w:hint="eastAsia" w:ascii="宋体" w:hAnsi="宋体" w:cs="宋体"/>
                <w:color w:val="auto"/>
                <w:szCs w:val="21"/>
                <w:highlight w:val="none"/>
              </w:rPr>
              <w:t>：投标人对本项目实施重、难点的认识、理解及分析准确到位，解决方案科学合理，对本项目实施的初步设想合理，政策宣传、服务计划、保证被征收户社会稳定的组织措施完整详尽，可行性强。</w:t>
            </w:r>
          </w:p>
        </w:tc>
        <w:tc>
          <w:tcPr>
            <w:tcW w:w="640" w:type="dxa"/>
            <w:shd w:val="clear" w:color="auto" w:fill="auto"/>
            <w:vAlign w:val="center"/>
          </w:tcPr>
          <w:p w14:paraId="2635573F">
            <w:pPr>
              <w:spacing w:line="288" w:lineRule="auto"/>
              <w:jc w:val="center"/>
              <w:rPr>
                <w:rFonts w:ascii="宋体" w:hAnsi="宋体" w:cs="宋体"/>
                <w:b/>
                <w:bCs/>
                <w:color w:val="auto"/>
                <w:szCs w:val="21"/>
                <w:highlight w:val="none"/>
              </w:rPr>
            </w:pPr>
            <w:r>
              <w:rPr>
                <w:rFonts w:hint="eastAsia" w:ascii="宋体" w:hAnsi="宋体" w:cs="宋体"/>
                <w:b/>
                <w:bCs/>
                <w:color w:val="auto"/>
                <w:szCs w:val="21"/>
                <w:highlight w:val="none"/>
              </w:rPr>
              <w:t>15</w:t>
            </w:r>
          </w:p>
        </w:tc>
      </w:tr>
      <w:tr w14:paraId="6D224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30" w:type="dxa"/>
            <w:vAlign w:val="center"/>
          </w:tcPr>
          <w:p w14:paraId="2F93EAB8">
            <w:pPr>
              <w:adjustRightInd w:val="0"/>
              <w:snapToGrid w:val="0"/>
              <w:spacing w:line="288" w:lineRule="auto"/>
              <w:jc w:val="center"/>
              <w:textAlignment w:val="baseline"/>
              <w:rPr>
                <w:rFonts w:ascii="宋体" w:hAnsi="宋体" w:cs="宋体"/>
                <w:b/>
                <w:color w:val="auto"/>
                <w:spacing w:val="-18"/>
                <w:szCs w:val="21"/>
                <w:highlight w:val="none"/>
              </w:rPr>
            </w:pPr>
            <w:r>
              <w:rPr>
                <w:rFonts w:hint="eastAsia" w:ascii="宋体" w:hAnsi="宋体" w:cs="宋体"/>
                <w:b/>
                <w:color w:val="auto"/>
                <w:spacing w:val="-18"/>
                <w:szCs w:val="21"/>
                <w:highlight w:val="none"/>
              </w:rPr>
              <w:t>2.3</w:t>
            </w:r>
          </w:p>
        </w:tc>
        <w:tc>
          <w:tcPr>
            <w:tcW w:w="1124" w:type="dxa"/>
            <w:vAlign w:val="center"/>
          </w:tcPr>
          <w:p w14:paraId="07C942AB">
            <w:pPr>
              <w:spacing w:line="288" w:lineRule="auto"/>
              <w:jc w:val="center"/>
              <w:rPr>
                <w:rFonts w:ascii="宋体" w:hAnsi="宋体" w:cs="宋体"/>
                <w:b/>
                <w:bCs/>
                <w:color w:val="auto"/>
                <w:szCs w:val="21"/>
                <w:highlight w:val="none"/>
              </w:rPr>
            </w:pPr>
            <w:r>
              <w:rPr>
                <w:rFonts w:hint="eastAsia" w:ascii="宋体" w:hAnsi="宋体" w:cs="宋体"/>
                <w:b/>
                <w:bCs/>
                <w:color w:val="auto"/>
                <w:szCs w:val="21"/>
                <w:highlight w:val="none"/>
              </w:rPr>
              <w:t>针对本项目动迁管理制度方案</w:t>
            </w:r>
          </w:p>
        </w:tc>
        <w:tc>
          <w:tcPr>
            <w:tcW w:w="6846" w:type="dxa"/>
            <w:vAlign w:val="center"/>
          </w:tcPr>
          <w:p w14:paraId="106ED139">
            <w:pPr>
              <w:spacing w:line="288"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根据投标人提供的动迁实施方案中的相关管理制度（包括但不限于企业管理制度、人事制度、考勤制度、奖罚制度、薪酬制度、档案管理制度等）独立进行评审： </w:t>
            </w:r>
          </w:p>
          <w:p w14:paraId="6CCF9149">
            <w:pPr>
              <w:widowControl/>
              <w:snapToGrid w:val="0"/>
              <w:spacing w:line="288" w:lineRule="auto"/>
              <w:rPr>
                <w:rFonts w:ascii="宋体" w:hAnsi="宋体" w:cs="宋体"/>
                <w:color w:val="auto"/>
                <w:szCs w:val="21"/>
                <w:highlight w:val="none"/>
              </w:rPr>
            </w:pPr>
            <w:r>
              <w:rPr>
                <w:rFonts w:hint="eastAsia" w:ascii="宋体" w:hAnsi="宋体" w:cs="宋体"/>
                <w:b/>
                <w:color w:val="auto"/>
                <w:szCs w:val="21"/>
                <w:highlight w:val="none"/>
              </w:rPr>
              <w:t>一档（0分）</w:t>
            </w:r>
            <w:r>
              <w:rPr>
                <w:rFonts w:hint="eastAsia" w:ascii="宋体" w:hAnsi="宋体" w:cs="宋体"/>
                <w:color w:val="auto"/>
                <w:szCs w:val="21"/>
                <w:highlight w:val="none"/>
              </w:rPr>
              <w:t>：未提供相关管理制度或者提供的相关管理制度不满足二档要求。</w:t>
            </w:r>
          </w:p>
          <w:p w14:paraId="6F4E93B1">
            <w:pPr>
              <w:widowControl/>
              <w:snapToGrid w:val="0"/>
              <w:spacing w:line="288" w:lineRule="auto"/>
              <w:rPr>
                <w:rFonts w:ascii="宋体" w:hAnsi="宋体" w:cs="宋体"/>
                <w:color w:val="auto"/>
                <w:szCs w:val="21"/>
                <w:highlight w:val="none"/>
              </w:rPr>
            </w:pPr>
            <w:r>
              <w:rPr>
                <w:rFonts w:hint="eastAsia" w:ascii="宋体" w:hAnsi="宋体" w:cs="宋体"/>
                <w:b/>
                <w:bCs/>
                <w:color w:val="auto"/>
                <w:szCs w:val="21"/>
                <w:highlight w:val="none"/>
              </w:rPr>
              <w:t>二档（3分）</w:t>
            </w:r>
            <w:r>
              <w:rPr>
                <w:rFonts w:hint="eastAsia" w:ascii="宋体" w:hAnsi="宋体" w:cs="宋体"/>
                <w:color w:val="auto"/>
                <w:szCs w:val="21"/>
                <w:highlight w:val="none"/>
              </w:rPr>
              <w:t>：提供的管理制度方案，内容不完整，有部分内容缺失，可行性不强，方案简单。</w:t>
            </w:r>
          </w:p>
          <w:p w14:paraId="33DF21B8">
            <w:pPr>
              <w:widowControl/>
              <w:snapToGrid w:val="0"/>
              <w:spacing w:line="288" w:lineRule="auto"/>
              <w:rPr>
                <w:rFonts w:ascii="宋体" w:hAnsi="宋体" w:cs="宋体"/>
                <w:color w:val="auto"/>
                <w:szCs w:val="21"/>
                <w:highlight w:val="none"/>
              </w:rPr>
            </w:pPr>
            <w:r>
              <w:rPr>
                <w:rFonts w:hint="eastAsia" w:ascii="宋体" w:hAnsi="宋体" w:cs="宋体"/>
                <w:b/>
                <w:bCs/>
                <w:color w:val="auto"/>
                <w:szCs w:val="21"/>
                <w:highlight w:val="none"/>
              </w:rPr>
              <w:t>三档（6分）</w:t>
            </w:r>
            <w:r>
              <w:rPr>
                <w:rFonts w:hint="eastAsia" w:ascii="宋体" w:hAnsi="宋体" w:cs="宋体"/>
                <w:color w:val="auto"/>
                <w:szCs w:val="21"/>
                <w:highlight w:val="none"/>
              </w:rPr>
              <w:t>：提供的管理制度方案基本完整、基本全面，内容基本详细，符合项目需求，具有一定可行性。</w:t>
            </w:r>
          </w:p>
          <w:p w14:paraId="78211D6C">
            <w:pPr>
              <w:spacing w:line="288" w:lineRule="auto"/>
              <w:rPr>
                <w:rFonts w:ascii="宋体" w:hAnsi="宋体" w:cs="宋体"/>
                <w:b/>
                <w:bCs/>
                <w:color w:val="auto"/>
                <w:szCs w:val="21"/>
                <w:highlight w:val="none"/>
              </w:rPr>
            </w:pPr>
            <w:r>
              <w:rPr>
                <w:rFonts w:hint="eastAsia" w:ascii="宋体" w:hAnsi="宋体" w:cs="宋体"/>
                <w:b/>
                <w:bCs/>
                <w:color w:val="auto"/>
                <w:szCs w:val="21"/>
                <w:highlight w:val="none"/>
              </w:rPr>
              <w:t>四档（9分）</w:t>
            </w:r>
            <w:r>
              <w:rPr>
                <w:rFonts w:hint="eastAsia" w:ascii="宋体" w:hAnsi="宋体" w:cs="宋体"/>
                <w:color w:val="auto"/>
                <w:szCs w:val="21"/>
                <w:highlight w:val="none"/>
              </w:rPr>
              <w:t>：提供的管理制度全面、具体、详细、清晰、完整、明确，完全满足项目需求，可行性强。</w:t>
            </w:r>
          </w:p>
        </w:tc>
        <w:tc>
          <w:tcPr>
            <w:tcW w:w="640" w:type="dxa"/>
            <w:vAlign w:val="center"/>
          </w:tcPr>
          <w:p w14:paraId="7F7A865A">
            <w:pPr>
              <w:spacing w:line="288" w:lineRule="auto"/>
              <w:jc w:val="center"/>
              <w:rPr>
                <w:rFonts w:ascii="宋体" w:hAnsi="宋体" w:cs="宋体"/>
                <w:b/>
                <w:bCs/>
                <w:color w:val="auto"/>
                <w:szCs w:val="21"/>
                <w:highlight w:val="none"/>
              </w:rPr>
            </w:pPr>
            <w:r>
              <w:rPr>
                <w:rFonts w:hint="eastAsia" w:ascii="宋体" w:hAnsi="宋体" w:cs="宋体"/>
                <w:b/>
                <w:bCs/>
                <w:color w:val="auto"/>
                <w:szCs w:val="21"/>
                <w:highlight w:val="none"/>
              </w:rPr>
              <w:t>9</w:t>
            </w:r>
          </w:p>
        </w:tc>
      </w:tr>
      <w:tr w14:paraId="40247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30" w:type="dxa"/>
            <w:vAlign w:val="center"/>
          </w:tcPr>
          <w:p w14:paraId="02A0E406">
            <w:pPr>
              <w:spacing w:line="288" w:lineRule="auto"/>
              <w:rPr>
                <w:rFonts w:ascii="宋体" w:hAnsi="宋体" w:cs="宋体"/>
                <w:b/>
                <w:color w:val="auto"/>
                <w:spacing w:val="-18"/>
                <w:szCs w:val="21"/>
                <w:highlight w:val="none"/>
              </w:rPr>
            </w:pPr>
            <w:r>
              <w:rPr>
                <w:rFonts w:hint="eastAsia" w:ascii="宋体" w:hAnsi="宋体" w:cs="宋体"/>
                <w:b/>
                <w:color w:val="auto"/>
                <w:szCs w:val="21"/>
                <w:highlight w:val="none"/>
              </w:rPr>
              <w:t>2.4</w:t>
            </w:r>
          </w:p>
        </w:tc>
        <w:tc>
          <w:tcPr>
            <w:tcW w:w="1124" w:type="dxa"/>
            <w:vAlign w:val="center"/>
          </w:tcPr>
          <w:p w14:paraId="6F6B07A6">
            <w:pPr>
              <w:pStyle w:val="124"/>
              <w:spacing w:line="288" w:lineRule="auto"/>
              <w:ind w:firstLine="0"/>
              <w:jc w:val="center"/>
              <w:rPr>
                <w:rFonts w:ascii="宋体" w:hAnsi="宋体" w:eastAsia="宋体" w:cs="宋体"/>
                <w:b/>
                <w:bCs/>
                <w:color w:val="auto"/>
                <w:sz w:val="21"/>
                <w:szCs w:val="21"/>
                <w:highlight w:val="none"/>
              </w:rPr>
            </w:pPr>
            <w:r>
              <w:rPr>
                <w:rFonts w:hint="eastAsia" w:ascii="宋体" w:hAnsi="宋体" w:eastAsia="宋体" w:cs="宋体"/>
                <w:b/>
                <w:color w:val="auto"/>
                <w:sz w:val="21"/>
                <w:szCs w:val="21"/>
                <w:highlight w:val="none"/>
              </w:rPr>
              <w:t>动迁</w:t>
            </w:r>
            <w:r>
              <w:rPr>
                <w:rFonts w:hint="eastAsia" w:ascii="宋体" w:hAnsi="宋体" w:eastAsia="宋体" w:cs="宋体"/>
                <w:b/>
                <w:color w:val="auto"/>
                <w:spacing w:val="0"/>
                <w:kern w:val="2"/>
                <w:sz w:val="21"/>
                <w:szCs w:val="21"/>
                <w:highlight w:val="none"/>
              </w:rPr>
              <w:t>服务质量保证措施</w:t>
            </w:r>
          </w:p>
        </w:tc>
        <w:tc>
          <w:tcPr>
            <w:tcW w:w="6846" w:type="dxa"/>
            <w:vAlign w:val="center"/>
          </w:tcPr>
          <w:p w14:paraId="7EA89BC6">
            <w:pPr>
              <w:spacing w:line="288"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根据投标人所提供的动迁实施方案中的动迁服务质量保证措施（包括但不限于服务便利性、风险控制、专业动迁人员培训计划、岗位责任、岗位考核标准、监督检查标准等）独立进行评审： </w:t>
            </w:r>
          </w:p>
          <w:p w14:paraId="78FDA79D">
            <w:pPr>
              <w:widowControl/>
              <w:snapToGrid w:val="0"/>
              <w:spacing w:line="288" w:lineRule="auto"/>
              <w:rPr>
                <w:rFonts w:ascii="宋体" w:hAnsi="宋体" w:cs="宋体"/>
                <w:color w:val="auto"/>
                <w:szCs w:val="21"/>
                <w:highlight w:val="none"/>
              </w:rPr>
            </w:pPr>
            <w:r>
              <w:rPr>
                <w:rFonts w:hint="eastAsia" w:ascii="宋体" w:hAnsi="宋体" w:cs="宋体"/>
                <w:b/>
                <w:color w:val="auto"/>
                <w:szCs w:val="21"/>
                <w:highlight w:val="none"/>
              </w:rPr>
              <w:t>一档（0分）</w:t>
            </w:r>
            <w:r>
              <w:rPr>
                <w:rFonts w:hint="eastAsia" w:ascii="宋体" w:hAnsi="宋体" w:cs="宋体"/>
                <w:color w:val="auto"/>
                <w:szCs w:val="21"/>
                <w:highlight w:val="none"/>
              </w:rPr>
              <w:t>：未提供质量保证措施或者提供的质量保证措施不满足二档要求。</w:t>
            </w:r>
          </w:p>
          <w:p w14:paraId="6653D1A4">
            <w:pPr>
              <w:widowControl/>
              <w:snapToGrid w:val="0"/>
              <w:spacing w:line="288" w:lineRule="auto"/>
              <w:rPr>
                <w:rFonts w:ascii="宋体" w:hAnsi="宋体" w:cs="宋体"/>
                <w:color w:val="auto"/>
                <w:szCs w:val="21"/>
                <w:highlight w:val="none"/>
              </w:rPr>
            </w:pPr>
            <w:r>
              <w:rPr>
                <w:rFonts w:hint="eastAsia" w:ascii="宋体" w:hAnsi="宋体" w:cs="宋体"/>
                <w:b/>
                <w:bCs/>
                <w:color w:val="auto"/>
                <w:szCs w:val="21"/>
                <w:highlight w:val="none"/>
              </w:rPr>
              <w:t>二档（4分）</w:t>
            </w:r>
            <w:r>
              <w:rPr>
                <w:rFonts w:hint="eastAsia" w:ascii="宋体" w:hAnsi="宋体" w:cs="宋体"/>
                <w:color w:val="auto"/>
                <w:szCs w:val="21"/>
                <w:highlight w:val="none"/>
              </w:rPr>
              <w:t>：质量保证保证措施基本完善，专业动迁人员培训计划欠缺科学性，岗位责任基本明确，岗位考核标准及监督检查标准具有一定的可行性；</w:t>
            </w:r>
          </w:p>
          <w:p w14:paraId="2760E157">
            <w:pPr>
              <w:widowControl/>
              <w:snapToGrid w:val="0"/>
              <w:spacing w:line="288" w:lineRule="auto"/>
              <w:rPr>
                <w:rFonts w:ascii="宋体" w:hAnsi="宋体" w:cs="宋体"/>
                <w:color w:val="auto"/>
                <w:szCs w:val="21"/>
                <w:highlight w:val="none"/>
              </w:rPr>
            </w:pPr>
            <w:r>
              <w:rPr>
                <w:rFonts w:hint="eastAsia" w:ascii="宋体" w:hAnsi="宋体" w:cs="宋体"/>
                <w:b/>
                <w:bCs/>
                <w:color w:val="auto"/>
                <w:szCs w:val="21"/>
                <w:highlight w:val="none"/>
              </w:rPr>
              <w:t>三档（8分）</w:t>
            </w:r>
            <w:r>
              <w:rPr>
                <w:rFonts w:hint="eastAsia" w:ascii="宋体" w:hAnsi="宋体" w:cs="宋体"/>
                <w:color w:val="auto"/>
                <w:szCs w:val="21"/>
                <w:highlight w:val="none"/>
              </w:rPr>
              <w:t>：较为熟悉项目所在地征地或动迁安置的办事流程，保证措施较详尽，专业动迁人员培训计划较科学完整，岗位责任较明确、具体，岗位考核标准及监督检查标准较切实可行；</w:t>
            </w:r>
          </w:p>
          <w:p w14:paraId="1ABAA34E">
            <w:pPr>
              <w:widowControl/>
              <w:snapToGrid w:val="0"/>
              <w:spacing w:line="288" w:lineRule="auto"/>
              <w:rPr>
                <w:rFonts w:ascii="宋体" w:hAnsi="宋体" w:cs="宋体"/>
                <w:b/>
                <w:bCs/>
                <w:color w:val="auto"/>
                <w:szCs w:val="21"/>
                <w:highlight w:val="none"/>
              </w:rPr>
            </w:pPr>
            <w:r>
              <w:rPr>
                <w:rFonts w:hint="eastAsia" w:ascii="宋体" w:hAnsi="宋体" w:cs="宋体"/>
                <w:b/>
                <w:bCs/>
                <w:color w:val="auto"/>
                <w:szCs w:val="21"/>
                <w:highlight w:val="none"/>
              </w:rPr>
              <w:t>四档（12分）</w:t>
            </w:r>
            <w:r>
              <w:rPr>
                <w:rFonts w:hint="eastAsia" w:ascii="宋体" w:hAnsi="宋体" w:cs="宋体"/>
                <w:color w:val="auto"/>
                <w:szCs w:val="21"/>
                <w:highlight w:val="none"/>
              </w:rPr>
              <w:t>：熟悉项目所在地征地或动迁安置的办事流程，保证措施、风险控制措施详尽，专业动迁人员培训计划科学完整，岗位责任明确具体，岗位考核标准及监督检查标准切实可行。</w:t>
            </w:r>
          </w:p>
        </w:tc>
        <w:tc>
          <w:tcPr>
            <w:tcW w:w="640" w:type="dxa"/>
            <w:vAlign w:val="center"/>
          </w:tcPr>
          <w:p w14:paraId="141B6327">
            <w:pPr>
              <w:spacing w:line="288" w:lineRule="auto"/>
              <w:jc w:val="center"/>
              <w:rPr>
                <w:rFonts w:ascii="宋体" w:hAnsi="宋体" w:cs="宋体"/>
                <w:b/>
                <w:bCs/>
                <w:color w:val="auto"/>
                <w:szCs w:val="21"/>
                <w:highlight w:val="none"/>
              </w:rPr>
            </w:pPr>
            <w:r>
              <w:rPr>
                <w:rFonts w:hint="eastAsia" w:ascii="宋体" w:hAnsi="宋体" w:cs="宋体"/>
                <w:b/>
                <w:bCs/>
                <w:color w:val="auto"/>
                <w:szCs w:val="21"/>
                <w:highlight w:val="none"/>
              </w:rPr>
              <w:t>12</w:t>
            </w:r>
          </w:p>
        </w:tc>
      </w:tr>
      <w:tr w14:paraId="6FA7A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30" w:type="dxa"/>
            <w:vAlign w:val="center"/>
          </w:tcPr>
          <w:p w14:paraId="78DBB587">
            <w:pPr>
              <w:adjustRightInd w:val="0"/>
              <w:snapToGrid w:val="0"/>
              <w:spacing w:line="288" w:lineRule="auto"/>
              <w:jc w:val="center"/>
              <w:textAlignment w:val="baseline"/>
              <w:rPr>
                <w:rFonts w:ascii="宋体" w:hAnsi="宋体" w:cs="宋体"/>
                <w:b/>
                <w:color w:val="auto"/>
                <w:spacing w:val="-18"/>
                <w:szCs w:val="21"/>
                <w:highlight w:val="none"/>
              </w:rPr>
            </w:pPr>
            <w:r>
              <w:rPr>
                <w:rFonts w:hint="eastAsia" w:ascii="宋体" w:hAnsi="宋体" w:cs="宋体"/>
                <w:b/>
                <w:color w:val="auto"/>
                <w:spacing w:val="-18"/>
                <w:szCs w:val="21"/>
                <w:highlight w:val="none"/>
              </w:rPr>
              <w:t>2.5</w:t>
            </w:r>
          </w:p>
        </w:tc>
        <w:tc>
          <w:tcPr>
            <w:tcW w:w="1124" w:type="dxa"/>
            <w:vAlign w:val="center"/>
          </w:tcPr>
          <w:p w14:paraId="0FF0E352">
            <w:pPr>
              <w:tabs>
                <w:tab w:val="left" w:pos="7440"/>
              </w:tabs>
              <w:spacing w:line="288" w:lineRule="auto"/>
              <w:jc w:val="center"/>
              <w:rPr>
                <w:rFonts w:ascii="宋体" w:hAnsi="宋体" w:cs="宋体"/>
                <w:b/>
                <w:color w:val="auto"/>
                <w:szCs w:val="21"/>
                <w:highlight w:val="none"/>
              </w:rPr>
            </w:pPr>
            <w:r>
              <w:rPr>
                <w:rFonts w:hint="eastAsia" w:ascii="宋体" w:hAnsi="宋体" w:cs="宋体"/>
                <w:b/>
                <w:color w:val="auto"/>
                <w:szCs w:val="21"/>
                <w:highlight w:val="none"/>
              </w:rPr>
              <w:t>应急处理突发事件应对措施</w:t>
            </w:r>
          </w:p>
        </w:tc>
        <w:tc>
          <w:tcPr>
            <w:tcW w:w="6846" w:type="dxa"/>
            <w:vAlign w:val="center"/>
          </w:tcPr>
          <w:p w14:paraId="77743170">
            <w:pPr>
              <w:spacing w:line="288" w:lineRule="auto"/>
              <w:ind w:firstLine="420" w:firstLineChars="200"/>
              <w:rPr>
                <w:rFonts w:ascii="宋体" w:hAnsi="宋体" w:cs="宋体"/>
                <w:color w:val="auto"/>
                <w:szCs w:val="21"/>
                <w:highlight w:val="none"/>
              </w:rPr>
            </w:pPr>
            <w:r>
              <w:rPr>
                <w:rFonts w:hint="eastAsia" w:ascii="宋体" w:hAnsi="宋体" w:cs="宋体"/>
                <w:bCs/>
                <w:color w:val="auto"/>
                <w:szCs w:val="21"/>
                <w:highlight w:val="none"/>
              </w:rPr>
              <w:t>由评标委员会成员</w:t>
            </w:r>
            <w:r>
              <w:rPr>
                <w:rFonts w:hint="eastAsia" w:ascii="宋体" w:hAnsi="宋体" w:cs="宋体"/>
                <w:color w:val="auto"/>
                <w:szCs w:val="21"/>
                <w:highlight w:val="none"/>
              </w:rPr>
              <w:t xml:space="preserve">根据投标人提供的动迁工作应急处理突发事件的应对措施（包括但不限于合理有效的解决争议的措施、紧急调配人员、突发事件应急预案等）独立进行评审： </w:t>
            </w:r>
          </w:p>
          <w:p w14:paraId="5AE261F6">
            <w:pPr>
              <w:snapToGrid w:val="0"/>
              <w:spacing w:line="288" w:lineRule="auto"/>
              <w:rPr>
                <w:rFonts w:ascii="宋体" w:hAnsi="宋体" w:cs="宋体"/>
                <w:color w:val="auto"/>
                <w:szCs w:val="21"/>
                <w:highlight w:val="none"/>
              </w:rPr>
            </w:pPr>
            <w:r>
              <w:rPr>
                <w:rFonts w:hint="eastAsia" w:ascii="宋体" w:hAnsi="宋体" w:cs="宋体"/>
                <w:b/>
                <w:color w:val="auto"/>
                <w:szCs w:val="21"/>
                <w:highlight w:val="none"/>
              </w:rPr>
              <w:t>一档（0分）</w:t>
            </w:r>
            <w:r>
              <w:rPr>
                <w:rFonts w:hint="eastAsia" w:ascii="宋体" w:hAnsi="宋体" w:cs="宋体"/>
                <w:color w:val="auto"/>
                <w:szCs w:val="21"/>
                <w:highlight w:val="none"/>
              </w:rPr>
              <w:t>：未提供应对措施或者提供的应对措施不满足二档要求。</w:t>
            </w:r>
          </w:p>
          <w:p w14:paraId="00D99E01">
            <w:pPr>
              <w:snapToGrid w:val="0"/>
              <w:spacing w:line="288" w:lineRule="auto"/>
              <w:rPr>
                <w:rFonts w:ascii="宋体" w:hAnsi="宋体" w:cs="宋体"/>
                <w:color w:val="auto"/>
                <w:szCs w:val="21"/>
                <w:highlight w:val="none"/>
              </w:rPr>
            </w:pPr>
            <w:r>
              <w:rPr>
                <w:rFonts w:hint="eastAsia" w:ascii="宋体" w:hAnsi="宋体" w:cs="宋体"/>
                <w:b/>
                <w:color w:val="auto"/>
                <w:szCs w:val="21"/>
                <w:highlight w:val="none"/>
              </w:rPr>
              <w:t>二档（4分）</w:t>
            </w:r>
            <w:r>
              <w:rPr>
                <w:rFonts w:hint="eastAsia" w:ascii="宋体" w:hAnsi="宋体" w:cs="宋体"/>
                <w:color w:val="auto"/>
                <w:szCs w:val="21"/>
                <w:highlight w:val="none"/>
              </w:rPr>
              <w:t>：应急处理突发事件应对措施部分完善，场景不够全面，紧急可调配人员准备不够充分，可操作性一般；</w:t>
            </w:r>
          </w:p>
          <w:p w14:paraId="4E1E8B0C">
            <w:pPr>
              <w:snapToGrid w:val="0"/>
              <w:spacing w:line="288" w:lineRule="auto"/>
              <w:rPr>
                <w:rFonts w:ascii="宋体" w:hAnsi="宋体" w:cs="宋体"/>
                <w:color w:val="auto"/>
                <w:szCs w:val="21"/>
                <w:highlight w:val="none"/>
                <w:lang w:val="en-GB"/>
              </w:rPr>
            </w:pPr>
            <w:r>
              <w:rPr>
                <w:rFonts w:hint="eastAsia" w:ascii="宋体" w:hAnsi="宋体" w:cs="宋体"/>
                <w:b/>
                <w:color w:val="auto"/>
                <w:szCs w:val="21"/>
                <w:highlight w:val="none"/>
              </w:rPr>
              <w:t>三档（8分）</w:t>
            </w:r>
            <w:r>
              <w:rPr>
                <w:rFonts w:hint="eastAsia" w:ascii="宋体" w:hAnsi="宋体" w:cs="宋体"/>
                <w:color w:val="auto"/>
                <w:szCs w:val="21"/>
                <w:highlight w:val="none"/>
              </w:rPr>
              <w:t>：应急处理突发事件应对措施较详细，场景较丰富，紧急可调配人员准备较充分，突发事件应急预案较完善全面，可操作性较强；</w:t>
            </w:r>
          </w:p>
          <w:p w14:paraId="28C51346">
            <w:pPr>
              <w:snapToGrid w:val="0"/>
              <w:spacing w:line="288" w:lineRule="auto"/>
              <w:rPr>
                <w:rFonts w:ascii="宋体" w:hAnsi="宋体" w:cs="宋体"/>
                <w:b/>
                <w:bCs/>
                <w:color w:val="auto"/>
                <w:szCs w:val="21"/>
                <w:highlight w:val="none"/>
              </w:rPr>
            </w:pPr>
            <w:r>
              <w:rPr>
                <w:rFonts w:hint="eastAsia" w:ascii="宋体" w:hAnsi="宋体" w:cs="宋体"/>
                <w:b/>
                <w:color w:val="auto"/>
                <w:szCs w:val="21"/>
                <w:highlight w:val="none"/>
              </w:rPr>
              <w:t>四档（12分）</w:t>
            </w:r>
            <w:r>
              <w:rPr>
                <w:rFonts w:hint="eastAsia" w:ascii="宋体" w:hAnsi="宋体" w:cs="宋体"/>
                <w:color w:val="auto"/>
                <w:szCs w:val="21"/>
                <w:highlight w:val="none"/>
              </w:rPr>
              <w:t>：应急处理突发事件应对措施详细具体，场景丰富，紧急可调配人员准备充分，突发事件应急预案完善全面，可操作性强，紧急情况可在半小时内到达现场。</w:t>
            </w:r>
          </w:p>
        </w:tc>
        <w:tc>
          <w:tcPr>
            <w:tcW w:w="640" w:type="dxa"/>
            <w:vAlign w:val="center"/>
          </w:tcPr>
          <w:p w14:paraId="169F3705">
            <w:pPr>
              <w:spacing w:line="288" w:lineRule="auto"/>
              <w:jc w:val="center"/>
              <w:rPr>
                <w:rFonts w:ascii="宋体" w:hAnsi="宋体" w:cs="宋体"/>
                <w:b/>
                <w:bCs/>
                <w:color w:val="auto"/>
                <w:szCs w:val="21"/>
                <w:highlight w:val="none"/>
              </w:rPr>
            </w:pPr>
            <w:r>
              <w:rPr>
                <w:rFonts w:hint="eastAsia" w:ascii="宋体" w:hAnsi="宋体" w:cs="宋体"/>
                <w:b/>
                <w:bCs/>
                <w:color w:val="auto"/>
                <w:szCs w:val="21"/>
                <w:highlight w:val="none"/>
              </w:rPr>
              <w:t>12</w:t>
            </w:r>
          </w:p>
        </w:tc>
      </w:tr>
      <w:tr w14:paraId="7D0A0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30" w:type="dxa"/>
            <w:vAlign w:val="center"/>
          </w:tcPr>
          <w:p w14:paraId="24AE9D65">
            <w:pPr>
              <w:adjustRightInd w:val="0"/>
              <w:snapToGrid w:val="0"/>
              <w:spacing w:line="288" w:lineRule="auto"/>
              <w:jc w:val="center"/>
              <w:textAlignment w:val="baseline"/>
              <w:rPr>
                <w:rFonts w:ascii="宋体" w:hAnsi="宋体" w:cs="宋体"/>
                <w:b/>
                <w:color w:val="auto"/>
                <w:spacing w:val="-18"/>
                <w:szCs w:val="21"/>
                <w:highlight w:val="none"/>
              </w:rPr>
            </w:pPr>
            <w:r>
              <w:rPr>
                <w:rFonts w:hint="eastAsia" w:ascii="宋体" w:hAnsi="宋体" w:cs="宋体"/>
                <w:b/>
                <w:color w:val="auto"/>
                <w:spacing w:val="-18"/>
                <w:szCs w:val="21"/>
                <w:highlight w:val="none"/>
              </w:rPr>
              <w:t>2.6</w:t>
            </w:r>
          </w:p>
        </w:tc>
        <w:tc>
          <w:tcPr>
            <w:tcW w:w="1124" w:type="dxa"/>
            <w:vAlign w:val="center"/>
          </w:tcPr>
          <w:p w14:paraId="6AD0BE20">
            <w:pPr>
              <w:spacing w:line="288" w:lineRule="auto"/>
              <w:jc w:val="center"/>
              <w:rPr>
                <w:rFonts w:ascii="宋体" w:hAnsi="宋体" w:cs="宋体"/>
                <w:b/>
                <w:color w:val="auto"/>
                <w:szCs w:val="21"/>
                <w:highlight w:val="none"/>
              </w:rPr>
            </w:pPr>
            <w:r>
              <w:rPr>
                <w:rFonts w:hint="eastAsia" w:ascii="宋体" w:hAnsi="宋体" w:cs="宋体"/>
                <w:b/>
                <w:color w:val="auto"/>
                <w:szCs w:val="21"/>
                <w:highlight w:val="none"/>
              </w:rPr>
              <w:t>动迁人员</w:t>
            </w:r>
            <w:r>
              <w:rPr>
                <w:rFonts w:hint="eastAsia" w:ascii="宋体" w:hAnsi="宋体" w:cs="宋体"/>
                <w:b/>
                <w:bCs/>
                <w:color w:val="auto"/>
                <w:szCs w:val="21"/>
                <w:highlight w:val="none"/>
              </w:rPr>
              <w:t>配备情况</w:t>
            </w:r>
          </w:p>
        </w:tc>
        <w:tc>
          <w:tcPr>
            <w:tcW w:w="6846" w:type="dxa"/>
            <w:vAlign w:val="center"/>
          </w:tcPr>
          <w:p w14:paraId="66DD869B">
            <w:pPr>
              <w:pStyle w:val="23"/>
              <w:spacing w:line="288" w:lineRule="auto"/>
              <w:rPr>
                <w:rFonts w:hAnsi="宋体" w:cs="宋体"/>
                <w:color w:val="auto"/>
                <w:kern w:val="2"/>
                <w:sz w:val="21"/>
                <w:highlight w:val="none"/>
              </w:rPr>
            </w:pPr>
            <w:r>
              <w:rPr>
                <w:rFonts w:hint="eastAsia" w:hAnsi="宋体" w:cs="宋体"/>
                <w:color w:val="auto"/>
                <w:sz w:val="21"/>
                <w:highlight w:val="none"/>
              </w:rPr>
              <w:t>1</w:t>
            </w:r>
            <w:r>
              <w:rPr>
                <w:rFonts w:hint="eastAsia" w:hAnsi="宋体" w:cs="宋体"/>
                <w:color w:val="auto"/>
                <w:kern w:val="2"/>
                <w:sz w:val="21"/>
                <w:highlight w:val="none"/>
              </w:rPr>
              <w:t>、在动迁总人数达</w:t>
            </w:r>
            <w:r>
              <w:rPr>
                <w:rFonts w:hint="eastAsia" w:hAnsi="宋体" w:cs="宋体"/>
                <w:color w:val="auto"/>
                <w:kern w:val="2"/>
                <w:sz w:val="21"/>
                <w:highlight w:val="none"/>
                <w:lang w:val="en-US" w:eastAsia="zh-CN"/>
              </w:rPr>
              <w:t>8</w:t>
            </w:r>
            <w:r>
              <w:rPr>
                <w:rFonts w:hint="eastAsia" w:hAnsi="宋体" w:cs="宋体"/>
                <w:color w:val="auto"/>
                <w:kern w:val="2"/>
                <w:sz w:val="21"/>
                <w:highlight w:val="none"/>
              </w:rPr>
              <w:t>人（含动迁项目经理）基础上，每增加一人得1分，最多得</w:t>
            </w:r>
            <w:r>
              <w:rPr>
                <w:rFonts w:hint="eastAsia" w:hAnsi="宋体" w:cs="宋体"/>
                <w:color w:val="auto"/>
                <w:kern w:val="2"/>
                <w:sz w:val="21"/>
                <w:highlight w:val="none"/>
                <w:lang w:val="en-US" w:eastAsia="zh-CN"/>
              </w:rPr>
              <w:t>5</w:t>
            </w:r>
            <w:r>
              <w:rPr>
                <w:rFonts w:hint="eastAsia" w:hAnsi="宋体" w:cs="宋体"/>
                <w:color w:val="auto"/>
                <w:kern w:val="2"/>
                <w:sz w:val="21"/>
                <w:highlight w:val="none"/>
              </w:rPr>
              <w:t>分。</w:t>
            </w:r>
          </w:p>
          <w:p w14:paraId="1ED8D3D1">
            <w:pPr>
              <w:pStyle w:val="23"/>
              <w:spacing w:line="288" w:lineRule="auto"/>
              <w:rPr>
                <w:rFonts w:hAnsi="宋体" w:cs="宋体"/>
                <w:color w:val="auto"/>
                <w:kern w:val="2"/>
                <w:sz w:val="21"/>
                <w:highlight w:val="none"/>
              </w:rPr>
            </w:pPr>
            <w:r>
              <w:rPr>
                <w:rFonts w:hint="eastAsia" w:hAnsi="宋体" w:cs="宋体"/>
                <w:color w:val="auto"/>
                <w:kern w:val="2"/>
                <w:sz w:val="21"/>
                <w:highlight w:val="none"/>
              </w:rPr>
              <w:t>2、动迁人员（不含动迁项目经理，下同）中每有一名具有动迁工作经历得0.5分，最多得5分。（按以下要求提供相关证明材料，否则不计分。）</w:t>
            </w:r>
          </w:p>
          <w:p w14:paraId="130BA439">
            <w:pPr>
              <w:pStyle w:val="23"/>
              <w:spacing w:line="288" w:lineRule="auto"/>
              <w:rPr>
                <w:rFonts w:hAnsi="宋体" w:cs="宋体"/>
                <w:color w:val="auto"/>
                <w:kern w:val="2"/>
                <w:sz w:val="21"/>
                <w:highlight w:val="none"/>
              </w:rPr>
            </w:pPr>
            <w:r>
              <w:rPr>
                <w:rFonts w:hint="eastAsia" w:hAnsi="宋体" w:cs="宋体"/>
                <w:color w:val="auto"/>
                <w:kern w:val="2"/>
                <w:sz w:val="21"/>
                <w:highlight w:val="none"/>
              </w:rPr>
              <w:t>3、动迁项目经理除按招标文件要求提供动迁工作经历证明材料外，同时还能够提供动迁项目经理在从事动迁工作期间（时间从动迁委托协议或劳务派遣协议签订之日起</w:t>
            </w:r>
            <w:r>
              <w:rPr>
                <w:rFonts w:hint="eastAsia" w:hAnsi="宋体" w:cs="宋体"/>
                <w:color w:val="auto"/>
                <w:kern w:val="2"/>
                <w:sz w:val="21"/>
                <w:highlight w:val="none"/>
                <w:lang w:val="en-US" w:eastAsia="zh-CN"/>
              </w:rPr>
              <w:t>连续3</w:t>
            </w:r>
            <w:r>
              <w:rPr>
                <w:rFonts w:hint="eastAsia" w:hAnsi="宋体" w:cs="宋体"/>
                <w:color w:val="auto"/>
                <w:kern w:val="2"/>
                <w:sz w:val="21"/>
                <w:highlight w:val="none"/>
              </w:rPr>
              <w:t>年）在动迁公司</w:t>
            </w:r>
            <w:r>
              <w:rPr>
                <w:rFonts w:hint="eastAsia" w:hAnsi="宋体" w:cs="宋体"/>
                <w:color w:val="auto"/>
                <w:kern w:val="2"/>
                <w:sz w:val="21"/>
                <w:highlight w:val="none"/>
                <w:lang w:eastAsia="zh-CN"/>
              </w:rPr>
              <w:t>（</w:t>
            </w:r>
            <w:r>
              <w:rPr>
                <w:rFonts w:hint="eastAsia" w:cs="宋体" w:asciiTheme="minorEastAsia" w:hAnsiTheme="minorEastAsia" w:eastAsiaTheme="minorEastAsia"/>
                <w:b w:val="0"/>
                <w:bCs w:val="0"/>
                <w:color w:val="auto"/>
                <w:sz w:val="21"/>
                <w:szCs w:val="21"/>
                <w:highlight w:val="none"/>
              </w:rPr>
              <w:t>可以不是投标单位</w:t>
            </w:r>
            <w:r>
              <w:rPr>
                <w:rFonts w:hint="eastAsia" w:hAnsi="宋体" w:cs="宋体"/>
                <w:color w:val="auto"/>
                <w:kern w:val="2"/>
                <w:sz w:val="21"/>
                <w:highlight w:val="none"/>
                <w:lang w:eastAsia="zh-CN"/>
              </w:rPr>
              <w:t>）</w:t>
            </w:r>
            <w:r>
              <w:rPr>
                <w:rFonts w:hint="eastAsia" w:hAnsi="宋体" w:cs="宋体"/>
                <w:color w:val="auto"/>
                <w:kern w:val="2"/>
                <w:sz w:val="21"/>
                <w:highlight w:val="none"/>
              </w:rPr>
              <w:t>缴纳社保凭证的得</w:t>
            </w:r>
            <w:r>
              <w:rPr>
                <w:rFonts w:hint="eastAsia" w:hAnsi="宋体" w:cs="宋体"/>
                <w:color w:val="auto"/>
                <w:kern w:val="2"/>
                <w:sz w:val="21"/>
                <w:highlight w:val="none"/>
                <w:lang w:val="en-US" w:eastAsia="zh-CN"/>
              </w:rPr>
              <w:t>5</w:t>
            </w:r>
            <w:r>
              <w:rPr>
                <w:rFonts w:hint="eastAsia" w:hAnsi="宋体" w:cs="宋体"/>
                <w:color w:val="auto"/>
                <w:kern w:val="2"/>
                <w:sz w:val="21"/>
                <w:highlight w:val="none"/>
              </w:rPr>
              <w:t>分。</w:t>
            </w:r>
          </w:p>
          <w:p w14:paraId="15934065">
            <w:pPr>
              <w:pStyle w:val="23"/>
              <w:spacing w:line="288" w:lineRule="auto"/>
              <w:rPr>
                <w:rFonts w:hAnsi="宋体" w:cs="宋体"/>
                <w:color w:val="auto"/>
                <w:kern w:val="2"/>
                <w:sz w:val="21"/>
                <w:highlight w:val="none"/>
              </w:rPr>
            </w:pPr>
            <w:r>
              <w:rPr>
                <w:rFonts w:hint="eastAsia" w:hAnsi="宋体" w:cs="宋体"/>
                <w:color w:val="auto"/>
                <w:kern w:val="2"/>
                <w:sz w:val="21"/>
                <w:highlight w:val="none"/>
              </w:rPr>
              <w:t>4、动迁人员除按以下要求提供相关证明材料外，同时还能够提供该人员在从事动迁工作期间（时间从动迁委托协议签订之日起时间从动迁委托协议或劳务派遣协议签订之日起</w:t>
            </w:r>
            <w:r>
              <w:rPr>
                <w:rFonts w:hint="eastAsia" w:hAnsi="宋体" w:cs="宋体"/>
                <w:color w:val="auto"/>
                <w:kern w:val="2"/>
                <w:sz w:val="21"/>
                <w:highlight w:val="none"/>
                <w:lang w:val="en-US" w:eastAsia="zh-CN"/>
              </w:rPr>
              <w:t>连续1</w:t>
            </w:r>
            <w:r>
              <w:rPr>
                <w:rFonts w:hint="eastAsia" w:hAnsi="宋体" w:cs="宋体"/>
                <w:color w:val="auto"/>
                <w:kern w:val="2"/>
                <w:sz w:val="21"/>
                <w:highlight w:val="none"/>
              </w:rPr>
              <w:t>年）在动迁公司</w:t>
            </w:r>
            <w:r>
              <w:rPr>
                <w:rFonts w:hint="eastAsia" w:hAnsi="宋体" w:cs="宋体"/>
                <w:color w:val="auto"/>
                <w:kern w:val="2"/>
                <w:sz w:val="21"/>
                <w:highlight w:val="none"/>
                <w:lang w:eastAsia="zh-CN"/>
              </w:rPr>
              <w:t>（</w:t>
            </w:r>
            <w:r>
              <w:rPr>
                <w:rFonts w:hint="eastAsia" w:cs="宋体" w:asciiTheme="minorEastAsia" w:hAnsiTheme="minorEastAsia" w:eastAsiaTheme="minorEastAsia"/>
                <w:b w:val="0"/>
                <w:bCs w:val="0"/>
                <w:color w:val="auto"/>
                <w:sz w:val="21"/>
                <w:szCs w:val="21"/>
                <w:highlight w:val="none"/>
              </w:rPr>
              <w:t>可以不是投标单位</w:t>
            </w:r>
            <w:r>
              <w:rPr>
                <w:rFonts w:hint="eastAsia" w:hAnsi="宋体" w:cs="宋体"/>
                <w:color w:val="auto"/>
                <w:kern w:val="2"/>
                <w:sz w:val="21"/>
                <w:highlight w:val="none"/>
                <w:lang w:eastAsia="zh-CN"/>
              </w:rPr>
              <w:t>）</w:t>
            </w:r>
            <w:r>
              <w:rPr>
                <w:rFonts w:hint="eastAsia" w:hAnsi="宋体" w:cs="宋体"/>
                <w:color w:val="auto"/>
                <w:kern w:val="2"/>
                <w:sz w:val="21"/>
                <w:highlight w:val="none"/>
              </w:rPr>
              <w:t>缴纳社保凭证的，每有一个得0.5分，最多得5分。</w:t>
            </w:r>
          </w:p>
          <w:p w14:paraId="3680E5FB">
            <w:pPr>
              <w:pStyle w:val="17"/>
              <w:spacing w:line="288" w:lineRule="auto"/>
              <w:rPr>
                <w:rFonts w:ascii="宋体" w:hAnsi="宋体" w:cs="宋体"/>
                <w:color w:val="auto"/>
                <w:sz w:val="21"/>
                <w:szCs w:val="21"/>
                <w:highlight w:val="none"/>
              </w:rPr>
            </w:pPr>
            <w:r>
              <w:rPr>
                <w:rFonts w:hint="eastAsia" w:hAnsi="宋体" w:cs="宋体"/>
                <w:b/>
                <w:color w:val="auto"/>
                <w:sz w:val="21"/>
                <w:highlight w:val="none"/>
              </w:rPr>
              <w:t>注：动迁工作经历须为2018年1月1日以来从事动迁工作的经历。投标文件中需提供相应证明材料【</w:t>
            </w:r>
            <w:r>
              <w:rPr>
                <w:rFonts w:hint="eastAsia" w:cs="宋体" w:asciiTheme="minorEastAsia" w:hAnsiTheme="minorEastAsia" w:eastAsiaTheme="minorEastAsia"/>
                <w:b/>
                <w:bCs/>
                <w:color w:val="auto"/>
                <w:sz w:val="21"/>
                <w:szCs w:val="21"/>
                <w:highlight w:val="none"/>
              </w:rPr>
              <w:t>证明材料为：</w:t>
            </w:r>
            <w:r>
              <w:rPr>
                <w:rFonts w:hint="eastAsia" w:cs="宋体" w:asciiTheme="minorEastAsia" w:hAnsiTheme="minorEastAsia" w:eastAsiaTheme="minorEastAsia"/>
                <w:b/>
                <w:bCs/>
                <w:color w:val="auto"/>
                <w:sz w:val="21"/>
                <w:szCs w:val="21"/>
                <w:highlight w:val="none"/>
                <w:u w:val="single"/>
              </w:rPr>
              <w:t>动迁单位2018年1月1日以来与政府拆迁业务实施部门签订</w:t>
            </w:r>
            <w:r>
              <w:rPr>
                <w:rFonts w:hint="eastAsia" w:ascii="宋体" w:hAnsi="宋体" w:eastAsia="宋体" w:cs="宋体"/>
                <w:b/>
                <w:bCs/>
                <w:color w:val="auto"/>
                <w:sz w:val="21"/>
                <w:szCs w:val="21"/>
                <w:highlight w:val="none"/>
                <w:u w:val="single"/>
              </w:rPr>
              <w:t>的动迁委托协议</w:t>
            </w:r>
            <w:r>
              <w:rPr>
                <w:rFonts w:hint="eastAsia" w:ascii="宋体" w:hAnsi="宋体" w:eastAsia="宋体" w:cs="宋体"/>
                <w:b/>
                <w:bCs/>
                <w:color w:val="auto"/>
                <w:kern w:val="2"/>
                <w:sz w:val="21"/>
                <w:highlight w:val="none"/>
                <w:u w:val="single"/>
              </w:rPr>
              <w:t>或劳务派遣协议</w:t>
            </w:r>
            <w:r>
              <w:rPr>
                <w:rFonts w:hint="eastAsia" w:cs="宋体" w:asciiTheme="minorEastAsia" w:hAnsiTheme="minorEastAsia" w:eastAsiaTheme="minorEastAsia"/>
                <w:b/>
                <w:bCs/>
                <w:color w:val="auto"/>
                <w:sz w:val="21"/>
                <w:szCs w:val="21"/>
                <w:highlight w:val="none"/>
                <w:u w:val="single"/>
              </w:rPr>
              <w:t xml:space="preserve"> </w:t>
            </w:r>
            <w:r>
              <w:rPr>
                <w:rFonts w:hint="eastAsia" w:cs="宋体" w:asciiTheme="minorEastAsia" w:hAnsiTheme="minorEastAsia" w:eastAsiaTheme="minorEastAsia"/>
                <w:b/>
                <w:bCs/>
                <w:color w:val="auto"/>
                <w:sz w:val="21"/>
                <w:szCs w:val="21"/>
                <w:highlight w:val="none"/>
              </w:rPr>
              <w:t>和</w:t>
            </w:r>
            <w:r>
              <w:rPr>
                <w:rFonts w:hint="eastAsia" w:cs="宋体" w:asciiTheme="minorEastAsia" w:hAnsiTheme="minorEastAsia" w:eastAsiaTheme="minorEastAsia"/>
                <w:b/>
                <w:bCs/>
                <w:color w:val="auto"/>
                <w:sz w:val="21"/>
                <w:szCs w:val="21"/>
                <w:highlight w:val="none"/>
                <w:u w:val="single"/>
              </w:rPr>
              <w:t xml:space="preserve"> 动迁单位出具的证明或动迁单位与动迁人员本人签订的劳动（务）合同</w:t>
            </w:r>
            <w:r>
              <w:rPr>
                <w:rFonts w:hint="eastAsia" w:cs="宋体" w:asciiTheme="minorEastAsia" w:hAnsiTheme="minorEastAsia" w:eastAsiaTheme="minorEastAsia"/>
                <w:b/>
                <w:bCs/>
                <w:color w:val="auto"/>
                <w:sz w:val="21"/>
                <w:szCs w:val="21"/>
                <w:highlight w:val="none"/>
              </w:rPr>
              <w:t>；证明材料中的动迁单位可以不是投标单位</w:t>
            </w:r>
            <w:r>
              <w:rPr>
                <w:rFonts w:hint="eastAsia" w:hAnsi="宋体" w:cs="宋体"/>
                <w:b/>
                <w:color w:val="auto"/>
                <w:highlight w:val="none"/>
              </w:rPr>
              <w:t>】</w:t>
            </w:r>
            <w:r>
              <w:rPr>
                <w:rFonts w:hint="eastAsia" w:hAnsi="宋体" w:cs="宋体"/>
                <w:b/>
                <w:bCs/>
                <w:color w:val="auto"/>
                <w:sz w:val="21"/>
                <w:highlight w:val="none"/>
              </w:rPr>
              <w:t>。同时提供相关人员的身份证复印件，否则不计分。</w:t>
            </w:r>
          </w:p>
        </w:tc>
        <w:tc>
          <w:tcPr>
            <w:tcW w:w="640" w:type="dxa"/>
            <w:vAlign w:val="center"/>
          </w:tcPr>
          <w:p w14:paraId="298CF4D1">
            <w:pPr>
              <w:spacing w:line="288" w:lineRule="auto"/>
              <w:jc w:val="center"/>
              <w:rPr>
                <w:rFonts w:ascii="宋体" w:hAnsi="宋体" w:cs="宋体"/>
                <w:b/>
                <w:bCs/>
                <w:color w:val="auto"/>
                <w:szCs w:val="21"/>
                <w:highlight w:val="none"/>
              </w:rPr>
            </w:pPr>
            <w:r>
              <w:rPr>
                <w:rFonts w:hint="eastAsia" w:ascii="宋体" w:hAnsi="宋体" w:cs="宋体"/>
                <w:b/>
                <w:bCs/>
                <w:color w:val="auto"/>
                <w:szCs w:val="21"/>
                <w:highlight w:val="none"/>
              </w:rPr>
              <w:t>20</w:t>
            </w:r>
          </w:p>
        </w:tc>
      </w:tr>
      <w:tr w14:paraId="0DFA7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30" w:type="dxa"/>
            <w:vAlign w:val="center"/>
          </w:tcPr>
          <w:p w14:paraId="57C032D4">
            <w:pPr>
              <w:adjustRightInd w:val="0"/>
              <w:snapToGrid w:val="0"/>
              <w:spacing w:line="288" w:lineRule="auto"/>
              <w:jc w:val="center"/>
              <w:textAlignment w:val="baseline"/>
              <w:rPr>
                <w:rFonts w:ascii="宋体" w:hAnsi="宋体" w:cs="宋体"/>
                <w:b/>
                <w:color w:val="auto"/>
                <w:spacing w:val="-18"/>
                <w:szCs w:val="21"/>
                <w:highlight w:val="none"/>
              </w:rPr>
            </w:pPr>
            <w:r>
              <w:rPr>
                <w:rFonts w:hint="eastAsia" w:ascii="宋体" w:hAnsi="宋体" w:cs="宋体"/>
                <w:b/>
                <w:color w:val="auto"/>
                <w:spacing w:val="-18"/>
                <w:szCs w:val="21"/>
                <w:highlight w:val="none"/>
              </w:rPr>
              <w:t>3</w:t>
            </w:r>
          </w:p>
        </w:tc>
        <w:tc>
          <w:tcPr>
            <w:tcW w:w="1124" w:type="dxa"/>
            <w:vAlign w:val="center"/>
          </w:tcPr>
          <w:p w14:paraId="4EF2E1B6">
            <w:pPr>
              <w:spacing w:line="288" w:lineRule="auto"/>
              <w:jc w:val="center"/>
              <w:rPr>
                <w:rFonts w:ascii="宋体" w:hAnsi="宋体" w:cs="宋体"/>
                <w:b/>
                <w:bCs/>
                <w:color w:val="auto"/>
                <w:szCs w:val="21"/>
                <w:highlight w:val="none"/>
              </w:rPr>
            </w:pPr>
            <w:r>
              <w:rPr>
                <w:rFonts w:hint="eastAsia" w:ascii="宋体" w:hAnsi="宋体" w:cs="宋体"/>
                <w:b/>
                <w:bCs/>
                <w:color w:val="auto"/>
                <w:szCs w:val="21"/>
                <w:highlight w:val="none"/>
              </w:rPr>
              <w:t>商务分</w:t>
            </w:r>
          </w:p>
        </w:tc>
        <w:tc>
          <w:tcPr>
            <w:tcW w:w="6846" w:type="dxa"/>
            <w:vAlign w:val="center"/>
          </w:tcPr>
          <w:p w14:paraId="770FE45A">
            <w:pPr>
              <w:adjustRightInd w:val="0"/>
              <w:spacing w:line="288" w:lineRule="auto"/>
              <w:textAlignment w:val="baseline"/>
              <w:rPr>
                <w:rFonts w:ascii="宋体" w:hAnsi="宋体" w:cs="宋体"/>
                <w:bCs/>
                <w:color w:val="auto"/>
                <w:szCs w:val="21"/>
                <w:highlight w:val="none"/>
              </w:rPr>
            </w:pPr>
          </w:p>
        </w:tc>
        <w:tc>
          <w:tcPr>
            <w:tcW w:w="640" w:type="dxa"/>
            <w:vAlign w:val="center"/>
          </w:tcPr>
          <w:p w14:paraId="2D3F0BCE">
            <w:pPr>
              <w:spacing w:line="288" w:lineRule="auto"/>
              <w:jc w:val="center"/>
              <w:rPr>
                <w:rFonts w:ascii="宋体" w:hAnsi="宋体" w:cs="宋体"/>
                <w:b/>
                <w:bCs/>
                <w:color w:val="auto"/>
                <w:szCs w:val="21"/>
                <w:highlight w:val="none"/>
              </w:rPr>
            </w:pPr>
          </w:p>
        </w:tc>
      </w:tr>
      <w:tr w14:paraId="5A279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30" w:type="dxa"/>
            <w:vAlign w:val="center"/>
          </w:tcPr>
          <w:p w14:paraId="13436950">
            <w:pPr>
              <w:adjustRightInd w:val="0"/>
              <w:snapToGrid w:val="0"/>
              <w:spacing w:line="288" w:lineRule="auto"/>
              <w:jc w:val="center"/>
              <w:textAlignment w:val="baseline"/>
              <w:rPr>
                <w:rFonts w:ascii="宋体" w:hAnsi="宋体" w:cs="宋体"/>
                <w:b/>
                <w:color w:val="auto"/>
                <w:spacing w:val="-18"/>
                <w:szCs w:val="21"/>
                <w:highlight w:val="none"/>
              </w:rPr>
            </w:pPr>
            <w:r>
              <w:rPr>
                <w:rFonts w:hint="eastAsia" w:ascii="宋体" w:hAnsi="宋体" w:cs="宋体"/>
                <w:b/>
                <w:color w:val="auto"/>
                <w:spacing w:val="-18"/>
                <w:szCs w:val="21"/>
                <w:highlight w:val="none"/>
              </w:rPr>
              <w:t>3.1</w:t>
            </w:r>
          </w:p>
        </w:tc>
        <w:tc>
          <w:tcPr>
            <w:tcW w:w="1124" w:type="dxa"/>
            <w:vAlign w:val="center"/>
          </w:tcPr>
          <w:p w14:paraId="27B10794">
            <w:pPr>
              <w:spacing w:line="288" w:lineRule="auto"/>
              <w:jc w:val="center"/>
              <w:rPr>
                <w:rFonts w:ascii="宋体" w:hAnsi="宋体" w:cs="宋体"/>
                <w:b/>
                <w:bCs/>
                <w:color w:val="auto"/>
                <w:szCs w:val="21"/>
                <w:highlight w:val="none"/>
              </w:rPr>
            </w:pPr>
            <w:r>
              <w:rPr>
                <w:rFonts w:hint="eastAsia" w:ascii="宋体" w:hAnsi="宋体" w:cs="宋体"/>
                <w:b/>
                <w:color w:val="auto"/>
                <w:szCs w:val="21"/>
                <w:highlight w:val="none"/>
              </w:rPr>
              <w:t>业绩分</w:t>
            </w:r>
          </w:p>
        </w:tc>
        <w:tc>
          <w:tcPr>
            <w:tcW w:w="6846" w:type="dxa"/>
            <w:vAlign w:val="center"/>
          </w:tcPr>
          <w:p w14:paraId="331E4B74">
            <w:pPr>
              <w:snapToGrid w:val="0"/>
              <w:spacing w:line="288" w:lineRule="auto"/>
              <w:rPr>
                <w:rFonts w:ascii="宋体" w:hAnsi="宋体" w:cs="宋体"/>
                <w:bCs/>
                <w:color w:val="auto"/>
                <w:szCs w:val="21"/>
                <w:highlight w:val="none"/>
              </w:rPr>
            </w:pPr>
            <w:r>
              <w:rPr>
                <w:rFonts w:hint="eastAsia" w:ascii="宋体" w:hAnsi="宋体" w:cs="宋体"/>
                <w:color w:val="auto"/>
                <w:szCs w:val="21"/>
                <w:highlight w:val="none"/>
              </w:rPr>
              <w:t>（1）</w:t>
            </w:r>
            <w:r>
              <w:rPr>
                <w:rFonts w:hint="eastAsia" w:ascii="宋体" w:hAnsi="宋体" w:cs="宋体"/>
                <w:bCs/>
                <w:color w:val="auto"/>
                <w:szCs w:val="21"/>
                <w:highlight w:val="none"/>
              </w:rPr>
              <w:t>投标人2018年1月1日以来有同类动迁服务业绩的，每份合同得</w:t>
            </w: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rPr>
              <w:t>分，满分10分。（以合同签订的时间为准，提供</w:t>
            </w:r>
            <w:r>
              <w:rPr>
                <w:rFonts w:hint="eastAsia" w:ascii="宋体" w:hAnsi="宋体" w:cs="宋体"/>
                <w:bCs/>
                <w:color w:val="auto"/>
                <w:szCs w:val="21"/>
                <w:highlight w:val="none"/>
                <w:lang w:val="en-US" w:eastAsia="zh-CN"/>
              </w:rPr>
              <w:t>供应商</w:t>
            </w:r>
            <w:r>
              <w:rPr>
                <w:rFonts w:hint="eastAsia" w:ascii="宋体" w:hAnsi="宋体" w:cs="宋体"/>
                <w:bCs/>
                <w:color w:val="auto"/>
                <w:szCs w:val="21"/>
                <w:highlight w:val="none"/>
              </w:rPr>
              <w:t>与</w:t>
            </w:r>
            <w:r>
              <w:rPr>
                <w:rFonts w:hint="eastAsia" w:hAnsi="宋体" w:cs="宋体"/>
                <w:bCs/>
                <w:color w:val="auto"/>
                <w:highlight w:val="none"/>
              </w:rPr>
              <w:t>政府拆迁业务实施部门签订的动迁委托协议（</w:t>
            </w:r>
            <w:r>
              <w:rPr>
                <w:rFonts w:hint="eastAsia" w:ascii="宋体" w:hAnsi="宋体" w:cs="宋体"/>
                <w:bCs/>
                <w:color w:val="auto"/>
                <w:szCs w:val="21"/>
                <w:highlight w:val="none"/>
              </w:rPr>
              <w:t>合同）扫描件等证明材料</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lang w:val="en-US" w:eastAsia="zh-CN"/>
              </w:rPr>
              <w:t>如是以劳务派遣形式开展动迁服务的，则提供</w:t>
            </w:r>
            <w:r>
              <w:rPr>
                <w:rFonts w:hint="eastAsia" w:ascii="宋体" w:hAnsi="宋体" w:cs="宋体"/>
                <w:bCs/>
                <w:color w:val="auto"/>
                <w:szCs w:val="21"/>
                <w:highlight w:val="none"/>
              </w:rPr>
              <w:t>劳务派遣协议扫描件</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rPr>
              <w:t>。</w:t>
            </w:r>
            <w:r>
              <w:rPr>
                <w:rFonts w:hint="eastAsia" w:ascii="宋体" w:hAnsi="宋体" w:cs="宋体"/>
                <w:bCs/>
                <w:color w:val="auto"/>
                <w:spacing w:val="-4"/>
                <w:szCs w:val="21"/>
                <w:highlight w:val="none"/>
              </w:rPr>
              <w:t>否则不予计分。</w:t>
            </w:r>
          </w:p>
        </w:tc>
        <w:tc>
          <w:tcPr>
            <w:tcW w:w="640" w:type="dxa"/>
            <w:vAlign w:val="center"/>
          </w:tcPr>
          <w:p w14:paraId="7176284B">
            <w:pPr>
              <w:spacing w:line="288" w:lineRule="auto"/>
              <w:jc w:val="center"/>
              <w:rPr>
                <w:rFonts w:ascii="宋体" w:hAnsi="宋体" w:cs="宋体"/>
                <w:b/>
                <w:bCs/>
                <w:color w:val="auto"/>
                <w:szCs w:val="21"/>
                <w:highlight w:val="none"/>
              </w:rPr>
            </w:pPr>
            <w:r>
              <w:rPr>
                <w:rFonts w:hint="eastAsia" w:ascii="宋体" w:hAnsi="宋体" w:cs="宋体"/>
                <w:b/>
                <w:bCs/>
                <w:color w:val="auto"/>
                <w:szCs w:val="21"/>
                <w:highlight w:val="none"/>
              </w:rPr>
              <w:t>10</w:t>
            </w:r>
          </w:p>
        </w:tc>
      </w:tr>
      <w:tr w14:paraId="14ED8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00" w:type="dxa"/>
            <w:gridSpan w:val="3"/>
            <w:vAlign w:val="center"/>
          </w:tcPr>
          <w:p w14:paraId="4020B2D0">
            <w:pPr>
              <w:snapToGrid w:val="0"/>
              <w:spacing w:line="400" w:lineRule="exact"/>
              <w:jc w:val="left"/>
              <w:rPr>
                <w:rFonts w:ascii="宋体" w:hAnsi="宋体" w:cs="宋体"/>
                <w:color w:val="auto"/>
                <w:szCs w:val="21"/>
                <w:highlight w:val="none"/>
              </w:rPr>
            </w:pPr>
            <w:r>
              <w:rPr>
                <w:rFonts w:hint="eastAsia" w:hAnsi="宋体" w:cs="宋体"/>
                <w:b/>
                <w:bCs/>
                <w:color w:val="auto"/>
                <w:highlight w:val="none"/>
              </w:rPr>
              <w:t>总得分=1+2+3。</w:t>
            </w:r>
          </w:p>
        </w:tc>
        <w:tc>
          <w:tcPr>
            <w:tcW w:w="640" w:type="dxa"/>
            <w:vAlign w:val="center"/>
          </w:tcPr>
          <w:p w14:paraId="2AB5B528">
            <w:pPr>
              <w:snapToGrid w:val="0"/>
              <w:spacing w:line="400" w:lineRule="exact"/>
              <w:jc w:val="left"/>
              <w:rPr>
                <w:rFonts w:ascii="宋体" w:hAnsi="宋体" w:cs="宋体"/>
                <w:color w:val="auto"/>
                <w:szCs w:val="21"/>
                <w:highlight w:val="none"/>
              </w:rPr>
            </w:pPr>
          </w:p>
        </w:tc>
      </w:tr>
      <w:tr w14:paraId="3C12F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00" w:type="dxa"/>
            <w:gridSpan w:val="3"/>
            <w:vAlign w:val="center"/>
          </w:tcPr>
          <w:p w14:paraId="2118775D">
            <w:pPr>
              <w:snapToGrid w:val="0"/>
              <w:spacing w:line="400" w:lineRule="exact"/>
              <w:jc w:val="left"/>
              <w:rPr>
                <w:rFonts w:ascii="宋体" w:hAnsi="宋体" w:cs="宋体"/>
                <w:color w:val="auto"/>
                <w:szCs w:val="21"/>
                <w:highlight w:val="none"/>
              </w:rPr>
            </w:pPr>
            <w:r>
              <w:rPr>
                <w:rFonts w:hint="eastAsia" w:ascii="宋体" w:hAnsi="宋体" w:cs="宋体"/>
                <w:color w:val="auto"/>
                <w:szCs w:val="21"/>
                <w:highlight w:val="none"/>
              </w:rPr>
              <w:t>注：本项目为服务项目，不适用节能、环保、区内产品政策功能加分</w:t>
            </w:r>
          </w:p>
        </w:tc>
        <w:tc>
          <w:tcPr>
            <w:tcW w:w="640" w:type="dxa"/>
            <w:vAlign w:val="center"/>
          </w:tcPr>
          <w:p w14:paraId="34CA1B7C">
            <w:pPr>
              <w:snapToGrid w:val="0"/>
              <w:spacing w:line="400" w:lineRule="exact"/>
              <w:jc w:val="left"/>
              <w:rPr>
                <w:rFonts w:ascii="宋体" w:hAnsi="宋体" w:cs="宋体"/>
                <w:color w:val="auto"/>
                <w:szCs w:val="21"/>
                <w:highlight w:val="none"/>
              </w:rPr>
            </w:pPr>
          </w:p>
        </w:tc>
      </w:tr>
    </w:tbl>
    <w:p w14:paraId="16495225">
      <w:pPr>
        <w:pStyle w:val="23"/>
        <w:spacing w:line="360" w:lineRule="auto"/>
        <w:ind w:firstLine="420"/>
        <w:rPr>
          <w:rFonts w:hAnsi="宋体" w:cs="宋体"/>
          <w:bCs/>
          <w:color w:val="auto"/>
          <w:sz w:val="21"/>
          <w:highlight w:val="none"/>
        </w:rPr>
      </w:pPr>
      <w:r>
        <w:rPr>
          <w:rFonts w:hint="eastAsia" w:hAnsi="宋体" w:cs="宋体"/>
          <w:bCs/>
          <w:color w:val="auto"/>
          <w:sz w:val="21"/>
          <w:highlight w:val="none"/>
        </w:rPr>
        <w:t>注：计分方法按四舍五入取至百分位</w:t>
      </w:r>
    </w:p>
    <w:p w14:paraId="2300A1FF">
      <w:pPr>
        <w:pStyle w:val="23"/>
        <w:spacing w:line="360" w:lineRule="auto"/>
        <w:contextualSpacing/>
        <w:jc w:val="center"/>
        <w:rPr>
          <w:rFonts w:hAnsi="宋体" w:cs="宋体"/>
          <w:b/>
          <w:bCs/>
          <w:color w:val="auto"/>
          <w:sz w:val="28"/>
          <w:szCs w:val="28"/>
          <w:highlight w:val="none"/>
        </w:rPr>
      </w:pPr>
      <w:r>
        <w:rPr>
          <w:rFonts w:hint="eastAsia" w:hAnsi="宋体" w:cs="宋体"/>
          <w:b/>
          <w:bCs/>
          <w:color w:val="auto"/>
          <w:sz w:val="28"/>
          <w:szCs w:val="28"/>
          <w:highlight w:val="none"/>
        </w:rPr>
        <w:t>四、中标候选人推荐原则</w:t>
      </w:r>
    </w:p>
    <w:p w14:paraId="208407F0">
      <w:pPr>
        <w:pStyle w:val="23"/>
        <w:spacing w:line="360" w:lineRule="auto"/>
        <w:ind w:firstLine="420" w:firstLineChars="200"/>
        <w:contextualSpacing/>
        <w:rPr>
          <w:rFonts w:hAnsi="宋体" w:cs="宋体"/>
          <w:color w:val="auto"/>
          <w:sz w:val="21"/>
          <w:highlight w:val="none"/>
        </w:rPr>
      </w:pPr>
      <w:r>
        <w:rPr>
          <w:rFonts w:hint="eastAsia" w:hAnsi="宋体" w:cs="宋体"/>
          <w:color w:val="auto"/>
          <w:sz w:val="21"/>
          <w:highlight w:val="none"/>
        </w:rPr>
        <w:t>1.评标委员会根据原始评标记录和评标结果编写评标报告，并通过电子交易平台向采购人、采购代理机构提交。</w:t>
      </w:r>
    </w:p>
    <w:p w14:paraId="113F4B12">
      <w:pPr>
        <w:pStyle w:val="23"/>
        <w:spacing w:line="360" w:lineRule="auto"/>
        <w:ind w:firstLine="420" w:firstLineChars="200"/>
        <w:contextualSpacing/>
        <w:rPr>
          <w:rFonts w:hAnsi="宋体" w:cs="宋体"/>
          <w:color w:val="auto"/>
          <w:sz w:val="21"/>
          <w:highlight w:val="none"/>
        </w:rPr>
      </w:pPr>
      <w:r>
        <w:rPr>
          <w:rFonts w:hint="eastAsia" w:hAnsi="宋体" w:cs="宋体"/>
          <w:color w:val="auto"/>
          <w:sz w:val="21"/>
          <w:highlight w:val="none"/>
        </w:rPr>
        <w:t>2.评标委员会将根据总得分由高到低排列次序并推荐中标候选人。得分相同的，以投标报价由低到高顺序排列。得分相同且投标报价相同的并列，投标文件满足招标文件全部实质性要求，且按照评审因素的量化指标评审得分最高（详见投标人须知前附表30.1）的投标人为排名第一的中标候选人。</w:t>
      </w:r>
    </w:p>
    <w:p w14:paraId="2AE799A2">
      <w:pPr>
        <w:pStyle w:val="6"/>
        <w:keepNext w:val="0"/>
        <w:keepLines w:val="0"/>
        <w:spacing w:before="0" w:after="0" w:line="360" w:lineRule="auto"/>
        <w:ind w:firstLine="562" w:firstLineChars="200"/>
        <w:jc w:val="center"/>
        <w:rPr>
          <w:rFonts w:cs="宋体" w:asciiTheme="minorEastAsia" w:hAnsiTheme="minorEastAsia" w:eastAsiaTheme="minorEastAsia"/>
          <w:b w:val="0"/>
          <w:bCs/>
          <w:color w:val="auto"/>
          <w:sz w:val="21"/>
          <w:szCs w:val="21"/>
          <w:highlight w:val="none"/>
        </w:rPr>
      </w:pPr>
      <w:r>
        <w:rPr>
          <w:rFonts w:hint="eastAsia" w:hAnsi="宋体" w:cs="宋体"/>
          <w:bCs/>
          <w:color w:val="auto"/>
          <w:szCs w:val="28"/>
          <w:highlight w:val="none"/>
        </w:rPr>
        <w:t>五、中标人确定</w:t>
      </w:r>
    </w:p>
    <w:p w14:paraId="72683BFC">
      <w:pPr>
        <w:pStyle w:val="6"/>
        <w:keepNext w:val="0"/>
        <w:keepLines w:val="0"/>
        <w:numPr>
          <w:ilvl w:val="4"/>
          <w:numId w:val="0"/>
        </w:numPr>
        <w:spacing w:before="0" w:after="0" w:line="360" w:lineRule="auto"/>
        <w:ind w:firstLine="420" w:firstLineChars="200"/>
        <w:rPr>
          <w:rFonts w:ascii="宋体" w:hAnsi="宋体" w:cs="宋体"/>
          <w:b w:val="0"/>
          <w:color w:val="auto"/>
          <w:sz w:val="21"/>
          <w:szCs w:val="21"/>
          <w:highlight w:val="none"/>
        </w:rPr>
      </w:pPr>
      <w:r>
        <w:rPr>
          <w:rFonts w:hint="eastAsia" w:ascii="宋体" w:hAnsi="宋体" w:cs="宋体"/>
          <w:b w:val="0"/>
          <w:color w:val="auto"/>
          <w:sz w:val="21"/>
          <w:szCs w:val="21"/>
          <w:highlight w:val="none"/>
        </w:rPr>
        <w:t>采购人将按投标人须知第30.1条规定确定中标人，每个投标人只允许中1个标段</w:t>
      </w:r>
      <w:r>
        <w:rPr>
          <w:rFonts w:hint="eastAsia" w:ascii="宋体" w:hAnsi="宋体" w:cs="宋体"/>
          <w:b w:val="0"/>
          <w:color w:val="auto"/>
          <w:sz w:val="21"/>
          <w:szCs w:val="21"/>
          <w:highlight w:val="none"/>
          <w:lang w:eastAsia="zh-CN"/>
        </w:rPr>
        <w:t>。</w:t>
      </w:r>
      <w:r>
        <w:rPr>
          <w:rFonts w:hint="eastAsia" w:ascii="宋体" w:hAnsi="宋体" w:cs="宋体"/>
          <w:b w:val="0"/>
          <w:color w:val="auto"/>
          <w:sz w:val="21"/>
          <w:szCs w:val="21"/>
          <w:highlight w:val="none"/>
        </w:rPr>
        <w:t>但如果第一中标候选人已经在“柳州市黄村村及周边片区城中村改造项目”其他地块的房屋动迁服务招标采购中成为中标人，并且已经中标项目的实施人员与本项目投入的实施人员中有1人或以上存在相同的，将不得成为本次采购项目的中标人。采购人将确定排名第二的中标候选人为中标人。排名第二并且项目实施人员与本次的中标候选人因前款规定的同样原因被取消中标的，采购人可以确定排名第三的中标候选人为中标人，以此类推。采购人将确定排名第二的中标候选人为中标人。排名第二的中标候选人因前款规定的同样原因被取消中标的，采购人可以确定排名第三的中标候选人为中标人，以此类推。</w:t>
      </w:r>
    </w:p>
    <w:p w14:paraId="18DD7120">
      <w:pPr>
        <w:pStyle w:val="6"/>
        <w:keepNext w:val="0"/>
        <w:keepLines w:val="0"/>
        <w:spacing w:before="0" w:after="0" w:line="360" w:lineRule="auto"/>
        <w:ind w:firstLine="420" w:firstLineChars="200"/>
        <w:rPr>
          <w:rFonts w:cs="宋体" w:asciiTheme="minorEastAsia" w:hAnsiTheme="minorEastAsia" w:eastAsiaTheme="minorEastAsia"/>
          <w:b w:val="0"/>
          <w:bCs/>
          <w:color w:val="auto"/>
          <w:sz w:val="21"/>
          <w:szCs w:val="21"/>
          <w:highlight w:val="none"/>
        </w:rPr>
      </w:pPr>
      <w:r>
        <w:rPr>
          <w:rFonts w:hint="eastAsia" w:cs="宋体" w:asciiTheme="minorEastAsia" w:hAnsiTheme="minorEastAsia" w:eastAsiaTheme="minorEastAsia"/>
          <w:b w:val="0"/>
          <w:bCs/>
          <w:color w:val="auto"/>
          <w:sz w:val="21"/>
          <w:szCs w:val="21"/>
          <w:highlight w:val="none"/>
        </w:rPr>
        <w:t>。</w:t>
      </w:r>
    </w:p>
    <w:p w14:paraId="24DF4BCD">
      <w:pPr>
        <w:spacing w:line="360" w:lineRule="auto"/>
        <w:ind w:firstLine="422" w:firstLineChars="200"/>
        <w:rPr>
          <w:b/>
          <w:color w:val="auto"/>
          <w:highlight w:val="none"/>
        </w:rPr>
      </w:pPr>
    </w:p>
    <w:p w14:paraId="0F2E35EC">
      <w:pPr>
        <w:pStyle w:val="23"/>
        <w:spacing w:line="360" w:lineRule="auto"/>
        <w:ind w:firstLine="422" w:firstLineChars="200"/>
        <w:contextualSpacing/>
        <w:rPr>
          <w:rFonts w:hAnsi="宋体" w:cs="宋体"/>
          <w:b/>
          <w:color w:val="auto"/>
          <w:sz w:val="21"/>
          <w:highlight w:val="none"/>
        </w:rPr>
      </w:pPr>
    </w:p>
    <w:p w14:paraId="3932AF73">
      <w:pPr>
        <w:pStyle w:val="4"/>
        <w:keepNext w:val="0"/>
        <w:keepLines w:val="0"/>
        <w:jc w:val="center"/>
        <w:rPr>
          <w:rFonts w:ascii="宋体" w:hAnsi="宋体" w:cs="宋体"/>
          <w:color w:val="auto"/>
          <w:sz w:val="21"/>
          <w:highlight w:val="none"/>
        </w:rPr>
      </w:pPr>
      <w:r>
        <w:rPr>
          <w:rFonts w:hint="eastAsia" w:ascii="宋体" w:hAnsi="宋体" w:cs="宋体"/>
          <w:b w:val="0"/>
          <w:color w:val="auto"/>
          <w:sz w:val="24"/>
          <w:highlight w:val="none"/>
        </w:rPr>
        <w:br w:type="page"/>
      </w:r>
    </w:p>
    <w:p w14:paraId="03F2410A">
      <w:pPr>
        <w:pStyle w:val="2"/>
        <w:jc w:val="center"/>
        <w:rPr>
          <w:rFonts w:ascii="宋体" w:hAnsi="宋体" w:cs="宋体"/>
          <w:color w:val="auto"/>
          <w:highlight w:val="none"/>
        </w:rPr>
      </w:pPr>
      <w:bookmarkStart w:id="110" w:name="_Toc179997856"/>
      <w:r>
        <w:rPr>
          <w:rFonts w:hint="eastAsia" w:ascii="宋体" w:hAnsi="宋体" w:cs="宋体"/>
          <w:color w:val="auto"/>
          <w:highlight w:val="none"/>
        </w:rPr>
        <w:t>第五章  拟签订的合同文本</w:t>
      </w:r>
      <w:bookmarkEnd w:id="110"/>
    </w:p>
    <w:p w14:paraId="2CA2ACE3">
      <w:pPr>
        <w:snapToGrid w:val="0"/>
        <w:jc w:val="center"/>
        <w:rPr>
          <w:rFonts w:ascii="宋体" w:hAnsi="宋体" w:cs="宋体"/>
          <w:bCs/>
          <w:color w:val="auto"/>
          <w:sz w:val="32"/>
          <w:szCs w:val="32"/>
          <w:highlight w:val="none"/>
        </w:rPr>
      </w:pPr>
    </w:p>
    <w:p w14:paraId="74DEA4DC">
      <w:pPr>
        <w:snapToGrid w:val="0"/>
        <w:jc w:val="center"/>
        <w:rPr>
          <w:rFonts w:ascii="宋体" w:hAnsi="宋体" w:cs="宋体"/>
          <w:bCs/>
          <w:color w:val="auto"/>
          <w:sz w:val="32"/>
          <w:szCs w:val="32"/>
          <w:highlight w:val="none"/>
        </w:rPr>
      </w:pPr>
    </w:p>
    <w:p w14:paraId="39E66233">
      <w:pPr>
        <w:snapToGrid w:val="0"/>
        <w:jc w:val="center"/>
        <w:rPr>
          <w:rFonts w:ascii="宋体" w:hAnsi="宋体" w:cs="宋体"/>
          <w:bCs/>
          <w:color w:val="auto"/>
          <w:sz w:val="32"/>
          <w:szCs w:val="32"/>
          <w:highlight w:val="none"/>
        </w:rPr>
      </w:pPr>
    </w:p>
    <w:p w14:paraId="29A8878A">
      <w:pPr>
        <w:snapToGrid w:val="0"/>
        <w:jc w:val="center"/>
        <w:rPr>
          <w:rFonts w:ascii="宋体" w:hAnsi="宋体" w:cs="宋体"/>
          <w:bCs/>
          <w:color w:val="auto"/>
          <w:sz w:val="32"/>
          <w:szCs w:val="32"/>
          <w:highlight w:val="none"/>
        </w:rPr>
      </w:pPr>
    </w:p>
    <w:p w14:paraId="349175C1">
      <w:pPr>
        <w:snapToGrid w:val="0"/>
        <w:jc w:val="center"/>
        <w:rPr>
          <w:rFonts w:ascii="宋体" w:hAnsi="宋体" w:cs="宋体"/>
          <w:bCs/>
          <w:color w:val="auto"/>
          <w:sz w:val="32"/>
          <w:szCs w:val="32"/>
          <w:highlight w:val="none"/>
        </w:rPr>
      </w:pPr>
    </w:p>
    <w:p w14:paraId="6EA41361">
      <w:pPr>
        <w:snapToGrid w:val="0"/>
        <w:jc w:val="center"/>
        <w:rPr>
          <w:rFonts w:ascii="宋体" w:hAnsi="宋体" w:cs="宋体"/>
          <w:bCs/>
          <w:color w:val="auto"/>
          <w:sz w:val="32"/>
          <w:szCs w:val="32"/>
          <w:highlight w:val="none"/>
        </w:rPr>
      </w:pPr>
    </w:p>
    <w:p w14:paraId="65C2BB0F">
      <w:pPr>
        <w:snapToGrid w:val="0"/>
        <w:jc w:val="center"/>
        <w:rPr>
          <w:rFonts w:ascii="宋体" w:hAnsi="宋体" w:cs="宋体"/>
          <w:bCs/>
          <w:color w:val="auto"/>
          <w:sz w:val="32"/>
          <w:szCs w:val="32"/>
          <w:highlight w:val="none"/>
        </w:rPr>
      </w:pPr>
    </w:p>
    <w:p w14:paraId="70B0CEFA">
      <w:pPr>
        <w:snapToGrid w:val="0"/>
        <w:jc w:val="center"/>
        <w:rPr>
          <w:rFonts w:ascii="宋体" w:hAnsi="宋体" w:cs="宋体"/>
          <w:bCs/>
          <w:color w:val="auto"/>
          <w:sz w:val="32"/>
          <w:szCs w:val="32"/>
          <w:highlight w:val="none"/>
        </w:rPr>
      </w:pPr>
    </w:p>
    <w:p w14:paraId="51B86B44">
      <w:pPr>
        <w:snapToGrid w:val="0"/>
        <w:jc w:val="center"/>
        <w:rPr>
          <w:rFonts w:ascii="宋体" w:hAnsi="宋体" w:cs="宋体"/>
          <w:bCs/>
          <w:color w:val="auto"/>
          <w:sz w:val="32"/>
          <w:szCs w:val="32"/>
          <w:highlight w:val="none"/>
        </w:rPr>
      </w:pPr>
    </w:p>
    <w:p w14:paraId="70A6C39A">
      <w:pPr>
        <w:jc w:val="center"/>
        <w:rPr>
          <w:rFonts w:ascii="宋体" w:hAnsi="宋体" w:cs="宋体"/>
          <w:bCs/>
          <w:color w:val="auto"/>
          <w:highlight w:val="none"/>
        </w:rPr>
      </w:pPr>
      <w:r>
        <w:rPr>
          <w:rFonts w:hint="eastAsia" w:ascii="宋体" w:hAnsi="宋体" w:cs="宋体"/>
          <w:bCs/>
          <w:color w:val="auto"/>
          <w:highlight w:val="none"/>
        </w:rPr>
        <w:br w:type="page"/>
      </w:r>
    </w:p>
    <w:p w14:paraId="0054FCE9">
      <w:pPr>
        <w:snapToGrid w:val="0"/>
        <w:jc w:val="left"/>
        <w:rPr>
          <w:rFonts w:ascii="宋体" w:hAnsi="宋体" w:cs="宋体"/>
          <w:b/>
          <w:bCs/>
          <w:color w:val="auto"/>
          <w:sz w:val="24"/>
          <w:highlight w:val="none"/>
        </w:rPr>
      </w:pPr>
      <w:r>
        <w:rPr>
          <w:rFonts w:hint="eastAsia" w:ascii="宋体" w:hAnsi="宋体" w:cs="宋体"/>
          <w:b/>
          <w:bCs/>
          <w:color w:val="auto"/>
          <w:sz w:val="24"/>
          <w:highlight w:val="none"/>
        </w:rPr>
        <w:t>特别说明：</w:t>
      </w:r>
    </w:p>
    <w:p w14:paraId="1AF95BEB">
      <w:pPr>
        <w:snapToGrid w:val="0"/>
        <w:ind w:firstLine="422" w:firstLineChars="200"/>
        <w:jc w:val="left"/>
        <w:rPr>
          <w:rFonts w:ascii="宋体" w:hAnsi="宋体" w:cs="宋体"/>
          <w:bCs/>
          <w:color w:val="auto"/>
          <w:szCs w:val="21"/>
          <w:highlight w:val="none"/>
        </w:rPr>
      </w:pPr>
      <w:r>
        <w:rPr>
          <w:rFonts w:hint="eastAsia" w:ascii="宋体" w:hAnsi="宋体" w:cs="宋体"/>
          <w:b/>
          <w:bCs/>
          <w:color w:val="auto"/>
          <w:szCs w:val="21"/>
          <w:highlight w:val="none"/>
        </w:rPr>
        <w:t>1、</w:t>
      </w:r>
      <w:r>
        <w:rPr>
          <w:rFonts w:hint="eastAsia" w:ascii="宋体" w:hAnsi="宋体" w:cs="宋体"/>
          <w:bCs/>
          <w:color w:val="auto"/>
          <w:szCs w:val="21"/>
          <w:highlight w:val="none"/>
        </w:rPr>
        <w:t>签订合同时甲方有权根据实际情况在不违反招标文件及乙方投标文件实质性条款的前提下作适当调整。以及补充增加招标文件第二章采购需求中已有要求但本格式合同中未列出的条款。本合同内容与招标文件第二章采购需求的要求互为补充，如有冲突的，以招标文件第二章采购需求中的要求中的内容为准。</w:t>
      </w:r>
    </w:p>
    <w:p w14:paraId="24C9418B">
      <w:pPr>
        <w:spacing w:line="580" w:lineRule="exact"/>
        <w:ind w:left="161" w:hanging="161" w:hangingChars="50"/>
        <w:jc w:val="center"/>
        <w:rPr>
          <w:rFonts w:ascii="宋体" w:hAnsi="宋体" w:cs="宋体"/>
          <w:b/>
          <w:bCs/>
          <w:color w:val="auto"/>
          <w:sz w:val="32"/>
          <w:szCs w:val="32"/>
          <w:highlight w:val="none"/>
          <w:u w:val="single"/>
        </w:rPr>
      </w:pPr>
      <w:r>
        <w:rPr>
          <w:rFonts w:hint="eastAsia" w:ascii="宋体" w:hAnsi="宋体" w:cs="宋体"/>
          <w:b/>
          <w:bCs/>
          <w:color w:val="auto"/>
          <w:sz w:val="32"/>
          <w:szCs w:val="32"/>
          <w:highlight w:val="none"/>
          <w:u w:val="single"/>
        </w:rPr>
        <w:t>柳州市黄村村及周边片区城中村改造项目（胜利地块）集体土地上</w:t>
      </w:r>
      <w:r>
        <w:rPr>
          <w:rFonts w:hint="eastAsia" w:ascii="宋体" w:hAnsi="宋体" w:cs="宋体"/>
          <w:b/>
          <w:bCs/>
          <w:color w:val="auto"/>
          <w:sz w:val="32"/>
          <w:szCs w:val="32"/>
          <w:highlight w:val="none"/>
        </w:rPr>
        <w:t>房屋动迁服务合同</w:t>
      </w:r>
    </w:p>
    <w:p w14:paraId="244C63BB">
      <w:pPr>
        <w:spacing w:line="580" w:lineRule="exact"/>
        <w:ind w:firstLine="442" w:firstLineChars="100"/>
        <w:rPr>
          <w:rFonts w:ascii="宋体" w:hAnsi="宋体"/>
          <w:b/>
          <w:bCs/>
          <w:color w:val="auto"/>
          <w:sz w:val="44"/>
          <w:szCs w:val="44"/>
          <w:highlight w:val="none"/>
          <w:u w:val="single"/>
        </w:rPr>
      </w:pPr>
    </w:p>
    <w:p w14:paraId="574EB77A">
      <w:pPr>
        <w:spacing w:line="360" w:lineRule="auto"/>
        <w:rPr>
          <w:rFonts w:cs="宋体" w:asciiTheme="minorEastAsia" w:hAnsiTheme="minorEastAsia" w:eastAsiaTheme="minorEastAsia"/>
          <w:bCs/>
          <w:color w:val="auto"/>
          <w:szCs w:val="21"/>
          <w:highlight w:val="none"/>
          <w:u w:val="single"/>
        </w:rPr>
      </w:pPr>
      <w:r>
        <w:rPr>
          <w:rFonts w:hint="eastAsia" w:cs="宋体" w:asciiTheme="minorEastAsia" w:hAnsiTheme="minorEastAsia" w:eastAsiaTheme="minorEastAsia"/>
          <w:color w:val="auto"/>
          <w:szCs w:val="21"/>
          <w:highlight w:val="none"/>
        </w:rPr>
        <w:t xml:space="preserve">采购计划号：             </w:t>
      </w:r>
    </w:p>
    <w:p w14:paraId="078A6E53">
      <w:pPr>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采购人（甲方）：</w:t>
      </w:r>
    </w:p>
    <w:p w14:paraId="4B949CDA">
      <w:pPr>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实施动迁单位（乙方）：</w:t>
      </w:r>
    </w:p>
    <w:p w14:paraId="1B8CD89E">
      <w:pPr>
        <w:spacing w:line="360" w:lineRule="auto"/>
        <w:rPr>
          <w:rFonts w:cs="宋体" w:asciiTheme="minorEastAsia" w:hAnsiTheme="minorEastAsia" w:eastAsiaTheme="minorEastAsia"/>
          <w:color w:val="auto"/>
          <w:szCs w:val="21"/>
          <w:highlight w:val="none"/>
          <w:u w:val="single"/>
        </w:rPr>
      </w:pPr>
      <w:r>
        <w:rPr>
          <w:rFonts w:hint="eastAsia" w:cs="宋体" w:asciiTheme="minorEastAsia" w:hAnsiTheme="minorEastAsia" w:eastAsiaTheme="minorEastAsia"/>
          <w:color w:val="auto"/>
          <w:szCs w:val="21"/>
          <w:highlight w:val="none"/>
        </w:rPr>
        <w:t>项目名称：                           项目编号：</w:t>
      </w:r>
    </w:p>
    <w:p w14:paraId="7FCE961E">
      <w:pPr>
        <w:spacing w:line="360" w:lineRule="auto"/>
        <w:rPr>
          <w:rFonts w:hint="eastAsia"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签订地点：                           签订时间：</w:t>
      </w:r>
    </w:p>
    <w:p w14:paraId="07A8AD3D">
      <w:pPr>
        <w:spacing w:line="360" w:lineRule="auto"/>
        <w:rPr>
          <w:rFonts w:hint="eastAsia" w:cs="宋体" w:asciiTheme="minorEastAsia" w:hAnsiTheme="minorEastAsia" w:eastAsiaTheme="minorEastAsia"/>
          <w:b w:val="0"/>
          <w:bCs w:val="0"/>
          <w:color w:val="auto"/>
          <w:szCs w:val="21"/>
          <w:highlight w:val="none"/>
          <w:lang w:eastAsia="zh-CN"/>
        </w:rPr>
      </w:pPr>
      <w:r>
        <w:rPr>
          <w:rFonts w:hint="eastAsia" w:cs="宋体" w:asciiTheme="minorEastAsia" w:hAnsiTheme="minorEastAsia" w:eastAsiaTheme="minorEastAsia"/>
          <w:color w:val="auto"/>
          <w:szCs w:val="21"/>
          <w:highlight w:val="none"/>
          <w:lang w:eastAsia="zh-CN"/>
        </w:rPr>
        <w:t>分标号：</w:t>
      </w:r>
    </w:p>
    <w:p w14:paraId="3B8CADB9">
      <w:pPr>
        <w:spacing w:line="360" w:lineRule="auto"/>
        <w:ind w:firstLine="630" w:firstLineChars="300"/>
        <w:rPr>
          <w:rFonts w:ascii="宋体" w:hAnsi="宋体" w:cs="宋体"/>
          <w:color w:val="auto"/>
          <w:szCs w:val="21"/>
          <w:highlight w:val="none"/>
        </w:rPr>
      </w:pPr>
      <w:r>
        <w:rPr>
          <w:rFonts w:hint="eastAsia" w:cs="宋体" w:asciiTheme="minorEastAsia" w:hAnsiTheme="minorEastAsia" w:eastAsiaTheme="minorEastAsia"/>
          <w:color w:val="auto"/>
          <w:szCs w:val="21"/>
          <w:highlight w:val="none"/>
          <w:u w:val="none"/>
        </w:rPr>
        <w:t>因实施“柳州市黄村村及周边片区城中村改造项目（</w:t>
      </w:r>
      <w:r>
        <w:rPr>
          <w:rFonts w:hint="eastAsia" w:cs="宋体" w:asciiTheme="minorEastAsia" w:hAnsiTheme="minorEastAsia" w:eastAsiaTheme="minorEastAsia"/>
          <w:color w:val="auto"/>
          <w:szCs w:val="21"/>
          <w:highlight w:val="none"/>
          <w:u w:val="none"/>
          <w:lang w:eastAsia="zh-CN"/>
        </w:rPr>
        <w:t>胜利</w:t>
      </w:r>
      <w:r>
        <w:rPr>
          <w:rFonts w:hint="eastAsia" w:cs="宋体" w:asciiTheme="minorEastAsia" w:hAnsiTheme="minorEastAsia" w:eastAsiaTheme="minorEastAsia"/>
          <w:color w:val="auto"/>
          <w:szCs w:val="21"/>
          <w:highlight w:val="none"/>
          <w:u w:val="none"/>
        </w:rPr>
        <w:t>地块）”项</w:t>
      </w:r>
      <w:r>
        <w:rPr>
          <w:rFonts w:hint="eastAsia" w:cs="宋体" w:asciiTheme="minorEastAsia" w:hAnsiTheme="minorEastAsia" w:eastAsiaTheme="minorEastAsia"/>
          <w:color w:val="auto"/>
          <w:szCs w:val="21"/>
          <w:highlight w:val="none"/>
        </w:rPr>
        <w:t>目建设，需征收规划用地范围内</w:t>
      </w:r>
      <w:r>
        <w:rPr>
          <w:rFonts w:hint="eastAsia" w:cs="宋体" w:asciiTheme="minorEastAsia" w:hAnsiTheme="minorEastAsia" w:eastAsiaTheme="minorEastAsia"/>
          <w:color w:val="auto"/>
          <w:szCs w:val="21"/>
          <w:highlight w:val="none"/>
          <w:lang w:eastAsia="zh-CN"/>
        </w:rPr>
        <w:t>集</w:t>
      </w:r>
      <w:r>
        <w:rPr>
          <w:rFonts w:hint="eastAsia" w:cs="宋体" w:asciiTheme="minorEastAsia" w:hAnsiTheme="minorEastAsia" w:eastAsiaTheme="minorEastAsia"/>
          <w:color w:val="auto"/>
          <w:szCs w:val="21"/>
          <w:highlight w:val="none"/>
        </w:rPr>
        <w:t>土地上房屋及附属物。依据《中华人民共和国政府采购法》、《中华人民共和国民法典》、《中华人民共和国土地管理法》、</w:t>
      </w:r>
      <w:r>
        <w:rPr>
          <w:rFonts w:hint="eastAsia" w:ascii="宋体" w:hAnsi="宋体" w:cs="宋体"/>
          <w:color w:val="auto"/>
          <w:highlight w:val="none"/>
        </w:rPr>
        <w:t>《中华人民共和国土地管理法实施条例》、《广西壮族自治区实施（中华人民共和国土地管理法》办法》</w:t>
      </w:r>
      <w:r>
        <w:rPr>
          <w:rFonts w:hint="eastAsia" w:cs="宋体" w:asciiTheme="minorEastAsia" w:hAnsiTheme="minorEastAsia" w:eastAsiaTheme="minorEastAsia"/>
          <w:color w:val="auto"/>
          <w:szCs w:val="21"/>
          <w:highlight w:val="none"/>
        </w:rPr>
        <w:t>等法律、法规规定，按照招标采购文件规定条款和中标供应商承诺，甲方将负责实施的</w:t>
      </w:r>
      <w:r>
        <w:rPr>
          <w:rFonts w:hint="eastAsia" w:ascii="宋体" w:hAnsi="宋体" w:cs="宋体"/>
          <w:color w:val="auto"/>
          <w:highlight w:val="none"/>
        </w:rPr>
        <w:t>“柳州市黄村村及周边片区城中村改造</w:t>
      </w:r>
      <w:r>
        <w:rPr>
          <w:rFonts w:hint="eastAsia" w:ascii="宋体" w:hAnsi="宋体" w:cs="宋体"/>
          <w:bCs/>
          <w:color w:val="auto"/>
          <w:kern w:val="0"/>
          <w:szCs w:val="21"/>
          <w:highlight w:val="none"/>
        </w:rPr>
        <w:t>项目（</w:t>
      </w:r>
      <w:r>
        <w:rPr>
          <w:rFonts w:hint="eastAsia" w:ascii="宋体" w:hAnsi="宋体" w:cs="宋体"/>
          <w:bCs/>
          <w:color w:val="auto"/>
          <w:kern w:val="0"/>
          <w:szCs w:val="21"/>
          <w:highlight w:val="none"/>
          <w:lang w:eastAsia="zh-CN"/>
        </w:rPr>
        <w:t>胜利</w:t>
      </w:r>
      <w:r>
        <w:rPr>
          <w:rFonts w:hint="eastAsia" w:ascii="宋体" w:hAnsi="宋体" w:cs="宋体"/>
          <w:bCs/>
          <w:color w:val="auto"/>
          <w:kern w:val="0"/>
          <w:szCs w:val="21"/>
          <w:highlight w:val="none"/>
        </w:rPr>
        <w:t>地块）”</w:t>
      </w:r>
      <w:r>
        <w:rPr>
          <w:rFonts w:hint="eastAsia" w:cs="宋体" w:asciiTheme="minorEastAsia" w:hAnsiTheme="minorEastAsia" w:eastAsiaTheme="minorEastAsia"/>
          <w:color w:val="auto"/>
          <w:szCs w:val="21"/>
          <w:highlight w:val="none"/>
        </w:rPr>
        <w:t>项目规划红线范围内</w:t>
      </w:r>
      <w:r>
        <w:rPr>
          <w:rFonts w:hint="eastAsia" w:ascii="宋体" w:hAnsi="宋体" w:cs="宋体"/>
          <w:color w:val="auto"/>
          <w:szCs w:val="21"/>
          <w:highlight w:val="none"/>
        </w:rPr>
        <w:t>房屋及附属物的房屋征收动迁工作委托乙开展实施。经甲、乙双方平等协商，甲、乙双方签订本合同。</w:t>
      </w:r>
    </w:p>
    <w:p w14:paraId="48C45F30">
      <w:pPr>
        <w:spacing w:line="360" w:lineRule="auto"/>
        <w:ind w:firstLine="555"/>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t>第一条 项目概况</w:t>
      </w:r>
    </w:p>
    <w:p w14:paraId="0E4E2E6D">
      <w:pPr>
        <w:spacing w:line="360" w:lineRule="auto"/>
        <w:ind w:firstLine="420" w:firstLineChars="200"/>
        <w:rPr>
          <w:rFonts w:hint="eastAsia" w:ascii="宋体" w:hAnsi="宋体" w:eastAsia="宋体" w:cs="宋体"/>
          <w:color w:val="auto"/>
          <w:szCs w:val="21"/>
          <w:highlight w:val="none"/>
          <w:u w:val="none"/>
          <w:lang w:eastAsia="zh-CN"/>
        </w:rPr>
      </w:pPr>
      <w:r>
        <w:rPr>
          <w:rFonts w:hint="eastAsia" w:cs="宋体" w:asciiTheme="minorEastAsia" w:hAnsiTheme="minorEastAsia" w:eastAsiaTheme="minorEastAsia"/>
          <w:color w:val="auto"/>
          <w:szCs w:val="21"/>
          <w:highlight w:val="none"/>
        </w:rPr>
        <w:t>1.项</w:t>
      </w:r>
      <w:r>
        <w:rPr>
          <w:rFonts w:hint="eastAsia" w:ascii="宋体" w:hAnsi="宋体" w:eastAsia="宋体" w:cs="宋体"/>
          <w:color w:val="auto"/>
          <w:szCs w:val="21"/>
          <w:highlight w:val="none"/>
          <w:u w:val="none"/>
        </w:rPr>
        <w:t>目内容：</w:t>
      </w:r>
      <w:r>
        <w:rPr>
          <w:rFonts w:hint="eastAsia" w:ascii="宋体" w:hAnsi="宋体" w:cs="宋体"/>
          <w:color w:val="auto"/>
          <w:szCs w:val="21"/>
          <w:highlight w:val="none"/>
          <w:u w:val="single"/>
          <w:lang w:eastAsia="zh-CN"/>
        </w:rPr>
        <w:t>柳州市黄村村及周边片区城中村改造项目（胜利地块）集体土地上房屋动迁服务</w:t>
      </w:r>
      <w:r>
        <w:rPr>
          <w:rFonts w:hint="eastAsia" w:ascii="宋体" w:hAnsi="宋体" w:eastAsia="宋体" w:cs="宋体"/>
          <w:color w:val="auto"/>
          <w:szCs w:val="21"/>
          <w:highlight w:val="none"/>
          <w:u w:val="single"/>
          <w:lang w:eastAsia="zh-CN"/>
        </w:rPr>
        <w:t>。</w:t>
      </w:r>
    </w:p>
    <w:p w14:paraId="0F2D1297">
      <w:pPr>
        <w:spacing w:line="360" w:lineRule="auto"/>
        <w:ind w:firstLine="420" w:firstLineChars="200"/>
        <w:rPr>
          <w:rFonts w:hint="eastAsia" w:ascii="宋体" w:hAnsi="宋体" w:eastAsia="宋体" w:cs="宋体"/>
          <w:color w:val="auto"/>
          <w:szCs w:val="21"/>
          <w:highlight w:val="none"/>
          <w:u w:val="none"/>
          <w:lang w:eastAsia="zh-CN"/>
        </w:rPr>
      </w:pPr>
      <w:r>
        <w:rPr>
          <w:rFonts w:hint="eastAsia" w:ascii="宋体" w:hAnsi="宋体" w:eastAsia="宋体" w:cs="宋体"/>
          <w:color w:val="auto"/>
          <w:szCs w:val="21"/>
          <w:highlight w:val="none"/>
          <w:u w:val="none"/>
        </w:rPr>
        <w:t>2.项目地点：</w:t>
      </w:r>
      <w:r>
        <w:rPr>
          <w:rFonts w:hint="eastAsia" w:ascii="宋体" w:hAnsi="宋体" w:eastAsia="宋体" w:cs="宋体"/>
          <w:color w:val="auto"/>
          <w:szCs w:val="21"/>
          <w:highlight w:val="none"/>
          <w:u w:val="single"/>
        </w:rPr>
        <w:t>“柳州市黄村村及周边片区城中村改造项目（胜利地块）集体土地上房屋”项目规划红线范围内</w:t>
      </w:r>
      <w:r>
        <w:rPr>
          <w:rFonts w:hint="eastAsia" w:ascii="宋体" w:hAnsi="宋体" w:eastAsia="宋体" w:cs="宋体"/>
          <w:color w:val="auto"/>
          <w:szCs w:val="21"/>
          <w:highlight w:val="none"/>
          <w:u w:val="single"/>
          <w:lang w:eastAsia="zh-CN"/>
        </w:rPr>
        <w:t>。</w:t>
      </w:r>
    </w:p>
    <w:p w14:paraId="401785CD">
      <w:pPr>
        <w:spacing w:line="360" w:lineRule="auto"/>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none"/>
        </w:rPr>
        <w:t>3.动迁工作范围</w:t>
      </w:r>
      <w:r>
        <w:rPr>
          <w:rFonts w:hint="eastAsia" w:ascii="宋体" w:hAnsi="宋体" w:cs="宋体"/>
          <w:color w:val="auto"/>
          <w:szCs w:val="21"/>
          <w:highlight w:val="none"/>
          <w:u w:val="none"/>
          <w:lang w:eastAsia="zh-CN"/>
        </w:rPr>
        <w:t>：</w:t>
      </w:r>
      <w:r>
        <w:rPr>
          <w:rFonts w:hint="eastAsia" w:ascii="宋体" w:hAnsi="宋体" w:eastAsia="宋体" w:cs="宋体"/>
          <w:color w:val="auto"/>
          <w:szCs w:val="21"/>
          <w:highlight w:val="none"/>
          <w:u w:val="single"/>
        </w:rPr>
        <w:t>为“柳州市黄村村及周边片区城中村改造项目（胜利地块）”集体土地上房屋动迁服务采购项目规划定点红线范围内国有土地上的房屋及附属物组织开展包括但不限于与被征收人进行房屋征收补偿安置协商、组织采购人与房屋被征收人签订和实施房屋征收补偿安置协议等工作。</w:t>
      </w:r>
    </w:p>
    <w:p w14:paraId="11599579">
      <w:pPr>
        <w:spacing w:line="360" w:lineRule="auto"/>
        <w:ind w:firstLine="420" w:firstLineChars="200"/>
        <w:rPr>
          <w:rFonts w:hint="eastAsia" w:cs="宋体" w:asciiTheme="minorEastAsia" w:hAnsiTheme="minorEastAsia" w:eastAsiaTheme="minorEastAsia"/>
          <w:b/>
          <w:bCs/>
          <w:color w:val="auto"/>
          <w:szCs w:val="21"/>
          <w:highlight w:val="none"/>
        </w:rPr>
      </w:pPr>
      <w:r>
        <w:rPr>
          <w:rFonts w:hint="eastAsia" w:ascii="宋体" w:hAnsi="宋体" w:cs="宋体"/>
          <w:color w:val="auto"/>
          <w:highlight w:val="none"/>
          <w:lang w:val="en-US" w:eastAsia="zh-CN"/>
        </w:rPr>
        <w:t>4.</w:t>
      </w:r>
      <w:r>
        <w:rPr>
          <w:rFonts w:hint="eastAsia" w:ascii="宋体" w:hAnsi="宋体" w:cs="宋体"/>
          <w:color w:val="auto"/>
          <w:highlight w:val="none"/>
        </w:rPr>
        <w:t>征收范围地址</w:t>
      </w:r>
      <w:r>
        <w:rPr>
          <w:rFonts w:hint="eastAsia" w:ascii="宋体" w:hAnsi="宋体" w:cs="宋体"/>
          <w:color w:val="auto"/>
          <w:highlight w:val="none"/>
          <w:lang w:eastAsia="zh-CN"/>
        </w:rPr>
        <w:t>：</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u w:val="single"/>
          <w:lang w:eastAsia="zh-CN"/>
        </w:rPr>
        <w:t>。</w:t>
      </w:r>
    </w:p>
    <w:p w14:paraId="74931441">
      <w:pPr>
        <w:spacing w:line="360" w:lineRule="auto"/>
        <w:rPr>
          <w:rFonts w:ascii="宋体" w:hAnsi="宋体" w:cs="宋体"/>
          <w:color w:val="auto"/>
          <w:szCs w:val="21"/>
          <w:highlight w:val="none"/>
        </w:rPr>
      </w:pPr>
      <w:r>
        <w:rPr>
          <w:rFonts w:hint="eastAsia" w:cs="宋体" w:asciiTheme="minorEastAsia" w:hAnsiTheme="minorEastAsia" w:eastAsiaTheme="minorEastAsia"/>
          <w:b/>
          <w:bCs/>
          <w:color w:val="auto"/>
          <w:szCs w:val="21"/>
          <w:highlight w:val="none"/>
        </w:rPr>
        <w:t>第</w:t>
      </w:r>
      <w:r>
        <w:rPr>
          <w:rFonts w:hint="eastAsia" w:ascii="宋体" w:hAnsi="宋体" w:cs="宋体"/>
          <w:b/>
          <w:bCs/>
          <w:color w:val="auto"/>
          <w:szCs w:val="21"/>
          <w:highlight w:val="none"/>
        </w:rPr>
        <w:t>二条 合同费用、合同价格形式、合同费用结算及支付方式</w:t>
      </w:r>
    </w:p>
    <w:p w14:paraId="07683FC3">
      <w:pPr>
        <w:spacing w:line="360" w:lineRule="auto"/>
        <w:rPr>
          <w:rFonts w:ascii="宋体" w:hAnsi="宋体" w:cs="宋体"/>
          <w:b/>
          <w:bCs/>
          <w:color w:val="auto"/>
          <w:szCs w:val="21"/>
          <w:highlight w:val="none"/>
        </w:rPr>
      </w:pPr>
      <w:r>
        <w:rPr>
          <w:rFonts w:hint="eastAsia" w:ascii="宋体" w:hAnsi="宋体" w:cs="宋体"/>
          <w:b/>
          <w:bCs/>
          <w:color w:val="auto"/>
          <w:szCs w:val="21"/>
          <w:highlight w:val="none"/>
        </w:rPr>
        <w:t>（一）合同费用</w:t>
      </w:r>
    </w:p>
    <w:p w14:paraId="53CF6D9E">
      <w:pPr>
        <w:widowControl/>
        <w:spacing w:line="360" w:lineRule="auto"/>
        <w:ind w:firstLine="422" w:firstLineChars="200"/>
        <w:jc w:val="left"/>
        <w:rPr>
          <w:rFonts w:ascii="宋体" w:hAnsi="宋体" w:cs="宋体"/>
          <w:bCs/>
          <w:color w:val="auto"/>
          <w:kern w:val="0"/>
          <w:szCs w:val="21"/>
          <w:highlight w:val="none"/>
        </w:rPr>
      </w:pPr>
      <w:r>
        <w:rPr>
          <w:rFonts w:hint="eastAsia" w:ascii="宋体" w:hAnsi="宋体" w:cs="宋体"/>
          <w:b/>
          <w:color w:val="auto"/>
          <w:kern w:val="0"/>
          <w:szCs w:val="21"/>
          <w:highlight w:val="none"/>
          <w:u w:val="single"/>
        </w:rPr>
        <w:t>房屋征收实施费包含</w:t>
      </w:r>
      <w:r>
        <w:rPr>
          <w:rFonts w:hint="eastAsia" w:ascii="宋体" w:hAnsi="宋体" w:cs="宋体"/>
          <w:bCs/>
          <w:color w:val="auto"/>
          <w:kern w:val="0"/>
          <w:szCs w:val="21"/>
          <w:highlight w:val="none"/>
        </w:rPr>
        <w:t>实施和完成本项目动迁服务内容的全部所需的</w:t>
      </w:r>
      <w:r>
        <w:rPr>
          <w:rFonts w:hint="eastAsia" w:ascii="宋体" w:hAnsi="宋体" w:cs="宋体"/>
          <w:b/>
          <w:color w:val="auto"/>
          <w:kern w:val="0"/>
          <w:szCs w:val="21"/>
          <w:highlight w:val="none"/>
          <w:u w:val="single"/>
        </w:rPr>
        <w:t>人工费、交通、通讯、现场勘察、协调、技术处理、办公、耗材等以及管理费、利润、税金、保险、政策性文件规定的合同包含的所有风险、责任等全部</w:t>
      </w:r>
      <w:r>
        <w:rPr>
          <w:rFonts w:hint="eastAsia" w:ascii="宋体" w:hAnsi="宋体" w:cs="宋体"/>
          <w:bCs/>
          <w:color w:val="auto"/>
          <w:kern w:val="0"/>
          <w:szCs w:val="21"/>
          <w:highlight w:val="none"/>
          <w:u w:val="single"/>
        </w:rPr>
        <w:t>费用</w:t>
      </w:r>
      <w:r>
        <w:rPr>
          <w:rFonts w:hint="eastAsia" w:ascii="宋体" w:hAnsi="宋体" w:cs="宋体"/>
          <w:bCs/>
          <w:color w:val="auto"/>
          <w:kern w:val="0"/>
          <w:szCs w:val="21"/>
          <w:highlight w:val="none"/>
        </w:rPr>
        <w:t>。</w:t>
      </w:r>
    </w:p>
    <w:p w14:paraId="0B9CABB1">
      <w:pPr>
        <w:widowControl/>
        <w:shd w:val="clear" w:color="auto" w:fill="FFFFFF"/>
        <w:spacing w:line="360" w:lineRule="auto"/>
        <w:rPr>
          <w:rFonts w:ascii="宋体" w:hAnsi="宋体" w:cs="宋体"/>
          <w:b/>
          <w:bCs/>
          <w:color w:val="auto"/>
          <w:szCs w:val="21"/>
          <w:highlight w:val="none"/>
        </w:rPr>
      </w:pPr>
      <w:r>
        <w:rPr>
          <w:rFonts w:hint="eastAsia" w:ascii="宋体" w:hAnsi="宋体" w:cs="宋体"/>
          <w:b/>
          <w:color w:val="auto"/>
          <w:kern w:val="0"/>
          <w:szCs w:val="21"/>
          <w:highlight w:val="none"/>
        </w:rPr>
        <w:t xml:space="preserve">  </w:t>
      </w:r>
      <w:r>
        <w:rPr>
          <w:rFonts w:hint="eastAsia" w:ascii="宋体" w:hAnsi="宋体" w:cs="宋体"/>
          <w:b/>
          <w:bCs/>
          <w:color w:val="auto"/>
          <w:szCs w:val="21"/>
          <w:highlight w:val="none"/>
        </w:rPr>
        <w:t>（二）合同价格形式及合同价格：</w:t>
      </w:r>
    </w:p>
    <w:p w14:paraId="62ADC663">
      <w:pPr>
        <w:spacing w:line="360" w:lineRule="auto"/>
        <w:rPr>
          <w:rFonts w:ascii="宋体" w:hAnsi="宋体" w:cs="宋体"/>
          <w:bCs/>
          <w:color w:val="auto"/>
          <w:szCs w:val="21"/>
          <w:highlight w:val="none"/>
        </w:rPr>
      </w:pPr>
      <w:r>
        <w:rPr>
          <w:rFonts w:hint="eastAsia" w:ascii="宋体" w:hAnsi="宋体" w:cs="宋体"/>
          <w:bCs/>
          <w:color w:val="auto"/>
          <w:szCs w:val="21"/>
          <w:highlight w:val="none"/>
        </w:rPr>
        <w:t xml:space="preserve">    1、 本合同采用 </w:t>
      </w:r>
      <w:r>
        <w:rPr>
          <w:rFonts w:hint="eastAsia" w:ascii="宋体" w:hAnsi="宋体" w:cs="宋体"/>
          <w:b/>
          <w:bCs/>
          <w:color w:val="auto"/>
          <w:szCs w:val="21"/>
          <w:highlight w:val="none"/>
          <w:u w:val="single"/>
        </w:rPr>
        <w:t xml:space="preserve">价格优惠率 </w:t>
      </w:r>
      <w:r>
        <w:rPr>
          <w:rFonts w:hint="eastAsia" w:ascii="宋体" w:hAnsi="宋体" w:cs="宋体"/>
          <w:bCs/>
          <w:color w:val="auto"/>
          <w:szCs w:val="21"/>
          <w:highlight w:val="none"/>
        </w:rPr>
        <w:t>合同。</w:t>
      </w:r>
    </w:p>
    <w:p w14:paraId="1F673638">
      <w:pPr>
        <w:spacing w:line="360" w:lineRule="auto"/>
        <w:ind w:firstLine="420" w:firstLineChars="200"/>
        <w:rPr>
          <w:rFonts w:ascii="宋体" w:hAnsi="宋体" w:cs="宋体"/>
          <w:color w:val="auto"/>
          <w:szCs w:val="21"/>
          <w:highlight w:val="none"/>
        </w:rPr>
      </w:pPr>
      <w:r>
        <w:rPr>
          <w:rFonts w:hint="eastAsia" w:ascii="宋体" w:hAnsi="宋体" w:cs="宋体"/>
          <w:color w:val="auto"/>
          <w:kern w:val="0"/>
          <w:szCs w:val="21"/>
          <w:highlight w:val="none"/>
        </w:rPr>
        <w:t>2、房屋征收实施费</w:t>
      </w:r>
      <w:r>
        <w:rPr>
          <w:rFonts w:hint="eastAsia" w:ascii="宋体" w:hAnsi="宋体" w:cs="宋体"/>
          <w:color w:val="auto"/>
          <w:szCs w:val="21"/>
          <w:highlight w:val="none"/>
        </w:rPr>
        <w:t>优惠率：</w:t>
      </w:r>
      <w:r>
        <w:rPr>
          <w:rFonts w:hint="eastAsia" w:cs="宋体" w:asciiTheme="minorEastAsia" w:hAnsiTheme="minorEastAsia" w:eastAsiaTheme="minorEastAsia"/>
          <w:color w:val="auto"/>
          <w:szCs w:val="21"/>
          <w:highlight w:val="none"/>
          <w:u w:val="single"/>
        </w:rPr>
        <w:t xml:space="preserve">  　</w:t>
      </w:r>
      <w:r>
        <w:rPr>
          <w:rFonts w:hint="eastAsia" w:ascii="宋体" w:hAnsi="宋体" w:cs="宋体"/>
          <w:color w:val="auto"/>
          <w:szCs w:val="21"/>
          <w:highlight w:val="none"/>
        </w:rPr>
        <w:t>%。</w:t>
      </w:r>
    </w:p>
    <w:p w14:paraId="41FC1599">
      <w:pPr>
        <w:widowControl/>
        <w:shd w:val="clear" w:color="auto" w:fill="FFFFFF"/>
        <w:spacing w:line="360" w:lineRule="auto"/>
        <w:rPr>
          <w:rFonts w:ascii="宋体" w:hAnsi="宋体" w:cs="宋体"/>
          <w:b/>
          <w:bCs/>
          <w:color w:val="auto"/>
          <w:szCs w:val="21"/>
          <w:highlight w:val="none"/>
        </w:rPr>
      </w:pPr>
      <w:r>
        <w:rPr>
          <w:rFonts w:hint="eastAsia" w:ascii="宋体" w:hAnsi="宋体" w:cs="宋体"/>
          <w:b/>
          <w:color w:val="auto"/>
          <w:szCs w:val="21"/>
          <w:highlight w:val="none"/>
        </w:rPr>
        <w:t>（三）</w:t>
      </w:r>
      <w:r>
        <w:rPr>
          <w:rFonts w:hint="eastAsia" w:ascii="宋体" w:hAnsi="宋体" w:cs="宋体"/>
          <w:b/>
          <w:bCs/>
          <w:color w:val="auto"/>
          <w:szCs w:val="21"/>
          <w:highlight w:val="none"/>
        </w:rPr>
        <w:t>合同费用结算</w:t>
      </w:r>
    </w:p>
    <w:p w14:paraId="4F46ECA8">
      <w:pPr>
        <w:widowControl/>
        <w:shd w:val="clear" w:color="auto" w:fill="FFFFFF"/>
        <w:spacing w:line="360" w:lineRule="auto"/>
        <w:ind w:firstLine="210" w:firstLineChars="100"/>
        <w:rPr>
          <w:rFonts w:ascii="宋体" w:hAnsi="宋体" w:cs="宋体"/>
          <w:color w:val="auto"/>
          <w:szCs w:val="21"/>
          <w:highlight w:val="none"/>
        </w:rPr>
      </w:pPr>
      <w:r>
        <w:rPr>
          <w:rFonts w:hint="eastAsia" w:ascii="宋体" w:hAnsi="宋体" w:cs="宋体"/>
          <w:color w:val="auto"/>
          <w:szCs w:val="21"/>
          <w:highlight w:val="none"/>
        </w:rPr>
        <w:t xml:space="preserve"> </w:t>
      </w:r>
      <w:r>
        <w:rPr>
          <w:rFonts w:hint="eastAsia" w:ascii="宋体" w:hAnsi="宋体" w:cs="宋体"/>
          <w:b/>
          <w:bCs/>
          <w:color w:val="auto"/>
          <w:kern w:val="0"/>
          <w:szCs w:val="21"/>
          <w:highlight w:val="none"/>
        </w:rPr>
        <w:t>房屋征收实施费：</w:t>
      </w:r>
      <w:r>
        <w:rPr>
          <w:rFonts w:hint="eastAsia" w:ascii="宋体" w:hAnsi="宋体" w:cs="宋体"/>
          <w:color w:val="auto"/>
          <w:szCs w:val="21"/>
          <w:highlight w:val="none"/>
        </w:rPr>
        <w:t>以</w:t>
      </w:r>
      <w:r>
        <w:rPr>
          <w:rFonts w:hint="eastAsia" w:ascii="宋体" w:hAnsi="宋体" w:cs="宋体"/>
          <w:bCs/>
          <w:color w:val="auto"/>
          <w:kern w:val="0"/>
          <w:szCs w:val="21"/>
          <w:highlight w:val="none"/>
          <w:u w:val="single"/>
        </w:rPr>
        <w:t>实际完成的工作量为基准</w:t>
      </w:r>
      <w:r>
        <w:rPr>
          <w:rFonts w:hint="eastAsia" w:ascii="宋体" w:hAnsi="宋体" w:cs="宋体"/>
          <w:color w:val="auto"/>
          <w:szCs w:val="21"/>
          <w:highlight w:val="none"/>
        </w:rPr>
        <w:t>，</w:t>
      </w:r>
      <w:r>
        <w:rPr>
          <w:rFonts w:hint="eastAsia" w:ascii="宋体" w:hAnsi="宋体" w:cs="宋体"/>
          <w:b/>
          <w:bCs/>
          <w:color w:val="auto"/>
          <w:kern w:val="0"/>
          <w:szCs w:val="21"/>
          <w:highlight w:val="none"/>
        </w:rPr>
        <w:t>按</w:t>
      </w:r>
      <w:r>
        <w:rPr>
          <w:rFonts w:hint="eastAsia" w:ascii="宋体" w:hAnsi="宋体" w:cs="宋体"/>
          <w:color w:val="auto"/>
          <w:kern w:val="0"/>
          <w:szCs w:val="21"/>
          <w:highlight w:val="none"/>
          <w:u w:val="single"/>
        </w:rPr>
        <w:t>“柳财发〔2013〕1 号”</w:t>
      </w:r>
      <w:r>
        <w:rPr>
          <w:rFonts w:hint="eastAsia" w:ascii="宋体" w:hAnsi="宋体" w:cs="宋体"/>
          <w:b/>
          <w:bCs/>
          <w:color w:val="auto"/>
          <w:kern w:val="0"/>
          <w:szCs w:val="21"/>
          <w:highlight w:val="none"/>
        </w:rPr>
        <w:t>和</w:t>
      </w:r>
      <w:r>
        <w:rPr>
          <w:rFonts w:hint="eastAsia" w:ascii="宋体" w:hAnsi="宋体" w:cs="宋体"/>
          <w:color w:val="auto"/>
          <w:kern w:val="0"/>
          <w:szCs w:val="21"/>
          <w:highlight w:val="none"/>
          <w:u w:val="single"/>
        </w:rPr>
        <w:t>“柳财发〔2015〕1 号”</w:t>
      </w:r>
      <w:r>
        <w:rPr>
          <w:rFonts w:hint="eastAsia" w:ascii="宋体" w:hAnsi="宋体" w:cs="宋体"/>
          <w:color w:val="auto"/>
          <w:kern w:val="0"/>
          <w:szCs w:val="21"/>
          <w:highlight w:val="none"/>
        </w:rPr>
        <w:t>等文件规定</w:t>
      </w:r>
      <w:r>
        <w:rPr>
          <w:rFonts w:hint="eastAsia" w:ascii="宋体" w:hAnsi="宋体" w:cs="宋体"/>
          <w:color w:val="auto"/>
          <w:szCs w:val="21"/>
          <w:highlight w:val="none"/>
        </w:rPr>
        <w:t>计算的</w:t>
      </w:r>
      <w:r>
        <w:rPr>
          <w:rFonts w:hint="eastAsia" w:ascii="宋体" w:hAnsi="宋体" w:cs="宋体"/>
          <w:b/>
          <w:bCs/>
          <w:color w:val="auto"/>
          <w:szCs w:val="21"/>
          <w:highlight w:val="none"/>
        </w:rPr>
        <w:t>标准价×（1-房屋征收实施费优惠率）</w:t>
      </w:r>
      <w:r>
        <w:rPr>
          <w:rFonts w:hint="eastAsia" w:ascii="宋体" w:hAnsi="宋体" w:cs="宋体"/>
          <w:color w:val="auto"/>
          <w:szCs w:val="21"/>
          <w:highlight w:val="none"/>
        </w:rPr>
        <w:t>进行</w:t>
      </w:r>
      <w:r>
        <w:rPr>
          <w:rFonts w:hint="eastAsia" w:ascii="宋体" w:hAnsi="宋体" w:cs="宋体"/>
          <w:b/>
          <w:bCs/>
          <w:color w:val="auto"/>
          <w:szCs w:val="21"/>
          <w:highlight w:val="none"/>
        </w:rPr>
        <w:t>结算</w:t>
      </w:r>
      <w:r>
        <w:rPr>
          <w:rFonts w:hint="eastAsia" w:ascii="宋体" w:hAnsi="宋体" w:cs="宋体"/>
          <w:color w:val="auto"/>
          <w:szCs w:val="21"/>
          <w:highlight w:val="none"/>
        </w:rPr>
        <w:t>。</w:t>
      </w:r>
    </w:p>
    <w:p w14:paraId="14332B39">
      <w:pPr>
        <w:widowControl/>
        <w:shd w:val="clear" w:color="auto" w:fill="FFFFFF"/>
        <w:spacing w:line="360" w:lineRule="auto"/>
        <w:ind w:firstLine="422" w:firstLineChars="200"/>
        <w:rPr>
          <w:rFonts w:ascii="宋体" w:hAnsi="宋体" w:cs="宋体"/>
          <w:bCs/>
          <w:color w:val="auto"/>
          <w:kern w:val="0"/>
          <w:szCs w:val="21"/>
          <w:highlight w:val="none"/>
          <w:u w:val="single"/>
        </w:rPr>
      </w:pPr>
      <w:r>
        <w:rPr>
          <w:rFonts w:hint="eastAsia" w:ascii="宋体" w:hAnsi="宋体" w:cs="宋体"/>
          <w:b/>
          <w:bCs/>
          <w:color w:val="auto"/>
          <w:szCs w:val="21"/>
          <w:highlight w:val="none"/>
        </w:rPr>
        <w:t>其中</w:t>
      </w:r>
      <w:r>
        <w:rPr>
          <w:rFonts w:hint="eastAsia" w:ascii="宋体" w:hAnsi="宋体" w:cs="宋体"/>
          <w:color w:val="auto"/>
          <w:szCs w:val="21"/>
          <w:highlight w:val="none"/>
        </w:rPr>
        <w:t>：</w:t>
      </w:r>
      <w:r>
        <w:rPr>
          <w:rFonts w:hint="eastAsia" w:ascii="宋体" w:hAnsi="宋体" w:cs="宋体"/>
          <w:bCs/>
          <w:color w:val="auto"/>
          <w:kern w:val="0"/>
          <w:szCs w:val="21"/>
          <w:highlight w:val="none"/>
          <w:u w:val="single"/>
        </w:rPr>
        <w:t>房屋征收的工作量经甲方审核后，方可核定为计费的工作量。</w:t>
      </w:r>
    </w:p>
    <w:p w14:paraId="6F38CCC2">
      <w:pPr>
        <w:pStyle w:val="17"/>
        <w:kinsoku w:val="0"/>
        <w:overflowPunct w:val="0"/>
        <w:spacing w:line="312" w:lineRule="auto"/>
        <w:ind w:right="406"/>
        <w:rPr>
          <w:rFonts w:cs="宋体" w:asciiTheme="minorEastAsia" w:hAnsiTheme="minorEastAsia" w:eastAsiaTheme="minorEastAsia"/>
          <w:b/>
          <w:bCs/>
          <w:color w:val="auto"/>
          <w:sz w:val="21"/>
          <w:szCs w:val="21"/>
          <w:highlight w:val="none"/>
        </w:rPr>
      </w:pPr>
      <w:r>
        <w:rPr>
          <w:rFonts w:hint="eastAsia" w:cs="宋体" w:asciiTheme="minorEastAsia" w:hAnsiTheme="minorEastAsia" w:eastAsiaTheme="minorEastAsia"/>
          <w:b/>
          <w:bCs/>
          <w:color w:val="auto"/>
          <w:sz w:val="21"/>
          <w:szCs w:val="21"/>
          <w:highlight w:val="none"/>
        </w:rPr>
        <w:t>（四）</w:t>
      </w:r>
      <w:r>
        <w:rPr>
          <w:rFonts w:cs="宋体" w:asciiTheme="minorEastAsia" w:hAnsiTheme="minorEastAsia" w:eastAsiaTheme="minorEastAsia"/>
          <w:b/>
          <w:bCs/>
          <w:color w:val="auto"/>
          <w:sz w:val="21"/>
          <w:szCs w:val="21"/>
          <w:highlight w:val="none"/>
        </w:rPr>
        <w:t>支付方式</w:t>
      </w:r>
    </w:p>
    <w:p w14:paraId="48141ED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征收实施费进度款：在项目征收工作完成率达30%时，由甲方根据乙方征收进度并审核签字同意后，甲方支付乙方征收实施费用。征收实施费进度款付至应付总费用的80%即停止支付，尾款在结算经市财政审核并向甲方移交完应归档资料、完工报告书及办理房产、土地证注销等手续后10个工作日内支付完毕。</w:t>
      </w:r>
    </w:p>
    <w:p w14:paraId="3F3CFBE0">
      <w:pPr>
        <w:numPr>
          <w:ilvl w:val="0"/>
          <w:numId w:val="5"/>
        </w:numPr>
        <w:spacing w:line="360" w:lineRule="auto"/>
        <w:rPr>
          <w:rFonts w:ascii="宋体" w:hAnsi="宋体" w:cs="宋体"/>
          <w:b/>
          <w:bCs/>
          <w:color w:val="auto"/>
          <w:szCs w:val="21"/>
          <w:highlight w:val="none"/>
        </w:rPr>
      </w:pPr>
      <w:r>
        <w:rPr>
          <w:rFonts w:hint="eastAsia" w:ascii="宋体" w:hAnsi="宋体" w:cs="宋体"/>
          <w:b/>
          <w:color w:val="auto"/>
          <w:szCs w:val="21"/>
          <w:highlight w:val="none"/>
        </w:rPr>
        <w:t>服务</w:t>
      </w:r>
      <w:r>
        <w:rPr>
          <w:rFonts w:hint="eastAsia" w:ascii="宋体" w:hAnsi="宋体" w:cs="宋体"/>
          <w:b/>
          <w:bCs/>
          <w:color w:val="auto"/>
          <w:szCs w:val="21"/>
          <w:highlight w:val="none"/>
        </w:rPr>
        <w:t>年限</w:t>
      </w:r>
    </w:p>
    <w:p w14:paraId="6EBAD2B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暂定3年（最终以实际完成为准）。</w:t>
      </w:r>
    </w:p>
    <w:p w14:paraId="6D3772FB">
      <w:pPr>
        <w:spacing w:line="360" w:lineRule="auto"/>
        <w:ind w:firstLine="555"/>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1、动迁期限为</w:t>
      </w:r>
      <w:r>
        <w:rPr>
          <w:rFonts w:hint="eastAsia" w:cs="宋体" w:asciiTheme="minorEastAsia" w:hAnsiTheme="minorEastAsia" w:eastAsiaTheme="minorEastAsia"/>
          <w:color w:val="auto"/>
          <w:szCs w:val="21"/>
          <w:highlight w:val="none"/>
          <w:u w:val="single"/>
        </w:rPr>
        <w:t>　　</w:t>
      </w:r>
      <w:r>
        <w:rPr>
          <w:rFonts w:hint="eastAsia" w:cs="宋体" w:asciiTheme="minorEastAsia" w:hAnsiTheme="minorEastAsia" w:eastAsiaTheme="minorEastAsia"/>
          <w:color w:val="auto"/>
          <w:szCs w:val="21"/>
          <w:highlight w:val="none"/>
        </w:rPr>
        <w:t>年</w:t>
      </w:r>
      <w:r>
        <w:rPr>
          <w:rFonts w:hint="eastAsia" w:cs="宋体" w:asciiTheme="minorEastAsia" w:hAnsiTheme="minorEastAsia" w:eastAsiaTheme="minorEastAsia"/>
          <w:color w:val="auto"/>
          <w:szCs w:val="21"/>
          <w:highlight w:val="none"/>
          <w:u w:val="single"/>
        </w:rPr>
        <w:t xml:space="preserve">  　</w:t>
      </w:r>
      <w:r>
        <w:rPr>
          <w:rFonts w:hint="eastAsia" w:cs="宋体" w:asciiTheme="minorEastAsia" w:hAnsiTheme="minorEastAsia" w:eastAsiaTheme="minorEastAsia"/>
          <w:color w:val="auto"/>
          <w:szCs w:val="21"/>
          <w:highlight w:val="none"/>
        </w:rPr>
        <w:t>月</w:t>
      </w:r>
      <w:r>
        <w:rPr>
          <w:rFonts w:hint="eastAsia" w:cs="宋体" w:asciiTheme="minorEastAsia" w:hAnsiTheme="minorEastAsia" w:eastAsiaTheme="minorEastAsia"/>
          <w:color w:val="auto"/>
          <w:szCs w:val="21"/>
          <w:highlight w:val="none"/>
          <w:u w:val="single"/>
        </w:rPr>
        <w:t xml:space="preserve">  　</w:t>
      </w:r>
      <w:r>
        <w:rPr>
          <w:rFonts w:hint="eastAsia" w:cs="宋体" w:asciiTheme="minorEastAsia" w:hAnsiTheme="minorEastAsia" w:eastAsiaTheme="minorEastAsia"/>
          <w:color w:val="auto"/>
          <w:szCs w:val="21"/>
          <w:highlight w:val="none"/>
        </w:rPr>
        <w:t>日至</w:t>
      </w:r>
      <w:r>
        <w:rPr>
          <w:rFonts w:hint="eastAsia" w:cs="宋体" w:asciiTheme="minorEastAsia" w:hAnsiTheme="minorEastAsia" w:eastAsiaTheme="minorEastAsia"/>
          <w:color w:val="auto"/>
          <w:szCs w:val="21"/>
          <w:highlight w:val="none"/>
          <w:u w:val="single"/>
        </w:rPr>
        <w:t>　　</w:t>
      </w:r>
      <w:r>
        <w:rPr>
          <w:rFonts w:hint="eastAsia" w:cs="宋体" w:asciiTheme="minorEastAsia" w:hAnsiTheme="minorEastAsia" w:eastAsiaTheme="minorEastAsia"/>
          <w:color w:val="auto"/>
          <w:szCs w:val="21"/>
          <w:highlight w:val="none"/>
        </w:rPr>
        <w:t>年</w:t>
      </w:r>
      <w:r>
        <w:rPr>
          <w:rFonts w:hint="eastAsia" w:cs="宋体" w:asciiTheme="minorEastAsia" w:hAnsiTheme="minorEastAsia" w:eastAsiaTheme="minorEastAsia"/>
          <w:color w:val="auto"/>
          <w:szCs w:val="21"/>
          <w:highlight w:val="none"/>
          <w:u w:val="single"/>
        </w:rPr>
        <w:t xml:space="preserve">  　</w:t>
      </w:r>
      <w:r>
        <w:rPr>
          <w:rFonts w:hint="eastAsia" w:cs="宋体" w:asciiTheme="minorEastAsia" w:hAnsiTheme="minorEastAsia" w:eastAsiaTheme="minorEastAsia"/>
          <w:color w:val="auto"/>
          <w:szCs w:val="21"/>
          <w:highlight w:val="none"/>
        </w:rPr>
        <w:t>月</w:t>
      </w:r>
      <w:r>
        <w:rPr>
          <w:rFonts w:hint="eastAsia" w:cs="宋体" w:asciiTheme="minorEastAsia" w:hAnsiTheme="minorEastAsia" w:eastAsiaTheme="minorEastAsia"/>
          <w:color w:val="auto"/>
          <w:szCs w:val="21"/>
          <w:highlight w:val="none"/>
          <w:u w:val="single"/>
        </w:rPr>
        <w:t xml:space="preserve">  　</w:t>
      </w:r>
      <w:r>
        <w:rPr>
          <w:rFonts w:hint="eastAsia" w:cs="宋体" w:asciiTheme="minorEastAsia" w:hAnsiTheme="minorEastAsia" w:eastAsiaTheme="minorEastAsia"/>
          <w:color w:val="auto"/>
          <w:szCs w:val="21"/>
          <w:highlight w:val="none"/>
        </w:rPr>
        <w:t>日</w:t>
      </w:r>
    </w:p>
    <w:p w14:paraId="4A5C697B">
      <w:pPr>
        <w:spacing w:line="360" w:lineRule="auto"/>
        <w:ind w:firstLine="555"/>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2、由于项目或其他客观原因导致动迁期限拖延的，经所有合同签订方协商后可以调整期限。</w:t>
      </w:r>
    </w:p>
    <w:p w14:paraId="13EEAA6A">
      <w:pPr>
        <w:spacing w:line="360" w:lineRule="auto"/>
        <w:rPr>
          <w:rFonts w:hint="eastAsia"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t>第四条 工作内容及要求</w:t>
      </w:r>
    </w:p>
    <w:p w14:paraId="10A7769C">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highlight w:val="none"/>
        </w:rPr>
        <w:t>按照《中华人民共和国民法典》、《中华人民共和国土地管理法》、《中华人民共和国土地管理法实施条例》、《广西壮族自治区实施（中华人民共和国土地管理法》办法》、</w:t>
      </w:r>
      <w:r>
        <w:rPr>
          <w:rFonts w:hint="eastAsia" w:ascii="宋体" w:hAnsi="宋体" w:eastAsia="宋体" w:cs="宋体"/>
          <w:color w:val="auto"/>
          <w:highlight w:val="none"/>
          <w:lang w:eastAsia="zh-CN"/>
        </w:rPr>
        <w:t>《柳州市发展和改革委员会关于</w:t>
      </w:r>
      <w:r>
        <w:rPr>
          <w:rFonts w:hint="eastAsia" w:ascii="宋体" w:hAnsi="宋体" w:eastAsia="宋体" w:cs="宋体"/>
          <w:color w:val="auto"/>
          <w:highlight w:val="none"/>
          <w:lang w:val="en-US" w:eastAsia="zh-CN"/>
        </w:rPr>
        <w:t>柳州市黄村村及周边片区城中村改造项目建议书的批复》</w:t>
      </w:r>
      <w:r>
        <w:rPr>
          <w:rFonts w:hint="eastAsia" w:ascii="宋体" w:hAnsi="宋体" w:eastAsia="宋体" w:cs="宋体"/>
          <w:color w:val="auto"/>
          <w:highlight w:val="none"/>
        </w:rPr>
        <w:t>（柳</w:t>
      </w:r>
      <w:r>
        <w:rPr>
          <w:rFonts w:hint="eastAsia" w:ascii="宋体" w:hAnsi="宋体" w:eastAsia="宋体" w:cs="宋体"/>
          <w:color w:val="auto"/>
          <w:highlight w:val="none"/>
          <w:lang w:eastAsia="zh-CN"/>
        </w:rPr>
        <w:t>发改规划</w:t>
      </w:r>
      <w:r>
        <w:rPr>
          <w:rFonts w:hint="eastAsia" w:ascii="宋体" w:hAnsi="宋体" w:eastAsia="宋体" w:cs="宋体"/>
          <w:color w:val="auto"/>
          <w:highlight w:val="none"/>
        </w:rPr>
        <w:t>〔2024〕</w:t>
      </w:r>
      <w:r>
        <w:rPr>
          <w:rFonts w:hint="eastAsia" w:ascii="宋体" w:hAnsi="宋体" w:eastAsia="宋体" w:cs="宋体"/>
          <w:color w:val="auto"/>
          <w:highlight w:val="none"/>
          <w:lang w:val="en-US" w:eastAsia="zh-CN"/>
        </w:rPr>
        <w:t>31</w:t>
      </w:r>
      <w:r>
        <w:rPr>
          <w:rFonts w:hint="eastAsia" w:ascii="宋体" w:hAnsi="宋体" w:eastAsia="宋体" w:cs="宋体"/>
          <w:color w:val="auto"/>
          <w:highlight w:val="none"/>
        </w:rPr>
        <w:t>号）</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《柳州市自然资源和规划局关于</w:t>
      </w:r>
      <w:r>
        <w:rPr>
          <w:rFonts w:hint="eastAsia" w:ascii="宋体" w:hAnsi="宋体" w:eastAsia="宋体" w:cs="宋体"/>
          <w:color w:val="auto"/>
          <w:highlight w:val="none"/>
          <w:lang w:val="en-US" w:eastAsia="zh-CN"/>
        </w:rPr>
        <w:t>柳州市黄村村及周边片区城中村改造项目（胜利地块）</w:t>
      </w:r>
      <w:r>
        <w:rPr>
          <w:rFonts w:hint="eastAsia" w:ascii="宋体" w:hAnsi="宋体" w:eastAsia="宋体" w:cs="宋体"/>
          <w:color w:val="auto"/>
          <w:highlight w:val="none"/>
        </w:rPr>
        <w:t>用地规划意见的函》（柳资源规划用地〔2024〕</w:t>
      </w:r>
      <w:r>
        <w:rPr>
          <w:rFonts w:hint="eastAsia" w:ascii="宋体" w:hAnsi="宋体" w:eastAsia="宋体" w:cs="宋体"/>
          <w:color w:val="auto"/>
          <w:highlight w:val="none"/>
          <w:lang w:val="en-US" w:eastAsia="zh-CN"/>
        </w:rPr>
        <w:t>42</w:t>
      </w:r>
      <w:r>
        <w:rPr>
          <w:rFonts w:hint="eastAsia" w:ascii="宋体" w:hAnsi="宋体" w:eastAsia="宋体" w:cs="宋体"/>
          <w:color w:val="auto"/>
          <w:highlight w:val="none"/>
        </w:rPr>
        <w:t>号）</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《柳州市自然资源和规划局关于</w:t>
      </w:r>
      <w:r>
        <w:rPr>
          <w:rFonts w:hint="eastAsia" w:ascii="宋体" w:hAnsi="宋体" w:eastAsia="宋体" w:cs="宋体"/>
          <w:color w:val="auto"/>
          <w:highlight w:val="none"/>
          <w:lang w:eastAsia="zh-CN"/>
        </w:rPr>
        <w:t>下达</w:t>
      </w:r>
      <w:r>
        <w:rPr>
          <w:rFonts w:hint="eastAsia" w:ascii="宋体" w:hAnsi="宋体" w:eastAsia="宋体" w:cs="宋体"/>
          <w:color w:val="auto"/>
          <w:highlight w:val="none"/>
          <w:lang w:val="en-US" w:eastAsia="zh-CN"/>
        </w:rPr>
        <w:t>柳州市黄村村及周边片区城中村改造项目（胜利地块）</w:t>
      </w:r>
      <w:r>
        <w:rPr>
          <w:rFonts w:hint="eastAsia" w:ascii="宋体" w:hAnsi="宋体" w:eastAsia="宋体" w:cs="宋体"/>
          <w:color w:val="auto"/>
          <w:highlight w:val="none"/>
          <w:lang w:eastAsia="zh-CN"/>
        </w:rPr>
        <w:t>项目集体土地预征地任务的通知</w:t>
      </w:r>
      <w:r>
        <w:rPr>
          <w:rFonts w:hint="eastAsia" w:ascii="宋体" w:hAnsi="宋体" w:eastAsia="宋体" w:cs="宋体"/>
          <w:color w:val="auto"/>
          <w:highlight w:val="none"/>
        </w:rPr>
        <w:t>》（柳资源规划</w:t>
      </w:r>
      <w:r>
        <w:rPr>
          <w:rFonts w:hint="eastAsia" w:ascii="宋体" w:hAnsi="宋体" w:eastAsia="宋体" w:cs="宋体"/>
          <w:color w:val="auto"/>
          <w:highlight w:val="none"/>
          <w:lang w:eastAsia="zh-CN"/>
        </w:rPr>
        <w:t>通</w:t>
      </w:r>
      <w:r>
        <w:rPr>
          <w:rFonts w:hint="eastAsia" w:ascii="宋体" w:hAnsi="宋体" w:eastAsia="宋体" w:cs="宋体"/>
          <w:color w:val="auto"/>
          <w:highlight w:val="none"/>
        </w:rPr>
        <w:t>〔2024〕</w:t>
      </w:r>
      <w:r>
        <w:rPr>
          <w:rFonts w:hint="eastAsia" w:ascii="宋体" w:hAnsi="宋体" w:eastAsia="宋体" w:cs="宋体"/>
          <w:color w:val="auto"/>
          <w:highlight w:val="none"/>
          <w:lang w:val="en-US" w:eastAsia="zh-CN"/>
        </w:rPr>
        <w:t>381</w:t>
      </w:r>
      <w:r>
        <w:rPr>
          <w:rFonts w:hint="eastAsia" w:ascii="宋体" w:hAnsi="宋体" w:eastAsia="宋体" w:cs="宋体"/>
          <w:color w:val="auto"/>
          <w:highlight w:val="none"/>
        </w:rPr>
        <w:t>号）</w:t>
      </w:r>
      <w:r>
        <w:rPr>
          <w:rFonts w:hint="eastAsia" w:ascii="宋体" w:hAnsi="宋体" w:cs="宋体"/>
          <w:color w:val="auto"/>
          <w:highlight w:val="none"/>
        </w:rPr>
        <w:t>等相关文件和国家、省、市的其他有关法律、法规、政策文件和行业规范签订合同并开展项目动迁服务工作</w:t>
      </w:r>
      <w:r>
        <w:rPr>
          <w:rFonts w:ascii="宋体" w:hAnsi="宋体" w:cs="宋体"/>
          <w:color w:val="auto"/>
          <w:szCs w:val="21"/>
          <w:highlight w:val="none"/>
        </w:rPr>
        <w:t>，确保全过程各环节程序合法合规、资料齐全。</w:t>
      </w:r>
    </w:p>
    <w:p w14:paraId="03CD6A26">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1、乙方具体负责与房屋被征收人进行征收补偿安置协商、</w:t>
      </w:r>
      <w:r>
        <w:rPr>
          <w:rFonts w:hint="eastAsia" w:ascii="宋体" w:hAnsi="宋体" w:cs="宋体"/>
          <w:bCs/>
          <w:color w:val="auto"/>
          <w:kern w:val="0"/>
          <w:szCs w:val="21"/>
          <w:highlight w:val="none"/>
        </w:rPr>
        <w:t>组织甲方与房屋被征收人</w:t>
      </w:r>
      <w:r>
        <w:rPr>
          <w:rFonts w:hint="eastAsia" w:ascii="宋体" w:hAnsi="宋体" w:cs="宋体"/>
          <w:color w:val="auto"/>
          <w:szCs w:val="21"/>
          <w:highlight w:val="none"/>
        </w:rPr>
        <w:t>签订和实施征收补偿安置协议等房屋征收工作。具体内容包含征收协商动员、</w:t>
      </w:r>
      <w:r>
        <w:rPr>
          <w:rFonts w:hint="eastAsia" w:ascii="宋体" w:hAnsi="宋体" w:cs="宋体"/>
          <w:bCs/>
          <w:color w:val="auto"/>
          <w:kern w:val="0"/>
          <w:szCs w:val="21"/>
          <w:highlight w:val="none"/>
        </w:rPr>
        <w:t>组织甲方与房屋被征收人</w:t>
      </w:r>
      <w:r>
        <w:rPr>
          <w:rFonts w:hint="eastAsia" w:ascii="宋体" w:hAnsi="宋体" w:cs="宋体"/>
          <w:color w:val="auto"/>
          <w:szCs w:val="21"/>
          <w:highlight w:val="none"/>
        </w:rPr>
        <w:t>签订和实施补偿安置协议，迁移相关的供水、电力、</w:t>
      </w:r>
      <w:r>
        <w:rPr>
          <w:rFonts w:hint="eastAsia" w:cs="宋体" w:asciiTheme="minorEastAsia" w:hAnsiTheme="minorEastAsia" w:eastAsiaTheme="minorEastAsia"/>
          <w:color w:val="auto"/>
          <w:szCs w:val="21"/>
          <w:highlight w:val="none"/>
        </w:rPr>
        <w:t>煤气、通讯、有线电视、管线，设备搬迁等工作以及甲方根据项目实际情况临时安排的与本项目动迁工作相关的其他工作。</w:t>
      </w:r>
    </w:p>
    <w:p w14:paraId="4CCAA238">
      <w:pPr>
        <w:pStyle w:val="109"/>
        <w:tabs>
          <w:tab w:val="left" w:pos="993"/>
        </w:tabs>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2、乙方依据</w:t>
      </w:r>
      <w:r>
        <w:rPr>
          <w:rFonts w:cs="宋体" w:asciiTheme="minorEastAsia" w:hAnsiTheme="minorEastAsia" w:eastAsiaTheme="minorEastAsia"/>
          <w:color w:val="auto"/>
          <w:szCs w:val="21"/>
          <w:highlight w:val="none"/>
        </w:rPr>
        <w:t>有关法律、法规、行业规范</w:t>
      </w:r>
      <w:r>
        <w:rPr>
          <w:rFonts w:hint="eastAsia" w:cs="宋体" w:asciiTheme="minorEastAsia" w:hAnsiTheme="minorEastAsia" w:eastAsiaTheme="minorEastAsia"/>
          <w:color w:val="auto"/>
          <w:szCs w:val="21"/>
          <w:highlight w:val="none"/>
        </w:rPr>
        <w:t>和项目征收安置补偿方案（含补充方案）及有关法规政策依法依规组织开展征收补偿安置工作，在征收过程中如遇补偿项目增减、超出补偿标准等，应经甲方和项目征收指挥部研究同意，方可列入征收补偿内容。征收实施过程中，甲方有权随时进行抽查，乙方必须予以配合。</w:t>
      </w:r>
    </w:p>
    <w:p w14:paraId="4798E919">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3、乙方必须按照甲方房屋征收计划派遣参加征收的工作人员，保证人员足额到位，并组成专门的项目工作组。项目征收工作实施过程中，乙方已确定的本项目工作人员不得参与其他项目的工作。</w:t>
      </w:r>
    </w:p>
    <w:p w14:paraId="214DA091">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4、甲方负责协调解决征收工作中的有关问题，乙方全力配合。</w:t>
      </w:r>
    </w:p>
    <w:p w14:paraId="226681ED">
      <w:pPr>
        <w:pStyle w:val="109"/>
        <w:tabs>
          <w:tab w:val="left" w:pos="993"/>
        </w:tabs>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乙方应按时向甲方片区指挥部提供工程项目月进度、资金计划申报表和征收工作项目进度统计表，否则造成甲方付款不及时，则由乙方自行负责。征收工程完成并经甲方验收合格后，乙方应及时提交《征收工程结算书》及《征收工程完工报告书》。</w:t>
      </w:r>
    </w:p>
    <w:p w14:paraId="5C43B71F">
      <w:pPr>
        <w:widowControl/>
        <w:spacing w:line="360" w:lineRule="auto"/>
        <w:ind w:firstLine="4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6、配合甲方接受审计、监察等部门的检查工作。</w:t>
      </w:r>
    </w:p>
    <w:p w14:paraId="08564D53">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7、整理动迁服务过程中的各项档案资料（含声像资料、电子档案资料等），并进行归档、移交给甲方。</w:t>
      </w:r>
    </w:p>
    <w:p w14:paraId="0869FC48">
      <w:pPr>
        <w:pStyle w:val="109"/>
        <w:tabs>
          <w:tab w:val="left" w:pos="993"/>
        </w:tabs>
        <w:spacing w:line="360" w:lineRule="auto"/>
        <w:rPr>
          <w:rFonts w:ascii="宋体" w:hAnsi="宋体" w:cs="宋体"/>
          <w:color w:val="auto"/>
          <w:szCs w:val="21"/>
          <w:highlight w:val="none"/>
        </w:rPr>
      </w:pPr>
      <w:r>
        <w:rPr>
          <w:rFonts w:hint="eastAsia" w:ascii="宋体" w:hAnsi="宋体" w:cs="宋体"/>
          <w:color w:val="auto"/>
          <w:szCs w:val="21"/>
          <w:highlight w:val="none"/>
        </w:rPr>
        <w:t>8、在动迁活动过程中，未经甲方审核同意，乙方及其工作人员不得擅自与被征收人签订任何协议文件或出具书面承诺。</w:t>
      </w:r>
    </w:p>
    <w:p w14:paraId="698B9294">
      <w:pPr>
        <w:tabs>
          <w:tab w:val="left" w:pos="1290"/>
        </w:tabs>
        <w:spacing w:line="360" w:lineRule="auto"/>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t>第五条 双方责任</w:t>
      </w:r>
    </w:p>
    <w:p w14:paraId="50AEADAB">
      <w:pPr>
        <w:spacing w:line="360" w:lineRule="auto"/>
        <w:ind w:firstLine="422" w:firstLineChars="200"/>
        <w:rPr>
          <w:rFonts w:cs="宋体" w:asciiTheme="minorEastAsia" w:hAnsiTheme="minorEastAsia" w:eastAsiaTheme="minorEastAsia"/>
          <w:b/>
          <w:bCs/>
          <w:color w:val="auto"/>
          <w:szCs w:val="21"/>
          <w:highlight w:val="none"/>
        </w:rPr>
      </w:pPr>
      <w:r>
        <w:rPr>
          <w:rFonts w:cs="宋体" w:asciiTheme="minorEastAsia" w:hAnsiTheme="minorEastAsia" w:eastAsiaTheme="minorEastAsia"/>
          <w:b/>
          <w:bCs/>
          <w:color w:val="auto"/>
          <w:szCs w:val="21"/>
          <w:highlight w:val="none"/>
        </w:rPr>
        <w:t>（</w:t>
      </w:r>
      <w:r>
        <w:rPr>
          <w:rFonts w:hint="eastAsia" w:cs="宋体" w:asciiTheme="minorEastAsia" w:hAnsiTheme="minorEastAsia" w:eastAsiaTheme="minorEastAsia"/>
          <w:b/>
          <w:bCs/>
          <w:color w:val="auto"/>
          <w:szCs w:val="21"/>
          <w:highlight w:val="none"/>
        </w:rPr>
        <w:t>一</w:t>
      </w:r>
      <w:r>
        <w:rPr>
          <w:rFonts w:cs="宋体" w:asciiTheme="minorEastAsia" w:hAnsiTheme="minorEastAsia" w:eastAsiaTheme="minorEastAsia"/>
          <w:b/>
          <w:bCs/>
          <w:color w:val="auto"/>
          <w:szCs w:val="21"/>
          <w:highlight w:val="none"/>
        </w:rPr>
        <w:t>）</w:t>
      </w:r>
      <w:r>
        <w:rPr>
          <w:rFonts w:hint="eastAsia" w:cs="宋体" w:asciiTheme="minorEastAsia" w:hAnsiTheme="minorEastAsia" w:eastAsiaTheme="minorEastAsia"/>
          <w:b/>
          <w:bCs/>
          <w:color w:val="auto"/>
          <w:szCs w:val="21"/>
          <w:highlight w:val="none"/>
        </w:rPr>
        <w:t>甲方责任：</w:t>
      </w:r>
    </w:p>
    <w:p w14:paraId="43E600E0">
      <w:pPr>
        <w:spacing w:line="360" w:lineRule="auto"/>
        <w:ind w:firstLine="57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甲方负责向乙方提供本合同项目的征收手续相关资料。</w:t>
      </w:r>
    </w:p>
    <w:p w14:paraId="2DF84E41">
      <w:pPr>
        <w:spacing w:line="360" w:lineRule="auto"/>
        <w:ind w:firstLine="57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监督检查乙方方严格执行国家</w:t>
      </w:r>
      <w:r>
        <w:rPr>
          <w:rFonts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自治区、柳州市及柳北区政府颁发的有关房屋拆迁的法律、法规和文件规定，维护拆迁人及被拆迁人的合法权益不受侵害。</w:t>
      </w:r>
    </w:p>
    <w:p w14:paraId="38694684">
      <w:pPr>
        <w:spacing w:line="360" w:lineRule="auto"/>
        <w:ind w:firstLine="57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w:t>
      </w:r>
      <w:r>
        <w:rPr>
          <w:rFonts w:hint="eastAsia"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协调乙方的工作</w:t>
      </w:r>
      <w:r>
        <w:rPr>
          <w:rFonts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听取乙方的工作汇报和审批乙方递交的请示、报告及有关资料，解决工作中的实际问题。</w:t>
      </w:r>
    </w:p>
    <w:p w14:paraId="0DDD84C8">
      <w:pPr>
        <w:spacing w:line="360" w:lineRule="auto"/>
        <w:ind w:firstLine="57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w:t>
      </w:r>
      <w:r>
        <w:rPr>
          <w:rFonts w:hint="eastAsia"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在动迁工作中，需要由甲方签订的协议</w:t>
      </w:r>
      <w:r>
        <w:rPr>
          <w:rFonts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支付的补偿安置费用，甲方及时签订</w:t>
      </w:r>
      <w:r>
        <w:rPr>
          <w:rFonts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支付</w:t>
      </w:r>
      <w:r>
        <w:rPr>
          <w:rFonts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以保障动迁工作顺利进行</w:t>
      </w:r>
      <w:r>
        <w:rPr>
          <w:rFonts w:cs="宋体" w:asciiTheme="minorEastAsia" w:hAnsiTheme="minorEastAsia" w:eastAsiaTheme="minorEastAsia"/>
          <w:color w:val="auto"/>
          <w:szCs w:val="21"/>
          <w:highlight w:val="none"/>
        </w:rPr>
        <w:t>。</w:t>
      </w:r>
    </w:p>
    <w:p w14:paraId="127F8728">
      <w:pPr>
        <w:spacing w:line="360" w:lineRule="auto"/>
        <w:ind w:firstLine="57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w:t>
      </w:r>
      <w:r>
        <w:rPr>
          <w:rFonts w:hint="eastAsia"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按本合同规定，按时支付乙方动迁服务费。</w:t>
      </w:r>
    </w:p>
    <w:p w14:paraId="69C6CBB8">
      <w:pPr>
        <w:spacing w:line="360" w:lineRule="auto"/>
        <w:ind w:firstLine="422" w:firstLineChars="200"/>
        <w:rPr>
          <w:rFonts w:cs="宋体" w:asciiTheme="minorEastAsia" w:hAnsiTheme="minorEastAsia" w:eastAsiaTheme="minorEastAsia"/>
          <w:b/>
          <w:bCs/>
          <w:color w:val="auto"/>
          <w:szCs w:val="21"/>
          <w:highlight w:val="none"/>
        </w:rPr>
      </w:pPr>
      <w:r>
        <w:rPr>
          <w:rFonts w:cs="宋体" w:asciiTheme="minorEastAsia" w:hAnsiTheme="minorEastAsia" w:eastAsiaTheme="minorEastAsia"/>
          <w:b/>
          <w:bCs/>
          <w:color w:val="auto"/>
          <w:szCs w:val="21"/>
          <w:highlight w:val="none"/>
        </w:rPr>
        <w:t>（</w:t>
      </w:r>
      <w:r>
        <w:rPr>
          <w:rFonts w:hint="eastAsia" w:cs="宋体" w:asciiTheme="minorEastAsia" w:hAnsiTheme="minorEastAsia" w:eastAsiaTheme="minorEastAsia"/>
          <w:b/>
          <w:bCs/>
          <w:color w:val="auto"/>
          <w:szCs w:val="21"/>
          <w:highlight w:val="none"/>
        </w:rPr>
        <w:t>二</w:t>
      </w:r>
      <w:r>
        <w:rPr>
          <w:rFonts w:cs="宋体" w:asciiTheme="minorEastAsia" w:hAnsiTheme="minorEastAsia" w:eastAsiaTheme="minorEastAsia"/>
          <w:b/>
          <w:bCs/>
          <w:color w:val="auto"/>
          <w:szCs w:val="21"/>
          <w:highlight w:val="none"/>
        </w:rPr>
        <w:t>）</w:t>
      </w:r>
      <w:r>
        <w:rPr>
          <w:rFonts w:hint="eastAsia" w:cs="宋体" w:asciiTheme="minorEastAsia" w:hAnsiTheme="minorEastAsia" w:eastAsiaTheme="minorEastAsia"/>
          <w:b/>
          <w:bCs/>
          <w:color w:val="auto"/>
          <w:szCs w:val="21"/>
          <w:highlight w:val="none"/>
        </w:rPr>
        <w:t>乙方责任：</w:t>
      </w:r>
    </w:p>
    <w:p w14:paraId="28F0F705">
      <w:pPr>
        <w:tabs>
          <w:tab w:val="left" w:pos="1120"/>
        </w:tabs>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1、乙方必须严格按照国家</w:t>
      </w:r>
      <w:r>
        <w:rPr>
          <w:rFonts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自治区、柳州市及柳北区政府有关房屋拆迁补偿安置和法律、法规及文件规定，认真负责进行宣传动员和思想政治工作。</w:t>
      </w:r>
    </w:p>
    <w:p w14:paraId="395B13CC">
      <w:pPr>
        <w:tabs>
          <w:tab w:val="left" w:pos="1120"/>
        </w:tabs>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2、乙方必须认真做好项目范围内的房屋、地上附着物及构筑物的丈量清点工作，严格按照规范执行，不得弄虚作假</w:t>
      </w:r>
      <w:r>
        <w:rPr>
          <w:rFonts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保证数据的真实性与合法性</w:t>
      </w:r>
      <w:r>
        <w:rPr>
          <w:rFonts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并及时向甲方提供。</w:t>
      </w:r>
    </w:p>
    <w:p w14:paraId="69D5BBAB">
      <w:pPr>
        <w:tabs>
          <w:tab w:val="left" w:pos="1120"/>
        </w:tabs>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3、乙方必须认真做好被拆迁户有关资料（产权证、身份证、土地证、准建证、房产证、户口薄复印件等）的收集工作。</w:t>
      </w:r>
    </w:p>
    <w:p w14:paraId="05AE1A48">
      <w:pPr>
        <w:tabs>
          <w:tab w:val="left" w:pos="1120"/>
        </w:tabs>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4、乙方在动迁工作中必须严格遵守职业道德，接受甲方及被拆迁人的监督，不得以权谋私，不得向被拆迁人吃、拿、卡、要。</w:t>
      </w:r>
    </w:p>
    <w:p w14:paraId="6F6693F0">
      <w:pPr>
        <w:tabs>
          <w:tab w:val="left" w:pos="1120"/>
        </w:tabs>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5、乙方在调查摸底掌握第一手资料的基础上，按项目业主审批后的动迁工作计划、方案，组织实施动迁任务。</w:t>
      </w:r>
    </w:p>
    <w:p w14:paraId="49B2F9C3">
      <w:pPr>
        <w:tabs>
          <w:tab w:val="left" w:pos="1120"/>
        </w:tabs>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6、乙方应及时将运行工作进展情况及工作中的困难和问题向甲方汇报，使问题能得到及时解决，确保动迁工作顺利进行。</w:t>
      </w:r>
    </w:p>
    <w:p w14:paraId="2D6AA686">
      <w:pPr>
        <w:spacing w:line="360" w:lineRule="auto"/>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第六条　动迁奖惩办法</w:t>
      </w:r>
    </w:p>
    <w:p w14:paraId="1AA6B05C">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1、动迁奖励办法及支付方式：在甲方规定时间内，拆迁（征收）协议签约率达到80%的，给予项目征收实施费用总额5%的奖励；签约率达到90%的，</w:t>
      </w:r>
      <w:r>
        <w:rPr>
          <w:rFonts w:hint="eastAsia" w:ascii="宋体" w:hAnsi="宋体" w:cs="宋体"/>
          <w:b/>
          <w:color w:val="auto"/>
          <w:szCs w:val="21"/>
          <w:highlight w:val="none"/>
        </w:rPr>
        <w:t>再给予</w:t>
      </w:r>
      <w:r>
        <w:rPr>
          <w:rFonts w:hint="eastAsia" w:ascii="宋体" w:hAnsi="宋体" w:cs="宋体"/>
          <w:color w:val="auto"/>
          <w:szCs w:val="21"/>
          <w:highlight w:val="none"/>
        </w:rPr>
        <w:t>项目征收实施费用总额10%的奖励；签约率达到100%的，再给予10%的奖励。奖励在乙方完成项目征收工作并移交场地给施工单位后随项目尾款一次性核付。</w:t>
      </w:r>
    </w:p>
    <w:p w14:paraId="5531AE31">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 xml:space="preserve">如乙方因违反相关规定导致本合同解除的，奖励将不予支付。不予支付的上述奖励作为接替该项目的劳务服务机构在规定时间内完成工作的攻坚奖励。 </w:t>
      </w:r>
    </w:p>
    <w:p w14:paraId="7797596A">
      <w:pPr>
        <w:pStyle w:val="119"/>
        <w:widowControl w:val="0"/>
        <w:spacing w:line="360" w:lineRule="auto"/>
        <w:ind w:firstLine="424" w:firstLineChars="202"/>
        <w:jc w:val="both"/>
        <w:rPr>
          <w:rFonts w:cs="宋体" w:asciiTheme="minorEastAsia" w:hAnsiTheme="minorEastAsia" w:eastAsiaTheme="minorEastAsia"/>
          <w:color w:val="auto"/>
          <w:kern w:val="2"/>
          <w:sz w:val="21"/>
          <w:szCs w:val="21"/>
          <w:highlight w:val="none"/>
          <w:lang w:eastAsia="zh-CN" w:bidi="ar-SA"/>
        </w:rPr>
      </w:pPr>
      <w:r>
        <w:rPr>
          <w:rFonts w:hint="eastAsia" w:cs="宋体" w:asciiTheme="minorEastAsia" w:hAnsiTheme="minorEastAsia" w:eastAsiaTheme="minorEastAsia"/>
          <w:color w:val="auto"/>
          <w:kern w:val="2"/>
          <w:sz w:val="21"/>
          <w:szCs w:val="21"/>
          <w:highlight w:val="none"/>
          <w:lang w:eastAsia="zh-CN" w:bidi="ar-SA"/>
        </w:rPr>
        <w:t>2、征收实施费用扣除标准</w:t>
      </w:r>
    </w:p>
    <w:p w14:paraId="5B0207A0">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乙方在规定时间内未达到签约完成率的，按下列标准扣除相应征收实施费用：</w:t>
      </w:r>
    </w:p>
    <w:p w14:paraId="50488DCA">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（1）完成率在70%~79%的，扣除5%征收实施费用；</w:t>
      </w:r>
    </w:p>
    <w:p w14:paraId="111E24E4">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（2）完成率在60%~69%的，扣除10%征收实施费用；</w:t>
      </w:r>
    </w:p>
    <w:p w14:paraId="57226D81">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（3）完成率在50%~59%的，扣除15%征收实施费用；</w:t>
      </w:r>
    </w:p>
    <w:p w14:paraId="0125E50A">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3、乙方在按规定时间内未完成司法强拆相关资料收集、整理及报送的，每户扣减5000元；被司法强制执行的每户扣减5000元。</w:t>
      </w:r>
    </w:p>
    <w:p w14:paraId="52FFDD23">
      <w:pPr>
        <w:snapToGrid w:val="0"/>
        <w:spacing w:line="360" w:lineRule="auto"/>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第七条 履约保证金</w:t>
      </w:r>
    </w:p>
    <w:p w14:paraId="5F023ED7">
      <w:pPr>
        <w:spacing w:line="360" w:lineRule="auto"/>
        <w:ind w:firstLine="420" w:firstLineChars="200"/>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1、履约保证金金额：乙方向甲方（户名：</w:t>
      </w:r>
      <w:r>
        <w:rPr>
          <w:rFonts w:hint="eastAsia" w:cs="宋体" w:asciiTheme="minorEastAsia" w:hAnsiTheme="minorEastAsia" w:eastAsiaTheme="minorEastAsia"/>
          <w:color w:val="auto"/>
          <w:szCs w:val="21"/>
          <w:highlight w:val="none"/>
          <w:u w:val="single"/>
        </w:rPr>
        <w:t>柳州市柳北区征地征收和房屋征收补偿服务中</w:t>
      </w:r>
      <w:r>
        <w:rPr>
          <w:rFonts w:hint="eastAsia" w:asciiTheme="minorEastAsia" w:hAnsiTheme="minorEastAsia" w:eastAsiaTheme="minorEastAsia"/>
          <w:color w:val="auto"/>
          <w:szCs w:val="21"/>
          <w:highlight w:val="none"/>
          <w:u w:val="single"/>
        </w:rPr>
        <w:t>心</w:t>
      </w:r>
      <w:r>
        <w:rPr>
          <w:rFonts w:hint="eastAsia" w:asciiTheme="minorEastAsia" w:hAnsiTheme="minorEastAsia" w:eastAsiaTheme="minorEastAsia"/>
          <w:color w:val="auto"/>
          <w:szCs w:val="21"/>
          <w:highlight w:val="none"/>
        </w:rPr>
        <w:t>，账号：</w:t>
      </w:r>
      <w:r>
        <w:rPr>
          <w:rFonts w:hint="eastAsia" w:asciiTheme="minorEastAsia" w:hAnsiTheme="minorEastAsia" w:eastAsiaTheme="minorEastAsia"/>
          <w:color w:val="auto"/>
          <w:szCs w:val="21"/>
          <w:highlight w:val="none"/>
          <w:u w:val="single"/>
          <w:lang w:val="en-US" w:eastAsia="zh-CN"/>
        </w:rPr>
        <w:t xml:space="preserve">         </w:t>
      </w:r>
      <w:r>
        <w:rPr>
          <w:rFonts w:hint="eastAsia" w:asciiTheme="minorEastAsia" w:hAnsiTheme="minorEastAsia" w:eastAsiaTheme="minorEastAsia"/>
          <w:color w:val="auto"/>
          <w:szCs w:val="21"/>
          <w:highlight w:val="none"/>
        </w:rPr>
        <w:t>，开户行：</w:t>
      </w:r>
      <w:r>
        <w:rPr>
          <w:rFonts w:hint="eastAsia" w:asciiTheme="minorEastAsia" w:hAnsiTheme="minorEastAsia" w:eastAsiaTheme="minorEastAsia"/>
          <w:color w:val="auto"/>
          <w:szCs w:val="21"/>
          <w:highlight w:val="none"/>
          <w:u w:val="single"/>
          <w:lang w:val="en-US" w:eastAsia="zh-CN"/>
        </w:rPr>
        <w:t xml:space="preserve">           </w:t>
      </w:r>
      <w:r>
        <w:rPr>
          <w:rFonts w:hint="eastAsia" w:asciiTheme="minorEastAsia" w:hAnsiTheme="minorEastAsia" w:eastAsiaTheme="minorEastAsia"/>
          <w:color w:val="auto"/>
          <w:szCs w:val="21"/>
          <w:highlight w:val="none"/>
        </w:rPr>
        <w:t>）支付履约保证金</w:t>
      </w:r>
      <w:r>
        <w:rPr>
          <w:rFonts w:hint="eastAsia" w:asciiTheme="minorEastAsia" w:hAnsiTheme="minorEastAsia" w:eastAsiaTheme="minorEastAsia"/>
          <w:color w:val="auto"/>
          <w:szCs w:val="21"/>
          <w:highlight w:val="none"/>
          <w:u w:val="single"/>
        </w:rPr>
        <w:t xml:space="preserve">伍万 </w:t>
      </w:r>
      <w:r>
        <w:rPr>
          <w:rFonts w:hint="eastAsia" w:asciiTheme="minorEastAsia" w:hAnsiTheme="minorEastAsia" w:eastAsiaTheme="minorEastAsia"/>
          <w:color w:val="auto"/>
          <w:szCs w:val="21"/>
          <w:highlight w:val="none"/>
        </w:rPr>
        <w:t>元整（￥</w:t>
      </w:r>
      <w:r>
        <w:rPr>
          <w:rFonts w:hint="eastAsia" w:asciiTheme="minorEastAsia" w:hAnsiTheme="minorEastAsia" w:eastAsiaTheme="minorEastAsia"/>
          <w:color w:val="auto"/>
          <w:szCs w:val="21"/>
          <w:highlight w:val="none"/>
          <w:u w:val="single"/>
        </w:rPr>
        <w:t>50000.00元</w:t>
      </w:r>
      <w:r>
        <w:rPr>
          <w:rFonts w:hint="eastAsia" w:asciiTheme="minorEastAsia" w:hAnsiTheme="minorEastAsia" w:eastAsiaTheme="minorEastAsia"/>
          <w:color w:val="auto"/>
          <w:szCs w:val="21"/>
          <w:highlight w:val="none"/>
        </w:rPr>
        <w:t>）。（可以由</w:t>
      </w:r>
      <w:r>
        <w:rPr>
          <w:rFonts w:hint="eastAsia" w:cs="宋体" w:asciiTheme="minorEastAsia" w:hAnsiTheme="minorEastAsia" w:eastAsiaTheme="minorEastAsia"/>
          <w:color w:val="auto"/>
          <w:szCs w:val="21"/>
          <w:highlight w:val="none"/>
        </w:rPr>
        <w:t>乙的投标保证金转入</w:t>
      </w:r>
      <w:r>
        <w:rPr>
          <w:rFonts w:hint="eastAsia" w:asciiTheme="minorEastAsia" w:hAnsiTheme="minorEastAsia" w:eastAsiaTheme="minorEastAsia"/>
          <w:color w:val="auto"/>
          <w:szCs w:val="21"/>
          <w:highlight w:val="none"/>
        </w:rPr>
        <w:t>）</w:t>
      </w:r>
    </w:p>
    <w:p w14:paraId="48DC192E">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2、履约保证金退付方式、时间及条件：</w:t>
      </w:r>
      <w:r>
        <w:rPr>
          <w:rFonts w:hint="eastAsia" w:asciiTheme="minorEastAsia" w:hAnsiTheme="minorEastAsia" w:eastAsiaTheme="minorEastAsia"/>
          <w:color w:val="auto"/>
          <w:szCs w:val="21"/>
          <w:highlight w:val="none"/>
        </w:rPr>
        <w:t>待乙方完成全部征收工作并通过整宗交地验收后5个工作日内甲方将该履约保证金全额退还给乙方</w:t>
      </w:r>
      <w:r>
        <w:rPr>
          <w:rFonts w:hint="eastAsia" w:cs="宋体" w:asciiTheme="minorEastAsia" w:hAnsiTheme="minorEastAsia" w:eastAsiaTheme="minorEastAsia"/>
          <w:color w:val="auto"/>
          <w:szCs w:val="21"/>
          <w:highlight w:val="none"/>
        </w:rPr>
        <w:t>（不计利息）。</w:t>
      </w:r>
    </w:p>
    <w:p w14:paraId="61161C8D">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3、签订合同后，如</w:t>
      </w:r>
      <w:r>
        <w:rPr>
          <w:rFonts w:hint="eastAsia" w:asciiTheme="minorEastAsia" w:hAnsiTheme="minorEastAsia" w:eastAsiaTheme="minorEastAsia"/>
          <w:color w:val="auto"/>
          <w:szCs w:val="21"/>
          <w:highlight w:val="none"/>
        </w:rPr>
        <w:t>乙方</w:t>
      </w:r>
      <w:r>
        <w:rPr>
          <w:rFonts w:hint="eastAsia" w:cs="宋体" w:asciiTheme="minorEastAsia" w:hAnsiTheme="minorEastAsia" w:eastAsiaTheme="minorEastAsia"/>
          <w:color w:val="auto"/>
          <w:szCs w:val="21"/>
          <w:highlight w:val="none"/>
        </w:rPr>
        <w:t>不按签订的合同规定履约，则没收其全部履约保证金，履约保证金不足以赔偿损失的，按实际损失赔偿。</w:t>
      </w:r>
    </w:p>
    <w:p w14:paraId="6EFF90D3">
      <w:pPr>
        <w:spacing w:line="360" w:lineRule="auto"/>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第八条  税费</w:t>
      </w:r>
    </w:p>
    <w:p w14:paraId="4DF6D35D">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本合同执行中相关的一切税费均由乙方负担。</w:t>
      </w:r>
    </w:p>
    <w:p w14:paraId="3F415D30">
      <w:pPr>
        <w:pStyle w:val="18"/>
        <w:tabs>
          <w:tab w:val="left" w:pos="1120"/>
        </w:tabs>
        <w:spacing w:line="360" w:lineRule="auto"/>
        <w:ind w:firstLine="0" w:firstLineChars="0"/>
        <w:rPr>
          <w:rFonts w:cs="宋体" w:asciiTheme="minorEastAsia" w:hAnsiTheme="minorEastAsia" w:eastAsiaTheme="minorEastAsia"/>
          <w:b/>
          <w:color w:val="auto"/>
          <w:kern w:val="2"/>
          <w:sz w:val="21"/>
          <w:szCs w:val="21"/>
          <w:highlight w:val="none"/>
        </w:rPr>
      </w:pPr>
      <w:r>
        <w:rPr>
          <w:rFonts w:hint="eastAsia" w:cs="宋体" w:asciiTheme="minorEastAsia" w:hAnsiTheme="minorEastAsia" w:eastAsiaTheme="minorEastAsia"/>
          <w:b/>
          <w:color w:val="auto"/>
          <w:kern w:val="2"/>
          <w:sz w:val="21"/>
          <w:szCs w:val="21"/>
          <w:highlight w:val="none"/>
        </w:rPr>
        <w:t>第九条 违约责任</w:t>
      </w:r>
    </w:p>
    <w:p w14:paraId="18FED163">
      <w:pPr>
        <w:tabs>
          <w:tab w:val="left" w:pos="1400"/>
        </w:tabs>
        <w:spacing w:line="360" w:lineRule="auto"/>
        <w:ind w:firstLine="420" w:firstLineChars="200"/>
        <w:rPr>
          <w:rFonts w:cs="宋体" w:asciiTheme="minorEastAsia" w:hAnsiTheme="minorEastAsia" w:eastAsiaTheme="minorEastAsia"/>
          <w:color w:val="auto"/>
          <w:szCs w:val="21"/>
          <w:highlight w:val="none"/>
        </w:rPr>
      </w:pPr>
      <w:r>
        <w:rPr>
          <w:rFonts w:cs="宋体" w:asciiTheme="minorEastAsia" w:hAnsiTheme="minorEastAsia" w:eastAsiaTheme="minorEastAsia"/>
          <w:color w:val="auto"/>
          <w:szCs w:val="21"/>
          <w:highlight w:val="none"/>
        </w:rPr>
        <w:t>1</w:t>
      </w:r>
      <w:r>
        <w:rPr>
          <w:rFonts w:hint="eastAsia" w:cs="宋体" w:asciiTheme="minorEastAsia" w:hAnsiTheme="minorEastAsia" w:eastAsiaTheme="minorEastAsia"/>
          <w:color w:val="auto"/>
          <w:szCs w:val="21"/>
          <w:highlight w:val="none"/>
        </w:rPr>
        <w:t>、因甲方原因不能按时完成动迁任务的，乙方动迁工期顺延。</w:t>
      </w:r>
    </w:p>
    <w:p w14:paraId="05280D6C">
      <w:pPr>
        <w:spacing w:line="360" w:lineRule="auto"/>
        <w:ind w:firstLine="420" w:firstLineChars="200"/>
        <w:rPr>
          <w:rFonts w:cs="宋体" w:asciiTheme="minorEastAsia" w:hAnsiTheme="minorEastAsia" w:eastAsiaTheme="minorEastAsia"/>
          <w:color w:val="auto"/>
          <w:szCs w:val="21"/>
          <w:highlight w:val="none"/>
        </w:rPr>
      </w:pPr>
      <w:r>
        <w:rPr>
          <w:rFonts w:cs="宋体" w:asciiTheme="minorEastAsia" w:hAnsiTheme="minorEastAsia" w:eastAsiaTheme="minorEastAsia"/>
          <w:color w:val="auto"/>
          <w:szCs w:val="21"/>
          <w:highlight w:val="none"/>
        </w:rPr>
        <w:t>2</w:t>
      </w:r>
      <w:r>
        <w:rPr>
          <w:rFonts w:hint="eastAsia" w:cs="宋体" w:asciiTheme="minorEastAsia" w:hAnsiTheme="minorEastAsia" w:eastAsiaTheme="minorEastAsia"/>
          <w:color w:val="auto"/>
          <w:szCs w:val="21"/>
          <w:highlight w:val="none"/>
        </w:rPr>
        <w:t>、由于乙方的原因造成动迁工期延误的，每延误一天按合同房屋征收实施费总额的万分之</w:t>
      </w:r>
      <w:r>
        <w:rPr>
          <w:rFonts w:hint="eastAsia" w:cs="宋体" w:asciiTheme="minorEastAsia" w:hAnsiTheme="minorEastAsia" w:eastAsiaTheme="minorEastAsia"/>
          <w:color w:val="auto"/>
          <w:szCs w:val="21"/>
          <w:highlight w:val="none"/>
          <w:u w:val="single"/>
        </w:rPr>
        <w:t xml:space="preserve"> 四</w:t>
      </w:r>
      <w:r>
        <w:rPr>
          <w:rFonts w:hint="eastAsia" w:cs="宋体" w:asciiTheme="minorEastAsia" w:hAnsiTheme="minorEastAsia" w:eastAsiaTheme="minorEastAsia"/>
          <w:color w:val="auto"/>
          <w:szCs w:val="21"/>
          <w:highlight w:val="none"/>
        </w:rPr>
        <w:t>进行扣减</w:t>
      </w:r>
      <w:r>
        <w:rPr>
          <w:rFonts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乙方逾期超过30日的</w:t>
      </w:r>
      <w:r>
        <w:rPr>
          <w:rFonts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甲方有权单方面解除本合同。</w:t>
      </w:r>
    </w:p>
    <w:p w14:paraId="56690A4F">
      <w:pPr>
        <w:tabs>
          <w:tab w:val="left" w:pos="1400"/>
        </w:tabs>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除不可抗力外，如果甲方没有按照本合同约定的付款方式付款，乙方可要求甲方支付违约金，违约金按应付款时同期一年期LPR计算。如因财政支付进度导致甲方逾期付款的，乙方对此充分理解并豁免甲方应承担的逾期付款违约责任。</w:t>
      </w:r>
    </w:p>
    <w:p w14:paraId="5E3B6FCA">
      <w:pPr>
        <w:spacing w:line="360" w:lineRule="auto"/>
        <w:ind w:firstLine="420" w:firstLineChars="200"/>
        <w:rPr>
          <w:rFonts w:ascii="宋体" w:hAnsi="宋体" w:cs="宋体"/>
          <w:color w:val="auto"/>
          <w:szCs w:val="21"/>
          <w:highlight w:val="none"/>
        </w:rPr>
      </w:pPr>
      <w:r>
        <w:rPr>
          <w:rFonts w:hint="eastAsia" w:asciiTheme="minorEastAsia" w:hAnsiTheme="minorEastAsia" w:eastAsiaTheme="minorEastAsia"/>
          <w:color w:val="auto"/>
          <w:szCs w:val="21"/>
          <w:highlight w:val="none"/>
        </w:rPr>
        <w:t>3、若乙方违反本合同规定，擅自提高征收安置补偿标准或超面积给予补偿，超过部分的费用由乙方承担，并按超过部分费用的3倍向甲方支付违约金，由甲方直接从乙方的</w:t>
      </w:r>
      <w:r>
        <w:rPr>
          <w:rFonts w:hint="eastAsia" w:cs="宋体" w:asciiTheme="minorEastAsia" w:hAnsiTheme="minorEastAsia" w:eastAsiaTheme="minorEastAsia"/>
          <w:color w:val="auto"/>
          <w:kern w:val="0"/>
          <w:szCs w:val="21"/>
          <w:highlight w:val="none"/>
        </w:rPr>
        <w:t>房屋征收实施费</w:t>
      </w:r>
      <w:r>
        <w:rPr>
          <w:rFonts w:hint="eastAsia" w:asciiTheme="minorEastAsia" w:hAnsiTheme="minorEastAsia" w:eastAsiaTheme="minorEastAsia"/>
          <w:color w:val="auto"/>
          <w:szCs w:val="21"/>
          <w:highlight w:val="none"/>
        </w:rPr>
        <w:t>中扣除，不足部分乙方另行支付给甲方；发现上述行为两次的</w:t>
      </w:r>
      <w:r>
        <w:rPr>
          <w:rFonts w:hint="eastAsia" w:ascii="宋体" w:hAnsi="宋体" w:cs="宋体"/>
          <w:color w:val="auto"/>
          <w:szCs w:val="21"/>
          <w:highlight w:val="none"/>
        </w:rPr>
        <w:t>，无论是否造成实际损失，甲方有权解除本合同，由此造成的经济损失由乙方负责赔偿。</w:t>
      </w:r>
    </w:p>
    <w:p w14:paraId="4652080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若乙方违反本合同规定，在动迁活动过程中，未经甲方审核同意，乙方及其工作人员擅自与被征收人签订任何协议文件或出具书面承诺，给甲方造成的损失由乙方承担，并按造成损失费用的3倍向甲方支付违约金，由甲方直接从乙方的</w:t>
      </w:r>
      <w:r>
        <w:rPr>
          <w:rFonts w:hint="eastAsia" w:ascii="宋体" w:hAnsi="宋体" w:cs="宋体"/>
          <w:color w:val="auto"/>
          <w:kern w:val="0"/>
          <w:szCs w:val="21"/>
          <w:highlight w:val="none"/>
        </w:rPr>
        <w:t>房屋征收实施费</w:t>
      </w:r>
      <w:r>
        <w:rPr>
          <w:rFonts w:hint="eastAsia" w:ascii="宋体" w:hAnsi="宋体" w:cs="宋体"/>
          <w:color w:val="auto"/>
          <w:szCs w:val="21"/>
          <w:highlight w:val="none"/>
        </w:rPr>
        <w:t>中扣除，不足部分乙方另行支付给甲方；发现上述行为两次的，无论是否造成实际损失，甲方有权解除本合同，由此造成的经济损失由乙方负责赔偿。</w:t>
      </w:r>
    </w:p>
    <w:p w14:paraId="7A70DF75">
      <w:pPr>
        <w:spacing w:line="360" w:lineRule="auto"/>
        <w:ind w:firstLine="420" w:firstLineChars="200"/>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w:t>
      </w:r>
      <w:r>
        <w:rPr>
          <w:rFonts w:hint="eastAsia" w:asciiTheme="minorEastAsia" w:hAnsiTheme="minorEastAsia" w:eastAsiaTheme="minorEastAsia"/>
          <w:color w:val="auto"/>
          <w:szCs w:val="21"/>
          <w:highlight w:val="none"/>
        </w:rPr>
        <w:t>若乙方在工程结算时，结算资料经柳州市房屋征收补偿服务中心审核后发现多补偿情况将按有关规定不予结算，因此产生经济损失由乙方负责赔偿，由甲方在乙方的</w:t>
      </w:r>
      <w:r>
        <w:rPr>
          <w:rFonts w:hint="eastAsia" w:cs="宋体" w:asciiTheme="minorEastAsia" w:hAnsiTheme="minorEastAsia" w:eastAsiaTheme="minorEastAsia"/>
          <w:color w:val="auto"/>
          <w:kern w:val="0"/>
          <w:szCs w:val="21"/>
          <w:highlight w:val="none"/>
        </w:rPr>
        <w:t>房屋征收实施费</w:t>
      </w:r>
      <w:r>
        <w:rPr>
          <w:rFonts w:hint="eastAsia" w:asciiTheme="minorEastAsia" w:hAnsiTheme="minorEastAsia" w:eastAsiaTheme="minorEastAsia"/>
          <w:color w:val="auto"/>
          <w:szCs w:val="21"/>
          <w:highlight w:val="none"/>
        </w:rPr>
        <w:t>中扣除，不足部分乙方另行支付给甲方。</w:t>
      </w:r>
    </w:p>
    <w:p w14:paraId="74103287">
      <w:pPr>
        <w:tabs>
          <w:tab w:val="left" w:pos="1400"/>
        </w:tabs>
        <w:spacing w:line="312"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6、乙方违反第五条第（二）款1-3、5-6项约定的</w:t>
      </w:r>
      <w:r>
        <w:rPr>
          <w:rFonts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甲方有权要求乙方更正。经甲方提出后仍不改正的</w:t>
      </w:r>
      <w:r>
        <w:rPr>
          <w:rFonts w:cs="宋体"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甲方有权单方面解除本合同</w:t>
      </w:r>
      <w:r>
        <w:rPr>
          <w:rFonts w:cs="宋体" w:asciiTheme="minorEastAsia" w:hAnsiTheme="minorEastAsia" w:eastAsiaTheme="minorEastAsia"/>
          <w:color w:val="auto"/>
          <w:szCs w:val="21"/>
          <w:highlight w:val="none"/>
        </w:rPr>
        <w:t>。</w:t>
      </w:r>
    </w:p>
    <w:p w14:paraId="19DDEC95">
      <w:pPr>
        <w:tabs>
          <w:tab w:val="left" w:pos="1400"/>
        </w:tabs>
        <w:spacing w:line="312"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7</w:t>
      </w:r>
      <w:r>
        <w:rPr>
          <w:rFonts w:hint="eastAsia" w:cs="宋体" w:asciiTheme="minorEastAsia" w:hAnsiTheme="minorEastAsia" w:eastAsiaTheme="minorEastAsia"/>
          <w:color w:val="auto"/>
          <w:szCs w:val="21"/>
          <w:highlight w:val="none"/>
        </w:rPr>
        <w:t>.乙方及乙方工作人员违反第四条第（一）款第3项、第五条第（二）款第4项约定的，甲方有权直接解除本合同。</w:t>
      </w:r>
    </w:p>
    <w:p w14:paraId="3408D6BE">
      <w:pPr>
        <w:tabs>
          <w:tab w:val="left" w:pos="1400"/>
        </w:tabs>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8</w:t>
      </w:r>
      <w:r>
        <w:rPr>
          <w:rFonts w:hint="eastAsia" w:cs="宋体" w:asciiTheme="minorEastAsia" w:hAnsiTheme="minorEastAsia" w:eastAsiaTheme="minorEastAsia"/>
          <w:color w:val="auto"/>
          <w:szCs w:val="21"/>
          <w:highlight w:val="none"/>
        </w:rPr>
        <w:t>、因乙方原因导致甲方解除本合同的，甲方按乙方实际完成工程量的</w:t>
      </w:r>
      <w:r>
        <w:rPr>
          <w:rFonts w:hint="eastAsia" w:cs="宋体" w:asciiTheme="minorEastAsia" w:hAnsiTheme="minorEastAsia" w:eastAsiaTheme="minorEastAsia"/>
          <w:color w:val="auto"/>
          <w:szCs w:val="21"/>
          <w:highlight w:val="none"/>
          <w:u w:val="single"/>
        </w:rPr>
        <w:t>80</w:t>
      </w:r>
      <w:r>
        <w:rPr>
          <w:rFonts w:hint="eastAsia" w:cs="宋体" w:asciiTheme="minorEastAsia" w:hAnsiTheme="minorEastAsia" w:eastAsiaTheme="minorEastAsia"/>
          <w:color w:val="auto"/>
          <w:szCs w:val="21"/>
          <w:highlight w:val="none"/>
        </w:rPr>
        <w:t>%对乙方进行结算；因乙方原因导致甲方遭受其他损失的，甲方对乙方结算时，有权对甲方该部分损失一并扣除。</w:t>
      </w:r>
    </w:p>
    <w:p w14:paraId="0706A5F0">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9</w:t>
      </w:r>
      <w:r>
        <w:rPr>
          <w:rFonts w:hint="eastAsia" w:cs="宋体" w:asciiTheme="minorEastAsia" w:hAnsiTheme="minorEastAsia" w:eastAsiaTheme="minorEastAsia"/>
          <w:color w:val="auto"/>
          <w:szCs w:val="21"/>
          <w:highlight w:val="none"/>
        </w:rPr>
        <w:t>、 因乙方未能依照合同约定及甲方提出的工作要求收集并提供拆迁资料或违反法律规定及甲方要求实施拆迁工作，致使甲方（含柳北区政府及征收主管部门）在行政诉讼或国家赔偿案中败诉，每户扣减5000元。如因此导致甲方（含柳北区政府及征收主管部门）承担国家赔偿责任的，相应损失由乙方承担。</w:t>
      </w:r>
    </w:p>
    <w:p w14:paraId="5A97F958">
      <w:pPr>
        <w:spacing w:line="360" w:lineRule="auto"/>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第十条  不可抗力事件处理</w:t>
      </w:r>
    </w:p>
    <w:p w14:paraId="342ED41D">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1、在合同有效期内，任何一方因不可抗力事件导致不能履行合同，则合同履行期可延长，其延长期与不可抗力影响期相同。</w:t>
      </w:r>
    </w:p>
    <w:p w14:paraId="59592497">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2、不可抗力事件发生后，应立即通知对方，并寄送有关权威机构出具的证明。</w:t>
      </w:r>
    </w:p>
    <w:p w14:paraId="5FDE0A39">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3、不可抗力事件延续一百二十天以上，双方应通过友好协商，确定是否继续履行合同。</w:t>
      </w:r>
    </w:p>
    <w:p w14:paraId="7758C4F9">
      <w:pPr>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b/>
          <w:color w:val="auto"/>
          <w:szCs w:val="21"/>
          <w:highlight w:val="none"/>
        </w:rPr>
        <w:t>第十一条  合同争议解决</w:t>
      </w:r>
    </w:p>
    <w:p w14:paraId="24B26426">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1、因履行本合同引起的或者与本合同有关的争议，甲乙双方应首先通过友好协商解决，如果协商不能解决，可向甲方所在地有管辖权人民法院提起诉讼。</w:t>
      </w:r>
    </w:p>
    <w:p w14:paraId="0F578CC4">
      <w:pPr>
        <w:snapToGrid w:val="0"/>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2、诉讼期间，本合同继续履行。</w:t>
      </w:r>
    </w:p>
    <w:p w14:paraId="3C06E2C7">
      <w:pPr>
        <w:spacing w:line="360" w:lineRule="auto"/>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第十二条  合同生效及其它</w:t>
      </w:r>
    </w:p>
    <w:p w14:paraId="6CD72FC5">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1、合同经各方法定代表人或者授权代表签字并加盖单位公章，并且按规定提交履约保证金后生效（委托代理人签字的需后附授权委托书，格式自拟）。</w:t>
      </w:r>
    </w:p>
    <w:p w14:paraId="1C9388E9">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2、本合同未尽事宜，遵照《中华人民共和国民法典》有关条文执行。</w:t>
      </w:r>
    </w:p>
    <w:p w14:paraId="705DADEC">
      <w:pPr>
        <w:spacing w:line="360" w:lineRule="auto"/>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第十三条　合同的变更、终止与转让</w:t>
      </w:r>
    </w:p>
    <w:p w14:paraId="1D3B83B9">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1、除《中华人民共和国政府采购法》第五十条规定的情形外，本合同一经签订，甲、乙方不得擅自变更、中止或者终止。</w:t>
      </w:r>
    </w:p>
    <w:p w14:paraId="5BCCEBA6">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2、乙方不得擅自转让其应履行的合同义务。</w:t>
      </w:r>
    </w:p>
    <w:p w14:paraId="22B49E5B">
      <w:pPr>
        <w:spacing w:line="360" w:lineRule="auto"/>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第十四条　签订本合同依据</w:t>
      </w:r>
    </w:p>
    <w:p w14:paraId="224195EB">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中标通知书</w:t>
      </w:r>
      <w:r>
        <w:rPr>
          <w:rFonts w:hint="eastAsia" w:cs="宋体" w:asciiTheme="minorEastAsia" w:hAnsiTheme="minorEastAsia" w:eastAsiaTheme="minorEastAsia"/>
          <w:color w:val="auto"/>
          <w:szCs w:val="21"/>
          <w:highlight w:val="none"/>
        </w:rPr>
        <w:t>；</w:t>
      </w:r>
    </w:p>
    <w:p w14:paraId="5F727A1E">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2、开标一览表；</w:t>
      </w:r>
    </w:p>
    <w:p w14:paraId="600ABCB8">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3、商务要求偏离表和服务要求偏离表；</w:t>
      </w:r>
    </w:p>
    <w:p w14:paraId="79339C53">
      <w:pPr>
        <w:spacing w:line="360" w:lineRule="auto"/>
        <w:ind w:firstLine="420" w:firstLineChars="200"/>
        <w:rPr>
          <w:rFonts w:cs="宋体" w:asciiTheme="minorEastAsia" w:hAnsiTheme="minorEastAsia" w:eastAsiaTheme="minorEastAsia"/>
          <w:color w:val="auto"/>
          <w:szCs w:val="21"/>
          <w:highlight w:val="none"/>
        </w:rPr>
      </w:pPr>
      <w:r>
        <w:rPr>
          <w:rFonts w:cs="宋体" w:asciiTheme="minorEastAsia" w:hAnsiTheme="minorEastAsia" w:eastAsiaTheme="minorEastAsia"/>
          <w:color w:val="auto"/>
          <w:szCs w:val="21"/>
          <w:highlight w:val="none"/>
        </w:rPr>
        <w:t>4</w:t>
      </w:r>
      <w:r>
        <w:rPr>
          <w:rFonts w:hint="eastAsia" w:cs="宋体" w:asciiTheme="minorEastAsia" w:hAnsiTheme="minorEastAsia" w:eastAsiaTheme="minorEastAsia"/>
          <w:color w:val="auto"/>
          <w:szCs w:val="21"/>
          <w:highlight w:val="none"/>
        </w:rPr>
        <w:t>、投标文件中的其他相关文件；</w:t>
      </w:r>
    </w:p>
    <w:p w14:paraId="2BDC5CAD">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5、招标文件。</w:t>
      </w:r>
    </w:p>
    <w:p w14:paraId="4D8D6136">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上述合同文件互相补充和解释。如果合同文件之间存在矛盾或者不一致之处，以上述文件的排列顺序在先者为准。</w:t>
      </w:r>
    </w:p>
    <w:p w14:paraId="2B891CB6">
      <w:pPr>
        <w:spacing w:line="360" w:lineRule="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b/>
          <w:color w:val="auto"/>
          <w:szCs w:val="21"/>
          <w:highlight w:val="none"/>
        </w:rPr>
        <w:t>第十四条　</w:t>
      </w:r>
      <w:r>
        <w:rPr>
          <w:rFonts w:hint="eastAsia" w:cs="宋体" w:asciiTheme="minorEastAsia" w:hAnsiTheme="minorEastAsia" w:eastAsiaTheme="minorEastAsia"/>
          <w:color w:val="auto"/>
          <w:szCs w:val="21"/>
          <w:highlight w:val="none"/>
        </w:rPr>
        <w:t>本合同一式四份，具有同等法律效力，财政部门（政府采购监管部门）、采购代理机构各一份，甲乙双方各一份（可根据需要另增加）。</w:t>
      </w:r>
    </w:p>
    <w:p w14:paraId="5F4D840C">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本合同甲乙双方签字盖章后生效，自签订之日起七个工作日内，甲方应当将合同副本报同级财政部门备案。</w:t>
      </w:r>
    </w:p>
    <w:p w14:paraId="2A1259DF">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本合同自签订之日起2个工作日内，甲方应当将采购合同在广西壮族自治区财政厅指定的媒体上公告。</w:t>
      </w:r>
    </w:p>
    <w:tbl>
      <w:tblPr>
        <w:tblStyle w:val="47"/>
        <w:tblpPr w:leftFromText="180" w:rightFromText="180" w:vertAnchor="text" w:horzAnchor="margin" w:tblpY="214"/>
        <w:tblW w:w="91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82"/>
        <w:gridCol w:w="4583"/>
      </w:tblGrid>
      <w:tr w14:paraId="3B747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09" w:hRule="atLeast"/>
        </w:trPr>
        <w:tc>
          <w:tcPr>
            <w:tcW w:w="4582" w:type="dxa"/>
            <w:tcBorders>
              <w:top w:val="single" w:color="auto" w:sz="4" w:space="0"/>
              <w:left w:val="single" w:color="auto" w:sz="4" w:space="0"/>
              <w:bottom w:val="single" w:color="auto" w:sz="4" w:space="0"/>
              <w:right w:val="single" w:color="auto" w:sz="4" w:space="0"/>
            </w:tcBorders>
            <w:vAlign w:val="center"/>
          </w:tcPr>
          <w:p w14:paraId="3E162457">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甲方：（章）</w:t>
            </w:r>
          </w:p>
          <w:p w14:paraId="5D281EB5">
            <w:pPr>
              <w:snapToGrid w:val="0"/>
              <w:spacing w:line="360" w:lineRule="auto"/>
              <w:rPr>
                <w:rFonts w:ascii="宋体" w:hAnsi="宋体" w:cs="宋体"/>
                <w:color w:val="auto"/>
                <w:szCs w:val="21"/>
                <w:highlight w:val="none"/>
              </w:rPr>
            </w:pPr>
          </w:p>
          <w:p w14:paraId="3D5D85C0">
            <w:pPr>
              <w:snapToGrid w:val="0"/>
              <w:spacing w:line="360" w:lineRule="auto"/>
              <w:ind w:firstLine="945" w:firstLineChars="450"/>
              <w:jc w:val="right"/>
              <w:rPr>
                <w:rFonts w:ascii="宋体" w:hAnsi="宋体" w:cs="宋体"/>
                <w:color w:val="auto"/>
                <w:szCs w:val="21"/>
                <w:highlight w:val="none"/>
              </w:rPr>
            </w:pPr>
          </w:p>
          <w:p w14:paraId="0A15029D">
            <w:pPr>
              <w:snapToGrid w:val="0"/>
              <w:spacing w:line="360" w:lineRule="auto"/>
              <w:ind w:firstLine="945" w:firstLineChars="450"/>
              <w:jc w:val="right"/>
              <w:rPr>
                <w:rFonts w:ascii="宋体" w:hAnsi="宋体" w:cs="宋体"/>
                <w:color w:val="auto"/>
                <w:szCs w:val="21"/>
                <w:highlight w:val="none"/>
              </w:rPr>
            </w:pPr>
            <w:r>
              <w:rPr>
                <w:rFonts w:hint="eastAsia" w:ascii="宋体" w:hAnsi="宋体" w:cs="宋体"/>
                <w:color w:val="auto"/>
                <w:szCs w:val="21"/>
                <w:highlight w:val="none"/>
              </w:rPr>
              <w:t>年   月   日</w:t>
            </w:r>
          </w:p>
        </w:tc>
        <w:tc>
          <w:tcPr>
            <w:tcW w:w="4583" w:type="dxa"/>
            <w:tcBorders>
              <w:top w:val="single" w:color="auto" w:sz="4" w:space="0"/>
              <w:left w:val="single" w:color="auto" w:sz="4" w:space="0"/>
              <w:bottom w:val="single" w:color="auto" w:sz="4" w:space="0"/>
              <w:right w:val="single" w:color="auto" w:sz="4" w:space="0"/>
            </w:tcBorders>
            <w:vAlign w:val="center"/>
          </w:tcPr>
          <w:p w14:paraId="53048EB0">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乙方：（章）       </w:t>
            </w:r>
          </w:p>
          <w:p w14:paraId="5B7766FF">
            <w:pPr>
              <w:snapToGrid w:val="0"/>
              <w:spacing w:line="360" w:lineRule="auto"/>
              <w:rPr>
                <w:rFonts w:ascii="宋体" w:hAnsi="宋体" w:cs="宋体"/>
                <w:color w:val="auto"/>
                <w:szCs w:val="21"/>
                <w:highlight w:val="none"/>
              </w:rPr>
            </w:pPr>
          </w:p>
          <w:p w14:paraId="53229DEA">
            <w:pPr>
              <w:snapToGrid w:val="0"/>
              <w:spacing w:line="360" w:lineRule="auto"/>
              <w:rPr>
                <w:rFonts w:ascii="宋体" w:hAnsi="宋体" w:cs="宋体"/>
                <w:color w:val="auto"/>
                <w:szCs w:val="21"/>
                <w:highlight w:val="none"/>
              </w:rPr>
            </w:pPr>
          </w:p>
          <w:p w14:paraId="7E83EC0D">
            <w:pPr>
              <w:snapToGrid w:val="0"/>
              <w:spacing w:line="360" w:lineRule="auto"/>
              <w:jc w:val="right"/>
              <w:rPr>
                <w:rFonts w:ascii="宋体" w:hAnsi="宋体" w:cs="宋体"/>
                <w:color w:val="auto"/>
                <w:szCs w:val="21"/>
                <w:highlight w:val="none"/>
              </w:rPr>
            </w:pPr>
          </w:p>
          <w:p w14:paraId="5129FF37">
            <w:pPr>
              <w:snapToGrid w:val="0"/>
              <w:spacing w:line="360" w:lineRule="auto"/>
              <w:jc w:val="right"/>
              <w:rPr>
                <w:rFonts w:ascii="宋体" w:hAnsi="宋体" w:cs="宋体"/>
                <w:color w:val="auto"/>
                <w:szCs w:val="21"/>
                <w:highlight w:val="none"/>
              </w:rPr>
            </w:pPr>
            <w:r>
              <w:rPr>
                <w:rFonts w:hint="eastAsia" w:ascii="宋体" w:hAnsi="宋体" w:cs="宋体"/>
                <w:color w:val="auto"/>
                <w:szCs w:val="21"/>
                <w:highlight w:val="none"/>
              </w:rPr>
              <w:t xml:space="preserve"> 年   月   日</w:t>
            </w:r>
          </w:p>
        </w:tc>
      </w:tr>
      <w:tr w14:paraId="45EC2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 w:hRule="atLeast"/>
        </w:trPr>
        <w:tc>
          <w:tcPr>
            <w:tcW w:w="4582" w:type="dxa"/>
            <w:tcBorders>
              <w:top w:val="single" w:color="auto" w:sz="4" w:space="0"/>
              <w:left w:val="single" w:color="auto" w:sz="4" w:space="0"/>
              <w:bottom w:val="single" w:color="auto" w:sz="4" w:space="0"/>
              <w:right w:val="single" w:color="auto" w:sz="4" w:space="0"/>
            </w:tcBorders>
            <w:vAlign w:val="center"/>
          </w:tcPr>
          <w:p w14:paraId="66A84274">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单位地址：</w:t>
            </w:r>
          </w:p>
        </w:tc>
        <w:tc>
          <w:tcPr>
            <w:tcW w:w="4583" w:type="dxa"/>
            <w:tcBorders>
              <w:top w:val="single" w:color="auto" w:sz="4" w:space="0"/>
              <w:left w:val="single" w:color="auto" w:sz="4" w:space="0"/>
              <w:bottom w:val="single" w:color="auto" w:sz="4" w:space="0"/>
              <w:right w:val="single" w:color="auto" w:sz="4" w:space="0"/>
            </w:tcBorders>
            <w:vAlign w:val="center"/>
          </w:tcPr>
          <w:p w14:paraId="7626C481">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单位地址： </w:t>
            </w:r>
          </w:p>
        </w:tc>
      </w:tr>
      <w:tr w14:paraId="0B9BF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 w:hRule="atLeast"/>
        </w:trPr>
        <w:tc>
          <w:tcPr>
            <w:tcW w:w="4582" w:type="dxa"/>
            <w:tcBorders>
              <w:top w:val="single" w:color="auto" w:sz="4" w:space="0"/>
              <w:left w:val="single" w:color="auto" w:sz="4" w:space="0"/>
              <w:bottom w:val="single" w:color="auto" w:sz="4" w:space="0"/>
              <w:right w:val="single" w:color="auto" w:sz="4" w:space="0"/>
            </w:tcBorders>
            <w:vAlign w:val="center"/>
          </w:tcPr>
          <w:p w14:paraId="484141AA">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法定代表人：</w:t>
            </w:r>
          </w:p>
        </w:tc>
        <w:tc>
          <w:tcPr>
            <w:tcW w:w="4583" w:type="dxa"/>
            <w:tcBorders>
              <w:top w:val="single" w:color="auto" w:sz="4" w:space="0"/>
              <w:left w:val="single" w:color="auto" w:sz="4" w:space="0"/>
              <w:bottom w:val="single" w:color="auto" w:sz="4" w:space="0"/>
              <w:right w:val="single" w:color="auto" w:sz="4" w:space="0"/>
            </w:tcBorders>
            <w:vAlign w:val="center"/>
          </w:tcPr>
          <w:p w14:paraId="1E400E10">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法定代表人：</w:t>
            </w:r>
          </w:p>
        </w:tc>
      </w:tr>
      <w:tr w14:paraId="18C80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 w:hRule="atLeast"/>
        </w:trPr>
        <w:tc>
          <w:tcPr>
            <w:tcW w:w="4582" w:type="dxa"/>
            <w:tcBorders>
              <w:top w:val="single" w:color="auto" w:sz="4" w:space="0"/>
              <w:left w:val="single" w:color="auto" w:sz="4" w:space="0"/>
              <w:bottom w:val="single" w:color="auto" w:sz="4" w:space="0"/>
              <w:right w:val="single" w:color="auto" w:sz="4" w:space="0"/>
            </w:tcBorders>
            <w:vAlign w:val="center"/>
          </w:tcPr>
          <w:p w14:paraId="2E30AE36">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委托代理人：</w:t>
            </w:r>
          </w:p>
        </w:tc>
        <w:tc>
          <w:tcPr>
            <w:tcW w:w="4583" w:type="dxa"/>
            <w:tcBorders>
              <w:top w:val="single" w:color="auto" w:sz="4" w:space="0"/>
              <w:left w:val="single" w:color="auto" w:sz="4" w:space="0"/>
              <w:bottom w:val="single" w:color="auto" w:sz="4" w:space="0"/>
              <w:right w:val="single" w:color="auto" w:sz="4" w:space="0"/>
            </w:tcBorders>
            <w:vAlign w:val="center"/>
          </w:tcPr>
          <w:p w14:paraId="599C152C">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委托代理人：</w:t>
            </w:r>
          </w:p>
        </w:tc>
      </w:tr>
      <w:tr w14:paraId="0CEDC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 w:hRule="atLeast"/>
        </w:trPr>
        <w:tc>
          <w:tcPr>
            <w:tcW w:w="4582" w:type="dxa"/>
            <w:tcBorders>
              <w:top w:val="single" w:color="auto" w:sz="4" w:space="0"/>
              <w:left w:val="single" w:color="auto" w:sz="4" w:space="0"/>
              <w:bottom w:val="single" w:color="auto" w:sz="4" w:space="0"/>
              <w:right w:val="single" w:color="auto" w:sz="4" w:space="0"/>
            </w:tcBorders>
            <w:vAlign w:val="center"/>
          </w:tcPr>
          <w:p w14:paraId="662257EF">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电话：</w:t>
            </w:r>
          </w:p>
        </w:tc>
        <w:tc>
          <w:tcPr>
            <w:tcW w:w="4583" w:type="dxa"/>
            <w:tcBorders>
              <w:top w:val="single" w:color="auto" w:sz="4" w:space="0"/>
              <w:left w:val="single" w:color="auto" w:sz="4" w:space="0"/>
              <w:bottom w:val="single" w:color="auto" w:sz="4" w:space="0"/>
              <w:right w:val="single" w:color="auto" w:sz="4" w:space="0"/>
            </w:tcBorders>
            <w:vAlign w:val="center"/>
          </w:tcPr>
          <w:p w14:paraId="27DAD791">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电话：</w:t>
            </w:r>
          </w:p>
        </w:tc>
      </w:tr>
      <w:tr w14:paraId="0567B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 w:hRule="atLeast"/>
        </w:trPr>
        <w:tc>
          <w:tcPr>
            <w:tcW w:w="4582" w:type="dxa"/>
            <w:tcBorders>
              <w:top w:val="single" w:color="auto" w:sz="4" w:space="0"/>
              <w:left w:val="single" w:color="auto" w:sz="4" w:space="0"/>
              <w:bottom w:val="single" w:color="auto" w:sz="4" w:space="0"/>
              <w:right w:val="single" w:color="auto" w:sz="4" w:space="0"/>
            </w:tcBorders>
            <w:vAlign w:val="center"/>
          </w:tcPr>
          <w:p w14:paraId="77646DB7">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开户银行： </w:t>
            </w:r>
          </w:p>
        </w:tc>
        <w:tc>
          <w:tcPr>
            <w:tcW w:w="4583" w:type="dxa"/>
            <w:tcBorders>
              <w:top w:val="single" w:color="auto" w:sz="4" w:space="0"/>
              <w:left w:val="single" w:color="auto" w:sz="4" w:space="0"/>
              <w:bottom w:val="single" w:color="auto" w:sz="4" w:space="0"/>
              <w:right w:val="single" w:color="auto" w:sz="4" w:space="0"/>
            </w:tcBorders>
            <w:vAlign w:val="center"/>
          </w:tcPr>
          <w:p w14:paraId="3725981C">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开户银行： </w:t>
            </w:r>
          </w:p>
        </w:tc>
      </w:tr>
      <w:tr w14:paraId="0F882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 w:hRule="atLeast"/>
        </w:trPr>
        <w:tc>
          <w:tcPr>
            <w:tcW w:w="4582" w:type="dxa"/>
            <w:tcBorders>
              <w:top w:val="single" w:color="auto" w:sz="4" w:space="0"/>
              <w:left w:val="single" w:color="auto" w:sz="4" w:space="0"/>
              <w:bottom w:val="single" w:color="auto" w:sz="4" w:space="0"/>
              <w:right w:val="single" w:color="auto" w:sz="4" w:space="0"/>
            </w:tcBorders>
            <w:vAlign w:val="center"/>
          </w:tcPr>
          <w:p w14:paraId="4B087E97">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账号：</w:t>
            </w:r>
          </w:p>
        </w:tc>
        <w:tc>
          <w:tcPr>
            <w:tcW w:w="4583" w:type="dxa"/>
            <w:tcBorders>
              <w:top w:val="single" w:color="auto" w:sz="4" w:space="0"/>
              <w:left w:val="single" w:color="auto" w:sz="4" w:space="0"/>
              <w:bottom w:val="single" w:color="auto" w:sz="4" w:space="0"/>
              <w:right w:val="single" w:color="auto" w:sz="4" w:space="0"/>
            </w:tcBorders>
            <w:vAlign w:val="center"/>
          </w:tcPr>
          <w:p w14:paraId="3C5E4FA6">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账号：</w:t>
            </w:r>
          </w:p>
        </w:tc>
      </w:tr>
      <w:tr w14:paraId="3E04D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 w:hRule="atLeast"/>
        </w:trPr>
        <w:tc>
          <w:tcPr>
            <w:tcW w:w="4582" w:type="dxa"/>
            <w:tcBorders>
              <w:top w:val="single" w:color="auto" w:sz="4" w:space="0"/>
              <w:left w:val="single" w:color="auto" w:sz="4" w:space="0"/>
              <w:bottom w:val="single" w:color="auto" w:sz="4" w:space="0"/>
              <w:right w:val="single" w:color="auto" w:sz="4" w:space="0"/>
            </w:tcBorders>
            <w:vAlign w:val="center"/>
          </w:tcPr>
          <w:p w14:paraId="1DC7BD96">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邮政编码：</w:t>
            </w:r>
          </w:p>
        </w:tc>
        <w:tc>
          <w:tcPr>
            <w:tcW w:w="4583" w:type="dxa"/>
            <w:tcBorders>
              <w:top w:val="single" w:color="auto" w:sz="4" w:space="0"/>
              <w:left w:val="single" w:color="auto" w:sz="4" w:space="0"/>
              <w:bottom w:val="single" w:color="auto" w:sz="4" w:space="0"/>
              <w:right w:val="single" w:color="auto" w:sz="4" w:space="0"/>
            </w:tcBorders>
            <w:vAlign w:val="center"/>
          </w:tcPr>
          <w:p w14:paraId="74FAC936">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邮政编码：</w:t>
            </w:r>
          </w:p>
        </w:tc>
      </w:tr>
    </w:tbl>
    <w:p w14:paraId="76EC7B58">
      <w:pPr>
        <w:rPr>
          <w:rFonts w:ascii="宋体" w:hAnsi="宋体" w:cs="宋体"/>
          <w:b/>
          <w:bCs/>
          <w:color w:val="auto"/>
          <w:sz w:val="32"/>
          <w:szCs w:val="32"/>
          <w:highlight w:val="none"/>
        </w:rPr>
      </w:pPr>
      <w:r>
        <w:rPr>
          <w:rFonts w:hint="eastAsia" w:ascii="宋体" w:hAnsi="宋体" w:cs="宋体"/>
          <w:b/>
          <w:bCs/>
          <w:color w:val="auto"/>
          <w:sz w:val="32"/>
          <w:szCs w:val="32"/>
          <w:highlight w:val="none"/>
        </w:rPr>
        <w:br w:type="page"/>
      </w:r>
    </w:p>
    <w:p w14:paraId="476A4A66">
      <w:pPr>
        <w:snapToGrid w:val="0"/>
        <w:spacing w:line="360" w:lineRule="auto"/>
        <w:jc w:val="left"/>
        <w:rPr>
          <w:rFonts w:ascii="宋体" w:hAnsi="宋体" w:cs="宋体"/>
          <w:color w:val="auto"/>
          <w:szCs w:val="21"/>
          <w:highlight w:val="none"/>
        </w:rPr>
      </w:pPr>
    </w:p>
    <w:p w14:paraId="3BD27ED8">
      <w:pPr>
        <w:spacing w:line="500" w:lineRule="exact"/>
        <w:rPr>
          <w:rFonts w:ascii="宋体" w:hAnsi="宋体" w:cs="宋体"/>
          <w:color w:val="auto"/>
          <w:sz w:val="28"/>
          <w:szCs w:val="28"/>
          <w:highlight w:val="none"/>
          <w:u w:val="single"/>
        </w:rPr>
      </w:pPr>
    </w:p>
    <w:p w14:paraId="7944713A">
      <w:pPr>
        <w:snapToGrid w:val="0"/>
        <w:spacing w:line="480" w:lineRule="auto"/>
        <w:rPr>
          <w:rFonts w:ascii="宋体" w:hAnsi="宋体" w:cs="宋体"/>
          <w:bCs/>
          <w:color w:val="auto"/>
          <w:sz w:val="32"/>
          <w:szCs w:val="32"/>
          <w:highlight w:val="none"/>
        </w:rPr>
      </w:pPr>
    </w:p>
    <w:p w14:paraId="37636365">
      <w:pPr>
        <w:snapToGrid w:val="0"/>
        <w:jc w:val="center"/>
        <w:rPr>
          <w:rFonts w:ascii="宋体" w:hAnsi="宋体" w:cs="宋体"/>
          <w:bCs/>
          <w:color w:val="auto"/>
          <w:sz w:val="32"/>
          <w:szCs w:val="32"/>
          <w:highlight w:val="none"/>
        </w:rPr>
      </w:pPr>
    </w:p>
    <w:p w14:paraId="63FFB35A">
      <w:pPr>
        <w:snapToGrid w:val="0"/>
        <w:jc w:val="center"/>
        <w:rPr>
          <w:rFonts w:ascii="宋体" w:hAnsi="宋体" w:cs="宋体"/>
          <w:bCs/>
          <w:color w:val="auto"/>
          <w:sz w:val="32"/>
          <w:szCs w:val="32"/>
          <w:highlight w:val="none"/>
        </w:rPr>
      </w:pPr>
    </w:p>
    <w:p w14:paraId="49050068">
      <w:pPr>
        <w:snapToGrid w:val="0"/>
        <w:jc w:val="center"/>
        <w:rPr>
          <w:rFonts w:ascii="宋体" w:hAnsi="宋体" w:cs="宋体"/>
          <w:bCs/>
          <w:color w:val="auto"/>
          <w:sz w:val="32"/>
          <w:szCs w:val="32"/>
          <w:highlight w:val="none"/>
        </w:rPr>
      </w:pPr>
    </w:p>
    <w:p w14:paraId="089DA4AB">
      <w:pPr>
        <w:snapToGrid w:val="0"/>
        <w:jc w:val="center"/>
        <w:rPr>
          <w:rFonts w:ascii="宋体" w:hAnsi="宋体" w:cs="宋体"/>
          <w:bCs/>
          <w:color w:val="auto"/>
          <w:sz w:val="32"/>
          <w:szCs w:val="32"/>
          <w:highlight w:val="none"/>
        </w:rPr>
      </w:pPr>
    </w:p>
    <w:p w14:paraId="77433275">
      <w:pPr>
        <w:snapToGrid w:val="0"/>
        <w:jc w:val="center"/>
        <w:rPr>
          <w:rFonts w:ascii="宋体" w:hAnsi="宋体" w:cs="宋体"/>
          <w:bCs/>
          <w:color w:val="auto"/>
          <w:sz w:val="32"/>
          <w:szCs w:val="32"/>
          <w:highlight w:val="none"/>
        </w:rPr>
      </w:pPr>
    </w:p>
    <w:p w14:paraId="7828AF1E">
      <w:pPr>
        <w:snapToGrid w:val="0"/>
        <w:jc w:val="center"/>
        <w:rPr>
          <w:rFonts w:ascii="宋体" w:hAnsi="宋体" w:cs="宋体"/>
          <w:bCs/>
          <w:color w:val="auto"/>
          <w:sz w:val="32"/>
          <w:szCs w:val="32"/>
          <w:highlight w:val="none"/>
        </w:rPr>
      </w:pPr>
    </w:p>
    <w:p w14:paraId="2D46EA1A">
      <w:pPr>
        <w:pStyle w:val="2"/>
        <w:jc w:val="center"/>
        <w:rPr>
          <w:rFonts w:ascii="宋体" w:hAnsi="宋体" w:cs="宋体"/>
          <w:color w:val="auto"/>
          <w:highlight w:val="none"/>
        </w:rPr>
      </w:pPr>
      <w:bookmarkStart w:id="111" w:name="_Toc179997857"/>
      <w:r>
        <w:rPr>
          <w:rFonts w:hint="eastAsia" w:ascii="宋体" w:hAnsi="宋体" w:cs="宋体"/>
          <w:color w:val="auto"/>
          <w:highlight w:val="none"/>
        </w:rPr>
        <w:t>第六章　投标文件格式</w:t>
      </w:r>
      <w:bookmarkEnd w:id="111"/>
    </w:p>
    <w:p w14:paraId="0F25C456">
      <w:pPr>
        <w:snapToGrid w:val="0"/>
        <w:spacing w:before="50" w:after="50"/>
        <w:outlineLvl w:val="1"/>
        <w:rPr>
          <w:rFonts w:ascii="宋体" w:hAnsi="宋体" w:cs="宋体"/>
          <w:color w:val="auto"/>
          <w:sz w:val="32"/>
          <w:szCs w:val="20"/>
          <w:highlight w:val="none"/>
        </w:rPr>
      </w:pPr>
    </w:p>
    <w:p w14:paraId="3791C32D">
      <w:pPr>
        <w:snapToGrid w:val="0"/>
        <w:spacing w:before="50" w:after="50"/>
        <w:outlineLvl w:val="1"/>
        <w:rPr>
          <w:rFonts w:ascii="宋体" w:hAnsi="宋体" w:cs="宋体"/>
          <w:color w:val="auto"/>
          <w:sz w:val="32"/>
          <w:szCs w:val="20"/>
          <w:highlight w:val="none"/>
        </w:rPr>
      </w:pPr>
    </w:p>
    <w:p w14:paraId="760B94EC">
      <w:pPr>
        <w:snapToGrid w:val="0"/>
        <w:spacing w:before="50" w:after="50"/>
        <w:outlineLvl w:val="1"/>
        <w:rPr>
          <w:rFonts w:ascii="宋体" w:hAnsi="宋体" w:cs="宋体"/>
          <w:color w:val="auto"/>
          <w:sz w:val="32"/>
          <w:szCs w:val="20"/>
          <w:highlight w:val="none"/>
        </w:rPr>
      </w:pPr>
    </w:p>
    <w:p w14:paraId="6188FD2C">
      <w:pPr>
        <w:snapToGrid w:val="0"/>
        <w:spacing w:before="50" w:after="50"/>
        <w:outlineLvl w:val="1"/>
        <w:rPr>
          <w:rFonts w:ascii="宋体" w:hAnsi="宋体" w:cs="宋体"/>
          <w:color w:val="auto"/>
          <w:sz w:val="32"/>
          <w:szCs w:val="20"/>
          <w:highlight w:val="none"/>
        </w:rPr>
      </w:pPr>
    </w:p>
    <w:p w14:paraId="7A294512">
      <w:pPr>
        <w:snapToGrid w:val="0"/>
        <w:spacing w:before="50" w:after="50"/>
        <w:outlineLvl w:val="1"/>
        <w:rPr>
          <w:rFonts w:ascii="宋体" w:hAnsi="宋体" w:cs="宋体"/>
          <w:color w:val="auto"/>
          <w:sz w:val="32"/>
          <w:szCs w:val="20"/>
          <w:highlight w:val="none"/>
        </w:rPr>
      </w:pPr>
    </w:p>
    <w:p w14:paraId="4A31F128">
      <w:pPr>
        <w:snapToGrid w:val="0"/>
        <w:spacing w:before="50" w:after="50"/>
        <w:outlineLvl w:val="1"/>
        <w:rPr>
          <w:rFonts w:ascii="宋体" w:hAnsi="宋体" w:cs="宋体"/>
          <w:color w:val="auto"/>
          <w:sz w:val="32"/>
          <w:szCs w:val="20"/>
          <w:highlight w:val="none"/>
        </w:rPr>
      </w:pPr>
    </w:p>
    <w:p w14:paraId="720082B9">
      <w:pPr>
        <w:snapToGrid w:val="0"/>
        <w:spacing w:before="50" w:after="50"/>
        <w:outlineLvl w:val="1"/>
        <w:rPr>
          <w:rFonts w:ascii="宋体" w:hAnsi="宋体" w:cs="宋体"/>
          <w:color w:val="auto"/>
          <w:sz w:val="32"/>
          <w:szCs w:val="20"/>
          <w:highlight w:val="none"/>
        </w:rPr>
      </w:pPr>
    </w:p>
    <w:p w14:paraId="3623C621">
      <w:pPr>
        <w:snapToGrid w:val="0"/>
        <w:spacing w:before="50" w:after="50"/>
        <w:outlineLvl w:val="1"/>
        <w:rPr>
          <w:rFonts w:ascii="宋体" w:hAnsi="宋体" w:cs="宋体"/>
          <w:color w:val="auto"/>
          <w:sz w:val="32"/>
          <w:szCs w:val="20"/>
          <w:highlight w:val="none"/>
        </w:rPr>
      </w:pPr>
    </w:p>
    <w:p w14:paraId="7B390217">
      <w:pPr>
        <w:rPr>
          <w:rFonts w:ascii="宋体" w:hAnsi="宋体" w:cs="宋体"/>
          <w:color w:val="auto"/>
          <w:sz w:val="32"/>
          <w:szCs w:val="20"/>
          <w:highlight w:val="none"/>
        </w:rPr>
      </w:pPr>
      <w:r>
        <w:rPr>
          <w:rFonts w:hint="eastAsia" w:ascii="宋体" w:hAnsi="宋体" w:cs="宋体"/>
          <w:color w:val="auto"/>
          <w:sz w:val="32"/>
          <w:szCs w:val="20"/>
          <w:highlight w:val="none"/>
        </w:rPr>
        <w:br w:type="page"/>
      </w:r>
      <w:bookmarkStart w:id="112" w:name="_Toc19686836"/>
      <w:bookmarkStart w:id="113" w:name="_Toc254970557"/>
      <w:bookmarkStart w:id="114" w:name="_Toc254970698"/>
    </w:p>
    <w:p w14:paraId="0713ECC3">
      <w:pPr>
        <w:rPr>
          <w:rFonts w:ascii="宋体" w:hAnsi="宋体" w:cs="宋体"/>
          <w:b/>
          <w:color w:val="auto"/>
          <w:sz w:val="28"/>
          <w:szCs w:val="28"/>
          <w:highlight w:val="none"/>
        </w:rPr>
      </w:pPr>
      <w:r>
        <w:rPr>
          <w:rFonts w:hint="eastAsia" w:ascii="宋体" w:hAnsi="宋体" w:cs="宋体"/>
          <w:b/>
          <w:color w:val="auto"/>
          <w:sz w:val="28"/>
          <w:szCs w:val="28"/>
          <w:highlight w:val="none"/>
        </w:rPr>
        <w:t>一、</w:t>
      </w:r>
      <w:bookmarkStart w:id="115" w:name="_Toc19686837"/>
      <w:r>
        <w:rPr>
          <w:rFonts w:hint="eastAsia" w:ascii="宋体" w:hAnsi="宋体" w:cs="宋体"/>
          <w:b/>
          <w:color w:val="auto"/>
          <w:sz w:val="28"/>
          <w:szCs w:val="28"/>
          <w:highlight w:val="none"/>
        </w:rPr>
        <w:t>资格证明文件格式</w:t>
      </w:r>
      <w:bookmarkEnd w:id="115"/>
    </w:p>
    <w:p w14:paraId="3753D692">
      <w:pPr>
        <w:snapToGrid w:val="0"/>
        <w:spacing w:beforeLines="50" w:after="50" w:line="360" w:lineRule="auto"/>
        <w:jc w:val="left"/>
        <w:rPr>
          <w:rFonts w:ascii="宋体" w:hAnsi="宋体" w:cs="宋体"/>
          <w:b/>
          <w:color w:val="auto"/>
          <w:sz w:val="24"/>
          <w:highlight w:val="none"/>
        </w:rPr>
      </w:pPr>
      <w:r>
        <w:rPr>
          <w:rFonts w:hint="eastAsia" w:ascii="宋体" w:hAnsi="宋体" w:cs="宋体"/>
          <w:b/>
          <w:color w:val="auto"/>
          <w:sz w:val="24"/>
          <w:highlight w:val="none"/>
        </w:rPr>
        <w:t xml:space="preserve">1.资格证明文件封面格式： </w:t>
      </w:r>
    </w:p>
    <w:p w14:paraId="3BD3DBF7">
      <w:pPr>
        <w:snapToGrid w:val="0"/>
        <w:spacing w:beforeLines="50" w:after="50"/>
        <w:jc w:val="center"/>
        <w:rPr>
          <w:rFonts w:ascii="宋体" w:hAnsi="宋体" w:cs="宋体"/>
          <w:bCs/>
          <w:color w:val="auto"/>
          <w:sz w:val="48"/>
          <w:szCs w:val="48"/>
          <w:highlight w:val="none"/>
        </w:rPr>
      </w:pPr>
    </w:p>
    <w:p w14:paraId="1BA68CCD">
      <w:pPr>
        <w:snapToGrid w:val="0"/>
        <w:spacing w:beforeLines="50" w:after="50"/>
        <w:jc w:val="center"/>
        <w:rPr>
          <w:rFonts w:ascii="宋体" w:hAnsi="宋体" w:cs="宋体"/>
          <w:bCs/>
          <w:color w:val="auto"/>
          <w:sz w:val="48"/>
          <w:szCs w:val="48"/>
          <w:highlight w:val="none"/>
        </w:rPr>
      </w:pPr>
      <w:r>
        <w:rPr>
          <w:rFonts w:hint="eastAsia" w:ascii="宋体" w:hAnsi="宋体" w:cs="宋体"/>
          <w:bCs/>
          <w:color w:val="auto"/>
          <w:sz w:val="48"/>
          <w:szCs w:val="48"/>
          <w:highlight w:val="none"/>
        </w:rPr>
        <w:t>电子投标文件</w:t>
      </w:r>
    </w:p>
    <w:p w14:paraId="509EC717">
      <w:pPr>
        <w:snapToGrid w:val="0"/>
        <w:spacing w:beforeLines="50" w:after="50"/>
        <w:rPr>
          <w:rFonts w:ascii="宋体" w:hAnsi="宋体" w:cs="宋体"/>
          <w:color w:val="auto"/>
          <w:sz w:val="24"/>
          <w:szCs w:val="20"/>
          <w:highlight w:val="none"/>
        </w:rPr>
      </w:pPr>
    </w:p>
    <w:p w14:paraId="4000313A">
      <w:pPr>
        <w:snapToGrid w:val="0"/>
        <w:spacing w:beforeLines="50" w:after="50"/>
        <w:jc w:val="center"/>
        <w:rPr>
          <w:rFonts w:ascii="宋体" w:hAnsi="宋体" w:cs="宋体"/>
          <w:b/>
          <w:color w:val="auto"/>
          <w:sz w:val="24"/>
          <w:szCs w:val="20"/>
          <w:highlight w:val="none"/>
        </w:rPr>
      </w:pPr>
      <w:r>
        <w:rPr>
          <w:rFonts w:hint="eastAsia" w:ascii="宋体" w:hAnsi="宋体" w:cs="宋体"/>
          <w:b/>
          <w:color w:val="auto"/>
          <w:sz w:val="32"/>
          <w:szCs w:val="32"/>
          <w:highlight w:val="none"/>
        </w:rPr>
        <w:t>资格证明文件</w:t>
      </w:r>
    </w:p>
    <w:p w14:paraId="5ADABE4F">
      <w:pPr>
        <w:snapToGrid w:val="0"/>
        <w:spacing w:beforeLines="50" w:after="50"/>
        <w:rPr>
          <w:rFonts w:ascii="宋体" w:hAnsi="宋体" w:cs="宋体"/>
          <w:bCs/>
          <w:color w:val="auto"/>
          <w:sz w:val="24"/>
          <w:szCs w:val="20"/>
          <w:highlight w:val="none"/>
        </w:rPr>
      </w:pPr>
    </w:p>
    <w:p w14:paraId="400D29E1">
      <w:pPr>
        <w:snapToGrid w:val="0"/>
        <w:spacing w:beforeLines="50" w:after="50"/>
        <w:rPr>
          <w:rFonts w:ascii="宋体" w:hAnsi="宋体" w:cs="宋体"/>
          <w:bCs/>
          <w:color w:val="auto"/>
          <w:sz w:val="24"/>
          <w:szCs w:val="20"/>
          <w:highlight w:val="none"/>
        </w:rPr>
      </w:pPr>
    </w:p>
    <w:p w14:paraId="4B8118DB">
      <w:pPr>
        <w:snapToGrid w:val="0"/>
        <w:spacing w:beforeLines="50" w:after="50"/>
        <w:rPr>
          <w:rFonts w:ascii="宋体" w:hAnsi="宋体" w:cs="宋体"/>
          <w:bCs/>
          <w:color w:val="auto"/>
          <w:sz w:val="24"/>
          <w:szCs w:val="20"/>
          <w:highlight w:val="none"/>
        </w:rPr>
      </w:pPr>
    </w:p>
    <w:p w14:paraId="37EE2084">
      <w:pPr>
        <w:tabs>
          <w:tab w:val="left" w:pos="2192"/>
        </w:tabs>
        <w:spacing w:line="360" w:lineRule="auto"/>
        <w:ind w:firstLine="708" w:firstLineChars="246"/>
        <w:rPr>
          <w:rFonts w:ascii="宋体" w:hAnsi="宋体" w:cs="宋体"/>
          <w:color w:val="auto"/>
          <w:spacing w:val="4"/>
          <w:sz w:val="28"/>
          <w:szCs w:val="28"/>
          <w:highlight w:val="none"/>
        </w:rPr>
      </w:pPr>
      <w:r>
        <w:rPr>
          <w:rFonts w:hint="eastAsia" w:ascii="宋体" w:hAnsi="宋体" w:cs="宋体"/>
          <w:color w:val="auto"/>
          <w:spacing w:val="4"/>
          <w:sz w:val="28"/>
          <w:szCs w:val="28"/>
          <w:highlight w:val="none"/>
        </w:rPr>
        <w:t>项目名称：</w:t>
      </w:r>
    </w:p>
    <w:p w14:paraId="12FDD35F">
      <w:pPr>
        <w:tabs>
          <w:tab w:val="left" w:pos="2192"/>
        </w:tabs>
        <w:spacing w:line="360" w:lineRule="auto"/>
        <w:ind w:firstLine="708" w:firstLineChars="246"/>
        <w:rPr>
          <w:rFonts w:ascii="宋体" w:hAnsi="宋体" w:cs="宋体"/>
          <w:color w:val="auto"/>
          <w:spacing w:val="4"/>
          <w:sz w:val="28"/>
          <w:szCs w:val="28"/>
          <w:highlight w:val="none"/>
        </w:rPr>
      </w:pPr>
    </w:p>
    <w:p w14:paraId="30D764D0">
      <w:pPr>
        <w:tabs>
          <w:tab w:val="left" w:pos="2192"/>
        </w:tabs>
        <w:spacing w:line="360" w:lineRule="auto"/>
        <w:ind w:firstLine="708" w:firstLineChars="246"/>
        <w:rPr>
          <w:rFonts w:ascii="宋体" w:hAnsi="宋体" w:cs="宋体"/>
          <w:color w:val="auto"/>
          <w:spacing w:val="4"/>
          <w:sz w:val="28"/>
          <w:szCs w:val="28"/>
          <w:highlight w:val="none"/>
        </w:rPr>
      </w:pPr>
      <w:r>
        <w:rPr>
          <w:rFonts w:hint="eastAsia" w:ascii="宋体" w:hAnsi="宋体" w:cs="宋体"/>
          <w:color w:val="auto"/>
          <w:spacing w:val="4"/>
          <w:sz w:val="28"/>
          <w:szCs w:val="28"/>
          <w:highlight w:val="none"/>
        </w:rPr>
        <w:t>项目编号：</w:t>
      </w:r>
    </w:p>
    <w:p w14:paraId="0911AF23">
      <w:pPr>
        <w:tabs>
          <w:tab w:val="left" w:pos="2192"/>
        </w:tabs>
        <w:spacing w:line="360" w:lineRule="auto"/>
        <w:ind w:firstLine="708" w:firstLineChars="246"/>
        <w:rPr>
          <w:rFonts w:ascii="宋体" w:hAnsi="宋体" w:cs="宋体"/>
          <w:color w:val="auto"/>
          <w:spacing w:val="4"/>
          <w:sz w:val="28"/>
          <w:szCs w:val="28"/>
          <w:highlight w:val="none"/>
        </w:rPr>
      </w:pPr>
    </w:p>
    <w:p w14:paraId="3581748A">
      <w:pPr>
        <w:tabs>
          <w:tab w:val="left" w:pos="2192"/>
        </w:tabs>
        <w:spacing w:line="360" w:lineRule="auto"/>
        <w:ind w:firstLine="708" w:firstLineChars="246"/>
        <w:rPr>
          <w:rFonts w:ascii="宋体" w:hAnsi="宋体" w:cs="宋体"/>
          <w:color w:val="auto"/>
          <w:spacing w:val="4"/>
          <w:sz w:val="28"/>
          <w:szCs w:val="28"/>
          <w:highlight w:val="none"/>
        </w:rPr>
      </w:pPr>
      <w:r>
        <w:rPr>
          <w:rFonts w:hint="eastAsia" w:ascii="宋体" w:hAnsi="宋体" w:cs="宋体"/>
          <w:color w:val="auto"/>
          <w:spacing w:val="4"/>
          <w:sz w:val="28"/>
          <w:szCs w:val="28"/>
          <w:highlight w:val="none"/>
        </w:rPr>
        <w:t>所投分标：（若无留空或写“/”）</w:t>
      </w:r>
    </w:p>
    <w:p w14:paraId="6853FF63">
      <w:pPr>
        <w:tabs>
          <w:tab w:val="left" w:pos="2192"/>
        </w:tabs>
        <w:spacing w:line="360" w:lineRule="auto"/>
        <w:ind w:firstLine="708" w:firstLineChars="246"/>
        <w:rPr>
          <w:rFonts w:ascii="宋体" w:hAnsi="宋体" w:cs="宋体"/>
          <w:color w:val="auto"/>
          <w:spacing w:val="4"/>
          <w:sz w:val="28"/>
          <w:szCs w:val="28"/>
          <w:highlight w:val="none"/>
        </w:rPr>
      </w:pPr>
    </w:p>
    <w:p w14:paraId="56E0A30E">
      <w:pPr>
        <w:tabs>
          <w:tab w:val="left" w:pos="2192"/>
        </w:tabs>
        <w:spacing w:line="360" w:lineRule="auto"/>
        <w:ind w:firstLine="708" w:firstLineChars="246"/>
        <w:rPr>
          <w:rFonts w:ascii="宋体" w:hAnsi="宋体" w:cs="宋体"/>
          <w:color w:val="auto"/>
          <w:spacing w:val="4"/>
          <w:sz w:val="28"/>
          <w:szCs w:val="28"/>
          <w:highlight w:val="none"/>
        </w:rPr>
      </w:pPr>
      <w:r>
        <w:rPr>
          <w:rFonts w:hint="eastAsia" w:ascii="宋体" w:hAnsi="宋体" w:cs="宋体"/>
          <w:color w:val="auto"/>
          <w:spacing w:val="4"/>
          <w:sz w:val="28"/>
          <w:szCs w:val="28"/>
          <w:highlight w:val="none"/>
        </w:rPr>
        <w:t>投标人名称：</w:t>
      </w:r>
    </w:p>
    <w:p w14:paraId="581FCA33">
      <w:pPr>
        <w:pStyle w:val="7"/>
        <w:snapToGrid w:val="0"/>
        <w:spacing w:before="50" w:after="50"/>
        <w:ind w:firstLine="540" w:firstLineChars="225"/>
        <w:rPr>
          <w:rFonts w:ascii="宋体" w:hAnsi="宋体" w:cs="宋体"/>
          <w:bCs/>
          <w:color w:val="auto"/>
          <w:sz w:val="24"/>
          <w:szCs w:val="24"/>
          <w:highlight w:val="none"/>
        </w:rPr>
      </w:pPr>
    </w:p>
    <w:p w14:paraId="77D3C9A0">
      <w:pPr>
        <w:pStyle w:val="7"/>
        <w:snapToGrid w:val="0"/>
        <w:spacing w:before="50" w:after="50"/>
        <w:ind w:firstLine="960" w:firstLineChars="400"/>
        <w:rPr>
          <w:rFonts w:ascii="宋体" w:hAnsi="宋体" w:cs="宋体"/>
          <w:bCs/>
          <w:color w:val="auto"/>
          <w:sz w:val="24"/>
          <w:szCs w:val="24"/>
          <w:highlight w:val="none"/>
        </w:rPr>
      </w:pPr>
    </w:p>
    <w:p w14:paraId="3FD21246">
      <w:pPr>
        <w:snapToGrid w:val="0"/>
        <w:spacing w:beforeLines="50" w:after="50"/>
        <w:ind w:firstLine="645"/>
        <w:jc w:val="center"/>
        <w:rPr>
          <w:rFonts w:ascii="宋体" w:hAnsi="宋体" w:cs="宋体"/>
          <w:color w:val="auto"/>
          <w:sz w:val="28"/>
          <w:szCs w:val="28"/>
          <w:highlight w:val="none"/>
        </w:rPr>
      </w:pPr>
      <w:r>
        <w:rPr>
          <w:rFonts w:hint="eastAsia" w:ascii="宋体" w:hAnsi="宋体" w:cs="宋体"/>
          <w:color w:val="auto"/>
          <w:sz w:val="28"/>
          <w:szCs w:val="28"/>
          <w:highlight w:val="none"/>
        </w:rPr>
        <w:t>年  月  日</w:t>
      </w:r>
    </w:p>
    <w:p w14:paraId="76577F28">
      <w:pPr>
        <w:snapToGrid w:val="0"/>
        <w:spacing w:beforeLines="50" w:after="50"/>
        <w:rPr>
          <w:rFonts w:ascii="宋体" w:hAnsi="宋体" w:cs="宋体"/>
          <w:color w:val="auto"/>
          <w:sz w:val="24"/>
          <w:szCs w:val="20"/>
          <w:highlight w:val="none"/>
        </w:rPr>
      </w:pPr>
    </w:p>
    <w:p w14:paraId="5D686441">
      <w:pPr>
        <w:snapToGrid w:val="0"/>
        <w:spacing w:beforeLines="50" w:after="50"/>
        <w:rPr>
          <w:rFonts w:ascii="宋体" w:hAnsi="宋体" w:cs="宋体"/>
          <w:color w:val="auto"/>
          <w:sz w:val="24"/>
          <w:szCs w:val="20"/>
          <w:highlight w:val="none"/>
        </w:rPr>
      </w:pPr>
    </w:p>
    <w:p w14:paraId="188328CF">
      <w:pPr>
        <w:snapToGrid w:val="0"/>
        <w:spacing w:beforeLines="50" w:after="50" w:line="360" w:lineRule="auto"/>
        <w:jc w:val="center"/>
        <w:rPr>
          <w:rFonts w:ascii="宋体" w:hAnsi="宋体" w:cs="宋体"/>
          <w:color w:val="auto"/>
          <w:sz w:val="28"/>
          <w:szCs w:val="28"/>
          <w:highlight w:val="none"/>
        </w:rPr>
      </w:pPr>
      <w:r>
        <w:rPr>
          <w:rFonts w:hint="eastAsia" w:ascii="宋体" w:hAnsi="宋体" w:cs="宋体"/>
          <w:b/>
          <w:bCs/>
          <w:color w:val="auto"/>
          <w:sz w:val="24"/>
          <w:highlight w:val="none"/>
        </w:rPr>
        <w:br w:type="page"/>
      </w:r>
      <w:r>
        <w:rPr>
          <w:rFonts w:hint="eastAsia" w:ascii="宋体" w:hAnsi="宋体" w:cs="宋体"/>
          <w:b/>
          <w:bCs/>
          <w:color w:val="auto"/>
          <w:sz w:val="28"/>
          <w:szCs w:val="28"/>
          <w:highlight w:val="none"/>
        </w:rPr>
        <w:t>资格证明文件目录</w:t>
      </w:r>
    </w:p>
    <w:p w14:paraId="2B89E089">
      <w:pPr>
        <w:snapToGrid w:val="0"/>
        <w:spacing w:line="360" w:lineRule="auto"/>
        <w:ind w:firstLine="560" w:firstLineChars="200"/>
        <w:jc w:val="center"/>
        <w:rPr>
          <w:rFonts w:ascii="宋体" w:hAnsi="宋体" w:cs="宋体"/>
          <w:color w:val="auto"/>
          <w:sz w:val="28"/>
          <w:szCs w:val="28"/>
          <w:highlight w:val="none"/>
        </w:rPr>
      </w:pPr>
      <w:r>
        <w:rPr>
          <w:rFonts w:hint="eastAsia" w:ascii="宋体" w:hAnsi="宋体" w:cs="宋体"/>
          <w:color w:val="auto"/>
          <w:sz w:val="28"/>
          <w:szCs w:val="28"/>
          <w:highlight w:val="none"/>
        </w:rPr>
        <w:t>根据招标文件规定及投标人提供的材料自行编写目录。</w:t>
      </w:r>
    </w:p>
    <w:p w14:paraId="04299E03">
      <w:pPr>
        <w:snapToGrid w:val="0"/>
        <w:spacing w:before="50" w:afterLines="50"/>
        <w:jc w:val="left"/>
        <w:rPr>
          <w:rFonts w:ascii="宋体" w:hAnsi="宋体" w:cs="宋体"/>
          <w:color w:val="auto"/>
          <w:sz w:val="24"/>
          <w:highlight w:val="none"/>
        </w:rPr>
      </w:pPr>
    </w:p>
    <w:p w14:paraId="4CF8EDDE">
      <w:pPr>
        <w:snapToGrid w:val="0"/>
        <w:spacing w:before="50" w:afterLines="50"/>
        <w:jc w:val="left"/>
        <w:rPr>
          <w:rFonts w:ascii="宋体" w:hAnsi="宋体" w:cs="宋体"/>
          <w:color w:val="auto"/>
          <w:sz w:val="24"/>
          <w:highlight w:val="none"/>
        </w:rPr>
      </w:pPr>
    </w:p>
    <w:p w14:paraId="241D1478">
      <w:pPr>
        <w:snapToGrid w:val="0"/>
        <w:jc w:val="center"/>
        <w:rPr>
          <w:rFonts w:ascii="宋体" w:hAnsi="宋体" w:cs="宋体"/>
          <w:b/>
          <w:color w:val="auto"/>
          <w:sz w:val="32"/>
          <w:szCs w:val="32"/>
          <w:highlight w:val="none"/>
        </w:rPr>
      </w:pPr>
      <w:r>
        <w:rPr>
          <w:rFonts w:hint="eastAsia" w:ascii="宋体" w:hAnsi="宋体" w:cs="宋体"/>
          <w:b/>
          <w:color w:val="auto"/>
          <w:sz w:val="24"/>
          <w:highlight w:val="none"/>
        </w:rPr>
        <w:br w:type="page"/>
      </w:r>
      <w:r>
        <w:rPr>
          <w:rFonts w:hint="eastAsia" w:ascii="宋体" w:hAnsi="宋体" w:cs="宋体"/>
          <w:b/>
          <w:color w:val="auto"/>
          <w:sz w:val="32"/>
          <w:szCs w:val="32"/>
          <w:highlight w:val="none"/>
        </w:rPr>
        <w:t>1.投标人有效的主体资格证明文件</w:t>
      </w:r>
    </w:p>
    <w:p w14:paraId="784235BB">
      <w:pPr>
        <w:snapToGrid w:val="0"/>
        <w:spacing w:line="360" w:lineRule="auto"/>
        <w:ind w:firstLine="560" w:firstLineChars="200"/>
        <w:jc w:val="left"/>
        <w:rPr>
          <w:rFonts w:cs="宋体" w:asciiTheme="minorEastAsia" w:hAnsiTheme="minorEastAsia" w:eastAsiaTheme="minorEastAsia"/>
          <w:color w:val="auto"/>
          <w:sz w:val="28"/>
          <w:szCs w:val="28"/>
          <w:highlight w:val="none"/>
        </w:rPr>
      </w:pPr>
    </w:p>
    <w:p w14:paraId="7E377799">
      <w:pPr>
        <w:snapToGrid w:val="0"/>
        <w:spacing w:line="360" w:lineRule="auto"/>
        <w:ind w:firstLine="560" w:firstLineChars="200"/>
        <w:jc w:val="left"/>
        <w:rPr>
          <w:rFonts w:cs="宋体" w:asciiTheme="minorEastAsia" w:hAnsiTheme="minorEastAsia" w:eastAsiaTheme="minorEastAsia"/>
          <w:b/>
          <w:color w:val="auto"/>
          <w:sz w:val="28"/>
          <w:szCs w:val="28"/>
          <w:highlight w:val="none"/>
        </w:rPr>
      </w:pPr>
      <w:r>
        <w:rPr>
          <w:rFonts w:hint="eastAsia" w:cs="宋体" w:asciiTheme="minorEastAsia" w:hAnsiTheme="minorEastAsia" w:eastAsiaTheme="minorEastAsia"/>
          <w:color w:val="auto"/>
          <w:sz w:val="28"/>
          <w:szCs w:val="28"/>
          <w:highlight w:val="none"/>
        </w:rPr>
        <w:t>投标人为法人或者其他组织的，提供营业执照等证明文件原件扫描件（如营业执照或者事业单位法人证书或者登记证书等），投标人为自然人的，提供身份证原件扫描件</w:t>
      </w:r>
    </w:p>
    <w:p w14:paraId="3334482C">
      <w:pPr>
        <w:jc w:val="center"/>
        <w:rPr>
          <w:rFonts w:ascii="宋体" w:hAnsi="宋体" w:cs="宋体"/>
          <w:b/>
          <w:color w:val="auto"/>
          <w:sz w:val="28"/>
          <w:szCs w:val="28"/>
          <w:highlight w:val="none"/>
        </w:rPr>
      </w:pPr>
      <w:r>
        <w:rPr>
          <w:rFonts w:hint="eastAsia" w:ascii="宋体" w:hAnsi="宋体" w:cs="宋体"/>
          <w:b/>
          <w:color w:val="auto"/>
          <w:sz w:val="28"/>
          <w:szCs w:val="28"/>
          <w:highlight w:val="none"/>
        </w:rPr>
        <w:br w:type="page"/>
      </w:r>
      <w:r>
        <w:rPr>
          <w:rFonts w:hint="eastAsia" w:ascii="宋体" w:hAnsi="宋体" w:cs="宋体"/>
          <w:b/>
          <w:color w:val="auto"/>
          <w:sz w:val="32"/>
          <w:szCs w:val="32"/>
          <w:highlight w:val="none"/>
        </w:rPr>
        <w:t>2.政府采购供应商资格信用承诺函</w:t>
      </w:r>
    </w:p>
    <w:p w14:paraId="2A53BCA6">
      <w:pPr>
        <w:autoSpaceDE w:val="0"/>
        <w:autoSpaceDN w:val="0"/>
        <w:adjustRightInd w:val="0"/>
        <w:spacing w:line="360" w:lineRule="auto"/>
        <w:rPr>
          <w:rFonts w:ascii="宋体" w:hAnsi="宋体" w:cs="宋体"/>
          <w:color w:val="auto"/>
          <w:spacing w:val="6"/>
          <w:szCs w:val="21"/>
          <w:highlight w:val="none"/>
        </w:rPr>
      </w:pPr>
    </w:p>
    <w:p w14:paraId="1501D3B7">
      <w:pPr>
        <w:autoSpaceDE w:val="0"/>
        <w:autoSpaceDN w:val="0"/>
        <w:adjustRightInd w:val="0"/>
        <w:spacing w:line="360" w:lineRule="auto"/>
        <w:rPr>
          <w:rFonts w:ascii="宋体" w:hAnsi="宋体" w:cs="宋体"/>
          <w:color w:val="auto"/>
          <w:spacing w:val="6"/>
          <w:szCs w:val="21"/>
          <w:highlight w:val="none"/>
        </w:rPr>
      </w:pPr>
      <w:r>
        <w:rPr>
          <w:rFonts w:hint="eastAsia" w:ascii="宋体" w:hAnsi="宋体" w:cs="宋体"/>
          <w:color w:val="auto"/>
          <w:spacing w:val="6"/>
          <w:szCs w:val="21"/>
          <w:highlight w:val="none"/>
        </w:rPr>
        <w:t>致：</w:t>
      </w:r>
      <w:r>
        <w:rPr>
          <w:rFonts w:hint="eastAsia" w:ascii="宋体" w:hAnsi="宋体" w:cs="宋体"/>
          <w:color w:val="auto"/>
          <w:spacing w:val="6"/>
          <w:szCs w:val="21"/>
          <w:highlight w:val="none"/>
          <w:u w:val="single"/>
        </w:rPr>
        <w:t>（采购人名称）、（代理机构名称）</w:t>
      </w:r>
      <w:r>
        <w:rPr>
          <w:rFonts w:hint="eastAsia" w:ascii="宋体" w:hAnsi="宋体" w:cs="宋体"/>
          <w:color w:val="auto"/>
          <w:spacing w:val="6"/>
          <w:szCs w:val="21"/>
          <w:highlight w:val="none"/>
        </w:rPr>
        <w:t>：</w:t>
      </w:r>
    </w:p>
    <w:p w14:paraId="7E93AC03">
      <w:pPr>
        <w:autoSpaceDE w:val="0"/>
        <w:autoSpaceDN w:val="0"/>
        <w:adjustRightInd w:val="0"/>
        <w:spacing w:line="360" w:lineRule="auto"/>
        <w:ind w:firstLine="640"/>
        <w:rPr>
          <w:rFonts w:ascii="宋体" w:hAnsi="宋体" w:cs="宋体"/>
          <w:color w:val="auto"/>
          <w:spacing w:val="6"/>
          <w:szCs w:val="21"/>
          <w:highlight w:val="none"/>
        </w:rPr>
      </w:pPr>
      <w:r>
        <w:rPr>
          <w:rFonts w:hint="eastAsia" w:ascii="宋体" w:hAnsi="宋体" w:cs="宋体"/>
          <w:color w:val="auto"/>
          <w:spacing w:val="6"/>
          <w:szCs w:val="21"/>
          <w:highlight w:val="none"/>
        </w:rPr>
        <w:t>我方自愿参</w:t>
      </w:r>
      <w:r>
        <w:rPr>
          <w:rFonts w:hint="eastAsia" w:ascii="宋体" w:hAnsi="宋体" w:cs="宋体"/>
          <w:color w:val="auto"/>
          <w:spacing w:val="6"/>
          <w:szCs w:val="21"/>
          <w:highlight w:val="none"/>
          <w:u w:val="single"/>
        </w:rPr>
        <w:t>加</w:t>
      </w:r>
      <w:r>
        <w:rPr>
          <w:rFonts w:hint="eastAsia" w:ascii="宋体" w:hAnsi="宋体" w:cs="宋体"/>
          <w:color w:val="auto"/>
          <w:spacing w:val="6"/>
          <w:szCs w:val="21"/>
          <w:highlight w:val="none"/>
          <w:u w:val="single"/>
          <w:lang w:val="en-US" w:eastAsia="zh-CN"/>
        </w:rPr>
        <w:t>（</w:t>
      </w:r>
      <w:r>
        <w:rPr>
          <w:rFonts w:hint="eastAsia" w:ascii="宋体" w:hAnsi="宋体" w:cs="宋体"/>
          <w:color w:val="auto"/>
          <w:spacing w:val="6"/>
          <w:szCs w:val="21"/>
          <w:highlight w:val="none"/>
          <w:u w:val="single"/>
        </w:rPr>
        <w:t>项目</w:t>
      </w:r>
      <w:r>
        <w:rPr>
          <w:rFonts w:hint="eastAsia" w:ascii="宋体" w:hAnsi="宋体" w:cs="宋体"/>
          <w:color w:val="auto"/>
          <w:spacing w:val="6"/>
          <w:szCs w:val="21"/>
          <w:highlight w:val="none"/>
          <w:u w:val="single"/>
          <w:lang w:val="en-US" w:eastAsia="zh-CN"/>
        </w:rPr>
        <w:t>名称）</w:t>
      </w:r>
      <w:r>
        <w:rPr>
          <w:rFonts w:hint="eastAsia" w:ascii="宋体" w:hAnsi="宋体" w:cs="宋体"/>
          <w:color w:val="auto"/>
          <w:spacing w:val="6"/>
          <w:szCs w:val="21"/>
          <w:highlight w:val="none"/>
          <w:u w:val="single"/>
        </w:rPr>
        <w:t>（项目编号：）</w:t>
      </w:r>
      <w:r>
        <w:rPr>
          <w:rFonts w:hint="eastAsia" w:ascii="宋体" w:hAnsi="宋体" w:cs="宋体"/>
          <w:color w:val="auto"/>
          <w:spacing w:val="6"/>
          <w:szCs w:val="21"/>
          <w:highlight w:val="none"/>
        </w:rPr>
        <w:t xml:space="preserve">的政府采购活动，并郑重承诺我方符合《中华人民共和国政府采购法》第二十二条规定的条件： </w:t>
      </w:r>
    </w:p>
    <w:p w14:paraId="614FDFA4">
      <w:pPr>
        <w:autoSpaceDE w:val="0"/>
        <w:autoSpaceDN w:val="0"/>
        <w:adjustRightInd w:val="0"/>
        <w:spacing w:line="360" w:lineRule="auto"/>
        <w:ind w:firstLine="640"/>
        <w:rPr>
          <w:rFonts w:ascii="宋体" w:hAnsi="宋体" w:cs="宋体"/>
          <w:color w:val="auto"/>
          <w:spacing w:val="6"/>
          <w:szCs w:val="21"/>
          <w:highlight w:val="none"/>
        </w:rPr>
      </w:pPr>
      <w:r>
        <w:rPr>
          <w:rFonts w:hint="eastAsia" w:ascii="宋体" w:hAnsi="宋体" w:cs="宋体"/>
          <w:color w:val="auto"/>
          <w:spacing w:val="6"/>
          <w:szCs w:val="21"/>
          <w:highlight w:val="none"/>
        </w:rPr>
        <w:t xml:space="preserve">（一）具有独立承担民事责任的能力； </w:t>
      </w:r>
    </w:p>
    <w:p w14:paraId="3253DDED">
      <w:pPr>
        <w:autoSpaceDE w:val="0"/>
        <w:autoSpaceDN w:val="0"/>
        <w:adjustRightInd w:val="0"/>
        <w:spacing w:line="360" w:lineRule="auto"/>
        <w:ind w:firstLine="640"/>
        <w:rPr>
          <w:rFonts w:ascii="宋体" w:hAnsi="宋体" w:cs="宋体"/>
          <w:color w:val="auto"/>
          <w:spacing w:val="6"/>
          <w:szCs w:val="21"/>
          <w:highlight w:val="none"/>
        </w:rPr>
      </w:pPr>
      <w:r>
        <w:rPr>
          <w:rFonts w:hint="eastAsia" w:ascii="宋体" w:hAnsi="宋体" w:cs="宋体"/>
          <w:color w:val="auto"/>
          <w:spacing w:val="6"/>
          <w:szCs w:val="21"/>
          <w:highlight w:val="none"/>
        </w:rPr>
        <w:t xml:space="preserve">（二）具有良好的商业信誉和健全的财务会计制度； </w:t>
      </w:r>
    </w:p>
    <w:p w14:paraId="78C38E5A">
      <w:pPr>
        <w:autoSpaceDE w:val="0"/>
        <w:autoSpaceDN w:val="0"/>
        <w:adjustRightInd w:val="0"/>
        <w:spacing w:line="360" w:lineRule="auto"/>
        <w:ind w:firstLine="640"/>
        <w:rPr>
          <w:rFonts w:ascii="宋体" w:hAnsi="宋体" w:cs="宋体"/>
          <w:color w:val="auto"/>
          <w:spacing w:val="6"/>
          <w:szCs w:val="21"/>
          <w:highlight w:val="none"/>
        </w:rPr>
      </w:pPr>
      <w:r>
        <w:rPr>
          <w:rFonts w:hint="eastAsia" w:ascii="宋体" w:hAnsi="宋体" w:cs="宋体"/>
          <w:color w:val="auto"/>
          <w:spacing w:val="6"/>
          <w:szCs w:val="21"/>
          <w:highlight w:val="none"/>
        </w:rPr>
        <w:t xml:space="preserve">（三）具有履行合同所必需的设备和专业技术能力； </w:t>
      </w:r>
    </w:p>
    <w:p w14:paraId="318E20D6">
      <w:pPr>
        <w:autoSpaceDE w:val="0"/>
        <w:autoSpaceDN w:val="0"/>
        <w:adjustRightInd w:val="0"/>
        <w:spacing w:line="360" w:lineRule="auto"/>
        <w:ind w:firstLine="640"/>
        <w:rPr>
          <w:rFonts w:ascii="宋体" w:hAnsi="宋体" w:cs="宋体"/>
          <w:color w:val="auto"/>
          <w:spacing w:val="6"/>
          <w:szCs w:val="21"/>
          <w:highlight w:val="none"/>
        </w:rPr>
      </w:pPr>
      <w:r>
        <w:rPr>
          <w:rFonts w:hint="eastAsia" w:ascii="宋体" w:hAnsi="宋体" w:cs="宋体"/>
          <w:color w:val="auto"/>
          <w:spacing w:val="6"/>
          <w:szCs w:val="21"/>
          <w:highlight w:val="none"/>
        </w:rPr>
        <w:t xml:space="preserve">（四）有依法缴纳税收和社会保障资金的良好记录； </w:t>
      </w:r>
    </w:p>
    <w:p w14:paraId="09A87FE3">
      <w:pPr>
        <w:autoSpaceDE w:val="0"/>
        <w:autoSpaceDN w:val="0"/>
        <w:adjustRightInd w:val="0"/>
        <w:spacing w:line="360" w:lineRule="auto"/>
        <w:ind w:firstLine="640"/>
        <w:rPr>
          <w:rFonts w:ascii="宋体" w:hAnsi="宋体" w:cs="宋体"/>
          <w:color w:val="auto"/>
          <w:spacing w:val="6"/>
          <w:szCs w:val="21"/>
          <w:highlight w:val="none"/>
        </w:rPr>
      </w:pPr>
      <w:r>
        <w:rPr>
          <w:rFonts w:hint="eastAsia" w:ascii="宋体" w:hAnsi="宋体" w:cs="宋体"/>
          <w:color w:val="auto"/>
          <w:spacing w:val="6"/>
          <w:szCs w:val="21"/>
          <w:highlight w:val="none"/>
        </w:rPr>
        <w:t xml:space="preserve">（五）参加政府采购活动前三年内，在经营活动中没有重大违法记录； </w:t>
      </w:r>
    </w:p>
    <w:p w14:paraId="1C3DA10E">
      <w:pPr>
        <w:autoSpaceDE w:val="0"/>
        <w:autoSpaceDN w:val="0"/>
        <w:adjustRightInd w:val="0"/>
        <w:spacing w:line="360" w:lineRule="auto"/>
        <w:ind w:firstLine="640"/>
        <w:rPr>
          <w:rFonts w:ascii="宋体" w:hAnsi="宋体" w:cs="宋体"/>
          <w:color w:val="auto"/>
          <w:spacing w:val="6"/>
          <w:szCs w:val="21"/>
          <w:highlight w:val="none"/>
        </w:rPr>
      </w:pPr>
      <w:r>
        <w:rPr>
          <w:rFonts w:hint="eastAsia" w:ascii="宋体" w:hAnsi="宋体" w:cs="宋体"/>
          <w:color w:val="auto"/>
          <w:spacing w:val="6"/>
          <w:szCs w:val="21"/>
          <w:highlight w:val="none"/>
        </w:rPr>
        <w:t xml:space="preserve">（六）法律、行政法规规定的其他条件。 </w:t>
      </w:r>
    </w:p>
    <w:p w14:paraId="7ACE34C5">
      <w:pPr>
        <w:autoSpaceDE w:val="0"/>
        <w:autoSpaceDN w:val="0"/>
        <w:adjustRightInd w:val="0"/>
        <w:spacing w:line="360" w:lineRule="auto"/>
        <w:ind w:firstLine="640"/>
        <w:rPr>
          <w:rFonts w:ascii="宋体" w:hAnsi="宋体" w:cs="宋体"/>
          <w:color w:val="auto"/>
          <w:spacing w:val="6"/>
          <w:szCs w:val="21"/>
          <w:highlight w:val="none"/>
        </w:rPr>
      </w:pPr>
      <w:r>
        <w:rPr>
          <w:rFonts w:hint="eastAsia" w:ascii="宋体" w:hAnsi="宋体" w:cs="宋体"/>
          <w:color w:val="auto"/>
          <w:spacing w:val="6"/>
          <w:szCs w:val="21"/>
          <w:highlight w:val="none"/>
        </w:rPr>
        <w:t xml:space="preserve">我方保证上述承诺事项的真实性，如有弄虚作假或其他违法违规行为，愿意承担一切法律责任，并承担因此所造成的一切损失。 </w:t>
      </w:r>
    </w:p>
    <w:p w14:paraId="31F5BD18">
      <w:pPr>
        <w:autoSpaceDE w:val="0"/>
        <w:autoSpaceDN w:val="0"/>
        <w:adjustRightInd w:val="0"/>
        <w:spacing w:line="360" w:lineRule="auto"/>
        <w:ind w:firstLine="640"/>
        <w:rPr>
          <w:rFonts w:ascii="宋体" w:hAnsi="宋体" w:cs="宋体"/>
          <w:color w:val="auto"/>
          <w:spacing w:val="6"/>
          <w:szCs w:val="21"/>
          <w:highlight w:val="none"/>
        </w:rPr>
      </w:pPr>
      <w:r>
        <w:rPr>
          <w:rFonts w:hint="eastAsia" w:ascii="宋体" w:hAnsi="宋体" w:cs="宋体"/>
          <w:b/>
          <w:bCs/>
          <w:color w:val="auto"/>
          <w:spacing w:val="6"/>
          <w:szCs w:val="21"/>
          <w:highlight w:val="none"/>
        </w:rPr>
        <w:t>特此声明！</w:t>
      </w:r>
    </w:p>
    <w:p w14:paraId="072FA9B4">
      <w:pPr>
        <w:pStyle w:val="46"/>
        <w:spacing w:after="0" w:line="360" w:lineRule="auto"/>
        <w:ind w:left="0" w:leftChars="0" w:firstLine="444"/>
        <w:rPr>
          <w:rFonts w:ascii="宋体" w:hAnsi="宋体" w:eastAsia="宋体" w:cs="宋体"/>
          <w:color w:val="auto"/>
          <w:spacing w:val="6"/>
          <w:szCs w:val="21"/>
          <w:highlight w:val="none"/>
        </w:rPr>
      </w:pPr>
    </w:p>
    <w:p w14:paraId="3790F5CC">
      <w:pPr>
        <w:spacing w:line="360" w:lineRule="auto"/>
        <w:rPr>
          <w:rFonts w:ascii="宋体" w:hAnsi="宋体" w:cs="宋体"/>
          <w:color w:val="auto"/>
          <w:szCs w:val="21"/>
          <w:highlight w:val="none"/>
        </w:rPr>
      </w:pPr>
    </w:p>
    <w:p w14:paraId="3C4B7A00">
      <w:pPr>
        <w:snapToGrid w:val="0"/>
        <w:ind w:left="-2" w:leftChars="-1" w:right="-817" w:rightChars="-389" w:firstLine="1680" w:firstLineChars="800"/>
        <w:rPr>
          <w:rFonts w:ascii="宋体" w:hAnsi="宋体" w:cs="宋体"/>
          <w:color w:val="auto"/>
          <w:szCs w:val="21"/>
          <w:highlight w:val="none"/>
        </w:rPr>
      </w:pPr>
      <w:r>
        <w:rPr>
          <w:rFonts w:hint="eastAsia" w:ascii="宋体" w:hAnsi="宋体" w:cs="宋体"/>
          <w:color w:val="auto"/>
          <w:szCs w:val="21"/>
          <w:highlight w:val="none"/>
        </w:rPr>
        <w:t>法定代表人或者委托代理人（</w:t>
      </w:r>
      <w:r>
        <w:rPr>
          <w:rFonts w:hint="eastAsia" w:ascii="宋体" w:cs="宋体"/>
          <w:color w:val="auto"/>
          <w:kern w:val="0"/>
          <w:szCs w:val="21"/>
          <w:highlight w:val="none"/>
        </w:rPr>
        <w:t>电子签名</w:t>
      </w:r>
      <w:r>
        <w:rPr>
          <w:rFonts w:hint="eastAsia" w:ascii="宋体" w:hAnsi="宋体" w:cs="宋体"/>
          <w:color w:val="auto"/>
          <w:szCs w:val="21"/>
          <w:highlight w:val="none"/>
        </w:rPr>
        <w:t>）：</w:t>
      </w:r>
    </w:p>
    <w:p w14:paraId="67F39744">
      <w:pPr>
        <w:snapToGrid w:val="0"/>
        <w:ind w:left="-6" w:leftChars="-15" w:right="-817" w:rightChars="-389" w:hanging="25" w:hangingChars="12"/>
        <w:rPr>
          <w:rFonts w:ascii="宋体" w:hAnsi="宋体" w:cs="宋体"/>
          <w:color w:val="auto"/>
          <w:szCs w:val="21"/>
          <w:highlight w:val="none"/>
        </w:rPr>
      </w:pPr>
    </w:p>
    <w:p w14:paraId="3D7528ED">
      <w:pPr>
        <w:snapToGrid w:val="0"/>
        <w:ind w:left="178" w:leftChars="85" w:right="-817" w:rightChars="-389" w:firstLine="3536" w:firstLineChars="1684"/>
        <w:rPr>
          <w:rFonts w:ascii="宋体" w:hAnsi="宋体" w:cs="宋体"/>
          <w:color w:val="auto"/>
          <w:szCs w:val="21"/>
          <w:highlight w:val="none"/>
          <w:u w:val="single"/>
        </w:rPr>
      </w:pPr>
      <w:r>
        <w:rPr>
          <w:rFonts w:hint="eastAsia" w:ascii="宋体" w:hAnsi="宋体" w:cs="宋体"/>
          <w:color w:val="auto"/>
          <w:szCs w:val="21"/>
          <w:highlight w:val="none"/>
        </w:rPr>
        <w:t>投标人名称（</w:t>
      </w:r>
      <w:r>
        <w:rPr>
          <w:rFonts w:hint="eastAsia" w:ascii="宋体" w:cs="宋体"/>
          <w:color w:val="auto"/>
          <w:kern w:val="0"/>
          <w:szCs w:val="21"/>
          <w:highlight w:val="none"/>
        </w:rPr>
        <w:t>电子签章</w:t>
      </w:r>
      <w:r>
        <w:rPr>
          <w:rFonts w:hint="eastAsia" w:ascii="宋体" w:hAnsi="宋体" w:cs="宋体"/>
          <w:color w:val="auto"/>
          <w:szCs w:val="21"/>
          <w:highlight w:val="none"/>
        </w:rPr>
        <w:t>）：</w:t>
      </w:r>
    </w:p>
    <w:p w14:paraId="00923C72">
      <w:pPr>
        <w:snapToGrid w:val="0"/>
        <w:spacing w:line="360" w:lineRule="auto"/>
        <w:ind w:firstLine="210" w:firstLineChars="100"/>
        <w:jc w:val="right"/>
        <w:rPr>
          <w:rFonts w:ascii="宋体" w:hAnsi="宋体" w:cs="宋体"/>
          <w:color w:val="auto"/>
          <w:szCs w:val="21"/>
          <w:highlight w:val="none"/>
        </w:rPr>
      </w:pPr>
    </w:p>
    <w:p w14:paraId="6F0231C2">
      <w:pPr>
        <w:snapToGrid w:val="0"/>
        <w:spacing w:line="360" w:lineRule="auto"/>
        <w:ind w:firstLine="210" w:firstLineChars="100"/>
        <w:jc w:val="right"/>
        <w:rPr>
          <w:rFonts w:ascii="宋体" w:hAnsi="宋体" w:cs="宋体"/>
          <w:color w:val="auto"/>
          <w:szCs w:val="21"/>
          <w:highlight w:val="none"/>
        </w:rPr>
      </w:pPr>
      <w:r>
        <w:rPr>
          <w:rFonts w:hint="eastAsia" w:ascii="宋体" w:hAnsi="宋体" w:cs="宋体"/>
          <w:color w:val="auto"/>
          <w:szCs w:val="21"/>
          <w:highlight w:val="none"/>
        </w:rPr>
        <w:t xml:space="preserve"> 年    月    日</w:t>
      </w:r>
    </w:p>
    <w:p w14:paraId="5DEB93EF">
      <w:pPr>
        <w:rPr>
          <w:rFonts w:ascii="宋体" w:hAnsi="宋体" w:cs="宋体"/>
          <w:b/>
          <w:color w:val="auto"/>
          <w:sz w:val="28"/>
          <w:szCs w:val="28"/>
          <w:highlight w:val="none"/>
        </w:rPr>
      </w:pPr>
    </w:p>
    <w:p w14:paraId="4E6A9919">
      <w:pPr>
        <w:snapToGrid w:val="0"/>
        <w:spacing w:beforeLines="50" w:after="50"/>
        <w:jc w:val="left"/>
        <w:rPr>
          <w:rFonts w:cs="宋体" w:asciiTheme="minorEastAsia" w:hAnsiTheme="minorEastAsia" w:eastAsiaTheme="minorEastAsia"/>
          <w:b/>
          <w:bCs/>
          <w:color w:val="auto"/>
          <w:szCs w:val="21"/>
          <w:highlight w:val="none"/>
        </w:rPr>
      </w:pPr>
    </w:p>
    <w:p w14:paraId="52527232">
      <w:pPr>
        <w:snapToGrid w:val="0"/>
        <w:spacing w:beforeLines="50" w:after="50"/>
        <w:jc w:val="left"/>
        <w:rPr>
          <w:rFonts w:cs="宋体" w:asciiTheme="minorEastAsia" w:hAnsiTheme="minorEastAsia" w:eastAsiaTheme="minorEastAsia"/>
          <w:b/>
          <w:bCs/>
          <w:color w:val="auto"/>
          <w:szCs w:val="21"/>
          <w:highlight w:val="none"/>
        </w:rPr>
      </w:pPr>
    </w:p>
    <w:p w14:paraId="4434C281">
      <w:pPr>
        <w:snapToGrid w:val="0"/>
        <w:spacing w:beforeLines="50" w:after="50"/>
        <w:jc w:val="left"/>
        <w:rPr>
          <w:rFonts w:cs="宋体" w:asciiTheme="minorEastAsia" w:hAnsiTheme="minorEastAsia" w:eastAsiaTheme="minorEastAsia"/>
          <w:b/>
          <w:bCs/>
          <w:color w:val="auto"/>
          <w:szCs w:val="21"/>
          <w:highlight w:val="none"/>
        </w:rPr>
      </w:pPr>
    </w:p>
    <w:p w14:paraId="52A95BFA">
      <w:pPr>
        <w:snapToGrid w:val="0"/>
        <w:spacing w:beforeLines="50" w:after="50"/>
        <w:jc w:val="left"/>
        <w:rPr>
          <w:rFonts w:cs="宋体" w:asciiTheme="minorEastAsia" w:hAnsiTheme="minorEastAsia" w:eastAsiaTheme="minorEastAsia"/>
          <w:b/>
          <w:bCs/>
          <w:color w:val="auto"/>
          <w:szCs w:val="21"/>
          <w:highlight w:val="none"/>
        </w:rPr>
      </w:pPr>
    </w:p>
    <w:p w14:paraId="59178364">
      <w:pPr>
        <w:snapToGrid w:val="0"/>
        <w:spacing w:beforeLines="50" w:after="50"/>
        <w:jc w:val="left"/>
        <w:rPr>
          <w:rFonts w:cs="宋体" w:asciiTheme="minorEastAsia" w:hAnsiTheme="minorEastAsia" w:eastAsiaTheme="minorEastAsia"/>
          <w:b/>
          <w:bCs/>
          <w:color w:val="auto"/>
          <w:szCs w:val="21"/>
          <w:highlight w:val="none"/>
        </w:rPr>
      </w:pPr>
    </w:p>
    <w:p w14:paraId="3A59CAE1">
      <w:pPr>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br w:type="page"/>
      </w:r>
    </w:p>
    <w:p w14:paraId="629C8AFD">
      <w:pPr>
        <w:jc w:val="center"/>
        <w:rPr>
          <w:rFonts w:ascii="宋体" w:hAnsi="宋体" w:cs="宋体"/>
          <w:b/>
          <w:color w:val="auto"/>
          <w:sz w:val="32"/>
          <w:szCs w:val="32"/>
          <w:highlight w:val="none"/>
        </w:rPr>
      </w:pPr>
      <w:r>
        <w:rPr>
          <w:rFonts w:hint="eastAsia" w:ascii="宋体" w:hAnsi="宋体" w:cs="宋体"/>
          <w:b/>
          <w:color w:val="auto"/>
          <w:sz w:val="32"/>
          <w:szCs w:val="32"/>
          <w:highlight w:val="none"/>
        </w:rPr>
        <w:t>3.投标人直接控股、管理关系信息表</w:t>
      </w:r>
    </w:p>
    <w:p w14:paraId="67507E04">
      <w:pPr>
        <w:jc w:val="center"/>
        <w:rPr>
          <w:rFonts w:ascii="宋体" w:hAnsi="宋体" w:cs="宋体"/>
          <w:b/>
          <w:color w:val="auto"/>
          <w:sz w:val="32"/>
          <w:szCs w:val="32"/>
          <w:highlight w:val="none"/>
        </w:rPr>
      </w:pPr>
      <w:r>
        <w:rPr>
          <w:rFonts w:hint="eastAsia" w:ascii="宋体" w:hAnsi="宋体" w:cs="宋体"/>
          <w:b/>
          <w:color w:val="auto"/>
          <w:sz w:val="30"/>
          <w:szCs w:val="30"/>
          <w:highlight w:val="none"/>
        </w:rPr>
        <w:t>3.1投标人直接控股股东信息表</w:t>
      </w:r>
    </w:p>
    <w:tbl>
      <w:tblPr>
        <w:tblStyle w:val="47"/>
        <w:tblW w:w="8744" w:type="dxa"/>
        <w:tblInd w:w="0" w:type="dxa"/>
        <w:shd w:val="clear" w:color="auto" w:fill="FBFBFB"/>
        <w:tblLayout w:type="fixed"/>
        <w:tblCellMar>
          <w:top w:w="0" w:type="dxa"/>
          <w:left w:w="0" w:type="dxa"/>
          <w:bottom w:w="0" w:type="dxa"/>
          <w:right w:w="0" w:type="dxa"/>
        </w:tblCellMar>
      </w:tblPr>
      <w:tblGrid>
        <w:gridCol w:w="722"/>
        <w:gridCol w:w="2168"/>
        <w:gridCol w:w="1204"/>
        <w:gridCol w:w="3855"/>
        <w:gridCol w:w="795"/>
      </w:tblGrid>
      <w:tr w14:paraId="184A8237">
        <w:tblPrEx>
          <w:shd w:val="clear" w:color="auto" w:fill="FBFBFB"/>
          <w:tblCellMar>
            <w:top w:w="0" w:type="dxa"/>
            <w:left w:w="0" w:type="dxa"/>
            <w:bottom w:w="0" w:type="dxa"/>
            <w:right w:w="0" w:type="dxa"/>
          </w:tblCellMar>
        </w:tblPrEx>
        <w:trPr>
          <w:tblHeader/>
        </w:trPr>
        <w:tc>
          <w:tcPr>
            <w:tcW w:w="722"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2971A16A">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序号</w:t>
            </w:r>
          </w:p>
        </w:tc>
        <w:tc>
          <w:tcPr>
            <w:tcW w:w="2168"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12474BCC">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直接控股股东名称</w:t>
            </w:r>
          </w:p>
        </w:tc>
        <w:tc>
          <w:tcPr>
            <w:tcW w:w="1204"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2DD35C0B">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出资比例</w:t>
            </w:r>
          </w:p>
        </w:tc>
        <w:tc>
          <w:tcPr>
            <w:tcW w:w="3855"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4DB73667">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身份证号码或者统一社会信用代码</w:t>
            </w:r>
          </w:p>
        </w:tc>
        <w:tc>
          <w:tcPr>
            <w:tcW w:w="795"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10EA4470">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备注</w:t>
            </w:r>
          </w:p>
        </w:tc>
      </w:tr>
      <w:tr w14:paraId="451C1774">
        <w:tblPrEx>
          <w:tblCellMar>
            <w:top w:w="0" w:type="dxa"/>
            <w:left w:w="0" w:type="dxa"/>
            <w:bottom w:w="0" w:type="dxa"/>
            <w:right w:w="0" w:type="dxa"/>
          </w:tblCellMar>
        </w:tblPrEx>
        <w:tc>
          <w:tcPr>
            <w:tcW w:w="722"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53CFEA44">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216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68CEDBD2">
            <w:pPr>
              <w:spacing w:line="360" w:lineRule="auto"/>
              <w:jc w:val="center"/>
              <w:rPr>
                <w:rFonts w:ascii="宋体" w:hAnsi="宋体" w:cs="宋体"/>
                <w:color w:val="auto"/>
                <w:kern w:val="0"/>
                <w:sz w:val="24"/>
                <w:highlight w:val="none"/>
              </w:rPr>
            </w:pPr>
          </w:p>
        </w:tc>
        <w:tc>
          <w:tcPr>
            <w:tcW w:w="1204"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5110FF85">
            <w:pPr>
              <w:spacing w:line="360" w:lineRule="auto"/>
              <w:jc w:val="center"/>
              <w:rPr>
                <w:rFonts w:ascii="宋体" w:hAnsi="宋体" w:cs="宋体"/>
                <w:color w:val="auto"/>
                <w:kern w:val="0"/>
                <w:sz w:val="24"/>
                <w:highlight w:val="none"/>
              </w:rPr>
            </w:pPr>
          </w:p>
        </w:tc>
        <w:tc>
          <w:tcPr>
            <w:tcW w:w="3855"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1D6368C1">
            <w:pPr>
              <w:spacing w:line="360" w:lineRule="auto"/>
              <w:jc w:val="center"/>
              <w:rPr>
                <w:rFonts w:ascii="宋体" w:hAnsi="宋体" w:cs="宋体"/>
                <w:color w:val="auto"/>
                <w:kern w:val="0"/>
                <w:sz w:val="24"/>
                <w:highlight w:val="none"/>
              </w:rPr>
            </w:pPr>
          </w:p>
        </w:tc>
        <w:tc>
          <w:tcPr>
            <w:tcW w:w="795"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01B113BF">
            <w:pPr>
              <w:spacing w:line="360" w:lineRule="auto"/>
              <w:jc w:val="center"/>
              <w:rPr>
                <w:rFonts w:ascii="宋体" w:hAnsi="宋体" w:cs="宋体"/>
                <w:color w:val="auto"/>
                <w:kern w:val="0"/>
                <w:sz w:val="24"/>
                <w:highlight w:val="none"/>
              </w:rPr>
            </w:pPr>
          </w:p>
        </w:tc>
      </w:tr>
      <w:tr w14:paraId="0039694D">
        <w:tblPrEx>
          <w:tblCellMar>
            <w:top w:w="0" w:type="dxa"/>
            <w:left w:w="0" w:type="dxa"/>
            <w:bottom w:w="0" w:type="dxa"/>
            <w:right w:w="0" w:type="dxa"/>
          </w:tblCellMar>
        </w:tblPrEx>
        <w:tc>
          <w:tcPr>
            <w:tcW w:w="722"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5B32DC49">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216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5F02DD5A">
            <w:pPr>
              <w:spacing w:line="360" w:lineRule="auto"/>
              <w:jc w:val="center"/>
              <w:rPr>
                <w:rFonts w:ascii="宋体" w:hAnsi="宋体" w:cs="宋体"/>
                <w:color w:val="auto"/>
                <w:kern w:val="0"/>
                <w:sz w:val="24"/>
                <w:highlight w:val="none"/>
              </w:rPr>
            </w:pPr>
          </w:p>
        </w:tc>
        <w:tc>
          <w:tcPr>
            <w:tcW w:w="1204"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3AC9D707">
            <w:pPr>
              <w:spacing w:line="360" w:lineRule="auto"/>
              <w:jc w:val="center"/>
              <w:rPr>
                <w:rFonts w:ascii="宋体" w:hAnsi="宋体" w:cs="宋体"/>
                <w:color w:val="auto"/>
                <w:kern w:val="0"/>
                <w:sz w:val="24"/>
                <w:highlight w:val="none"/>
              </w:rPr>
            </w:pPr>
          </w:p>
        </w:tc>
        <w:tc>
          <w:tcPr>
            <w:tcW w:w="3855"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71C46CF9">
            <w:pPr>
              <w:spacing w:line="360" w:lineRule="auto"/>
              <w:jc w:val="center"/>
              <w:rPr>
                <w:rFonts w:ascii="宋体" w:hAnsi="宋体" w:cs="宋体"/>
                <w:color w:val="auto"/>
                <w:kern w:val="0"/>
                <w:sz w:val="24"/>
                <w:highlight w:val="none"/>
              </w:rPr>
            </w:pPr>
          </w:p>
        </w:tc>
        <w:tc>
          <w:tcPr>
            <w:tcW w:w="795"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6EC32EF0">
            <w:pPr>
              <w:spacing w:line="360" w:lineRule="auto"/>
              <w:jc w:val="center"/>
              <w:rPr>
                <w:rFonts w:ascii="宋体" w:hAnsi="宋体" w:cs="宋体"/>
                <w:color w:val="auto"/>
                <w:kern w:val="0"/>
                <w:sz w:val="24"/>
                <w:highlight w:val="none"/>
              </w:rPr>
            </w:pPr>
          </w:p>
        </w:tc>
      </w:tr>
      <w:tr w14:paraId="70CA1BE6">
        <w:tblPrEx>
          <w:tblCellMar>
            <w:top w:w="0" w:type="dxa"/>
            <w:left w:w="0" w:type="dxa"/>
            <w:bottom w:w="0" w:type="dxa"/>
            <w:right w:w="0" w:type="dxa"/>
          </w:tblCellMar>
        </w:tblPrEx>
        <w:tc>
          <w:tcPr>
            <w:tcW w:w="722"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3CA25675">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3</w:t>
            </w:r>
          </w:p>
        </w:tc>
        <w:tc>
          <w:tcPr>
            <w:tcW w:w="216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2508B2A4">
            <w:pPr>
              <w:spacing w:line="360" w:lineRule="auto"/>
              <w:jc w:val="center"/>
              <w:rPr>
                <w:rFonts w:ascii="宋体" w:hAnsi="宋体" w:cs="宋体"/>
                <w:color w:val="auto"/>
                <w:kern w:val="0"/>
                <w:sz w:val="24"/>
                <w:highlight w:val="none"/>
              </w:rPr>
            </w:pPr>
          </w:p>
        </w:tc>
        <w:tc>
          <w:tcPr>
            <w:tcW w:w="1204"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57AF505D">
            <w:pPr>
              <w:spacing w:line="360" w:lineRule="auto"/>
              <w:jc w:val="center"/>
              <w:rPr>
                <w:rFonts w:ascii="宋体" w:hAnsi="宋体" w:cs="宋体"/>
                <w:color w:val="auto"/>
                <w:kern w:val="0"/>
                <w:sz w:val="24"/>
                <w:highlight w:val="none"/>
              </w:rPr>
            </w:pPr>
          </w:p>
        </w:tc>
        <w:tc>
          <w:tcPr>
            <w:tcW w:w="3855"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4AE693FE">
            <w:pPr>
              <w:spacing w:line="360" w:lineRule="auto"/>
              <w:jc w:val="center"/>
              <w:rPr>
                <w:rFonts w:ascii="宋体" w:hAnsi="宋体" w:cs="宋体"/>
                <w:color w:val="auto"/>
                <w:kern w:val="0"/>
                <w:sz w:val="24"/>
                <w:highlight w:val="none"/>
              </w:rPr>
            </w:pPr>
          </w:p>
        </w:tc>
        <w:tc>
          <w:tcPr>
            <w:tcW w:w="795"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0259B999">
            <w:pPr>
              <w:spacing w:line="360" w:lineRule="auto"/>
              <w:jc w:val="center"/>
              <w:rPr>
                <w:rFonts w:ascii="宋体" w:hAnsi="宋体" w:cs="宋体"/>
                <w:color w:val="auto"/>
                <w:kern w:val="0"/>
                <w:sz w:val="24"/>
                <w:highlight w:val="none"/>
              </w:rPr>
            </w:pPr>
          </w:p>
        </w:tc>
      </w:tr>
      <w:tr w14:paraId="6CA74FC2">
        <w:tblPrEx>
          <w:tblCellMar>
            <w:top w:w="0" w:type="dxa"/>
            <w:left w:w="0" w:type="dxa"/>
            <w:bottom w:w="0" w:type="dxa"/>
            <w:right w:w="0" w:type="dxa"/>
          </w:tblCellMar>
        </w:tblPrEx>
        <w:tc>
          <w:tcPr>
            <w:tcW w:w="722"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006A8DA9">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216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7069C17E">
            <w:pPr>
              <w:spacing w:line="360" w:lineRule="auto"/>
              <w:jc w:val="center"/>
              <w:rPr>
                <w:rFonts w:ascii="宋体" w:hAnsi="宋体" w:cs="宋体"/>
                <w:color w:val="auto"/>
                <w:kern w:val="0"/>
                <w:sz w:val="24"/>
                <w:highlight w:val="none"/>
              </w:rPr>
            </w:pPr>
          </w:p>
        </w:tc>
        <w:tc>
          <w:tcPr>
            <w:tcW w:w="1204"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409BE264">
            <w:pPr>
              <w:spacing w:line="360" w:lineRule="auto"/>
              <w:jc w:val="center"/>
              <w:rPr>
                <w:rFonts w:ascii="宋体" w:hAnsi="宋体" w:cs="宋体"/>
                <w:color w:val="auto"/>
                <w:kern w:val="0"/>
                <w:sz w:val="24"/>
                <w:highlight w:val="none"/>
              </w:rPr>
            </w:pPr>
          </w:p>
        </w:tc>
        <w:tc>
          <w:tcPr>
            <w:tcW w:w="3855"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2A35EAD1">
            <w:pPr>
              <w:spacing w:line="360" w:lineRule="auto"/>
              <w:jc w:val="center"/>
              <w:rPr>
                <w:rFonts w:ascii="宋体" w:hAnsi="宋体" w:cs="宋体"/>
                <w:color w:val="auto"/>
                <w:kern w:val="0"/>
                <w:sz w:val="24"/>
                <w:highlight w:val="none"/>
              </w:rPr>
            </w:pPr>
          </w:p>
        </w:tc>
        <w:tc>
          <w:tcPr>
            <w:tcW w:w="795"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5317B010">
            <w:pPr>
              <w:spacing w:line="360" w:lineRule="auto"/>
              <w:jc w:val="center"/>
              <w:rPr>
                <w:rFonts w:ascii="宋体" w:hAnsi="宋体" w:cs="宋体"/>
                <w:color w:val="auto"/>
                <w:kern w:val="0"/>
                <w:sz w:val="24"/>
                <w:highlight w:val="none"/>
              </w:rPr>
            </w:pPr>
          </w:p>
        </w:tc>
      </w:tr>
    </w:tbl>
    <w:p w14:paraId="3710E7F7">
      <w:pPr>
        <w:snapToGrid w:val="0"/>
        <w:jc w:val="left"/>
        <w:rPr>
          <w:rFonts w:ascii="宋体" w:hAnsi="宋体" w:cs="宋体"/>
          <w:color w:val="auto"/>
          <w:szCs w:val="21"/>
          <w:highlight w:val="none"/>
        </w:rPr>
      </w:pPr>
      <w:r>
        <w:rPr>
          <w:rFonts w:hint="eastAsia" w:ascii="宋体" w:hAnsi="宋体" w:cs="宋体"/>
          <w:color w:val="auto"/>
          <w:szCs w:val="21"/>
          <w:highlight w:val="none"/>
        </w:rPr>
        <w:t>注：</w:t>
      </w:r>
    </w:p>
    <w:p w14:paraId="3AB228B2">
      <w:pPr>
        <w:snapToGrid w:val="0"/>
        <w:jc w:val="left"/>
        <w:rPr>
          <w:rFonts w:ascii="宋体" w:hAnsi="宋体" w:cs="宋体"/>
          <w:color w:val="auto"/>
          <w:szCs w:val="21"/>
          <w:highlight w:val="none"/>
        </w:rPr>
      </w:pPr>
      <w:r>
        <w:rPr>
          <w:rFonts w:hint="eastAsia" w:ascii="宋体" w:hAnsi="宋体" w:cs="宋体"/>
          <w:color w:val="auto"/>
          <w:szCs w:val="21"/>
          <w:highlight w:val="none"/>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14:paraId="03496EA1">
      <w:pPr>
        <w:snapToGrid w:val="0"/>
        <w:jc w:val="left"/>
        <w:rPr>
          <w:rFonts w:ascii="宋体" w:hAnsi="宋体" w:cs="宋体"/>
          <w:color w:val="auto"/>
          <w:szCs w:val="21"/>
          <w:highlight w:val="none"/>
        </w:rPr>
      </w:pPr>
      <w:r>
        <w:rPr>
          <w:rFonts w:hint="eastAsia" w:ascii="宋体" w:hAnsi="宋体" w:cs="宋体"/>
          <w:color w:val="auto"/>
          <w:szCs w:val="21"/>
          <w:highlight w:val="none"/>
        </w:rPr>
        <w:t>2.本表所指的控股关系仅限于直接控股关系，不包括间接的控股关系。公司实际控制人与公司之间的关系不属于本表所指的直接控股关系。</w:t>
      </w:r>
    </w:p>
    <w:p w14:paraId="40915F14">
      <w:pPr>
        <w:snapToGrid w:val="0"/>
        <w:jc w:val="left"/>
        <w:rPr>
          <w:rFonts w:ascii="宋体" w:hAnsi="宋体" w:cs="宋体"/>
          <w:color w:val="auto"/>
          <w:szCs w:val="21"/>
          <w:highlight w:val="none"/>
        </w:rPr>
      </w:pPr>
      <w:r>
        <w:rPr>
          <w:rFonts w:hint="eastAsia" w:ascii="宋体" w:hAnsi="宋体" w:cs="宋体"/>
          <w:color w:val="auto"/>
          <w:szCs w:val="21"/>
          <w:highlight w:val="none"/>
        </w:rPr>
        <w:t>3.供应商不存在直接控股股东的，则在“</w:t>
      </w:r>
      <w:r>
        <w:rPr>
          <w:rFonts w:hint="eastAsia" w:ascii="宋体" w:hAnsi="宋体" w:cs="宋体"/>
          <w:b/>
          <w:bCs/>
          <w:color w:val="auto"/>
          <w:kern w:val="0"/>
          <w:szCs w:val="21"/>
          <w:highlight w:val="none"/>
        </w:rPr>
        <w:t>直接控股股东名称</w:t>
      </w:r>
      <w:r>
        <w:rPr>
          <w:rFonts w:hint="eastAsia" w:ascii="宋体" w:hAnsi="宋体" w:cs="宋体"/>
          <w:color w:val="auto"/>
          <w:szCs w:val="21"/>
          <w:highlight w:val="none"/>
        </w:rPr>
        <w:t>”中填“无”。</w:t>
      </w:r>
    </w:p>
    <w:p w14:paraId="51125E26">
      <w:pPr>
        <w:snapToGrid w:val="0"/>
        <w:jc w:val="left"/>
        <w:rPr>
          <w:rFonts w:ascii="宋体" w:hAnsi="宋体" w:cs="宋体"/>
          <w:color w:val="auto"/>
          <w:sz w:val="24"/>
          <w:highlight w:val="none"/>
        </w:rPr>
      </w:pPr>
    </w:p>
    <w:p w14:paraId="0A2BDD1A">
      <w:pPr>
        <w:snapToGrid w:val="0"/>
        <w:jc w:val="left"/>
        <w:rPr>
          <w:rFonts w:ascii="宋体" w:hAnsi="宋体" w:cs="宋体"/>
          <w:color w:val="auto"/>
          <w:sz w:val="24"/>
          <w:highlight w:val="none"/>
        </w:rPr>
      </w:pPr>
    </w:p>
    <w:p w14:paraId="7B518D31">
      <w:pPr>
        <w:snapToGrid w:val="0"/>
        <w:jc w:val="left"/>
        <w:rPr>
          <w:rFonts w:ascii="宋体" w:hAnsi="宋体" w:cs="宋体"/>
          <w:color w:val="auto"/>
          <w:sz w:val="24"/>
          <w:highlight w:val="none"/>
        </w:rPr>
      </w:pPr>
    </w:p>
    <w:p w14:paraId="35745EC4">
      <w:pPr>
        <w:snapToGrid w:val="0"/>
        <w:jc w:val="left"/>
        <w:rPr>
          <w:rFonts w:ascii="宋体" w:hAnsi="宋体" w:cs="宋体"/>
          <w:color w:val="auto"/>
          <w:sz w:val="24"/>
          <w:highlight w:val="none"/>
        </w:rPr>
      </w:pPr>
    </w:p>
    <w:p w14:paraId="7370C85E">
      <w:pPr>
        <w:snapToGrid w:val="0"/>
        <w:ind w:left="-2" w:leftChars="-1" w:right="-817" w:rightChars="-389" w:firstLine="1680" w:firstLineChars="800"/>
        <w:rPr>
          <w:rFonts w:ascii="宋体" w:hAnsi="宋体" w:cs="宋体"/>
          <w:color w:val="auto"/>
          <w:szCs w:val="21"/>
          <w:highlight w:val="none"/>
        </w:rPr>
      </w:pPr>
      <w:r>
        <w:rPr>
          <w:rFonts w:hint="eastAsia" w:ascii="宋体" w:hAnsi="宋体" w:cs="宋体"/>
          <w:color w:val="auto"/>
          <w:szCs w:val="21"/>
          <w:highlight w:val="none"/>
        </w:rPr>
        <w:t>法定代表人或者委托代理人（</w:t>
      </w:r>
      <w:r>
        <w:rPr>
          <w:rFonts w:hint="eastAsia" w:ascii="宋体" w:cs="宋体"/>
          <w:color w:val="auto"/>
          <w:kern w:val="0"/>
          <w:szCs w:val="21"/>
          <w:highlight w:val="none"/>
        </w:rPr>
        <w:t>电子签名</w:t>
      </w:r>
      <w:r>
        <w:rPr>
          <w:rFonts w:hint="eastAsia" w:ascii="宋体" w:hAnsi="宋体" w:cs="宋体"/>
          <w:color w:val="auto"/>
          <w:szCs w:val="21"/>
          <w:highlight w:val="none"/>
        </w:rPr>
        <w:t>）：</w:t>
      </w:r>
    </w:p>
    <w:p w14:paraId="0C6EF1FA">
      <w:pPr>
        <w:snapToGrid w:val="0"/>
        <w:ind w:left="-6" w:leftChars="-15" w:right="-817" w:rightChars="-389" w:hanging="25" w:hangingChars="12"/>
        <w:rPr>
          <w:rFonts w:ascii="宋体" w:hAnsi="宋体" w:cs="宋体"/>
          <w:color w:val="auto"/>
          <w:szCs w:val="21"/>
          <w:highlight w:val="none"/>
        </w:rPr>
      </w:pPr>
    </w:p>
    <w:p w14:paraId="304CB3BC">
      <w:pPr>
        <w:snapToGrid w:val="0"/>
        <w:ind w:left="178" w:leftChars="85" w:right="-817" w:rightChars="-389" w:firstLine="3536" w:firstLineChars="1684"/>
        <w:rPr>
          <w:rFonts w:ascii="宋体" w:hAnsi="宋体" w:cs="宋体"/>
          <w:color w:val="auto"/>
          <w:szCs w:val="21"/>
          <w:highlight w:val="none"/>
          <w:u w:val="single"/>
        </w:rPr>
      </w:pPr>
      <w:r>
        <w:rPr>
          <w:rFonts w:hint="eastAsia" w:ascii="宋体" w:hAnsi="宋体" w:cs="宋体"/>
          <w:color w:val="auto"/>
          <w:szCs w:val="21"/>
          <w:highlight w:val="none"/>
        </w:rPr>
        <w:t>投标人名称（</w:t>
      </w:r>
      <w:r>
        <w:rPr>
          <w:rFonts w:hint="eastAsia" w:ascii="宋体" w:cs="宋体"/>
          <w:color w:val="auto"/>
          <w:kern w:val="0"/>
          <w:szCs w:val="21"/>
          <w:highlight w:val="none"/>
        </w:rPr>
        <w:t>电子签章</w:t>
      </w:r>
      <w:r>
        <w:rPr>
          <w:rFonts w:hint="eastAsia" w:ascii="宋体" w:hAnsi="宋体" w:cs="宋体"/>
          <w:color w:val="auto"/>
          <w:szCs w:val="21"/>
          <w:highlight w:val="none"/>
        </w:rPr>
        <w:t>）：</w:t>
      </w:r>
    </w:p>
    <w:p w14:paraId="12110CD4">
      <w:pPr>
        <w:snapToGrid w:val="0"/>
        <w:jc w:val="left"/>
        <w:rPr>
          <w:rFonts w:ascii="宋体" w:hAnsi="宋体" w:cs="宋体"/>
          <w:color w:val="auto"/>
          <w:szCs w:val="21"/>
          <w:highlight w:val="none"/>
        </w:rPr>
      </w:pPr>
    </w:p>
    <w:p w14:paraId="1385C0C9">
      <w:pPr>
        <w:snapToGrid w:val="0"/>
        <w:ind w:firstLine="5880" w:firstLineChars="2800"/>
        <w:jc w:val="left"/>
        <w:rPr>
          <w:rFonts w:ascii="宋体" w:hAnsi="宋体" w:cs="宋体"/>
          <w:color w:val="auto"/>
          <w:szCs w:val="21"/>
          <w:highlight w:val="none"/>
        </w:rPr>
      </w:pPr>
      <w:r>
        <w:rPr>
          <w:rFonts w:hint="eastAsia" w:ascii="宋体" w:hAnsi="宋体" w:cs="宋体"/>
          <w:color w:val="auto"/>
          <w:szCs w:val="21"/>
          <w:highlight w:val="none"/>
        </w:rPr>
        <w:t>日期：    年   月   日</w:t>
      </w:r>
    </w:p>
    <w:p w14:paraId="4D5FCFBD">
      <w:pPr>
        <w:snapToGrid w:val="0"/>
        <w:spacing w:beforeLines="50" w:after="50" w:line="360" w:lineRule="auto"/>
        <w:ind w:right="480" w:firstLine="6465" w:firstLineChars="2300"/>
        <w:rPr>
          <w:rFonts w:ascii="宋体" w:hAnsi="宋体" w:cs="宋体"/>
          <w:b/>
          <w:color w:val="auto"/>
          <w:sz w:val="28"/>
          <w:szCs w:val="28"/>
          <w:highlight w:val="none"/>
        </w:rPr>
      </w:pPr>
      <w:r>
        <w:rPr>
          <w:rFonts w:hint="eastAsia" w:ascii="宋体" w:hAnsi="宋体" w:cs="宋体"/>
          <w:b/>
          <w:color w:val="auto"/>
          <w:sz w:val="28"/>
          <w:szCs w:val="28"/>
          <w:highlight w:val="none"/>
        </w:rPr>
        <w:br w:type="page"/>
      </w:r>
    </w:p>
    <w:p w14:paraId="3EE53AEA">
      <w:pPr>
        <w:snapToGrid w:val="0"/>
        <w:spacing w:line="360" w:lineRule="auto"/>
        <w:jc w:val="center"/>
        <w:rPr>
          <w:rFonts w:ascii="宋体" w:hAnsi="宋体" w:cs="宋体"/>
          <w:color w:val="auto"/>
          <w:sz w:val="30"/>
          <w:szCs w:val="30"/>
          <w:highlight w:val="none"/>
        </w:rPr>
      </w:pPr>
      <w:r>
        <w:rPr>
          <w:rFonts w:hint="eastAsia" w:ascii="宋体" w:hAnsi="宋体" w:cs="宋体"/>
          <w:b/>
          <w:color w:val="auto"/>
          <w:sz w:val="30"/>
          <w:szCs w:val="30"/>
          <w:highlight w:val="none"/>
        </w:rPr>
        <w:t>3.2投标人直接管理关系信息表</w:t>
      </w:r>
    </w:p>
    <w:tbl>
      <w:tblPr>
        <w:tblStyle w:val="47"/>
        <w:tblW w:w="8744" w:type="dxa"/>
        <w:tblInd w:w="0" w:type="dxa"/>
        <w:shd w:val="clear" w:color="auto" w:fill="FBFBFB"/>
        <w:tblLayout w:type="fixed"/>
        <w:tblCellMar>
          <w:top w:w="0" w:type="dxa"/>
          <w:left w:w="0" w:type="dxa"/>
          <w:bottom w:w="0" w:type="dxa"/>
          <w:right w:w="0" w:type="dxa"/>
        </w:tblCellMar>
      </w:tblPr>
      <w:tblGrid>
        <w:gridCol w:w="1035"/>
        <w:gridCol w:w="2741"/>
        <w:gridCol w:w="3068"/>
        <w:gridCol w:w="1900"/>
      </w:tblGrid>
      <w:tr w14:paraId="4046B158">
        <w:tblPrEx>
          <w:shd w:val="clear" w:color="auto" w:fill="FBFBFB"/>
          <w:tblCellMar>
            <w:top w:w="0" w:type="dxa"/>
            <w:left w:w="0" w:type="dxa"/>
            <w:bottom w:w="0" w:type="dxa"/>
            <w:right w:w="0" w:type="dxa"/>
          </w:tblCellMar>
        </w:tblPrEx>
        <w:trPr>
          <w:tblHeader/>
        </w:trPr>
        <w:tc>
          <w:tcPr>
            <w:tcW w:w="1035"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3D95B517">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序号</w:t>
            </w:r>
          </w:p>
        </w:tc>
        <w:tc>
          <w:tcPr>
            <w:tcW w:w="2741"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760DB110">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直接管理关系单位名称</w:t>
            </w:r>
          </w:p>
        </w:tc>
        <w:tc>
          <w:tcPr>
            <w:tcW w:w="3068"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5170B9B1">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统一社会信用代码</w:t>
            </w:r>
          </w:p>
        </w:tc>
        <w:tc>
          <w:tcPr>
            <w:tcW w:w="1900" w:type="dxa"/>
            <w:tcBorders>
              <w:top w:val="single" w:color="auto" w:sz="4" w:space="0"/>
              <w:left w:val="single" w:color="auto" w:sz="4" w:space="0"/>
              <w:bottom w:val="single" w:color="auto" w:sz="4" w:space="0"/>
              <w:right w:val="single" w:color="auto" w:sz="4" w:space="0"/>
            </w:tcBorders>
            <w:shd w:val="clear" w:color="auto" w:fill="EAE3D8"/>
            <w:tcMar>
              <w:top w:w="120" w:type="dxa"/>
              <w:left w:w="120" w:type="dxa"/>
              <w:bottom w:w="120" w:type="dxa"/>
              <w:right w:w="120" w:type="dxa"/>
            </w:tcMar>
            <w:vAlign w:val="center"/>
          </w:tcPr>
          <w:p w14:paraId="1F6B8775">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备注</w:t>
            </w:r>
          </w:p>
        </w:tc>
      </w:tr>
      <w:tr w14:paraId="30C0ABAE">
        <w:tblPrEx>
          <w:tblCellMar>
            <w:top w:w="0" w:type="dxa"/>
            <w:left w:w="0" w:type="dxa"/>
            <w:bottom w:w="0" w:type="dxa"/>
            <w:right w:w="0" w:type="dxa"/>
          </w:tblCellMar>
        </w:tblPrEx>
        <w:tc>
          <w:tcPr>
            <w:tcW w:w="1035"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1DB36BEF">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2741"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0ED18342">
            <w:pPr>
              <w:spacing w:line="360" w:lineRule="auto"/>
              <w:jc w:val="center"/>
              <w:rPr>
                <w:rFonts w:ascii="宋体" w:hAnsi="宋体" w:cs="宋体"/>
                <w:color w:val="auto"/>
                <w:kern w:val="0"/>
                <w:sz w:val="24"/>
                <w:highlight w:val="none"/>
              </w:rPr>
            </w:pPr>
          </w:p>
        </w:tc>
        <w:tc>
          <w:tcPr>
            <w:tcW w:w="306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69953903">
            <w:pPr>
              <w:spacing w:line="360" w:lineRule="auto"/>
              <w:jc w:val="center"/>
              <w:rPr>
                <w:rFonts w:ascii="宋体" w:hAnsi="宋体" w:cs="宋体"/>
                <w:color w:val="auto"/>
                <w:kern w:val="0"/>
                <w:sz w:val="24"/>
                <w:highlight w:val="none"/>
              </w:rPr>
            </w:pPr>
          </w:p>
        </w:tc>
        <w:tc>
          <w:tcPr>
            <w:tcW w:w="1900"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6C8EEE5C">
            <w:pPr>
              <w:spacing w:line="360" w:lineRule="auto"/>
              <w:jc w:val="center"/>
              <w:rPr>
                <w:rFonts w:ascii="宋体" w:hAnsi="宋体" w:cs="宋体"/>
                <w:color w:val="auto"/>
                <w:kern w:val="0"/>
                <w:sz w:val="24"/>
                <w:highlight w:val="none"/>
              </w:rPr>
            </w:pPr>
          </w:p>
        </w:tc>
      </w:tr>
      <w:tr w14:paraId="0CE5693C">
        <w:tblPrEx>
          <w:tblCellMar>
            <w:top w:w="0" w:type="dxa"/>
            <w:left w:w="0" w:type="dxa"/>
            <w:bottom w:w="0" w:type="dxa"/>
            <w:right w:w="0" w:type="dxa"/>
          </w:tblCellMar>
        </w:tblPrEx>
        <w:tc>
          <w:tcPr>
            <w:tcW w:w="1035"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23F95588">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2741"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27879525">
            <w:pPr>
              <w:spacing w:line="360" w:lineRule="auto"/>
              <w:jc w:val="center"/>
              <w:rPr>
                <w:rFonts w:ascii="宋体" w:hAnsi="宋体" w:cs="宋体"/>
                <w:color w:val="auto"/>
                <w:kern w:val="0"/>
                <w:sz w:val="24"/>
                <w:highlight w:val="none"/>
              </w:rPr>
            </w:pPr>
          </w:p>
        </w:tc>
        <w:tc>
          <w:tcPr>
            <w:tcW w:w="306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4322F278">
            <w:pPr>
              <w:spacing w:line="360" w:lineRule="auto"/>
              <w:jc w:val="center"/>
              <w:rPr>
                <w:rFonts w:ascii="宋体" w:hAnsi="宋体" w:cs="宋体"/>
                <w:color w:val="auto"/>
                <w:kern w:val="0"/>
                <w:sz w:val="24"/>
                <w:highlight w:val="none"/>
              </w:rPr>
            </w:pPr>
          </w:p>
        </w:tc>
        <w:tc>
          <w:tcPr>
            <w:tcW w:w="1900"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2E377613">
            <w:pPr>
              <w:spacing w:line="360" w:lineRule="auto"/>
              <w:jc w:val="center"/>
              <w:rPr>
                <w:rFonts w:ascii="宋体" w:hAnsi="宋体" w:cs="宋体"/>
                <w:color w:val="auto"/>
                <w:kern w:val="0"/>
                <w:sz w:val="24"/>
                <w:highlight w:val="none"/>
              </w:rPr>
            </w:pPr>
          </w:p>
        </w:tc>
      </w:tr>
      <w:tr w14:paraId="4C255483">
        <w:tblPrEx>
          <w:tblCellMar>
            <w:top w:w="0" w:type="dxa"/>
            <w:left w:w="0" w:type="dxa"/>
            <w:bottom w:w="0" w:type="dxa"/>
            <w:right w:w="0" w:type="dxa"/>
          </w:tblCellMar>
        </w:tblPrEx>
        <w:tc>
          <w:tcPr>
            <w:tcW w:w="1035"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09C9DDA5">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3</w:t>
            </w:r>
          </w:p>
        </w:tc>
        <w:tc>
          <w:tcPr>
            <w:tcW w:w="2741"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74BA8A85">
            <w:pPr>
              <w:spacing w:line="360" w:lineRule="auto"/>
              <w:jc w:val="center"/>
              <w:rPr>
                <w:rFonts w:ascii="宋体" w:hAnsi="宋体" w:cs="宋体"/>
                <w:color w:val="auto"/>
                <w:kern w:val="0"/>
                <w:sz w:val="24"/>
                <w:highlight w:val="none"/>
              </w:rPr>
            </w:pPr>
          </w:p>
        </w:tc>
        <w:tc>
          <w:tcPr>
            <w:tcW w:w="306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2C711F54">
            <w:pPr>
              <w:spacing w:line="360" w:lineRule="auto"/>
              <w:jc w:val="center"/>
              <w:rPr>
                <w:rFonts w:ascii="宋体" w:hAnsi="宋体" w:cs="宋体"/>
                <w:color w:val="auto"/>
                <w:kern w:val="0"/>
                <w:sz w:val="24"/>
                <w:highlight w:val="none"/>
              </w:rPr>
            </w:pPr>
          </w:p>
        </w:tc>
        <w:tc>
          <w:tcPr>
            <w:tcW w:w="1900"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4C4E28AA">
            <w:pPr>
              <w:spacing w:line="360" w:lineRule="auto"/>
              <w:jc w:val="center"/>
              <w:rPr>
                <w:rFonts w:ascii="宋体" w:hAnsi="宋体" w:cs="宋体"/>
                <w:color w:val="auto"/>
                <w:kern w:val="0"/>
                <w:sz w:val="24"/>
                <w:highlight w:val="none"/>
              </w:rPr>
            </w:pPr>
          </w:p>
        </w:tc>
      </w:tr>
      <w:tr w14:paraId="032CA570">
        <w:tblPrEx>
          <w:tblCellMar>
            <w:top w:w="0" w:type="dxa"/>
            <w:left w:w="0" w:type="dxa"/>
            <w:bottom w:w="0" w:type="dxa"/>
            <w:right w:w="0" w:type="dxa"/>
          </w:tblCellMar>
        </w:tblPrEx>
        <w:tc>
          <w:tcPr>
            <w:tcW w:w="1035"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6EF428F2">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2741"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59FC76DA">
            <w:pPr>
              <w:spacing w:line="360" w:lineRule="auto"/>
              <w:jc w:val="center"/>
              <w:rPr>
                <w:rFonts w:ascii="宋体" w:hAnsi="宋体" w:cs="宋体"/>
                <w:color w:val="auto"/>
                <w:kern w:val="0"/>
                <w:sz w:val="24"/>
                <w:highlight w:val="none"/>
              </w:rPr>
            </w:pPr>
          </w:p>
        </w:tc>
        <w:tc>
          <w:tcPr>
            <w:tcW w:w="3068"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763AC034">
            <w:pPr>
              <w:spacing w:line="360" w:lineRule="auto"/>
              <w:jc w:val="center"/>
              <w:rPr>
                <w:rFonts w:ascii="宋体" w:hAnsi="宋体" w:cs="宋体"/>
                <w:color w:val="auto"/>
                <w:kern w:val="0"/>
                <w:sz w:val="24"/>
                <w:highlight w:val="none"/>
              </w:rPr>
            </w:pPr>
          </w:p>
        </w:tc>
        <w:tc>
          <w:tcPr>
            <w:tcW w:w="1900" w:type="dxa"/>
            <w:tcBorders>
              <w:top w:val="single" w:color="auto" w:sz="4" w:space="0"/>
              <w:left w:val="single" w:color="auto" w:sz="4" w:space="0"/>
              <w:bottom w:val="single" w:color="auto" w:sz="4" w:space="0"/>
              <w:right w:val="single" w:color="auto" w:sz="4" w:space="0"/>
            </w:tcBorders>
            <w:shd w:val="clear" w:color="auto" w:fill="F9F9F9"/>
            <w:tcMar>
              <w:top w:w="120" w:type="dxa"/>
              <w:left w:w="120" w:type="dxa"/>
              <w:bottom w:w="120" w:type="dxa"/>
              <w:right w:w="120" w:type="dxa"/>
            </w:tcMar>
            <w:vAlign w:val="center"/>
          </w:tcPr>
          <w:p w14:paraId="55C72615">
            <w:pPr>
              <w:spacing w:line="360" w:lineRule="auto"/>
              <w:jc w:val="center"/>
              <w:rPr>
                <w:rFonts w:ascii="宋体" w:hAnsi="宋体" w:cs="宋体"/>
                <w:color w:val="auto"/>
                <w:kern w:val="0"/>
                <w:sz w:val="24"/>
                <w:highlight w:val="none"/>
              </w:rPr>
            </w:pPr>
          </w:p>
        </w:tc>
      </w:tr>
    </w:tbl>
    <w:p w14:paraId="4CA73E7E">
      <w:pPr>
        <w:snapToGrid w:val="0"/>
        <w:jc w:val="left"/>
        <w:rPr>
          <w:rFonts w:ascii="宋体" w:hAnsi="宋体" w:cs="宋体"/>
          <w:color w:val="auto"/>
          <w:szCs w:val="21"/>
          <w:highlight w:val="none"/>
        </w:rPr>
      </w:pPr>
      <w:r>
        <w:rPr>
          <w:rFonts w:hint="eastAsia" w:ascii="宋体" w:hAnsi="宋体" w:cs="宋体"/>
          <w:color w:val="auto"/>
          <w:szCs w:val="21"/>
          <w:highlight w:val="none"/>
        </w:rPr>
        <w:t>注：</w:t>
      </w:r>
    </w:p>
    <w:p w14:paraId="76693543">
      <w:pPr>
        <w:snapToGri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1.管理关系：是指不具有出资持股关系的其他单位之间存在的管理与被管理关系，如一些上下级关系的事业单位和团体组织。</w:t>
      </w:r>
    </w:p>
    <w:p w14:paraId="05285D27">
      <w:pPr>
        <w:snapToGri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pacing w:val="-6"/>
          <w:szCs w:val="21"/>
          <w:highlight w:val="none"/>
        </w:rPr>
        <w:t>本表所指的管理关系仅限于直接管理关系，不包括间接的管理关系。</w:t>
      </w:r>
    </w:p>
    <w:p w14:paraId="218A98F8">
      <w:pPr>
        <w:snapToGri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3.供应商不存在直接管理关系的，则在“</w:t>
      </w:r>
      <w:r>
        <w:rPr>
          <w:rFonts w:hint="eastAsia" w:ascii="宋体" w:hAnsi="宋体" w:cs="宋体"/>
          <w:b/>
          <w:bCs/>
          <w:color w:val="auto"/>
          <w:kern w:val="0"/>
          <w:szCs w:val="21"/>
          <w:highlight w:val="none"/>
        </w:rPr>
        <w:t>直接管理关系单位名称</w:t>
      </w:r>
      <w:r>
        <w:rPr>
          <w:rFonts w:hint="eastAsia" w:ascii="宋体" w:hAnsi="宋体" w:cs="宋体"/>
          <w:color w:val="auto"/>
          <w:szCs w:val="21"/>
          <w:highlight w:val="none"/>
        </w:rPr>
        <w:t>”中填“无”。</w:t>
      </w:r>
    </w:p>
    <w:p w14:paraId="5AF05349">
      <w:pPr>
        <w:snapToGrid w:val="0"/>
        <w:spacing w:line="360" w:lineRule="auto"/>
        <w:ind w:firstLine="420" w:firstLineChars="200"/>
        <w:jc w:val="left"/>
        <w:rPr>
          <w:rFonts w:ascii="宋体" w:hAnsi="宋体" w:cs="宋体"/>
          <w:color w:val="auto"/>
          <w:szCs w:val="21"/>
          <w:highlight w:val="none"/>
        </w:rPr>
      </w:pPr>
    </w:p>
    <w:p w14:paraId="2D213FA2">
      <w:pPr>
        <w:snapToGrid w:val="0"/>
        <w:spacing w:line="360" w:lineRule="auto"/>
        <w:jc w:val="left"/>
        <w:rPr>
          <w:rFonts w:ascii="宋体" w:hAnsi="宋体" w:cs="宋体"/>
          <w:color w:val="auto"/>
          <w:szCs w:val="21"/>
          <w:highlight w:val="none"/>
        </w:rPr>
      </w:pPr>
    </w:p>
    <w:p w14:paraId="1B025D9E">
      <w:pPr>
        <w:snapToGrid w:val="0"/>
        <w:spacing w:line="360" w:lineRule="auto"/>
        <w:ind w:left="-2" w:leftChars="-1" w:right="-817" w:rightChars="-389" w:firstLine="1680" w:firstLineChars="800"/>
        <w:rPr>
          <w:rFonts w:ascii="宋体" w:hAnsi="宋体" w:cs="宋体"/>
          <w:color w:val="auto"/>
          <w:szCs w:val="21"/>
          <w:highlight w:val="none"/>
        </w:rPr>
      </w:pPr>
    </w:p>
    <w:p w14:paraId="6414A5AC">
      <w:pPr>
        <w:snapToGrid w:val="0"/>
        <w:ind w:left="-2" w:leftChars="-1" w:right="-817" w:rightChars="-389" w:firstLine="1680" w:firstLineChars="800"/>
        <w:rPr>
          <w:rFonts w:ascii="宋体" w:hAnsi="宋体" w:cs="宋体"/>
          <w:color w:val="auto"/>
          <w:szCs w:val="21"/>
          <w:highlight w:val="none"/>
        </w:rPr>
      </w:pPr>
      <w:r>
        <w:rPr>
          <w:rFonts w:hint="eastAsia" w:ascii="宋体" w:hAnsi="宋体" w:cs="宋体"/>
          <w:color w:val="auto"/>
          <w:szCs w:val="21"/>
          <w:highlight w:val="none"/>
        </w:rPr>
        <w:t>法定代表人或者委托代理人（</w:t>
      </w:r>
      <w:r>
        <w:rPr>
          <w:rFonts w:hint="eastAsia" w:ascii="宋体" w:cs="宋体"/>
          <w:color w:val="auto"/>
          <w:kern w:val="0"/>
          <w:szCs w:val="21"/>
          <w:highlight w:val="none"/>
        </w:rPr>
        <w:t>电子签名</w:t>
      </w:r>
      <w:r>
        <w:rPr>
          <w:rFonts w:hint="eastAsia" w:ascii="宋体" w:hAnsi="宋体" w:cs="宋体"/>
          <w:color w:val="auto"/>
          <w:szCs w:val="21"/>
          <w:highlight w:val="none"/>
        </w:rPr>
        <w:t>）：</w:t>
      </w:r>
    </w:p>
    <w:p w14:paraId="6E233DE5">
      <w:pPr>
        <w:snapToGrid w:val="0"/>
        <w:ind w:left="-6" w:leftChars="-15" w:right="-817" w:rightChars="-389" w:hanging="25" w:hangingChars="12"/>
        <w:rPr>
          <w:rFonts w:ascii="宋体" w:hAnsi="宋体" w:cs="宋体"/>
          <w:color w:val="auto"/>
          <w:szCs w:val="21"/>
          <w:highlight w:val="none"/>
        </w:rPr>
      </w:pPr>
    </w:p>
    <w:p w14:paraId="64A4DED8">
      <w:pPr>
        <w:snapToGrid w:val="0"/>
        <w:spacing w:line="360" w:lineRule="auto"/>
        <w:ind w:left="5670" w:leftChars="1700" w:right="480" w:hanging="2100" w:hangingChars="1000"/>
        <w:jc w:val="left"/>
        <w:rPr>
          <w:rFonts w:ascii="宋体" w:hAnsi="宋体" w:cs="宋体"/>
          <w:color w:val="auto"/>
          <w:szCs w:val="21"/>
          <w:highlight w:val="none"/>
        </w:rPr>
      </w:pPr>
      <w:r>
        <w:rPr>
          <w:rFonts w:hint="eastAsia" w:ascii="宋体" w:hAnsi="宋体" w:cs="宋体"/>
          <w:color w:val="auto"/>
          <w:szCs w:val="21"/>
          <w:highlight w:val="none"/>
        </w:rPr>
        <w:t>投标人名称（</w:t>
      </w:r>
      <w:r>
        <w:rPr>
          <w:rFonts w:hint="eastAsia" w:ascii="宋体" w:cs="宋体"/>
          <w:color w:val="auto"/>
          <w:kern w:val="0"/>
          <w:szCs w:val="21"/>
          <w:highlight w:val="none"/>
        </w:rPr>
        <w:t>电子签章</w:t>
      </w:r>
      <w:r>
        <w:rPr>
          <w:rFonts w:hint="eastAsia" w:ascii="宋体" w:hAnsi="宋体" w:cs="宋体"/>
          <w:color w:val="auto"/>
          <w:szCs w:val="21"/>
          <w:highlight w:val="none"/>
        </w:rPr>
        <w:t>）：                                日期：    年   月   日</w:t>
      </w:r>
    </w:p>
    <w:p w14:paraId="3C77A3EF">
      <w:pPr>
        <w:snapToGrid w:val="0"/>
        <w:spacing w:beforeLines="50" w:after="50" w:line="360" w:lineRule="auto"/>
        <w:ind w:right="480" w:firstLine="240" w:firstLineChars="100"/>
        <w:jc w:val="right"/>
        <w:rPr>
          <w:rFonts w:ascii="宋体" w:hAnsi="宋体" w:cs="宋体"/>
          <w:color w:val="auto"/>
          <w:sz w:val="24"/>
          <w:highlight w:val="none"/>
        </w:rPr>
      </w:pPr>
    </w:p>
    <w:p w14:paraId="4BDD7E3A">
      <w:pPr>
        <w:snapToGrid w:val="0"/>
        <w:spacing w:before="50" w:afterLines="50"/>
        <w:jc w:val="left"/>
        <w:rPr>
          <w:rFonts w:ascii="宋体" w:hAnsi="宋体" w:cs="宋体"/>
          <w:color w:val="auto"/>
          <w:szCs w:val="21"/>
          <w:highlight w:val="none"/>
        </w:rPr>
      </w:pPr>
    </w:p>
    <w:p w14:paraId="0FC82A5C">
      <w:pPr>
        <w:snapToGrid w:val="0"/>
        <w:spacing w:before="50" w:afterLines="50"/>
        <w:jc w:val="left"/>
        <w:rPr>
          <w:rFonts w:ascii="宋体" w:hAnsi="宋体" w:cs="宋体"/>
          <w:color w:val="auto"/>
          <w:szCs w:val="21"/>
          <w:highlight w:val="none"/>
        </w:rPr>
      </w:pPr>
    </w:p>
    <w:p w14:paraId="43070574">
      <w:pPr>
        <w:pStyle w:val="118"/>
        <w:rPr>
          <w:rFonts w:ascii="宋体" w:hAnsi="宋体" w:cs="宋体"/>
          <w:color w:val="auto"/>
          <w:szCs w:val="21"/>
          <w:highlight w:val="none"/>
        </w:rPr>
      </w:pPr>
    </w:p>
    <w:p w14:paraId="294E0961">
      <w:pPr>
        <w:pStyle w:val="118"/>
        <w:rPr>
          <w:rFonts w:ascii="宋体" w:hAnsi="宋体" w:cs="宋体"/>
          <w:color w:val="auto"/>
          <w:szCs w:val="21"/>
          <w:highlight w:val="none"/>
        </w:rPr>
      </w:pPr>
    </w:p>
    <w:p w14:paraId="68BBD086">
      <w:pPr>
        <w:pStyle w:val="118"/>
        <w:rPr>
          <w:rFonts w:ascii="宋体" w:hAnsi="宋体" w:cs="宋体"/>
          <w:color w:val="auto"/>
          <w:szCs w:val="21"/>
          <w:highlight w:val="none"/>
        </w:rPr>
      </w:pPr>
    </w:p>
    <w:p w14:paraId="31C0C609">
      <w:pPr>
        <w:pStyle w:val="118"/>
        <w:rPr>
          <w:rFonts w:ascii="宋体" w:hAnsi="宋体" w:cs="宋体"/>
          <w:color w:val="auto"/>
          <w:szCs w:val="21"/>
          <w:highlight w:val="none"/>
        </w:rPr>
      </w:pPr>
    </w:p>
    <w:p w14:paraId="5792ABA1">
      <w:pPr>
        <w:pStyle w:val="118"/>
        <w:rPr>
          <w:rFonts w:ascii="宋体" w:hAnsi="宋体" w:cs="宋体"/>
          <w:color w:val="auto"/>
          <w:szCs w:val="21"/>
          <w:highlight w:val="none"/>
        </w:rPr>
      </w:pPr>
    </w:p>
    <w:p w14:paraId="0DE58415">
      <w:pPr>
        <w:pStyle w:val="118"/>
        <w:rPr>
          <w:rFonts w:ascii="宋体" w:hAnsi="宋体" w:cs="宋体"/>
          <w:color w:val="auto"/>
          <w:szCs w:val="21"/>
          <w:highlight w:val="none"/>
        </w:rPr>
      </w:pPr>
    </w:p>
    <w:p w14:paraId="7EF01587">
      <w:pPr>
        <w:pStyle w:val="118"/>
        <w:rPr>
          <w:rFonts w:ascii="宋体" w:hAnsi="宋体" w:cs="宋体"/>
          <w:color w:val="auto"/>
          <w:szCs w:val="21"/>
          <w:highlight w:val="none"/>
        </w:rPr>
      </w:pPr>
    </w:p>
    <w:p w14:paraId="477D1CF8">
      <w:pPr>
        <w:pStyle w:val="118"/>
        <w:rPr>
          <w:rFonts w:ascii="宋体" w:hAnsi="宋体" w:cs="宋体"/>
          <w:color w:val="auto"/>
          <w:szCs w:val="21"/>
          <w:highlight w:val="none"/>
        </w:rPr>
      </w:pPr>
    </w:p>
    <w:p w14:paraId="3C2D9ECD">
      <w:pPr>
        <w:widowControl/>
        <w:jc w:val="left"/>
        <w:rPr>
          <w:rFonts w:ascii="宋体" w:hAnsi="宋体" w:cs="宋体"/>
          <w:color w:val="auto"/>
          <w:szCs w:val="21"/>
          <w:highlight w:val="none"/>
        </w:rPr>
      </w:pPr>
      <w:r>
        <w:rPr>
          <w:rFonts w:ascii="宋体" w:hAnsi="宋体" w:cs="宋体"/>
          <w:color w:val="auto"/>
          <w:szCs w:val="21"/>
          <w:highlight w:val="none"/>
        </w:rPr>
        <w:br w:type="page"/>
      </w:r>
    </w:p>
    <w:p w14:paraId="432FB680">
      <w:pPr>
        <w:ind w:firstLine="643" w:firstLineChars="200"/>
        <w:jc w:val="center"/>
        <w:rPr>
          <w:rFonts w:ascii="宋体" w:hAnsi="宋体" w:cs="宋体"/>
          <w:b/>
          <w:color w:val="auto"/>
          <w:sz w:val="32"/>
          <w:szCs w:val="32"/>
          <w:highlight w:val="none"/>
        </w:rPr>
      </w:pPr>
      <w:r>
        <w:rPr>
          <w:rFonts w:hint="eastAsia" w:ascii="宋体" w:hAnsi="宋体" w:cs="宋体"/>
          <w:b/>
          <w:color w:val="auto"/>
          <w:sz w:val="32"/>
          <w:szCs w:val="32"/>
          <w:highlight w:val="none"/>
        </w:rPr>
        <w:t>4.中小企业证明材料</w:t>
      </w:r>
    </w:p>
    <w:p w14:paraId="66731B9B">
      <w:pPr>
        <w:ind w:firstLine="560" w:firstLineChars="200"/>
        <w:jc w:val="left"/>
        <w:rPr>
          <w:rFonts w:ascii="宋体" w:hAnsi="宋体" w:cs="宋体"/>
          <w:bCs/>
          <w:color w:val="auto"/>
          <w:sz w:val="28"/>
          <w:szCs w:val="28"/>
          <w:highlight w:val="none"/>
        </w:rPr>
      </w:pPr>
      <w:r>
        <w:rPr>
          <w:rFonts w:hint="eastAsia" w:ascii="宋体" w:hAnsi="宋体" w:cs="宋体"/>
          <w:bCs/>
          <w:color w:val="auto"/>
          <w:sz w:val="28"/>
          <w:szCs w:val="28"/>
          <w:highlight w:val="none"/>
        </w:rPr>
        <w:t>证明材料为中小企业声明函（格式后附）、残疾人福利性单位声明函（格式后附）及监狱企业的证明文件。提供一项即可。</w:t>
      </w:r>
    </w:p>
    <w:p w14:paraId="1A1E8C98">
      <w:pPr>
        <w:spacing w:line="400" w:lineRule="exact"/>
        <w:jc w:val="center"/>
        <w:rPr>
          <w:rFonts w:ascii="宋体" w:hAnsi="宋体" w:cs="宋体"/>
          <w:b/>
          <w:color w:val="auto"/>
          <w:sz w:val="32"/>
          <w:szCs w:val="32"/>
          <w:highlight w:val="none"/>
        </w:rPr>
      </w:pPr>
    </w:p>
    <w:p w14:paraId="5E34555B">
      <w:pPr>
        <w:rPr>
          <w:rFonts w:ascii="宋体" w:hAnsi="宋体" w:cs="宋体"/>
          <w:b/>
          <w:color w:val="auto"/>
          <w:sz w:val="32"/>
          <w:szCs w:val="32"/>
          <w:highlight w:val="none"/>
        </w:rPr>
      </w:pPr>
      <w:r>
        <w:rPr>
          <w:rFonts w:hint="eastAsia" w:ascii="宋体" w:hAnsi="宋体" w:cs="宋体"/>
          <w:b/>
          <w:color w:val="auto"/>
          <w:sz w:val="32"/>
          <w:szCs w:val="32"/>
          <w:highlight w:val="none"/>
        </w:rPr>
        <w:br w:type="page"/>
      </w:r>
    </w:p>
    <w:p w14:paraId="4B2A5D1E">
      <w:pPr>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13B3F7B">
      <w:pPr>
        <w:pStyle w:val="17"/>
        <w:spacing w:line="360" w:lineRule="auto"/>
        <w:ind w:firstLine="420" w:firstLineChars="200"/>
        <w:rPr>
          <w:rFonts w:ascii="宋体" w:hAnsi="宋体" w:cs="宋体"/>
          <w:color w:val="auto"/>
          <w:sz w:val="21"/>
          <w:szCs w:val="21"/>
          <w:highlight w:val="none"/>
        </w:rPr>
      </w:pPr>
    </w:p>
    <w:p w14:paraId="540F6C73">
      <w:pPr>
        <w:pStyle w:val="17"/>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本公司（联合体）郑重声明，根据《政府采购促进中小企业发展管理办法》（财库﹝2020﹞46号）的规定，本公司（联合体）参加</w:t>
      </w:r>
      <w:r>
        <w:rPr>
          <w:rFonts w:hint="eastAsia" w:ascii="宋体" w:hAnsi="宋体" w:cs="宋体"/>
          <w:color w:val="auto"/>
          <w:sz w:val="21"/>
          <w:szCs w:val="21"/>
          <w:highlight w:val="none"/>
          <w:u w:val="single"/>
        </w:rPr>
        <w:t>（单位名称）</w:t>
      </w:r>
      <w:r>
        <w:rPr>
          <w:rFonts w:hint="eastAsia" w:ascii="宋体" w:hAnsi="宋体" w:cs="宋体"/>
          <w:color w:val="auto"/>
          <w:sz w:val="21"/>
          <w:szCs w:val="21"/>
          <w:highlight w:val="none"/>
        </w:rPr>
        <w:t>的</w:t>
      </w:r>
      <w:r>
        <w:rPr>
          <w:rFonts w:hint="eastAsia" w:ascii="宋体" w:hAnsi="宋体" w:cs="宋体"/>
          <w:color w:val="auto"/>
          <w:sz w:val="21"/>
          <w:szCs w:val="21"/>
          <w:highlight w:val="none"/>
          <w:u w:val="single"/>
        </w:rPr>
        <w:t>（项目名称）</w:t>
      </w:r>
      <w:r>
        <w:rPr>
          <w:rFonts w:hint="eastAsia" w:ascii="宋体" w:hAnsi="宋体" w:cs="宋体"/>
          <w:color w:val="auto"/>
          <w:sz w:val="21"/>
          <w:szCs w:val="21"/>
          <w:highlight w:val="none"/>
        </w:rPr>
        <w:t>采购活动，服务全部由符合政策要求的中小企业承接。相关企业（含联合体中的中小企业、签订分包意向协议的中小企业）的具体情况如下：</w:t>
      </w:r>
    </w:p>
    <w:p w14:paraId="10FAD2E1">
      <w:pPr>
        <w:numPr>
          <w:ilvl w:val="0"/>
          <w:numId w:val="6"/>
        </w:numPr>
        <w:tabs>
          <w:tab w:val="left" w:pos="1384"/>
          <w:tab w:val="left" w:pos="4562"/>
          <w:tab w:val="left" w:pos="6803"/>
        </w:tabs>
        <w:spacing w:line="360" w:lineRule="auto"/>
        <w:ind w:firstLine="600" w:firstLineChars="286"/>
        <w:rPr>
          <w:rFonts w:ascii="宋体" w:hAnsi="宋体" w:cs="宋体"/>
          <w:color w:val="auto"/>
          <w:szCs w:val="21"/>
          <w:highlight w:val="none"/>
        </w:rPr>
      </w:pPr>
      <w:r>
        <w:rPr>
          <w:rFonts w:hint="eastAsia" w:ascii="宋体" w:hAnsi="宋体" w:cs="宋体"/>
          <w:color w:val="auto"/>
          <w:szCs w:val="21"/>
          <w:highlight w:val="none"/>
          <w:u w:val="single"/>
        </w:rPr>
        <w:t>（标的名称）</w:t>
      </w:r>
      <w:r>
        <w:rPr>
          <w:rFonts w:hint="eastAsia" w:ascii="宋体" w:hAnsi="宋体" w:cs="宋体"/>
          <w:color w:val="auto"/>
          <w:szCs w:val="21"/>
          <w:highlight w:val="none"/>
        </w:rPr>
        <w:t>，属于</w:t>
      </w:r>
      <w:r>
        <w:rPr>
          <w:rFonts w:hint="eastAsia" w:ascii="宋体" w:hAnsi="宋体" w:cs="宋体"/>
          <w:color w:val="auto"/>
          <w:szCs w:val="21"/>
          <w:highlight w:val="none"/>
          <w:u w:val="single"/>
        </w:rPr>
        <w:t>（采购文件中明确的所属行业）</w:t>
      </w:r>
      <w:r>
        <w:rPr>
          <w:rFonts w:hint="eastAsia" w:ascii="宋体" w:hAnsi="宋体" w:cs="宋体"/>
          <w:color w:val="auto"/>
          <w:szCs w:val="21"/>
          <w:highlight w:val="none"/>
        </w:rPr>
        <w:t>；承接企业为</w:t>
      </w:r>
      <w:r>
        <w:rPr>
          <w:rFonts w:hint="eastAsia" w:ascii="宋体" w:hAnsi="宋体" w:cs="宋体"/>
          <w:color w:val="auto"/>
          <w:szCs w:val="21"/>
          <w:highlight w:val="none"/>
          <w:u w:val="single"/>
        </w:rPr>
        <w:t>（企业名称）</w:t>
      </w:r>
      <w:r>
        <w:rPr>
          <w:rFonts w:hint="eastAsia" w:ascii="宋体" w:hAnsi="宋体" w:cs="宋体"/>
          <w:color w:val="auto"/>
          <w:szCs w:val="21"/>
          <w:highlight w:val="none"/>
        </w:rPr>
        <w:t>，从业</w:t>
      </w:r>
      <w:r>
        <w:rPr>
          <w:rFonts w:hint="eastAsia" w:ascii="宋体" w:hAnsi="宋体" w:cs="宋体"/>
          <w:color w:val="auto"/>
          <w:szCs w:val="21"/>
          <w:highlight w:val="none"/>
          <w:u w:val="single"/>
        </w:rPr>
        <w:t>人员</w:t>
      </w:r>
      <w:r>
        <w:rPr>
          <w:rFonts w:hint="eastAsia" w:cs="宋体" w:asciiTheme="minorEastAsia" w:hAnsiTheme="minorEastAsia" w:eastAsiaTheme="minorEastAsia"/>
          <w:color w:val="auto"/>
          <w:szCs w:val="21"/>
          <w:highlight w:val="none"/>
          <w:u w:val="single"/>
        </w:rPr>
        <w:t xml:space="preserve">     　人</w:t>
      </w:r>
      <w:r>
        <w:rPr>
          <w:rFonts w:hint="eastAsia" w:ascii="宋体" w:hAnsi="宋体" w:cs="宋体"/>
          <w:color w:val="auto"/>
          <w:szCs w:val="21"/>
          <w:highlight w:val="none"/>
        </w:rPr>
        <w:t>，营业收入</w:t>
      </w:r>
      <w:r>
        <w:rPr>
          <w:rFonts w:hint="eastAsia" w:ascii="宋体" w:hAnsi="宋体" w:cs="宋体"/>
          <w:color w:val="auto"/>
          <w:szCs w:val="21"/>
          <w:highlight w:val="none"/>
          <w:u w:val="single"/>
        </w:rPr>
        <w:t>为</w:t>
      </w:r>
      <w:r>
        <w:rPr>
          <w:rFonts w:hint="eastAsia" w:cs="宋体" w:asciiTheme="minorEastAsia" w:hAnsiTheme="minorEastAsia" w:eastAsiaTheme="minorEastAsia"/>
          <w:color w:val="auto"/>
          <w:szCs w:val="21"/>
          <w:highlight w:val="none"/>
          <w:u w:val="single"/>
        </w:rPr>
        <w:t xml:space="preserve">  　万元</w:t>
      </w:r>
      <w:r>
        <w:rPr>
          <w:rFonts w:hint="eastAsia" w:ascii="宋体" w:hAnsi="宋体" w:cs="宋体"/>
          <w:color w:val="auto"/>
          <w:szCs w:val="21"/>
          <w:highlight w:val="none"/>
        </w:rPr>
        <w:t>，资产总额</w:t>
      </w:r>
      <w:r>
        <w:rPr>
          <w:rFonts w:hint="eastAsia" w:ascii="宋体" w:hAnsi="宋体" w:cs="宋体"/>
          <w:color w:val="auto"/>
          <w:szCs w:val="21"/>
          <w:highlight w:val="none"/>
          <w:u w:val="single"/>
        </w:rPr>
        <w:t>为</w:t>
      </w:r>
      <w:r>
        <w:rPr>
          <w:rFonts w:hint="eastAsia" w:cs="宋体" w:asciiTheme="minorEastAsia" w:hAnsiTheme="minorEastAsia" w:eastAsiaTheme="minorEastAsia"/>
          <w:color w:val="auto"/>
          <w:szCs w:val="21"/>
          <w:highlight w:val="none"/>
          <w:u w:val="single"/>
        </w:rPr>
        <w:t xml:space="preserve">  　万元</w:t>
      </w:r>
      <w:r>
        <w:rPr>
          <w:rFonts w:hint="eastAsia" w:ascii="宋体" w:hAnsi="宋体" w:cs="宋体"/>
          <w:color w:val="auto"/>
          <w:szCs w:val="21"/>
          <w:highlight w:val="none"/>
        </w:rPr>
        <w:t>，属于</w:t>
      </w:r>
      <w:r>
        <w:rPr>
          <w:rFonts w:hint="eastAsia" w:ascii="宋体" w:hAnsi="宋体" w:cs="宋体"/>
          <w:color w:val="auto"/>
          <w:szCs w:val="21"/>
          <w:highlight w:val="none"/>
          <w:u w:val="single"/>
        </w:rPr>
        <w:t>（中型企业、小型企业、微型企业）</w:t>
      </w:r>
      <w:r>
        <w:rPr>
          <w:rFonts w:hint="eastAsia" w:ascii="宋体" w:hAnsi="宋体" w:cs="宋体"/>
          <w:color w:val="auto"/>
          <w:szCs w:val="21"/>
          <w:highlight w:val="none"/>
        </w:rPr>
        <w:t>；</w:t>
      </w:r>
    </w:p>
    <w:p w14:paraId="187D7435">
      <w:pPr>
        <w:tabs>
          <w:tab w:val="left" w:pos="1065"/>
          <w:tab w:val="left" w:pos="4262"/>
          <w:tab w:val="left" w:pos="6477"/>
        </w:tabs>
        <w:spacing w:line="360" w:lineRule="auto"/>
        <w:ind w:firstLine="600" w:firstLineChars="286"/>
        <w:rPr>
          <w:rFonts w:ascii="宋体" w:hAnsi="宋体" w:cs="宋体"/>
          <w:color w:val="auto"/>
          <w:szCs w:val="21"/>
          <w:highlight w:val="none"/>
          <w:u w:val="single"/>
        </w:rPr>
      </w:pPr>
      <w:r>
        <w:rPr>
          <w:rFonts w:hint="eastAsia" w:ascii="宋体" w:hAnsi="宋体" w:cs="宋体"/>
          <w:color w:val="auto"/>
          <w:szCs w:val="21"/>
          <w:highlight w:val="none"/>
        </w:rPr>
        <w:t>2.</w:t>
      </w:r>
      <w:r>
        <w:rPr>
          <w:rFonts w:hint="eastAsia" w:ascii="宋体" w:hAnsi="宋体" w:cs="宋体"/>
          <w:color w:val="auto"/>
          <w:szCs w:val="21"/>
          <w:highlight w:val="none"/>
          <w:u w:val="single"/>
        </w:rPr>
        <w:t>（标的名称）</w:t>
      </w:r>
      <w:r>
        <w:rPr>
          <w:rFonts w:hint="eastAsia" w:ascii="宋体" w:hAnsi="宋体" w:cs="宋体"/>
          <w:color w:val="auto"/>
          <w:szCs w:val="21"/>
          <w:highlight w:val="none"/>
        </w:rPr>
        <w:t>，属于</w:t>
      </w:r>
      <w:r>
        <w:rPr>
          <w:rFonts w:hint="eastAsia" w:ascii="宋体" w:hAnsi="宋体" w:cs="宋体"/>
          <w:color w:val="auto"/>
          <w:szCs w:val="21"/>
          <w:highlight w:val="none"/>
          <w:u w:val="single"/>
        </w:rPr>
        <w:t>（采购文件中明确的所属行业）</w:t>
      </w:r>
      <w:r>
        <w:rPr>
          <w:rFonts w:hint="eastAsia" w:ascii="宋体" w:hAnsi="宋体" w:cs="宋体"/>
          <w:color w:val="auto"/>
          <w:szCs w:val="21"/>
          <w:highlight w:val="none"/>
        </w:rPr>
        <w:t>；承接企业为</w:t>
      </w:r>
      <w:r>
        <w:rPr>
          <w:rFonts w:hint="eastAsia" w:ascii="宋体" w:hAnsi="宋体" w:cs="宋体"/>
          <w:color w:val="auto"/>
          <w:szCs w:val="21"/>
          <w:highlight w:val="none"/>
          <w:u w:val="single"/>
        </w:rPr>
        <w:t>（企业名称）</w:t>
      </w:r>
      <w:r>
        <w:rPr>
          <w:rFonts w:hint="eastAsia" w:ascii="宋体" w:hAnsi="宋体" w:cs="宋体"/>
          <w:color w:val="auto"/>
          <w:szCs w:val="21"/>
          <w:highlight w:val="none"/>
        </w:rPr>
        <w:t>，从业</w:t>
      </w:r>
      <w:r>
        <w:rPr>
          <w:rFonts w:hint="eastAsia" w:ascii="宋体" w:hAnsi="宋体" w:cs="宋体"/>
          <w:color w:val="auto"/>
          <w:szCs w:val="21"/>
          <w:highlight w:val="none"/>
          <w:u w:val="single"/>
        </w:rPr>
        <w:t>人员</w:t>
      </w:r>
      <w:r>
        <w:rPr>
          <w:rFonts w:hint="eastAsia" w:cs="宋体" w:asciiTheme="minorEastAsia" w:hAnsiTheme="minorEastAsia" w:eastAsiaTheme="minorEastAsia"/>
          <w:color w:val="auto"/>
          <w:szCs w:val="21"/>
          <w:highlight w:val="none"/>
          <w:u w:val="single"/>
        </w:rPr>
        <w:t xml:space="preserve">     　人</w:t>
      </w:r>
      <w:r>
        <w:rPr>
          <w:rFonts w:hint="eastAsia" w:ascii="宋体" w:hAnsi="宋体" w:cs="宋体"/>
          <w:color w:val="auto"/>
          <w:szCs w:val="21"/>
          <w:highlight w:val="none"/>
        </w:rPr>
        <w:t>，营业收入</w:t>
      </w:r>
      <w:r>
        <w:rPr>
          <w:rFonts w:hint="eastAsia" w:ascii="宋体" w:hAnsi="宋体" w:cs="宋体"/>
          <w:color w:val="auto"/>
          <w:szCs w:val="21"/>
          <w:highlight w:val="none"/>
          <w:u w:val="single"/>
        </w:rPr>
        <w:t>为</w:t>
      </w:r>
      <w:r>
        <w:rPr>
          <w:rFonts w:hint="eastAsia" w:cs="宋体" w:asciiTheme="minorEastAsia" w:hAnsiTheme="minorEastAsia" w:eastAsiaTheme="minorEastAsia"/>
          <w:color w:val="auto"/>
          <w:szCs w:val="21"/>
          <w:highlight w:val="none"/>
          <w:u w:val="single"/>
        </w:rPr>
        <w:t xml:space="preserve">  　万元</w:t>
      </w:r>
      <w:r>
        <w:rPr>
          <w:rFonts w:hint="eastAsia" w:ascii="宋体" w:hAnsi="宋体" w:cs="宋体"/>
          <w:color w:val="auto"/>
          <w:szCs w:val="21"/>
          <w:highlight w:val="none"/>
        </w:rPr>
        <w:t>，资产总额</w:t>
      </w:r>
      <w:r>
        <w:rPr>
          <w:rFonts w:hint="eastAsia" w:ascii="宋体" w:hAnsi="宋体" w:cs="宋体"/>
          <w:color w:val="auto"/>
          <w:szCs w:val="21"/>
          <w:highlight w:val="none"/>
          <w:u w:val="single"/>
        </w:rPr>
        <w:t>为</w:t>
      </w:r>
      <w:r>
        <w:rPr>
          <w:rFonts w:hint="eastAsia" w:cs="宋体" w:asciiTheme="minorEastAsia" w:hAnsiTheme="minorEastAsia" w:eastAsiaTheme="minorEastAsia"/>
          <w:color w:val="auto"/>
          <w:szCs w:val="21"/>
          <w:highlight w:val="none"/>
          <w:u w:val="single"/>
        </w:rPr>
        <w:t xml:space="preserve">  　万元</w:t>
      </w:r>
      <w:r>
        <w:rPr>
          <w:rFonts w:hint="eastAsia" w:ascii="宋体" w:hAnsi="宋体" w:cs="宋体"/>
          <w:color w:val="auto"/>
          <w:szCs w:val="21"/>
          <w:highlight w:val="none"/>
        </w:rPr>
        <w:t>，属于</w:t>
      </w:r>
      <w:r>
        <w:rPr>
          <w:rFonts w:hint="eastAsia" w:ascii="宋体" w:hAnsi="宋体" w:cs="宋体"/>
          <w:color w:val="auto"/>
          <w:szCs w:val="21"/>
          <w:highlight w:val="none"/>
          <w:u w:val="single"/>
        </w:rPr>
        <w:t>（中型企业、小型企业、微型企业）</w:t>
      </w:r>
      <w:r>
        <w:rPr>
          <w:rFonts w:hint="eastAsia" w:ascii="宋体" w:hAnsi="宋体" w:cs="宋体"/>
          <w:color w:val="auto"/>
          <w:szCs w:val="21"/>
          <w:highlight w:val="none"/>
        </w:rPr>
        <w:t>；</w:t>
      </w:r>
    </w:p>
    <w:p w14:paraId="202EE4C7">
      <w:pPr>
        <w:pStyle w:val="17"/>
        <w:spacing w:line="360" w:lineRule="auto"/>
        <w:ind w:hanging="5"/>
        <w:rPr>
          <w:rFonts w:ascii="宋体" w:hAnsi="宋体" w:cs="宋体"/>
          <w:color w:val="auto"/>
          <w:sz w:val="21"/>
          <w:szCs w:val="21"/>
          <w:highlight w:val="none"/>
        </w:rPr>
      </w:pPr>
      <w:r>
        <w:rPr>
          <w:rFonts w:hint="eastAsia" w:ascii="宋体" w:hAnsi="宋体" w:cs="宋体"/>
          <w:color w:val="auto"/>
          <w:sz w:val="21"/>
          <w:szCs w:val="21"/>
          <w:highlight w:val="none"/>
        </w:rPr>
        <w:t xml:space="preserve">…… </w:t>
      </w:r>
    </w:p>
    <w:p w14:paraId="3DFC4EEC">
      <w:pPr>
        <w:pStyle w:val="17"/>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以上企业，不属于大企业的分支机构，不存在控股股东为大企业的情形，也不存在与大企业的负责人为同一人的情形。</w:t>
      </w:r>
    </w:p>
    <w:p w14:paraId="0809DE0B">
      <w:pPr>
        <w:pStyle w:val="17"/>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本企业对上述声明内容的真实性负责。如有虚假，将依法承担相应责任。</w:t>
      </w:r>
    </w:p>
    <w:p w14:paraId="51039D03">
      <w:pPr>
        <w:pStyle w:val="17"/>
        <w:spacing w:line="360" w:lineRule="auto"/>
        <w:rPr>
          <w:rFonts w:ascii="宋体" w:hAnsi="宋体" w:cs="宋体"/>
          <w:color w:val="auto"/>
          <w:kern w:val="24"/>
          <w:sz w:val="21"/>
          <w:szCs w:val="21"/>
          <w:highlight w:val="none"/>
        </w:rPr>
      </w:pPr>
    </w:p>
    <w:p w14:paraId="52B905B0">
      <w:pPr>
        <w:pStyle w:val="17"/>
        <w:spacing w:line="360" w:lineRule="auto"/>
        <w:ind w:firstLine="2940" w:firstLineChars="1400"/>
        <w:rPr>
          <w:rFonts w:ascii="宋体" w:hAnsi="宋体" w:cs="宋体"/>
          <w:color w:val="auto"/>
          <w:sz w:val="21"/>
          <w:szCs w:val="21"/>
          <w:highlight w:val="none"/>
          <w:u w:val="single"/>
        </w:rPr>
      </w:pPr>
      <w:r>
        <w:rPr>
          <w:rFonts w:hint="eastAsia" w:ascii="宋体" w:hAnsi="宋体" w:cs="宋体"/>
          <w:color w:val="auto"/>
          <w:kern w:val="24"/>
          <w:sz w:val="21"/>
          <w:szCs w:val="21"/>
          <w:highlight w:val="none"/>
        </w:rPr>
        <w:t xml:space="preserve">    企业名称（</w:t>
      </w:r>
      <w:r>
        <w:rPr>
          <w:rFonts w:hint="eastAsia" w:ascii="宋体" w:cs="宋体"/>
          <w:color w:val="auto"/>
          <w:sz w:val="21"/>
          <w:szCs w:val="21"/>
          <w:highlight w:val="none"/>
        </w:rPr>
        <w:t>电子签章</w:t>
      </w:r>
      <w:r>
        <w:rPr>
          <w:rFonts w:hint="eastAsia" w:ascii="宋体" w:hAnsi="宋体" w:cs="宋体"/>
          <w:color w:val="auto"/>
          <w:kern w:val="24"/>
          <w:sz w:val="21"/>
          <w:szCs w:val="21"/>
          <w:highlight w:val="none"/>
        </w:rPr>
        <w:t>）：</w:t>
      </w:r>
    </w:p>
    <w:p w14:paraId="05463CC2">
      <w:pPr>
        <w:pStyle w:val="17"/>
        <w:spacing w:before="56" w:line="500" w:lineRule="exact"/>
        <w:ind w:left="3960" w:right="1808"/>
        <w:rPr>
          <w:rFonts w:ascii="宋体" w:hAnsi="宋体" w:cs="宋体"/>
          <w:color w:val="auto"/>
          <w:sz w:val="21"/>
          <w:szCs w:val="21"/>
          <w:highlight w:val="none"/>
        </w:rPr>
      </w:pPr>
      <w:r>
        <w:rPr>
          <w:rFonts w:hint="eastAsia" w:ascii="宋体" w:hAnsi="宋体" w:cs="宋体"/>
          <w:color w:val="auto"/>
          <w:sz w:val="21"/>
          <w:szCs w:val="21"/>
          <w:highlight w:val="none"/>
        </w:rPr>
        <w:t xml:space="preserve">           日 期：</w:t>
      </w:r>
    </w:p>
    <w:p w14:paraId="1EEEEFB2">
      <w:pPr>
        <w:rPr>
          <w:rFonts w:ascii="宋体" w:hAnsi="宋体" w:cs="宋体"/>
          <w:color w:val="auto"/>
          <w:szCs w:val="21"/>
          <w:highlight w:val="none"/>
        </w:rPr>
      </w:pPr>
    </w:p>
    <w:p w14:paraId="654F4489">
      <w:pPr>
        <w:rPr>
          <w:rFonts w:ascii="宋体" w:hAnsi="宋体" w:cs="宋体"/>
          <w:color w:val="auto"/>
          <w:szCs w:val="21"/>
          <w:highlight w:val="none"/>
        </w:rPr>
      </w:pPr>
      <w:r>
        <w:rPr>
          <w:rFonts w:hint="eastAsia" w:ascii="宋体" w:hAnsi="宋体" w:cs="宋体"/>
          <w:color w:val="auto"/>
          <w:szCs w:val="21"/>
          <w:highlight w:val="none"/>
        </w:rPr>
        <w:t>注：享受《政府采购促进中小企业发展管理办法》（财库〔2020〕46号）规定的中小企业扶持政策的，采购人、采购代理机构应当随中标结果公开中标供应商的《中小企业声明函》。从业人员、营业收入、资产总额填报上一年度数据，无上一年度数据的新成立企业可不填报。</w:t>
      </w:r>
    </w:p>
    <w:p w14:paraId="40C7D482">
      <w:pPr>
        <w:pStyle w:val="7"/>
        <w:overflowPunct w:val="0"/>
        <w:spacing w:line="288" w:lineRule="auto"/>
        <w:ind w:firstLine="0"/>
        <w:rPr>
          <w:rFonts w:ascii="宋体" w:hAnsi="宋体" w:cs="宋体"/>
          <w:b/>
          <w:color w:val="auto"/>
          <w:szCs w:val="21"/>
          <w:highlight w:val="none"/>
        </w:rPr>
      </w:pPr>
    </w:p>
    <w:p w14:paraId="5DA64FA0">
      <w:pPr>
        <w:pStyle w:val="7"/>
        <w:overflowPunct w:val="0"/>
        <w:spacing w:line="288" w:lineRule="auto"/>
        <w:ind w:firstLine="0"/>
        <w:rPr>
          <w:rFonts w:ascii="宋体" w:hAnsi="宋体" w:cs="宋体"/>
          <w:b/>
          <w:color w:val="auto"/>
          <w:szCs w:val="21"/>
          <w:highlight w:val="none"/>
        </w:rPr>
      </w:pPr>
      <w:r>
        <w:rPr>
          <w:rFonts w:hint="eastAsia" w:ascii="宋体" w:hAnsi="宋体" w:cs="宋体"/>
          <w:b/>
          <w:color w:val="auto"/>
          <w:szCs w:val="21"/>
          <w:highlight w:val="none"/>
        </w:rPr>
        <w:t>特别说明：</w:t>
      </w:r>
    </w:p>
    <w:p w14:paraId="1EA167C5">
      <w:pPr>
        <w:pStyle w:val="7"/>
        <w:overflowPunct w:val="0"/>
        <w:spacing w:line="288" w:lineRule="auto"/>
        <w:rPr>
          <w:rFonts w:ascii="宋体" w:hAnsi="宋体" w:cs="宋体"/>
          <w:bCs/>
          <w:color w:val="auto"/>
          <w:szCs w:val="21"/>
          <w:highlight w:val="none"/>
        </w:rPr>
      </w:pPr>
      <w:r>
        <w:rPr>
          <w:rFonts w:hint="eastAsia" w:ascii="宋体" w:hAnsi="宋体" w:cs="宋体"/>
          <w:bCs/>
          <w:color w:val="auto"/>
          <w:szCs w:val="21"/>
          <w:highlight w:val="none"/>
        </w:rPr>
        <w:t>1、格式中的“中型企业、小型企业、微型企业”，每个服务</w:t>
      </w:r>
      <w:r>
        <w:rPr>
          <w:rFonts w:hint="eastAsia" w:ascii="宋体" w:hAnsi="宋体" w:cs="宋体"/>
          <w:color w:val="auto"/>
          <w:szCs w:val="21"/>
          <w:highlight w:val="none"/>
        </w:rPr>
        <w:t>承接商</w:t>
      </w:r>
      <w:r>
        <w:rPr>
          <w:rFonts w:hint="eastAsia" w:ascii="宋体" w:hAnsi="宋体" w:cs="宋体"/>
          <w:bCs/>
          <w:color w:val="auto"/>
          <w:szCs w:val="21"/>
          <w:highlight w:val="none"/>
        </w:rPr>
        <w:t>只能够根据实际情况填写一个类型。</w:t>
      </w:r>
    </w:p>
    <w:p w14:paraId="4C776301">
      <w:pPr>
        <w:pStyle w:val="7"/>
        <w:overflowPunct w:val="0"/>
        <w:spacing w:line="288" w:lineRule="auto"/>
        <w:rPr>
          <w:rFonts w:ascii="宋体" w:hAnsi="宋体" w:cs="宋体"/>
          <w:bCs/>
          <w:color w:val="auto"/>
          <w:kern w:val="0"/>
          <w:szCs w:val="21"/>
          <w:highlight w:val="none"/>
        </w:rPr>
      </w:pPr>
      <w:r>
        <w:rPr>
          <w:rFonts w:hint="eastAsia" w:ascii="宋体" w:hAnsi="宋体" w:cs="宋体"/>
          <w:bCs/>
          <w:color w:val="auto"/>
          <w:kern w:val="0"/>
          <w:szCs w:val="21"/>
          <w:highlight w:val="none"/>
        </w:rPr>
        <w:t>2、本格式为《政府采购促进中小企业发展管理办法》（财库〔2020〕46号）提供的标准格式，仅用于证明供应商的企业类型。格式中的“联合体”、“分包</w:t>
      </w:r>
      <w:r>
        <w:rPr>
          <w:rFonts w:hint="eastAsia" w:ascii="宋体" w:hAnsi="宋体" w:cs="宋体"/>
          <w:bCs/>
          <w:color w:val="auto"/>
          <w:szCs w:val="21"/>
          <w:highlight w:val="none"/>
        </w:rPr>
        <w:t>意向协议</w:t>
      </w:r>
      <w:r>
        <w:rPr>
          <w:rFonts w:hint="eastAsia" w:ascii="宋体" w:hAnsi="宋体" w:cs="宋体"/>
          <w:bCs/>
          <w:color w:val="auto"/>
          <w:kern w:val="0"/>
          <w:szCs w:val="21"/>
          <w:highlight w:val="none"/>
        </w:rPr>
        <w:t>”等不作为本项目供应商为联合体或分包项目的证明。对于接受联合体或分包的项目，如供应商为联合体或分包的，须在投标文件中按招标文件要求另行提供相关资料。</w:t>
      </w:r>
    </w:p>
    <w:p w14:paraId="741FCFAD">
      <w:pPr>
        <w:pStyle w:val="7"/>
        <w:overflowPunct w:val="0"/>
        <w:spacing w:line="288" w:lineRule="auto"/>
        <w:rPr>
          <w:rFonts w:ascii="宋体" w:hAnsi="宋体" w:cs="宋体"/>
          <w:bCs/>
          <w:color w:val="auto"/>
          <w:kern w:val="0"/>
          <w:szCs w:val="21"/>
          <w:highlight w:val="none"/>
        </w:rPr>
      </w:pPr>
      <w:r>
        <w:rPr>
          <w:rFonts w:hint="eastAsia" w:ascii="宋体" w:hAnsi="宋体" w:cs="宋体"/>
          <w:bCs/>
          <w:color w:val="auto"/>
          <w:kern w:val="0"/>
          <w:szCs w:val="21"/>
          <w:highlight w:val="none"/>
        </w:rPr>
        <w:t xml:space="preserve">3.中小企业划型标准详见招标文件第二章采购需求附件。 </w:t>
      </w:r>
    </w:p>
    <w:p w14:paraId="2BEB3466">
      <w:pPr>
        <w:pStyle w:val="7"/>
        <w:overflowPunct w:val="0"/>
        <w:spacing w:line="288" w:lineRule="auto"/>
        <w:ind w:firstLine="630" w:firstLineChars="300"/>
        <w:rPr>
          <w:rFonts w:ascii="宋体" w:hAnsi="宋体" w:cs="宋体"/>
          <w:b/>
          <w:color w:val="auto"/>
          <w:sz w:val="24"/>
          <w:highlight w:val="none"/>
        </w:rPr>
      </w:pPr>
      <w:r>
        <w:rPr>
          <w:rFonts w:hint="eastAsia" w:ascii="宋体" w:hAnsi="宋体" w:cs="宋体"/>
          <w:color w:val="auto"/>
          <w:highlight w:val="none"/>
        </w:rPr>
        <w:br w:type="page"/>
      </w:r>
    </w:p>
    <w:p w14:paraId="55FF468C">
      <w:pPr>
        <w:spacing w:line="588" w:lineRule="exact"/>
        <w:jc w:val="center"/>
        <w:rPr>
          <w:rFonts w:ascii="宋体" w:hAnsi="宋体" w:cs="宋体"/>
          <w:bCs/>
          <w:color w:val="auto"/>
          <w:spacing w:val="6"/>
          <w:sz w:val="32"/>
          <w:szCs w:val="32"/>
          <w:highlight w:val="none"/>
        </w:rPr>
      </w:pPr>
      <w:bookmarkStart w:id="116" w:name="OLE_LINK13"/>
      <w:bookmarkStart w:id="117" w:name="OLE_LINK14"/>
      <w:r>
        <w:rPr>
          <w:rFonts w:hint="eastAsia" w:ascii="宋体" w:hAnsi="宋体" w:cs="宋体"/>
          <w:b/>
          <w:color w:val="auto"/>
          <w:spacing w:val="6"/>
          <w:sz w:val="32"/>
          <w:szCs w:val="32"/>
          <w:highlight w:val="none"/>
        </w:rPr>
        <w:t>残疾人福利性单位声明函</w:t>
      </w:r>
    </w:p>
    <w:bookmarkEnd w:id="116"/>
    <w:bookmarkEnd w:id="117"/>
    <w:p w14:paraId="0D15107E">
      <w:pPr>
        <w:spacing w:line="588" w:lineRule="exact"/>
        <w:rPr>
          <w:rFonts w:ascii="宋体" w:hAnsi="宋体" w:cs="宋体"/>
          <w:b/>
          <w:color w:val="auto"/>
          <w:spacing w:val="6"/>
          <w:sz w:val="30"/>
          <w:szCs w:val="30"/>
          <w:highlight w:val="none"/>
        </w:rPr>
      </w:pPr>
    </w:p>
    <w:p w14:paraId="50BD87BF">
      <w:pPr>
        <w:spacing w:line="360" w:lineRule="auto"/>
        <w:ind w:firstLine="444" w:firstLineChars="200"/>
        <w:contextualSpacing/>
        <w:rPr>
          <w:rFonts w:ascii="宋体" w:hAnsi="宋体" w:cs="宋体"/>
          <w:color w:val="auto"/>
          <w:spacing w:val="6"/>
          <w:szCs w:val="21"/>
          <w:highlight w:val="none"/>
        </w:rPr>
      </w:pPr>
      <w:r>
        <w:rPr>
          <w:rFonts w:hint="eastAsia" w:ascii="宋体" w:hAnsi="宋体" w:cs="宋体"/>
          <w:color w:val="auto"/>
          <w:spacing w:val="6"/>
          <w:szCs w:val="21"/>
          <w:highlight w:val="none"/>
        </w:rPr>
        <w:t>本单位郑重声明，根据《财政部 民政部 中国残疾人联合会关于促进残疾人就业政府采购政策的通知》（财库</w:t>
      </w:r>
      <w:r>
        <w:rPr>
          <w:rFonts w:hint="eastAsia" w:ascii="宋体" w:hAnsi="宋体" w:cs="宋体"/>
          <w:color w:val="auto"/>
          <w:szCs w:val="21"/>
          <w:highlight w:val="none"/>
        </w:rPr>
        <w:t>〔2017〕 141</w:t>
      </w:r>
      <w:r>
        <w:rPr>
          <w:rFonts w:hint="eastAsia" w:ascii="宋体" w:hAnsi="宋体" w:cs="宋体"/>
          <w:color w:val="auto"/>
          <w:spacing w:val="6"/>
          <w:szCs w:val="21"/>
          <w:highlight w:val="none"/>
        </w:rPr>
        <w:t>号）的规定，本单位为符合条件的残疾人福利性单位，且本单位参加单位的项目采购活动提供本单位制造的货物（或者由本单位承担工程/提供服务），或者提供其他残</w:t>
      </w:r>
      <w:r>
        <w:rPr>
          <w:rFonts w:hint="eastAsia" w:ascii="宋体" w:hAnsi="宋体" w:cs="宋体"/>
          <w:color w:val="auto"/>
          <w:spacing w:val="-6"/>
          <w:szCs w:val="21"/>
          <w:highlight w:val="none"/>
        </w:rPr>
        <w:t>疾人福利性单位制造的货物（不包括使用非残疾人福利性单位注册商标的货物）。</w:t>
      </w:r>
    </w:p>
    <w:p w14:paraId="661EB8D1">
      <w:pPr>
        <w:spacing w:line="360" w:lineRule="auto"/>
        <w:ind w:firstLine="444" w:firstLineChars="200"/>
        <w:contextualSpacing/>
        <w:rPr>
          <w:rFonts w:ascii="宋体" w:hAnsi="宋体" w:cs="宋体"/>
          <w:color w:val="auto"/>
          <w:spacing w:val="6"/>
          <w:szCs w:val="21"/>
          <w:highlight w:val="none"/>
        </w:rPr>
      </w:pPr>
      <w:r>
        <w:rPr>
          <w:rFonts w:hint="eastAsia" w:ascii="宋体" w:hAnsi="宋体" w:cs="宋体"/>
          <w:color w:val="auto"/>
          <w:spacing w:val="6"/>
          <w:szCs w:val="21"/>
          <w:highlight w:val="none"/>
        </w:rPr>
        <w:t>本单位对上述声明的真实性负责。如有虚假，将依法承担相应责任。</w:t>
      </w:r>
    </w:p>
    <w:p w14:paraId="736FD003">
      <w:pPr>
        <w:spacing w:line="360" w:lineRule="auto"/>
        <w:ind w:firstLine="444" w:firstLineChars="200"/>
        <w:contextualSpacing/>
        <w:rPr>
          <w:rFonts w:ascii="宋体" w:hAnsi="宋体" w:cs="宋体"/>
          <w:color w:val="auto"/>
          <w:spacing w:val="6"/>
          <w:szCs w:val="21"/>
          <w:highlight w:val="none"/>
        </w:rPr>
      </w:pPr>
    </w:p>
    <w:p w14:paraId="3E6ABEE9">
      <w:pPr>
        <w:spacing w:line="360" w:lineRule="auto"/>
        <w:ind w:firstLine="444" w:firstLineChars="200"/>
        <w:contextualSpacing/>
        <w:rPr>
          <w:rFonts w:ascii="宋体" w:hAnsi="宋体" w:cs="宋体"/>
          <w:color w:val="auto"/>
          <w:spacing w:val="6"/>
          <w:szCs w:val="21"/>
          <w:highlight w:val="none"/>
        </w:rPr>
      </w:pPr>
    </w:p>
    <w:p w14:paraId="0B2A93E0">
      <w:pPr>
        <w:tabs>
          <w:tab w:val="left" w:pos="4860"/>
        </w:tabs>
        <w:spacing w:line="360" w:lineRule="auto"/>
        <w:ind w:firstLine="444" w:firstLineChars="200"/>
        <w:contextualSpacing/>
        <w:jc w:val="center"/>
        <w:rPr>
          <w:rFonts w:ascii="宋体" w:hAnsi="宋体" w:cs="宋体"/>
          <w:color w:val="auto"/>
          <w:spacing w:val="6"/>
          <w:szCs w:val="21"/>
          <w:highlight w:val="none"/>
        </w:rPr>
      </w:pPr>
      <w:r>
        <w:rPr>
          <w:rFonts w:hint="eastAsia" w:ascii="宋体" w:hAnsi="宋体" w:cs="宋体"/>
          <w:color w:val="auto"/>
          <w:spacing w:val="6"/>
          <w:szCs w:val="21"/>
          <w:highlight w:val="none"/>
        </w:rPr>
        <w:t xml:space="preserve">  单位名称（电子签章）：</w:t>
      </w:r>
    </w:p>
    <w:p w14:paraId="3288D1D5">
      <w:pPr>
        <w:tabs>
          <w:tab w:val="left" w:pos="4860"/>
        </w:tabs>
        <w:spacing w:line="360" w:lineRule="auto"/>
        <w:ind w:firstLine="444" w:firstLineChars="200"/>
        <w:contextualSpacing/>
        <w:jc w:val="center"/>
        <w:rPr>
          <w:rFonts w:ascii="宋体" w:hAnsi="宋体" w:cs="宋体"/>
          <w:color w:val="auto"/>
          <w:spacing w:val="6"/>
          <w:szCs w:val="21"/>
          <w:highlight w:val="none"/>
        </w:rPr>
      </w:pPr>
      <w:r>
        <w:rPr>
          <w:rFonts w:hint="eastAsia" w:ascii="宋体" w:hAnsi="宋体" w:cs="宋体"/>
          <w:color w:val="auto"/>
          <w:spacing w:val="6"/>
          <w:szCs w:val="21"/>
          <w:highlight w:val="none"/>
        </w:rPr>
        <w:t>日  期：</w:t>
      </w:r>
    </w:p>
    <w:p w14:paraId="2A477F79">
      <w:pPr>
        <w:spacing w:line="360" w:lineRule="auto"/>
        <w:contextualSpacing/>
        <w:rPr>
          <w:rFonts w:ascii="宋体" w:hAnsi="宋体" w:cs="宋体"/>
          <w:color w:val="auto"/>
          <w:szCs w:val="21"/>
          <w:highlight w:val="none"/>
        </w:rPr>
      </w:pPr>
    </w:p>
    <w:p w14:paraId="64D75456">
      <w:pPr>
        <w:spacing w:line="360" w:lineRule="auto"/>
        <w:contextualSpacing/>
        <w:rPr>
          <w:rFonts w:ascii="宋体" w:hAnsi="宋体" w:cs="宋体"/>
          <w:color w:val="auto"/>
          <w:szCs w:val="21"/>
          <w:highlight w:val="none"/>
        </w:rPr>
      </w:pPr>
    </w:p>
    <w:p w14:paraId="7A9AC118">
      <w:pPr>
        <w:spacing w:line="360" w:lineRule="auto"/>
        <w:contextualSpacing/>
        <w:rPr>
          <w:rFonts w:ascii="宋体" w:hAnsi="宋体" w:cs="宋体"/>
          <w:color w:val="auto"/>
          <w:szCs w:val="21"/>
          <w:highlight w:val="none"/>
        </w:rPr>
      </w:pPr>
    </w:p>
    <w:p w14:paraId="316096DD">
      <w:pPr>
        <w:spacing w:line="360" w:lineRule="auto"/>
        <w:contextualSpacing/>
        <w:rPr>
          <w:rFonts w:ascii="宋体" w:hAnsi="宋体" w:cs="宋体"/>
          <w:color w:val="auto"/>
          <w:szCs w:val="21"/>
          <w:highlight w:val="none"/>
        </w:rPr>
      </w:pPr>
      <w:r>
        <w:rPr>
          <w:rFonts w:hint="eastAsia" w:ascii="宋体" w:hAnsi="宋体" w:cs="宋体"/>
          <w:color w:val="auto"/>
          <w:szCs w:val="21"/>
          <w:highlight w:val="none"/>
        </w:rPr>
        <w:t>注：1、请根据自己的真实情况出具《残疾人福利性单位声明函》。依法享受中小企业优惠政策的，采购人或者采购代理机构在公告中标结果时，同时公告其《残疾人福利性单位声明函》，接受社会监督。</w:t>
      </w:r>
    </w:p>
    <w:p w14:paraId="1D8C14DC">
      <w:pPr>
        <w:pStyle w:val="5"/>
        <w:ind w:left="0" w:firstLine="420" w:firstLineChars="200"/>
        <w:rPr>
          <w:rFonts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联合体投标的，联合体中所有属于中小企业的成员方均须单独提供。非牵头人的成员单位出具的声明函，可以由出具单位加盖公章后，以原件扫描件的形式提交。原件扫描件须加盖联合体牵头人的电子签章。否则该声明函无效。</w:t>
      </w:r>
    </w:p>
    <w:p w14:paraId="3D60FF98">
      <w:pPr>
        <w:rPr>
          <w:rFonts w:ascii="宋体" w:hAnsi="宋体" w:cs="宋体"/>
          <w:color w:val="auto"/>
          <w:szCs w:val="21"/>
          <w:highlight w:val="none"/>
        </w:rPr>
      </w:pPr>
      <w:r>
        <w:rPr>
          <w:rFonts w:hint="eastAsia" w:ascii="宋体" w:hAnsi="宋体" w:cs="宋体"/>
          <w:color w:val="auto"/>
          <w:szCs w:val="21"/>
          <w:highlight w:val="none"/>
        </w:rPr>
        <w:br w:type="page"/>
      </w:r>
    </w:p>
    <w:p w14:paraId="50D576B2">
      <w:pPr>
        <w:jc w:val="center"/>
        <w:rPr>
          <w:rFonts w:ascii="宋体" w:hAnsi="宋体" w:cs="宋体"/>
          <w:b/>
          <w:color w:val="auto"/>
          <w:sz w:val="32"/>
          <w:szCs w:val="32"/>
          <w:highlight w:val="none"/>
        </w:rPr>
      </w:pPr>
      <w:r>
        <w:rPr>
          <w:rFonts w:hint="eastAsia" w:ascii="宋体" w:hAnsi="宋体" w:cs="宋体"/>
          <w:b/>
          <w:color w:val="auto"/>
          <w:sz w:val="32"/>
          <w:szCs w:val="32"/>
          <w:highlight w:val="none"/>
        </w:rPr>
        <w:t>5.投标声明</w:t>
      </w:r>
    </w:p>
    <w:p w14:paraId="2A16108B">
      <w:pPr>
        <w:spacing w:line="360" w:lineRule="auto"/>
        <w:contextualSpacing/>
        <w:jc w:val="left"/>
        <w:rPr>
          <w:rFonts w:ascii="宋体" w:hAnsi="宋体" w:cs="宋体"/>
          <w:color w:val="auto"/>
          <w:szCs w:val="21"/>
          <w:highlight w:val="none"/>
        </w:rPr>
      </w:pPr>
      <w:r>
        <w:rPr>
          <w:rFonts w:hint="eastAsia" w:ascii="宋体" w:hAnsi="宋体" w:cs="宋体"/>
          <w:color w:val="auto"/>
          <w:szCs w:val="21"/>
          <w:highlight w:val="none"/>
        </w:rPr>
        <w:t>致：</w:t>
      </w:r>
      <w:r>
        <w:rPr>
          <w:rFonts w:hint="eastAsia" w:ascii="宋体" w:hAnsi="宋体" w:cs="宋体"/>
          <w:color w:val="auto"/>
          <w:spacing w:val="6"/>
          <w:szCs w:val="21"/>
          <w:highlight w:val="none"/>
          <w:u w:val="single"/>
        </w:rPr>
        <w:t>（代理机构名称）</w:t>
      </w:r>
      <w:r>
        <w:rPr>
          <w:rFonts w:hint="eastAsia" w:ascii="宋体" w:hAnsi="宋体" w:cs="宋体"/>
          <w:color w:val="auto"/>
          <w:szCs w:val="21"/>
          <w:highlight w:val="none"/>
        </w:rPr>
        <w:t>：</w:t>
      </w:r>
    </w:p>
    <w:p w14:paraId="56CFE1AA">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我方（如是联合体，包含所有联合体成员方，下同）愿意参加贵方组织</w:t>
      </w:r>
      <w:r>
        <w:rPr>
          <w:rFonts w:hint="eastAsia" w:ascii="宋体" w:hAnsi="宋体" w:cs="宋体"/>
          <w:color w:val="auto"/>
          <w:szCs w:val="21"/>
          <w:highlight w:val="none"/>
          <w:u w:val="single"/>
        </w:rPr>
        <w:t>的</w:t>
      </w:r>
      <w:r>
        <w:rPr>
          <w:rFonts w:hint="eastAsia" w:cs="宋体" w:asciiTheme="minorEastAsia" w:hAnsiTheme="minorEastAsia" w:eastAsiaTheme="minorEastAsia"/>
          <w:color w:val="auto"/>
          <w:szCs w:val="21"/>
          <w:highlight w:val="none"/>
          <w:u w:val="single"/>
        </w:rPr>
        <w:t xml:space="preserve">       　项目</w:t>
      </w:r>
      <w:r>
        <w:rPr>
          <w:rFonts w:hint="eastAsia" w:ascii="宋体" w:hAnsi="宋体" w:cs="宋体"/>
          <w:color w:val="auto"/>
          <w:szCs w:val="21"/>
          <w:highlight w:val="none"/>
          <w:u w:val="single"/>
        </w:rPr>
        <w:t>（项目编号：</w:t>
      </w:r>
      <w:r>
        <w:rPr>
          <w:rFonts w:hint="eastAsia" w:cs="宋体" w:asciiTheme="minorEastAsia" w:hAnsiTheme="minorEastAsia" w:eastAsiaTheme="minorEastAsia"/>
          <w:color w:val="auto"/>
          <w:szCs w:val="21"/>
          <w:highlight w:val="none"/>
          <w:u w:val="single"/>
        </w:rPr>
        <w:t xml:space="preserve">  　）</w:t>
      </w:r>
      <w:r>
        <w:rPr>
          <w:rFonts w:hint="eastAsia" w:ascii="宋体" w:hAnsi="宋体" w:cs="宋体"/>
          <w:color w:val="auto"/>
          <w:szCs w:val="21"/>
          <w:highlight w:val="none"/>
        </w:rPr>
        <w:t>的投标，为便于贵方公正、择优地确定中标人，我方就本次投标有关事项郑重声明如下：</w:t>
      </w:r>
    </w:p>
    <w:p w14:paraId="13E9F323">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我方承诺已经具备《中华人民共和国政府采购法》第二十二条中规定的参加政府采购活动的供应商应当具备的条件并按本项目招标文件“第三章”“第一节投标人须知前附表”中“资格证明文件组成”完整提供证明材料。</w:t>
      </w:r>
    </w:p>
    <w:p w14:paraId="226B7FFA">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 我方不是采购人的附属机构；不是为本次采购项目提供整体设计、规范编制或者项目管理、监理、检测等服务的供应商；在获知本项目采购信息后，与采购人聘请的为此项目提供咨询服务的公司及其附属机构没有任何联系。</w:t>
      </w:r>
    </w:p>
    <w:p w14:paraId="750B6CBE">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3.经查询，在“信用中国”和“中国政府采购网”网站我方未被列入失信被执行人、重大税收违法案件当事人名单、政府采购严重违法失信行为记录名单。</w:t>
      </w:r>
    </w:p>
    <w:p w14:paraId="43F3B74C">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 xml:space="preserve">4.以上事项如有虚假或隐瞒，我方愿意承担一切后果，并不再寻求任何旨在减轻或免除法律责任的辩解。 </w:t>
      </w:r>
    </w:p>
    <w:p w14:paraId="6CCB396D">
      <w:pPr>
        <w:tabs>
          <w:tab w:val="left" w:pos="7200"/>
        </w:tabs>
        <w:ind w:firstLine="270" w:firstLineChars="150"/>
        <w:rPr>
          <w:rFonts w:ascii="宋体" w:hAnsi="宋体"/>
          <w:color w:val="auto"/>
          <w:sz w:val="18"/>
          <w:szCs w:val="18"/>
          <w:highlight w:val="none"/>
        </w:rPr>
      </w:pPr>
    </w:p>
    <w:p w14:paraId="4BCF67C9">
      <w:pPr>
        <w:pStyle w:val="23"/>
        <w:spacing w:line="360" w:lineRule="auto"/>
        <w:ind w:firstLine="420"/>
        <w:rPr>
          <w:rFonts w:ascii="Times New Roman" w:hAnsi="Times New Roman"/>
          <w:color w:val="auto"/>
          <w:highlight w:val="none"/>
          <w:u w:val="single"/>
        </w:rPr>
      </w:pPr>
    </w:p>
    <w:p w14:paraId="18EC2157">
      <w:pPr>
        <w:rPr>
          <w:color w:val="auto"/>
          <w:highlight w:val="none"/>
          <w:u w:val="single"/>
        </w:rPr>
      </w:pPr>
    </w:p>
    <w:p w14:paraId="002EC054">
      <w:pPr>
        <w:pStyle w:val="5"/>
        <w:rPr>
          <w:color w:val="auto"/>
          <w:highlight w:val="none"/>
        </w:rPr>
      </w:pPr>
    </w:p>
    <w:p w14:paraId="68F12FC1">
      <w:pPr>
        <w:snapToGrid w:val="0"/>
        <w:spacing w:line="360" w:lineRule="auto"/>
        <w:ind w:firstLine="1470" w:firstLineChars="700"/>
        <w:rPr>
          <w:rFonts w:ascii="宋体" w:hAnsi="宋体" w:cs="宋体"/>
          <w:color w:val="auto"/>
          <w:szCs w:val="21"/>
          <w:highlight w:val="none"/>
        </w:rPr>
      </w:pPr>
      <w:r>
        <w:rPr>
          <w:rFonts w:hint="eastAsia" w:ascii="宋体" w:hAnsi="宋体" w:cs="宋体"/>
          <w:color w:val="auto"/>
          <w:szCs w:val="21"/>
          <w:highlight w:val="none"/>
        </w:rPr>
        <w:t xml:space="preserve">               投标人名称（</w:t>
      </w:r>
      <w:r>
        <w:rPr>
          <w:rFonts w:hint="eastAsia" w:cs="宋体" w:asciiTheme="minorEastAsia" w:hAnsiTheme="minorEastAsia" w:eastAsiaTheme="minorEastAsia"/>
          <w:color w:val="auto"/>
          <w:highlight w:val="none"/>
        </w:rPr>
        <w:t>电子签章</w:t>
      </w:r>
      <w:r>
        <w:rPr>
          <w:rFonts w:hint="eastAsia" w:ascii="宋体" w:hAnsi="宋体" w:cs="宋体"/>
          <w:color w:val="auto"/>
          <w:szCs w:val="21"/>
          <w:highlight w:val="none"/>
        </w:rPr>
        <w:t>）：</w:t>
      </w:r>
    </w:p>
    <w:p w14:paraId="7C883625">
      <w:pPr>
        <w:snapToGrid w:val="0"/>
        <w:spacing w:line="360" w:lineRule="auto"/>
        <w:ind w:firstLine="3150" w:firstLineChars="1500"/>
        <w:rPr>
          <w:rFonts w:ascii="宋体" w:hAnsi="宋体" w:cs="宋体"/>
          <w:color w:val="auto"/>
          <w:szCs w:val="21"/>
          <w:highlight w:val="none"/>
        </w:rPr>
      </w:pPr>
    </w:p>
    <w:p w14:paraId="79743158">
      <w:pPr>
        <w:snapToGrid w:val="0"/>
        <w:spacing w:line="360" w:lineRule="auto"/>
        <w:ind w:firstLine="3150" w:firstLineChars="1500"/>
        <w:rPr>
          <w:rFonts w:ascii="宋体" w:hAnsi="宋体" w:cs="宋体"/>
          <w:color w:val="auto"/>
          <w:szCs w:val="21"/>
          <w:highlight w:val="none"/>
          <w:u w:val="single"/>
        </w:rPr>
      </w:pPr>
      <w:r>
        <w:rPr>
          <w:rFonts w:hint="eastAsia" w:ascii="宋体" w:hAnsi="宋体" w:cs="宋体"/>
          <w:color w:val="auto"/>
          <w:szCs w:val="21"/>
          <w:highlight w:val="none"/>
        </w:rPr>
        <w:t>法定代表人或者委托代理人（</w:t>
      </w:r>
      <w:r>
        <w:rPr>
          <w:rFonts w:hint="eastAsia" w:ascii="宋体" w:cs="宋体"/>
          <w:color w:val="auto"/>
          <w:kern w:val="0"/>
          <w:szCs w:val="21"/>
          <w:highlight w:val="none"/>
        </w:rPr>
        <w:t>电子签名</w:t>
      </w:r>
      <w:r>
        <w:rPr>
          <w:rFonts w:hint="eastAsia" w:ascii="宋体" w:hAnsi="宋体" w:cs="宋体"/>
          <w:color w:val="auto"/>
          <w:szCs w:val="21"/>
          <w:highlight w:val="none"/>
        </w:rPr>
        <w:t>）：</w:t>
      </w:r>
    </w:p>
    <w:p w14:paraId="625DA385">
      <w:pPr>
        <w:pStyle w:val="5"/>
        <w:ind w:left="2331" w:leftChars="1110" w:firstLine="3536" w:firstLineChars="1684"/>
        <w:rPr>
          <w:rFonts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xml:space="preserve"> 年    月    日</w:t>
      </w:r>
    </w:p>
    <w:p w14:paraId="36B3F154">
      <w:pPr>
        <w:rPr>
          <w:color w:val="auto"/>
          <w:highlight w:val="none"/>
        </w:rPr>
      </w:pPr>
    </w:p>
    <w:p w14:paraId="71B565A4">
      <w:pPr>
        <w:tabs>
          <w:tab w:val="left" w:pos="7200"/>
        </w:tabs>
        <w:ind w:firstLine="315" w:firstLineChars="150"/>
        <w:rPr>
          <w:rFonts w:ascii="宋体" w:hAnsi="宋体"/>
          <w:color w:val="auto"/>
          <w:szCs w:val="21"/>
          <w:highlight w:val="none"/>
        </w:rPr>
      </w:pPr>
    </w:p>
    <w:p w14:paraId="390BB902">
      <w:pPr>
        <w:tabs>
          <w:tab w:val="left" w:pos="7200"/>
        </w:tabs>
        <w:ind w:firstLine="315" w:firstLineChars="150"/>
        <w:rPr>
          <w:rFonts w:ascii="宋体" w:hAnsi="宋体"/>
          <w:color w:val="auto"/>
          <w:szCs w:val="21"/>
          <w:highlight w:val="none"/>
        </w:rPr>
      </w:pPr>
      <w:r>
        <w:rPr>
          <w:rFonts w:hint="eastAsia" w:ascii="宋体" w:hAnsi="宋体"/>
          <w:color w:val="auto"/>
          <w:szCs w:val="21"/>
          <w:highlight w:val="none"/>
        </w:rPr>
        <w:t>说明：</w:t>
      </w:r>
    </w:p>
    <w:p w14:paraId="0A6AD3BC">
      <w:pPr>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1.投标人应当通过 “信用中国”（www.creditchina.gov.cn）和“中国政府采购网”网站（www.ccgp.gov.cn）查询投标人相关主体的信用记录。查询时间为本项目投标截止时间前10日至投标截止时间中任意一天。对列入失信被执行人、重大税收违法案件当事人名单、政府采购严重违法失信行为记录名单的投标人，将被拒绝参与本项目政府采购活动。</w:t>
      </w:r>
    </w:p>
    <w:p w14:paraId="7911CC3D">
      <w:pPr>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 对于接受联合体的项目，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0273D9E">
      <w:pPr>
        <w:ind w:firstLine="422" w:firstLineChars="200"/>
        <w:jc w:val="left"/>
        <w:rPr>
          <w:rFonts w:ascii="宋体" w:hAnsi="宋体" w:cs="宋体"/>
          <w:b/>
          <w:bCs/>
          <w:color w:val="auto"/>
          <w:szCs w:val="21"/>
          <w:highlight w:val="none"/>
        </w:rPr>
      </w:pPr>
      <w:r>
        <w:rPr>
          <w:rFonts w:hint="eastAsia" w:ascii="宋体" w:hAnsi="宋体" w:cs="宋体"/>
          <w:b/>
          <w:bCs/>
          <w:color w:val="auto"/>
          <w:szCs w:val="21"/>
          <w:highlight w:val="none"/>
        </w:rPr>
        <w:t>3.投标人的信用记录最终以资格审查时的查询结果为准。中标人的信用记录最终以中标通知书发出前的查询结果为准。</w:t>
      </w:r>
    </w:p>
    <w:p w14:paraId="1EC6CAC1">
      <w:pPr>
        <w:rPr>
          <w:b/>
          <w:bCs/>
          <w:color w:val="auto"/>
          <w:highlight w:val="none"/>
        </w:rPr>
        <w:sectPr>
          <w:pgSz w:w="11906" w:h="16838"/>
          <w:pgMar w:top="1701" w:right="1701" w:bottom="1701" w:left="1701" w:header="851" w:footer="992" w:gutter="0"/>
          <w:cols w:space="720" w:num="1"/>
          <w:titlePg/>
          <w:docGrid w:linePitch="312" w:charSpace="0"/>
        </w:sectPr>
      </w:pPr>
    </w:p>
    <w:p w14:paraId="55672080">
      <w:pPr>
        <w:snapToGrid w:val="0"/>
        <w:jc w:val="center"/>
        <w:rPr>
          <w:rFonts w:ascii="宋体" w:hAnsi="宋体" w:cs="宋体"/>
          <w:b/>
          <w:bCs/>
          <w:color w:val="auto"/>
          <w:sz w:val="32"/>
          <w:szCs w:val="32"/>
          <w:highlight w:val="none"/>
        </w:rPr>
      </w:pPr>
      <w:r>
        <w:rPr>
          <w:rFonts w:hint="eastAsia" w:ascii="宋体" w:hAnsi="宋体" w:cs="宋体"/>
          <w:b/>
          <w:color w:val="auto"/>
          <w:sz w:val="32"/>
          <w:szCs w:val="32"/>
          <w:highlight w:val="none"/>
        </w:rPr>
        <w:t>6.</w:t>
      </w:r>
      <w:r>
        <w:rPr>
          <w:rFonts w:hint="eastAsia" w:ascii="宋体" w:hAnsi="宋体" w:cs="宋体"/>
          <w:b/>
          <w:bCs/>
          <w:color w:val="auto"/>
          <w:sz w:val="32"/>
          <w:szCs w:val="32"/>
          <w:highlight w:val="none"/>
        </w:rPr>
        <w:t>招标文件规定必须提供以外，投标人认为需要提供的与资格审查相关的其他证明材料（如有）</w:t>
      </w:r>
    </w:p>
    <w:p w14:paraId="38E32CE9">
      <w:pPr>
        <w:rPr>
          <w:rFonts w:ascii="宋体" w:hAnsi="宋体" w:cs="宋体"/>
          <w:b/>
          <w:color w:val="auto"/>
          <w:sz w:val="28"/>
          <w:szCs w:val="28"/>
          <w:highlight w:val="none"/>
        </w:rPr>
      </w:pPr>
    </w:p>
    <w:p w14:paraId="79FB57C8">
      <w:pPr>
        <w:rPr>
          <w:rFonts w:ascii="宋体" w:hAnsi="宋体" w:cs="宋体"/>
          <w:b/>
          <w:color w:val="auto"/>
          <w:sz w:val="28"/>
          <w:szCs w:val="28"/>
          <w:highlight w:val="none"/>
        </w:rPr>
      </w:pPr>
      <w:r>
        <w:rPr>
          <w:rFonts w:hint="eastAsia" w:ascii="宋体" w:hAnsi="宋体" w:cs="宋体"/>
          <w:b/>
          <w:color w:val="auto"/>
          <w:sz w:val="28"/>
          <w:szCs w:val="28"/>
          <w:highlight w:val="none"/>
        </w:rPr>
        <w:br w:type="page"/>
      </w:r>
    </w:p>
    <w:p w14:paraId="4EAF0B67">
      <w:pPr>
        <w:rPr>
          <w:rFonts w:ascii="宋体" w:hAnsi="宋体" w:cs="宋体"/>
          <w:b/>
          <w:color w:val="auto"/>
          <w:sz w:val="28"/>
          <w:szCs w:val="28"/>
          <w:highlight w:val="none"/>
        </w:rPr>
      </w:pPr>
      <w:r>
        <w:rPr>
          <w:rFonts w:hint="eastAsia" w:ascii="宋体" w:hAnsi="宋体" w:cs="宋体"/>
          <w:b/>
          <w:color w:val="auto"/>
          <w:sz w:val="28"/>
          <w:szCs w:val="28"/>
          <w:highlight w:val="none"/>
        </w:rPr>
        <w:t>二、报价文件格式</w:t>
      </w:r>
      <w:bookmarkEnd w:id="112"/>
    </w:p>
    <w:p w14:paraId="35998256">
      <w:pPr>
        <w:snapToGrid w:val="0"/>
        <w:spacing w:beforeLines="50" w:after="50" w:line="360" w:lineRule="auto"/>
        <w:ind w:left="142"/>
        <w:jc w:val="left"/>
        <w:rPr>
          <w:rFonts w:ascii="宋体" w:hAnsi="宋体" w:cs="宋体"/>
          <w:color w:val="auto"/>
          <w:sz w:val="24"/>
          <w:szCs w:val="20"/>
          <w:highlight w:val="none"/>
        </w:rPr>
      </w:pPr>
      <w:r>
        <w:rPr>
          <w:rFonts w:hint="eastAsia" w:ascii="宋体" w:hAnsi="宋体" w:cs="宋体"/>
          <w:b/>
          <w:color w:val="auto"/>
          <w:sz w:val="24"/>
          <w:highlight w:val="none"/>
        </w:rPr>
        <w:t xml:space="preserve">1. 报价文件封面格式： </w:t>
      </w:r>
    </w:p>
    <w:p w14:paraId="3E3FF710">
      <w:pPr>
        <w:snapToGrid w:val="0"/>
        <w:spacing w:beforeLines="50" w:after="50" w:line="360" w:lineRule="auto"/>
        <w:ind w:left="142"/>
        <w:jc w:val="center"/>
        <w:rPr>
          <w:rFonts w:ascii="宋体" w:hAnsi="宋体" w:cs="宋体"/>
          <w:bCs/>
          <w:color w:val="auto"/>
          <w:sz w:val="48"/>
          <w:szCs w:val="48"/>
          <w:highlight w:val="none"/>
        </w:rPr>
      </w:pPr>
    </w:p>
    <w:p w14:paraId="26E06C0F">
      <w:pPr>
        <w:snapToGrid w:val="0"/>
        <w:spacing w:beforeLines="50" w:after="50" w:line="360" w:lineRule="auto"/>
        <w:ind w:left="142"/>
        <w:jc w:val="center"/>
        <w:rPr>
          <w:rFonts w:ascii="宋体" w:hAnsi="宋体" w:cs="宋体"/>
          <w:bCs/>
          <w:color w:val="auto"/>
          <w:sz w:val="48"/>
          <w:szCs w:val="48"/>
          <w:highlight w:val="none"/>
        </w:rPr>
      </w:pPr>
      <w:r>
        <w:rPr>
          <w:rFonts w:hint="eastAsia" w:ascii="宋体" w:hAnsi="宋体" w:cs="宋体"/>
          <w:bCs/>
          <w:color w:val="auto"/>
          <w:sz w:val="48"/>
          <w:szCs w:val="48"/>
          <w:highlight w:val="none"/>
        </w:rPr>
        <w:t>电子投标文件</w:t>
      </w:r>
    </w:p>
    <w:p w14:paraId="0440587C">
      <w:pPr>
        <w:snapToGrid w:val="0"/>
        <w:spacing w:beforeLines="50" w:after="50" w:line="400" w:lineRule="exact"/>
        <w:rPr>
          <w:rFonts w:ascii="宋体" w:hAnsi="宋体" w:cs="宋体"/>
          <w:bCs/>
          <w:color w:val="auto"/>
          <w:sz w:val="32"/>
          <w:szCs w:val="20"/>
          <w:highlight w:val="none"/>
        </w:rPr>
      </w:pPr>
    </w:p>
    <w:p w14:paraId="196EEC34">
      <w:pPr>
        <w:snapToGrid w:val="0"/>
        <w:spacing w:beforeLines="50" w:after="50" w:line="400" w:lineRule="exact"/>
        <w:jc w:val="center"/>
        <w:rPr>
          <w:rFonts w:ascii="宋体" w:hAnsi="宋体" w:cs="宋体"/>
          <w:bCs/>
          <w:color w:val="auto"/>
          <w:sz w:val="24"/>
          <w:szCs w:val="20"/>
          <w:highlight w:val="none"/>
        </w:rPr>
      </w:pPr>
    </w:p>
    <w:p w14:paraId="017C8D4D">
      <w:pPr>
        <w:snapToGrid w:val="0"/>
        <w:spacing w:beforeLines="50" w:after="50" w:line="400" w:lineRule="exact"/>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报价文件</w:t>
      </w:r>
    </w:p>
    <w:p w14:paraId="4F3F7650">
      <w:pPr>
        <w:snapToGrid w:val="0"/>
        <w:spacing w:beforeLines="50" w:after="50" w:line="400" w:lineRule="exact"/>
        <w:rPr>
          <w:rFonts w:ascii="宋体" w:hAnsi="宋体" w:cs="宋体"/>
          <w:bCs/>
          <w:color w:val="auto"/>
          <w:sz w:val="24"/>
          <w:szCs w:val="20"/>
          <w:highlight w:val="none"/>
        </w:rPr>
      </w:pPr>
    </w:p>
    <w:p w14:paraId="29AE4232">
      <w:pPr>
        <w:snapToGrid w:val="0"/>
        <w:spacing w:beforeLines="50" w:after="50" w:line="400" w:lineRule="exact"/>
        <w:ind w:firstLine="420" w:firstLineChars="150"/>
        <w:rPr>
          <w:rFonts w:ascii="宋体" w:hAnsi="宋体" w:cs="宋体"/>
          <w:bCs/>
          <w:color w:val="auto"/>
          <w:sz w:val="28"/>
          <w:szCs w:val="28"/>
          <w:highlight w:val="none"/>
        </w:rPr>
      </w:pPr>
      <w:r>
        <w:rPr>
          <w:rFonts w:hint="eastAsia" w:ascii="宋体" w:hAnsi="宋体" w:cs="宋体"/>
          <w:bCs/>
          <w:color w:val="auto"/>
          <w:sz w:val="28"/>
          <w:szCs w:val="28"/>
          <w:highlight w:val="none"/>
        </w:rPr>
        <w:t xml:space="preserve">项目名称： </w:t>
      </w:r>
    </w:p>
    <w:p w14:paraId="414CBD9B">
      <w:pPr>
        <w:snapToGrid w:val="0"/>
        <w:spacing w:beforeLines="50" w:after="50" w:line="400" w:lineRule="exact"/>
        <w:ind w:firstLine="420" w:firstLineChars="150"/>
        <w:rPr>
          <w:rFonts w:ascii="宋体" w:hAnsi="宋体" w:cs="宋体"/>
          <w:bCs/>
          <w:color w:val="auto"/>
          <w:sz w:val="28"/>
          <w:szCs w:val="28"/>
          <w:highlight w:val="none"/>
        </w:rPr>
      </w:pPr>
    </w:p>
    <w:p w14:paraId="6AEFC1FE">
      <w:pPr>
        <w:snapToGrid w:val="0"/>
        <w:spacing w:beforeLines="50" w:after="50" w:line="400" w:lineRule="exact"/>
        <w:ind w:firstLine="420" w:firstLineChars="150"/>
        <w:rPr>
          <w:rFonts w:ascii="宋体" w:hAnsi="宋体" w:cs="宋体"/>
          <w:bCs/>
          <w:color w:val="auto"/>
          <w:sz w:val="28"/>
          <w:szCs w:val="28"/>
          <w:highlight w:val="none"/>
        </w:rPr>
      </w:pPr>
      <w:r>
        <w:rPr>
          <w:rFonts w:hint="eastAsia" w:ascii="宋体" w:hAnsi="宋体" w:cs="宋体"/>
          <w:bCs/>
          <w:color w:val="auto"/>
          <w:sz w:val="28"/>
          <w:szCs w:val="28"/>
          <w:highlight w:val="none"/>
        </w:rPr>
        <w:t xml:space="preserve">项目编号： </w:t>
      </w:r>
    </w:p>
    <w:p w14:paraId="006D6121">
      <w:pPr>
        <w:snapToGrid w:val="0"/>
        <w:spacing w:beforeLines="50" w:after="50" w:line="400" w:lineRule="exact"/>
        <w:ind w:firstLine="420" w:firstLineChars="150"/>
        <w:rPr>
          <w:rFonts w:ascii="宋体" w:hAnsi="宋体" w:cs="宋体"/>
          <w:bCs/>
          <w:color w:val="auto"/>
          <w:sz w:val="28"/>
          <w:szCs w:val="28"/>
          <w:highlight w:val="none"/>
        </w:rPr>
      </w:pPr>
    </w:p>
    <w:p w14:paraId="5F194EF9">
      <w:pPr>
        <w:tabs>
          <w:tab w:val="left" w:pos="2192"/>
        </w:tabs>
        <w:spacing w:line="360" w:lineRule="auto"/>
        <w:ind w:firstLine="560" w:firstLineChars="200"/>
        <w:rPr>
          <w:rFonts w:ascii="宋体" w:hAnsi="宋体" w:cs="宋体"/>
          <w:color w:val="auto"/>
          <w:spacing w:val="4"/>
          <w:sz w:val="28"/>
          <w:szCs w:val="28"/>
          <w:highlight w:val="none"/>
        </w:rPr>
      </w:pPr>
      <w:r>
        <w:rPr>
          <w:rFonts w:hint="eastAsia" w:ascii="宋体" w:hAnsi="宋体" w:cs="宋体"/>
          <w:bCs/>
          <w:color w:val="auto"/>
          <w:sz w:val="28"/>
          <w:szCs w:val="28"/>
          <w:highlight w:val="none"/>
        </w:rPr>
        <w:t>所投分标：</w:t>
      </w:r>
      <w:r>
        <w:rPr>
          <w:rFonts w:hint="eastAsia" w:ascii="宋体" w:hAnsi="宋体" w:cs="宋体"/>
          <w:color w:val="auto"/>
          <w:spacing w:val="4"/>
          <w:sz w:val="28"/>
          <w:szCs w:val="28"/>
          <w:highlight w:val="none"/>
        </w:rPr>
        <w:t>（若无留空或写“/”）</w:t>
      </w:r>
    </w:p>
    <w:p w14:paraId="19F4B2D1">
      <w:pPr>
        <w:snapToGrid w:val="0"/>
        <w:spacing w:beforeLines="50" w:after="50" w:line="400" w:lineRule="exact"/>
        <w:ind w:firstLine="420" w:firstLineChars="150"/>
        <w:rPr>
          <w:rFonts w:ascii="宋体" w:hAnsi="宋体" w:cs="宋体"/>
          <w:bCs/>
          <w:color w:val="auto"/>
          <w:sz w:val="28"/>
          <w:szCs w:val="28"/>
          <w:highlight w:val="none"/>
        </w:rPr>
      </w:pPr>
    </w:p>
    <w:p w14:paraId="63DFB0DD">
      <w:pPr>
        <w:snapToGrid w:val="0"/>
        <w:spacing w:beforeLines="50" w:after="50" w:line="400" w:lineRule="exact"/>
        <w:ind w:firstLine="420" w:firstLineChars="150"/>
        <w:rPr>
          <w:rFonts w:ascii="宋体" w:hAnsi="宋体" w:cs="宋体"/>
          <w:bCs/>
          <w:color w:val="auto"/>
          <w:sz w:val="28"/>
          <w:szCs w:val="28"/>
          <w:highlight w:val="none"/>
        </w:rPr>
      </w:pPr>
      <w:r>
        <w:rPr>
          <w:rFonts w:hint="eastAsia" w:ascii="宋体" w:hAnsi="宋体" w:cs="宋体"/>
          <w:bCs/>
          <w:color w:val="auto"/>
          <w:sz w:val="28"/>
          <w:szCs w:val="28"/>
          <w:highlight w:val="none"/>
        </w:rPr>
        <w:t>投标人名称：</w:t>
      </w:r>
    </w:p>
    <w:p w14:paraId="1FC18A82">
      <w:pPr>
        <w:snapToGrid w:val="0"/>
        <w:spacing w:beforeLines="50" w:after="50" w:line="400" w:lineRule="exact"/>
        <w:ind w:firstLine="420" w:firstLineChars="150"/>
        <w:rPr>
          <w:rFonts w:ascii="宋体" w:hAnsi="宋体" w:cs="宋体"/>
          <w:bCs/>
          <w:color w:val="auto"/>
          <w:sz w:val="28"/>
          <w:szCs w:val="28"/>
          <w:highlight w:val="none"/>
        </w:rPr>
      </w:pPr>
    </w:p>
    <w:p w14:paraId="70979F7B">
      <w:pPr>
        <w:snapToGrid w:val="0"/>
        <w:spacing w:beforeLines="50" w:after="50" w:line="400" w:lineRule="exact"/>
        <w:ind w:firstLine="420" w:firstLineChars="150"/>
        <w:rPr>
          <w:rFonts w:ascii="宋体" w:hAnsi="宋体" w:cs="宋体"/>
          <w:bCs/>
          <w:color w:val="auto"/>
          <w:sz w:val="28"/>
          <w:szCs w:val="28"/>
          <w:highlight w:val="none"/>
        </w:rPr>
      </w:pPr>
      <w:r>
        <w:rPr>
          <w:rFonts w:hint="eastAsia" w:ascii="宋体" w:hAnsi="宋体" w:cs="宋体"/>
          <w:bCs/>
          <w:color w:val="auto"/>
          <w:sz w:val="28"/>
          <w:szCs w:val="28"/>
          <w:highlight w:val="none"/>
        </w:rPr>
        <w:t>投标人地址：</w:t>
      </w:r>
    </w:p>
    <w:p w14:paraId="68037301">
      <w:pPr>
        <w:pStyle w:val="7"/>
        <w:snapToGrid w:val="0"/>
        <w:spacing w:before="50" w:after="50" w:line="400" w:lineRule="exact"/>
        <w:ind w:firstLine="1120" w:firstLineChars="400"/>
        <w:rPr>
          <w:rFonts w:ascii="宋体" w:hAnsi="宋体" w:cs="宋体"/>
          <w:bCs/>
          <w:color w:val="auto"/>
          <w:sz w:val="28"/>
          <w:szCs w:val="28"/>
          <w:highlight w:val="none"/>
        </w:rPr>
      </w:pPr>
    </w:p>
    <w:p w14:paraId="44487073">
      <w:pPr>
        <w:snapToGrid w:val="0"/>
        <w:spacing w:beforeLines="50" w:after="50" w:line="400" w:lineRule="exact"/>
        <w:rPr>
          <w:rFonts w:ascii="宋体" w:hAnsi="宋体" w:cs="宋体"/>
          <w:color w:val="auto"/>
          <w:sz w:val="28"/>
          <w:szCs w:val="28"/>
          <w:highlight w:val="none"/>
        </w:rPr>
      </w:pPr>
      <w:r>
        <w:rPr>
          <w:rFonts w:hint="eastAsia" w:ascii="宋体" w:hAnsi="宋体" w:cs="宋体"/>
          <w:color w:val="auto"/>
          <w:sz w:val="28"/>
          <w:szCs w:val="28"/>
          <w:highlight w:val="none"/>
        </w:rPr>
        <w:t xml:space="preserve">                                   年  月  日</w:t>
      </w:r>
    </w:p>
    <w:p w14:paraId="553F994D">
      <w:pPr>
        <w:snapToGrid w:val="0"/>
        <w:spacing w:beforeLines="50" w:after="50" w:line="360" w:lineRule="auto"/>
        <w:jc w:val="center"/>
        <w:rPr>
          <w:rFonts w:ascii="宋体" w:hAnsi="宋体" w:cs="宋体"/>
          <w:b/>
          <w:bCs/>
          <w:color w:val="auto"/>
          <w:sz w:val="32"/>
          <w:szCs w:val="32"/>
          <w:highlight w:val="none"/>
        </w:rPr>
      </w:pPr>
      <w:r>
        <w:rPr>
          <w:rFonts w:hint="eastAsia" w:ascii="宋体" w:hAnsi="宋体" w:cs="宋体"/>
          <w:b/>
          <w:color w:val="auto"/>
          <w:sz w:val="24"/>
          <w:highlight w:val="none"/>
        </w:rPr>
        <w:br w:type="page"/>
      </w:r>
      <w:r>
        <w:rPr>
          <w:rFonts w:hint="eastAsia" w:ascii="宋体" w:hAnsi="宋体" w:cs="宋体"/>
          <w:b/>
          <w:bCs/>
          <w:color w:val="auto"/>
          <w:sz w:val="32"/>
          <w:szCs w:val="32"/>
          <w:highlight w:val="none"/>
        </w:rPr>
        <w:t>报价文件目录</w:t>
      </w:r>
    </w:p>
    <w:p w14:paraId="0621398F">
      <w:pPr>
        <w:snapToGrid w:val="0"/>
        <w:spacing w:before="50" w:afterLines="50" w:line="360" w:lineRule="auto"/>
        <w:jc w:val="center"/>
        <w:rPr>
          <w:rFonts w:ascii="宋体" w:hAnsi="宋体" w:cs="宋体"/>
          <w:b/>
          <w:color w:val="auto"/>
          <w:sz w:val="24"/>
          <w:highlight w:val="none"/>
        </w:rPr>
      </w:pPr>
      <w:r>
        <w:rPr>
          <w:rFonts w:hint="eastAsia" w:ascii="宋体" w:hAnsi="宋体" w:cs="宋体"/>
          <w:color w:val="auto"/>
          <w:sz w:val="28"/>
          <w:szCs w:val="28"/>
          <w:highlight w:val="none"/>
        </w:rPr>
        <w:t>根据招标文件规定及投标人提供的材料自行编写目录。</w:t>
      </w:r>
    </w:p>
    <w:p w14:paraId="03333924">
      <w:pPr>
        <w:snapToGrid w:val="0"/>
        <w:spacing w:beforeLines="50" w:after="50"/>
        <w:rPr>
          <w:rFonts w:ascii="宋体" w:hAnsi="宋体" w:cs="宋体"/>
          <w:b/>
          <w:color w:val="auto"/>
          <w:sz w:val="24"/>
          <w:highlight w:val="none"/>
        </w:rPr>
      </w:pPr>
    </w:p>
    <w:p w14:paraId="52FAAAB8">
      <w:pPr>
        <w:snapToGrid w:val="0"/>
        <w:spacing w:beforeLines="50" w:after="50"/>
        <w:rPr>
          <w:rFonts w:ascii="宋体" w:hAnsi="宋体" w:cs="宋体"/>
          <w:b/>
          <w:color w:val="auto"/>
          <w:sz w:val="24"/>
          <w:highlight w:val="none"/>
        </w:rPr>
      </w:pPr>
    </w:p>
    <w:p w14:paraId="780F5BFD">
      <w:pPr>
        <w:snapToGrid w:val="0"/>
        <w:spacing w:beforeLines="50" w:after="50"/>
        <w:rPr>
          <w:rFonts w:ascii="宋体" w:hAnsi="宋体" w:cs="宋体"/>
          <w:b/>
          <w:color w:val="auto"/>
          <w:sz w:val="24"/>
          <w:highlight w:val="none"/>
        </w:rPr>
      </w:pPr>
    </w:p>
    <w:p w14:paraId="7A413323">
      <w:pPr>
        <w:snapToGrid w:val="0"/>
        <w:spacing w:beforeLines="50" w:after="50"/>
        <w:ind w:left="142"/>
        <w:jc w:val="left"/>
        <w:rPr>
          <w:rFonts w:ascii="宋体" w:hAnsi="宋体" w:cs="宋体"/>
          <w:b/>
          <w:color w:val="auto"/>
          <w:sz w:val="24"/>
          <w:highlight w:val="none"/>
        </w:rPr>
      </w:pPr>
      <w:r>
        <w:rPr>
          <w:rFonts w:hint="eastAsia" w:ascii="宋体" w:hAnsi="宋体" w:cs="宋体"/>
          <w:b/>
          <w:color w:val="auto"/>
          <w:sz w:val="24"/>
          <w:highlight w:val="none"/>
        </w:rPr>
        <w:br w:type="page"/>
      </w:r>
    </w:p>
    <w:p w14:paraId="4F5D8893">
      <w:pPr>
        <w:snapToGrid w:val="0"/>
        <w:spacing w:beforeLines="50" w:after="50" w:line="320" w:lineRule="exact"/>
        <w:jc w:val="center"/>
        <w:rPr>
          <w:rFonts w:ascii="宋体" w:hAnsi="宋体" w:cs="宋体"/>
          <w:b/>
          <w:color w:val="auto"/>
          <w:sz w:val="32"/>
          <w:szCs w:val="32"/>
          <w:highlight w:val="none"/>
        </w:rPr>
      </w:pPr>
      <w:r>
        <w:rPr>
          <w:rFonts w:hint="eastAsia" w:ascii="宋体" w:hAnsi="宋体" w:cs="宋体"/>
          <w:b/>
          <w:color w:val="auto"/>
          <w:sz w:val="32"/>
          <w:szCs w:val="32"/>
          <w:highlight w:val="none"/>
        </w:rPr>
        <w:t>1.投 标 函</w:t>
      </w:r>
    </w:p>
    <w:p w14:paraId="7127E4A2">
      <w:pPr>
        <w:snapToGrid w:val="0"/>
        <w:spacing w:line="360" w:lineRule="auto"/>
        <w:rPr>
          <w:rFonts w:ascii="宋体" w:hAnsi="宋体" w:cs="宋体"/>
          <w:color w:val="auto"/>
          <w:szCs w:val="21"/>
          <w:highlight w:val="none"/>
        </w:rPr>
      </w:pPr>
    </w:p>
    <w:p w14:paraId="154BD833">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致：</w:t>
      </w:r>
      <w:r>
        <w:rPr>
          <w:rFonts w:hint="eastAsia" w:ascii="宋体" w:hAnsi="宋体" w:cs="宋体"/>
          <w:color w:val="auto"/>
          <w:szCs w:val="21"/>
          <w:highlight w:val="none"/>
          <w:u w:val="single"/>
        </w:rPr>
        <w:t>采购人名称</w:t>
      </w:r>
      <w:r>
        <w:rPr>
          <w:rFonts w:hint="eastAsia" w:ascii="宋体" w:hAnsi="宋体" w:cs="宋体"/>
          <w:color w:val="auto"/>
          <w:szCs w:val="21"/>
          <w:highlight w:val="none"/>
        </w:rPr>
        <w:t>：</w:t>
      </w:r>
    </w:p>
    <w:p w14:paraId="72BF4D42">
      <w:pPr>
        <w:snapToGrid w:val="0"/>
        <w:spacing w:line="360" w:lineRule="auto"/>
        <w:ind w:firstLine="480"/>
        <w:rPr>
          <w:rFonts w:ascii="宋体" w:hAnsi="宋体" w:cs="宋体"/>
          <w:color w:val="auto"/>
          <w:szCs w:val="21"/>
          <w:highlight w:val="none"/>
        </w:rPr>
      </w:pPr>
      <w:r>
        <w:rPr>
          <w:rFonts w:hint="eastAsia" w:ascii="宋体" w:hAnsi="宋体" w:cs="宋体"/>
          <w:color w:val="auto"/>
          <w:szCs w:val="21"/>
          <w:highlight w:val="none"/>
        </w:rPr>
        <w:t>根据贵方</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eastAsia="zh-CN"/>
        </w:rPr>
        <w:t>（</w:t>
      </w:r>
      <w:r>
        <w:rPr>
          <w:rFonts w:hint="eastAsia" w:ascii="宋体" w:hAnsi="宋体" w:cs="宋体"/>
          <w:color w:val="auto"/>
          <w:szCs w:val="21"/>
          <w:highlight w:val="none"/>
          <w:u w:val="single"/>
        </w:rPr>
        <w:t>项目名称</w:t>
      </w:r>
      <w:r>
        <w:rPr>
          <w:rFonts w:hint="eastAsia" w:ascii="宋体" w:hAnsi="宋体" w:cs="宋体"/>
          <w:color w:val="auto"/>
          <w:szCs w:val="21"/>
          <w:highlight w:val="none"/>
          <w:u w:val="single"/>
          <w:lang w:eastAsia="zh-CN"/>
        </w:rPr>
        <w:t>）</w:t>
      </w:r>
      <w:r>
        <w:rPr>
          <w:rFonts w:hint="eastAsia" w:ascii="宋体" w:hAnsi="宋体" w:cs="宋体"/>
          <w:color w:val="auto"/>
          <w:szCs w:val="21"/>
          <w:highlight w:val="none"/>
          <w:u w:val="single"/>
        </w:rPr>
        <w:t>（项目编号：）</w:t>
      </w:r>
      <w:r>
        <w:rPr>
          <w:rFonts w:hint="eastAsia" w:ascii="宋体" w:hAnsi="宋体" w:cs="宋体"/>
          <w:color w:val="auto"/>
          <w:szCs w:val="21"/>
          <w:highlight w:val="none"/>
        </w:rPr>
        <w:t>的招标公告，签字代表</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（姓名）</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rPr>
        <w:t>经正式授权并代表投标人</w:t>
      </w:r>
      <w:r>
        <w:rPr>
          <w:rFonts w:hint="eastAsia" w:ascii="宋体" w:hAnsi="宋体" w:cs="宋体"/>
          <w:color w:val="auto"/>
          <w:szCs w:val="21"/>
          <w:highlight w:val="none"/>
          <w:u w:val="single"/>
        </w:rPr>
        <w:t xml:space="preserve">  （投标人名称）</w:t>
      </w:r>
      <w:r>
        <w:rPr>
          <w:rFonts w:hint="eastAsia" w:ascii="宋体" w:hAnsi="宋体" w:cs="宋体"/>
          <w:color w:val="auto"/>
          <w:szCs w:val="21"/>
          <w:highlight w:val="none"/>
        </w:rPr>
        <w:t>提交投标文件。</w:t>
      </w:r>
    </w:p>
    <w:p w14:paraId="471F9AB5">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据此函，我方宣布同意如下：</w:t>
      </w:r>
    </w:p>
    <w:p w14:paraId="746E2774">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1.我方已详细审查全部“招标文件”，包括修改文件（如有的话）以及全部参考资料和有关附件，已经了解我方对于招标文件、采购过程、采购结果有依法进行询问、质疑、投诉的权利及相关渠道和要求。</w:t>
      </w:r>
    </w:p>
    <w:p w14:paraId="39844FB2">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2.我方在投标之前已经完全理解并接受招标文件的各项规定和要求，对招标文件的合理性、合法性不再有异议。</w:t>
      </w:r>
    </w:p>
    <w:p w14:paraId="461B2F41">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3.本投标有效期自投标截止之日</w:t>
      </w:r>
      <w:r>
        <w:rPr>
          <w:rFonts w:hint="eastAsia" w:ascii="宋体" w:hAnsi="宋体" w:cs="宋体"/>
          <w:color w:val="auto"/>
          <w:szCs w:val="21"/>
          <w:highlight w:val="none"/>
          <w:u w:val="single"/>
        </w:rPr>
        <w:t>起</w:t>
      </w:r>
      <w:r>
        <w:rPr>
          <w:rFonts w:hint="eastAsia" w:cs="宋体" w:asciiTheme="minorEastAsia" w:hAnsiTheme="minorEastAsia" w:eastAsiaTheme="minorEastAsia"/>
          <w:color w:val="auto"/>
          <w:szCs w:val="21"/>
          <w:highlight w:val="none"/>
          <w:u w:val="single"/>
        </w:rPr>
        <w:t xml:space="preserve">  　日</w:t>
      </w:r>
      <w:r>
        <w:rPr>
          <w:rFonts w:hint="eastAsia" w:ascii="宋体" w:hAnsi="宋体" w:cs="宋体"/>
          <w:color w:val="auto"/>
          <w:szCs w:val="21"/>
          <w:highlight w:val="none"/>
        </w:rPr>
        <w:t>。</w:t>
      </w:r>
    </w:p>
    <w:p w14:paraId="566FFDB0">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4.如中标，本投标文件至本项目合同履行完毕止均保持有效，我方将按“招标文件”及政府采购法律、法规的规定履行合同责任和义务。</w:t>
      </w:r>
    </w:p>
    <w:p w14:paraId="562F28E8">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5.我方同意按照贵方要求提供与投标有关的一切数据或者资料。</w:t>
      </w:r>
    </w:p>
    <w:p w14:paraId="202122AF">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6.我方向贵方提交的所有投标文件、资料都是准确的和真实的。</w:t>
      </w:r>
    </w:p>
    <w:p w14:paraId="536FBFD9">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7.以上事项如有虚假或者隐瞒，我方愿意承担一切后果，并不再寻求任何旨在减轻或者免除法律责任的辩解。</w:t>
      </w:r>
    </w:p>
    <w:p w14:paraId="5531075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根据《中华人民共和国政府采购法实施条例》第五十条要求对政府采购合同进行公告，但政府采购合同中涉及国家秘密、商业秘密的内容除外。我方就对本次投标文件进行注明如下：（两项内容中必须选择一项）</w:t>
      </w:r>
    </w:p>
    <w:p w14:paraId="3315743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□我方本次投标文件</w:t>
      </w:r>
      <w:r>
        <w:rPr>
          <w:rFonts w:hint="eastAsia" w:ascii="宋体" w:hAnsi="宋体" w:cs="宋体"/>
          <w:color w:val="auto"/>
          <w:kern w:val="0"/>
          <w:szCs w:val="21"/>
          <w:highlight w:val="none"/>
        </w:rPr>
        <w:t>内容中</w:t>
      </w:r>
      <w:r>
        <w:rPr>
          <w:rFonts w:hint="eastAsia" w:ascii="宋体" w:hAnsi="宋体" w:cs="宋体"/>
          <w:color w:val="auto"/>
          <w:szCs w:val="21"/>
          <w:highlight w:val="none"/>
        </w:rPr>
        <w:t>未</w:t>
      </w:r>
      <w:r>
        <w:rPr>
          <w:rFonts w:hint="eastAsia" w:ascii="宋体" w:hAnsi="宋体" w:cs="宋体"/>
          <w:color w:val="auto"/>
          <w:kern w:val="0"/>
          <w:szCs w:val="21"/>
          <w:highlight w:val="none"/>
        </w:rPr>
        <w:t>涉及商业秘密；</w:t>
      </w:r>
    </w:p>
    <w:p w14:paraId="64AAF727">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□我方本次投标文件</w:t>
      </w:r>
      <w:r>
        <w:rPr>
          <w:rFonts w:hint="eastAsia" w:ascii="宋体" w:hAnsi="宋体" w:cs="宋体"/>
          <w:color w:val="auto"/>
          <w:kern w:val="0"/>
          <w:szCs w:val="21"/>
          <w:highlight w:val="none"/>
        </w:rPr>
        <w:t>涉及商业秘密的内容有</w:t>
      </w:r>
      <w:r>
        <w:rPr>
          <w:rFonts w:hint="eastAsia" w:ascii="宋体" w:hAnsi="宋体" w:cs="宋体"/>
          <w:color w:val="auto"/>
          <w:szCs w:val="21"/>
          <w:highlight w:val="none"/>
          <w:u w:val="single"/>
          <w:lang w:eastAsia="zh-CN"/>
        </w:rPr>
        <w:t>：</w:t>
      </w:r>
      <w:r>
        <w:rPr>
          <w:rFonts w:hint="eastAsia" w:cs="宋体" w:asciiTheme="minorEastAsia" w:hAnsiTheme="minorEastAsia" w:eastAsiaTheme="minorEastAsia"/>
          <w:color w:val="auto"/>
          <w:szCs w:val="21"/>
          <w:highlight w:val="none"/>
          <w:u w:val="single"/>
        </w:rPr>
        <w:t xml:space="preserve">  </w:t>
      </w:r>
      <w:r>
        <w:rPr>
          <w:rFonts w:hint="eastAsia" w:cs="宋体" w:asciiTheme="minorEastAsia" w:hAnsiTheme="minorEastAsia" w:eastAsiaTheme="minorEastAsia"/>
          <w:color w:val="auto"/>
          <w:szCs w:val="21"/>
          <w:highlight w:val="none"/>
          <w:u w:val="single"/>
          <w:lang w:val="en-US" w:eastAsia="zh-CN"/>
        </w:rPr>
        <w:t xml:space="preserve">        </w:t>
      </w:r>
      <w:r>
        <w:rPr>
          <w:rFonts w:hint="eastAsia" w:cs="宋体" w:asciiTheme="minorEastAsia" w:hAnsiTheme="minorEastAsia" w:eastAsiaTheme="minorEastAsia"/>
          <w:color w:val="auto"/>
          <w:szCs w:val="21"/>
          <w:highlight w:val="none"/>
          <w:u w:val="single"/>
        </w:rPr>
        <w:t>　</w:t>
      </w:r>
      <w:r>
        <w:rPr>
          <w:rFonts w:hint="eastAsia" w:ascii="宋体" w:hAnsi="宋体" w:cs="宋体"/>
          <w:color w:val="auto"/>
          <w:kern w:val="0"/>
          <w:szCs w:val="21"/>
          <w:highlight w:val="none"/>
        </w:rPr>
        <w:t>；</w:t>
      </w:r>
    </w:p>
    <w:p w14:paraId="0A320CB3">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9.与本投标有关的一切正式往来信函请寄：</w:t>
      </w:r>
    </w:p>
    <w:p w14:paraId="0082CD24">
      <w:pPr>
        <w:snapToGrid w:val="0"/>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地址：邮编：</w:t>
      </w:r>
    </w:p>
    <w:p w14:paraId="44399671">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电话：传真：电子邮箱：</w:t>
      </w:r>
    </w:p>
    <w:p w14:paraId="66200631">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投标人名称:</w:t>
      </w:r>
    </w:p>
    <w:p w14:paraId="19966904">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 xml:space="preserve">开户银行：   </w:t>
      </w:r>
    </w:p>
    <w:p w14:paraId="30717CE5">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银行帐号：</w:t>
      </w:r>
    </w:p>
    <w:p w14:paraId="1D68010A">
      <w:pPr>
        <w:snapToGrid w:val="0"/>
        <w:spacing w:line="360" w:lineRule="auto"/>
        <w:ind w:firstLine="1470" w:firstLineChars="700"/>
        <w:rPr>
          <w:rFonts w:ascii="宋体" w:hAnsi="宋体" w:cs="宋体"/>
          <w:color w:val="auto"/>
          <w:szCs w:val="21"/>
          <w:highlight w:val="none"/>
        </w:rPr>
      </w:pPr>
    </w:p>
    <w:p w14:paraId="343FF1EC">
      <w:pPr>
        <w:snapToGrid w:val="0"/>
        <w:spacing w:line="360" w:lineRule="auto"/>
        <w:ind w:firstLine="1470" w:firstLineChars="700"/>
        <w:rPr>
          <w:rFonts w:ascii="宋体" w:hAnsi="宋体" w:cs="宋体"/>
          <w:color w:val="auto"/>
          <w:szCs w:val="21"/>
          <w:highlight w:val="none"/>
        </w:rPr>
      </w:pPr>
      <w:r>
        <w:rPr>
          <w:rFonts w:hint="eastAsia" w:ascii="宋体" w:hAnsi="宋体" w:cs="宋体"/>
          <w:color w:val="auto"/>
          <w:szCs w:val="21"/>
          <w:highlight w:val="none"/>
        </w:rPr>
        <w:t xml:space="preserve">           投标人名称（</w:t>
      </w:r>
      <w:r>
        <w:rPr>
          <w:rFonts w:hint="eastAsia" w:cs="宋体" w:asciiTheme="minorEastAsia" w:hAnsiTheme="minorEastAsia" w:eastAsiaTheme="minorEastAsia"/>
          <w:color w:val="auto"/>
          <w:highlight w:val="none"/>
        </w:rPr>
        <w:t>电子签章</w:t>
      </w:r>
      <w:r>
        <w:rPr>
          <w:rFonts w:hint="eastAsia" w:ascii="宋体" w:hAnsi="宋体" w:cs="宋体"/>
          <w:color w:val="auto"/>
          <w:szCs w:val="21"/>
          <w:highlight w:val="none"/>
        </w:rPr>
        <w:t>）：</w:t>
      </w:r>
    </w:p>
    <w:p w14:paraId="46E537CA">
      <w:pPr>
        <w:pStyle w:val="23"/>
        <w:snapToGrid w:val="0"/>
        <w:spacing w:line="360" w:lineRule="auto"/>
        <w:ind w:left="5793" w:leftChars="1235" w:hanging="3200" w:hangingChars="1600"/>
        <w:jc w:val="left"/>
        <w:rPr>
          <w:rFonts w:hAnsi="宋体" w:cs="宋体"/>
          <w:color w:val="auto"/>
          <w:sz w:val="24"/>
          <w:szCs w:val="24"/>
          <w:highlight w:val="none"/>
        </w:rPr>
        <w:sectPr>
          <w:footerReference r:id="rId9" w:type="first"/>
          <w:headerReference r:id="rId6" w:type="default"/>
          <w:footerReference r:id="rId7" w:type="default"/>
          <w:footerReference r:id="rId8" w:type="even"/>
          <w:pgSz w:w="11906" w:h="16838"/>
          <w:pgMar w:top="1701" w:right="1701" w:bottom="1701" w:left="1701" w:header="851" w:footer="992" w:gutter="0"/>
          <w:cols w:space="720" w:num="1"/>
          <w:titlePg/>
          <w:docGrid w:linePitch="312" w:charSpace="0"/>
        </w:sectPr>
      </w:pPr>
      <w:r>
        <w:rPr>
          <w:rFonts w:hint="eastAsia" w:hAnsi="宋体" w:cs="宋体"/>
          <w:color w:val="auto"/>
          <w:highlight w:val="none"/>
        </w:rPr>
        <w:t>法定代表人或者委托代理人（</w:t>
      </w:r>
      <w:r>
        <w:rPr>
          <w:rFonts w:hint="eastAsia" w:cs="宋体"/>
          <w:color w:val="auto"/>
          <w:highlight w:val="none"/>
        </w:rPr>
        <w:t>电子签名</w:t>
      </w:r>
      <w:r>
        <w:rPr>
          <w:rFonts w:hint="eastAsia" w:hAnsi="宋体" w:cs="宋体"/>
          <w:color w:val="auto"/>
          <w:highlight w:val="none"/>
        </w:rPr>
        <w:t>）：</w:t>
      </w:r>
      <w:r>
        <w:rPr>
          <w:rFonts w:hint="eastAsia" w:hAnsi="宋体" w:cs="宋体"/>
          <w:color w:val="auto"/>
          <w:sz w:val="21"/>
          <w:highlight w:val="none"/>
        </w:rPr>
        <w:t xml:space="preserve">                                                             年   月    日</w:t>
      </w:r>
    </w:p>
    <w:p w14:paraId="33FDAAA1">
      <w:pPr>
        <w:snapToGrid w:val="0"/>
        <w:spacing w:before="50" w:after="50"/>
        <w:jc w:val="center"/>
        <w:rPr>
          <w:rFonts w:ascii="宋体" w:hAnsi="宋体" w:cs="宋体"/>
          <w:b/>
          <w:bCs/>
          <w:color w:val="auto"/>
          <w:sz w:val="32"/>
          <w:szCs w:val="32"/>
          <w:highlight w:val="none"/>
        </w:rPr>
      </w:pPr>
      <w:r>
        <w:rPr>
          <w:rFonts w:hint="eastAsia" w:ascii="宋体" w:hAnsi="宋体" w:cs="宋体"/>
          <w:b/>
          <w:color w:val="auto"/>
          <w:sz w:val="32"/>
          <w:szCs w:val="32"/>
          <w:highlight w:val="none"/>
        </w:rPr>
        <w:t>2.</w:t>
      </w:r>
      <w:r>
        <w:rPr>
          <w:rFonts w:hint="eastAsia" w:ascii="宋体" w:hAnsi="宋体" w:cs="宋体"/>
          <w:b/>
          <w:bCs/>
          <w:color w:val="auto"/>
          <w:sz w:val="32"/>
          <w:szCs w:val="32"/>
          <w:highlight w:val="none"/>
        </w:rPr>
        <w:t xml:space="preserve"> 开标一览表</w:t>
      </w:r>
    </w:p>
    <w:p w14:paraId="0305CC7C">
      <w:pPr>
        <w:snapToGrid w:val="0"/>
        <w:spacing w:beforeLines="50" w:after="50" w:line="280" w:lineRule="exact"/>
        <w:rPr>
          <w:rFonts w:ascii="宋体" w:hAnsi="宋体" w:cs="宋体"/>
          <w:bCs/>
          <w:color w:val="auto"/>
          <w:sz w:val="24"/>
          <w:highlight w:val="none"/>
          <w:u w:val="single"/>
        </w:rPr>
      </w:pPr>
      <w:r>
        <w:rPr>
          <w:rFonts w:hint="eastAsia" w:ascii="宋体" w:hAnsi="宋体" w:cs="宋体"/>
          <w:color w:val="auto"/>
          <w:sz w:val="24"/>
          <w:highlight w:val="none"/>
        </w:rPr>
        <w:t>项目编号：</w:t>
      </w:r>
    </w:p>
    <w:p w14:paraId="5FEB3912">
      <w:pPr>
        <w:snapToGrid w:val="0"/>
        <w:spacing w:before="50" w:after="50"/>
        <w:rPr>
          <w:rFonts w:ascii="宋体" w:hAnsi="宋体" w:cs="宋体"/>
          <w:color w:val="auto"/>
          <w:sz w:val="24"/>
          <w:highlight w:val="none"/>
        </w:rPr>
      </w:pPr>
      <w:r>
        <w:rPr>
          <w:rFonts w:hint="eastAsia" w:ascii="宋体" w:hAnsi="宋体" w:cs="宋体"/>
          <w:color w:val="auto"/>
          <w:sz w:val="24"/>
          <w:highlight w:val="none"/>
        </w:rPr>
        <w:t>投标人名称：</w:t>
      </w:r>
    </w:p>
    <w:p w14:paraId="7DB98BB2">
      <w:pPr>
        <w:snapToGrid w:val="0"/>
        <w:spacing w:before="50" w:after="50"/>
        <w:jc w:val="right"/>
        <w:rPr>
          <w:rFonts w:ascii="宋体" w:hAnsi="宋体" w:cs="宋体"/>
          <w:color w:val="auto"/>
          <w:sz w:val="24"/>
          <w:highlight w:val="none"/>
        </w:rPr>
      </w:pPr>
      <w:r>
        <w:rPr>
          <w:rFonts w:hint="eastAsia" w:ascii="宋体" w:hAnsi="宋体" w:cs="宋体"/>
          <w:color w:val="auto"/>
          <w:sz w:val="24"/>
          <w:highlight w:val="none"/>
        </w:rPr>
        <w:t>单位：</w:t>
      </w:r>
      <w:r>
        <w:rPr>
          <w:rFonts w:ascii="宋体" w:hAnsi="宋体" w:cs="宋体"/>
          <w:color w:val="auto"/>
          <w:sz w:val="24"/>
          <w:highlight w:val="none"/>
        </w:rPr>
        <w:t xml:space="preserve"> </w:t>
      </w:r>
    </w:p>
    <w:tbl>
      <w:tblPr>
        <w:tblStyle w:val="47"/>
        <w:tblW w:w="100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82"/>
        <w:gridCol w:w="3360"/>
        <w:gridCol w:w="2476"/>
        <w:gridCol w:w="1874"/>
        <w:gridCol w:w="1447"/>
      </w:tblGrid>
      <w:tr w14:paraId="001A5A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882" w:type="dxa"/>
            <w:tcBorders>
              <w:top w:val="single" w:color="auto" w:sz="4" w:space="0"/>
              <w:left w:val="single" w:color="auto" w:sz="4" w:space="0"/>
              <w:bottom w:val="single" w:color="auto" w:sz="4" w:space="0"/>
              <w:right w:val="single" w:color="auto" w:sz="4" w:space="0"/>
            </w:tcBorders>
            <w:vAlign w:val="center"/>
          </w:tcPr>
          <w:p w14:paraId="57C736FD">
            <w:pPr>
              <w:snapToGrid w:val="0"/>
              <w:spacing w:before="50" w:after="50"/>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3360" w:type="dxa"/>
            <w:tcBorders>
              <w:top w:val="single" w:color="auto" w:sz="4" w:space="0"/>
              <w:left w:val="single" w:color="auto" w:sz="4" w:space="0"/>
              <w:bottom w:val="single" w:color="auto" w:sz="4" w:space="0"/>
              <w:right w:val="single" w:color="auto" w:sz="4" w:space="0"/>
            </w:tcBorders>
            <w:vAlign w:val="center"/>
          </w:tcPr>
          <w:p w14:paraId="3F73112C">
            <w:pPr>
              <w:spacing w:line="360" w:lineRule="auto"/>
              <w:contextualSpacing/>
              <w:jc w:val="center"/>
              <w:rPr>
                <w:rFonts w:ascii="宋体" w:hAnsi="宋体" w:cs="宋体"/>
                <w:b/>
                <w:bCs/>
                <w:color w:val="auto"/>
                <w:szCs w:val="21"/>
                <w:highlight w:val="none"/>
              </w:rPr>
            </w:pPr>
            <w:r>
              <w:rPr>
                <w:rFonts w:hint="eastAsia" w:ascii="宋体" w:hAnsi="宋体" w:cs="宋体"/>
                <w:b/>
                <w:bCs/>
                <w:color w:val="auto"/>
                <w:szCs w:val="21"/>
                <w:highlight w:val="none"/>
              </w:rPr>
              <w:t>服务标的名称</w:t>
            </w:r>
          </w:p>
        </w:tc>
        <w:tc>
          <w:tcPr>
            <w:tcW w:w="2476" w:type="dxa"/>
            <w:tcBorders>
              <w:top w:val="single" w:color="auto" w:sz="4" w:space="0"/>
              <w:left w:val="single" w:color="auto" w:sz="4" w:space="0"/>
              <w:bottom w:val="single" w:color="auto" w:sz="4" w:space="0"/>
              <w:right w:val="single" w:color="auto" w:sz="4" w:space="0"/>
            </w:tcBorders>
            <w:vAlign w:val="center"/>
          </w:tcPr>
          <w:p w14:paraId="3D351678">
            <w:pPr>
              <w:widowControl/>
              <w:spacing w:line="360" w:lineRule="auto"/>
              <w:jc w:val="center"/>
              <w:rPr>
                <w:rFonts w:ascii="宋体" w:hAnsi="宋体" w:cs="宋体"/>
                <w:b/>
                <w:bCs/>
                <w:color w:val="auto"/>
                <w:szCs w:val="21"/>
                <w:highlight w:val="none"/>
              </w:rPr>
            </w:pPr>
            <w:r>
              <w:rPr>
                <w:rFonts w:hint="eastAsia" w:ascii="宋体" w:hAnsi="宋体" w:cs="宋体"/>
                <w:b/>
                <w:bCs/>
                <w:color w:val="auto"/>
                <w:kern w:val="0"/>
                <w:szCs w:val="21"/>
                <w:highlight w:val="none"/>
              </w:rPr>
              <w:t>报价名称</w:t>
            </w:r>
          </w:p>
        </w:tc>
        <w:tc>
          <w:tcPr>
            <w:tcW w:w="1874" w:type="dxa"/>
            <w:tcBorders>
              <w:top w:val="single" w:color="auto" w:sz="4" w:space="0"/>
              <w:left w:val="single" w:color="auto" w:sz="4" w:space="0"/>
              <w:bottom w:val="single" w:color="auto" w:sz="4" w:space="0"/>
              <w:right w:val="single" w:color="auto" w:sz="4" w:space="0"/>
            </w:tcBorders>
            <w:vAlign w:val="center"/>
          </w:tcPr>
          <w:p w14:paraId="4D6F69A2">
            <w:pPr>
              <w:widowControl/>
              <w:spacing w:line="360" w:lineRule="auto"/>
              <w:jc w:val="center"/>
              <w:rPr>
                <w:rFonts w:ascii="宋体" w:hAnsi="宋体" w:cs="宋体"/>
                <w:b/>
                <w:bCs/>
                <w:color w:val="auto"/>
                <w:szCs w:val="21"/>
                <w:highlight w:val="none"/>
              </w:rPr>
            </w:pPr>
            <w:r>
              <w:rPr>
                <w:rFonts w:hint="eastAsia" w:ascii="宋体" w:hAnsi="宋体" w:cs="宋体"/>
                <w:b/>
                <w:bCs/>
                <w:color w:val="auto"/>
                <w:kern w:val="0"/>
                <w:szCs w:val="21"/>
                <w:highlight w:val="none"/>
              </w:rPr>
              <w:t>价格优惠率报价</w:t>
            </w:r>
          </w:p>
        </w:tc>
        <w:tc>
          <w:tcPr>
            <w:tcW w:w="1447" w:type="dxa"/>
            <w:tcBorders>
              <w:top w:val="single" w:color="auto" w:sz="4" w:space="0"/>
              <w:left w:val="single" w:color="auto" w:sz="4" w:space="0"/>
              <w:bottom w:val="single" w:color="auto" w:sz="4" w:space="0"/>
              <w:right w:val="single" w:color="auto" w:sz="4" w:space="0"/>
            </w:tcBorders>
            <w:vAlign w:val="center"/>
          </w:tcPr>
          <w:p w14:paraId="582C848E">
            <w:pPr>
              <w:spacing w:line="288" w:lineRule="auto"/>
              <w:contextualSpacing/>
              <w:jc w:val="center"/>
              <w:rPr>
                <w:rFonts w:ascii="宋体" w:hAnsi="宋体" w:cs="宋体"/>
                <w:b/>
                <w:bCs/>
                <w:color w:val="auto"/>
                <w:kern w:val="0"/>
                <w:szCs w:val="21"/>
                <w:highlight w:val="none"/>
              </w:rPr>
            </w:pPr>
            <w:r>
              <w:rPr>
                <w:rFonts w:hint="eastAsia" w:ascii="宋体" w:hAnsi="宋体" w:cs="宋体"/>
                <w:b/>
                <w:bCs/>
                <w:color w:val="auto"/>
                <w:szCs w:val="21"/>
                <w:highlight w:val="none"/>
              </w:rPr>
              <w:t>备注</w:t>
            </w:r>
          </w:p>
        </w:tc>
      </w:tr>
      <w:tr w14:paraId="45F375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882" w:type="dxa"/>
            <w:tcBorders>
              <w:top w:val="single" w:color="auto" w:sz="4" w:space="0"/>
              <w:left w:val="single" w:color="auto" w:sz="4" w:space="0"/>
              <w:bottom w:val="single" w:color="auto" w:sz="4" w:space="0"/>
              <w:right w:val="single" w:color="auto" w:sz="4" w:space="0"/>
            </w:tcBorders>
            <w:vAlign w:val="center"/>
          </w:tcPr>
          <w:p w14:paraId="4808CFED">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1</w:t>
            </w:r>
          </w:p>
        </w:tc>
        <w:tc>
          <w:tcPr>
            <w:tcW w:w="3360" w:type="dxa"/>
            <w:tcBorders>
              <w:top w:val="single" w:color="auto" w:sz="4" w:space="0"/>
              <w:left w:val="single" w:color="auto" w:sz="4" w:space="0"/>
              <w:bottom w:val="single" w:color="auto" w:sz="4" w:space="0"/>
              <w:right w:val="single" w:color="auto" w:sz="4" w:space="0"/>
            </w:tcBorders>
            <w:vAlign w:val="center"/>
          </w:tcPr>
          <w:p w14:paraId="2914220B">
            <w:pPr>
              <w:spacing w:line="360" w:lineRule="auto"/>
              <w:contextualSpacing/>
              <w:jc w:val="center"/>
              <w:rPr>
                <w:rFonts w:hint="eastAsia" w:hAnsi="宋体" w:eastAsia="宋体" w:cs="宋体"/>
                <w:bCs/>
                <w:color w:val="auto"/>
                <w:szCs w:val="21"/>
                <w:highlight w:val="none"/>
                <w:lang w:eastAsia="zh-CN"/>
              </w:rPr>
            </w:pPr>
            <w:r>
              <w:rPr>
                <w:rFonts w:hint="eastAsia" w:hAnsi="宋体" w:cs="宋体"/>
                <w:bCs/>
                <w:color w:val="auto"/>
                <w:szCs w:val="21"/>
                <w:highlight w:val="none"/>
                <w:lang w:eastAsia="zh-CN"/>
              </w:rPr>
              <w:t>柳州市黄村村及周边片区城中村改造项目（胜利地块）集体土地上房屋动迁服务</w:t>
            </w:r>
          </w:p>
        </w:tc>
        <w:tc>
          <w:tcPr>
            <w:tcW w:w="2476" w:type="dxa"/>
            <w:tcBorders>
              <w:top w:val="single" w:color="auto" w:sz="4" w:space="0"/>
              <w:left w:val="single" w:color="auto" w:sz="4" w:space="0"/>
              <w:bottom w:val="single" w:color="auto" w:sz="4" w:space="0"/>
              <w:right w:val="single" w:color="auto" w:sz="4" w:space="0"/>
            </w:tcBorders>
            <w:vAlign w:val="center"/>
          </w:tcPr>
          <w:p w14:paraId="33FAFEE6">
            <w:pPr>
              <w:spacing w:line="360" w:lineRule="auto"/>
              <w:contextualSpacing/>
              <w:jc w:val="center"/>
              <w:rPr>
                <w:rFonts w:ascii="宋体" w:hAnsi="宋体" w:cs="宋体"/>
                <w:bCs/>
                <w:color w:val="auto"/>
                <w:szCs w:val="21"/>
                <w:highlight w:val="none"/>
              </w:rPr>
            </w:pPr>
            <w:r>
              <w:rPr>
                <w:rFonts w:hint="eastAsia" w:hAnsi="宋体" w:cs="宋体"/>
                <w:bCs/>
                <w:color w:val="auto"/>
                <w:szCs w:val="21"/>
                <w:highlight w:val="none"/>
              </w:rPr>
              <w:t>房屋征收实施费优惠率</w:t>
            </w:r>
          </w:p>
        </w:tc>
        <w:tc>
          <w:tcPr>
            <w:tcW w:w="1874" w:type="dxa"/>
            <w:tcBorders>
              <w:top w:val="single" w:color="auto" w:sz="4" w:space="0"/>
              <w:left w:val="single" w:color="auto" w:sz="4" w:space="0"/>
              <w:bottom w:val="single" w:color="auto" w:sz="4" w:space="0"/>
              <w:right w:val="single" w:color="auto" w:sz="4" w:space="0"/>
            </w:tcBorders>
            <w:vAlign w:val="center"/>
          </w:tcPr>
          <w:p w14:paraId="48579ADA">
            <w:pPr>
              <w:spacing w:line="360" w:lineRule="auto"/>
              <w:ind w:firstLine="840" w:firstLineChars="400"/>
              <w:contextualSpacing/>
              <w:rPr>
                <w:rFonts w:ascii="宋体" w:hAnsi="宋体" w:cs="宋体"/>
                <w:bCs/>
                <w:color w:val="auto"/>
                <w:szCs w:val="21"/>
                <w:highlight w:val="none"/>
              </w:rPr>
            </w:pPr>
            <w:r>
              <w:rPr>
                <w:rFonts w:hint="eastAsia" w:ascii="宋体" w:hAnsi="宋体" w:cs="宋体"/>
                <w:bCs/>
                <w:color w:val="auto"/>
                <w:szCs w:val="21"/>
                <w:highlight w:val="none"/>
              </w:rPr>
              <w:t>%</w:t>
            </w:r>
          </w:p>
        </w:tc>
        <w:tc>
          <w:tcPr>
            <w:tcW w:w="1447" w:type="dxa"/>
            <w:tcBorders>
              <w:top w:val="single" w:color="auto" w:sz="4" w:space="0"/>
              <w:left w:val="single" w:color="auto" w:sz="4" w:space="0"/>
              <w:bottom w:val="single" w:color="auto" w:sz="4" w:space="0"/>
              <w:right w:val="single" w:color="auto" w:sz="4" w:space="0"/>
            </w:tcBorders>
          </w:tcPr>
          <w:p w14:paraId="33CA2BE8">
            <w:pPr>
              <w:pStyle w:val="5"/>
              <w:spacing w:line="288" w:lineRule="auto"/>
              <w:ind w:left="0" w:firstLine="0"/>
              <w:rPr>
                <w:rFonts w:ascii="宋体" w:hAnsi="宋体" w:cs="宋体"/>
                <w:bCs/>
                <w:color w:val="auto"/>
                <w:szCs w:val="21"/>
                <w:highlight w:val="none"/>
              </w:rPr>
            </w:pPr>
          </w:p>
        </w:tc>
      </w:tr>
      <w:tr w14:paraId="71CB6D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10039" w:type="dxa"/>
            <w:gridSpan w:val="5"/>
            <w:tcBorders>
              <w:top w:val="single" w:color="auto" w:sz="4" w:space="0"/>
              <w:left w:val="single" w:color="auto" w:sz="4" w:space="0"/>
              <w:bottom w:val="single" w:color="auto" w:sz="4" w:space="0"/>
              <w:right w:val="single" w:color="auto" w:sz="4" w:space="0"/>
            </w:tcBorders>
            <w:vAlign w:val="center"/>
          </w:tcPr>
          <w:p w14:paraId="0B7AA831">
            <w:pPr>
              <w:spacing w:line="360" w:lineRule="auto"/>
              <w:ind w:firstLine="630" w:firstLineChars="300"/>
              <w:contextualSpacing/>
              <w:rPr>
                <w:rFonts w:ascii="宋体" w:hAnsi="宋体" w:cs="宋体"/>
                <w:color w:val="auto"/>
                <w:szCs w:val="21"/>
                <w:highlight w:val="none"/>
              </w:rPr>
            </w:pPr>
            <w:r>
              <w:rPr>
                <w:rFonts w:hint="eastAsia" w:ascii="宋体" w:hAnsi="宋体" w:cs="宋体"/>
                <w:color w:val="auto"/>
                <w:szCs w:val="21"/>
                <w:highlight w:val="none"/>
              </w:rPr>
              <w:t>服务年限：暂定3年（最终以实际完成为准）</w:t>
            </w:r>
          </w:p>
        </w:tc>
      </w:tr>
    </w:tbl>
    <w:p w14:paraId="0D829502">
      <w:pPr>
        <w:snapToGrid w:val="0"/>
        <w:spacing w:before="50" w:after="50"/>
        <w:jc w:val="left"/>
        <w:rPr>
          <w:rFonts w:ascii="宋体" w:hAnsi="宋体" w:cs="宋体"/>
          <w:color w:val="auto"/>
          <w:szCs w:val="21"/>
          <w:highlight w:val="none"/>
        </w:rPr>
      </w:pPr>
      <w:r>
        <w:rPr>
          <w:rFonts w:hint="eastAsia" w:ascii="宋体" w:hAnsi="宋体" w:cs="宋体"/>
          <w:color w:val="auto"/>
          <w:szCs w:val="21"/>
          <w:highlight w:val="none"/>
        </w:rPr>
        <w:t>注：</w:t>
      </w:r>
    </w:p>
    <w:p w14:paraId="14DC3FB2">
      <w:pPr>
        <w:snapToGrid w:val="0"/>
        <w:spacing w:before="50" w:after="50"/>
        <w:ind w:firstLine="367" w:firstLineChars="175"/>
        <w:jc w:val="left"/>
        <w:rPr>
          <w:rFonts w:ascii="宋体" w:hAnsi="宋体" w:cs="宋体"/>
          <w:color w:val="auto"/>
          <w:szCs w:val="21"/>
          <w:highlight w:val="none"/>
        </w:rPr>
      </w:pPr>
      <w:r>
        <w:rPr>
          <w:rFonts w:hint="eastAsia" w:ascii="宋体" w:hAnsi="宋体" w:cs="宋体"/>
          <w:color w:val="auto"/>
          <w:szCs w:val="21"/>
          <w:highlight w:val="none"/>
        </w:rPr>
        <w:t>1、报价一经涂改，应在涂改处投标人全称并加盖CA电子签章或者由法定代表人（负责人）或授权委托人签字（或加盖CA电子签字章），否则其投标作无效标处理。</w:t>
      </w:r>
    </w:p>
    <w:p w14:paraId="20BEE7D0">
      <w:pPr>
        <w:snapToGrid w:val="0"/>
        <w:spacing w:before="50" w:after="50"/>
        <w:ind w:firstLine="367" w:firstLineChars="175"/>
        <w:jc w:val="left"/>
        <w:rPr>
          <w:rFonts w:ascii="宋体" w:hAnsi="宋体" w:cs="宋体"/>
          <w:color w:val="auto"/>
          <w:szCs w:val="21"/>
          <w:highlight w:val="none"/>
        </w:rPr>
      </w:pPr>
      <w:r>
        <w:rPr>
          <w:rFonts w:hint="eastAsia" w:ascii="宋体" w:hAnsi="宋体" w:cs="宋体"/>
          <w:color w:val="auto"/>
          <w:szCs w:val="21"/>
          <w:highlight w:val="none"/>
        </w:rPr>
        <w:t>2、以上报价应与“投标报价明细表”相一致。</w:t>
      </w:r>
    </w:p>
    <w:p w14:paraId="328F2551">
      <w:pPr>
        <w:snapToGrid w:val="0"/>
        <w:spacing w:before="50" w:after="50"/>
        <w:ind w:firstLine="367" w:firstLineChars="175"/>
        <w:jc w:val="left"/>
        <w:rPr>
          <w:rFonts w:ascii="宋体" w:hAnsi="宋体" w:cs="宋体"/>
          <w:color w:val="auto"/>
          <w:szCs w:val="21"/>
          <w:highlight w:val="none"/>
        </w:rPr>
      </w:pPr>
      <w:r>
        <w:rPr>
          <w:rFonts w:hint="eastAsia" w:ascii="宋体" w:hAnsi="宋体" w:cs="宋体"/>
          <w:color w:val="auto"/>
          <w:szCs w:val="21"/>
          <w:highlight w:val="none"/>
        </w:rPr>
        <w:t>3、投标人在广西政府采购云平台填写本表时，如本表格式与广西政府采购云平台格式不一致，以广西政府采购云平台格式为准。格式中的各分项“单价”（“</w:t>
      </w:r>
      <w:r>
        <w:rPr>
          <w:rFonts w:hint="eastAsia" w:hAnsi="宋体" w:cs="宋体"/>
          <w:bCs/>
          <w:color w:val="auto"/>
          <w:szCs w:val="21"/>
          <w:highlight w:val="none"/>
        </w:rPr>
        <w:t>房屋征收实施费优惠率” ），</w:t>
      </w:r>
      <w:r>
        <w:rPr>
          <w:rFonts w:hint="eastAsia" w:ascii="宋体" w:hAnsi="宋体" w:cs="宋体"/>
          <w:color w:val="auto"/>
          <w:szCs w:val="21"/>
          <w:highlight w:val="none"/>
        </w:rPr>
        <w:t xml:space="preserve"> “投标总价”（“</w:t>
      </w:r>
      <w:r>
        <w:rPr>
          <w:rFonts w:hint="eastAsia" w:hAnsi="宋体" w:cs="宋体"/>
          <w:bCs/>
          <w:color w:val="auto"/>
          <w:szCs w:val="21"/>
          <w:highlight w:val="none"/>
        </w:rPr>
        <w:t>房屋征收实施费优惠率</w:t>
      </w:r>
      <w:r>
        <w:rPr>
          <w:rFonts w:hint="eastAsia" w:ascii="宋体" w:hAnsi="宋体" w:cs="宋体"/>
          <w:color w:val="auto"/>
          <w:szCs w:val="21"/>
          <w:highlight w:val="none"/>
        </w:rPr>
        <w:t>”）应与本表相一致。</w:t>
      </w:r>
    </w:p>
    <w:p w14:paraId="2D264B00">
      <w:pPr>
        <w:snapToGrid w:val="0"/>
        <w:spacing w:before="50" w:after="50"/>
        <w:ind w:firstLine="420" w:firstLineChars="175"/>
        <w:jc w:val="left"/>
        <w:rPr>
          <w:rFonts w:ascii="宋体" w:hAnsi="宋体" w:cs="宋体"/>
          <w:color w:val="auto"/>
          <w:sz w:val="24"/>
          <w:highlight w:val="none"/>
        </w:rPr>
      </w:pPr>
    </w:p>
    <w:p w14:paraId="2A5DADD5">
      <w:pPr>
        <w:rPr>
          <w:rFonts w:ascii="宋体" w:hAnsi="宋体" w:cs="宋体"/>
          <w:b/>
          <w:color w:val="auto"/>
          <w:sz w:val="32"/>
          <w:szCs w:val="32"/>
          <w:highlight w:val="none"/>
        </w:rPr>
      </w:pPr>
    </w:p>
    <w:p w14:paraId="60F8A99A">
      <w:pPr>
        <w:snapToGrid w:val="0"/>
        <w:spacing w:before="50" w:after="50"/>
        <w:jc w:val="center"/>
        <w:rPr>
          <w:rFonts w:ascii="宋体" w:hAnsi="宋体" w:cs="宋体"/>
          <w:b/>
          <w:color w:val="auto"/>
          <w:sz w:val="32"/>
          <w:szCs w:val="32"/>
          <w:highlight w:val="none"/>
        </w:rPr>
      </w:pPr>
    </w:p>
    <w:p w14:paraId="5AF259BC">
      <w:pPr>
        <w:snapToGrid w:val="0"/>
        <w:spacing w:line="360" w:lineRule="auto"/>
        <w:ind w:firstLine="1470" w:firstLineChars="700"/>
        <w:rPr>
          <w:rFonts w:ascii="宋体" w:hAnsi="宋体" w:cs="宋体"/>
          <w:color w:val="auto"/>
          <w:szCs w:val="21"/>
          <w:highlight w:val="none"/>
        </w:rPr>
      </w:pPr>
      <w:r>
        <w:rPr>
          <w:rFonts w:hint="eastAsia" w:ascii="宋体" w:hAnsi="宋体" w:cs="宋体"/>
          <w:color w:val="auto"/>
          <w:szCs w:val="21"/>
          <w:highlight w:val="none"/>
        </w:rPr>
        <w:t xml:space="preserve">         投标人名称（</w:t>
      </w:r>
      <w:r>
        <w:rPr>
          <w:rFonts w:hint="eastAsia" w:cs="宋体" w:asciiTheme="minorEastAsia" w:hAnsiTheme="minorEastAsia" w:eastAsiaTheme="minorEastAsia"/>
          <w:color w:val="auto"/>
          <w:highlight w:val="none"/>
        </w:rPr>
        <w:t>电子签章</w:t>
      </w:r>
      <w:r>
        <w:rPr>
          <w:rFonts w:hint="eastAsia" w:ascii="宋体" w:hAnsi="宋体" w:cs="宋体"/>
          <w:color w:val="auto"/>
          <w:szCs w:val="21"/>
          <w:highlight w:val="none"/>
        </w:rPr>
        <w:t>）：</w:t>
      </w:r>
    </w:p>
    <w:p w14:paraId="21FF5EB4">
      <w:pPr>
        <w:snapToGrid w:val="0"/>
        <w:spacing w:line="360" w:lineRule="exact"/>
        <w:ind w:left="5665" w:leftChars="1081" w:right="-817" w:rightChars="-389" w:hanging="3395" w:hangingChars="1617"/>
        <w:jc w:val="left"/>
        <w:rPr>
          <w:rFonts w:ascii="宋体" w:hAnsi="宋体" w:cs="宋体"/>
          <w:color w:val="auto"/>
          <w:szCs w:val="21"/>
          <w:highlight w:val="none"/>
        </w:rPr>
      </w:pPr>
      <w:r>
        <w:rPr>
          <w:rFonts w:hint="eastAsia" w:ascii="宋体" w:hAnsi="宋体" w:cs="宋体"/>
          <w:color w:val="auto"/>
          <w:szCs w:val="21"/>
          <w:highlight w:val="none"/>
        </w:rPr>
        <w:t>法定代表人或者委托代理人（</w:t>
      </w:r>
      <w:r>
        <w:rPr>
          <w:rFonts w:hint="eastAsia" w:ascii="宋体" w:cs="宋体"/>
          <w:color w:val="auto"/>
          <w:kern w:val="0"/>
          <w:szCs w:val="21"/>
          <w:highlight w:val="none"/>
        </w:rPr>
        <w:t>电子签名</w:t>
      </w:r>
      <w:r>
        <w:rPr>
          <w:rFonts w:hint="eastAsia" w:ascii="宋体" w:hAnsi="宋体" w:cs="宋体"/>
          <w:color w:val="auto"/>
          <w:szCs w:val="21"/>
          <w:highlight w:val="none"/>
        </w:rPr>
        <w:t>）：</w:t>
      </w:r>
    </w:p>
    <w:p w14:paraId="3D2D0882">
      <w:pPr>
        <w:snapToGrid w:val="0"/>
        <w:spacing w:line="360" w:lineRule="exact"/>
        <w:ind w:left="5665" w:leftChars="1081" w:right="-817" w:rightChars="-389" w:hanging="3395" w:hangingChars="1617"/>
        <w:jc w:val="left"/>
        <w:rPr>
          <w:rFonts w:ascii="宋体" w:hAnsi="宋体" w:cs="宋体"/>
          <w:color w:val="auto"/>
          <w:szCs w:val="21"/>
          <w:highlight w:val="none"/>
        </w:rPr>
      </w:pPr>
      <w:r>
        <w:rPr>
          <w:rFonts w:hint="eastAsia" w:ascii="宋体" w:hAnsi="宋体" w:cs="宋体"/>
          <w:color w:val="auto"/>
          <w:szCs w:val="21"/>
          <w:highlight w:val="none"/>
        </w:rPr>
        <w:t xml:space="preserve">           日期：    年   月   日</w:t>
      </w:r>
    </w:p>
    <w:p w14:paraId="5DBDC41A">
      <w:pPr>
        <w:pStyle w:val="5"/>
        <w:rPr>
          <w:color w:val="auto"/>
          <w:highlight w:val="none"/>
        </w:rPr>
      </w:pPr>
      <w:r>
        <w:rPr>
          <w:color w:val="auto"/>
          <w:highlight w:val="none"/>
        </w:rPr>
        <w:br w:type="page"/>
      </w:r>
    </w:p>
    <w:p w14:paraId="40D1FAF1">
      <w:pPr>
        <w:snapToGrid w:val="0"/>
        <w:spacing w:before="50" w:after="50"/>
        <w:jc w:val="center"/>
        <w:rPr>
          <w:rFonts w:ascii="宋体" w:hAnsi="宋体" w:cs="宋体"/>
          <w:b/>
          <w:color w:val="auto"/>
          <w:sz w:val="32"/>
          <w:szCs w:val="32"/>
          <w:highlight w:val="none"/>
        </w:rPr>
      </w:pPr>
      <w:r>
        <w:rPr>
          <w:rFonts w:hint="eastAsia" w:ascii="宋体" w:hAnsi="宋体" w:cs="宋体"/>
          <w:b/>
          <w:color w:val="auto"/>
          <w:sz w:val="32"/>
          <w:szCs w:val="32"/>
          <w:highlight w:val="none"/>
        </w:rPr>
        <w:t>3.投标报价明细表</w:t>
      </w:r>
    </w:p>
    <w:p w14:paraId="228EE86F">
      <w:pPr>
        <w:snapToGrid w:val="0"/>
        <w:spacing w:before="50" w:after="50"/>
        <w:rPr>
          <w:rFonts w:ascii="宋体" w:hAnsi="宋体" w:cs="宋体"/>
          <w:color w:val="auto"/>
          <w:szCs w:val="21"/>
          <w:highlight w:val="none"/>
        </w:rPr>
      </w:pPr>
    </w:p>
    <w:p w14:paraId="786F6864">
      <w:pPr>
        <w:snapToGrid w:val="0"/>
        <w:spacing w:before="50" w:after="50"/>
        <w:rPr>
          <w:rFonts w:ascii="宋体" w:hAnsi="宋体" w:cs="宋体"/>
          <w:color w:val="auto"/>
          <w:szCs w:val="21"/>
          <w:highlight w:val="none"/>
          <w:u w:val="single"/>
        </w:rPr>
      </w:pPr>
      <w:r>
        <w:rPr>
          <w:rFonts w:hint="eastAsia" w:ascii="宋体" w:hAnsi="宋体" w:cs="宋体"/>
          <w:color w:val="auto"/>
          <w:szCs w:val="21"/>
          <w:highlight w:val="none"/>
        </w:rPr>
        <w:t>项目名称：                  项目编号：            分标（如有）：</w:t>
      </w:r>
    </w:p>
    <w:p w14:paraId="7990C077">
      <w:pPr>
        <w:snapToGrid w:val="0"/>
        <w:spacing w:before="50" w:after="50"/>
        <w:rPr>
          <w:rFonts w:ascii="宋体" w:hAnsi="宋体" w:cs="宋体"/>
          <w:color w:val="auto"/>
          <w:szCs w:val="21"/>
          <w:highlight w:val="none"/>
        </w:rPr>
      </w:pPr>
      <w:r>
        <w:rPr>
          <w:rFonts w:hint="eastAsia" w:ascii="宋体" w:hAnsi="宋体" w:cs="宋体"/>
          <w:color w:val="auto"/>
          <w:szCs w:val="21"/>
          <w:highlight w:val="none"/>
        </w:rPr>
        <w:t xml:space="preserve">投标人名称：                                              </w:t>
      </w:r>
    </w:p>
    <w:tbl>
      <w:tblPr>
        <w:tblStyle w:val="48"/>
        <w:tblW w:w="92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3589"/>
        <w:gridCol w:w="1905"/>
        <w:gridCol w:w="1701"/>
        <w:gridCol w:w="1376"/>
      </w:tblGrid>
      <w:tr w14:paraId="48EF8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0" w:type="dxa"/>
            <w:shd w:val="clear" w:color="auto" w:fill="auto"/>
            <w:vAlign w:val="center"/>
          </w:tcPr>
          <w:p w14:paraId="640E6DCE">
            <w:pPr>
              <w:spacing w:line="288" w:lineRule="auto"/>
              <w:contextualSpacing/>
              <w:jc w:val="center"/>
              <w:rPr>
                <w:rFonts w:ascii="宋体" w:hAnsi="宋体" w:cs="宋体"/>
                <w:b/>
                <w:bCs/>
                <w:color w:val="auto"/>
                <w:szCs w:val="21"/>
                <w:highlight w:val="none"/>
              </w:rPr>
            </w:pPr>
            <w:r>
              <w:rPr>
                <w:rFonts w:hint="eastAsia" w:ascii="宋体" w:hAnsi="宋体" w:cs="宋体"/>
                <w:b/>
                <w:bCs/>
                <w:color w:val="auto"/>
                <w:szCs w:val="21"/>
                <w:highlight w:val="none"/>
              </w:rPr>
              <w:t>序号</w:t>
            </w:r>
          </w:p>
        </w:tc>
        <w:tc>
          <w:tcPr>
            <w:tcW w:w="3589" w:type="dxa"/>
            <w:shd w:val="clear" w:color="auto" w:fill="auto"/>
            <w:vAlign w:val="center"/>
          </w:tcPr>
          <w:p w14:paraId="19BA3C2A">
            <w:pPr>
              <w:spacing w:line="288" w:lineRule="auto"/>
              <w:contextualSpacing/>
              <w:jc w:val="center"/>
              <w:rPr>
                <w:rFonts w:ascii="宋体" w:hAnsi="宋体" w:cs="宋体"/>
                <w:b/>
                <w:bCs/>
                <w:color w:val="auto"/>
                <w:szCs w:val="21"/>
                <w:highlight w:val="none"/>
              </w:rPr>
            </w:pPr>
            <w:r>
              <w:rPr>
                <w:rFonts w:hint="eastAsia" w:ascii="宋体" w:hAnsi="宋体" w:cs="宋体"/>
                <w:b/>
                <w:bCs/>
                <w:color w:val="auto"/>
                <w:szCs w:val="21"/>
                <w:highlight w:val="none"/>
              </w:rPr>
              <w:t>服务标的名称</w:t>
            </w:r>
          </w:p>
        </w:tc>
        <w:tc>
          <w:tcPr>
            <w:tcW w:w="1905" w:type="dxa"/>
            <w:shd w:val="clear" w:color="auto" w:fill="auto"/>
            <w:vAlign w:val="center"/>
          </w:tcPr>
          <w:p w14:paraId="38FBBAB5">
            <w:pPr>
              <w:widowControl/>
              <w:spacing w:line="288" w:lineRule="auto"/>
              <w:jc w:val="center"/>
              <w:rPr>
                <w:rFonts w:ascii="宋体" w:hAnsi="宋体" w:cs="宋体"/>
                <w:b/>
                <w:bCs/>
                <w:color w:val="auto"/>
                <w:szCs w:val="21"/>
                <w:highlight w:val="none"/>
              </w:rPr>
            </w:pPr>
            <w:r>
              <w:rPr>
                <w:rFonts w:hint="eastAsia" w:ascii="宋体" w:hAnsi="宋体" w:cs="宋体"/>
                <w:b/>
                <w:bCs/>
                <w:color w:val="auto"/>
                <w:kern w:val="0"/>
                <w:szCs w:val="21"/>
                <w:highlight w:val="none"/>
              </w:rPr>
              <w:t>报价名称</w:t>
            </w:r>
          </w:p>
        </w:tc>
        <w:tc>
          <w:tcPr>
            <w:tcW w:w="1701" w:type="dxa"/>
            <w:shd w:val="clear" w:color="auto" w:fill="auto"/>
            <w:vAlign w:val="center"/>
          </w:tcPr>
          <w:p w14:paraId="73EB62FF">
            <w:pPr>
              <w:widowControl/>
              <w:spacing w:line="288" w:lineRule="auto"/>
              <w:jc w:val="center"/>
              <w:rPr>
                <w:rFonts w:ascii="宋体" w:hAnsi="宋体" w:cs="宋体"/>
                <w:b/>
                <w:bCs/>
                <w:color w:val="auto"/>
                <w:szCs w:val="21"/>
                <w:highlight w:val="none"/>
              </w:rPr>
            </w:pPr>
            <w:r>
              <w:rPr>
                <w:rFonts w:hint="eastAsia" w:ascii="宋体" w:hAnsi="宋体" w:cs="宋体"/>
                <w:b/>
                <w:bCs/>
                <w:color w:val="auto"/>
                <w:kern w:val="0"/>
                <w:szCs w:val="21"/>
                <w:highlight w:val="none"/>
              </w:rPr>
              <w:t>价格优惠率报价</w:t>
            </w:r>
          </w:p>
        </w:tc>
        <w:tc>
          <w:tcPr>
            <w:tcW w:w="1376" w:type="dxa"/>
            <w:shd w:val="clear" w:color="auto" w:fill="auto"/>
            <w:vAlign w:val="center"/>
          </w:tcPr>
          <w:p w14:paraId="084F9C88">
            <w:pPr>
              <w:spacing w:line="288" w:lineRule="auto"/>
              <w:contextualSpacing/>
              <w:jc w:val="center"/>
              <w:rPr>
                <w:rFonts w:ascii="宋体" w:hAnsi="宋体" w:cs="宋体"/>
                <w:b/>
                <w:bCs/>
                <w:color w:val="auto"/>
                <w:szCs w:val="21"/>
                <w:highlight w:val="none"/>
              </w:rPr>
            </w:pPr>
            <w:r>
              <w:rPr>
                <w:rFonts w:hint="eastAsia" w:ascii="宋体" w:hAnsi="宋体" w:cs="宋体"/>
                <w:b/>
                <w:bCs/>
                <w:color w:val="auto"/>
                <w:szCs w:val="21"/>
                <w:highlight w:val="none"/>
              </w:rPr>
              <w:t>备注</w:t>
            </w:r>
          </w:p>
        </w:tc>
      </w:tr>
      <w:tr w14:paraId="32881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trPr>
        <w:tc>
          <w:tcPr>
            <w:tcW w:w="710" w:type="dxa"/>
            <w:vAlign w:val="center"/>
          </w:tcPr>
          <w:p w14:paraId="6EC4A484">
            <w:pPr>
              <w:spacing w:line="288" w:lineRule="auto"/>
              <w:contextualSpacing/>
              <w:jc w:val="center"/>
              <w:rPr>
                <w:rFonts w:ascii="宋体" w:hAnsi="宋体" w:cs="宋体"/>
                <w:bCs/>
                <w:color w:val="auto"/>
                <w:szCs w:val="21"/>
                <w:highlight w:val="none"/>
              </w:rPr>
            </w:pPr>
            <w:r>
              <w:rPr>
                <w:rFonts w:hint="eastAsia" w:ascii="宋体" w:hAnsi="宋体" w:cs="宋体"/>
                <w:bCs/>
                <w:color w:val="auto"/>
                <w:szCs w:val="21"/>
                <w:highlight w:val="none"/>
              </w:rPr>
              <w:t>1</w:t>
            </w:r>
          </w:p>
        </w:tc>
        <w:tc>
          <w:tcPr>
            <w:tcW w:w="3589" w:type="dxa"/>
            <w:vAlign w:val="center"/>
          </w:tcPr>
          <w:p w14:paraId="2E651889">
            <w:pPr>
              <w:spacing w:line="288" w:lineRule="auto"/>
              <w:contextualSpacing/>
              <w:jc w:val="center"/>
              <w:rPr>
                <w:rFonts w:hint="eastAsia" w:hAnsi="宋体" w:eastAsia="宋体" w:cs="宋体"/>
                <w:bCs/>
                <w:color w:val="auto"/>
                <w:szCs w:val="21"/>
                <w:highlight w:val="none"/>
                <w:lang w:eastAsia="zh-CN"/>
              </w:rPr>
            </w:pPr>
            <w:r>
              <w:rPr>
                <w:rFonts w:hint="eastAsia" w:hAnsi="宋体" w:cs="宋体"/>
                <w:bCs/>
                <w:color w:val="auto"/>
                <w:szCs w:val="21"/>
                <w:highlight w:val="none"/>
                <w:lang w:eastAsia="zh-CN"/>
              </w:rPr>
              <w:t>柳州市黄村村及周边片区城中村改造项目（胜利地块）集体土地上房屋动迁服务</w:t>
            </w:r>
          </w:p>
        </w:tc>
        <w:tc>
          <w:tcPr>
            <w:tcW w:w="1905" w:type="dxa"/>
            <w:vAlign w:val="center"/>
          </w:tcPr>
          <w:p w14:paraId="7E1D9A69">
            <w:pPr>
              <w:spacing w:line="288" w:lineRule="auto"/>
              <w:contextualSpacing/>
              <w:jc w:val="center"/>
              <w:rPr>
                <w:rFonts w:ascii="宋体" w:hAnsi="宋体" w:cs="宋体"/>
                <w:bCs/>
                <w:color w:val="auto"/>
                <w:szCs w:val="21"/>
                <w:highlight w:val="none"/>
              </w:rPr>
            </w:pPr>
            <w:r>
              <w:rPr>
                <w:rFonts w:hint="eastAsia" w:hAnsi="宋体" w:cs="宋体"/>
                <w:bCs/>
                <w:color w:val="auto"/>
                <w:szCs w:val="21"/>
                <w:highlight w:val="none"/>
              </w:rPr>
              <w:t>房屋征收实施费优惠率</w:t>
            </w:r>
          </w:p>
        </w:tc>
        <w:tc>
          <w:tcPr>
            <w:tcW w:w="1701" w:type="dxa"/>
            <w:vAlign w:val="center"/>
          </w:tcPr>
          <w:p w14:paraId="27711E52">
            <w:pPr>
              <w:spacing w:line="288" w:lineRule="auto"/>
              <w:ind w:firstLine="840" w:firstLineChars="400"/>
              <w:contextualSpacing/>
              <w:rPr>
                <w:rFonts w:ascii="宋体" w:hAnsi="宋体" w:cs="宋体"/>
                <w:bCs/>
                <w:color w:val="auto"/>
                <w:szCs w:val="21"/>
                <w:highlight w:val="none"/>
              </w:rPr>
            </w:pPr>
            <w:r>
              <w:rPr>
                <w:rFonts w:hint="eastAsia" w:ascii="宋体" w:hAnsi="宋体" w:cs="宋体"/>
                <w:bCs/>
                <w:color w:val="auto"/>
                <w:szCs w:val="21"/>
                <w:highlight w:val="none"/>
              </w:rPr>
              <w:t>%</w:t>
            </w:r>
          </w:p>
        </w:tc>
        <w:tc>
          <w:tcPr>
            <w:tcW w:w="1376" w:type="dxa"/>
          </w:tcPr>
          <w:p w14:paraId="4C1E22F1">
            <w:pPr>
              <w:pStyle w:val="5"/>
              <w:spacing w:line="288" w:lineRule="auto"/>
              <w:ind w:left="0" w:firstLine="0"/>
              <w:outlineLvl w:val="3"/>
              <w:rPr>
                <w:color w:val="auto"/>
                <w:sz w:val="21"/>
                <w:szCs w:val="21"/>
                <w:highlight w:val="none"/>
              </w:rPr>
            </w:pPr>
          </w:p>
        </w:tc>
      </w:tr>
      <w:tr w14:paraId="77B20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9281" w:type="dxa"/>
            <w:gridSpan w:val="5"/>
          </w:tcPr>
          <w:p w14:paraId="264F6597">
            <w:pPr>
              <w:widowControl/>
              <w:spacing w:line="288" w:lineRule="auto"/>
              <w:jc w:val="left"/>
              <w:rPr>
                <w:rFonts w:ascii="宋体" w:hAnsi="宋体" w:cs="宋体"/>
                <w:color w:val="auto"/>
                <w:szCs w:val="21"/>
                <w:highlight w:val="none"/>
              </w:rPr>
            </w:pPr>
            <w:r>
              <w:rPr>
                <w:rFonts w:hint="eastAsia" w:ascii="宋体" w:hAnsi="宋体" w:cs="宋体"/>
                <w:b/>
                <w:color w:val="auto"/>
                <w:kern w:val="0"/>
                <w:szCs w:val="21"/>
                <w:highlight w:val="none"/>
              </w:rPr>
              <w:t>说明</w:t>
            </w:r>
            <w:r>
              <w:rPr>
                <w:rFonts w:hint="eastAsia" w:ascii="宋体" w:hAnsi="宋体" w:cs="宋体"/>
                <w:bCs/>
                <w:color w:val="auto"/>
                <w:kern w:val="0"/>
                <w:szCs w:val="21"/>
                <w:highlight w:val="none"/>
              </w:rPr>
              <w:t>：</w:t>
            </w:r>
          </w:p>
          <w:p w14:paraId="0387A6D9">
            <w:pPr>
              <w:widowControl/>
              <w:spacing w:line="288" w:lineRule="auto"/>
              <w:jc w:val="left"/>
              <w:rPr>
                <w:rFonts w:ascii="宋体" w:hAnsi="宋体" w:cs="宋体"/>
                <w:bCs/>
                <w:color w:val="auto"/>
                <w:kern w:val="0"/>
                <w:szCs w:val="21"/>
                <w:highlight w:val="none"/>
              </w:rPr>
            </w:pPr>
            <w:r>
              <w:rPr>
                <w:rFonts w:hint="eastAsia" w:ascii="宋体" w:hAnsi="宋体" w:cs="宋体"/>
                <w:bCs/>
                <w:color w:val="auto"/>
                <w:kern w:val="0"/>
                <w:szCs w:val="21"/>
                <w:highlight w:val="none"/>
              </w:rPr>
              <w:t>1、优惠率为供应商在标准价的基础上让利的比例，是供应商承诺给予采购人的优惠条件。报价最多</w:t>
            </w:r>
            <w:r>
              <w:rPr>
                <w:rFonts w:hint="eastAsia" w:ascii="宋体" w:hAnsi="宋体" w:cs="宋体"/>
                <w:b/>
                <w:color w:val="auto"/>
                <w:kern w:val="0"/>
                <w:szCs w:val="21"/>
                <w:highlight w:val="none"/>
              </w:rPr>
              <w:t>保留两位小数点</w:t>
            </w:r>
            <w:r>
              <w:rPr>
                <w:rFonts w:hint="eastAsia" w:ascii="宋体" w:hAnsi="宋体" w:cs="宋体"/>
                <w:bCs/>
                <w:color w:val="auto"/>
                <w:kern w:val="0"/>
                <w:szCs w:val="21"/>
                <w:highlight w:val="none"/>
              </w:rPr>
              <w:t>。如某供应商某项费用让利优惠 30%，则价格优惠率=30.00%。</w:t>
            </w:r>
          </w:p>
          <w:p w14:paraId="69532A4D">
            <w:pPr>
              <w:spacing w:line="288" w:lineRule="auto"/>
              <w:ind w:firstLine="210" w:firstLineChars="100"/>
              <w:rPr>
                <w:rFonts w:ascii="宋体" w:hAnsi="宋体" w:cs="宋体"/>
                <w:bCs/>
                <w:color w:val="auto"/>
                <w:kern w:val="0"/>
                <w:szCs w:val="21"/>
                <w:highlight w:val="none"/>
              </w:rPr>
            </w:pPr>
            <w:r>
              <w:rPr>
                <w:rFonts w:hint="eastAsia" w:ascii="宋体" w:hAnsi="宋体" w:cs="宋体"/>
                <w:bCs/>
                <w:color w:val="auto"/>
                <w:kern w:val="0"/>
                <w:szCs w:val="21"/>
                <w:highlight w:val="none"/>
              </w:rPr>
              <w:t>2、</w:t>
            </w:r>
            <w:r>
              <w:rPr>
                <w:rFonts w:hint="eastAsia" w:ascii="宋体" w:hAnsi="宋体" w:cs="宋体"/>
                <w:b/>
                <w:color w:val="auto"/>
                <w:kern w:val="0"/>
                <w:szCs w:val="21"/>
                <w:highlight w:val="none"/>
              </w:rPr>
              <w:t>有效报价范围</w:t>
            </w:r>
            <w:r>
              <w:rPr>
                <w:rFonts w:hint="eastAsia" w:ascii="宋体" w:hAnsi="宋体" w:cs="宋体"/>
                <w:bCs/>
                <w:color w:val="auto"/>
                <w:kern w:val="0"/>
                <w:szCs w:val="21"/>
                <w:highlight w:val="none"/>
              </w:rPr>
              <w:t>：</w:t>
            </w:r>
          </w:p>
          <w:p w14:paraId="3E7A5490">
            <w:pPr>
              <w:spacing w:line="288" w:lineRule="auto"/>
              <w:ind w:firstLine="210" w:firstLineChars="100"/>
              <w:rPr>
                <w:rFonts w:ascii="宋体" w:hAnsi="宋体" w:cs="宋体"/>
                <w:color w:val="auto"/>
                <w:kern w:val="0"/>
                <w:szCs w:val="21"/>
                <w:highlight w:val="none"/>
              </w:rPr>
            </w:pPr>
            <w:r>
              <w:rPr>
                <w:rFonts w:hint="eastAsia" w:ascii="宋体" w:hAnsi="宋体" w:cs="宋体"/>
                <w:color w:val="auto"/>
                <w:szCs w:val="21"/>
                <w:highlight w:val="none"/>
              </w:rPr>
              <w:t xml:space="preserve"> 房屋征收实施费优惠率</w:t>
            </w:r>
            <w:r>
              <w:rPr>
                <w:rFonts w:hint="eastAsia" w:ascii="宋体" w:hAnsi="宋体" w:cs="宋体"/>
                <w:color w:val="auto"/>
                <w:kern w:val="0"/>
                <w:szCs w:val="21"/>
                <w:highlight w:val="none"/>
              </w:rPr>
              <w:t>有效报价范围为</w:t>
            </w:r>
            <w:r>
              <w:rPr>
                <w:rFonts w:hint="eastAsia" w:ascii="宋体" w:hAnsi="宋体" w:cs="宋体"/>
                <w:b/>
                <w:bCs/>
                <w:color w:val="auto"/>
                <w:kern w:val="0"/>
                <w:szCs w:val="21"/>
                <w:highlight w:val="none"/>
              </w:rPr>
              <w:t>：</w:t>
            </w:r>
            <w:r>
              <w:rPr>
                <w:rFonts w:hint="eastAsia" w:ascii="宋体" w:hAnsi="宋体" w:cs="宋体"/>
                <w:color w:val="auto"/>
                <w:kern w:val="0"/>
                <w:szCs w:val="21"/>
                <w:highlight w:val="none"/>
              </w:rPr>
              <w:t>30.00%—100.00%（含本数）。超出有效报价范围的报价无效。</w:t>
            </w:r>
          </w:p>
          <w:p w14:paraId="6BFC5488">
            <w:pPr>
              <w:spacing w:line="288" w:lineRule="auto"/>
              <w:rPr>
                <w:rFonts w:ascii="宋体" w:hAnsi="宋体" w:cs="宋体"/>
                <w:b/>
                <w:bCs/>
                <w:color w:val="auto"/>
                <w:szCs w:val="21"/>
                <w:highlight w:val="none"/>
              </w:rPr>
            </w:pPr>
            <w:r>
              <w:rPr>
                <w:rFonts w:hint="eastAsia" w:ascii="宋体" w:hAnsi="宋体" w:cs="宋体"/>
                <w:b/>
                <w:bCs/>
                <w:color w:val="auto"/>
                <w:szCs w:val="21"/>
                <w:highlight w:val="none"/>
              </w:rPr>
              <w:t>3、结算时：</w:t>
            </w:r>
          </w:p>
          <w:p w14:paraId="4F8297FC">
            <w:pPr>
              <w:widowControl/>
              <w:shd w:val="clear" w:color="auto" w:fill="FFFFFF"/>
              <w:spacing w:line="360" w:lineRule="auto"/>
              <w:ind w:firstLine="210" w:firstLineChars="100"/>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b/>
                <w:bCs/>
                <w:color w:val="auto"/>
                <w:kern w:val="0"/>
                <w:szCs w:val="21"/>
                <w:highlight w:val="none"/>
                <w:u w:val="single"/>
              </w:rPr>
              <w:t xml:space="preserve">房屋征收实施费 </w:t>
            </w:r>
            <w:r>
              <w:rPr>
                <w:rFonts w:hint="eastAsia" w:ascii="宋体" w:hAnsi="宋体" w:cs="宋体"/>
                <w:b/>
                <w:bCs/>
                <w:color w:val="auto"/>
                <w:kern w:val="0"/>
                <w:szCs w:val="21"/>
                <w:highlight w:val="none"/>
              </w:rPr>
              <w:t>：</w:t>
            </w:r>
            <w:r>
              <w:rPr>
                <w:rFonts w:hint="eastAsia" w:ascii="宋体" w:hAnsi="宋体" w:cs="宋体"/>
                <w:bCs/>
                <w:color w:val="auto"/>
                <w:kern w:val="0"/>
                <w:szCs w:val="21"/>
                <w:highlight w:val="none"/>
                <w:u w:val="single"/>
              </w:rPr>
              <w:t>实际完成的工作量为基准</w:t>
            </w:r>
            <w:r>
              <w:rPr>
                <w:rFonts w:hint="eastAsia" w:ascii="宋体" w:hAnsi="宋体" w:cs="宋体"/>
                <w:color w:val="auto"/>
                <w:szCs w:val="21"/>
                <w:highlight w:val="none"/>
              </w:rPr>
              <w:t>，</w:t>
            </w:r>
            <w:r>
              <w:rPr>
                <w:rFonts w:hint="eastAsia" w:ascii="宋体" w:hAnsi="宋体" w:cs="宋体"/>
                <w:b/>
                <w:bCs/>
                <w:color w:val="auto"/>
                <w:kern w:val="0"/>
                <w:szCs w:val="21"/>
                <w:highlight w:val="none"/>
              </w:rPr>
              <w:t>按</w:t>
            </w:r>
            <w:r>
              <w:rPr>
                <w:rFonts w:hint="eastAsia" w:ascii="宋体" w:hAnsi="宋体" w:cs="宋体"/>
                <w:color w:val="auto"/>
                <w:kern w:val="0"/>
                <w:szCs w:val="21"/>
                <w:highlight w:val="none"/>
                <w:u w:val="single"/>
              </w:rPr>
              <w:t>“柳财发〔2013〕1 号”</w:t>
            </w:r>
            <w:r>
              <w:rPr>
                <w:rFonts w:hint="eastAsia" w:ascii="宋体" w:hAnsi="宋体" w:cs="宋体"/>
                <w:b/>
                <w:bCs/>
                <w:color w:val="auto"/>
                <w:kern w:val="0"/>
                <w:szCs w:val="21"/>
                <w:highlight w:val="none"/>
              </w:rPr>
              <w:t>和</w:t>
            </w:r>
            <w:r>
              <w:rPr>
                <w:rFonts w:hint="eastAsia" w:ascii="宋体" w:hAnsi="宋体" w:cs="宋体"/>
                <w:color w:val="auto"/>
                <w:kern w:val="0"/>
                <w:szCs w:val="21"/>
                <w:highlight w:val="none"/>
                <w:u w:val="single"/>
              </w:rPr>
              <w:t>“柳财发〔2015〕1 号”等</w:t>
            </w:r>
            <w:r>
              <w:rPr>
                <w:rFonts w:hint="eastAsia" w:ascii="宋体" w:hAnsi="宋体" w:cs="宋体"/>
                <w:color w:val="auto"/>
                <w:kern w:val="0"/>
                <w:szCs w:val="21"/>
                <w:highlight w:val="none"/>
              </w:rPr>
              <w:t>文件规定</w:t>
            </w:r>
            <w:r>
              <w:rPr>
                <w:rFonts w:hint="eastAsia" w:ascii="宋体" w:hAnsi="宋体" w:cs="宋体"/>
                <w:color w:val="auto"/>
                <w:szCs w:val="21"/>
                <w:highlight w:val="none"/>
              </w:rPr>
              <w:t>计算的</w:t>
            </w:r>
            <w:r>
              <w:rPr>
                <w:rFonts w:hint="eastAsia" w:ascii="宋体" w:hAnsi="宋体" w:cs="宋体"/>
                <w:b/>
                <w:bCs/>
                <w:color w:val="auto"/>
                <w:szCs w:val="21"/>
                <w:highlight w:val="none"/>
              </w:rPr>
              <w:t>标准价×（1-房屋征收实施费优惠率）</w:t>
            </w:r>
            <w:r>
              <w:rPr>
                <w:rFonts w:hint="eastAsia" w:ascii="宋体" w:hAnsi="宋体" w:cs="宋体"/>
                <w:color w:val="auto"/>
                <w:szCs w:val="21"/>
                <w:highlight w:val="none"/>
              </w:rPr>
              <w:t>进行</w:t>
            </w:r>
            <w:r>
              <w:rPr>
                <w:rFonts w:hint="eastAsia" w:ascii="宋体" w:hAnsi="宋体" w:cs="宋体"/>
                <w:b/>
                <w:bCs/>
                <w:color w:val="auto"/>
                <w:szCs w:val="21"/>
                <w:highlight w:val="none"/>
              </w:rPr>
              <w:t>结算</w:t>
            </w:r>
            <w:r>
              <w:rPr>
                <w:rFonts w:hint="eastAsia" w:ascii="宋体" w:hAnsi="宋体" w:cs="宋体"/>
                <w:color w:val="auto"/>
                <w:szCs w:val="21"/>
                <w:highlight w:val="none"/>
              </w:rPr>
              <w:t>。</w:t>
            </w:r>
          </w:p>
          <w:p w14:paraId="2A2F2BEF">
            <w:pPr>
              <w:widowControl/>
              <w:shd w:val="clear" w:color="auto" w:fill="FFFFFF"/>
              <w:spacing w:line="360" w:lineRule="auto"/>
              <w:ind w:firstLine="422" w:firstLineChars="200"/>
              <w:rPr>
                <w:rFonts w:ascii="宋体" w:hAnsi="宋体" w:cs="宋体"/>
                <w:color w:val="auto"/>
                <w:szCs w:val="21"/>
                <w:highlight w:val="none"/>
              </w:rPr>
            </w:pPr>
            <w:r>
              <w:rPr>
                <w:rFonts w:hint="eastAsia" w:ascii="宋体" w:hAnsi="宋体" w:cs="宋体"/>
                <w:b/>
                <w:bCs/>
                <w:color w:val="auto"/>
                <w:szCs w:val="21"/>
                <w:highlight w:val="none"/>
              </w:rPr>
              <w:t>其中</w:t>
            </w:r>
            <w:r>
              <w:rPr>
                <w:rFonts w:hint="eastAsia" w:ascii="宋体" w:hAnsi="宋体" w:cs="宋体"/>
                <w:color w:val="auto"/>
                <w:szCs w:val="21"/>
                <w:highlight w:val="none"/>
              </w:rPr>
              <w:t>：</w:t>
            </w:r>
            <w:r>
              <w:rPr>
                <w:rFonts w:hint="eastAsia" w:ascii="宋体" w:hAnsi="宋体" w:cs="宋体"/>
                <w:bCs/>
                <w:color w:val="auto"/>
                <w:kern w:val="0"/>
                <w:szCs w:val="21"/>
                <w:highlight w:val="none"/>
                <w:u w:val="single"/>
              </w:rPr>
              <w:t>房屋征收的工作量经采购人审核后，方可核定为计费的工作量。</w:t>
            </w:r>
          </w:p>
        </w:tc>
      </w:tr>
    </w:tbl>
    <w:p w14:paraId="0C7D409F">
      <w:pPr>
        <w:snapToGrid w:val="0"/>
        <w:spacing w:before="50" w:after="50"/>
        <w:jc w:val="left"/>
        <w:rPr>
          <w:rFonts w:ascii="宋体" w:hAnsi="宋体" w:cs="宋体"/>
          <w:color w:val="auto"/>
          <w:szCs w:val="21"/>
          <w:highlight w:val="none"/>
        </w:rPr>
      </w:pPr>
      <w:r>
        <w:rPr>
          <w:rFonts w:hint="eastAsia" w:ascii="宋体" w:hAnsi="宋体" w:cs="宋体"/>
          <w:color w:val="auto"/>
          <w:szCs w:val="21"/>
          <w:highlight w:val="none"/>
        </w:rPr>
        <w:t xml:space="preserve">注: </w:t>
      </w:r>
    </w:p>
    <w:p w14:paraId="40F7F74A">
      <w:pPr>
        <w:snapToGrid w:val="0"/>
        <w:spacing w:before="50" w:after="5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1.投标人的投标报价明细表必须加盖投标人</w:t>
      </w:r>
      <w:r>
        <w:rPr>
          <w:rFonts w:hint="eastAsia" w:cs="宋体" w:asciiTheme="minorEastAsia" w:hAnsiTheme="minorEastAsia" w:eastAsiaTheme="minorEastAsia"/>
          <w:color w:val="auto"/>
          <w:highlight w:val="none"/>
        </w:rPr>
        <w:t>电子签章</w:t>
      </w:r>
      <w:r>
        <w:rPr>
          <w:rFonts w:hint="eastAsia" w:ascii="宋体" w:hAnsi="宋体" w:cs="宋体"/>
          <w:color w:val="auto"/>
          <w:szCs w:val="21"/>
          <w:highlight w:val="none"/>
        </w:rPr>
        <w:t>并由法定代表人或者委托代理人</w:t>
      </w:r>
      <w:r>
        <w:rPr>
          <w:rFonts w:hint="eastAsia" w:ascii="宋体" w:cs="宋体"/>
          <w:color w:val="auto"/>
          <w:kern w:val="0"/>
          <w:szCs w:val="21"/>
          <w:highlight w:val="none"/>
        </w:rPr>
        <w:t>电子签名</w:t>
      </w:r>
      <w:r>
        <w:rPr>
          <w:rFonts w:hint="eastAsia" w:ascii="宋体" w:hAnsi="宋体" w:cs="宋体"/>
          <w:color w:val="auto"/>
          <w:szCs w:val="21"/>
          <w:highlight w:val="none"/>
        </w:rPr>
        <w:t>，</w:t>
      </w:r>
      <w:r>
        <w:rPr>
          <w:rFonts w:hint="eastAsia" w:ascii="宋体" w:hAnsi="宋体" w:cs="宋体"/>
          <w:b/>
          <w:color w:val="auto"/>
          <w:szCs w:val="21"/>
          <w:highlight w:val="none"/>
        </w:rPr>
        <w:t>否则其投标作无效标处理</w:t>
      </w:r>
      <w:r>
        <w:rPr>
          <w:rFonts w:hint="eastAsia" w:ascii="宋体" w:hAnsi="宋体" w:cs="宋体"/>
          <w:color w:val="auto"/>
          <w:szCs w:val="21"/>
          <w:highlight w:val="none"/>
        </w:rPr>
        <w:t>。</w:t>
      </w:r>
    </w:p>
    <w:p w14:paraId="3792B5B3">
      <w:pPr>
        <w:snapToGrid w:val="0"/>
        <w:spacing w:before="50" w:after="50"/>
        <w:ind w:firstLine="420" w:firstLineChars="200"/>
        <w:jc w:val="left"/>
        <w:rPr>
          <w:rFonts w:ascii="宋体" w:hAnsi="宋体" w:cs="宋体"/>
          <w:b/>
          <w:color w:val="auto"/>
          <w:szCs w:val="21"/>
          <w:highlight w:val="none"/>
        </w:rPr>
      </w:pPr>
      <w:r>
        <w:rPr>
          <w:rFonts w:hint="eastAsia" w:ascii="宋体" w:hAnsi="宋体" w:cs="宋体"/>
          <w:bCs/>
          <w:color w:val="auto"/>
          <w:szCs w:val="21"/>
          <w:highlight w:val="none"/>
        </w:rPr>
        <w:t>2.</w:t>
      </w:r>
      <w:r>
        <w:rPr>
          <w:rFonts w:hint="eastAsia" w:ascii="宋体" w:hAnsi="宋体" w:cs="宋体"/>
          <w:color w:val="auto"/>
          <w:szCs w:val="21"/>
          <w:highlight w:val="none"/>
        </w:rPr>
        <w:t>报价一经涂改，应在涂改处加盖投标人</w:t>
      </w:r>
      <w:r>
        <w:rPr>
          <w:rFonts w:hint="eastAsia" w:cs="宋体" w:asciiTheme="minorEastAsia" w:hAnsiTheme="minorEastAsia" w:eastAsiaTheme="minorEastAsia"/>
          <w:color w:val="auto"/>
          <w:highlight w:val="none"/>
        </w:rPr>
        <w:t>电子签章</w:t>
      </w:r>
      <w:r>
        <w:rPr>
          <w:rFonts w:hint="eastAsia" w:ascii="宋体" w:hAnsi="宋体" w:cs="宋体"/>
          <w:color w:val="auto"/>
          <w:szCs w:val="21"/>
          <w:highlight w:val="none"/>
        </w:rPr>
        <w:t>或者由法定代表人或者委托代理人</w:t>
      </w:r>
      <w:r>
        <w:rPr>
          <w:rFonts w:hint="eastAsia" w:ascii="宋体" w:cs="宋体"/>
          <w:color w:val="auto"/>
          <w:kern w:val="0"/>
          <w:szCs w:val="21"/>
          <w:highlight w:val="none"/>
        </w:rPr>
        <w:t>电子签名</w:t>
      </w:r>
      <w:r>
        <w:rPr>
          <w:rFonts w:hint="eastAsia" w:ascii="宋体" w:hAnsi="宋体" w:cs="宋体"/>
          <w:b/>
          <w:color w:val="auto"/>
          <w:szCs w:val="21"/>
          <w:highlight w:val="none"/>
        </w:rPr>
        <w:t>，否则其投标作无效标处理。</w:t>
      </w:r>
    </w:p>
    <w:p w14:paraId="3031A6D4">
      <w:pPr>
        <w:snapToGrid w:val="0"/>
        <w:spacing w:before="50" w:after="50"/>
        <w:ind w:firstLine="420" w:firstLineChars="200"/>
        <w:rPr>
          <w:rFonts w:ascii="宋体" w:hAnsi="宋体" w:cs="宋体"/>
          <w:b/>
          <w:color w:val="auto"/>
          <w:szCs w:val="21"/>
          <w:highlight w:val="none"/>
        </w:rPr>
      </w:pPr>
      <w:r>
        <w:rPr>
          <w:rFonts w:hint="eastAsia" w:ascii="宋体" w:hAnsi="宋体" w:cs="宋体"/>
          <w:color w:val="auto"/>
          <w:szCs w:val="21"/>
          <w:highlight w:val="none"/>
        </w:rPr>
        <w:t>3.如有多分标，按分标分别提供投标报价明细表，</w:t>
      </w:r>
      <w:r>
        <w:rPr>
          <w:rFonts w:hint="eastAsia" w:ascii="宋体" w:hAnsi="宋体" w:cs="宋体"/>
          <w:b/>
          <w:color w:val="auto"/>
          <w:szCs w:val="21"/>
          <w:highlight w:val="none"/>
        </w:rPr>
        <w:t>否则投标无效。</w:t>
      </w:r>
    </w:p>
    <w:p w14:paraId="237A4C81">
      <w:pPr>
        <w:snapToGrid w:val="0"/>
        <w:spacing w:line="360" w:lineRule="auto"/>
        <w:ind w:firstLine="1470" w:firstLineChars="700"/>
        <w:rPr>
          <w:rFonts w:ascii="宋体" w:hAnsi="宋体" w:cs="宋体"/>
          <w:color w:val="auto"/>
          <w:szCs w:val="21"/>
          <w:highlight w:val="none"/>
        </w:rPr>
      </w:pPr>
    </w:p>
    <w:p w14:paraId="148C5E92">
      <w:pPr>
        <w:snapToGrid w:val="0"/>
        <w:spacing w:line="360" w:lineRule="auto"/>
        <w:ind w:firstLine="1470" w:firstLineChars="700"/>
        <w:rPr>
          <w:rFonts w:ascii="宋体" w:hAnsi="宋体" w:cs="宋体"/>
          <w:color w:val="auto"/>
          <w:szCs w:val="21"/>
          <w:highlight w:val="none"/>
        </w:rPr>
      </w:pPr>
    </w:p>
    <w:p w14:paraId="5E237C3A">
      <w:pPr>
        <w:snapToGrid w:val="0"/>
        <w:spacing w:line="360" w:lineRule="auto"/>
        <w:ind w:firstLine="1470" w:firstLineChars="700"/>
        <w:rPr>
          <w:rFonts w:ascii="宋体" w:hAnsi="宋体" w:cs="宋体"/>
          <w:color w:val="auto"/>
          <w:szCs w:val="21"/>
          <w:highlight w:val="none"/>
        </w:rPr>
      </w:pPr>
      <w:r>
        <w:rPr>
          <w:rFonts w:hint="eastAsia" w:ascii="宋体" w:hAnsi="宋体" w:cs="宋体"/>
          <w:color w:val="auto"/>
          <w:szCs w:val="21"/>
          <w:highlight w:val="none"/>
        </w:rPr>
        <w:t xml:space="preserve">          投标人名称（</w:t>
      </w:r>
      <w:r>
        <w:rPr>
          <w:rFonts w:hint="eastAsia" w:cs="宋体" w:asciiTheme="minorEastAsia" w:hAnsiTheme="minorEastAsia" w:eastAsiaTheme="minorEastAsia"/>
          <w:color w:val="auto"/>
          <w:highlight w:val="none"/>
        </w:rPr>
        <w:t>电子签章</w:t>
      </w:r>
      <w:r>
        <w:rPr>
          <w:rFonts w:hint="eastAsia" w:ascii="宋体" w:hAnsi="宋体" w:cs="宋体"/>
          <w:color w:val="auto"/>
          <w:szCs w:val="21"/>
          <w:highlight w:val="none"/>
        </w:rPr>
        <w:t>）：</w:t>
      </w:r>
    </w:p>
    <w:p w14:paraId="03300858">
      <w:pPr>
        <w:snapToGrid w:val="0"/>
        <w:spacing w:line="360" w:lineRule="exact"/>
        <w:ind w:left="5665" w:leftChars="1081" w:right="-817" w:rightChars="-389" w:hanging="3395" w:hangingChars="1617"/>
        <w:jc w:val="left"/>
        <w:rPr>
          <w:rFonts w:ascii="宋体" w:hAnsi="宋体" w:cs="宋体"/>
          <w:color w:val="auto"/>
          <w:szCs w:val="21"/>
          <w:highlight w:val="none"/>
        </w:rPr>
      </w:pPr>
      <w:r>
        <w:rPr>
          <w:rFonts w:hint="eastAsia" w:ascii="宋体" w:hAnsi="宋体" w:cs="宋体"/>
          <w:color w:val="auto"/>
          <w:szCs w:val="21"/>
          <w:highlight w:val="none"/>
        </w:rPr>
        <w:t>法定代表人或者委托代理人（</w:t>
      </w:r>
      <w:r>
        <w:rPr>
          <w:rFonts w:hint="eastAsia" w:ascii="宋体" w:cs="宋体"/>
          <w:color w:val="auto"/>
          <w:kern w:val="0"/>
          <w:szCs w:val="21"/>
          <w:highlight w:val="none"/>
        </w:rPr>
        <w:t>电子签名</w:t>
      </w:r>
      <w:r>
        <w:rPr>
          <w:rFonts w:hint="eastAsia" w:ascii="宋体" w:hAnsi="宋体" w:cs="宋体"/>
          <w:color w:val="auto"/>
          <w:szCs w:val="21"/>
          <w:highlight w:val="none"/>
        </w:rPr>
        <w:t>）：</w:t>
      </w:r>
    </w:p>
    <w:p w14:paraId="770CA545">
      <w:pPr>
        <w:snapToGrid w:val="0"/>
        <w:spacing w:line="360" w:lineRule="exact"/>
        <w:ind w:left="5665" w:leftChars="1081" w:right="-817" w:rightChars="-389" w:hanging="3395" w:hangingChars="1617"/>
        <w:jc w:val="left"/>
        <w:rPr>
          <w:rFonts w:ascii="宋体" w:hAnsi="宋体" w:cs="宋体"/>
          <w:color w:val="auto"/>
          <w:szCs w:val="21"/>
          <w:highlight w:val="none"/>
        </w:rPr>
      </w:pPr>
      <w:r>
        <w:rPr>
          <w:rFonts w:hint="eastAsia" w:ascii="宋体" w:hAnsi="宋体" w:cs="宋体"/>
          <w:color w:val="auto"/>
          <w:szCs w:val="21"/>
          <w:highlight w:val="none"/>
        </w:rPr>
        <w:t xml:space="preserve">           日期：    年   月   日</w:t>
      </w:r>
    </w:p>
    <w:p w14:paraId="029F76AC">
      <w:pPr>
        <w:spacing w:line="400" w:lineRule="exact"/>
        <w:jc w:val="center"/>
        <w:rPr>
          <w:rFonts w:ascii="宋体" w:hAnsi="宋体" w:cs="宋体"/>
          <w:b/>
          <w:color w:val="auto"/>
          <w:sz w:val="32"/>
          <w:szCs w:val="32"/>
          <w:highlight w:val="none"/>
        </w:rPr>
      </w:pPr>
      <w:r>
        <w:rPr>
          <w:rFonts w:ascii="宋体" w:hAnsi="宋体" w:cs="宋体"/>
          <w:b/>
          <w:bCs/>
          <w:color w:val="auto"/>
          <w:szCs w:val="21"/>
          <w:highlight w:val="none"/>
        </w:rPr>
        <w:br w:type="page"/>
      </w:r>
      <w:r>
        <w:rPr>
          <w:rFonts w:hint="eastAsia" w:ascii="宋体" w:hAnsi="宋体" w:cs="宋体"/>
          <w:b/>
          <w:color w:val="auto"/>
          <w:sz w:val="32"/>
          <w:szCs w:val="32"/>
          <w:highlight w:val="none"/>
        </w:rPr>
        <w:t>4.投标人针对报价需要说明的其他文件和说明</w:t>
      </w:r>
    </w:p>
    <w:p w14:paraId="5E78442D">
      <w:pPr>
        <w:spacing w:line="400" w:lineRule="exact"/>
        <w:jc w:val="center"/>
        <w:rPr>
          <w:rFonts w:cs="宋体" w:asciiTheme="minorEastAsia" w:hAnsiTheme="minorEastAsia" w:eastAsiaTheme="minorEastAsia"/>
          <w:bCs/>
          <w:color w:val="auto"/>
          <w:sz w:val="28"/>
          <w:szCs w:val="28"/>
          <w:highlight w:val="none"/>
        </w:rPr>
      </w:pPr>
      <w:r>
        <w:rPr>
          <w:rFonts w:hint="eastAsia" w:ascii="宋体" w:hAnsi="宋体" w:cs="宋体"/>
          <w:bCs/>
          <w:color w:val="auto"/>
          <w:sz w:val="28"/>
          <w:szCs w:val="28"/>
          <w:highlight w:val="none"/>
        </w:rPr>
        <w:t>（如有，请提供，格式自拟）</w:t>
      </w:r>
    </w:p>
    <w:p w14:paraId="7D95733C">
      <w:pPr>
        <w:spacing w:line="380" w:lineRule="exact"/>
        <w:rPr>
          <w:rFonts w:ascii="宋体" w:hAnsi="宋体"/>
          <w:b/>
          <w:color w:val="auto"/>
          <w:sz w:val="24"/>
          <w:highlight w:val="none"/>
        </w:rPr>
      </w:pPr>
    </w:p>
    <w:p w14:paraId="3FB79602">
      <w:pPr>
        <w:spacing w:line="380" w:lineRule="exact"/>
        <w:jc w:val="center"/>
        <w:rPr>
          <w:rFonts w:ascii="宋体" w:hAnsi="宋体"/>
          <w:b/>
          <w:color w:val="auto"/>
          <w:sz w:val="32"/>
          <w:szCs w:val="32"/>
          <w:highlight w:val="none"/>
        </w:rPr>
      </w:pPr>
    </w:p>
    <w:p w14:paraId="7CB71375">
      <w:pPr>
        <w:spacing w:line="380" w:lineRule="exact"/>
        <w:jc w:val="center"/>
        <w:rPr>
          <w:rFonts w:ascii="宋体" w:hAnsi="宋体"/>
          <w:b/>
          <w:color w:val="auto"/>
          <w:sz w:val="32"/>
          <w:szCs w:val="32"/>
          <w:highlight w:val="none"/>
        </w:rPr>
      </w:pPr>
    </w:p>
    <w:bookmarkEnd w:id="113"/>
    <w:bookmarkEnd w:id="114"/>
    <w:p w14:paraId="1D5CF5D4">
      <w:pPr>
        <w:rPr>
          <w:rFonts w:ascii="宋体" w:hAnsi="宋体" w:cs="宋体"/>
          <w:color w:val="auto"/>
          <w:sz w:val="24"/>
          <w:highlight w:val="none"/>
        </w:rPr>
      </w:pPr>
      <w:r>
        <w:rPr>
          <w:rFonts w:ascii="宋体" w:hAnsi="宋体" w:cs="宋体"/>
          <w:color w:val="auto"/>
          <w:sz w:val="24"/>
          <w:highlight w:val="none"/>
        </w:rPr>
        <w:br w:type="page"/>
      </w:r>
    </w:p>
    <w:p w14:paraId="7C0C06E4">
      <w:pPr>
        <w:rPr>
          <w:rFonts w:ascii="宋体" w:hAnsi="宋体" w:cs="宋体"/>
          <w:b/>
          <w:color w:val="auto"/>
          <w:sz w:val="28"/>
          <w:szCs w:val="28"/>
          <w:highlight w:val="none"/>
        </w:rPr>
      </w:pPr>
      <w:bookmarkStart w:id="118" w:name="_Toc19686838"/>
      <w:r>
        <w:rPr>
          <w:rFonts w:hint="eastAsia" w:ascii="宋体" w:hAnsi="宋体" w:cs="宋体"/>
          <w:b/>
          <w:color w:val="auto"/>
          <w:sz w:val="28"/>
          <w:szCs w:val="28"/>
          <w:highlight w:val="none"/>
        </w:rPr>
        <w:t>三、商务及技术文件格式</w:t>
      </w:r>
      <w:bookmarkEnd w:id="118"/>
    </w:p>
    <w:p w14:paraId="5B76BFBE">
      <w:pPr>
        <w:snapToGrid w:val="0"/>
        <w:spacing w:beforeLines="50" w:after="50" w:line="360" w:lineRule="auto"/>
        <w:jc w:val="left"/>
        <w:rPr>
          <w:rFonts w:ascii="宋体" w:hAnsi="宋体" w:cs="宋体"/>
          <w:b/>
          <w:color w:val="auto"/>
          <w:sz w:val="24"/>
          <w:highlight w:val="none"/>
        </w:rPr>
      </w:pPr>
      <w:r>
        <w:rPr>
          <w:rFonts w:hint="eastAsia" w:ascii="宋体" w:hAnsi="宋体" w:cs="宋体"/>
          <w:b/>
          <w:color w:val="auto"/>
          <w:sz w:val="24"/>
          <w:highlight w:val="none"/>
        </w:rPr>
        <w:t xml:space="preserve">1.商务及技术文件封面格式： </w:t>
      </w:r>
    </w:p>
    <w:p w14:paraId="326A5D19">
      <w:pPr>
        <w:snapToGrid w:val="0"/>
        <w:spacing w:beforeLines="50" w:after="50"/>
        <w:jc w:val="center"/>
        <w:rPr>
          <w:rFonts w:ascii="宋体" w:hAnsi="宋体" w:cs="宋体"/>
          <w:bCs/>
          <w:color w:val="auto"/>
          <w:sz w:val="48"/>
          <w:szCs w:val="48"/>
          <w:highlight w:val="none"/>
        </w:rPr>
      </w:pPr>
    </w:p>
    <w:p w14:paraId="7028894D">
      <w:pPr>
        <w:snapToGrid w:val="0"/>
        <w:spacing w:beforeLines="50" w:after="50"/>
        <w:jc w:val="center"/>
        <w:rPr>
          <w:rFonts w:ascii="宋体" w:hAnsi="宋体" w:cs="宋体"/>
          <w:color w:val="auto"/>
          <w:sz w:val="24"/>
          <w:highlight w:val="none"/>
        </w:rPr>
      </w:pPr>
      <w:r>
        <w:rPr>
          <w:rFonts w:hint="eastAsia" w:ascii="宋体" w:hAnsi="宋体" w:cs="宋体"/>
          <w:bCs/>
          <w:color w:val="auto"/>
          <w:sz w:val="48"/>
          <w:szCs w:val="48"/>
          <w:highlight w:val="none"/>
        </w:rPr>
        <w:t>电子投标文件</w:t>
      </w:r>
    </w:p>
    <w:p w14:paraId="54D98EF9">
      <w:pPr>
        <w:snapToGrid w:val="0"/>
        <w:spacing w:beforeLines="50" w:after="50"/>
        <w:rPr>
          <w:rFonts w:ascii="宋体" w:hAnsi="宋体" w:cs="宋体"/>
          <w:color w:val="auto"/>
          <w:sz w:val="24"/>
          <w:szCs w:val="20"/>
          <w:highlight w:val="none"/>
        </w:rPr>
      </w:pPr>
    </w:p>
    <w:p w14:paraId="1148AFB3">
      <w:pPr>
        <w:snapToGrid w:val="0"/>
        <w:spacing w:beforeLines="50" w:after="50"/>
        <w:jc w:val="center"/>
        <w:rPr>
          <w:rFonts w:ascii="宋体" w:hAnsi="宋体" w:cs="宋体"/>
          <w:b/>
          <w:color w:val="auto"/>
          <w:sz w:val="24"/>
          <w:szCs w:val="20"/>
          <w:highlight w:val="none"/>
        </w:rPr>
      </w:pPr>
      <w:r>
        <w:rPr>
          <w:rFonts w:hint="eastAsia" w:ascii="宋体" w:hAnsi="宋体" w:cs="宋体"/>
          <w:b/>
          <w:color w:val="auto"/>
          <w:sz w:val="32"/>
          <w:szCs w:val="32"/>
          <w:highlight w:val="none"/>
        </w:rPr>
        <w:t>商务及技术文件</w:t>
      </w:r>
    </w:p>
    <w:p w14:paraId="170A88AD">
      <w:pPr>
        <w:snapToGrid w:val="0"/>
        <w:spacing w:beforeLines="50" w:after="50"/>
        <w:rPr>
          <w:rFonts w:ascii="宋体" w:hAnsi="宋体" w:cs="宋体"/>
          <w:bCs/>
          <w:color w:val="auto"/>
          <w:sz w:val="24"/>
          <w:szCs w:val="20"/>
          <w:highlight w:val="none"/>
        </w:rPr>
      </w:pPr>
    </w:p>
    <w:p w14:paraId="040211FA">
      <w:pPr>
        <w:snapToGrid w:val="0"/>
        <w:spacing w:beforeLines="50" w:after="50"/>
        <w:ind w:firstLine="630" w:firstLineChars="225"/>
        <w:rPr>
          <w:rFonts w:ascii="宋体" w:hAnsi="宋体" w:cs="宋体"/>
          <w:bCs/>
          <w:color w:val="auto"/>
          <w:sz w:val="28"/>
          <w:szCs w:val="28"/>
          <w:highlight w:val="none"/>
        </w:rPr>
      </w:pPr>
      <w:r>
        <w:rPr>
          <w:rFonts w:hint="eastAsia" w:ascii="宋体" w:hAnsi="宋体" w:cs="宋体"/>
          <w:bCs/>
          <w:color w:val="auto"/>
          <w:sz w:val="28"/>
          <w:szCs w:val="28"/>
          <w:highlight w:val="none"/>
        </w:rPr>
        <w:t>项目名称：</w:t>
      </w:r>
    </w:p>
    <w:p w14:paraId="226ECDD0">
      <w:pPr>
        <w:snapToGrid w:val="0"/>
        <w:spacing w:beforeLines="50" w:after="50"/>
        <w:ind w:firstLine="630" w:firstLineChars="225"/>
        <w:rPr>
          <w:rFonts w:ascii="宋体" w:hAnsi="宋体" w:cs="宋体"/>
          <w:bCs/>
          <w:color w:val="auto"/>
          <w:sz w:val="28"/>
          <w:szCs w:val="28"/>
          <w:highlight w:val="none"/>
        </w:rPr>
      </w:pPr>
    </w:p>
    <w:p w14:paraId="219F0C47">
      <w:pPr>
        <w:snapToGrid w:val="0"/>
        <w:spacing w:beforeLines="50" w:after="50"/>
        <w:ind w:firstLine="630" w:firstLineChars="225"/>
        <w:rPr>
          <w:rFonts w:ascii="宋体" w:hAnsi="宋体" w:cs="宋体"/>
          <w:bCs/>
          <w:color w:val="auto"/>
          <w:sz w:val="28"/>
          <w:szCs w:val="28"/>
          <w:highlight w:val="none"/>
        </w:rPr>
      </w:pPr>
      <w:r>
        <w:rPr>
          <w:rFonts w:hint="eastAsia" w:ascii="宋体" w:hAnsi="宋体" w:cs="宋体"/>
          <w:bCs/>
          <w:color w:val="auto"/>
          <w:sz w:val="28"/>
          <w:szCs w:val="28"/>
          <w:highlight w:val="none"/>
        </w:rPr>
        <w:t>项目编号：</w:t>
      </w:r>
    </w:p>
    <w:p w14:paraId="1711DFF6">
      <w:pPr>
        <w:snapToGrid w:val="0"/>
        <w:spacing w:beforeLines="50" w:after="50"/>
        <w:ind w:firstLine="630" w:firstLineChars="225"/>
        <w:rPr>
          <w:rFonts w:ascii="宋体" w:hAnsi="宋体" w:cs="宋体"/>
          <w:bCs/>
          <w:color w:val="auto"/>
          <w:sz w:val="28"/>
          <w:szCs w:val="28"/>
          <w:highlight w:val="none"/>
        </w:rPr>
      </w:pPr>
    </w:p>
    <w:p w14:paraId="021DFAD3">
      <w:pPr>
        <w:snapToGrid w:val="0"/>
        <w:spacing w:beforeLines="50" w:after="50"/>
        <w:ind w:firstLine="630" w:firstLineChars="225"/>
        <w:rPr>
          <w:rFonts w:ascii="宋体" w:hAnsi="宋体" w:cs="宋体"/>
          <w:bCs/>
          <w:color w:val="auto"/>
          <w:sz w:val="28"/>
          <w:szCs w:val="28"/>
          <w:highlight w:val="none"/>
        </w:rPr>
      </w:pPr>
      <w:r>
        <w:rPr>
          <w:rFonts w:hint="eastAsia" w:ascii="宋体" w:hAnsi="宋体" w:cs="宋体"/>
          <w:bCs/>
          <w:color w:val="auto"/>
          <w:sz w:val="28"/>
          <w:szCs w:val="28"/>
          <w:highlight w:val="none"/>
        </w:rPr>
        <w:t>所投分标：</w:t>
      </w:r>
      <w:r>
        <w:rPr>
          <w:rFonts w:hint="eastAsia" w:ascii="宋体" w:hAnsi="宋体" w:cs="宋体"/>
          <w:color w:val="auto"/>
          <w:spacing w:val="4"/>
          <w:sz w:val="28"/>
          <w:szCs w:val="28"/>
          <w:highlight w:val="none"/>
        </w:rPr>
        <w:t>（若无留空或写“/”）</w:t>
      </w:r>
    </w:p>
    <w:p w14:paraId="2F0CB9C2">
      <w:pPr>
        <w:snapToGrid w:val="0"/>
        <w:spacing w:beforeLines="50" w:after="50"/>
        <w:ind w:firstLine="630" w:firstLineChars="225"/>
        <w:rPr>
          <w:rFonts w:ascii="宋体" w:hAnsi="宋体" w:cs="宋体"/>
          <w:bCs/>
          <w:color w:val="auto"/>
          <w:sz w:val="28"/>
          <w:szCs w:val="28"/>
          <w:highlight w:val="none"/>
        </w:rPr>
      </w:pPr>
    </w:p>
    <w:p w14:paraId="45A1BE26">
      <w:pPr>
        <w:pStyle w:val="7"/>
        <w:snapToGrid w:val="0"/>
        <w:spacing w:before="50" w:after="50"/>
        <w:ind w:firstLine="630" w:firstLineChars="225"/>
        <w:rPr>
          <w:rFonts w:ascii="宋体" w:hAnsi="宋体" w:cs="宋体"/>
          <w:bCs/>
          <w:color w:val="auto"/>
          <w:sz w:val="28"/>
          <w:szCs w:val="28"/>
          <w:highlight w:val="none"/>
        </w:rPr>
      </w:pPr>
      <w:r>
        <w:rPr>
          <w:rFonts w:hint="eastAsia" w:ascii="宋体" w:hAnsi="宋体" w:cs="宋体"/>
          <w:bCs/>
          <w:color w:val="auto"/>
          <w:sz w:val="28"/>
          <w:szCs w:val="28"/>
          <w:highlight w:val="none"/>
        </w:rPr>
        <w:t>投标人名称：</w:t>
      </w:r>
    </w:p>
    <w:p w14:paraId="020C8227">
      <w:pPr>
        <w:pStyle w:val="7"/>
        <w:snapToGrid w:val="0"/>
        <w:spacing w:before="50" w:after="50"/>
        <w:ind w:firstLine="630" w:firstLineChars="225"/>
        <w:rPr>
          <w:rFonts w:ascii="宋体" w:hAnsi="宋体" w:cs="宋体"/>
          <w:bCs/>
          <w:color w:val="auto"/>
          <w:sz w:val="28"/>
          <w:szCs w:val="28"/>
          <w:highlight w:val="none"/>
        </w:rPr>
      </w:pPr>
      <w:r>
        <w:rPr>
          <w:rFonts w:hint="eastAsia" w:ascii="宋体" w:hAnsi="宋体" w:cs="宋体"/>
          <w:bCs/>
          <w:color w:val="auto"/>
          <w:sz w:val="28"/>
          <w:szCs w:val="28"/>
          <w:highlight w:val="none"/>
        </w:rPr>
        <w:t>投标人地址：</w:t>
      </w:r>
    </w:p>
    <w:p w14:paraId="6A00475A">
      <w:pPr>
        <w:pStyle w:val="7"/>
        <w:snapToGrid w:val="0"/>
        <w:spacing w:before="50" w:after="50"/>
        <w:ind w:firstLine="1120" w:firstLineChars="400"/>
        <w:rPr>
          <w:rFonts w:ascii="宋体" w:hAnsi="宋体" w:cs="宋体"/>
          <w:bCs/>
          <w:color w:val="auto"/>
          <w:sz w:val="28"/>
          <w:szCs w:val="28"/>
          <w:highlight w:val="none"/>
        </w:rPr>
      </w:pPr>
    </w:p>
    <w:p w14:paraId="3D692B4E">
      <w:pPr>
        <w:snapToGrid w:val="0"/>
        <w:spacing w:beforeLines="50" w:after="50"/>
        <w:ind w:firstLine="645"/>
        <w:rPr>
          <w:rFonts w:ascii="宋体" w:hAnsi="宋体" w:cs="宋体"/>
          <w:color w:val="auto"/>
          <w:sz w:val="28"/>
          <w:szCs w:val="28"/>
          <w:highlight w:val="none"/>
        </w:rPr>
      </w:pPr>
      <w:r>
        <w:rPr>
          <w:rFonts w:hint="eastAsia" w:ascii="宋体" w:hAnsi="宋体" w:cs="宋体"/>
          <w:color w:val="auto"/>
          <w:sz w:val="28"/>
          <w:szCs w:val="28"/>
          <w:highlight w:val="none"/>
        </w:rPr>
        <w:t xml:space="preserve">                        年  月  日</w:t>
      </w:r>
    </w:p>
    <w:p w14:paraId="2D6EAD8E">
      <w:pPr>
        <w:snapToGrid w:val="0"/>
        <w:spacing w:beforeLines="50" w:after="50"/>
        <w:rPr>
          <w:rFonts w:ascii="宋体" w:hAnsi="宋体" w:cs="宋体"/>
          <w:color w:val="auto"/>
          <w:sz w:val="24"/>
          <w:szCs w:val="20"/>
          <w:highlight w:val="none"/>
        </w:rPr>
      </w:pPr>
    </w:p>
    <w:p w14:paraId="09B23FC3">
      <w:pPr>
        <w:snapToGrid w:val="0"/>
        <w:spacing w:line="360" w:lineRule="auto"/>
        <w:jc w:val="center"/>
        <w:rPr>
          <w:rFonts w:ascii="宋体" w:hAnsi="宋体" w:cs="宋体"/>
          <w:b/>
          <w:bCs/>
          <w:color w:val="auto"/>
          <w:sz w:val="28"/>
          <w:szCs w:val="28"/>
          <w:highlight w:val="none"/>
        </w:rPr>
      </w:pPr>
      <w:r>
        <w:rPr>
          <w:rFonts w:hint="eastAsia" w:ascii="宋体" w:hAnsi="宋体" w:cs="宋体"/>
          <w:color w:val="auto"/>
          <w:sz w:val="24"/>
          <w:szCs w:val="20"/>
          <w:highlight w:val="none"/>
        </w:rPr>
        <w:br w:type="page"/>
      </w:r>
      <w:r>
        <w:rPr>
          <w:rFonts w:hint="eastAsia" w:ascii="宋体" w:hAnsi="宋体" w:cs="宋体"/>
          <w:b/>
          <w:bCs/>
          <w:color w:val="auto"/>
          <w:sz w:val="32"/>
          <w:szCs w:val="32"/>
          <w:highlight w:val="none"/>
        </w:rPr>
        <w:t>商务及技术文件目录</w:t>
      </w:r>
    </w:p>
    <w:p w14:paraId="6E5C961E">
      <w:pPr>
        <w:snapToGrid w:val="0"/>
        <w:spacing w:before="50" w:afterLines="50" w:line="360" w:lineRule="auto"/>
        <w:jc w:val="center"/>
        <w:rPr>
          <w:rFonts w:ascii="宋体" w:hAnsi="宋体" w:cs="宋体"/>
          <w:b/>
          <w:bCs/>
          <w:color w:val="auto"/>
          <w:sz w:val="28"/>
          <w:szCs w:val="28"/>
          <w:highlight w:val="none"/>
        </w:rPr>
      </w:pPr>
      <w:r>
        <w:rPr>
          <w:rFonts w:hint="eastAsia" w:ascii="宋体" w:hAnsi="宋体" w:cs="宋体"/>
          <w:color w:val="auto"/>
          <w:sz w:val="28"/>
          <w:szCs w:val="28"/>
          <w:highlight w:val="none"/>
        </w:rPr>
        <w:t>根据招标文件规定及投标人提供的材料自行编写目录。</w:t>
      </w:r>
    </w:p>
    <w:p w14:paraId="5EF27D8F">
      <w:pPr>
        <w:snapToGrid w:val="0"/>
        <w:spacing w:before="50" w:afterLines="50"/>
        <w:jc w:val="left"/>
        <w:rPr>
          <w:rFonts w:ascii="宋体" w:hAnsi="宋体" w:cs="宋体"/>
          <w:color w:val="auto"/>
          <w:highlight w:val="none"/>
        </w:rPr>
      </w:pPr>
    </w:p>
    <w:p w14:paraId="365C1B0E">
      <w:pPr>
        <w:snapToGrid w:val="0"/>
        <w:spacing w:beforeLines="50" w:after="50"/>
        <w:jc w:val="left"/>
        <w:rPr>
          <w:rFonts w:ascii="宋体" w:hAnsi="宋体" w:cs="宋体"/>
          <w:b/>
          <w:color w:val="auto"/>
          <w:sz w:val="24"/>
          <w:highlight w:val="none"/>
        </w:rPr>
      </w:pPr>
      <w:r>
        <w:rPr>
          <w:rFonts w:hint="eastAsia" w:ascii="宋体" w:hAnsi="宋体" w:cs="宋体"/>
          <w:b/>
          <w:color w:val="auto"/>
          <w:sz w:val="24"/>
          <w:highlight w:val="none"/>
        </w:rPr>
        <w:br w:type="page"/>
      </w:r>
    </w:p>
    <w:p w14:paraId="0D293BBE">
      <w:pPr>
        <w:snapToGrid w:val="0"/>
        <w:spacing w:beforeLines="50" w:after="50"/>
        <w:ind w:left="420"/>
        <w:jc w:val="center"/>
        <w:rPr>
          <w:rFonts w:ascii="宋体" w:hAnsi="宋体" w:cs="宋体"/>
          <w:b/>
          <w:color w:val="auto"/>
          <w:spacing w:val="-17"/>
          <w:sz w:val="32"/>
          <w:szCs w:val="32"/>
          <w:highlight w:val="none"/>
        </w:rPr>
      </w:pPr>
      <w:r>
        <w:rPr>
          <w:rFonts w:hint="eastAsia" w:ascii="宋体" w:hAnsi="宋体" w:cs="宋体"/>
          <w:b/>
          <w:bCs/>
          <w:color w:val="auto"/>
          <w:spacing w:val="-17"/>
          <w:sz w:val="32"/>
          <w:szCs w:val="32"/>
          <w:highlight w:val="none"/>
        </w:rPr>
        <w:t>1.投标人参加本项目无围标串标行为的承诺函</w:t>
      </w:r>
    </w:p>
    <w:p w14:paraId="6E96C3C5">
      <w:pPr>
        <w:spacing w:line="360" w:lineRule="auto"/>
        <w:contextualSpacing/>
        <w:jc w:val="left"/>
        <w:rPr>
          <w:rFonts w:ascii="宋体" w:hAnsi="宋体" w:cs="宋体"/>
          <w:b/>
          <w:color w:val="auto"/>
          <w:szCs w:val="21"/>
          <w:highlight w:val="none"/>
        </w:rPr>
      </w:pPr>
    </w:p>
    <w:p w14:paraId="69956370">
      <w:pPr>
        <w:spacing w:line="360" w:lineRule="auto"/>
        <w:contextualSpacing/>
        <w:jc w:val="left"/>
        <w:rPr>
          <w:rFonts w:ascii="宋体" w:hAnsi="宋体" w:cs="宋体"/>
          <w:b/>
          <w:color w:val="auto"/>
          <w:szCs w:val="21"/>
          <w:highlight w:val="none"/>
        </w:rPr>
      </w:pPr>
      <w:r>
        <w:rPr>
          <w:rFonts w:hint="eastAsia" w:ascii="宋体" w:hAnsi="宋体" w:cs="宋体"/>
          <w:b/>
          <w:color w:val="auto"/>
          <w:szCs w:val="21"/>
          <w:highlight w:val="none"/>
        </w:rPr>
        <w:t>一、我方（如为联合体投标，包含联合体所有成员方，下同）承诺无下列相互串通投标的情形：</w:t>
      </w:r>
    </w:p>
    <w:p w14:paraId="5C4DF490">
      <w:pPr>
        <w:spacing w:line="360" w:lineRule="auto"/>
        <w:ind w:firstLine="411" w:firstLineChars="196"/>
        <w:contextualSpacing/>
        <w:jc w:val="left"/>
        <w:rPr>
          <w:rFonts w:ascii="宋体" w:hAnsi="宋体" w:cs="宋体"/>
          <w:color w:val="auto"/>
          <w:szCs w:val="21"/>
          <w:highlight w:val="none"/>
        </w:rPr>
      </w:pPr>
      <w:r>
        <w:rPr>
          <w:rFonts w:hint="eastAsia" w:ascii="宋体" w:hAnsi="宋体" w:cs="宋体"/>
          <w:color w:val="auto"/>
          <w:szCs w:val="21"/>
          <w:highlight w:val="none"/>
        </w:rPr>
        <w:t xml:space="preserve">1.不同投标人的投标文件由同一单位或者个人编制； </w:t>
      </w:r>
    </w:p>
    <w:p w14:paraId="7E209BA0">
      <w:pPr>
        <w:spacing w:line="360" w:lineRule="auto"/>
        <w:ind w:firstLine="411" w:firstLineChars="196"/>
        <w:contextualSpacing/>
        <w:jc w:val="left"/>
        <w:rPr>
          <w:rFonts w:ascii="宋体" w:hAnsi="宋体" w:cs="宋体"/>
          <w:color w:val="auto"/>
          <w:szCs w:val="21"/>
          <w:highlight w:val="none"/>
        </w:rPr>
      </w:pPr>
      <w:r>
        <w:rPr>
          <w:rFonts w:hint="eastAsia" w:ascii="宋体" w:hAnsi="宋体" w:cs="宋体"/>
          <w:color w:val="auto"/>
          <w:szCs w:val="21"/>
          <w:highlight w:val="none"/>
        </w:rPr>
        <w:t>2.不同投标人委托同一单位或者个人办理投标事宜；</w:t>
      </w:r>
    </w:p>
    <w:p w14:paraId="05964579">
      <w:pPr>
        <w:spacing w:line="360" w:lineRule="auto"/>
        <w:ind w:firstLine="411" w:firstLineChars="196"/>
        <w:contextualSpacing/>
        <w:jc w:val="left"/>
        <w:rPr>
          <w:rFonts w:ascii="宋体" w:hAnsi="宋体" w:cs="宋体"/>
          <w:color w:val="auto"/>
          <w:szCs w:val="21"/>
          <w:highlight w:val="none"/>
        </w:rPr>
      </w:pPr>
      <w:r>
        <w:rPr>
          <w:rFonts w:hint="eastAsia" w:ascii="宋体" w:hAnsi="宋体" w:cs="宋体"/>
          <w:color w:val="auto"/>
          <w:szCs w:val="21"/>
          <w:highlight w:val="none"/>
        </w:rPr>
        <w:t>3.不同的投标人的投标文件载明的项目管理员为同一个人；</w:t>
      </w:r>
    </w:p>
    <w:p w14:paraId="2A8FE948">
      <w:pPr>
        <w:spacing w:line="360" w:lineRule="auto"/>
        <w:ind w:firstLine="411" w:firstLineChars="196"/>
        <w:contextualSpacing/>
        <w:jc w:val="left"/>
        <w:rPr>
          <w:rFonts w:ascii="宋体" w:hAnsi="宋体" w:cs="宋体"/>
          <w:color w:val="auto"/>
          <w:szCs w:val="21"/>
          <w:highlight w:val="none"/>
        </w:rPr>
      </w:pPr>
      <w:r>
        <w:rPr>
          <w:rFonts w:hint="eastAsia" w:ascii="宋体" w:hAnsi="宋体" w:cs="宋体"/>
          <w:color w:val="auto"/>
          <w:szCs w:val="21"/>
          <w:highlight w:val="none"/>
        </w:rPr>
        <w:t>4.不同投标人的投标文件异常一致或者投标报价呈规律性差异；</w:t>
      </w:r>
    </w:p>
    <w:p w14:paraId="334F437E">
      <w:pPr>
        <w:spacing w:line="360" w:lineRule="auto"/>
        <w:ind w:firstLine="411" w:firstLineChars="196"/>
        <w:contextualSpacing/>
        <w:jc w:val="left"/>
        <w:rPr>
          <w:rFonts w:ascii="宋体" w:hAnsi="宋体" w:cs="宋体"/>
          <w:color w:val="auto"/>
          <w:szCs w:val="21"/>
          <w:highlight w:val="none"/>
        </w:rPr>
      </w:pPr>
      <w:r>
        <w:rPr>
          <w:rFonts w:hint="eastAsia" w:ascii="宋体" w:hAnsi="宋体" w:cs="宋体"/>
          <w:color w:val="auto"/>
          <w:szCs w:val="21"/>
          <w:highlight w:val="none"/>
        </w:rPr>
        <w:t>5.不同投标人的投标文件相互混装；</w:t>
      </w:r>
    </w:p>
    <w:p w14:paraId="2667EC37">
      <w:pPr>
        <w:spacing w:line="360" w:lineRule="auto"/>
        <w:ind w:firstLine="411" w:firstLineChars="196"/>
        <w:contextualSpacing/>
        <w:jc w:val="left"/>
        <w:rPr>
          <w:rFonts w:ascii="宋体" w:hAnsi="宋体" w:cs="宋体"/>
          <w:color w:val="auto"/>
          <w:szCs w:val="21"/>
          <w:highlight w:val="none"/>
        </w:rPr>
      </w:pPr>
      <w:r>
        <w:rPr>
          <w:rFonts w:hint="eastAsia" w:ascii="宋体" w:hAnsi="宋体" w:cs="宋体"/>
          <w:color w:val="auto"/>
          <w:szCs w:val="21"/>
          <w:highlight w:val="none"/>
        </w:rPr>
        <w:t>6.不同投标人的投标保证金从同一单位或者个人账户转出。</w:t>
      </w:r>
    </w:p>
    <w:p w14:paraId="3895F6A1">
      <w:pPr>
        <w:spacing w:line="360" w:lineRule="auto"/>
        <w:contextualSpacing/>
        <w:jc w:val="left"/>
        <w:rPr>
          <w:rFonts w:ascii="宋体" w:hAnsi="宋体" w:cs="宋体"/>
          <w:color w:val="auto"/>
          <w:szCs w:val="21"/>
          <w:highlight w:val="none"/>
        </w:rPr>
      </w:pPr>
      <w:r>
        <w:rPr>
          <w:rFonts w:hint="eastAsia" w:ascii="宋体" w:hAnsi="宋体" w:cs="宋体"/>
          <w:b/>
          <w:color w:val="auto"/>
          <w:szCs w:val="21"/>
          <w:highlight w:val="none"/>
        </w:rPr>
        <w:t>二、我方承诺无下列恶意串通的情形：</w:t>
      </w:r>
    </w:p>
    <w:p w14:paraId="40A18260">
      <w:pPr>
        <w:spacing w:line="360" w:lineRule="auto"/>
        <w:ind w:firstLine="411" w:firstLineChars="196"/>
        <w:contextualSpacing/>
        <w:jc w:val="left"/>
        <w:rPr>
          <w:rFonts w:ascii="宋体" w:hAnsi="宋体" w:cs="宋体"/>
          <w:color w:val="auto"/>
          <w:szCs w:val="21"/>
          <w:highlight w:val="none"/>
        </w:rPr>
      </w:pPr>
      <w:r>
        <w:rPr>
          <w:rFonts w:hint="eastAsia" w:ascii="宋体" w:hAnsi="宋体" w:cs="宋体"/>
          <w:color w:val="auto"/>
          <w:szCs w:val="21"/>
          <w:highlight w:val="none"/>
        </w:rPr>
        <w:t>1.投标人直接或者间接从采购人或者采购代理机构处获得其他投标人的相关信息并修改其投标文件或者响应文件；</w:t>
      </w:r>
    </w:p>
    <w:p w14:paraId="5F009B94">
      <w:pPr>
        <w:spacing w:line="360" w:lineRule="auto"/>
        <w:ind w:firstLine="411" w:firstLineChars="196"/>
        <w:contextualSpacing/>
        <w:jc w:val="left"/>
        <w:rPr>
          <w:rFonts w:ascii="宋体" w:hAnsi="宋体" w:cs="宋体"/>
          <w:color w:val="auto"/>
          <w:szCs w:val="21"/>
          <w:highlight w:val="none"/>
        </w:rPr>
      </w:pPr>
      <w:r>
        <w:rPr>
          <w:rFonts w:hint="eastAsia" w:ascii="宋体" w:hAnsi="宋体" w:cs="宋体"/>
          <w:color w:val="auto"/>
          <w:szCs w:val="21"/>
          <w:highlight w:val="none"/>
        </w:rPr>
        <w:t>2.投标人按照采购人或者采购代理机构的授意撤换、修改投标文件或者响应文件；</w:t>
      </w:r>
    </w:p>
    <w:p w14:paraId="1979EB12">
      <w:pPr>
        <w:spacing w:line="360" w:lineRule="auto"/>
        <w:ind w:firstLine="411" w:firstLineChars="196"/>
        <w:contextualSpacing/>
        <w:jc w:val="left"/>
        <w:rPr>
          <w:rFonts w:ascii="宋体" w:hAnsi="宋体" w:cs="宋体"/>
          <w:color w:val="auto"/>
          <w:szCs w:val="21"/>
          <w:highlight w:val="none"/>
        </w:rPr>
      </w:pPr>
      <w:r>
        <w:rPr>
          <w:rFonts w:hint="eastAsia" w:ascii="宋体" w:hAnsi="宋体" w:cs="宋体"/>
          <w:color w:val="auto"/>
          <w:szCs w:val="21"/>
          <w:highlight w:val="none"/>
        </w:rPr>
        <w:t>3.投标人之间协商报价、技术方案等投标文件或者响应文件的实质性内容；</w:t>
      </w:r>
    </w:p>
    <w:p w14:paraId="61F11609">
      <w:pPr>
        <w:spacing w:line="360" w:lineRule="auto"/>
        <w:ind w:firstLine="411" w:firstLineChars="196"/>
        <w:contextualSpacing/>
        <w:jc w:val="left"/>
        <w:rPr>
          <w:rFonts w:ascii="宋体" w:hAnsi="宋体" w:cs="宋体"/>
          <w:color w:val="auto"/>
          <w:szCs w:val="21"/>
          <w:highlight w:val="none"/>
        </w:rPr>
      </w:pPr>
      <w:r>
        <w:rPr>
          <w:rFonts w:hint="eastAsia" w:ascii="宋体" w:hAnsi="宋体" w:cs="宋体"/>
          <w:color w:val="auto"/>
          <w:szCs w:val="21"/>
          <w:highlight w:val="none"/>
        </w:rPr>
        <w:t>4.属于同一集团、协会、商会等组织成员的投标人按照该组织要求协同参加政府采购活动；</w:t>
      </w:r>
    </w:p>
    <w:p w14:paraId="641473DD">
      <w:pPr>
        <w:spacing w:line="360" w:lineRule="auto"/>
        <w:ind w:firstLine="411" w:firstLineChars="196"/>
        <w:contextualSpacing/>
        <w:jc w:val="left"/>
        <w:rPr>
          <w:rFonts w:ascii="宋体" w:hAnsi="宋体" w:cs="宋体"/>
          <w:color w:val="auto"/>
          <w:szCs w:val="21"/>
          <w:highlight w:val="none"/>
        </w:rPr>
      </w:pPr>
      <w:r>
        <w:rPr>
          <w:rFonts w:hint="eastAsia" w:ascii="宋体" w:hAnsi="宋体" w:cs="宋体"/>
          <w:color w:val="auto"/>
          <w:szCs w:val="21"/>
          <w:highlight w:val="none"/>
        </w:rPr>
        <w:t>5.投标人之间事先约定一致抬高或者压低投标报价，或者在招标项目中事先约定轮流以高价位或者低价位中标，或者事先约定由某一特定投标人中标，然后再参加投标；</w:t>
      </w:r>
    </w:p>
    <w:p w14:paraId="2300C296">
      <w:pPr>
        <w:spacing w:line="360" w:lineRule="auto"/>
        <w:ind w:firstLine="411" w:firstLineChars="196"/>
        <w:contextualSpacing/>
        <w:jc w:val="left"/>
        <w:rPr>
          <w:rFonts w:ascii="宋体" w:hAnsi="宋体" w:cs="宋体"/>
          <w:color w:val="auto"/>
          <w:szCs w:val="21"/>
          <w:highlight w:val="none"/>
        </w:rPr>
      </w:pPr>
      <w:r>
        <w:rPr>
          <w:rFonts w:hint="eastAsia" w:ascii="宋体" w:hAnsi="宋体" w:cs="宋体"/>
          <w:color w:val="auto"/>
          <w:szCs w:val="21"/>
          <w:highlight w:val="none"/>
        </w:rPr>
        <w:t>6.投标人之间商定部分投标人放弃参加政府采购活动或者放弃中标；</w:t>
      </w:r>
    </w:p>
    <w:p w14:paraId="25C1209D">
      <w:pPr>
        <w:spacing w:line="360" w:lineRule="auto"/>
        <w:ind w:firstLine="411" w:firstLineChars="196"/>
        <w:contextualSpacing/>
        <w:jc w:val="left"/>
        <w:rPr>
          <w:rFonts w:ascii="宋体" w:hAnsi="宋体" w:cs="宋体"/>
          <w:color w:val="auto"/>
          <w:szCs w:val="21"/>
          <w:highlight w:val="none"/>
        </w:rPr>
      </w:pPr>
      <w:r>
        <w:rPr>
          <w:rFonts w:hint="eastAsia" w:ascii="宋体" w:hAnsi="宋体" w:cs="宋体"/>
          <w:color w:val="auto"/>
          <w:szCs w:val="21"/>
          <w:highlight w:val="none"/>
        </w:rPr>
        <w:t>7.投标人与采购人或者采购代理机构之间、投标人相互之间，为谋求特定投标人中标或者排斥其他投标人的其他串通行为。</w:t>
      </w:r>
    </w:p>
    <w:p w14:paraId="43C0B242">
      <w:pPr>
        <w:spacing w:line="360" w:lineRule="auto"/>
        <w:ind w:firstLine="413" w:firstLineChars="196"/>
        <w:contextualSpacing/>
        <w:jc w:val="left"/>
        <w:rPr>
          <w:rFonts w:ascii="宋体" w:hAnsi="宋体" w:cs="宋体"/>
          <w:b/>
          <w:color w:val="auto"/>
          <w:szCs w:val="21"/>
          <w:highlight w:val="none"/>
        </w:rPr>
      </w:pPr>
      <w:r>
        <w:rPr>
          <w:rFonts w:hint="eastAsia" w:ascii="宋体" w:hAnsi="宋体" w:cs="宋体"/>
          <w:b/>
          <w:color w:val="auto"/>
          <w:szCs w:val="21"/>
          <w:highlight w:val="none"/>
        </w:rPr>
        <w:t>以上情形一经核查属实，我方愿意承担一切后果，并不再寻求任何旨在减轻或者免除法律责任的辩解。</w:t>
      </w:r>
    </w:p>
    <w:p w14:paraId="4AF62C0F">
      <w:pPr>
        <w:pStyle w:val="23"/>
        <w:spacing w:line="360" w:lineRule="auto"/>
        <w:ind w:firstLine="5985" w:firstLineChars="2850"/>
        <w:contextualSpacing/>
        <w:rPr>
          <w:rFonts w:hAnsi="宋体" w:cs="宋体"/>
          <w:color w:val="auto"/>
          <w:sz w:val="21"/>
          <w:highlight w:val="none"/>
        </w:rPr>
      </w:pPr>
    </w:p>
    <w:p w14:paraId="0A787C74">
      <w:pPr>
        <w:snapToGrid w:val="0"/>
        <w:spacing w:line="360" w:lineRule="auto"/>
        <w:ind w:firstLine="1470" w:firstLineChars="700"/>
        <w:rPr>
          <w:rFonts w:ascii="宋体" w:hAnsi="宋体" w:cs="宋体"/>
          <w:color w:val="auto"/>
          <w:szCs w:val="21"/>
          <w:highlight w:val="none"/>
        </w:rPr>
      </w:pPr>
    </w:p>
    <w:p w14:paraId="15F80B69">
      <w:pPr>
        <w:snapToGrid w:val="0"/>
        <w:spacing w:line="360" w:lineRule="auto"/>
        <w:ind w:firstLine="1470" w:firstLineChars="700"/>
        <w:rPr>
          <w:rFonts w:ascii="宋体" w:hAnsi="宋体" w:cs="宋体"/>
          <w:color w:val="auto"/>
          <w:szCs w:val="21"/>
          <w:highlight w:val="none"/>
        </w:rPr>
      </w:pPr>
      <w:r>
        <w:rPr>
          <w:rFonts w:hint="eastAsia" w:ascii="宋体" w:hAnsi="宋体" w:cs="宋体"/>
          <w:color w:val="auto"/>
          <w:szCs w:val="21"/>
          <w:highlight w:val="none"/>
        </w:rPr>
        <w:t xml:space="preserve">                     投标人名称（</w:t>
      </w:r>
      <w:r>
        <w:rPr>
          <w:rFonts w:hint="eastAsia" w:cs="宋体" w:asciiTheme="minorEastAsia" w:hAnsiTheme="minorEastAsia" w:eastAsiaTheme="minorEastAsia"/>
          <w:color w:val="auto"/>
          <w:highlight w:val="none"/>
        </w:rPr>
        <w:t>电子签章</w:t>
      </w:r>
      <w:r>
        <w:rPr>
          <w:rFonts w:hint="eastAsia" w:ascii="宋体" w:hAnsi="宋体" w:cs="宋体"/>
          <w:color w:val="auto"/>
          <w:szCs w:val="21"/>
          <w:highlight w:val="none"/>
        </w:rPr>
        <w:t>）：</w:t>
      </w:r>
    </w:p>
    <w:p w14:paraId="4C256B23">
      <w:pPr>
        <w:pStyle w:val="23"/>
        <w:spacing w:line="360" w:lineRule="auto"/>
        <w:contextualSpacing/>
        <w:jc w:val="center"/>
        <w:rPr>
          <w:rFonts w:hAnsi="宋体" w:cs="宋体"/>
          <w:color w:val="auto"/>
          <w:sz w:val="21"/>
          <w:highlight w:val="none"/>
          <w:u w:val="single"/>
        </w:rPr>
      </w:pPr>
    </w:p>
    <w:p w14:paraId="6AAA1E0E">
      <w:pPr>
        <w:pStyle w:val="23"/>
        <w:spacing w:line="360" w:lineRule="auto"/>
        <w:contextualSpacing/>
        <w:rPr>
          <w:rFonts w:hAnsi="宋体" w:cs="宋体"/>
          <w:color w:val="auto"/>
          <w:sz w:val="21"/>
          <w:highlight w:val="none"/>
        </w:rPr>
      </w:pPr>
      <w:r>
        <w:rPr>
          <w:rFonts w:hint="eastAsia" w:hAnsi="宋体" w:cs="宋体"/>
          <w:color w:val="auto"/>
          <w:sz w:val="21"/>
          <w:highlight w:val="none"/>
        </w:rPr>
        <w:t xml:space="preserve">                                                     年  月  日</w:t>
      </w:r>
    </w:p>
    <w:p w14:paraId="411D129E">
      <w:pPr>
        <w:spacing w:line="440" w:lineRule="exact"/>
        <w:contextualSpacing/>
        <w:rPr>
          <w:rFonts w:ascii="宋体" w:hAnsi="宋体" w:cs="宋体"/>
          <w:b/>
          <w:color w:val="auto"/>
          <w:szCs w:val="21"/>
          <w:highlight w:val="none"/>
        </w:rPr>
      </w:pPr>
    </w:p>
    <w:p w14:paraId="62C350E2">
      <w:pPr>
        <w:snapToGrid w:val="0"/>
        <w:spacing w:line="360" w:lineRule="auto"/>
        <w:ind w:firstLine="413" w:firstLineChars="196"/>
        <w:jc w:val="left"/>
        <w:rPr>
          <w:rFonts w:ascii="宋体" w:hAnsi="宋体" w:cs="宋体"/>
          <w:b/>
          <w:color w:val="auto"/>
          <w:sz w:val="24"/>
          <w:szCs w:val="20"/>
          <w:highlight w:val="none"/>
        </w:rPr>
      </w:pPr>
      <w:r>
        <w:rPr>
          <w:rFonts w:hint="eastAsia" w:ascii="宋体" w:hAnsi="宋体" w:cs="宋体"/>
          <w:b/>
          <w:color w:val="auto"/>
          <w:szCs w:val="21"/>
          <w:highlight w:val="none"/>
        </w:rPr>
        <w:br w:type="page"/>
      </w:r>
    </w:p>
    <w:p w14:paraId="4DACCBB9">
      <w:pPr>
        <w:snapToGrid w:val="0"/>
        <w:jc w:val="center"/>
        <w:rPr>
          <w:rFonts w:ascii="宋体" w:hAnsi="宋体" w:cs="宋体"/>
          <w:b/>
          <w:color w:val="auto"/>
          <w:sz w:val="32"/>
          <w:szCs w:val="32"/>
          <w:highlight w:val="none"/>
        </w:rPr>
      </w:pPr>
      <w:r>
        <w:rPr>
          <w:rFonts w:hint="eastAsia" w:ascii="宋体" w:hAnsi="宋体" w:cs="宋体"/>
          <w:b/>
          <w:color w:val="auto"/>
          <w:sz w:val="32"/>
          <w:szCs w:val="32"/>
          <w:highlight w:val="none"/>
        </w:rPr>
        <w:t>2. 投标保证金提交凭证原件扫描件</w:t>
      </w:r>
    </w:p>
    <w:p w14:paraId="16733C49">
      <w:pPr>
        <w:snapToGrid w:val="0"/>
        <w:jc w:val="left"/>
        <w:rPr>
          <w:rFonts w:ascii="宋体" w:cs="宋体"/>
          <w:b/>
          <w:color w:val="auto"/>
          <w:kern w:val="0"/>
          <w:szCs w:val="21"/>
          <w:highlight w:val="none"/>
        </w:rPr>
      </w:pPr>
      <w:r>
        <w:rPr>
          <w:rFonts w:hint="eastAsia" w:ascii="宋体" w:cs="宋体"/>
          <w:b/>
          <w:color w:val="auto"/>
          <w:kern w:val="0"/>
          <w:szCs w:val="21"/>
          <w:highlight w:val="none"/>
        </w:rPr>
        <w:t xml:space="preserve">           （如要求提交投标保证金的则必须提供，否则按无效投标处理）</w:t>
      </w:r>
    </w:p>
    <w:p w14:paraId="46B57815">
      <w:pPr>
        <w:spacing w:beforeLines="100" w:afterLines="50"/>
        <w:ind w:left="540"/>
        <w:jc w:val="center"/>
        <w:rPr>
          <w:rFonts w:ascii="宋体" w:hAnsi="宋体" w:cs="宋体"/>
          <w:b/>
          <w:color w:val="auto"/>
          <w:sz w:val="32"/>
          <w:szCs w:val="32"/>
          <w:highlight w:val="none"/>
        </w:rPr>
      </w:pPr>
    </w:p>
    <w:p w14:paraId="298BD9EC">
      <w:pPr>
        <w:pStyle w:val="5"/>
        <w:rPr>
          <w:color w:val="auto"/>
          <w:highlight w:val="none"/>
        </w:rPr>
      </w:pPr>
      <w:r>
        <w:rPr>
          <w:color w:val="auto"/>
          <w:highlight w:val="none"/>
        </w:rPr>
        <w:br w:type="page"/>
      </w:r>
    </w:p>
    <w:p w14:paraId="28F919DF">
      <w:pPr>
        <w:spacing w:beforeLines="100" w:afterLines="50"/>
        <w:ind w:left="540"/>
        <w:jc w:val="center"/>
        <w:rPr>
          <w:rFonts w:ascii="宋体" w:hAnsi="宋体" w:cs="宋体"/>
          <w:bCs/>
          <w:color w:val="auto"/>
          <w:sz w:val="44"/>
          <w:szCs w:val="44"/>
          <w:highlight w:val="none"/>
        </w:rPr>
      </w:pPr>
      <w:r>
        <w:rPr>
          <w:rFonts w:hint="eastAsia" w:ascii="宋体" w:hAnsi="宋体" w:cs="宋体"/>
          <w:b/>
          <w:color w:val="auto"/>
          <w:sz w:val="32"/>
          <w:szCs w:val="32"/>
          <w:highlight w:val="none"/>
        </w:rPr>
        <w:t>3.法定代表人身份证明</w:t>
      </w:r>
    </w:p>
    <w:p w14:paraId="4D26DE3C">
      <w:pPr>
        <w:spacing w:line="500" w:lineRule="exact"/>
        <w:ind w:left="540"/>
        <w:rPr>
          <w:rFonts w:ascii="宋体" w:hAnsi="宋体" w:cs="宋体"/>
          <w:color w:val="auto"/>
          <w:sz w:val="24"/>
          <w:highlight w:val="none"/>
          <w:u w:val="single"/>
        </w:rPr>
      </w:pPr>
      <w:r>
        <w:rPr>
          <w:rFonts w:hint="eastAsia" w:ascii="宋体" w:hAnsi="宋体" w:cs="宋体"/>
          <w:color w:val="auto"/>
          <w:sz w:val="24"/>
          <w:highlight w:val="none"/>
        </w:rPr>
        <w:t>投 标 人：</w:t>
      </w:r>
    </w:p>
    <w:p w14:paraId="609E3BCD">
      <w:pPr>
        <w:spacing w:line="500" w:lineRule="exact"/>
        <w:ind w:left="540"/>
        <w:rPr>
          <w:rFonts w:ascii="宋体" w:hAnsi="宋体" w:cs="宋体"/>
          <w:color w:val="auto"/>
          <w:sz w:val="24"/>
          <w:highlight w:val="none"/>
          <w:u w:val="single"/>
        </w:rPr>
      </w:pPr>
      <w:r>
        <w:rPr>
          <w:rFonts w:hint="eastAsia" w:ascii="宋体" w:hAnsi="宋体" w:cs="宋体"/>
          <w:color w:val="auto"/>
          <w:sz w:val="24"/>
          <w:highlight w:val="none"/>
        </w:rPr>
        <w:t>地    址：</w:t>
      </w:r>
    </w:p>
    <w:p w14:paraId="3F5DB246">
      <w:pPr>
        <w:spacing w:line="500" w:lineRule="exact"/>
        <w:ind w:left="540"/>
        <w:rPr>
          <w:rFonts w:ascii="宋体" w:hAnsi="宋体" w:cs="宋体"/>
          <w:color w:val="auto"/>
          <w:sz w:val="24"/>
          <w:highlight w:val="none"/>
          <w:u w:val="single"/>
        </w:rPr>
      </w:pPr>
      <w:r>
        <w:rPr>
          <w:rFonts w:hint="eastAsia" w:ascii="宋体" w:hAnsi="宋体" w:cs="宋体"/>
          <w:color w:val="auto"/>
          <w:sz w:val="24"/>
          <w:highlight w:val="none"/>
        </w:rPr>
        <w:t>姓    名：</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性      别：</w:t>
      </w:r>
    </w:p>
    <w:p w14:paraId="7580A806">
      <w:pPr>
        <w:spacing w:line="500" w:lineRule="exact"/>
        <w:ind w:left="540"/>
        <w:rPr>
          <w:rFonts w:ascii="宋体" w:hAnsi="宋体" w:cs="宋体"/>
          <w:color w:val="auto"/>
          <w:sz w:val="24"/>
          <w:highlight w:val="none"/>
          <w:u w:val="single"/>
        </w:rPr>
      </w:pPr>
      <w:r>
        <w:rPr>
          <w:rFonts w:hint="eastAsia" w:ascii="宋体" w:hAnsi="宋体" w:cs="宋体"/>
          <w:color w:val="auto"/>
          <w:sz w:val="24"/>
          <w:highlight w:val="none"/>
        </w:rPr>
        <w:t>年    龄：</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职      务：</w:t>
      </w:r>
    </w:p>
    <w:p w14:paraId="3138FAF9">
      <w:pPr>
        <w:spacing w:line="500" w:lineRule="exact"/>
        <w:ind w:left="540"/>
        <w:rPr>
          <w:rFonts w:ascii="宋体" w:hAnsi="宋体" w:cs="宋体"/>
          <w:color w:val="auto"/>
          <w:sz w:val="24"/>
          <w:highlight w:val="none"/>
          <w:u w:val="single"/>
        </w:rPr>
      </w:pPr>
      <w:r>
        <w:rPr>
          <w:rFonts w:hint="eastAsia" w:ascii="宋体" w:hAnsi="宋体" w:cs="宋体"/>
          <w:color w:val="auto"/>
          <w:sz w:val="24"/>
          <w:highlight w:val="none"/>
        </w:rPr>
        <w:t>身份证号码：</w:t>
      </w:r>
    </w:p>
    <w:p w14:paraId="541D8ED7">
      <w:pPr>
        <w:spacing w:line="500" w:lineRule="exact"/>
        <w:ind w:left="540"/>
        <w:rPr>
          <w:rFonts w:ascii="宋体" w:hAnsi="宋体" w:cs="宋体"/>
          <w:color w:val="auto"/>
          <w:sz w:val="24"/>
          <w:highlight w:val="none"/>
        </w:rPr>
      </w:pPr>
      <w:r>
        <w:rPr>
          <w:rFonts w:hint="eastAsia" w:ascii="宋体" w:hAnsi="宋体" w:cs="宋体"/>
          <w:color w:val="auto"/>
          <w:sz w:val="24"/>
          <w:highlight w:val="none"/>
        </w:rPr>
        <w:t>系</w:t>
      </w:r>
      <w:r>
        <w:rPr>
          <w:rFonts w:hint="eastAsia" w:ascii="宋体" w:hAnsi="宋体" w:cs="宋体"/>
          <w:color w:val="auto"/>
          <w:sz w:val="24"/>
          <w:highlight w:val="none"/>
          <w:u w:val="single"/>
        </w:rPr>
        <w:t xml:space="preserve">（投标人名称）  </w:t>
      </w:r>
      <w:r>
        <w:rPr>
          <w:rFonts w:hint="eastAsia" w:ascii="宋体" w:hAnsi="宋体" w:cs="宋体"/>
          <w:color w:val="auto"/>
          <w:sz w:val="24"/>
          <w:highlight w:val="none"/>
        </w:rPr>
        <w:t>的法定代表人。</w:t>
      </w:r>
    </w:p>
    <w:p w14:paraId="0DE0A558">
      <w:pPr>
        <w:spacing w:line="500" w:lineRule="exact"/>
        <w:ind w:left="540"/>
        <w:rPr>
          <w:rFonts w:ascii="宋体" w:hAnsi="宋体" w:cs="宋体"/>
          <w:color w:val="auto"/>
          <w:sz w:val="24"/>
          <w:highlight w:val="none"/>
        </w:rPr>
      </w:pPr>
      <w:r>
        <w:rPr>
          <w:rFonts w:hint="eastAsia" w:ascii="宋体" w:hAnsi="宋体" w:cs="宋体"/>
          <w:color w:val="auto"/>
          <w:sz w:val="24"/>
          <w:highlight w:val="none"/>
        </w:rPr>
        <w:t>特此证明。</w:t>
      </w:r>
    </w:p>
    <w:p w14:paraId="1904CC79">
      <w:pPr>
        <w:spacing w:line="500" w:lineRule="exact"/>
        <w:ind w:left="540"/>
        <w:rPr>
          <w:rFonts w:ascii="宋体" w:hAnsi="宋体" w:cs="宋体"/>
          <w:color w:val="auto"/>
          <w:sz w:val="24"/>
          <w:highlight w:val="none"/>
        </w:rPr>
      </w:pPr>
    </w:p>
    <w:p w14:paraId="7D412A1D">
      <w:pPr>
        <w:spacing w:line="500" w:lineRule="exact"/>
        <w:ind w:left="540"/>
        <w:rPr>
          <w:rFonts w:ascii="宋体" w:hAnsi="宋体" w:cs="宋体"/>
          <w:color w:val="auto"/>
          <w:sz w:val="24"/>
          <w:highlight w:val="none"/>
        </w:rPr>
      </w:pPr>
    </w:p>
    <w:p w14:paraId="657A708B">
      <w:pPr>
        <w:spacing w:line="500" w:lineRule="exact"/>
        <w:ind w:left="540"/>
        <w:rPr>
          <w:rFonts w:ascii="宋体" w:hAnsi="宋体" w:cs="宋体"/>
          <w:color w:val="auto"/>
          <w:sz w:val="24"/>
          <w:highlight w:val="none"/>
        </w:rPr>
      </w:pPr>
      <w:r>
        <w:rPr>
          <w:rFonts w:hint="eastAsia" w:ascii="宋体" w:hAnsi="宋体" w:cs="宋体"/>
          <w:b/>
          <w:bCs/>
          <w:color w:val="auto"/>
          <w:sz w:val="24"/>
          <w:highlight w:val="none"/>
        </w:rPr>
        <w:t>附件</w:t>
      </w:r>
      <w:r>
        <w:rPr>
          <w:rFonts w:hint="eastAsia" w:ascii="宋体" w:hAnsi="宋体" w:cs="宋体"/>
          <w:color w:val="auto"/>
          <w:sz w:val="24"/>
          <w:highlight w:val="none"/>
        </w:rPr>
        <w:t>：法定代表人有效身份证正反面复印件</w:t>
      </w:r>
    </w:p>
    <w:p w14:paraId="5BF76470">
      <w:pPr>
        <w:spacing w:line="500" w:lineRule="exact"/>
        <w:ind w:left="540"/>
        <w:rPr>
          <w:rFonts w:ascii="宋体" w:hAnsi="宋体" w:cs="宋体"/>
          <w:color w:val="auto"/>
          <w:sz w:val="24"/>
          <w:highlight w:val="none"/>
        </w:rPr>
      </w:pPr>
    </w:p>
    <w:p w14:paraId="54818E47">
      <w:pPr>
        <w:snapToGrid w:val="0"/>
        <w:spacing w:line="360" w:lineRule="auto"/>
        <w:ind w:firstLine="1680" w:firstLineChars="800"/>
        <w:rPr>
          <w:rFonts w:ascii="宋体" w:hAnsi="宋体" w:cs="宋体"/>
          <w:color w:val="auto"/>
          <w:szCs w:val="21"/>
          <w:highlight w:val="none"/>
        </w:rPr>
      </w:pPr>
      <w:r>
        <w:rPr>
          <w:rFonts w:hint="eastAsia" w:ascii="宋体" w:hAnsi="宋体" w:cs="宋体"/>
          <w:color w:val="auto"/>
          <w:szCs w:val="21"/>
          <w:highlight w:val="none"/>
        </w:rPr>
        <w:t>投标人名称（</w:t>
      </w:r>
      <w:r>
        <w:rPr>
          <w:rFonts w:hint="eastAsia" w:cs="宋体" w:asciiTheme="minorEastAsia" w:hAnsiTheme="minorEastAsia" w:eastAsiaTheme="minorEastAsia"/>
          <w:color w:val="auto"/>
          <w:highlight w:val="none"/>
        </w:rPr>
        <w:t>电子签章</w:t>
      </w:r>
      <w:r>
        <w:rPr>
          <w:rFonts w:hint="eastAsia" w:ascii="宋体" w:hAnsi="宋体" w:cs="宋体"/>
          <w:color w:val="auto"/>
          <w:szCs w:val="21"/>
          <w:highlight w:val="none"/>
        </w:rPr>
        <w:t>）：</w:t>
      </w:r>
    </w:p>
    <w:p w14:paraId="4347030D">
      <w:pPr>
        <w:snapToGrid w:val="0"/>
        <w:spacing w:beforeLines="50" w:after="50"/>
        <w:ind w:left="540"/>
        <w:jc w:val="right"/>
        <w:rPr>
          <w:rFonts w:ascii="宋体" w:hAnsi="宋体" w:cs="宋体"/>
          <w:color w:val="auto"/>
          <w:sz w:val="24"/>
          <w:highlight w:val="none"/>
        </w:rPr>
      </w:pPr>
      <w:r>
        <w:rPr>
          <w:rFonts w:hint="eastAsia" w:ascii="宋体" w:hAnsi="宋体" w:cs="宋体"/>
          <w:color w:val="auto"/>
          <w:sz w:val="24"/>
          <w:highlight w:val="none"/>
        </w:rPr>
        <w:t>年  月  日</w:t>
      </w:r>
    </w:p>
    <w:p w14:paraId="61172E92">
      <w:pPr>
        <w:snapToGrid w:val="0"/>
        <w:spacing w:beforeLines="50" w:after="50"/>
        <w:jc w:val="center"/>
        <w:rPr>
          <w:rFonts w:ascii="宋体" w:hAnsi="宋体" w:cs="宋体"/>
          <w:b/>
          <w:color w:val="auto"/>
          <w:sz w:val="24"/>
          <w:highlight w:val="none"/>
        </w:rPr>
      </w:pPr>
    </w:p>
    <w:p w14:paraId="629500B2">
      <w:pPr>
        <w:snapToGrid w:val="0"/>
        <w:spacing w:beforeLines="50" w:after="50"/>
        <w:jc w:val="left"/>
        <w:rPr>
          <w:rFonts w:ascii="宋体" w:hAnsi="宋体" w:cs="宋体"/>
          <w:b/>
          <w:color w:val="auto"/>
          <w:sz w:val="24"/>
          <w:szCs w:val="20"/>
          <w:highlight w:val="none"/>
        </w:rPr>
      </w:pPr>
      <w:r>
        <w:rPr>
          <w:rFonts w:hint="eastAsia" w:ascii="宋体" w:hAnsi="宋体" w:cs="宋体"/>
          <w:color w:val="auto"/>
          <w:sz w:val="24"/>
          <w:highlight w:val="none"/>
        </w:rPr>
        <w:t>注：自然人投标的无需提供</w:t>
      </w:r>
    </w:p>
    <w:p w14:paraId="31BF6F21">
      <w:pPr>
        <w:rPr>
          <w:rFonts w:ascii="宋体" w:hAnsi="宋体" w:cs="宋体"/>
          <w:b/>
          <w:color w:val="auto"/>
          <w:sz w:val="24"/>
          <w:highlight w:val="none"/>
        </w:rPr>
      </w:pPr>
      <w:r>
        <w:rPr>
          <w:rFonts w:hint="eastAsia" w:ascii="宋体" w:hAnsi="宋体" w:cs="宋体"/>
          <w:b/>
          <w:color w:val="auto"/>
          <w:sz w:val="24"/>
          <w:highlight w:val="none"/>
        </w:rPr>
        <w:br w:type="page"/>
      </w:r>
    </w:p>
    <w:tbl>
      <w:tblPr>
        <w:tblStyle w:val="47"/>
        <w:tblpPr w:leftFromText="180" w:rightFromText="180" w:vertAnchor="text" w:horzAnchor="page" w:tblpX="1856" w:tblpY="312"/>
        <w:tblW w:w="84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1"/>
      </w:tblGrid>
      <w:tr w14:paraId="5B267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5" w:hRule="atLeast"/>
        </w:trPr>
        <w:tc>
          <w:tcPr>
            <w:tcW w:w="8461" w:type="dxa"/>
          </w:tcPr>
          <w:p w14:paraId="1D5ADEC1">
            <w:pPr>
              <w:spacing w:line="360" w:lineRule="auto"/>
              <w:rPr>
                <w:rFonts w:ascii="宋体"/>
                <w:b/>
                <w:color w:val="auto"/>
                <w:sz w:val="24"/>
                <w:highlight w:val="none"/>
              </w:rPr>
            </w:pPr>
          </w:p>
          <w:p w14:paraId="1C58F440">
            <w:pPr>
              <w:spacing w:line="360" w:lineRule="auto"/>
              <w:rPr>
                <w:rFonts w:ascii="宋体"/>
                <w:b/>
                <w:color w:val="auto"/>
                <w:sz w:val="24"/>
                <w:highlight w:val="none"/>
              </w:rPr>
            </w:pPr>
            <w:r>
              <w:rPr>
                <w:rFonts w:hint="eastAsia" w:ascii="宋体"/>
                <w:b/>
                <w:color w:val="auto"/>
                <w:sz w:val="24"/>
                <w:highlight w:val="none"/>
              </w:rPr>
              <w:t>法定代表</w:t>
            </w:r>
            <w:r>
              <w:rPr>
                <w:rFonts w:hint="eastAsia" w:ascii="宋体"/>
                <w:b/>
                <w:color w:val="auto"/>
                <w:sz w:val="24"/>
                <w:highlight w:val="none"/>
                <w:lang w:eastAsia="zh-CN"/>
              </w:rPr>
              <w:t>人</w:t>
            </w:r>
            <w:r>
              <w:rPr>
                <w:rFonts w:hint="eastAsia" w:ascii="宋体"/>
                <w:b/>
                <w:color w:val="auto"/>
                <w:sz w:val="24"/>
                <w:highlight w:val="none"/>
              </w:rPr>
              <w:t>身份证复印件粘帖处（正、反面）</w:t>
            </w:r>
          </w:p>
        </w:tc>
      </w:tr>
    </w:tbl>
    <w:p w14:paraId="4AD4469F">
      <w:pPr>
        <w:snapToGrid w:val="0"/>
        <w:spacing w:beforeLines="50" w:after="50"/>
        <w:jc w:val="center"/>
        <w:rPr>
          <w:rFonts w:ascii="宋体" w:hAnsi="宋体" w:cs="宋体"/>
          <w:b/>
          <w:color w:val="auto"/>
          <w:sz w:val="32"/>
          <w:szCs w:val="32"/>
          <w:highlight w:val="none"/>
        </w:rPr>
      </w:pPr>
      <w:r>
        <w:rPr>
          <w:rFonts w:hint="eastAsia" w:ascii="宋体" w:hAnsi="宋体" w:cs="宋体"/>
          <w:b/>
          <w:color w:val="auto"/>
          <w:sz w:val="24"/>
          <w:highlight w:val="none"/>
        </w:rPr>
        <w:br w:type="page"/>
      </w:r>
      <w:r>
        <w:rPr>
          <w:rFonts w:hint="eastAsia" w:ascii="宋体" w:hAnsi="宋体" w:cs="宋体"/>
          <w:b/>
          <w:color w:val="auto"/>
          <w:sz w:val="32"/>
          <w:szCs w:val="32"/>
          <w:highlight w:val="none"/>
        </w:rPr>
        <w:t>4.授权委托书（如有委托时）</w:t>
      </w:r>
    </w:p>
    <w:p w14:paraId="6C0F6DE3">
      <w:pPr>
        <w:snapToGrid w:val="0"/>
        <w:spacing w:beforeLines="50" w:after="50"/>
        <w:jc w:val="center"/>
        <w:rPr>
          <w:rFonts w:ascii="宋体" w:hAnsi="宋体" w:cs="宋体"/>
          <w:b/>
          <w:color w:val="auto"/>
          <w:sz w:val="28"/>
          <w:szCs w:val="28"/>
          <w:highlight w:val="none"/>
        </w:rPr>
      </w:pPr>
    </w:p>
    <w:p w14:paraId="120AE704">
      <w:pPr>
        <w:snapToGrid w:val="0"/>
        <w:spacing w:beforeLines="50" w:after="50"/>
        <w:jc w:val="center"/>
        <w:rPr>
          <w:rFonts w:ascii="宋体" w:hAnsi="宋体" w:cs="宋体"/>
          <w:b/>
          <w:color w:val="auto"/>
          <w:sz w:val="24"/>
          <w:highlight w:val="none"/>
        </w:rPr>
      </w:pPr>
    </w:p>
    <w:p w14:paraId="74344669">
      <w:pPr>
        <w:spacing w:line="360" w:lineRule="auto"/>
        <w:contextualSpacing/>
        <w:rPr>
          <w:rFonts w:ascii="宋体" w:hAnsi="宋体" w:cs="宋体"/>
          <w:b/>
          <w:bCs/>
          <w:color w:val="auto"/>
          <w:szCs w:val="21"/>
          <w:highlight w:val="none"/>
        </w:rPr>
      </w:pPr>
      <w:r>
        <w:rPr>
          <w:rFonts w:hint="eastAsia" w:ascii="宋体" w:hAnsi="宋体" w:cs="宋体"/>
          <w:bCs/>
          <w:color w:val="auto"/>
          <w:szCs w:val="21"/>
          <w:highlight w:val="none"/>
        </w:rPr>
        <w:t>致：</w:t>
      </w:r>
      <w:r>
        <w:rPr>
          <w:rFonts w:hint="eastAsia" w:ascii="宋体" w:hAnsi="宋体" w:cs="宋体"/>
          <w:color w:val="auto"/>
          <w:szCs w:val="21"/>
          <w:highlight w:val="none"/>
          <w:u w:val="single"/>
        </w:rPr>
        <w:t>采购人名称</w:t>
      </w:r>
      <w:r>
        <w:rPr>
          <w:rFonts w:hint="eastAsia" w:ascii="宋体" w:hAnsi="宋体" w:cs="宋体"/>
          <w:color w:val="auto"/>
          <w:szCs w:val="21"/>
          <w:highlight w:val="none"/>
        </w:rPr>
        <w:t>：</w:t>
      </w:r>
    </w:p>
    <w:p w14:paraId="5D5E7ED9">
      <w:pPr>
        <w:spacing w:line="360" w:lineRule="auto"/>
        <w:ind w:firstLine="495" w:firstLineChars="236"/>
        <w:contextualSpacing/>
        <w:rPr>
          <w:rFonts w:ascii="宋体" w:hAnsi="宋体" w:cs="宋体"/>
          <w:color w:val="auto"/>
          <w:szCs w:val="21"/>
          <w:highlight w:val="none"/>
        </w:rPr>
      </w:pPr>
      <w:r>
        <w:rPr>
          <w:rFonts w:hint="eastAsia" w:ascii="宋体" w:hAnsi="宋体" w:cs="宋体"/>
          <w:color w:val="auto"/>
          <w:szCs w:val="21"/>
          <w:highlight w:val="none"/>
        </w:rPr>
        <w:t>我</w:t>
      </w:r>
      <w:r>
        <w:rPr>
          <w:rFonts w:hint="eastAsia" w:ascii="宋体" w:hAnsi="宋体" w:cs="宋体"/>
          <w:color w:val="auto"/>
          <w:szCs w:val="21"/>
          <w:highlight w:val="none"/>
          <w:u w:val="single"/>
        </w:rPr>
        <w:t>（姓名）</w:t>
      </w:r>
      <w:r>
        <w:rPr>
          <w:rFonts w:hint="eastAsia" w:ascii="宋体" w:hAnsi="宋体" w:cs="宋体"/>
          <w:color w:val="auto"/>
          <w:szCs w:val="21"/>
          <w:highlight w:val="none"/>
        </w:rPr>
        <w:t>系</w:t>
      </w:r>
      <w:r>
        <w:rPr>
          <w:rFonts w:hint="eastAsia" w:ascii="宋体" w:hAnsi="宋体" w:cs="宋体"/>
          <w:color w:val="auto"/>
          <w:szCs w:val="21"/>
          <w:highlight w:val="none"/>
          <w:u w:val="single"/>
        </w:rPr>
        <w:t>（投标人名称）</w:t>
      </w:r>
      <w:r>
        <w:rPr>
          <w:rFonts w:hint="eastAsia" w:ascii="宋体" w:hAnsi="宋体" w:cs="宋体"/>
          <w:color w:val="auto"/>
          <w:szCs w:val="21"/>
          <w:highlight w:val="none"/>
        </w:rPr>
        <w:t>的法定代表人，现授权委托</w:t>
      </w:r>
      <w:r>
        <w:rPr>
          <w:rFonts w:hint="eastAsia" w:ascii="宋体" w:hAnsi="宋体" w:cs="宋体"/>
          <w:color w:val="auto"/>
          <w:szCs w:val="21"/>
          <w:highlight w:val="none"/>
          <w:u w:val="single"/>
        </w:rPr>
        <w:t xml:space="preserve">           （姓名）</w:t>
      </w:r>
      <w:r>
        <w:rPr>
          <w:rFonts w:hint="eastAsia" w:ascii="宋体" w:hAnsi="宋体" w:cs="宋体"/>
          <w:color w:val="auto"/>
          <w:szCs w:val="21"/>
          <w:highlight w:val="none"/>
        </w:rPr>
        <w:t>以我方的名义参加项目的投标活动，并代表我方全权办理针对上述项目的所有采购程序和环节的具体事务和签署相关文件。</w:t>
      </w:r>
    </w:p>
    <w:p w14:paraId="21B70731">
      <w:pPr>
        <w:spacing w:line="360" w:lineRule="auto"/>
        <w:contextualSpacing/>
        <w:rPr>
          <w:rFonts w:ascii="宋体" w:hAnsi="宋体" w:cs="宋体"/>
          <w:color w:val="auto"/>
          <w:szCs w:val="21"/>
          <w:highlight w:val="none"/>
        </w:rPr>
      </w:pPr>
      <w:r>
        <w:rPr>
          <w:rFonts w:hint="eastAsia" w:ascii="宋体" w:hAnsi="宋体" w:cs="宋体"/>
          <w:color w:val="auto"/>
          <w:szCs w:val="21"/>
          <w:highlight w:val="none"/>
        </w:rPr>
        <w:t xml:space="preserve">    我方对委托代理人的签字或者电子签名事项负全部责任。</w:t>
      </w:r>
    </w:p>
    <w:p w14:paraId="2AD6B81D">
      <w:pPr>
        <w:spacing w:line="360" w:lineRule="auto"/>
        <w:ind w:firstLine="480"/>
        <w:contextualSpacing/>
        <w:rPr>
          <w:rFonts w:ascii="宋体" w:hAnsi="宋体" w:cs="宋体"/>
          <w:color w:val="auto"/>
          <w:szCs w:val="21"/>
          <w:highlight w:val="none"/>
        </w:rPr>
      </w:pPr>
      <w:r>
        <w:rPr>
          <w:rFonts w:hint="eastAsia" w:ascii="宋体" w:hAnsi="宋体" w:cs="宋体"/>
          <w:color w:val="auto"/>
          <w:szCs w:val="21"/>
          <w:highlight w:val="none"/>
          <w:u w:val="single"/>
        </w:rPr>
        <w:t>本授权书自签署之日起生效，在撤销授权的书面通知以前，本授权书一直有效。委托代理人在授权书有效期内签署的所有文件不因授权的撤销而失效。</w:t>
      </w:r>
    </w:p>
    <w:p w14:paraId="0C544F3B">
      <w:pPr>
        <w:spacing w:line="360" w:lineRule="auto"/>
        <w:ind w:firstLine="480"/>
        <w:contextualSpacing/>
        <w:rPr>
          <w:rFonts w:ascii="宋体" w:hAnsi="宋体" w:cs="宋体"/>
          <w:color w:val="auto"/>
          <w:szCs w:val="21"/>
          <w:highlight w:val="none"/>
        </w:rPr>
      </w:pPr>
      <w:r>
        <w:rPr>
          <w:rFonts w:hint="eastAsia" w:ascii="宋体" w:hAnsi="宋体" w:cs="宋体"/>
          <w:color w:val="auto"/>
          <w:szCs w:val="21"/>
          <w:highlight w:val="none"/>
        </w:rPr>
        <w:t>委托代理人无转委托权，特此委托。</w:t>
      </w:r>
    </w:p>
    <w:p w14:paraId="28DEB95E">
      <w:pPr>
        <w:spacing w:line="360" w:lineRule="auto"/>
        <w:ind w:firstLine="480"/>
        <w:contextualSpacing/>
        <w:rPr>
          <w:rFonts w:ascii="宋体" w:hAnsi="宋体" w:cs="宋体"/>
          <w:color w:val="auto"/>
          <w:szCs w:val="21"/>
          <w:highlight w:val="none"/>
        </w:rPr>
      </w:pPr>
      <w:r>
        <w:rPr>
          <w:rFonts w:hint="eastAsia" w:ascii="宋体" w:hAnsi="宋体" w:cs="宋体"/>
          <w:b/>
          <w:bCs/>
          <w:color w:val="auto"/>
          <w:szCs w:val="21"/>
          <w:highlight w:val="none"/>
        </w:rPr>
        <w:t>附：</w:t>
      </w:r>
      <w:r>
        <w:rPr>
          <w:rFonts w:hint="eastAsia" w:ascii="宋体" w:hAnsi="宋体" w:cs="宋体"/>
          <w:color w:val="auto"/>
          <w:szCs w:val="21"/>
          <w:highlight w:val="none"/>
        </w:rPr>
        <w:t>法定代表人身份证明及委托代理人有效身份证正反面复印件</w:t>
      </w:r>
    </w:p>
    <w:p w14:paraId="28BE20AF">
      <w:pPr>
        <w:spacing w:line="360" w:lineRule="auto"/>
        <w:contextualSpacing/>
        <w:rPr>
          <w:rFonts w:ascii="宋体" w:hAnsi="宋体" w:cs="宋体"/>
          <w:color w:val="auto"/>
          <w:szCs w:val="21"/>
          <w:highlight w:val="none"/>
        </w:rPr>
      </w:pPr>
    </w:p>
    <w:p w14:paraId="29EE0688">
      <w:pPr>
        <w:spacing w:line="360" w:lineRule="auto"/>
        <w:contextualSpacing/>
        <w:rPr>
          <w:rFonts w:ascii="宋体" w:hAnsi="宋体" w:cs="宋体"/>
          <w:color w:val="auto"/>
          <w:szCs w:val="21"/>
          <w:highlight w:val="none"/>
        </w:rPr>
      </w:pPr>
      <w:r>
        <w:rPr>
          <w:rFonts w:hint="eastAsia" w:ascii="宋体" w:hAnsi="宋体" w:cs="宋体"/>
          <w:color w:val="auto"/>
          <w:szCs w:val="21"/>
          <w:highlight w:val="none"/>
        </w:rPr>
        <w:t>委托代理人（签字或者电子签名）：</w:t>
      </w:r>
    </w:p>
    <w:p w14:paraId="0BCE6F2A">
      <w:pPr>
        <w:spacing w:line="360" w:lineRule="auto"/>
        <w:contextualSpacing/>
        <w:rPr>
          <w:rFonts w:ascii="宋体" w:hAnsi="宋体" w:cs="宋体"/>
          <w:color w:val="auto"/>
          <w:szCs w:val="21"/>
          <w:highlight w:val="none"/>
        </w:rPr>
      </w:pPr>
    </w:p>
    <w:p w14:paraId="458E2B51">
      <w:pPr>
        <w:spacing w:line="360" w:lineRule="auto"/>
        <w:contextualSpacing/>
        <w:rPr>
          <w:rFonts w:ascii="宋体" w:hAnsi="宋体" w:cs="宋体"/>
          <w:color w:val="auto"/>
          <w:szCs w:val="21"/>
          <w:highlight w:val="none"/>
          <w:u w:val="single"/>
        </w:rPr>
      </w:pPr>
      <w:r>
        <w:rPr>
          <w:rFonts w:hint="eastAsia" w:ascii="宋体" w:hAnsi="宋体" w:cs="宋体"/>
          <w:color w:val="auto"/>
          <w:szCs w:val="21"/>
          <w:highlight w:val="none"/>
        </w:rPr>
        <w:t>委托代理人身份证号码：</w:t>
      </w:r>
    </w:p>
    <w:p w14:paraId="28BCDF17">
      <w:pPr>
        <w:spacing w:line="360" w:lineRule="auto"/>
        <w:contextualSpacing/>
        <w:rPr>
          <w:rFonts w:ascii="宋体" w:hAnsi="宋体" w:cs="宋体"/>
          <w:color w:val="auto"/>
          <w:szCs w:val="21"/>
          <w:highlight w:val="none"/>
        </w:rPr>
      </w:pPr>
    </w:p>
    <w:p w14:paraId="1ABAF5E6">
      <w:pPr>
        <w:spacing w:line="360" w:lineRule="auto"/>
        <w:contextualSpacing/>
        <w:rPr>
          <w:rFonts w:ascii="宋体" w:hAnsi="宋体" w:cs="宋体"/>
          <w:color w:val="auto"/>
          <w:szCs w:val="21"/>
          <w:highlight w:val="none"/>
          <w:u w:val="single"/>
        </w:rPr>
      </w:pPr>
      <w:r>
        <w:rPr>
          <w:rFonts w:hint="eastAsia" w:ascii="宋体" w:hAnsi="宋体" w:cs="宋体"/>
          <w:color w:val="auto"/>
          <w:szCs w:val="21"/>
          <w:highlight w:val="none"/>
        </w:rPr>
        <w:t>法定代表人（签字或者电子签名）：</w:t>
      </w:r>
    </w:p>
    <w:p w14:paraId="438CC894">
      <w:pPr>
        <w:contextualSpacing/>
        <w:rPr>
          <w:rFonts w:ascii="宋体" w:hAnsi="宋体" w:cs="宋体"/>
          <w:color w:val="auto"/>
          <w:sz w:val="24"/>
          <w:highlight w:val="none"/>
        </w:rPr>
      </w:pPr>
    </w:p>
    <w:p w14:paraId="48CE3FBE">
      <w:pPr>
        <w:contextualSpacing/>
        <w:jc w:val="center"/>
        <w:rPr>
          <w:rFonts w:ascii="宋体" w:hAnsi="宋体" w:cs="宋体"/>
          <w:color w:val="auto"/>
          <w:szCs w:val="21"/>
          <w:highlight w:val="none"/>
        </w:rPr>
      </w:pPr>
      <w:r>
        <w:rPr>
          <w:rFonts w:hint="eastAsia" w:ascii="宋体" w:hAnsi="宋体" w:cs="宋体"/>
          <w:color w:val="auto"/>
          <w:szCs w:val="21"/>
          <w:highlight w:val="none"/>
        </w:rPr>
        <w:t xml:space="preserve">  投标人名称（电子签章）：</w:t>
      </w:r>
    </w:p>
    <w:p w14:paraId="69C7195A">
      <w:pPr>
        <w:contextualSpacing/>
        <w:jc w:val="center"/>
        <w:rPr>
          <w:rFonts w:ascii="宋体" w:hAnsi="宋体" w:cs="宋体"/>
          <w:color w:val="auto"/>
          <w:szCs w:val="21"/>
          <w:highlight w:val="none"/>
        </w:rPr>
      </w:pPr>
      <w:r>
        <w:rPr>
          <w:rFonts w:hint="eastAsia" w:ascii="宋体" w:hAnsi="宋体" w:cs="宋体"/>
          <w:color w:val="auto"/>
          <w:szCs w:val="21"/>
          <w:highlight w:val="none"/>
        </w:rPr>
        <w:t xml:space="preserve">                                              年    月    日</w:t>
      </w:r>
    </w:p>
    <w:p w14:paraId="2A124234">
      <w:pPr>
        <w:contextualSpacing/>
        <w:jc w:val="center"/>
        <w:rPr>
          <w:rFonts w:ascii="宋体" w:hAnsi="宋体" w:cs="宋体"/>
          <w:color w:val="auto"/>
          <w:szCs w:val="21"/>
          <w:highlight w:val="none"/>
        </w:rPr>
      </w:pPr>
    </w:p>
    <w:p w14:paraId="4302FC6B">
      <w:pPr>
        <w:contextualSpacing/>
        <w:rPr>
          <w:rFonts w:ascii="宋体" w:hAnsi="宋体" w:cs="宋体"/>
          <w:color w:val="auto"/>
          <w:szCs w:val="21"/>
          <w:highlight w:val="none"/>
        </w:rPr>
      </w:pPr>
    </w:p>
    <w:p w14:paraId="5BACAC05">
      <w:pPr>
        <w:contextualSpacing/>
        <w:rPr>
          <w:rFonts w:ascii="宋体" w:hAnsi="宋体" w:cs="宋体"/>
          <w:color w:val="auto"/>
          <w:szCs w:val="21"/>
          <w:highlight w:val="none"/>
        </w:rPr>
      </w:pPr>
      <w:r>
        <w:rPr>
          <w:rFonts w:hint="eastAsia" w:ascii="宋体" w:hAnsi="宋体" w:cs="宋体"/>
          <w:color w:val="auto"/>
          <w:szCs w:val="21"/>
          <w:highlight w:val="none"/>
        </w:rPr>
        <w:t>注：</w:t>
      </w:r>
    </w:p>
    <w:p w14:paraId="0E4DF32F">
      <w:pPr>
        <w:contextualSpacing/>
        <w:rPr>
          <w:rFonts w:ascii="宋体" w:hAnsi="宋体" w:cs="宋体"/>
          <w:color w:val="auto"/>
          <w:szCs w:val="21"/>
          <w:highlight w:val="none"/>
        </w:rPr>
      </w:pPr>
      <w:r>
        <w:rPr>
          <w:rFonts w:hint="eastAsia" w:ascii="宋体" w:hAnsi="宋体" w:cs="宋体"/>
          <w:color w:val="auto"/>
          <w:szCs w:val="21"/>
          <w:highlight w:val="none"/>
        </w:rPr>
        <w:t>1.</w:t>
      </w:r>
      <w:bookmarkStart w:id="119" w:name="_Hlk65851555"/>
      <w:bookmarkStart w:id="120" w:name="_Hlk65851620"/>
      <w:r>
        <w:rPr>
          <w:rFonts w:hint="eastAsia" w:ascii="宋体" w:hAnsi="宋体" w:cs="宋体"/>
          <w:color w:val="auto"/>
          <w:szCs w:val="21"/>
          <w:highlight w:val="none"/>
        </w:rPr>
        <w:t>法定代表人必须在授权委托书上签字或者电子签名，</w:t>
      </w:r>
      <w:bookmarkEnd w:id="119"/>
      <w:r>
        <w:rPr>
          <w:rFonts w:hint="eastAsia" w:ascii="宋体" w:hAnsi="宋体" w:cs="宋体"/>
          <w:color w:val="auto"/>
          <w:szCs w:val="21"/>
          <w:highlight w:val="none"/>
        </w:rPr>
        <w:t>委托代理人必须在授权委托书上签字或者电子签名，</w:t>
      </w:r>
      <w:r>
        <w:rPr>
          <w:rFonts w:hint="eastAsia" w:ascii="宋体" w:hAnsi="宋体" w:cs="宋体"/>
          <w:b/>
          <w:bCs/>
          <w:color w:val="auto"/>
          <w:szCs w:val="21"/>
          <w:highlight w:val="none"/>
        </w:rPr>
        <w:t>否则按无效投标处理</w:t>
      </w:r>
      <w:r>
        <w:rPr>
          <w:rFonts w:hint="eastAsia" w:ascii="宋体" w:hAnsi="宋体" w:cs="宋体"/>
          <w:color w:val="auto"/>
          <w:szCs w:val="21"/>
          <w:highlight w:val="none"/>
        </w:rPr>
        <w:t>；</w:t>
      </w:r>
      <w:bookmarkEnd w:id="120"/>
    </w:p>
    <w:p w14:paraId="26DB1235">
      <w:pPr>
        <w:contextualSpacing/>
        <w:rPr>
          <w:rFonts w:ascii="宋体" w:hAnsi="宋体" w:cs="宋体"/>
          <w:color w:val="auto"/>
          <w:szCs w:val="21"/>
          <w:highlight w:val="none"/>
        </w:rPr>
      </w:pPr>
      <w:r>
        <w:rPr>
          <w:rFonts w:hint="eastAsia" w:ascii="宋体" w:hAnsi="宋体" w:cs="宋体"/>
          <w:color w:val="auto"/>
          <w:szCs w:val="21"/>
          <w:highlight w:val="none"/>
        </w:rPr>
        <w:t>2.法人、其他组织投标时“我方”是指“我单位”，自然人投标时“我方”是指“本人”。</w:t>
      </w:r>
    </w:p>
    <w:p w14:paraId="44BF4DCF">
      <w:pPr>
        <w:rPr>
          <w:rFonts w:ascii="宋体" w:hAnsi="宋体" w:cs="宋体"/>
          <w:color w:val="auto"/>
          <w:sz w:val="24"/>
          <w:highlight w:val="none"/>
        </w:rPr>
      </w:pPr>
      <w:r>
        <w:rPr>
          <w:rFonts w:hint="eastAsia" w:ascii="宋体" w:hAnsi="宋体" w:cs="宋体"/>
          <w:color w:val="auto"/>
          <w:szCs w:val="21"/>
          <w:highlight w:val="none"/>
        </w:rPr>
        <w:br w:type="page"/>
      </w:r>
    </w:p>
    <w:tbl>
      <w:tblPr>
        <w:tblStyle w:val="47"/>
        <w:tblpPr w:leftFromText="180" w:rightFromText="180" w:vertAnchor="text" w:horzAnchor="margin" w:tblpY="263"/>
        <w:tblW w:w="79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85"/>
      </w:tblGrid>
      <w:tr w14:paraId="55C59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0" w:hRule="atLeast"/>
        </w:trPr>
        <w:tc>
          <w:tcPr>
            <w:tcW w:w="7985" w:type="dxa"/>
          </w:tcPr>
          <w:p w14:paraId="52361D78">
            <w:pPr>
              <w:spacing w:line="360" w:lineRule="auto"/>
              <w:rPr>
                <w:rFonts w:ascii="宋体"/>
                <w:b/>
                <w:color w:val="auto"/>
                <w:sz w:val="24"/>
                <w:highlight w:val="none"/>
              </w:rPr>
            </w:pPr>
          </w:p>
          <w:p w14:paraId="2112194B">
            <w:pPr>
              <w:spacing w:line="360" w:lineRule="auto"/>
              <w:rPr>
                <w:rFonts w:ascii="宋体"/>
                <w:b/>
                <w:color w:val="auto"/>
                <w:sz w:val="24"/>
                <w:highlight w:val="none"/>
              </w:rPr>
            </w:pPr>
            <w:r>
              <w:rPr>
                <w:rFonts w:hint="eastAsia" w:ascii="宋体"/>
                <w:b/>
                <w:color w:val="auto"/>
                <w:sz w:val="24"/>
                <w:highlight w:val="none"/>
              </w:rPr>
              <w:t>委托代理人身份证复印件粘帖处（正、反面）</w:t>
            </w:r>
          </w:p>
        </w:tc>
      </w:tr>
    </w:tbl>
    <w:p w14:paraId="3042D0F2">
      <w:pPr>
        <w:pStyle w:val="17"/>
        <w:rPr>
          <w:color w:val="auto"/>
          <w:highlight w:val="none"/>
        </w:rPr>
        <w:sectPr>
          <w:pgSz w:w="11906" w:h="16838"/>
          <w:pgMar w:top="1701" w:right="1701" w:bottom="1701" w:left="1701" w:header="851" w:footer="992" w:gutter="0"/>
          <w:cols w:space="720" w:num="1"/>
          <w:titlePg/>
          <w:docGrid w:linePitch="312" w:charSpace="0"/>
        </w:sectPr>
      </w:pPr>
    </w:p>
    <w:p w14:paraId="36068306">
      <w:pPr>
        <w:rPr>
          <w:rFonts w:ascii="宋体" w:hAnsi="宋体" w:cs="宋体"/>
          <w:color w:val="auto"/>
          <w:sz w:val="24"/>
          <w:highlight w:val="none"/>
        </w:rPr>
      </w:pPr>
    </w:p>
    <w:p w14:paraId="43E735A4">
      <w:pPr>
        <w:jc w:val="center"/>
        <w:rPr>
          <w:rFonts w:ascii="宋体" w:hAnsi="宋体" w:cs="宋体"/>
          <w:b/>
          <w:color w:val="auto"/>
          <w:sz w:val="32"/>
          <w:szCs w:val="32"/>
          <w:highlight w:val="none"/>
        </w:rPr>
      </w:pPr>
      <w:r>
        <w:rPr>
          <w:rFonts w:hint="eastAsia" w:ascii="宋体" w:hAnsi="宋体" w:cs="宋体"/>
          <w:b/>
          <w:color w:val="auto"/>
          <w:sz w:val="32"/>
          <w:szCs w:val="32"/>
          <w:highlight w:val="none"/>
        </w:rPr>
        <w:t>5.商务要求偏离表格式</w:t>
      </w:r>
    </w:p>
    <w:p w14:paraId="34609988">
      <w:pPr>
        <w:pStyle w:val="23"/>
        <w:rPr>
          <w:rFonts w:hAnsi="宋体" w:cs="宋体"/>
          <w:color w:val="auto"/>
          <w:sz w:val="24"/>
          <w:szCs w:val="24"/>
          <w:highlight w:val="none"/>
        </w:rPr>
      </w:pPr>
      <w:r>
        <w:rPr>
          <w:rFonts w:hint="eastAsia" w:hAnsi="宋体" w:cs="宋体"/>
          <w:color w:val="auto"/>
          <w:sz w:val="24"/>
          <w:szCs w:val="24"/>
          <w:highlight w:val="none"/>
        </w:rPr>
        <w:t>所投分标：分标</w:t>
      </w:r>
    </w:p>
    <w:tbl>
      <w:tblPr>
        <w:tblStyle w:val="47"/>
        <w:tblW w:w="8641" w:type="dxa"/>
        <w:tblInd w:w="-11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28"/>
        <w:gridCol w:w="3261"/>
        <w:gridCol w:w="2126"/>
        <w:gridCol w:w="1326"/>
      </w:tblGrid>
      <w:tr w14:paraId="1E1110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928" w:type="dxa"/>
            <w:tcBorders>
              <w:top w:val="single" w:color="auto" w:sz="4" w:space="0"/>
              <w:left w:val="single" w:color="auto" w:sz="4" w:space="0"/>
              <w:bottom w:val="single" w:color="auto" w:sz="4" w:space="0"/>
              <w:right w:val="single" w:color="auto" w:sz="4" w:space="0"/>
            </w:tcBorders>
          </w:tcPr>
          <w:p w14:paraId="451C85F3">
            <w:pPr>
              <w:snapToGrid w:val="0"/>
              <w:spacing w:beforeLines="50"/>
              <w:jc w:val="center"/>
              <w:rPr>
                <w:rFonts w:ascii="宋体" w:hAnsi="宋体" w:cs="宋体"/>
                <w:b/>
                <w:color w:val="auto"/>
                <w:sz w:val="24"/>
                <w:highlight w:val="none"/>
              </w:rPr>
            </w:pPr>
            <w:r>
              <w:rPr>
                <w:rFonts w:hint="eastAsia" w:ascii="宋体" w:hAnsi="宋体" w:cs="宋体"/>
                <w:b/>
                <w:color w:val="auto"/>
                <w:sz w:val="24"/>
                <w:highlight w:val="none"/>
              </w:rPr>
              <w:t>项目</w:t>
            </w:r>
          </w:p>
        </w:tc>
        <w:tc>
          <w:tcPr>
            <w:tcW w:w="3261" w:type="dxa"/>
            <w:tcBorders>
              <w:top w:val="single" w:color="auto" w:sz="4" w:space="0"/>
              <w:left w:val="single" w:color="auto" w:sz="4" w:space="0"/>
              <w:bottom w:val="single" w:color="auto" w:sz="4" w:space="0"/>
              <w:right w:val="single" w:color="auto" w:sz="4" w:space="0"/>
            </w:tcBorders>
            <w:vAlign w:val="center"/>
          </w:tcPr>
          <w:p w14:paraId="093AF8CE">
            <w:pPr>
              <w:pStyle w:val="23"/>
              <w:spacing w:line="400" w:lineRule="exact"/>
              <w:jc w:val="center"/>
              <w:rPr>
                <w:rFonts w:hAnsi="宋体" w:cs="宋体"/>
                <w:b/>
                <w:color w:val="auto"/>
                <w:kern w:val="2"/>
                <w:sz w:val="24"/>
                <w:szCs w:val="24"/>
                <w:highlight w:val="none"/>
              </w:rPr>
            </w:pPr>
            <w:r>
              <w:rPr>
                <w:rFonts w:hint="eastAsia" w:hAnsi="宋体" w:cs="宋体"/>
                <w:b/>
                <w:color w:val="auto"/>
                <w:kern w:val="2"/>
                <w:sz w:val="24"/>
                <w:szCs w:val="24"/>
                <w:highlight w:val="none"/>
              </w:rPr>
              <w:t>招标文件要求</w:t>
            </w:r>
          </w:p>
        </w:tc>
        <w:tc>
          <w:tcPr>
            <w:tcW w:w="2126" w:type="dxa"/>
            <w:tcBorders>
              <w:top w:val="single" w:color="auto" w:sz="4" w:space="0"/>
              <w:left w:val="single" w:color="auto" w:sz="4" w:space="0"/>
              <w:bottom w:val="single" w:color="auto" w:sz="4" w:space="0"/>
              <w:right w:val="single" w:color="auto" w:sz="4" w:space="0"/>
            </w:tcBorders>
            <w:vAlign w:val="center"/>
          </w:tcPr>
          <w:p w14:paraId="18876F6A">
            <w:pPr>
              <w:pStyle w:val="23"/>
              <w:spacing w:line="400" w:lineRule="exact"/>
              <w:jc w:val="center"/>
              <w:rPr>
                <w:rFonts w:hAnsi="宋体" w:cs="宋体"/>
                <w:b/>
                <w:color w:val="auto"/>
                <w:kern w:val="2"/>
                <w:sz w:val="24"/>
                <w:szCs w:val="24"/>
                <w:highlight w:val="none"/>
              </w:rPr>
            </w:pPr>
            <w:r>
              <w:rPr>
                <w:rFonts w:hint="eastAsia" w:hAnsi="宋体" w:cs="宋体"/>
                <w:b/>
                <w:color w:val="auto"/>
                <w:kern w:val="2"/>
                <w:sz w:val="24"/>
                <w:szCs w:val="24"/>
                <w:highlight w:val="none"/>
              </w:rPr>
              <w:t>投标文件响应</w:t>
            </w:r>
          </w:p>
        </w:tc>
        <w:tc>
          <w:tcPr>
            <w:tcW w:w="1326" w:type="dxa"/>
            <w:tcBorders>
              <w:top w:val="single" w:color="auto" w:sz="4" w:space="0"/>
              <w:left w:val="single" w:color="auto" w:sz="4" w:space="0"/>
              <w:bottom w:val="single" w:color="auto" w:sz="4" w:space="0"/>
              <w:right w:val="single" w:color="auto" w:sz="4" w:space="0"/>
            </w:tcBorders>
            <w:vAlign w:val="center"/>
          </w:tcPr>
          <w:p w14:paraId="19606FF8">
            <w:pPr>
              <w:pStyle w:val="23"/>
              <w:spacing w:line="400" w:lineRule="exact"/>
              <w:jc w:val="center"/>
              <w:rPr>
                <w:rFonts w:hAnsi="宋体" w:cs="宋体"/>
                <w:b/>
                <w:color w:val="auto"/>
                <w:kern w:val="2"/>
                <w:sz w:val="24"/>
                <w:szCs w:val="24"/>
                <w:highlight w:val="none"/>
              </w:rPr>
            </w:pPr>
            <w:r>
              <w:rPr>
                <w:rFonts w:hint="eastAsia" w:hAnsi="宋体" w:cs="宋体"/>
                <w:b/>
                <w:color w:val="auto"/>
                <w:kern w:val="2"/>
                <w:sz w:val="24"/>
                <w:szCs w:val="24"/>
                <w:highlight w:val="none"/>
              </w:rPr>
              <w:t>偏离说明</w:t>
            </w:r>
          </w:p>
        </w:tc>
      </w:tr>
      <w:tr w14:paraId="5C36BC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1928" w:type="dxa"/>
            <w:tcBorders>
              <w:top w:val="single" w:color="auto" w:sz="4" w:space="0"/>
              <w:left w:val="single" w:color="auto" w:sz="4" w:space="0"/>
              <w:bottom w:val="single" w:color="auto" w:sz="4" w:space="0"/>
              <w:right w:val="single" w:color="auto" w:sz="4" w:space="0"/>
            </w:tcBorders>
            <w:vAlign w:val="center"/>
          </w:tcPr>
          <w:p w14:paraId="30184D87">
            <w:pPr>
              <w:tabs>
                <w:tab w:val="left" w:pos="5450"/>
              </w:tabs>
              <w:adjustRightInd w:val="0"/>
              <w:snapToGrid w:val="0"/>
              <w:spacing w:line="360" w:lineRule="exact"/>
              <w:jc w:val="center"/>
              <w:rPr>
                <w:rFonts w:ascii="宋体" w:hAnsi="宋体" w:cs="宋体"/>
                <w:color w:val="auto"/>
                <w:szCs w:val="21"/>
                <w:highlight w:val="none"/>
              </w:rPr>
            </w:pPr>
          </w:p>
        </w:tc>
        <w:tc>
          <w:tcPr>
            <w:tcW w:w="3261" w:type="dxa"/>
            <w:tcBorders>
              <w:top w:val="single" w:color="auto" w:sz="4" w:space="0"/>
              <w:left w:val="single" w:color="auto" w:sz="4" w:space="0"/>
              <w:bottom w:val="single" w:color="auto" w:sz="4" w:space="0"/>
              <w:right w:val="single" w:color="auto" w:sz="4" w:space="0"/>
            </w:tcBorders>
            <w:vAlign w:val="center"/>
          </w:tcPr>
          <w:p w14:paraId="374C879B">
            <w:pPr>
              <w:tabs>
                <w:tab w:val="left" w:pos="5450"/>
              </w:tabs>
              <w:adjustRightInd w:val="0"/>
              <w:snapToGrid w:val="0"/>
              <w:spacing w:line="360" w:lineRule="exact"/>
              <w:rPr>
                <w:rFonts w:ascii="宋体" w:hAnsi="宋体" w:cs="宋体"/>
                <w:color w:val="auto"/>
                <w:szCs w:val="21"/>
                <w:highlight w:val="none"/>
              </w:rPr>
            </w:pPr>
          </w:p>
        </w:tc>
        <w:tc>
          <w:tcPr>
            <w:tcW w:w="2126" w:type="dxa"/>
            <w:tcBorders>
              <w:top w:val="single" w:color="auto" w:sz="4" w:space="0"/>
              <w:left w:val="single" w:color="auto" w:sz="4" w:space="0"/>
              <w:bottom w:val="single" w:color="auto" w:sz="4" w:space="0"/>
              <w:right w:val="single" w:color="auto" w:sz="4" w:space="0"/>
            </w:tcBorders>
          </w:tcPr>
          <w:p w14:paraId="04E5CB4E">
            <w:pPr>
              <w:snapToGrid w:val="0"/>
              <w:spacing w:beforeLines="50"/>
              <w:jc w:val="center"/>
              <w:rPr>
                <w:rFonts w:ascii="宋体" w:hAnsi="宋体" w:cs="宋体"/>
                <w:color w:val="auto"/>
                <w:sz w:val="24"/>
                <w:highlight w:val="none"/>
              </w:rPr>
            </w:pPr>
          </w:p>
        </w:tc>
        <w:tc>
          <w:tcPr>
            <w:tcW w:w="1326" w:type="dxa"/>
            <w:tcBorders>
              <w:top w:val="single" w:color="auto" w:sz="4" w:space="0"/>
              <w:left w:val="single" w:color="auto" w:sz="4" w:space="0"/>
              <w:bottom w:val="single" w:color="auto" w:sz="4" w:space="0"/>
              <w:right w:val="single" w:color="auto" w:sz="4" w:space="0"/>
            </w:tcBorders>
          </w:tcPr>
          <w:p w14:paraId="283DAC25">
            <w:pPr>
              <w:snapToGrid w:val="0"/>
              <w:spacing w:beforeLines="50"/>
              <w:jc w:val="center"/>
              <w:rPr>
                <w:rFonts w:ascii="宋体" w:hAnsi="宋体" w:cs="宋体"/>
                <w:color w:val="auto"/>
                <w:sz w:val="24"/>
                <w:highlight w:val="none"/>
              </w:rPr>
            </w:pPr>
          </w:p>
        </w:tc>
      </w:tr>
      <w:tr w14:paraId="3FB7CD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928" w:type="dxa"/>
            <w:tcBorders>
              <w:top w:val="single" w:color="auto" w:sz="4" w:space="0"/>
              <w:left w:val="single" w:color="auto" w:sz="4" w:space="0"/>
              <w:bottom w:val="single" w:color="auto" w:sz="4" w:space="0"/>
              <w:right w:val="single" w:color="auto" w:sz="4" w:space="0"/>
            </w:tcBorders>
            <w:vAlign w:val="center"/>
          </w:tcPr>
          <w:p w14:paraId="6DBA7E22">
            <w:pPr>
              <w:tabs>
                <w:tab w:val="left" w:pos="5450"/>
              </w:tabs>
              <w:adjustRightInd w:val="0"/>
              <w:snapToGrid w:val="0"/>
              <w:spacing w:line="360" w:lineRule="exact"/>
              <w:jc w:val="center"/>
              <w:rPr>
                <w:rFonts w:ascii="宋体" w:hAnsi="宋体" w:cs="宋体"/>
                <w:color w:val="auto"/>
                <w:szCs w:val="21"/>
                <w:highlight w:val="none"/>
              </w:rPr>
            </w:pPr>
          </w:p>
        </w:tc>
        <w:tc>
          <w:tcPr>
            <w:tcW w:w="3261" w:type="dxa"/>
            <w:tcBorders>
              <w:top w:val="single" w:color="auto" w:sz="4" w:space="0"/>
              <w:left w:val="single" w:color="auto" w:sz="4" w:space="0"/>
              <w:bottom w:val="single" w:color="auto" w:sz="4" w:space="0"/>
              <w:right w:val="single" w:color="auto" w:sz="4" w:space="0"/>
            </w:tcBorders>
            <w:vAlign w:val="center"/>
          </w:tcPr>
          <w:p w14:paraId="52764CC8">
            <w:pPr>
              <w:tabs>
                <w:tab w:val="left" w:pos="5450"/>
              </w:tabs>
              <w:adjustRightInd w:val="0"/>
              <w:snapToGrid w:val="0"/>
              <w:spacing w:line="360" w:lineRule="exact"/>
              <w:rPr>
                <w:rFonts w:ascii="宋体" w:hAnsi="宋体" w:cs="宋体"/>
                <w:color w:val="auto"/>
                <w:szCs w:val="21"/>
                <w:highlight w:val="none"/>
              </w:rPr>
            </w:pPr>
          </w:p>
        </w:tc>
        <w:tc>
          <w:tcPr>
            <w:tcW w:w="2126" w:type="dxa"/>
            <w:tcBorders>
              <w:top w:val="single" w:color="auto" w:sz="4" w:space="0"/>
              <w:left w:val="single" w:color="auto" w:sz="4" w:space="0"/>
              <w:bottom w:val="single" w:color="auto" w:sz="4" w:space="0"/>
              <w:right w:val="single" w:color="auto" w:sz="4" w:space="0"/>
            </w:tcBorders>
          </w:tcPr>
          <w:p w14:paraId="796479E1">
            <w:pPr>
              <w:snapToGrid w:val="0"/>
              <w:spacing w:beforeLines="50"/>
              <w:ind w:left="43"/>
              <w:jc w:val="center"/>
              <w:rPr>
                <w:rFonts w:ascii="宋体" w:hAnsi="宋体" w:cs="宋体"/>
                <w:color w:val="auto"/>
                <w:sz w:val="24"/>
                <w:highlight w:val="none"/>
              </w:rPr>
            </w:pPr>
          </w:p>
        </w:tc>
        <w:tc>
          <w:tcPr>
            <w:tcW w:w="1326" w:type="dxa"/>
            <w:tcBorders>
              <w:top w:val="single" w:color="auto" w:sz="4" w:space="0"/>
              <w:left w:val="single" w:color="auto" w:sz="4" w:space="0"/>
              <w:bottom w:val="single" w:color="auto" w:sz="4" w:space="0"/>
              <w:right w:val="single" w:color="auto" w:sz="4" w:space="0"/>
            </w:tcBorders>
          </w:tcPr>
          <w:p w14:paraId="4DA594FD">
            <w:pPr>
              <w:snapToGrid w:val="0"/>
              <w:spacing w:beforeLines="50"/>
              <w:ind w:left="43"/>
              <w:jc w:val="center"/>
              <w:rPr>
                <w:rFonts w:ascii="宋体" w:hAnsi="宋体" w:cs="宋体"/>
                <w:color w:val="auto"/>
                <w:sz w:val="24"/>
                <w:highlight w:val="none"/>
              </w:rPr>
            </w:pPr>
          </w:p>
        </w:tc>
      </w:tr>
      <w:tr w14:paraId="2F6C81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1928" w:type="dxa"/>
            <w:tcBorders>
              <w:top w:val="single" w:color="auto" w:sz="4" w:space="0"/>
              <w:left w:val="single" w:color="auto" w:sz="4" w:space="0"/>
              <w:bottom w:val="single" w:color="auto" w:sz="4" w:space="0"/>
              <w:right w:val="single" w:color="auto" w:sz="4" w:space="0"/>
            </w:tcBorders>
            <w:vAlign w:val="center"/>
          </w:tcPr>
          <w:p w14:paraId="784A4F43">
            <w:pPr>
              <w:tabs>
                <w:tab w:val="left" w:pos="5450"/>
              </w:tabs>
              <w:adjustRightInd w:val="0"/>
              <w:snapToGrid w:val="0"/>
              <w:spacing w:line="360" w:lineRule="exact"/>
              <w:jc w:val="center"/>
              <w:rPr>
                <w:rFonts w:ascii="宋体" w:hAnsi="宋体" w:cs="宋体"/>
                <w:color w:val="auto"/>
                <w:szCs w:val="21"/>
                <w:highlight w:val="none"/>
              </w:rPr>
            </w:pPr>
          </w:p>
        </w:tc>
        <w:tc>
          <w:tcPr>
            <w:tcW w:w="3261" w:type="dxa"/>
            <w:tcBorders>
              <w:top w:val="single" w:color="auto" w:sz="4" w:space="0"/>
              <w:left w:val="single" w:color="auto" w:sz="4" w:space="0"/>
              <w:bottom w:val="single" w:color="auto" w:sz="4" w:space="0"/>
              <w:right w:val="single" w:color="auto" w:sz="4" w:space="0"/>
            </w:tcBorders>
            <w:vAlign w:val="center"/>
          </w:tcPr>
          <w:p w14:paraId="062CD62D">
            <w:pPr>
              <w:tabs>
                <w:tab w:val="left" w:pos="5450"/>
              </w:tabs>
              <w:adjustRightInd w:val="0"/>
              <w:snapToGrid w:val="0"/>
              <w:spacing w:line="360" w:lineRule="exact"/>
              <w:rPr>
                <w:rFonts w:ascii="宋体" w:hAnsi="宋体" w:cs="宋体"/>
                <w:color w:val="auto"/>
                <w:szCs w:val="21"/>
                <w:highlight w:val="none"/>
              </w:rPr>
            </w:pPr>
          </w:p>
        </w:tc>
        <w:tc>
          <w:tcPr>
            <w:tcW w:w="2126" w:type="dxa"/>
            <w:tcBorders>
              <w:top w:val="single" w:color="auto" w:sz="4" w:space="0"/>
              <w:left w:val="single" w:color="auto" w:sz="4" w:space="0"/>
              <w:bottom w:val="single" w:color="auto" w:sz="4" w:space="0"/>
              <w:right w:val="single" w:color="auto" w:sz="4" w:space="0"/>
            </w:tcBorders>
          </w:tcPr>
          <w:p w14:paraId="5B32D553">
            <w:pPr>
              <w:snapToGrid w:val="0"/>
              <w:spacing w:beforeLines="50"/>
              <w:ind w:left="43"/>
              <w:jc w:val="center"/>
              <w:rPr>
                <w:rFonts w:ascii="宋体" w:hAnsi="宋体" w:cs="宋体"/>
                <w:color w:val="auto"/>
                <w:sz w:val="24"/>
                <w:highlight w:val="none"/>
              </w:rPr>
            </w:pPr>
          </w:p>
        </w:tc>
        <w:tc>
          <w:tcPr>
            <w:tcW w:w="1326" w:type="dxa"/>
            <w:tcBorders>
              <w:top w:val="single" w:color="auto" w:sz="4" w:space="0"/>
              <w:left w:val="single" w:color="auto" w:sz="4" w:space="0"/>
              <w:bottom w:val="single" w:color="auto" w:sz="4" w:space="0"/>
              <w:right w:val="single" w:color="auto" w:sz="4" w:space="0"/>
            </w:tcBorders>
          </w:tcPr>
          <w:p w14:paraId="755D5FD7">
            <w:pPr>
              <w:snapToGrid w:val="0"/>
              <w:spacing w:beforeLines="50"/>
              <w:ind w:left="43"/>
              <w:jc w:val="center"/>
              <w:rPr>
                <w:rFonts w:ascii="宋体" w:hAnsi="宋体" w:cs="宋体"/>
                <w:color w:val="auto"/>
                <w:sz w:val="24"/>
                <w:highlight w:val="none"/>
              </w:rPr>
            </w:pPr>
          </w:p>
        </w:tc>
      </w:tr>
      <w:tr w14:paraId="7CF90A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1928" w:type="dxa"/>
            <w:tcBorders>
              <w:top w:val="single" w:color="auto" w:sz="4" w:space="0"/>
              <w:left w:val="single" w:color="auto" w:sz="4" w:space="0"/>
              <w:bottom w:val="single" w:color="auto" w:sz="4" w:space="0"/>
              <w:right w:val="single" w:color="auto" w:sz="4" w:space="0"/>
            </w:tcBorders>
            <w:vAlign w:val="center"/>
          </w:tcPr>
          <w:p w14:paraId="7492ECF1">
            <w:pPr>
              <w:tabs>
                <w:tab w:val="left" w:pos="5450"/>
              </w:tabs>
              <w:adjustRightInd w:val="0"/>
              <w:snapToGrid w:val="0"/>
              <w:spacing w:line="360" w:lineRule="exact"/>
              <w:jc w:val="center"/>
              <w:rPr>
                <w:rFonts w:ascii="宋体" w:hAnsi="宋体" w:cs="宋体"/>
                <w:bCs/>
                <w:color w:val="auto"/>
                <w:szCs w:val="21"/>
                <w:highlight w:val="none"/>
              </w:rPr>
            </w:pPr>
          </w:p>
        </w:tc>
        <w:tc>
          <w:tcPr>
            <w:tcW w:w="3261" w:type="dxa"/>
            <w:tcBorders>
              <w:top w:val="single" w:color="auto" w:sz="4" w:space="0"/>
              <w:left w:val="single" w:color="auto" w:sz="4" w:space="0"/>
              <w:bottom w:val="single" w:color="auto" w:sz="4" w:space="0"/>
              <w:right w:val="single" w:color="auto" w:sz="4" w:space="0"/>
            </w:tcBorders>
            <w:vAlign w:val="center"/>
          </w:tcPr>
          <w:p w14:paraId="31C7205D">
            <w:pPr>
              <w:tabs>
                <w:tab w:val="left" w:pos="5450"/>
              </w:tabs>
              <w:adjustRightInd w:val="0"/>
              <w:snapToGrid w:val="0"/>
              <w:spacing w:line="360" w:lineRule="exact"/>
              <w:rPr>
                <w:rFonts w:ascii="宋体" w:hAnsi="宋体" w:cs="宋体"/>
                <w:color w:val="auto"/>
                <w:szCs w:val="21"/>
                <w:highlight w:val="none"/>
              </w:rPr>
            </w:pPr>
          </w:p>
        </w:tc>
        <w:tc>
          <w:tcPr>
            <w:tcW w:w="2126" w:type="dxa"/>
            <w:tcBorders>
              <w:top w:val="single" w:color="auto" w:sz="4" w:space="0"/>
              <w:left w:val="single" w:color="auto" w:sz="4" w:space="0"/>
              <w:bottom w:val="single" w:color="auto" w:sz="4" w:space="0"/>
              <w:right w:val="single" w:color="auto" w:sz="4" w:space="0"/>
            </w:tcBorders>
          </w:tcPr>
          <w:p w14:paraId="50940636">
            <w:pPr>
              <w:snapToGrid w:val="0"/>
              <w:spacing w:beforeLines="50"/>
              <w:ind w:left="43"/>
              <w:jc w:val="center"/>
              <w:rPr>
                <w:rFonts w:ascii="宋体" w:hAnsi="宋体" w:cs="宋体"/>
                <w:color w:val="auto"/>
                <w:sz w:val="24"/>
                <w:highlight w:val="none"/>
              </w:rPr>
            </w:pPr>
          </w:p>
        </w:tc>
        <w:tc>
          <w:tcPr>
            <w:tcW w:w="1326" w:type="dxa"/>
            <w:tcBorders>
              <w:top w:val="single" w:color="auto" w:sz="4" w:space="0"/>
              <w:left w:val="single" w:color="auto" w:sz="4" w:space="0"/>
              <w:bottom w:val="single" w:color="auto" w:sz="4" w:space="0"/>
              <w:right w:val="single" w:color="auto" w:sz="4" w:space="0"/>
            </w:tcBorders>
          </w:tcPr>
          <w:p w14:paraId="504A56F1">
            <w:pPr>
              <w:snapToGrid w:val="0"/>
              <w:spacing w:beforeLines="50"/>
              <w:ind w:left="43"/>
              <w:jc w:val="center"/>
              <w:rPr>
                <w:rFonts w:ascii="宋体" w:hAnsi="宋体" w:cs="宋体"/>
                <w:color w:val="auto"/>
                <w:sz w:val="24"/>
                <w:highlight w:val="none"/>
              </w:rPr>
            </w:pPr>
          </w:p>
        </w:tc>
      </w:tr>
      <w:tr w14:paraId="16693A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0" w:hRule="atLeast"/>
        </w:trPr>
        <w:tc>
          <w:tcPr>
            <w:tcW w:w="1928" w:type="dxa"/>
            <w:tcBorders>
              <w:top w:val="single" w:color="auto" w:sz="4" w:space="0"/>
              <w:left w:val="single" w:color="auto" w:sz="4" w:space="0"/>
              <w:bottom w:val="single" w:color="auto" w:sz="4" w:space="0"/>
              <w:right w:val="single" w:color="auto" w:sz="4" w:space="0"/>
            </w:tcBorders>
            <w:vAlign w:val="center"/>
          </w:tcPr>
          <w:p w14:paraId="14DE8E4F">
            <w:pPr>
              <w:tabs>
                <w:tab w:val="left" w:pos="5450"/>
              </w:tabs>
              <w:adjustRightInd w:val="0"/>
              <w:snapToGrid w:val="0"/>
              <w:spacing w:line="360" w:lineRule="exact"/>
              <w:jc w:val="center"/>
              <w:rPr>
                <w:rFonts w:ascii="宋体" w:hAnsi="宋体" w:cs="宋体"/>
                <w:color w:val="auto"/>
                <w:szCs w:val="21"/>
                <w:highlight w:val="none"/>
              </w:rPr>
            </w:pPr>
          </w:p>
        </w:tc>
        <w:tc>
          <w:tcPr>
            <w:tcW w:w="3261" w:type="dxa"/>
            <w:tcBorders>
              <w:top w:val="single" w:color="auto" w:sz="4" w:space="0"/>
              <w:left w:val="single" w:color="auto" w:sz="4" w:space="0"/>
              <w:bottom w:val="single" w:color="auto" w:sz="4" w:space="0"/>
              <w:right w:val="single" w:color="auto" w:sz="4" w:space="0"/>
            </w:tcBorders>
            <w:vAlign w:val="center"/>
          </w:tcPr>
          <w:p w14:paraId="553EDBE0">
            <w:pPr>
              <w:tabs>
                <w:tab w:val="left" w:pos="5450"/>
              </w:tabs>
              <w:adjustRightInd w:val="0"/>
              <w:snapToGrid w:val="0"/>
              <w:spacing w:line="360" w:lineRule="exact"/>
              <w:rPr>
                <w:rFonts w:ascii="宋体" w:hAnsi="宋体" w:cs="宋体"/>
                <w:color w:val="auto"/>
                <w:szCs w:val="21"/>
                <w:highlight w:val="none"/>
              </w:rPr>
            </w:pPr>
          </w:p>
        </w:tc>
        <w:tc>
          <w:tcPr>
            <w:tcW w:w="2126" w:type="dxa"/>
            <w:tcBorders>
              <w:top w:val="single" w:color="auto" w:sz="4" w:space="0"/>
              <w:left w:val="single" w:color="auto" w:sz="4" w:space="0"/>
              <w:bottom w:val="single" w:color="auto" w:sz="4" w:space="0"/>
              <w:right w:val="single" w:color="auto" w:sz="4" w:space="0"/>
            </w:tcBorders>
          </w:tcPr>
          <w:p w14:paraId="5EFA6477">
            <w:pPr>
              <w:snapToGrid w:val="0"/>
              <w:spacing w:beforeLines="50"/>
              <w:ind w:left="43"/>
              <w:jc w:val="center"/>
              <w:rPr>
                <w:rFonts w:ascii="宋体" w:hAnsi="宋体" w:cs="宋体"/>
                <w:color w:val="auto"/>
                <w:sz w:val="24"/>
                <w:highlight w:val="none"/>
              </w:rPr>
            </w:pPr>
          </w:p>
        </w:tc>
        <w:tc>
          <w:tcPr>
            <w:tcW w:w="1326" w:type="dxa"/>
            <w:tcBorders>
              <w:top w:val="single" w:color="auto" w:sz="4" w:space="0"/>
              <w:left w:val="single" w:color="auto" w:sz="4" w:space="0"/>
              <w:bottom w:val="single" w:color="auto" w:sz="4" w:space="0"/>
              <w:right w:val="single" w:color="auto" w:sz="4" w:space="0"/>
            </w:tcBorders>
          </w:tcPr>
          <w:p w14:paraId="0815519B">
            <w:pPr>
              <w:snapToGrid w:val="0"/>
              <w:spacing w:beforeLines="50"/>
              <w:ind w:left="43"/>
              <w:jc w:val="center"/>
              <w:rPr>
                <w:rFonts w:ascii="宋体" w:hAnsi="宋体" w:cs="宋体"/>
                <w:color w:val="auto"/>
                <w:sz w:val="24"/>
                <w:highlight w:val="none"/>
              </w:rPr>
            </w:pPr>
          </w:p>
        </w:tc>
      </w:tr>
      <w:tr w14:paraId="442238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928" w:type="dxa"/>
            <w:tcBorders>
              <w:top w:val="single" w:color="auto" w:sz="4" w:space="0"/>
              <w:left w:val="single" w:color="auto" w:sz="4" w:space="0"/>
              <w:bottom w:val="single" w:color="auto" w:sz="4" w:space="0"/>
              <w:right w:val="single" w:color="auto" w:sz="4" w:space="0"/>
            </w:tcBorders>
            <w:vAlign w:val="center"/>
          </w:tcPr>
          <w:p w14:paraId="13E487B4">
            <w:pPr>
              <w:tabs>
                <w:tab w:val="left" w:pos="5450"/>
              </w:tabs>
              <w:adjustRightInd w:val="0"/>
              <w:snapToGrid w:val="0"/>
              <w:spacing w:line="360" w:lineRule="exact"/>
              <w:jc w:val="center"/>
              <w:rPr>
                <w:rFonts w:ascii="宋体" w:hAnsi="宋体" w:cs="宋体"/>
                <w:color w:val="auto"/>
                <w:szCs w:val="21"/>
                <w:highlight w:val="none"/>
              </w:rPr>
            </w:pPr>
          </w:p>
        </w:tc>
        <w:tc>
          <w:tcPr>
            <w:tcW w:w="3261" w:type="dxa"/>
            <w:tcBorders>
              <w:top w:val="single" w:color="auto" w:sz="4" w:space="0"/>
              <w:left w:val="single" w:color="auto" w:sz="4" w:space="0"/>
              <w:bottom w:val="single" w:color="auto" w:sz="4" w:space="0"/>
              <w:right w:val="single" w:color="auto" w:sz="4" w:space="0"/>
            </w:tcBorders>
            <w:vAlign w:val="center"/>
          </w:tcPr>
          <w:p w14:paraId="7448E1EE">
            <w:pPr>
              <w:tabs>
                <w:tab w:val="left" w:pos="5450"/>
              </w:tabs>
              <w:adjustRightInd w:val="0"/>
              <w:snapToGrid w:val="0"/>
              <w:spacing w:line="360" w:lineRule="exact"/>
              <w:rPr>
                <w:rFonts w:ascii="宋体" w:hAnsi="宋体" w:cs="宋体"/>
                <w:color w:val="auto"/>
                <w:szCs w:val="21"/>
                <w:highlight w:val="none"/>
              </w:rPr>
            </w:pPr>
          </w:p>
        </w:tc>
        <w:tc>
          <w:tcPr>
            <w:tcW w:w="2126" w:type="dxa"/>
            <w:tcBorders>
              <w:top w:val="single" w:color="auto" w:sz="4" w:space="0"/>
              <w:left w:val="single" w:color="auto" w:sz="4" w:space="0"/>
              <w:bottom w:val="single" w:color="auto" w:sz="4" w:space="0"/>
              <w:right w:val="single" w:color="auto" w:sz="4" w:space="0"/>
            </w:tcBorders>
          </w:tcPr>
          <w:p w14:paraId="42F08A15">
            <w:pPr>
              <w:snapToGrid w:val="0"/>
              <w:spacing w:beforeLines="50"/>
              <w:jc w:val="center"/>
              <w:rPr>
                <w:rFonts w:ascii="宋体" w:hAnsi="宋体" w:cs="宋体"/>
                <w:color w:val="auto"/>
                <w:sz w:val="24"/>
                <w:highlight w:val="none"/>
              </w:rPr>
            </w:pPr>
          </w:p>
        </w:tc>
        <w:tc>
          <w:tcPr>
            <w:tcW w:w="1326" w:type="dxa"/>
            <w:tcBorders>
              <w:top w:val="single" w:color="auto" w:sz="4" w:space="0"/>
              <w:left w:val="single" w:color="auto" w:sz="4" w:space="0"/>
              <w:bottom w:val="single" w:color="auto" w:sz="4" w:space="0"/>
              <w:right w:val="single" w:color="auto" w:sz="4" w:space="0"/>
            </w:tcBorders>
          </w:tcPr>
          <w:p w14:paraId="200435A7">
            <w:pPr>
              <w:snapToGrid w:val="0"/>
              <w:spacing w:beforeLines="50"/>
              <w:jc w:val="center"/>
              <w:rPr>
                <w:rFonts w:ascii="宋体" w:hAnsi="宋体" w:cs="宋体"/>
                <w:color w:val="auto"/>
                <w:sz w:val="24"/>
                <w:highlight w:val="none"/>
              </w:rPr>
            </w:pPr>
          </w:p>
        </w:tc>
      </w:tr>
      <w:tr w14:paraId="4FF13B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928" w:type="dxa"/>
            <w:tcBorders>
              <w:top w:val="single" w:color="auto" w:sz="4" w:space="0"/>
              <w:left w:val="single" w:color="auto" w:sz="4" w:space="0"/>
              <w:bottom w:val="single" w:color="auto" w:sz="4" w:space="0"/>
              <w:right w:val="single" w:color="auto" w:sz="4" w:space="0"/>
            </w:tcBorders>
            <w:vAlign w:val="center"/>
          </w:tcPr>
          <w:p w14:paraId="212AE97D">
            <w:pPr>
              <w:tabs>
                <w:tab w:val="left" w:pos="5450"/>
              </w:tabs>
              <w:adjustRightInd w:val="0"/>
              <w:snapToGrid w:val="0"/>
              <w:spacing w:line="360" w:lineRule="exact"/>
              <w:rPr>
                <w:rFonts w:ascii="宋体" w:hAnsi="宋体" w:cs="宋体"/>
                <w:color w:val="auto"/>
                <w:szCs w:val="21"/>
                <w:highlight w:val="none"/>
              </w:rPr>
            </w:pPr>
          </w:p>
        </w:tc>
        <w:tc>
          <w:tcPr>
            <w:tcW w:w="3261" w:type="dxa"/>
            <w:tcBorders>
              <w:top w:val="single" w:color="auto" w:sz="4" w:space="0"/>
              <w:left w:val="single" w:color="auto" w:sz="4" w:space="0"/>
              <w:bottom w:val="single" w:color="auto" w:sz="4" w:space="0"/>
              <w:right w:val="single" w:color="auto" w:sz="4" w:space="0"/>
            </w:tcBorders>
            <w:vAlign w:val="center"/>
          </w:tcPr>
          <w:p w14:paraId="48B0D0BE">
            <w:pPr>
              <w:tabs>
                <w:tab w:val="left" w:pos="5450"/>
              </w:tabs>
              <w:adjustRightInd w:val="0"/>
              <w:snapToGrid w:val="0"/>
              <w:spacing w:line="360" w:lineRule="exact"/>
              <w:rPr>
                <w:rFonts w:ascii="宋体" w:hAnsi="宋体" w:cs="宋体"/>
                <w:color w:val="auto"/>
                <w:szCs w:val="21"/>
                <w:highlight w:val="none"/>
              </w:rPr>
            </w:pPr>
          </w:p>
        </w:tc>
        <w:tc>
          <w:tcPr>
            <w:tcW w:w="2126" w:type="dxa"/>
            <w:tcBorders>
              <w:top w:val="single" w:color="auto" w:sz="4" w:space="0"/>
              <w:left w:val="single" w:color="auto" w:sz="4" w:space="0"/>
              <w:bottom w:val="single" w:color="auto" w:sz="4" w:space="0"/>
              <w:right w:val="single" w:color="auto" w:sz="4" w:space="0"/>
            </w:tcBorders>
          </w:tcPr>
          <w:p w14:paraId="05D717B2">
            <w:pPr>
              <w:snapToGrid w:val="0"/>
              <w:spacing w:beforeLines="50"/>
              <w:jc w:val="center"/>
              <w:rPr>
                <w:rFonts w:ascii="宋体" w:hAnsi="宋体" w:cs="宋体"/>
                <w:color w:val="auto"/>
                <w:sz w:val="24"/>
                <w:highlight w:val="none"/>
              </w:rPr>
            </w:pPr>
          </w:p>
        </w:tc>
        <w:tc>
          <w:tcPr>
            <w:tcW w:w="1326" w:type="dxa"/>
            <w:tcBorders>
              <w:top w:val="single" w:color="auto" w:sz="4" w:space="0"/>
              <w:left w:val="single" w:color="auto" w:sz="4" w:space="0"/>
              <w:bottom w:val="single" w:color="auto" w:sz="4" w:space="0"/>
              <w:right w:val="single" w:color="auto" w:sz="4" w:space="0"/>
            </w:tcBorders>
          </w:tcPr>
          <w:p w14:paraId="75DA9D05">
            <w:pPr>
              <w:snapToGrid w:val="0"/>
              <w:spacing w:beforeLines="50"/>
              <w:jc w:val="center"/>
              <w:rPr>
                <w:rFonts w:ascii="宋体" w:hAnsi="宋体" w:cs="宋体"/>
                <w:color w:val="auto"/>
                <w:sz w:val="24"/>
                <w:highlight w:val="none"/>
              </w:rPr>
            </w:pPr>
          </w:p>
        </w:tc>
      </w:tr>
    </w:tbl>
    <w:p w14:paraId="0691CFFA">
      <w:pPr>
        <w:pStyle w:val="16"/>
        <w:spacing w:line="240" w:lineRule="auto"/>
        <w:rPr>
          <w:rFonts w:ascii="宋体" w:hAnsi="宋体" w:cs="宋体"/>
          <w:color w:val="auto"/>
          <w:sz w:val="21"/>
          <w:szCs w:val="21"/>
          <w:highlight w:val="none"/>
        </w:rPr>
      </w:pPr>
      <w:r>
        <w:rPr>
          <w:rFonts w:hint="eastAsia" w:ascii="宋体" w:hAnsi="宋体" w:cs="宋体"/>
          <w:color w:val="auto"/>
          <w:sz w:val="21"/>
          <w:szCs w:val="21"/>
          <w:highlight w:val="none"/>
        </w:rPr>
        <w:t>注：</w:t>
      </w:r>
    </w:p>
    <w:p w14:paraId="23D6ECE7">
      <w:pPr>
        <w:pStyle w:val="18"/>
        <w:ind w:firstLine="0" w:firstLineChars="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 说明：应对照招标文件“第二章 采购需求”中的商务要求逐条作明确的投标响应，并作出偏离说明。</w:t>
      </w:r>
    </w:p>
    <w:p w14:paraId="6E5376AD">
      <w:pPr>
        <w:pStyle w:val="16"/>
        <w:spacing w:line="240" w:lineRule="auto"/>
        <w:rPr>
          <w:rFonts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2.投标人应根据自身的承诺，对照招标文件要求在“偏离说明”中注明“</w:t>
      </w:r>
      <w:r>
        <w:rPr>
          <w:rFonts w:hint="eastAsia" w:ascii="宋体" w:hAnsi="宋体" w:cs="宋体"/>
          <w:color w:val="auto"/>
          <w:sz w:val="21"/>
          <w:szCs w:val="21"/>
          <w:highlight w:val="none"/>
        </w:rPr>
        <w:t>正偏离</w:t>
      </w:r>
      <w:r>
        <w:rPr>
          <w:rFonts w:hint="eastAsia" w:ascii="宋体" w:hAnsi="宋体" w:cs="宋体"/>
          <w:b w:val="0"/>
          <w:bCs w:val="0"/>
          <w:color w:val="auto"/>
          <w:sz w:val="21"/>
          <w:szCs w:val="21"/>
          <w:highlight w:val="none"/>
        </w:rPr>
        <w:t>”、“</w:t>
      </w:r>
      <w:r>
        <w:rPr>
          <w:rFonts w:hint="eastAsia" w:ascii="宋体" w:hAnsi="宋体" w:cs="宋体"/>
          <w:color w:val="auto"/>
          <w:sz w:val="21"/>
          <w:szCs w:val="21"/>
          <w:highlight w:val="none"/>
        </w:rPr>
        <w:t>负偏离</w:t>
      </w:r>
      <w:r>
        <w:rPr>
          <w:rFonts w:hint="eastAsia" w:ascii="宋体" w:hAnsi="宋体" w:cs="宋体"/>
          <w:b w:val="0"/>
          <w:bCs w:val="0"/>
          <w:color w:val="auto"/>
          <w:sz w:val="21"/>
          <w:szCs w:val="21"/>
          <w:highlight w:val="none"/>
        </w:rPr>
        <w:t>”或者“</w:t>
      </w:r>
      <w:r>
        <w:rPr>
          <w:rFonts w:hint="eastAsia" w:ascii="宋体" w:hAnsi="宋体" w:cs="宋体"/>
          <w:color w:val="auto"/>
          <w:sz w:val="21"/>
          <w:szCs w:val="21"/>
          <w:highlight w:val="none"/>
        </w:rPr>
        <w:t>无偏离</w:t>
      </w:r>
      <w:r>
        <w:rPr>
          <w:rFonts w:hint="eastAsia" w:ascii="宋体" w:hAnsi="宋体" w:cs="宋体"/>
          <w:b w:val="0"/>
          <w:bCs w:val="0"/>
          <w:color w:val="auto"/>
          <w:sz w:val="21"/>
          <w:szCs w:val="21"/>
          <w:highlight w:val="none"/>
        </w:rPr>
        <w:t>”。既不属于“</w:t>
      </w:r>
      <w:r>
        <w:rPr>
          <w:rFonts w:hint="eastAsia" w:ascii="宋体" w:hAnsi="宋体" w:cs="宋体"/>
          <w:color w:val="auto"/>
          <w:sz w:val="21"/>
          <w:szCs w:val="21"/>
          <w:highlight w:val="none"/>
        </w:rPr>
        <w:t>正偏离</w:t>
      </w:r>
      <w:r>
        <w:rPr>
          <w:rFonts w:hint="eastAsia" w:ascii="宋体" w:hAnsi="宋体" w:cs="宋体"/>
          <w:b w:val="0"/>
          <w:bCs w:val="0"/>
          <w:color w:val="auto"/>
          <w:sz w:val="21"/>
          <w:szCs w:val="21"/>
          <w:highlight w:val="none"/>
        </w:rPr>
        <w:t>”也不属于“</w:t>
      </w:r>
      <w:r>
        <w:rPr>
          <w:rFonts w:hint="eastAsia" w:ascii="宋体" w:hAnsi="宋体" w:cs="宋体"/>
          <w:color w:val="auto"/>
          <w:sz w:val="21"/>
          <w:szCs w:val="21"/>
          <w:highlight w:val="none"/>
        </w:rPr>
        <w:t>负偏离</w:t>
      </w:r>
      <w:r>
        <w:rPr>
          <w:rFonts w:hint="eastAsia" w:ascii="宋体" w:hAnsi="宋体" w:cs="宋体"/>
          <w:b w:val="0"/>
          <w:bCs w:val="0"/>
          <w:color w:val="auto"/>
          <w:sz w:val="21"/>
          <w:szCs w:val="21"/>
          <w:highlight w:val="none"/>
        </w:rPr>
        <w:t>”即为“</w:t>
      </w:r>
      <w:r>
        <w:rPr>
          <w:rFonts w:hint="eastAsia" w:ascii="宋体" w:hAnsi="宋体" w:cs="宋体"/>
          <w:color w:val="auto"/>
          <w:sz w:val="21"/>
          <w:szCs w:val="21"/>
          <w:highlight w:val="none"/>
        </w:rPr>
        <w:t>无偏离</w:t>
      </w:r>
      <w:r>
        <w:rPr>
          <w:rFonts w:hint="eastAsia" w:ascii="宋体" w:hAnsi="宋体" w:cs="宋体"/>
          <w:b w:val="0"/>
          <w:bCs w:val="0"/>
          <w:color w:val="auto"/>
          <w:sz w:val="21"/>
          <w:szCs w:val="21"/>
          <w:highlight w:val="none"/>
        </w:rPr>
        <w:t>”。</w:t>
      </w:r>
    </w:p>
    <w:p w14:paraId="3CA1AC4A">
      <w:pPr>
        <w:snapToGrid w:val="0"/>
        <w:rPr>
          <w:rFonts w:ascii="宋体" w:hAnsi="宋体" w:cs="宋体"/>
          <w:color w:val="auto"/>
          <w:szCs w:val="21"/>
          <w:highlight w:val="none"/>
        </w:rPr>
      </w:pPr>
    </w:p>
    <w:p w14:paraId="1E173372">
      <w:pPr>
        <w:snapToGrid w:val="0"/>
        <w:rPr>
          <w:rFonts w:ascii="宋体" w:hAnsi="宋体" w:cs="宋体"/>
          <w:color w:val="auto"/>
          <w:szCs w:val="21"/>
          <w:highlight w:val="none"/>
        </w:rPr>
      </w:pPr>
    </w:p>
    <w:p w14:paraId="3229BC12">
      <w:pPr>
        <w:rPr>
          <w:color w:val="auto"/>
          <w:highlight w:val="none"/>
        </w:rPr>
      </w:pPr>
    </w:p>
    <w:p w14:paraId="1CB8796E">
      <w:pPr>
        <w:snapToGrid w:val="0"/>
        <w:spacing w:line="360" w:lineRule="auto"/>
        <w:ind w:firstLine="1470" w:firstLineChars="700"/>
        <w:rPr>
          <w:rFonts w:ascii="宋体" w:hAnsi="宋体" w:cs="宋体"/>
          <w:color w:val="auto"/>
          <w:szCs w:val="21"/>
          <w:highlight w:val="none"/>
        </w:rPr>
      </w:pPr>
      <w:r>
        <w:rPr>
          <w:rFonts w:hint="eastAsia" w:ascii="宋体" w:hAnsi="宋体" w:cs="宋体"/>
          <w:color w:val="auto"/>
          <w:szCs w:val="21"/>
          <w:highlight w:val="none"/>
        </w:rPr>
        <w:t xml:space="preserve">     投标人名称（</w:t>
      </w:r>
      <w:r>
        <w:rPr>
          <w:rFonts w:hint="eastAsia" w:cs="宋体" w:asciiTheme="minorEastAsia" w:hAnsiTheme="minorEastAsia" w:eastAsiaTheme="minorEastAsia"/>
          <w:color w:val="auto"/>
          <w:highlight w:val="none"/>
        </w:rPr>
        <w:t>电子签章</w:t>
      </w:r>
      <w:r>
        <w:rPr>
          <w:rFonts w:hint="eastAsia" w:ascii="宋体" w:hAnsi="宋体" w:cs="宋体"/>
          <w:color w:val="auto"/>
          <w:szCs w:val="21"/>
          <w:highlight w:val="none"/>
        </w:rPr>
        <w:t>）：</w:t>
      </w:r>
    </w:p>
    <w:p w14:paraId="35BA53C6">
      <w:pPr>
        <w:snapToGrid w:val="0"/>
        <w:ind w:firstLine="1890" w:firstLineChars="900"/>
        <w:rPr>
          <w:rFonts w:ascii="宋体" w:hAnsi="宋体" w:cs="宋体"/>
          <w:color w:val="auto"/>
          <w:spacing w:val="20"/>
          <w:szCs w:val="21"/>
          <w:highlight w:val="none"/>
        </w:rPr>
      </w:pPr>
      <w:r>
        <w:rPr>
          <w:rFonts w:hint="eastAsia" w:ascii="宋体" w:hAnsi="宋体" w:cs="宋体"/>
          <w:color w:val="auto"/>
          <w:szCs w:val="21"/>
          <w:highlight w:val="none"/>
        </w:rPr>
        <w:t>法定代表人或者委托代理人（</w:t>
      </w:r>
      <w:r>
        <w:rPr>
          <w:rFonts w:hint="eastAsia" w:ascii="宋体" w:cs="宋体"/>
          <w:color w:val="auto"/>
          <w:kern w:val="0"/>
          <w:szCs w:val="21"/>
          <w:highlight w:val="none"/>
        </w:rPr>
        <w:t>电子签名</w:t>
      </w:r>
      <w:r>
        <w:rPr>
          <w:rFonts w:hint="eastAsia" w:ascii="宋体" w:hAnsi="宋体" w:cs="宋体"/>
          <w:color w:val="auto"/>
          <w:szCs w:val="21"/>
          <w:highlight w:val="none"/>
        </w:rPr>
        <w:t>）：</w:t>
      </w:r>
    </w:p>
    <w:p w14:paraId="0DB67000">
      <w:pPr>
        <w:snapToGrid w:val="0"/>
        <w:ind w:firstLine="6250" w:firstLineChars="2500"/>
        <w:rPr>
          <w:rFonts w:ascii="宋体" w:hAnsi="宋体" w:cs="宋体"/>
          <w:color w:val="auto"/>
          <w:spacing w:val="20"/>
          <w:szCs w:val="21"/>
          <w:highlight w:val="none"/>
        </w:rPr>
      </w:pPr>
    </w:p>
    <w:p w14:paraId="53699EE2">
      <w:pPr>
        <w:snapToGrid w:val="0"/>
        <w:ind w:firstLine="6250" w:firstLineChars="2500"/>
        <w:rPr>
          <w:rFonts w:ascii="宋体" w:hAnsi="宋体" w:cs="宋体"/>
          <w:color w:val="auto"/>
          <w:szCs w:val="21"/>
          <w:highlight w:val="none"/>
        </w:rPr>
      </w:pPr>
      <w:r>
        <w:rPr>
          <w:rFonts w:hint="eastAsia" w:ascii="宋体" w:hAnsi="宋体" w:cs="宋体"/>
          <w:color w:val="auto"/>
          <w:spacing w:val="20"/>
          <w:szCs w:val="21"/>
          <w:highlight w:val="none"/>
        </w:rPr>
        <w:t>日  期：</w:t>
      </w:r>
    </w:p>
    <w:p w14:paraId="03280FF3">
      <w:pPr>
        <w:snapToGrid w:val="0"/>
        <w:rPr>
          <w:rFonts w:ascii="宋体" w:hAnsi="宋体" w:cs="宋体"/>
          <w:color w:val="auto"/>
          <w:szCs w:val="21"/>
          <w:highlight w:val="none"/>
        </w:rPr>
      </w:pPr>
    </w:p>
    <w:p w14:paraId="1F42B8F5">
      <w:pPr>
        <w:snapToGrid w:val="0"/>
        <w:spacing w:beforeLines="50" w:after="50"/>
        <w:jc w:val="left"/>
        <w:rPr>
          <w:rFonts w:ascii="宋体" w:hAnsi="宋体" w:cs="宋体"/>
          <w:color w:val="auto"/>
          <w:sz w:val="24"/>
          <w:szCs w:val="20"/>
          <w:highlight w:val="none"/>
        </w:rPr>
        <w:sectPr>
          <w:footerReference r:id="rId13" w:type="first"/>
          <w:headerReference r:id="rId10" w:type="default"/>
          <w:footerReference r:id="rId11" w:type="default"/>
          <w:footerReference r:id="rId12" w:type="even"/>
          <w:pgSz w:w="11906" w:h="16838"/>
          <w:pgMar w:top="1440" w:right="1797" w:bottom="1440" w:left="1797" w:header="851" w:footer="992" w:gutter="0"/>
          <w:cols w:space="720" w:num="1"/>
          <w:docGrid w:linePitch="312" w:charSpace="0"/>
        </w:sectPr>
      </w:pPr>
    </w:p>
    <w:p w14:paraId="18668927">
      <w:pPr>
        <w:snapToGrid w:val="0"/>
        <w:spacing w:beforeLines="50" w:after="50"/>
        <w:ind w:left="142"/>
        <w:jc w:val="center"/>
        <w:rPr>
          <w:rFonts w:ascii="宋体" w:hAnsi="宋体" w:cs="宋体"/>
          <w:b/>
          <w:color w:val="auto"/>
          <w:sz w:val="32"/>
          <w:szCs w:val="32"/>
          <w:highlight w:val="none"/>
        </w:rPr>
      </w:pPr>
      <w:r>
        <w:rPr>
          <w:rFonts w:hint="eastAsia" w:ascii="宋体" w:hAnsi="宋体" w:cs="宋体"/>
          <w:b/>
          <w:color w:val="auto"/>
          <w:sz w:val="32"/>
          <w:szCs w:val="32"/>
          <w:highlight w:val="none"/>
        </w:rPr>
        <w:t>6.</w:t>
      </w:r>
      <w:r>
        <w:rPr>
          <w:rFonts w:hint="eastAsia" w:ascii="宋体" w:hAnsi="宋体" w:cs="宋体"/>
          <w:b/>
          <w:color w:val="auto"/>
          <w:sz w:val="32"/>
          <w:szCs w:val="32"/>
          <w:highlight w:val="none"/>
          <w:lang w:val="en-US" w:eastAsia="zh-CN"/>
        </w:rPr>
        <w:t>技术</w:t>
      </w:r>
      <w:r>
        <w:rPr>
          <w:rFonts w:hint="eastAsia" w:ascii="宋体" w:hAnsi="宋体" w:cs="宋体"/>
          <w:b/>
          <w:color w:val="auto"/>
          <w:sz w:val="32"/>
          <w:szCs w:val="32"/>
          <w:highlight w:val="none"/>
        </w:rPr>
        <w:t>服务要求偏离表</w:t>
      </w:r>
    </w:p>
    <w:p w14:paraId="49117861">
      <w:pPr>
        <w:pStyle w:val="23"/>
        <w:rPr>
          <w:rFonts w:hAnsi="宋体" w:cs="宋体"/>
          <w:color w:val="auto"/>
          <w:sz w:val="24"/>
          <w:szCs w:val="24"/>
          <w:highlight w:val="none"/>
        </w:rPr>
      </w:pPr>
      <w:r>
        <w:rPr>
          <w:rFonts w:hint="eastAsia" w:hAnsi="宋体" w:cs="宋体"/>
          <w:color w:val="auto"/>
          <w:sz w:val="24"/>
          <w:szCs w:val="24"/>
          <w:highlight w:val="none"/>
        </w:rPr>
        <w:t>所投分标（如有）：</w:t>
      </w:r>
    </w:p>
    <w:tbl>
      <w:tblPr>
        <w:tblStyle w:val="47"/>
        <w:tblW w:w="85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1"/>
        <w:gridCol w:w="2254"/>
        <w:gridCol w:w="2181"/>
        <w:gridCol w:w="1934"/>
      </w:tblGrid>
      <w:tr w14:paraId="4F9AD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2181" w:type="dxa"/>
            <w:vAlign w:val="center"/>
          </w:tcPr>
          <w:p w14:paraId="3E5310F6">
            <w:pPr>
              <w:pStyle w:val="23"/>
              <w:spacing w:line="400" w:lineRule="exact"/>
              <w:jc w:val="center"/>
              <w:rPr>
                <w:rFonts w:hAnsi="宋体" w:cs="宋体"/>
                <w:color w:val="auto"/>
                <w:kern w:val="2"/>
                <w:sz w:val="24"/>
                <w:szCs w:val="24"/>
                <w:highlight w:val="none"/>
              </w:rPr>
            </w:pPr>
            <w:r>
              <w:rPr>
                <w:rFonts w:hint="eastAsia" w:hAnsi="宋体" w:cs="宋体"/>
                <w:color w:val="auto"/>
                <w:kern w:val="2"/>
                <w:sz w:val="24"/>
                <w:szCs w:val="24"/>
                <w:highlight w:val="none"/>
              </w:rPr>
              <w:t>项目</w:t>
            </w:r>
          </w:p>
        </w:tc>
        <w:tc>
          <w:tcPr>
            <w:tcW w:w="2254" w:type="dxa"/>
            <w:vAlign w:val="center"/>
          </w:tcPr>
          <w:p w14:paraId="2AEBD73C">
            <w:pPr>
              <w:pStyle w:val="23"/>
              <w:spacing w:line="400" w:lineRule="exact"/>
              <w:jc w:val="center"/>
              <w:rPr>
                <w:rFonts w:hAnsi="宋体" w:cs="宋体"/>
                <w:color w:val="auto"/>
                <w:kern w:val="2"/>
                <w:sz w:val="24"/>
                <w:szCs w:val="24"/>
                <w:highlight w:val="none"/>
              </w:rPr>
            </w:pPr>
            <w:r>
              <w:rPr>
                <w:rFonts w:hint="eastAsia" w:hAnsi="宋体" w:cs="宋体"/>
                <w:color w:val="auto"/>
                <w:kern w:val="2"/>
                <w:sz w:val="24"/>
                <w:szCs w:val="24"/>
                <w:highlight w:val="none"/>
              </w:rPr>
              <w:t>招标文件要求</w:t>
            </w:r>
          </w:p>
        </w:tc>
        <w:tc>
          <w:tcPr>
            <w:tcW w:w="2181" w:type="dxa"/>
            <w:vAlign w:val="center"/>
          </w:tcPr>
          <w:p w14:paraId="5B7B68FC">
            <w:pPr>
              <w:pStyle w:val="23"/>
              <w:spacing w:line="400" w:lineRule="exact"/>
              <w:jc w:val="center"/>
              <w:rPr>
                <w:rFonts w:hAnsi="宋体" w:cs="宋体"/>
                <w:color w:val="auto"/>
                <w:kern w:val="2"/>
                <w:sz w:val="24"/>
                <w:szCs w:val="24"/>
                <w:highlight w:val="none"/>
              </w:rPr>
            </w:pPr>
            <w:r>
              <w:rPr>
                <w:rFonts w:hint="eastAsia" w:hAnsi="宋体" w:cs="宋体"/>
                <w:color w:val="auto"/>
                <w:kern w:val="2"/>
                <w:sz w:val="24"/>
                <w:szCs w:val="24"/>
                <w:highlight w:val="none"/>
              </w:rPr>
              <w:t>投标文件响应</w:t>
            </w:r>
          </w:p>
        </w:tc>
        <w:tc>
          <w:tcPr>
            <w:tcW w:w="1934" w:type="dxa"/>
            <w:vAlign w:val="center"/>
          </w:tcPr>
          <w:p w14:paraId="1AE7A657">
            <w:pPr>
              <w:pStyle w:val="23"/>
              <w:spacing w:line="400" w:lineRule="exact"/>
              <w:jc w:val="center"/>
              <w:rPr>
                <w:rFonts w:hAnsi="宋体" w:cs="宋体"/>
                <w:color w:val="auto"/>
                <w:kern w:val="2"/>
                <w:sz w:val="24"/>
                <w:szCs w:val="24"/>
                <w:highlight w:val="none"/>
              </w:rPr>
            </w:pPr>
            <w:r>
              <w:rPr>
                <w:rFonts w:hint="eastAsia" w:hAnsi="宋体" w:cs="宋体"/>
                <w:color w:val="auto"/>
                <w:kern w:val="2"/>
                <w:sz w:val="24"/>
                <w:szCs w:val="24"/>
                <w:highlight w:val="none"/>
              </w:rPr>
              <w:t>偏离说明</w:t>
            </w:r>
          </w:p>
        </w:tc>
      </w:tr>
      <w:tr w14:paraId="2F175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81" w:type="dxa"/>
            <w:vAlign w:val="center"/>
          </w:tcPr>
          <w:p w14:paraId="07AF5A80">
            <w:pPr>
              <w:pStyle w:val="23"/>
              <w:spacing w:line="400" w:lineRule="exact"/>
              <w:jc w:val="center"/>
              <w:rPr>
                <w:rFonts w:hAnsi="宋体" w:cs="宋体"/>
                <w:color w:val="auto"/>
                <w:kern w:val="2"/>
                <w:sz w:val="21"/>
                <w:highlight w:val="none"/>
              </w:rPr>
            </w:pPr>
          </w:p>
        </w:tc>
        <w:tc>
          <w:tcPr>
            <w:tcW w:w="2254" w:type="dxa"/>
            <w:vAlign w:val="center"/>
          </w:tcPr>
          <w:p w14:paraId="1331C636">
            <w:pPr>
              <w:pStyle w:val="23"/>
              <w:spacing w:line="400" w:lineRule="exact"/>
              <w:jc w:val="center"/>
              <w:rPr>
                <w:rFonts w:hAnsi="宋体" w:cs="宋体"/>
                <w:color w:val="auto"/>
                <w:kern w:val="2"/>
                <w:sz w:val="24"/>
                <w:szCs w:val="24"/>
                <w:highlight w:val="none"/>
              </w:rPr>
            </w:pPr>
          </w:p>
        </w:tc>
        <w:tc>
          <w:tcPr>
            <w:tcW w:w="2181" w:type="dxa"/>
            <w:vAlign w:val="center"/>
          </w:tcPr>
          <w:p w14:paraId="32DAE71F">
            <w:pPr>
              <w:pStyle w:val="23"/>
              <w:spacing w:line="600" w:lineRule="exact"/>
              <w:jc w:val="center"/>
              <w:rPr>
                <w:rFonts w:hAnsi="宋体" w:cs="宋体"/>
                <w:color w:val="auto"/>
                <w:kern w:val="2"/>
                <w:sz w:val="24"/>
                <w:szCs w:val="24"/>
                <w:highlight w:val="none"/>
              </w:rPr>
            </w:pPr>
          </w:p>
        </w:tc>
        <w:tc>
          <w:tcPr>
            <w:tcW w:w="1934" w:type="dxa"/>
            <w:vAlign w:val="center"/>
          </w:tcPr>
          <w:p w14:paraId="451B2498">
            <w:pPr>
              <w:pStyle w:val="23"/>
              <w:spacing w:line="600" w:lineRule="exact"/>
              <w:jc w:val="center"/>
              <w:rPr>
                <w:rFonts w:hAnsi="宋体" w:cs="宋体"/>
                <w:color w:val="auto"/>
                <w:kern w:val="2"/>
                <w:sz w:val="24"/>
                <w:szCs w:val="24"/>
                <w:highlight w:val="none"/>
              </w:rPr>
            </w:pPr>
          </w:p>
        </w:tc>
      </w:tr>
      <w:tr w14:paraId="7A34C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81" w:type="dxa"/>
          </w:tcPr>
          <w:p w14:paraId="18D83F3C">
            <w:pPr>
              <w:spacing w:line="400" w:lineRule="exact"/>
              <w:jc w:val="center"/>
              <w:rPr>
                <w:rFonts w:ascii="宋体" w:hAnsi="宋体" w:cs="宋体"/>
                <w:color w:val="auto"/>
                <w:szCs w:val="21"/>
                <w:highlight w:val="none"/>
              </w:rPr>
            </w:pPr>
          </w:p>
        </w:tc>
        <w:tc>
          <w:tcPr>
            <w:tcW w:w="2254" w:type="dxa"/>
          </w:tcPr>
          <w:p w14:paraId="434F995C">
            <w:pPr>
              <w:pStyle w:val="23"/>
              <w:spacing w:line="400" w:lineRule="exact"/>
              <w:jc w:val="center"/>
              <w:rPr>
                <w:rFonts w:hAnsi="宋体" w:cs="宋体"/>
                <w:color w:val="auto"/>
                <w:kern w:val="2"/>
                <w:sz w:val="24"/>
                <w:szCs w:val="24"/>
                <w:highlight w:val="none"/>
              </w:rPr>
            </w:pPr>
          </w:p>
        </w:tc>
        <w:tc>
          <w:tcPr>
            <w:tcW w:w="2181" w:type="dxa"/>
          </w:tcPr>
          <w:p w14:paraId="1F5FEAFB">
            <w:pPr>
              <w:pStyle w:val="23"/>
              <w:spacing w:line="600" w:lineRule="exact"/>
              <w:rPr>
                <w:rFonts w:hAnsi="宋体" w:cs="宋体"/>
                <w:color w:val="auto"/>
                <w:kern w:val="2"/>
                <w:sz w:val="24"/>
                <w:szCs w:val="24"/>
                <w:highlight w:val="none"/>
              </w:rPr>
            </w:pPr>
          </w:p>
        </w:tc>
        <w:tc>
          <w:tcPr>
            <w:tcW w:w="1934" w:type="dxa"/>
          </w:tcPr>
          <w:p w14:paraId="5D32EAC0">
            <w:pPr>
              <w:pStyle w:val="23"/>
              <w:spacing w:line="600" w:lineRule="exact"/>
              <w:rPr>
                <w:rFonts w:hAnsi="宋体" w:cs="宋体"/>
                <w:color w:val="auto"/>
                <w:kern w:val="2"/>
                <w:sz w:val="24"/>
                <w:szCs w:val="24"/>
                <w:highlight w:val="none"/>
              </w:rPr>
            </w:pPr>
          </w:p>
        </w:tc>
      </w:tr>
      <w:tr w14:paraId="65DA3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81" w:type="dxa"/>
          </w:tcPr>
          <w:p w14:paraId="5A5F97F3">
            <w:pPr>
              <w:pStyle w:val="23"/>
              <w:spacing w:line="600" w:lineRule="exact"/>
              <w:jc w:val="center"/>
              <w:rPr>
                <w:rFonts w:hAnsi="宋体" w:cs="宋体"/>
                <w:color w:val="auto"/>
                <w:kern w:val="2"/>
                <w:sz w:val="21"/>
                <w:highlight w:val="none"/>
              </w:rPr>
            </w:pPr>
          </w:p>
        </w:tc>
        <w:tc>
          <w:tcPr>
            <w:tcW w:w="2254" w:type="dxa"/>
          </w:tcPr>
          <w:p w14:paraId="62FFE3FF">
            <w:pPr>
              <w:pStyle w:val="23"/>
              <w:spacing w:line="600" w:lineRule="exact"/>
              <w:rPr>
                <w:rFonts w:hAnsi="宋体" w:cs="宋体"/>
                <w:color w:val="auto"/>
                <w:kern w:val="2"/>
                <w:sz w:val="24"/>
                <w:szCs w:val="24"/>
                <w:highlight w:val="none"/>
              </w:rPr>
            </w:pPr>
          </w:p>
        </w:tc>
        <w:tc>
          <w:tcPr>
            <w:tcW w:w="2181" w:type="dxa"/>
          </w:tcPr>
          <w:p w14:paraId="68550DBC">
            <w:pPr>
              <w:pStyle w:val="23"/>
              <w:spacing w:line="600" w:lineRule="exact"/>
              <w:rPr>
                <w:rFonts w:hAnsi="宋体" w:cs="宋体"/>
                <w:color w:val="auto"/>
                <w:kern w:val="2"/>
                <w:sz w:val="24"/>
                <w:szCs w:val="24"/>
                <w:highlight w:val="none"/>
              </w:rPr>
            </w:pPr>
          </w:p>
        </w:tc>
        <w:tc>
          <w:tcPr>
            <w:tcW w:w="1934" w:type="dxa"/>
          </w:tcPr>
          <w:p w14:paraId="59C62B50">
            <w:pPr>
              <w:pStyle w:val="23"/>
              <w:spacing w:line="600" w:lineRule="exact"/>
              <w:rPr>
                <w:rFonts w:hAnsi="宋体" w:cs="宋体"/>
                <w:color w:val="auto"/>
                <w:kern w:val="2"/>
                <w:sz w:val="24"/>
                <w:szCs w:val="24"/>
                <w:highlight w:val="none"/>
              </w:rPr>
            </w:pPr>
          </w:p>
        </w:tc>
      </w:tr>
      <w:tr w14:paraId="48ADC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81" w:type="dxa"/>
          </w:tcPr>
          <w:p w14:paraId="5FFD8C5E">
            <w:pPr>
              <w:pStyle w:val="23"/>
              <w:spacing w:line="600" w:lineRule="exact"/>
              <w:jc w:val="center"/>
              <w:rPr>
                <w:rFonts w:hAnsi="宋体" w:cs="宋体"/>
                <w:color w:val="auto"/>
                <w:kern w:val="2"/>
                <w:sz w:val="21"/>
                <w:highlight w:val="none"/>
              </w:rPr>
            </w:pPr>
          </w:p>
        </w:tc>
        <w:tc>
          <w:tcPr>
            <w:tcW w:w="2254" w:type="dxa"/>
          </w:tcPr>
          <w:p w14:paraId="139B211B">
            <w:pPr>
              <w:pStyle w:val="23"/>
              <w:spacing w:line="600" w:lineRule="exact"/>
              <w:rPr>
                <w:rFonts w:hAnsi="宋体" w:cs="宋体"/>
                <w:color w:val="auto"/>
                <w:kern w:val="2"/>
                <w:sz w:val="24"/>
                <w:szCs w:val="24"/>
                <w:highlight w:val="none"/>
              </w:rPr>
            </w:pPr>
          </w:p>
        </w:tc>
        <w:tc>
          <w:tcPr>
            <w:tcW w:w="2181" w:type="dxa"/>
          </w:tcPr>
          <w:p w14:paraId="7A6601F9">
            <w:pPr>
              <w:pStyle w:val="23"/>
              <w:spacing w:line="600" w:lineRule="exact"/>
              <w:rPr>
                <w:rFonts w:hAnsi="宋体" w:cs="宋体"/>
                <w:color w:val="auto"/>
                <w:kern w:val="2"/>
                <w:sz w:val="24"/>
                <w:szCs w:val="24"/>
                <w:highlight w:val="none"/>
              </w:rPr>
            </w:pPr>
          </w:p>
        </w:tc>
        <w:tc>
          <w:tcPr>
            <w:tcW w:w="1934" w:type="dxa"/>
          </w:tcPr>
          <w:p w14:paraId="3A4A19FA">
            <w:pPr>
              <w:pStyle w:val="23"/>
              <w:spacing w:line="600" w:lineRule="exact"/>
              <w:rPr>
                <w:rFonts w:hAnsi="宋体" w:cs="宋体"/>
                <w:color w:val="auto"/>
                <w:kern w:val="2"/>
                <w:sz w:val="24"/>
                <w:szCs w:val="24"/>
                <w:highlight w:val="none"/>
              </w:rPr>
            </w:pPr>
          </w:p>
        </w:tc>
      </w:tr>
      <w:tr w14:paraId="6561A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81" w:type="dxa"/>
          </w:tcPr>
          <w:p w14:paraId="110D514B">
            <w:pPr>
              <w:pStyle w:val="23"/>
              <w:spacing w:line="600" w:lineRule="exact"/>
              <w:rPr>
                <w:rFonts w:hAnsi="宋体" w:cs="宋体"/>
                <w:color w:val="auto"/>
                <w:kern w:val="2"/>
                <w:sz w:val="24"/>
                <w:szCs w:val="24"/>
                <w:highlight w:val="none"/>
              </w:rPr>
            </w:pPr>
          </w:p>
        </w:tc>
        <w:tc>
          <w:tcPr>
            <w:tcW w:w="2254" w:type="dxa"/>
          </w:tcPr>
          <w:p w14:paraId="428B0D35">
            <w:pPr>
              <w:pStyle w:val="23"/>
              <w:spacing w:line="600" w:lineRule="exact"/>
              <w:rPr>
                <w:rFonts w:hAnsi="宋体" w:cs="宋体"/>
                <w:color w:val="auto"/>
                <w:kern w:val="2"/>
                <w:sz w:val="24"/>
                <w:szCs w:val="24"/>
                <w:highlight w:val="none"/>
              </w:rPr>
            </w:pPr>
          </w:p>
        </w:tc>
        <w:tc>
          <w:tcPr>
            <w:tcW w:w="2181" w:type="dxa"/>
          </w:tcPr>
          <w:p w14:paraId="77DE818E">
            <w:pPr>
              <w:pStyle w:val="23"/>
              <w:spacing w:line="600" w:lineRule="exact"/>
              <w:rPr>
                <w:rFonts w:hAnsi="宋体" w:cs="宋体"/>
                <w:color w:val="auto"/>
                <w:kern w:val="2"/>
                <w:sz w:val="24"/>
                <w:szCs w:val="24"/>
                <w:highlight w:val="none"/>
              </w:rPr>
            </w:pPr>
          </w:p>
        </w:tc>
        <w:tc>
          <w:tcPr>
            <w:tcW w:w="1934" w:type="dxa"/>
          </w:tcPr>
          <w:p w14:paraId="6C2EE17E">
            <w:pPr>
              <w:pStyle w:val="23"/>
              <w:spacing w:line="600" w:lineRule="exact"/>
              <w:rPr>
                <w:rFonts w:hAnsi="宋体" w:cs="宋体"/>
                <w:color w:val="auto"/>
                <w:kern w:val="2"/>
                <w:sz w:val="24"/>
                <w:szCs w:val="24"/>
                <w:highlight w:val="none"/>
              </w:rPr>
            </w:pPr>
          </w:p>
        </w:tc>
      </w:tr>
      <w:tr w14:paraId="0C4F7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81" w:type="dxa"/>
          </w:tcPr>
          <w:p w14:paraId="41BD2706">
            <w:pPr>
              <w:pStyle w:val="23"/>
              <w:spacing w:line="600" w:lineRule="exact"/>
              <w:rPr>
                <w:rFonts w:hAnsi="宋体" w:cs="宋体"/>
                <w:color w:val="auto"/>
                <w:kern w:val="2"/>
                <w:sz w:val="24"/>
                <w:szCs w:val="24"/>
                <w:highlight w:val="none"/>
              </w:rPr>
            </w:pPr>
          </w:p>
        </w:tc>
        <w:tc>
          <w:tcPr>
            <w:tcW w:w="2254" w:type="dxa"/>
          </w:tcPr>
          <w:p w14:paraId="71244956">
            <w:pPr>
              <w:pStyle w:val="23"/>
              <w:spacing w:line="600" w:lineRule="exact"/>
              <w:rPr>
                <w:rFonts w:hAnsi="宋体" w:cs="宋体"/>
                <w:color w:val="auto"/>
                <w:kern w:val="2"/>
                <w:sz w:val="24"/>
                <w:szCs w:val="24"/>
                <w:highlight w:val="none"/>
              </w:rPr>
            </w:pPr>
          </w:p>
        </w:tc>
        <w:tc>
          <w:tcPr>
            <w:tcW w:w="2181" w:type="dxa"/>
          </w:tcPr>
          <w:p w14:paraId="036C36C9">
            <w:pPr>
              <w:pStyle w:val="23"/>
              <w:spacing w:line="600" w:lineRule="exact"/>
              <w:rPr>
                <w:rFonts w:hAnsi="宋体" w:cs="宋体"/>
                <w:color w:val="auto"/>
                <w:kern w:val="2"/>
                <w:sz w:val="24"/>
                <w:szCs w:val="24"/>
                <w:highlight w:val="none"/>
              </w:rPr>
            </w:pPr>
          </w:p>
        </w:tc>
        <w:tc>
          <w:tcPr>
            <w:tcW w:w="1934" w:type="dxa"/>
          </w:tcPr>
          <w:p w14:paraId="577E3BF2">
            <w:pPr>
              <w:pStyle w:val="23"/>
              <w:spacing w:line="600" w:lineRule="exact"/>
              <w:rPr>
                <w:rFonts w:hAnsi="宋体" w:cs="宋体"/>
                <w:color w:val="auto"/>
                <w:kern w:val="2"/>
                <w:sz w:val="24"/>
                <w:szCs w:val="24"/>
                <w:highlight w:val="none"/>
              </w:rPr>
            </w:pPr>
          </w:p>
        </w:tc>
      </w:tr>
      <w:tr w14:paraId="0891D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81" w:type="dxa"/>
          </w:tcPr>
          <w:p w14:paraId="3D04CBAC">
            <w:pPr>
              <w:pStyle w:val="23"/>
              <w:spacing w:line="600" w:lineRule="exact"/>
              <w:rPr>
                <w:rFonts w:hAnsi="宋体" w:cs="宋体"/>
                <w:color w:val="auto"/>
                <w:kern w:val="2"/>
                <w:sz w:val="24"/>
                <w:szCs w:val="24"/>
                <w:highlight w:val="none"/>
              </w:rPr>
            </w:pPr>
          </w:p>
        </w:tc>
        <w:tc>
          <w:tcPr>
            <w:tcW w:w="2254" w:type="dxa"/>
          </w:tcPr>
          <w:p w14:paraId="13B08C6E">
            <w:pPr>
              <w:pStyle w:val="23"/>
              <w:spacing w:line="600" w:lineRule="exact"/>
              <w:rPr>
                <w:rFonts w:hAnsi="宋体" w:cs="宋体"/>
                <w:color w:val="auto"/>
                <w:kern w:val="2"/>
                <w:sz w:val="24"/>
                <w:szCs w:val="24"/>
                <w:highlight w:val="none"/>
              </w:rPr>
            </w:pPr>
          </w:p>
        </w:tc>
        <w:tc>
          <w:tcPr>
            <w:tcW w:w="2181" w:type="dxa"/>
          </w:tcPr>
          <w:p w14:paraId="60CDD1B4">
            <w:pPr>
              <w:pStyle w:val="23"/>
              <w:spacing w:line="600" w:lineRule="exact"/>
              <w:rPr>
                <w:rFonts w:hAnsi="宋体" w:cs="宋体"/>
                <w:color w:val="auto"/>
                <w:kern w:val="2"/>
                <w:sz w:val="24"/>
                <w:szCs w:val="24"/>
                <w:highlight w:val="none"/>
              </w:rPr>
            </w:pPr>
          </w:p>
        </w:tc>
        <w:tc>
          <w:tcPr>
            <w:tcW w:w="1934" w:type="dxa"/>
          </w:tcPr>
          <w:p w14:paraId="3A29B2C0">
            <w:pPr>
              <w:pStyle w:val="23"/>
              <w:spacing w:line="600" w:lineRule="exact"/>
              <w:rPr>
                <w:rFonts w:hAnsi="宋体" w:cs="宋体"/>
                <w:color w:val="auto"/>
                <w:kern w:val="2"/>
                <w:sz w:val="24"/>
                <w:szCs w:val="24"/>
                <w:highlight w:val="none"/>
              </w:rPr>
            </w:pPr>
          </w:p>
        </w:tc>
      </w:tr>
    </w:tbl>
    <w:p w14:paraId="1CB639F7">
      <w:pPr>
        <w:pStyle w:val="16"/>
        <w:spacing w:line="240" w:lineRule="auto"/>
        <w:contextualSpacing/>
        <w:rPr>
          <w:rFonts w:ascii="宋体" w:hAnsi="宋体" w:cs="宋体"/>
          <w:color w:val="auto"/>
          <w:sz w:val="21"/>
          <w:szCs w:val="21"/>
          <w:highlight w:val="none"/>
        </w:rPr>
      </w:pPr>
      <w:r>
        <w:rPr>
          <w:rFonts w:hint="eastAsia" w:ascii="宋体" w:hAnsi="宋体" w:cs="宋体"/>
          <w:color w:val="auto"/>
          <w:sz w:val="21"/>
          <w:szCs w:val="21"/>
          <w:highlight w:val="none"/>
        </w:rPr>
        <w:t>注：</w:t>
      </w:r>
    </w:p>
    <w:p w14:paraId="32718B15">
      <w:pPr>
        <w:pStyle w:val="18"/>
        <w:ind w:firstLine="0" w:firstLineChars="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 说明：应对照招标文件“第二章 采购需求”中的</w:t>
      </w:r>
      <w:r>
        <w:rPr>
          <w:rFonts w:hint="eastAsia" w:ascii="宋体" w:hAnsi="宋体" w:eastAsia="宋体" w:cs="宋体"/>
          <w:color w:val="auto"/>
          <w:sz w:val="21"/>
          <w:szCs w:val="21"/>
          <w:highlight w:val="none"/>
          <w:lang w:val="en-US" w:eastAsia="zh-CN"/>
        </w:rPr>
        <w:t>技术</w:t>
      </w:r>
      <w:r>
        <w:rPr>
          <w:rFonts w:hint="eastAsia" w:ascii="宋体" w:hAnsi="宋体" w:eastAsia="宋体" w:cs="宋体"/>
          <w:color w:val="auto"/>
          <w:sz w:val="21"/>
          <w:szCs w:val="21"/>
          <w:highlight w:val="none"/>
        </w:rPr>
        <w:t>服务要求逐条作明确的投标响应，并作出偏离说明。</w:t>
      </w:r>
    </w:p>
    <w:p w14:paraId="6D3D03A9">
      <w:pPr>
        <w:pStyle w:val="16"/>
        <w:spacing w:line="240" w:lineRule="auto"/>
        <w:contextualSpacing/>
        <w:rPr>
          <w:rFonts w:ascii="宋体" w:hAnsi="宋体" w:cs="宋体"/>
          <w:color w:val="auto"/>
          <w:sz w:val="21"/>
          <w:szCs w:val="21"/>
          <w:highlight w:val="none"/>
        </w:rPr>
      </w:pPr>
      <w:r>
        <w:rPr>
          <w:rFonts w:hint="eastAsia" w:ascii="宋体" w:hAnsi="宋体" w:cs="宋体"/>
          <w:b w:val="0"/>
          <w:bCs w:val="0"/>
          <w:color w:val="auto"/>
          <w:sz w:val="21"/>
          <w:szCs w:val="21"/>
          <w:highlight w:val="none"/>
        </w:rPr>
        <w:t>2.投标人应根据自身的承诺，对照招标文件要求，在“偏离说明”中注明“</w:t>
      </w:r>
      <w:r>
        <w:rPr>
          <w:rFonts w:hint="eastAsia" w:ascii="宋体" w:hAnsi="宋体" w:cs="宋体"/>
          <w:color w:val="auto"/>
          <w:sz w:val="21"/>
          <w:szCs w:val="21"/>
          <w:highlight w:val="none"/>
        </w:rPr>
        <w:t>正偏离</w:t>
      </w:r>
      <w:r>
        <w:rPr>
          <w:rFonts w:hint="eastAsia" w:ascii="宋体" w:hAnsi="宋体" w:cs="宋体"/>
          <w:b w:val="0"/>
          <w:bCs w:val="0"/>
          <w:color w:val="auto"/>
          <w:sz w:val="21"/>
          <w:szCs w:val="21"/>
          <w:highlight w:val="none"/>
        </w:rPr>
        <w:t>”、“</w:t>
      </w:r>
      <w:r>
        <w:rPr>
          <w:rFonts w:hint="eastAsia" w:ascii="宋体" w:hAnsi="宋体" w:cs="宋体"/>
          <w:color w:val="auto"/>
          <w:sz w:val="21"/>
          <w:szCs w:val="21"/>
          <w:highlight w:val="none"/>
        </w:rPr>
        <w:t>负偏离</w:t>
      </w:r>
      <w:r>
        <w:rPr>
          <w:rFonts w:hint="eastAsia" w:ascii="宋体" w:hAnsi="宋体" w:cs="宋体"/>
          <w:b w:val="0"/>
          <w:bCs w:val="0"/>
          <w:color w:val="auto"/>
          <w:sz w:val="21"/>
          <w:szCs w:val="21"/>
          <w:highlight w:val="none"/>
        </w:rPr>
        <w:t>”或者“</w:t>
      </w:r>
      <w:r>
        <w:rPr>
          <w:rFonts w:hint="eastAsia" w:ascii="宋体" w:hAnsi="宋体" w:cs="宋体"/>
          <w:color w:val="auto"/>
          <w:sz w:val="21"/>
          <w:szCs w:val="21"/>
          <w:highlight w:val="none"/>
        </w:rPr>
        <w:t>无偏离</w:t>
      </w:r>
      <w:r>
        <w:rPr>
          <w:rFonts w:hint="eastAsia" w:ascii="宋体" w:hAnsi="宋体" w:cs="宋体"/>
          <w:b w:val="0"/>
          <w:bCs w:val="0"/>
          <w:color w:val="auto"/>
          <w:sz w:val="21"/>
          <w:szCs w:val="21"/>
          <w:highlight w:val="none"/>
        </w:rPr>
        <w:t>”。既不属于“</w:t>
      </w:r>
      <w:r>
        <w:rPr>
          <w:rFonts w:hint="eastAsia" w:ascii="宋体" w:hAnsi="宋体" w:cs="宋体"/>
          <w:color w:val="auto"/>
          <w:sz w:val="21"/>
          <w:szCs w:val="21"/>
          <w:highlight w:val="none"/>
        </w:rPr>
        <w:t>正偏离</w:t>
      </w:r>
      <w:r>
        <w:rPr>
          <w:rFonts w:hint="eastAsia" w:ascii="宋体" w:hAnsi="宋体" w:cs="宋体"/>
          <w:b w:val="0"/>
          <w:bCs w:val="0"/>
          <w:color w:val="auto"/>
          <w:sz w:val="21"/>
          <w:szCs w:val="21"/>
          <w:highlight w:val="none"/>
        </w:rPr>
        <w:t>”也不属于“</w:t>
      </w:r>
      <w:r>
        <w:rPr>
          <w:rFonts w:hint="eastAsia" w:ascii="宋体" w:hAnsi="宋体" w:cs="宋体"/>
          <w:color w:val="auto"/>
          <w:sz w:val="21"/>
          <w:szCs w:val="21"/>
          <w:highlight w:val="none"/>
        </w:rPr>
        <w:t>负偏离</w:t>
      </w:r>
      <w:r>
        <w:rPr>
          <w:rFonts w:hint="eastAsia" w:ascii="宋体" w:hAnsi="宋体" w:cs="宋体"/>
          <w:b w:val="0"/>
          <w:bCs w:val="0"/>
          <w:color w:val="auto"/>
          <w:sz w:val="21"/>
          <w:szCs w:val="21"/>
          <w:highlight w:val="none"/>
        </w:rPr>
        <w:t>”即为“</w:t>
      </w:r>
      <w:r>
        <w:rPr>
          <w:rFonts w:hint="eastAsia" w:ascii="宋体" w:hAnsi="宋体" w:cs="宋体"/>
          <w:color w:val="auto"/>
          <w:sz w:val="21"/>
          <w:szCs w:val="21"/>
          <w:highlight w:val="none"/>
        </w:rPr>
        <w:t>无偏离</w:t>
      </w:r>
      <w:r>
        <w:rPr>
          <w:rFonts w:hint="eastAsia" w:ascii="宋体" w:hAnsi="宋体" w:cs="宋体"/>
          <w:b w:val="0"/>
          <w:bCs w:val="0"/>
          <w:color w:val="auto"/>
          <w:sz w:val="21"/>
          <w:szCs w:val="21"/>
          <w:highlight w:val="none"/>
        </w:rPr>
        <w:t>”。</w:t>
      </w:r>
    </w:p>
    <w:p w14:paraId="138DB5E5">
      <w:pPr>
        <w:pStyle w:val="16"/>
        <w:spacing w:line="240" w:lineRule="auto"/>
        <w:contextualSpacing/>
        <w:rPr>
          <w:rFonts w:ascii="宋体" w:hAnsi="宋体" w:cs="宋体"/>
          <w:color w:val="auto"/>
          <w:spacing w:val="20"/>
          <w:sz w:val="21"/>
          <w:szCs w:val="21"/>
          <w:highlight w:val="none"/>
        </w:rPr>
      </w:pPr>
    </w:p>
    <w:p w14:paraId="65283D32">
      <w:pPr>
        <w:contextualSpacing/>
        <w:rPr>
          <w:rFonts w:ascii="宋体" w:hAnsi="宋体" w:cs="宋体"/>
          <w:color w:val="auto"/>
          <w:szCs w:val="21"/>
          <w:highlight w:val="none"/>
        </w:rPr>
      </w:pPr>
    </w:p>
    <w:p w14:paraId="495387A8">
      <w:pPr>
        <w:contextualSpacing/>
        <w:rPr>
          <w:rFonts w:ascii="宋体" w:hAnsi="宋体" w:cs="宋体"/>
          <w:color w:val="auto"/>
          <w:szCs w:val="21"/>
          <w:highlight w:val="none"/>
        </w:rPr>
      </w:pPr>
    </w:p>
    <w:p w14:paraId="1615EB2F">
      <w:pPr>
        <w:snapToGrid w:val="0"/>
        <w:spacing w:line="360" w:lineRule="auto"/>
        <w:ind w:firstLine="1470" w:firstLineChars="700"/>
        <w:rPr>
          <w:rFonts w:ascii="宋体" w:hAnsi="宋体" w:cs="宋体"/>
          <w:color w:val="auto"/>
          <w:szCs w:val="21"/>
          <w:highlight w:val="none"/>
        </w:rPr>
      </w:pPr>
      <w:r>
        <w:rPr>
          <w:rFonts w:hint="eastAsia" w:ascii="宋体" w:hAnsi="宋体" w:cs="宋体"/>
          <w:color w:val="auto"/>
          <w:szCs w:val="21"/>
          <w:highlight w:val="none"/>
        </w:rPr>
        <w:t xml:space="preserve">         投标人名称（</w:t>
      </w:r>
      <w:r>
        <w:rPr>
          <w:rFonts w:hint="eastAsia" w:cs="宋体" w:asciiTheme="minorEastAsia" w:hAnsiTheme="minorEastAsia" w:eastAsiaTheme="minorEastAsia"/>
          <w:color w:val="auto"/>
          <w:highlight w:val="none"/>
        </w:rPr>
        <w:t>电子签章</w:t>
      </w:r>
      <w:r>
        <w:rPr>
          <w:rFonts w:hint="eastAsia" w:ascii="宋体" w:hAnsi="宋体" w:cs="宋体"/>
          <w:color w:val="auto"/>
          <w:szCs w:val="21"/>
          <w:highlight w:val="none"/>
        </w:rPr>
        <w:t>）：</w:t>
      </w:r>
    </w:p>
    <w:p w14:paraId="193F52DF">
      <w:pPr>
        <w:ind w:firstLine="2310" w:firstLineChars="1100"/>
        <w:contextualSpacing/>
        <w:rPr>
          <w:rFonts w:ascii="宋体" w:hAnsi="宋体" w:cs="宋体"/>
          <w:color w:val="auto"/>
          <w:spacing w:val="20"/>
          <w:szCs w:val="21"/>
          <w:highlight w:val="none"/>
        </w:rPr>
      </w:pPr>
      <w:r>
        <w:rPr>
          <w:rFonts w:hint="eastAsia" w:ascii="宋体" w:hAnsi="宋体" w:cs="宋体"/>
          <w:color w:val="auto"/>
          <w:szCs w:val="21"/>
          <w:highlight w:val="none"/>
        </w:rPr>
        <w:t>法定代表人或者委托代理人（</w:t>
      </w:r>
      <w:r>
        <w:rPr>
          <w:rFonts w:hint="eastAsia" w:ascii="宋体" w:cs="宋体"/>
          <w:color w:val="auto"/>
          <w:kern w:val="0"/>
          <w:szCs w:val="21"/>
          <w:highlight w:val="none"/>
        </w:rPr>
        <w:t>电子签名</w:t>
      </w:r>
      <w:r>
        <w:rPr>
          <w:rFonts w:hint="eastAsia" w:ascii="宋体" w:hAnsi="宋体" w:cs="宋体"/>
          <w:color w:val="auto"/>
          <w:szCs w:val="21"/>
          <w:highlight w:val="none"/>
        </w:rPr>
        <w:t>）：</w:t>
      </w:r>
    </w:p>
    <w:p w14:paraId="6B667A1B">
      <w:pPr>
        <w:contextualSpacing/>
        <w:rPr>
          <w:rFonts w:ascii="宋体" w:hAnsi="宋体" w:cs="宋体"/>
          <w:color w:val="auto"/>
          <w:spacing w:val="20"/>
          <w:szCs w:val="21"/>
          <w:highlight w:val="none"/>
        </w:rPr>
      </w:pPr>
    </w:p>
    <w:p w14:paraId="1EC997EB">
      <w:pPr>
        <w:ind w:firstLine="5500" w:firstLineChars="2200"/>
        <w:contextualSpacing/>
        <w:rPr>
          <w:rFonts w:ascii="宋体" w:hAnsi="宋体" w:cs="宋体"/>
          <w:color w:val="auto"/>
          <w:szCs w:val="21"/>
          <w:highlight w:val="none"/>
        </w:rPr>
      </w:pPr>
      <w:r>
        <w:rPr>
          <w:rFonts w:hint="eastAsia" w:ascii="宋体" w:hAnsi="宋体" w:cs="宋体"/>
          <w:color w:val="auto"/>
          <w:spacing w:val="20"/>
          <w:szCs w:val="21"/>
          <w:highlight w:val="none"/>
        </w:rPr>
        <w:t>日  期：</w:t>
      </w:r>
    </w:p>
    <w:p w14:paraId="7711BBCF">
      <w:pPr>
        <w:spacing w:line="360" w:lineRule="auto"/>
        <w:contextualSpacing/>
        <w:rPr>
          <w:rFonts w:ascii="宋体" w:hAnsi="宋体" w:cs="宋体"/>
          <w:color w:val="auto"/>
          <w:spacing w:val="20"/>
          <w:sz w:val="24"/>
          <w:highlight w:val="none"/>
          <w:u w:val="single"/>
        </w:rPr>
      </w:pPr>
    </w:p>
    <w:p w14:paraId="57065F1F">
      <w:pPr>
        <w:rPr>
          <w:rFonts w:ascii="宋体" w:hAnsi="宋体" w:cs="宋体"/>
          <w:b/>
          <w:color w:val="auto"/>
          <w:sz w:val="24"/>
          <w:highlight w:val="none"/>
        </w:rPr>
      </w:pPr>
      <w:r>
        <w:rPr>
          <w:rFonts w:hint="eastAsia" w:ascii="宋体" w:hAnsi="宋体" w:cs="宋体"/>
          <w:b/>
          <w:color w:val="auto"/>
          <w:sz w:val="24"/>
          <w:highlight w:val="none"/>
        </w:rPr>
        <w:br w:type="page"/>
      </w:r>
    </w:p>
    <w:p w14:paraId="1DBD242B">
      <w:pPr>
        <w:snapToGrid w:val="0"/>
        <w:jc w:val="left"/>
        <w:rPr>
          <w:rFonts w:ascii="宋体" w:hAnsi="宋体" w:cs="宋体"/>
          <w:b/>
          <w:bCs/>
          <w:color w:val="auto"/>
          <w:sz w:val="32"/>
          <w:szCs w:val="32"/>
          <w:highlight w:val="none"/>
        </w:rPr>
      </w:pPr>
    </w:p>
    <w:p w14:paraId="318FE8EF">
      <w:pPr>
        <w:snapToGrid w:val="0"/>
        <w:jc w:val="left"/>
        <w:rPr>
          <w:rFonts w:ascii="宋体" w:hAnsi="宋体" w:cs="宋体"/>
          <w:color w:val="auto"/>
          <w:szCs w:val="21"/>
          <w:highlight w:val="none"/>
        </w:rPr>
      </w:pPr>
      <w:r>
        <w:rPr>
          <w:rFonts w:hint="eastAsia" w:ascii="宋体" w:hAnsi="宋体" w:cs="宋体"/>
          <w:b/>
          <w:bCs/>
          <w:color w:val="auto"/>
          <w:sz w:val="32"/>
          <w:szCs w:val="32"/>
          <w:highlight w:val="none"/>
        </w:rPr>
        <w:t>7. 动迁项目经理身份证、中专或以上学历证书和具备动迁工作经历相关证明材料扫描件</w:t>
      </w:r>
    </w:p>
    <w:p w14:paraId="12B8C0DD">
      <w:pPr>
        <w:snapToGrid w:val="0"/>
        <w:ind w:firstLine="562" w:firstLineChars="200"/>
        <w:rPr>
          <w:rFonts w:hint="eastAsia" w:ascii="宋体" w:hAnsi="宋体" w:cs="宋体"/>
          <w:b/>
          <w:color w:val="auto"/>
          <w:sz w:val="28"/>
          <w:szCs w:val="28"/>
          <w:highlight w:val="none"/>
        </w:rPr>
      </w:pPr>
    </w:p>
    <w:p w14:paraId="2F8D5ECA">
      <w:pPr>
        <w:snapToGrid w:val="0"/>
        <w:ind w:firstLine="562" w:firstLineChars="200"/>
        <w:rPr>
          <w:rFonts w:ascii="宋体" w:hAnsi="宋体" w:cs="宋体"/>
          <w:color w:val="auto"/>
          <w:sz w:val="28"/>
          <w:szCs w:val="28"/>
          <w:highlight w:val="none"/>
        </w:rPr>
      </w:pPr>
      <w:r>
        <w:rPr>
          <w:rFonts w:hint="eastAsia" w:ascii="宋体" w:hAnsi="宋体" w:cs="宋体"/>
          <w:b/>
          <w:color w:val="auto"/>
          <w:sz w:val="28"/>
          <w:szCs w:val="28"/>
          <w:highlight w:val="none"/>
        </w:rPr>
        <w:t>动迁工作经历相关证明材料为</w:t>
      </w:r>
      <w:r>
        <w:rPr>
          <w:rFonts w:hint="eastAsia" w:ascii="宋体" w:hAnsi="宋体" w:cs="宋体"/>
          <w:color w:val="auto"/>
          <w:sz w:val="28"/>
          <w:szCs w:val="28"/>
          <w:highlight w:val="none"/>
        </w:rPr>
        <w:t>：</w:t>
      </w:r>
      <w:r>
        <w:rPr>
          <w:rFonts w:hint="eastAsia" w:ascii="宋体" w:hAnsi="宋体" w:cs="宋体"/>
          <w:color w:val="auto"/>
          <w:sz w:val="28"/>
          <w:szCs w:val="28"/>
          <w:highlight w:val="none"/>
          <w:u w:val="single"/>
        </w:rPr>
        <w:t xml:space="preserve">动迁单位2018年1月1日以来与政府拆迁业务实施部门签订的动迁委托协议或劳务派遣协议 </w:t>
      </w:r>
      <w:r>
        <w:rPr>
          <w:rFonts w:hint="eastAsia" w:ascii="宋体" w:hAnsi="宋体" w:cs="宋体"/>
          <w:b/>
          <w:color w:val="auto"/>
          <w:sz w:val="28"/>
          <w:szCs w:val="28"/>
          <w:highlight w:val="none"/>
        </w:rPr>
        <w:t>和</w:t>
      </w:r>
      <w:r>
        <w:rPr>
          <w:rFonts w:hint="eastAsia" w:ascii="宋体" w:hAnsi="宋体" w:cs="宋体"/>
          <w:color w:val="auto"/>
          <w:sz w:val="28"/>
          <w:szCs w:val="28"/>
          <w:highlight w:val="none"/>
        </w:rPr>
        <w:t xml:space="preserve"> </w:t>
      </w:r>
      <w:r>
        <w:rPr>
          <w:rFonts w:hint="eastAsia" w:ascii="宋体" w:hAnsi="宋体" w:cs="宋体"/>
          <w:color w:val="auto"/>
          <w:sz w:val="28"/>
          <w:szCs w:val="28"/>
          <w:highlight w:val="none"/>
          <w:u w:val="single"/>
        </w:rPr>
        <w:t>动迁单位出具的证明或动迁单位与</w:t>
      </w:r>
      <w:r>
        <w:rPr>
          <w:rFonts w:hint="eastAsia" w:ascii="宋体" w:hAnsi="宋体" w:cs="宋体"/>
          <w:color w:val="auto"/>
          <w:sz w:val="28"/>
          <w:szCs w:val="28"/>
          <w:highlight w:val="none"/>
          <w:u w:val="single"/>
          <w:lang w:val="en-US" w:eastAsia="zh-CN"/>
        </w:rPr>
        <w:t>项目经理</w:t>
      </w:r>
      <w:r>
        <w:rPr>
          <w:rFonts w:hint="eastAsia" w:ascii="宋体" w:hAnsi="宋体" w:cs="宋体"/>
          <w:color w:val="auto"/>
          <w:sz w:val="28"/>
          <w:szCs w:val="28"/>
          <w:highlight w:val="none"/>
          <w:u w:val="single"/>
        </w:rPr>
        <w:t>本人签订的劳动（务）合同</w:t>
      </w:r>
      <w:r>
        <w:rPr>
          <w:rFonts w:hint="eastAsia" w:ascii="宋体" w:hAnsi="宋体" w:cs="宋体"/>
          <w:color w:val="auto"/>
          <w:sz w:val="28"/>
          <w:szCs w:val="28"/>
          <w:highlight w:val="none"/>
        </w:rPr>
        <w:t>；证明材料中的动迁单位可以不是投标单位。</w:t>
      </w:r>
    </w:p>
    <w:p w14:paraId="07D00565">
      <w:pPr>
        <w:snapToGrid w:val="0"/>
        <w:jc w:val="left"/>
        <w:rPr>
          <w:rFonts w:ascii="宋体" w:hAnsi="宋体" w:cs="宋体"/>
          <w:color w:val="auto"/>
          <w:sz w:val="28"/>
          <w:szCs w:val="28"/>
          <w:highlight w:val="none"/>
        </w:rPr>
      </w:pPr>
    </w:p>
    <w:p w14:paraId="4A22362F">
      <w:pPr>
        <w:widowControl/>
        <w:jc w:val="left"/>
        <w:rPr>
          <w:rFonts w:ascii="宋体" w:hAnsi="宋体" w:cs="宋体"/>
          <w:b/>
          <w:bCs/>
          <w:color w:val="auto"/>
          <w:sz w:val="32"/>
          <w:szCs w:val="32"/>
          <w:highlight w:val="none"/>
        </w:rPr>
      </w:pPr>
    </w:p>
    <w:p w14:paraId="5E7BEFDA">
      <w:pPr>
        <w:widowControl/>
        <w:jc w:val="left"/>
        <w:rPr>
          <w:rFonts w:ascii="宋体" w:hAnsi="宋体" w:cs="宋体"/>
          <w:b/>
          <w:bCs/>
          <w:color w:val="auto"/>
          <w:sz w:val="32"/>
          <w:szCs w:val="32"/>
          <w:highlight w:val="none"/>
        </w:rPr>
      </w:pPr>
    </w:p>
    <w:p w14:paraId="364ECB12">
      <w:pPr>
        <w:widowControl/>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8.动迁服务方案</w:t>
      </w:r>
    </w:p>
    <w:p w14:paraId="7AE4EEEA">
      <w:pPr>
        <w:snapToGrid w:val="0"/>
        <w:rPr>
          <w:rFonts w:ascii="宋体" w:hAnsi="宋体" w:cs="宋体"/>
          <w:color w:val="auto"/>
          <w:sz w:val="28"/>
          <w:szCs w:val="28"/>
          <w:highlight w:val="none"/>
        </w:rPr>
      </w:pPr>
      <w:r>
        <w:rPr>
          <w:rFonts w:hint="eastAsia" w:ascii="宋体" w:hAnsi="宋体" w:cs="宋体"/>
          <w:color w:val="auto"/>
          <w:sz w:val="28"/>
          <w:szCs w:val="28"/>
          <w:highlight w:val="none"/>
        </w:rPr>
        <w:t>（包含但不限于动迁实施方案、动迁工作重点难点分析及相对应解决措施、针对本项目动迁管理制度方案、动迁服务质量保证措施等，具体可参考招标文件“第二章 采购需求”及“第四章 评标方法及评标标准”相关要求，格式自拟）</w:t>
      </w:r>
    </w:p>
    <w:p w14:paraId="1B656F0C">
      <w:pPr>
        <w:rPr>
          <w:rFonts w:ascii="宋体" w:hAnsi="宋体" w:cs="宋体"/>
          <w:b/>
          <w:bCs/>
          <w:color w:val="auto"/>
          <w:sz w:val="32"/>
          <w:szCs w:val="32"/>
          <w:highlight w:val="none"/>
        </w:rPr>
      </w:pPr>
    </w:p>
    <w:p w14:paraId="36EFE02E">
      <w:pPr>
        <w:rPr>
          <w:rFonts w:ascii="宋体" w:hAnsi="宋体" w:cs="宋体"/>
          <w:b/>
          <w:bCs/>
          <w:color w:val="auto"/>
          <w:sz w:val="32"/>
          <w:szCs w:val="32"/>
          <w:highlight w:val="none"/>
        </w:rPr>
      </w:pPr>
    </w:p>
    <w:p w14:paraId="22574E76">
      <w:pPr>
        <w:rPr>
          <w:rFonts w:ascii="宋体" w:hAnsi="宋体" w:cs="宋体"/>
          <w:b/>
          <w:bCs/>
          <w:color w:val="auto"/>
          <w:sz w:val="32"/>
          <w:szCs w:val="32"/>
          <w:highlight w:val="none"/>
        </w:rPr>
      </w:pPr>
    </w:p>
    <w:p w14:paraId="1B39AAFE">
      <w:pPr>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9.应急处理突发事件应对措施</w:t>
      </w:r>
    </w:p>
    <w:p w14:paraId="19C221F0">
      <w:pPr>
        <w:pStyle w:val="17"/>
        <w:spacing w:line="240" w:lineRule="auto"/>
        <w:ind w:firstLine="280" w:firstLineChars="100"/>
        <w:rPr>
          <w:rFonts w:ascii="宋体" w:hAnsi="宋体" w:cs="宋体"/>
          <w:color w:val="auto"/>
          <w:kern w:val="2"/>
          <w:sz w:val="28"/>
          <w:szCs w:val="28"/>
          <w:highlight w:val="none"/>
        </w:rPr>
      </w:pPr>
      <w:r>
        <w:rPr>
          <w:rFonts w:hint="eastAsia" w:ascii="宋体" w:hAnsi="宋体" w:cs="宋体"/>
          <w:color w:val="auto"/>
          <w:kern w:val="2"/>
          <w:sz w:val="28"/>
          <w:szCs w:val="28"/>
          <w:highlight w:val="none"/>
        </w:rPr>
        <w:t>（具体可参考招标文件</w:t>
      </w:r>
      <w:r>
        <w:rPr>
          <w:rFonts w:hint="eastAsia" w:ascii="宋体" w:hAnsi="宋体" w:cs="宋体"/>
          <w:color w:val="auto"/>
          <w:sz w:val="28"/>
          <w:szCs w:val="28"/>
          <w:highlight w:val="none"/>
        </w:rPr>
        <w:t>“第二章 采购需求”及“第四章 评标方法及评标标准”相关要求，</w:t>
      </w:r>
      <w:r>
        <w:rPr>
          <w:rFonts w:hint="eastAsia" w:ascii="宋体" w:hAnsi="宋体" w:cs="宋体"/>
          <w:color w:val="auto"/>
          <w:kern w:val="2"/>
          <w:sz w:val="28"/>
          <w:szCs w:val="28"/>
          <w:highlight w:val="none"/>
        </w:rPr>
        <w:t>格式自拟</w:t>
      </w:r>
      <w:r>
        <w:rPr>
          <w:rFonts w:hint="eastAsia" w:ascii="宋体" w:hAnsi="宋体" w:cs="宋体"/>
          <w:color w:val="auto"/>
          <w:sz w:val="28"/>
          <w:szCs w:val="28"/>
          <w:highlight w:val="none"/>
        </w:rPr>
        <w:t>）</w:t>
      </w:r>
    </w:p>
    <w:p w14:paraId="774BA997">
      <w:pPr>
        <w:pStyle w:val="17"/>
        <w:rPr>
          <w:color w:val="auto"/>
          <w:highlight w:val="none"/>
        </w:rPr>
      </w:pPr>
    </w:p>
    <w:p w14:paraId="2DBD7763">
      <w:pPr>
        <w:rPr>
          <w:rFonts w:ascii="宋体" w:hAnsi="宋体" w:cs="宋体"/>
          <w:b/>
          <w:color w:val="auto"/>
          <w:sz w:val="24"/>
          <w:highlight w:val="none"/>
        </w:rPr>
      </w:pPr>
      <w:r>
        <w:rPr>
          <w:rFonts w:hint="eastAsia" w:ascii="宋体" w:hAnsi="宋体" w:cs="宋体"/>
          <w:b/>
          <w:color w:val="auto"/>
          <w:sz w:val="24"/>
          <w:highlight w:val="none"/>
        </w:rPr>
        <w:br w:type="page"/>
      </w:r>
    </w:p>
    <w:p w14:paraId="63DA8ADA">
      <w:pPr>
        <w:snapToGrid w:val="0"/>
        <w:spacing w:beforeLines="50" w:after="50"/>
        <w:ind w:left="142"/>
        <w:jc w:val="center"/>
        <w:rPr>
          <w:rFonts w:ascii="宋体" w:hAnsi="宋体" w:cs="宋体"/>
          <w:b/>
          <w:color w:val="auto"/>
          <w:sz w:val="32"/>
          <w:szCs w:val="32"/>
          <w:highlight w:val="none"/>
        </w:rPr>
      </w:pPr>
      <w:r>
        <w:rPr>
          <w:rFonts w:hint="eastAsia" w:ascii="宋体" w:hAnsi="宋体" w:cs="宋体"/>
          <w:b/>
          <w:color w:val="auto"/>
          <w:sz w:val="32"/>
          <w:szCs w:val="32"/>
          <w:highlight w:val="none"/>
        </w:rPr>
        <w:t>10.项目实施人员一览表</w:t>
      </w:r>
    </w:p>
    <w:p w14:paraId="45922095">
      <w:pPr>
        <w:pStyle w:val="23"/>
        <w:rPr>
          <w:rFonts w:hAnsi="宋体" w:cs="宋体"/>
          <w:color w:val="auto"/>
          <w:sz w:val="21"/>
          <w:highlight w:val="none"/>
        </w:rPr>
      </w:pPr>
      <w:r>
        <w:rPr>
          <w:rFonts w:hint="eastAsia" w:hAnsi="宋体" w:cs="宋体"/>
          <w:color w:val="auto"/>
          <w:sz w:val="21"/>
          <w:highlight w:val="none"/>
        </w:rPr>
        <w:t>所投分标（如有）：分标</w:t>
      </w:r>
    </w:p>
    <w:tbl>
      <w:tblPr>
        <w:tblStyle w:val="47"/>
        <w:tblW w:w="93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8"/>
        <w:gridCol w:w="1277"/>
        <w:gridCol w:w="1277"/>
        <w:gridCol w:w="3400"/>
        <w:gridCol w:w="2410"/>
      </w:tblGrid>
      <w:tr w14:paraId="6711F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8" w:type="dxa"/>
            <w:vAlign w:val="center"/>
          </w:tcPr>
          <w:p w14:paraId="2DFBC953">
            <w:pPr>
              <w:snapToGrid w:val="0"/>
              <w:spacing w:before="50" w:afterLines="50"/>
              <w:jc w:val="center"/>
              <w:rPr>
                <w:rFonts w:ascii="宋体" w:hAnsi="宋体" w:cs="宋体"/>
                <w:color w:val="auto"/>
                <w:szCs w:val="21"/>
                <w:highlight w:val="none"/>
              </w:rPr>
            </w:pPr>
            <w:r>
              <w:rPr>
                <w:rFonts w:hint="eastAsia" w:ascii="宋体" w:hAnsi="宋体" w:cs="宋体"/>
                <w:color w:val="auto"/>
                <w:szCs w:val="21"/>
                <w:highlight w:val="none"/>
              </w:rPr>
              <w:t>姓名</w:t>
            </w:r>
          </w:p>
        </w:tc>
        <w:tc>
          <w:tcPr>
            <w:tcW w:w="1277" w:type="dxa"/>
          </w:tcPr>
          <w:p w14:paraId="2D7D30BA">
            <w:pPr>
              <w:snapToGrid w:val="0"/>
              <w:spacing w:before="50" w:afterLines="50"/>
              <w:jc w:val="center"/>
              <w:rPr>
                <w:rFonts w:ascii="宋体" w:hAnsi="宋体" w:cs="宋体"/>
                <w:color w:val="auto"/>
                <w:szCs w:val="21"/>
                <w:highlight w:val="none"/>
              </w:rPr>
            </w:pPr>
            <w:r>
              <w:rPr>
                <w:rFonts w:hint="eastAsia" w:ascii="宋体" w:hAnsi="宋体" w:cs="宋体"/>
                <w:color w:val="auto"/>
                <w:szCs w:val="21"/>
                <w:highlight w:val="none"/>
              </w:rPr>
              <w:t>职务</w:t>
            </w:r>
          </w:p>
        </w:tc>
        <w:tc>
          <w:tcPr>
            <w:tcW w:w="1277" w:type="dxa"/>
            <w:vAlign w:val="center"/>
          </w:tcPr>
          <w:p w14:paraId="35748CAC">
            <w:pPr>
              <w:snapToGrid w:val="0"/>
              <w:spacing w:before="50" w:afterLines="50"/>
              <w:jc w:val="center"/>
              <w:rPr>
                <w:rFonts w:ascii="宋体" w:hAnsi="宋体" w:cs="宋体"/>
                <w:color w:val="auto"/>
                <w:szCs w:val="21"/>
                <w:highlight w:val="none"/>
              </w:rPr>
            </w:pPr>
            <w:r>
              <w:rPr>
                <w:rFonts w:ascii="宋体" w:hAnsi="宋体" w:cs="宋体"/>
                <w:color w:val="auto"/>
                <w:szCs w:val="21"/>
                <w:highlight w:val="none"/>
              </w:rPr>
              <w:t>身份证号</w:t>
            </w:r>
          </w:p>
        </w:tc>
        <w:tc>
          <w:tcPr>
            <w:tcW w:w="3400" w:type="dxa"/>
            <w:vAlign w:val="center"/>
          </w:tcPr>
          <w:p w14:paraId="182BA9E2">
            <w:pPr>
              <w:snapToGrid w:val="0"/>
              <w:spacing w:before="50" w:afterLines="50"/>
              <w:jc w:val="center"/>
              <w:rPr>
                <w:rFonts w:ascii="宋体" w:hAnsi="宋体" w:cs="宋体"/>
                <w:color w:val="auto"/>
                <w:szCs w:val="21"/>
                <w:highlight w:val="none"/>
              </w:rPr>
            </w:pPr>
            <w:r>
              <w:rPr>
                <w:rFonts w:hint="eastAsia" w:ascii="宋体" w:hAnsi="宋体" w:cs="宋体"/>
                <w:color w:val="auto"/>
                <w:szCs w:val="21"/>
                <w:highlight w:val="none"/>
              </w:rPr>
              <w:t>专业技术资格（职称）或者职业资格或者执业资格证或者其他证书</w:t>
            </w:r>
          </w:p>
        </w:tc>
        <w:tc>
          <w:tcPr>
            <w:tcW w:w="2410" w:type="dxa"/>
            <w:vAlign w:val="center"/>
          </w:tcPr>
          <w:p w14:paraId="3EE0BD2E">
            <w:pPr>
              <w:snapToGrid w:val="0"/>
              <w:spacing w:before="50" w:afterLines="50"/>
              <w:jc w:val="center"/>
              <w:rPr>
                <w:rFonts w:ascii="宋体" w:hAnsi="宋体" w:cs="宋体"/>
                <w:color w:val="auto"/>
                <w:szCs w:val="21"/>
                <w:highlight w:val="none"/>
              </w:rPr>
            </w:pPr>
            <w:r>
              <w:rPr>
                <w:rFonts w:hint="eastAsia" w:ascii="宋体" w:hAnsi="宋体" w:cs="宋体"/>
                <w:color w:val="auto"/>
                <w:szCs w:val="21"/>
                <w:highlight w:val="none"/>
              </w:rPr>
              <w:t>与项目相关的工作履历</w:t>
            </w:r>
          </w:p>
        </w:tc>
      </w:tr>
      <w:tr w14:paraId="2A736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8" w:type="dxa"/>
            <w:vAlign w:val="center"/>
          </w:tcPr>
          <w:p w14:paraId="4ADEDCE9">
            <w:pPr>
              <w:snapToGrid w:val="0"/>
              <w:spacing w:before="50" w:afterLines="50"/>
              <w:jc w:val="center"/>
              <w:rPr>
                <w:rFonts w:ascii="宋体" w:hAnsi="宋体" w:cs="宋体"/>
                <w:color w:val="auto"/>
                <w:szCs w:val="21"/>
                <w:highlight w:val="none"/>
              </w:rPr>
            </w:pPr>
          </w:p>
        </w:tc>
        <w:tc>
          <w:tcPr>
            <w:tcW w:w="1277" w:type="dxa"/>
          </w:tcPr>
          <w:p w14:paraId="476AFD29">
            <w:pPr>
              <w:snapToGrid w:val="0"/>
              <w:spacing w:before="50" w:afterLines="50"/>
              <w:jc w:val="center"/>
              <w:rPr>
                <w:rFonts w:ascii="宋体" w:hAnsi="宋体" w:cs="宋体"/>
                <w:color w:val="auto"/>
                <w:szCs w:val="21"/>
                <w:highlight w:val="none"/>
              </w:rPr>
            </w:pPr>
          </w:p>
        </w:tc>
        <w:tc>
          <w:tcPr>
            <w:tcW w:w="1277" w:type="dxa"/>
            <w:vAlign w:val="center"/>
          </w:tcPr>
          <w:p w14:paraId="7A154384">
            <w:pPr>
              <w:snapToGrid w:val="0"/>
              <w:spacing w:before="50" w:afterLines="50"/>
              <w:jc w:val="center"/>
              <w:rPr>
                <w:rFonts w:ascii="宋体" w:hAnsi="宋体" w:cs="宋体"/>
                <w:color w:val="auto"/>
                <w:szCs w:val="21"/>
                <w:highlight w:val="none"/>
              </w:rPr>
            </w:pPr>
          </w:p>
        </w:tc>
        <w:tc>
          <w:tcPr>
            <w:tcW w:w="3400" w:type="dxa"/>
            <w:vAlign w:val="center"/>
          </w:tcPr>
          <w:p w14:paraId="50E80463">
            <w:pPr>
              <w:snapToGrid w:val="0"/>
              <w:spacing w:before="50" w:afterLines="50"/>
              <w:jc w:val="center"/>
              <w:rPr>
                <w:rFonts w:ascii="宋体" w:hAnsi="宋体" w:cs="宋体"/>
                <w:color w:val="auto"/>
                <w:szCs w:val="21"/>
                <w:highlight w:val="none"/>
              </w:rPr>
            </w:pPr>
          </w:p>
        </w:tc>
        <w:tc>
          <w:tcPr>
            <w:tcW w:w="2410" w:type="dxa"/>
            <w:vAlign w:val="center"/>
          </w:tcPr>
          <w:p w14:paraId="5ACC2452">
            <w:pPr>
              <w:snapToGrid w:val="0"/>
              <w:spacing w:before="50" w:afterLines="50"/>
              <w:jc w:val="center"/>
              <w:rPr>
                <w:rFonts w:ascii="宋体" w:hAnsi="宋体" w:cs="宋体"/>
                <w:color w:val="auto"/>
                <w:szCs w:val="21"/>
                <w:highlight w:val="none"/>
              </w:rPr>
            </w:pPr>
          </w:p>
        </w:tc>
      </w:tr>
      <w:tr w14:paraId="692B6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8" w:type="dxa"/>
            <w:vAlign w:val="center"/>
          </w:tcPr>
          <w:p w14:paraId="650AD1A3">
            <w:pPr>
              <w:snapToGrid w:val="0"/>
              <w:spacing w:before="50" w:afterLines="50"/>
              <w:jc w:val="center"/>
              <w:rPr>
                <w:rFonts w:ascii="宋体" w:hAnsi="宋体" w:cs="宋体"/>
                <w:color w:val="auto"/>
                <w:szCs w:val="21"/>
                <w:highlight w:val="none"/>
              </w:rPr>
            </w:pPr>
          </w:p>
        </w:tc>
        <w:tc>
          <w:tcPr>
            <w:tcW w:w="1277" w:type="dxa"/>
          </w:tcPr>
          <w:p w14:paraId="41A87E99">
            <w:pPr>
              <w:snapToGrid w:val="0"/>
              <w:spacing w:before="50" w:afterLines="50"/>
              <w:jc w:val="center"/>
              <w:rPr>
                <w:rFonts w:ascii="宋体" w:hAnsi="宋体" w:cs="宋体"/>
                <w:color w:val="auto"/>
                <w:szCs w:val="21"/>
                <w:highlight w:val="none"/>
              </w:rPr>
            </w:pPr>
          </w:p>
        </w:tc>
        <w:tc>
          <w:tcPr>
            <w:tcW w:w="1277" w:type="dxa"/>
            <w:vAlign w:val="center"/>
          </w:tcPr>
          <w:p w14:paraId="763A2D9F">
            <w:pPr>
              <w:snapToGrid w:val="0"/>
              <w:spacing w:before="50" w:afterLines="50"/>
              <w:jc w:val="center"/>
              <w:rPr>
                <w:rFonts w:ascii="宋体" w:hAnsi="宋体" w:cs="宋体"/>
                <w:color w:val="auto"/>
                <w:szCs w:val="21"/>
                <w:highlight w:val="none"/>
              </w:rPr>
            </w:pPr>
          </w:p>
        </w:tc>
        <w:tc>
          <w:tcPr>
            <w:tcW w:w="3400" w:type="dxa"/>
            <w:vAlign w:val="center"/>
          </w:tcPr>
          <w:p w14:paraId="485DA52D">
            <w:pPr>
              <w:snapToGrid w:val="0"/>
              <w:spacing w:before="50" w:afterLines="50"/>
              <w:jc w:val="center"/>
              <w:rPr>
                <w:rFonts w:ascii="宋体" w:hAnsi="宋体" w:cs="宋体"/>
                <w:color w:val="auto"/>
                <w:szCs w:val="21"/>
                <w:highlight w:val="none"/>
              </w:rPr>
            </w:pPr>
          </w:p>
        </w:tc>
        <w:tc>
          <w:tcPr>
            <w:tcW w:w="2410" w:type="dxa"/>
            <w:vAlign w:val="center"/>
          </w:tcPr>
          <w:p w14:paraId="05BFBDC2">
            <w:pPr>
              <w:snapToGrid w:val="0"/>
              <w:spacing w:before="50" w:afterLines="50"/>
              <w:jc w:val="center"/>
              <w:rPr>
                <w:rFonts w:ascii="宋体" w:hAnsi="宋体" w:cs="宋体"/>
                <w:color w:val="auto"/>
                <w:szCs w:val="21"/>
                <w:highlight w:val="none"/>
              </w:rPr>
            </w:pPr>
          </w:p>
        </w:tc>
      </w:tr>
      <w:tr w14:paraId="3EFC1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8" w:type="dxa"/>
            <w:vAlign w:val="center"/>
          </w:tcPr>
          <w:p w14:paraId="60D9A4CC">
            <w:pPr>
              <w:snapToGrid w:val="0"/>
              <w:spacing w:before="50" w:afterLines="50"/>
              <w:jc w:val="center"/>
              <w:rPr>
                <w:rFonts w:ascii="宋体" w:hAnsi="宋体" w:cs="宋体"/>
                <w:color w:val="auto"/>
                <w:szCs w:val="21"/>
                <w:highlight w:val="none"/>
              </w:rPr>
            </w:pPr>
          </w:p>
        </w:tc>
        <w:tc>
          <w:tcPr>
            <w:tcW w:w="1277" w:type="dxa"/>
          </w:tcPr>
          <w:p w14:paraId="11AF6C68">
            <w:pPr>
              <w:snapToGrid w:val="0"/>
              <w:spacing w:before="50" w:afterLines="50"/>
              <w:jc w:val="center"/>
              <w:rPr>
                <w:rFonts w:ascii="宋体" w:hAnsi="宋体" w:cs="宋体"/>
                <w:color w:val="auto"/>
                <w:szCs w:val="21"/>
                <w:highlight w:val="none"/>
              </w:rPr>
            </w:pPr>
          </w:p>
        </w:tc>
        <w:tc>
          <w:tcPr>
            <w:tcW w:w="1277" w:type="dxa"/>
            <w:vAlign w:val="center"/>
          </w:tcPr>
          <w:p w14:paraId="59502651">
            <w:pPr>
              <w:snapToGrid w:val="0"/>
              <w:spacing w:before="50" w:afterLines="50"/>
              <w:jc w:val="center"/>
              <w:rPr>
                <w:rFonts w:ascii="宋体" w:hAnsi="宋体" w:cs="宋体"/>
                <w:color w:val="auto"/>
                <w:szCs w:val="21"/>
                <w:highlight w:val="none"/>
              </w:rPr>
            </w:pPr>
          </w:p>
        </w:tc>
        <w:tc>
          <w:tcPr>
            <w:tcW w:w="3400" w:type="dxa"/>
            <w:vAlign w:val="center"/>
          </w:tcPr>
          <w:p w14:paraId="601C85EA">
            <w:pPr>
              <w:snapToGrid w:val="0"/>
              <w:spacing w:before="50" w:afterLines="50"/>
              <w:jc w:val="center"/>
              <w:rPr>
                <w:rFonts w:ascii="宋体" w:hAnsi="宋体" w:cs="宋体"/>
                <w:color w:val="auto"/>
                <w:szCs w:val="21"/>
                <w:highlight w:val="none"/>
              </w:rPr>
            </w:pPr>
          </w:p>
        </w:tc>
        <w:tc>
          <w:tcPr>
            <w:tcW w:w="2410" w:type="dxa"/>
            <w:vAlign w:val="center"/>
          </w:tcPr>
          <w:p w14:paraId="4695D451">
            <w:pPr>
              <w:snapToGrid w:val="0"/>
              <w:spacing w:before="50" w:afterLines="50"/>
              <w:jc w:val="center"/>
              <w:rPr>
                <w:rFonts w:ascii="宋体" w:hAnsi="宋体" w:cs="宋体"/>
                <w:color w:val="auto"/>
                <w:szCs w:val="21"/>
                <w:highlight w:val="none"/>
              </w:rPr>
            </w:pPr>
          </w:p>
        </w:tc>
      </w:tr>
    </w:tbl>
    <w:p w14:paraId="2E666892">
      <w:pPr>
        <w:spacing w:line="360" w:lineRule="auto"/>
        <w:contextualSpacing/>
        <w:jc w:val="left"/>
        <w:rPr>
          <w:rFonts w:ascii="宋体" w:hAnsi="宋体" w:cs="宋体"/>
          <w:color w:val="auto"/>
          <w:szCs w:val="21"/>
          <w:highlight w:val="none"/>
        </w:rPr>
      </w:pPr>
      <w:r>
        <w:rPr>
          <w:rFonts w:hint="eastAsia" w:ascii="宋体" w:hAnsi="宋体" w:cs="宋体"/>
          <w:color w:val="auto"/>
          <w:szCs w:val="21"/>
          <w:highlight w:val="none"/>
        </w:rPr>
        <w:t>注：</w:t>
      </w:r>
    </w:p>
    <w:p w14:paraId="3E20CFD4">
      <w:pPr>
        <w:spacing w:line="360" w:lineRule="auto"/>
        <w:contextualSpacing/>
        <w:jc w:val="left"/>
        <w:rPr>
          <w:rFonts w:ascii="宋体" w:hAnsi="宋体" w:cs="宋体"/>
          <w:color w:val="auto"/>
          <w:szCs w:val="21"/>
          <w:highlight w:val="none"/>
        </w:rPr>
      </w:pPr>
      <w:r>
        <w:rPr>
          <w:rFonts w:hint="eastAsia" w:ascii="宋体" w:hAnsi="宋体" w:cs="宋体"/>
          <w:color w:val="auto"/>
          <w:szCs w:val="21"/>
          <w:highlight w:val="none"/>
        </w:rPr>
        <w:t>1.在填写时，姓名和身份证号必须填写，其他内容由投标人根据实际情况填写，如本表格不适合投标人的实际情况，可根据本表格式自行制表填写，但应以便于评审为原则。</w:t>
      </w:r>
    </w:p>
    <w:p w14:paraId="6B224F23">
      <w:pPr>
        <w:spacing w:line="360" w:lineRule="auto"/>
        <w:contextualSpacing/>
        <w:jc w:val="left"/>
        <w:rPr>
          <w:rFonts w:ascii="宋体" w:hAnsi="宋体" w:cs="宋体"/>
          <w:color w:val="auto"/>
          <w:szCs w:val="21"/>
          <w:highlight w:val="none"/>
        </w:rPr>
      </w:pPr>
      <w:r>
        <w:rPr>
          <w:rFonts w:hint="eastAsia" w:ascii="宋体" w:hAnsi="宋体" w:cs="宋体"/>
          <w:color w:val="auto"/>
          <w:szCs w:val="21"/>
          <w:highlight w:val="none"/>
        </w:rPr>
        <w:t>2.投标人应当根据评标标准具体要求附相关证明材料复印件并加盖投标人电子签章（如有）。</w:t>
      </w:r>
    </w:p>
    <w:p w14:paraId="60A44373">
      <w:pPr>
        <w:spacing w:line="360" w:lineRule="auto"/>
        <w:contextualSpacing/>
        <w:jc w:val="left"/>
        <w:rPr>
          <w:rFonts w:ascii="宋体" w:hAnsi="宋体" w:cs="宋体"/>
          <w:color w:val="auto"/>
          <w:szCs w:val="21"/>
          <w:highlight w:val="none"/>
        </w:rPr>
      </w:pPr>
    </w:p>
    <w:p w14:paraId="52726570">
      <w:pPr>
        <w:snapToGrid w:val="0"/>
        <w:spacing w:line="360" w:lineRule="auto"/>
        <w:ind w:firstLine="1470" w:firstLineChars="700"/>
        <w:rPr>
          <w:rFonts w:ascii="宋体" w:hAnsi="宋体" w:cs="宋体"/>
          <w:color w:val="auto"/>
          <w:szCs w:val="21"/>
          <w:highlight w:val="none"/>
        </w:rPr>
      </w:pPr>
    </w:p>
    <w:p w14:paraId="6C47DBA0">
      <w:pPr>
        <w:snapToGrid w:val="0"/>
        <w:spacing w:line="360" w:lineRule="auto"/>
        <w:ind w:firstLine="1470" w:firstLineChars="700"/>
        <w:rPr>
          <w:rFonts w:ascii="宋体" w:hAnsi="宋体" w:cs="宋体"/>
          <w:color w:val="auto"/>
          <w:szCs w:val="21"/>
          <w:highlight w:val="none"/>
        </w:rPr>
      </w:pPr>
      <w:r>
        <w:rPr>
          <w:rFonts w:hint="eastAsia" w:ascii="宋体" w:hAnsi="宋体" w:cs="宋体"/>
          <w:color w:val="auto"/>
          <w:szCs w:val="21"/>
          <w:highlight w:val="none"/>
        </w:rPr>
        <w:t>投标人名称（</w:t>
      </w:r>
      <w:r>
        <w:rPr>
          <w:rFonts w:hint="eastAsia" w:cs="宋体" w:asciiTheme="minorEastAsia" w:hAnsiTheme="minorEastAsia" w:eastAsiaTheme="minorEastAsia"/>
          <w:color w:val="auto"/>
          <w:highlight w:val="none"/>
        </w:rPr>
        <w:t>电子签章</w:t>
      </w:r>
      <w:r>
        <w:rPr>
          <w:rFonts w:hint="eastAsia" w:ascii="宋体" w:hAnsi="宋体" w:cs="宋体"/>
          <w:color w:val="auto"/>
          <w:szCs w:val="21"/>
          <w:highlight w:val="none"/>
        </w:rPr>
        <w:t>）：</w:t>
      </w:r>
    </w:p>
    <w:p w14:paraId="770F0AE2">
      <w:pPr>
        <w:spacing w:line="360" w:lineRule="auto"/>
        <w:ind w:firstLine="2100" w:firstLineChars="1000"/>
        <w:contextualSpacing/>
        <w:jc w:val="left"/>
        <w:rPr>
          <w:rFonts w:ascii="宋体" w:hAnsi="宋体" w:cs="宋体"/>
          <w:color w:val="auto"/>
          <w:spacing w:val="20"/>
          <w:szCs w:val="21"/>
          <w:highlight w:val="none"/>
        </w:rPr>
      </w:pPr>
      <w:r>
        <w:rPr>
          <w:rFonts w:hint="eastAsia" w:ascii="宋体" w:hAnsi="宋体" w:cs="宋体"/>
          <w:color w:val="auto"/>
          <w:szCs w:val="21"/>
          <w:highlight w:val="none"/>
        </w:rPr>
        <w:t>法定代表人或者委托代理人（</w:t>
      </w:r>
      <w:r>
        <w:rPr>
          <w:rFonts w:hint="eastAsia" w:ascii="宋体" w:cs="宋体"/>
          <w:color w:val="auto"/>
          <w:kern w:val="0"/>
          <w:szCs w:val="21"/>
          <w:highlight w:val="none"/>
        </w:rPr>
        <w:t>电子签名</w:t>
      </w:r>
      <w:r>
        <w:rPr>
          <w:rFonts w:hint="eastAsia" w:ascii="宋体" w:hAnsi="宋体" w:cs="宋体"/>
          <w:color w:val="auto"/>
          <w:szCs w:val="21"/>
          <w:highlight w:val="none"/>
        </w:rPr>
        <w:t>）：</w:t>
      </w:r>
    </w:p>
    <w:p w14:paraId="771A9A88">
      <w:pPr>
        <w:spacing w:line="360" w:lineRule="auto"/>
        <w:ind w:firstLine="5250" w:firstLineChars="2100"/>
        <w:contextualSpacing/>
        <w:jc w:val="left"/>
        <w:rPr>
          <w:rFonts w:ascii="宋体" w:hAnsi="宋体" w:cs="宋体"/>
          <w:color w:val="auto"/>
          <w:szCs w:val="21"/>
          <w:highlight w:val="none"/>
        </w:rPr>
      </w:pPr>
      <w:r>
        <w:rPr>
          <w:rFonts w:hint="eastAsia" w:ascii="宋体" w:hAnsi="宋体" w:cs="宋体"/>
          <w:color w:val="auto"/>
          <w:spacing w:val="20"/>
          <w:szCs w:val="21"/>
          <w:highlight w:val="none"/>
        </w:rPr>
        <w:t>日 期：</w:t>
      </w:r>
    </w:p>
    <w:p w14:paraId="50D3FE73">
      <w:pPr>
        <w:rPr>
          <w:rFonts w:ascii="宋体" w:hAnsi="宋体" w:cs="宋体"/>
          <w:color w:val="auto"/>
          <w:sz w:val="24"/>
          <w:szCs w:val="20"/>
          <w:highlight w:val="none"/>
        </w:rPr>
      </w:pPr>
      <w:r>
        <w:rPr>
          <w:rFonts w:ascii="宋体" w:hAnsi="宋体" w:cs="宋体"/>
          <w:color w:val="auto"/>
          <w:sz w:val="24"/>
          <w:szCs w:val="20"/>
          <w:highlight w:val="none"/>
        </w:rPr>
        <w:br w:type="page"/>
      </w:r>
    </w:p>
    <w:p w14:paraId="246AB9F8">
      <w:pPr>
        <w:tabs>
          <w:tab w:val="left" w:pos="596"/>
        </w:tabs>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11.投标人对本项目的合理化建议和改进措施（如有）</w:t>
      </w:r>
    </w:p>
    <w:p w14:paraId="1577BCD7">
      <w:pPr>
        <w:snapToGrid w:val="0"/>
        <w:jc w:val="center"/>
        <w:rPr>
          <w:rFonts w:ascii="宋体" w:hAnsi="宋体" w:cs="宋体"/>
          <w:color w:val="auto"/>
          <w:szCs w:val="21"/>
          <w:highlight w:val="none"/>
        </w:rPr>
      </w:pPr>
      <w:r>
        <w:rPr>
          <w:rFonts w:hint="eastAsia" w:ascii="宋体" w:hAnsi="宋体" w:cs="宋体"/>
          <w:b/>
          <w:bCs/>
          <w:color w:val="auto"/>
          <w:sz w:val="32"/>
          <w:szCs w:val="32"/>
          <w:highlight w:val="none"/>
        </w:rPr>
        <w:t>（格式自拟）</w:t>
      </w:r>
      <w:r>
        <w:rPr>
          <w:rFonts w:hint="eastAsia" w:ascii="宋体" w:hAnsi="宋体" w:cs="宋体"/>
          <w:color w:val="auto"/>
          <w:szCs w:val="21"/>
          <w:highlight w:val="none"/>
        </w:rPr>
        <w:t>；</w:t>
      </w:r>
    </w:p>
    <w:p w14:paraId="4D668CC8">
      <w:pPr>
        <w:rPr>
          <w:rFonts w:ascii="宋体" w:hAnsi="宋体" w:cs="宋体"/>
          <w:color w:val="auto"/>
          <w:szCs w:val="21"/>
          <w:highlight w:val="none"/>
        </w:rPr>
      </w:pPr>
      <w:r>
        <w:rPr>
          <w:rFonts w:hint="eastAsia" w:ascii="宋体" w:hAnsi="宋体" w:cs="宋体"/>
          <w:color w:val="auto"/>
          <w:szCs w:val="21"/>
          <w:highlight w:val="none"/>
        </w:rPr>
        <w:br w:type="page"/>
      </w:r>
    </w:p>
    <w:p w14:paraId="774DE46B">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12.除招标文件规定必须提供以外，投标人认为需要提供的其他材料（如有）</w:t>
      </w:r>
    </w:p>
    <w:p w14:paraId="0AFDB95E">
      <w:pPr>
        <w:snapToGrid w:val="0"/>
        <w:jc w:val="left"/>
        <w:rPr>
          <w:rFonts w:ascii="宋体" w:hAnsi="宋体" w:cs="宋体"/>
          <w:color w:val="auto"/>
          <w:szCs w:val="21"/>
          <w:highlight w:val="none"/>
        </w:rPr>
      </w:pPr>
      <w:r>
        <w:rPr>
          <w:rFonts w:hint="eastAsia" w:ascii="宋体" w:hAnsi="宋体" w:cs="宋体"/>
          <w:color w:val="auto"/>
          <w:sz w:val="28"/>
          <w:szCs w:val="28"/>
          <w:highlight w:val="none"/>
        </w:rPr>
        <w:t>（投标人根据“第二章 采购需求”及“第四章 评标方法及评标标准”提供有关证明材料，格式自拟）</w:t>
      </w:r>
    </w:p>
    <w:p w14:paraId="417238AA">
      <w:pPr>
        <w:snapToGrid w:val="0"/>
        <w:spacing w:before="50" w:afterLines="50"/>
        <w:jc w:val="left"/>
        <w:rPr>
          <w:rFonts w:ascii="宋体" w:hAnsi="宋体" w:cs="宋体"/>
          <w:color w:val="auto"/>
          <w:sz w:val="24"/>
          <w:szCs w:val="20"/>
          <w:highlight w:val="none"/>
        </w:rPr>
      </w:pPr>
    </w:p>
    <w:p w14:paraId="5EC1C3F7">
      <w:pPr>
        <w:snapToGrid w:val="0"/>
        <w:spacing w:beforeLines="50" w:after="50"/>
        <w:jc w:val="left"/>
        <w:rPr>
          <w:rFonts w:ascii="宋体" w:hAnsi="宋体" w:cs="宋体"/>
          <w:b/>
          <w:color w:val="auto"/>
          <w:sz w:val="24"/>
          <w:highlight w:val="none"/>
        </w:rPr>
      </w:pPr>
      <w:r>
        <w:rPr>
          <w:rFonts w:hint="eastAsia" w:ascii="宋体" w:hAnsi="宋体" w:cs="宋体"/>
          <w:b/>
          <w:color w:val="auto"/>
          <w:sz w:val="24"/>
          <w:highlight w:val="none"/>
        </w:rPr>
        <w:t>12.1.投标人业绩证明材料</w:t>
      </w:r>
    </w:p>
    <w:p w14:paraId="0C5AA617">
      <w:pPr>
        <w:pStyle w:val="33"/>
        <w:snapToGrid w:val="0"/>
        <w:ind w:left="480" w:hanging="480"/>
        <w:rPr>
          <w:rFonts w:ascii="宋体" w:hAnsi="宋体" w:cs="宋体"/>
          <w:color w:val="auto"/>
          <w:sz w:val="24"/>
          <w:highlight w:val="none"/>
        </w:rPr>
      </w:pPr>
    </w:p>
    <w:p w14:paraId="3CBAD65E">
      <w:pPr>
        <w:pStyle w:val="33"/>
        <w:snapToGrid w:val="0"/>
        <w:ind w:left="480" w:hanging="480"/>
        <w:rPr>
          <w:rFonts w:ascii="宋体" w:hAnsi="宋体" w:cs="宋体"/>
          <w:color w:val="auto"/>
          <w:sz w:val="24"/>
          <w:highlight w:val="none"/>
        </w:rPr>
      </w:pPr>
      <w:r>
        <w:rPr>
          <w:rFonts w:hint="eastAsia" w:ascii="宋体" w:hAnsi="宋体" w:cs="宋体"/>
          <w:color w:val="auto"/>
          <w:sz w:val="24"/>
          <w:highlight w:val="none"/>
        </w:rPr>
        <w:t xml:space="preserve">投标人业绩情况一览表格式： </w:t>
      </w:r>
    </w:p>
    <w:tbl>
      <w:tblPr>
        <w:tblStyle w:val="47"/>
        <w:tblW w:w="92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32"/>
        <w:gridCol w:w="1770"/>
        <w:gridCol w:w="1770"/>
        <w:gridCol w:w="3621"/>
      </w:tblGrid>
      <w:tr w14:paraId="100E5E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7" w:hRule="atLeast"/>
        </w:trPr>
        <w:tc>
          <w:tcPr>
            <w:tcW w:w="2132" w:type="dxa"/>
            <w:vMerge w:val="restart"/>
            <w:tcBorders>
              <w:top w:val="single" w:color="auto" w:sz="4" w:space="0"/>
              <w:left w:val="single" w:color="auto" w:sz="4" w:space="0"/>
              <w:bottom w:val="single" w:color="auto" w:sz="4" w:space="0"/>
              <w:right w:val="single" w:color="auto" w:sz="4" w:space="0"/>
            </w:tcBorders>
            <w:vAlign w:val="center"/>
          </w:tcPr>
          <w:p w14:paraId="2425A43F">
            <w:pPr>
              <w:snapToGrid w:val="0"/>
              <w:spacing w:line="240" w:lineRule="exact"/>
              <w:jc w:val="center"/>
              <w:rPr>
                <w:rFonts w:ascii="宋体" w:hAnsi="宋体" w:cs="宋体"/>
                <w:color w:val="auto"/>
                <w:szCs w:val="21"/>
                <w:highlight w:val="none"/>
              </w:rPr>
            </w:pPr>
            <w:r>
              <w:rPr>
                <w:rFonts w:hint="eastAsia" w:ascii="宋体" w:hAnsi="宋体" w:cs="宋体"/>
                <w:color w:val="auto"/>
                <w:szCs w:val="21"/>
                <w:highlight w:val="none"/>
              </w:rPr>
              <w:t>采购人名称</w:t>
            </w:r>
          </w:p>
        </w:tc>
        <w:tc>
          <w:tcPr>
            <w:tcW w:w="1770" w:type="dxa"/>
            <w:vMerge w:val="restart"/>
            <w:tcBorders>
              <w:top w:val="single" w:color="auto" w:sz="4" w:space="0"/>
              <w:left w:val="single" w:color="auto" w:sz="4" w:space="0"/>
              <w:bottom w:val="single" w:color="auto" w:sz="4" w:space="0"/>
              <w:right w:val="single" w:color="auto" w:sz="4" w:space="0"/>
            </w:tcBorders>
            <w:vAlign w:val="center"/>
          </w:tcPr>
          <w:p w14:paraId="3A876A73">
            <w:pPr>
              <w:snapToGrid w:val="0"/>
              <w:spacing w:line="240" w:lineRule="exact"/>
              <w:jc w:val="center"/>
              <w:rPr>
                <w:rFonts w:ascii="宋体" w:hAnsi="宋体" w:cs="宋体"/>
                <w:color w:val="auto"/>
                <w:szCs w:val="21"/>
                <w:highlight w:val="none"/>
              </w:rPr>
            </w:pPr>
            <w:r>
              <w:rPr>
                <w:rFonts w:hint="eastAsia" w:ascii="宋体" w:hAnsi="宋体" w:cs="宋体"/>
                <w:color w:val="auto"/>
                <w:szCs w:val="21"/>
                <w:highlight w:val="none"/>
              </w:rPr>
              <w:t>项目名称</w:t>
            </w:r>
          </w:p>
        </w:tc>
        <w:tc>
          <w:tcPr>
            <w:tcW w:w="1770" w:type="dxa"/>
            <w:vMerge w:val="restart"/>
            <w:tcBorders>
              <w:top w:val="single" w:color="auto" w:sz="4" w:space="0"/>
              <w:left w:val="single" w:color="auto" w:sz="4" w:space="0"/>
              <w:bottom w:val="single" w:color="auto" w:sz="4" w:space="0"/>
              <w:right w:val="single" w:color="auto" w:sz="4" w:space="0"/>
            </w:tcBorders>
            <w:vAlign w:val="center"/>
          </w:tcPr>
          <w:p w14:paraId="655CBF14">
            <w:pPr>
              <w:snapToGrid w:val="0"/>
              <w:spacing w:line="240" w:lineRule="exact"/>
              <w:jc w:val="center"/>
              <w:rPr>
                <w:rFonts w:ascii="宋体" w:hAnsi="宋体" w:cs="宋体"/>
                <w:color w:val="auto"/>
                <w:szCs w:val="21"/>
                <w:highlight w:val="none"/>
              </w:rPr>
            </w:pPr>
            <w:r>
              <w:rPr>
                <w:rFonts w:hint="eastAsia" w:ascii="宋体" w:hAnsi="宋体" w:cs="宋体"/>
                <w:color w:val="auto"/>
                <w:szCs w:val="21"/>
                <w:highlight w:val="none"/>
              </w:rPr>
              <w:t>合同金额</w:t>
            </w:r>
          </w:p>
          <w:p w14:paraId="16221707">
            <w:pPr>
              <w:snapToGrid w:val="0"/>
              <w:spacing w:line="240" w:lineRule="exact"/>
              <w:jc w:val="center"/>
              <w:rPr>
                <w:rFonts w:ascii="宋体" w:hAnsi="宋体" w:cs="宋体"/>
                <w:color w:val="auto"/>
                <w:szCs w:val="21"/>
                <w:highlight w:val="none"/>
              </w:rPr>
            </w:pPr>
            <w:r>
              <w:rPr>
                <w:rFonts w:hint="eastAsia" w:ascii="宋体" w:hAnsi="宋体" w:cs="宋体"/>
                <w:color w:val="auto"/>
                <w:szCs w:val="21"/>
                <w:highlight w:val="none"/>
              </w:rPr>
              <w:t>或项目规模</w:t>
            </w:r>
          </w:p>
        </w:tc>
        <w:tc>
          <w:tcPr>
            <w:tcW w:w="3621" w:type="dxa"/>
            <w:vMerge w:val="restart"/>
            <w:tcBorders>
              <w:top w:val="single" w:color="auto" w:sz="4" w:space="0"/>
              <w:left w:val="single" w:color="auto" w:sz="4" w:space="0"/>
              <w:bottom w:val="single" w:color="auto" w:sz="4" w:space="0"/>
              <w:right w:val="single" w:color="auto" w:sz="4" w:space="0"/>
            </w:tcBorders>
            <w:vAlign w:val="center"/>
          </w:tcPr>
          <w:p w14:paraId="08E4C7D3">
            <w:pPr>
              <w:snapToGrid w:val="0"/>
              <w:spacing w:line="240" w:lineRule="exact"/>
              <w:jc w:val="center"/>
              <w:rPr>
                <w:rFonts w:ascii="宋体" w:hAnsi="宋体" w:cs="宋体"/>
                <w:color w:val="auto"/>
                <w:szCs w:val="21"/>
                <w:highlight w:val="none"/>
              </w:rPr>
            </w:pPr>
            <w:r>
              <w:rPr>
                <w:rFonts w:hint="eastAsia" w:ascii="宋体" w:hAnsi="宋体" w:cs="宋体"/>
                <w:color w:val="auto"/>
                <w:szCs w:val="21"/>
                <w:highlight w:val="none"/>
              </w:rPr>
              <w:t>采购人（委托人）联系人及</w:t>
            </w:r>
          </w:p>
          <w:p w14:paraId="084A503D">
            <w:pPr>
              <w:snapToGrid w:val="0"/>
              <w:spacing w:line="240" w:lineRule="exact"/>
              <w:jc w:val="center"/>
              <w:rPr>
                <w:rFonts w:ascii="宋体" w:hAnsi="宋体" w:cs="宋体"/>
                <w:color w:val="auto"/>
                <w:szCs w:val="21"/>
                <w:highlight w:val="none"/>
              </w:rPr>
            </w:pPr>
            <w:r>
              <w:rPr>
                <w:rFonts w:hint="eastAsia" w:ascii="宋体" w:hAnsi="宋体" w:cs="宋体"/>
                <w:color w:val="auto"/>
                <w:szCs w:val="21"/>
                <w:highlight w:val="none"/>
              </w:rPr>
              <w:t>联系电话</w:t>
            </w:r>
          </w:p>
        </w:tc>
      </w:tr>
      <w:tr w14:paraId="670864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6" w:hRule="atLeast"/>
        </w:trPr>
        <w:tc>
          <w:tcPr>
            <w:tcW w:w="2132" w:type="dxa"/>
            <w:vMerge w:val="continue"/>
            <w:tcBorders>
              <w:top w:val="single" w:color="auto" w:sz="4" w:space="0"/>
              <w:left w:val="single" w:color="auto" w:sz="4" w:space="0"/>
              <w:bottom w:val="single" w:color="auto" w:sz="4" w:space="0"/>
              <w:right w:val="single" w:color="auto" w:sz="4" w:space="0"/>
            </w:tcBorders>
            <w:vAlign w:val="center"/>
          </w:tcPr>
          <w:p w14:paraId="370ABAFD">
            <w:pPr>
              <w:jc w:val="left"/>
              <w:rPr>
                <w:rFonts w:ascii="宋体" w:hAnsi="宋体" w:cs="宋体"/>
                <w:color w:val="auto"/>
                <w:sz w:val="24"/>
                <w:highlight w:val="none"/>
              </w:rPr>
            </w:pPr>
          </w:p>
        </w:tc>
        <w:tc>
          <w:tcPr>
            <w:tcW w:w="1770" w:type="dxa"/>
            <w:vMerge w:val="continue"/>
            <w:tcBorders>
              <w:top w:val="single" w:color="auto" w:sz="4" w:space="0"/>
              <w:left w:val="single" w:color="auto" w:sz="4" w:space="0"/>
              <w:bottom w:val="single" w:color="auto" w:sz="4" w:space="0"/>
              <w:right w:val="single" w:color="auto" w:sz="4" w:space="0"/>
            </w:tcBorders>
            <w:vAlign w:val="center"/>
          </w:tcPr>
          <w:p w14:paraId="7ED7541C">
            <w:pPr>
              <w:jc w:val="left"/>
              <w:rPr>
                <w:rFonts w:ascii="宋体" w:hAnsi="宋体" w:cs="宋体"/>
                <w:color w:val="auto"/>
                <w:sz w:val="24"/>
                <w:highlight w:val="none"/>
              </w:rPr>
            </w:pPr>
          </w:p>
        </w:tc>
        <w:tc>
          <w:tcPr>
            <w:tcW w:w="1770" w:type="dxa"/>
            <w:vMerge w:val="continue"/>
            <w:tcBorders>
              <w:top w:val="single" w:color="auto" w:sz="4" w:space="0"/>
              <w:left w:val="single" w:color="auto" w:sz="4" w:space="0"/>
              <w:bottom w:val="single" w:color="auto" w:sz="4" w:space="0"/>
              <w:right w:val="single" w:color="auto" w:sz="4" w:space="0"/>
            </w:tcBorders>
            <w:vAlign w:val="center"/>
          </w:tcPr>
          <w:p w14:paraId="742B27B1">
            <w:pPr>
              <w:jc w:val="left"/>
              <w:rPr>
                <w:rFonts w:ascii="宋体" w:hAnsi="宋体" w:cs="宋体"/>
                <w:color w:val="auto"/>
                <w:sz w:val="24"/>
                <w:highlight w:val="none"/>
              </w:rPr>
            </w:pPr>
          </w:p>
        </w:tc>
        <w:tc>
          <w:tcPr>
            <w:tcW w:w="3621" w:type="dxa"/>
            <w:vMerge w:val="continue"/>
            <w:tcBorders>
              <w:top w:val="single" w:color="auto" w:sz="4" w:space="0"/>
              <w:left w:val="single" w:color="auto" w:sz="4" w:space="0"/>
              <w:bottom w:val="single" w:color="auto" w:sz="4" w:space="0"/>
              <w:right w:val="single" w:color="auto" w:sz="4" w:space="0"/>
            </w:tcBorders>
            <w:vAlign w:val="center"/>
          </w:tcPr>
          <w:p w14:paraId="7025BDFE">
            <w:pPr>
              <w:jc w:val="left"/>
              <w:rPr>
                <w:rFonts w:ascii="宋体" w:hAnsi="宋体" w:cs="宋体"/>
                <w:color w:val="auto"/>
                <w:sz w:val="24"/>
                <w:highlight w:val="none"/>
              </w:rPr>
            </w:pPr>
          </w:p>
        </w:tc>
      </w:tr>
      <w:tr w14:paraId="0C2A5B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2132" w:type="dxa"/>
            <w:tcBorders>
              <w:top w:val="single" w:color="auto" w:sz="4" w:space="0"/>
              <w:left w:val="single" w:color="auto" w:sz="4" w:space="0"/>
              <w:bottom w:val="single" w:color="auto" w:sz="4" w:space="0"/>
              <w:right w:val="single" w:color="auto" w:sz="4" w:space="0"/>
            </w:tcBorders>
          </w:tcPr>
          <w:p w14:paraId="6EA248A2">
            <w:pPr>
              <w:snapToGrid w:val="0"/>
              <w:spacing w:line="240" w:lineRule="exact"/>
              <w:jc w:val="left"/>
              <w:rPr>
                <w:rFonts w:ascii="宋体" w:hAnsi="宋体" w:cs="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tcPr>
          <w:p w14:paraId="1D4B1265">
            <w:pPr>
              <w:snapToGrid w:val="0"/>
              <w:spacing w:line="240" w:lineRule="exact"/>
              <w:jc w:val="left"/>
              <w:rPr>
                <w:rFonts w:ascii="宋体" w:hAnsi="宋体" w:cs="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tcPr>
          <w:p w14:paraId="529B50DC">
            <w:pPr>
              <w:snapToGrid w:val="0"/>
              <w:spacing w:line="240" w:lineRule="exact"/>
              <w:jc w:val="left"/>
              <w:rPr>
                <w:rFonts w:ascii="宋体" w:hAnsi="宋体" w:cs="宋体"/>
                <w:color w:val="auto"/>
                <w:sz w:val="24"/>
                <w:highlight w:val="none"/>
              </w:rPr>
            </w:pPr>
          </w:p>
        </w:tc>
        <w:tc>
          <w:tcPr>
            <w:tcW w:w="3621" w:type="dxa"/>
            <w:tcBorders>
              <w:top w:val="single" w:color="auto" w:sz="4" w:space="0"/>
              <w:left w:val="single" w:color="auto" w:sz="4" w:space="0"/>
              <w:bottom w:val="single" w:color="auto" w:sz="4" w:space="0"/>
              <w:right w:val="single" w:color="auto" w:sz="4" w:space="0"/>
            </w:tcBorders>
          </w:tcPr>
          <w:p w14:paraId="0A916BB2">
            <w:pPr>
              <w:snapToGrid w:val="0"/>
              <w:spacing w:line="240" w:lineRule="exact"/>
              <w:jc w:val="left"/>
              <w:rPr>
                <w:rFonts w:ascii="宋体" w:hAnsi="宋体" w:cs="宋体"/>
                <w:color w:val="auto"/>
                <w:sz w:val="24"/>
                <w:highlight w:val="none"/>
              </w:rPr>
            </w:pPr>
          </w:p>
        </w:tc>
      </w:tr>
      <w:tr w14:paraId="277848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3" w:hRule="atLeast"/>
        </w:trPr>
        <w:tc>
          <w:tcPr>
            <w:tcW w:w="2132" w:type="dxa"/>
            <w:tcBorders>
              <w:top w:val="single" w:color="auto" w:sz="4" w:space="0"/>
              <w:left w:val="single" w:color="auto" w:sz="4" w:space="0"/>
              <w:bottom w:val="single" w:color="auto" w:sz="4" w:space="0"/>
              <w:right w:val="single" w:color="auto" w:sz="4" w:space="0"/>
            </w:tcBorders>
          </w:tcPr>
          <w:p w14:paraId="103CB8A0">
            <w:pPr>
              <w:snapToGrid w:val="0"/>
              <w:spacing w:before="50" w:afterLines="50" w:line="400" w:lineRule="exact"/>
              <w:jc w:val="left"/>
              <w:rPr>
                <w:rFonts w:ascii="宋体" w:hAnsi="宋体" w:cs="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tcPr>
          <w:p w14:paraId="32DC5441">
            <w:pPr>
              <w:snapToGrid w:val="0"/>
              <w:spacing w:before="50" w:afterLines="50" w:line="400" w:lineRule="exact"/>
              <w:jc w:val="left"/>
              <w:rPr>
                <w:rFonts w:ascii="宋体" w:hAnsi="宋体" w:cs="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tcPr>
          <w:p w14:paraId="21846A50">
            <w:pPr>
              <w:snapToGrid w:val="0"/>
              <w:spacing w:before="50" w:afterLines="50" w:line="400" w:lineRule="exact"/>
              <w:jc w:val="left"/>
              <w:rPr>
                <w:rFonts w:ascii="宋体" w:hAnsi="宋体" w:cs="宋体"/>
                <w:color w:val="auto"/>
                <w:sz w:val="24"/>
                <w:highlight w:val="none"/>
              </w:rPr>
            </w:pPr>
          </w:p>
        </w:tc>
        <w:tc>
          <w:tcPr>
            <w:tcW w:w="3621" w:type="dxa"/>
            <w:tcBorders>
              <w:top w:val="single" w:color="auto" w:sz="4" w:space="0"/>
              <w:left w:val="single" w:color="auto" w:sz="4" w:space="0"/>
              <w:bottom w:val="single" w:color="auto" w:sz="4" w:space="0"/>
              <w:right w:val="single" w:color="auto" w:sz="4" w:space="0"/>
            </w:tcBorders>
          </w:tcPr>
          <w:p w14:paraId="1C9BBDD7">
            <w:pPr>
              <w:snapToGrid w:val="0"/>
              <w:spacing w:before="50" w:afterLines="50" w:line="400" w:lineRule="exact"/>
              <w:jc w:val="left"/>
              <w:rPr>
                <w:rFonts w:ascii="宋体" w:hAnsi="宋体" w:cs="宋体"/>
                <w:color w:val="auto"/>
                <w:sz w:val="24"/>
                <w:highlight w:val="none"/>
              </w:rPr>
            </w:pPr>
          </w:p>
        </w:tc>
      </w:tr>
      <w:tr w14:paraId="564C8B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2132" w:type="dxa"/>
            <w:tcBorders>
              <w:top w:val="single" w:color="auto" w:sz="4" w:space="0"/>
              <w:left w:val="single" w:color="auto" w:sz="4" w:space="0"/>
              <w:bottom w:val="single" w:color="auto" w:sz="4" w:space="0"/>
              <w:right w:val="single" w:color="auto" w:sz="4" w:space="0"/>
            </w:tcBorders>
          </w:tcPr>
          <w:p w14:paraId="51DFB459">
            <w:pPr>
              <w:snapToGrid w:val="0"/>
              <w:spacing w:before="50" w:afterLines="50" w:line="400" w:lineRule="exact"/>
              <w:jc w:val="left"/>
              <w:rPr>
                <w:rFonts w:ascii="宋体" w:hAnsi="宋体" w:cs="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tcPr>
          <w:p w14:paraId="60BF4E26">
            <w:pPr>
              <w:snapToGrid w:val="0"/>
              <w:spacing w:before="50" w:afterLines="50" w:line="400" w:lineRule="exact"/>
              <w:jc w:val="left"/>
              <w:rPr>
                <w:rFonts w:ascii="宋体" w:hAnsi="宋体" w:cs="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tcPr>
          <w:p w14:paraId="63A584DE">
            <w:pPr>
              <w:snapToGrid w:val="0"/>
              <w:spacing w:before="50" w:afterLines="50" w:line="400" w:lineRule="exact"/>
              <w:jc w:val="left"/>
              <w:rPr>
                <w:rFonts w:ascii="宋体" w:hAnsi="宋体" w:cs="宋体"/>
                <w:color w:val="auto"/>
                <w:sz w:val="24"/>
                <w:highlight w:val="none"/>
              </w:rPr>
            </w:pPr>
          </w:p>
        </w:tc>
        <w:tc>
          <w:tcPr>
            <w:tcW w:w="3621" w:type="dxa"/>
            <w:tcBorders>
              <w:top w:val="single" w:color="auto" w:sz="4" w:space="0"/>
              <w:left w:val="single" w:color="auto" w:sz="4" w:space="0"/>
              <w:bottom w:val="single" w:color="auto" w:sz="4" w:space="0"/>
              <w:right w:val="single" w:color="auto" w:sz="4" w:space="0"/>
            </w:tcBorders>
          </w:tcPr>
          <w:p w14:paraId="104959A9">
            <w:pPr>
              <w:snapToGrid w:val="0"/>
              <w:spacing w:before="50" w:afterLines="50" w:line="400" w:lineRule="exact"/>
              <w:jc w:val="left"/>
              <w:rPr>
                <w:rFonts w:ascii="宋体" w:hAnsi="宋体" w:cs="宋体"/>
                <w:color w:val="auto"/>
                <w:sz w:val="24"/>
                <w:highlight w:val="none"/>
              </w:rPr>
            </w:pPr>
          </w:p>
        </w:tc>
      </w:tr>
      <w:tr w14:paraId="076E20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2132" w:type="dxa"/>
            <w:tcBorders>
              <w:top w:val="single" w:color="auto" w:sz="4" w:space="0"/>
              <w:left w:val="single" w:color="auto" w:sz="4" w:space="0"/>
              <w:bottom w:val="single" w:color="auto" w:sz="4" w:space="0"/>
              <w:right w:val="single" w:color="auto" w:sz="4" w:space="0"/>
            </w:tcBorders>
          </w:tcPr>
          <w:p w14:paraId="153E6836">
            <w:pPr>
              <w:snapToGrid w:val="0"/>
              <w:spacing w:before="50" w:afterLines="50" w:line="400" w:lineRule="exact"/>
              <w:jc w:val="left"/>
              <w:rPr>
                <w:rFonts w:ascii="宋体" w:hAnsi="宋体" w:cs="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tcPr>
          <w:p w14:paraId="12C2DB04">
            <w:pPr>
              <w:snapToGrid w:val="0"/>
              <w:spacing w:before="50" w:afterLines="50" w:line="400" w:lineRule="exact"/>
              <w:jc w:val="left"/>
              <w:rPr>
                <w:rFonts w:ascii="宋体" w:hAnsi="宋体" w:cs="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tcPr>
          <w:p w14:paraId="314D780C">
            <w:pPr>
              <w:snapToGrid w:val="0"/>
              <w:spacing w:before="50" w:afterLines="50" w:line="400" w:lineRule="exact"/>
              <w:jc w:val="left"/>
              <w:rPr>
                <w:rFonts w:ascii="宋体" w:hAnsi="宋体" w:cs="宋体"/>
                <w:color w:val="auto"/>
                <w:sz w:val="24"/>
                <w:highlight w:val="none"/>
              </w:rPr>
            </w:pPr>
          </w:p>
        </w:tc>
        <w:tc>
          <w:tcPr>
            <w:tcW w:w="3621" w:type="dxa"/>
            <w:tcBorders>
              <w:top w:val="single" w:color="auto" w:sz="4" w:space="0"/>
              <w:left w:val="single" w:color="auto" w:sz="4" w:space="0"/>
              <w:bottom w:val="single" w:color="auto" w:sz="4" w:space="0"/>
              <w:right w:val="single" w:color="auto" w:sz="4" w:space="0"/>
            </w:tcBorders>
          </w:tcPr>
          <w:p w14:paraId="738B9437">
            <w:pPr>
              <w:snapToGrid w:val="0"/>
              <w:spacing w:before="50" w:afterLines="50" w:line="400" w:lineRule="exact"/>
              <w:jc w:val="left"/>
              <w:rPr>
                <w:rFonts w:ascii="宋体" w:hAnsi="宋体" w:cs="宋体"/>
                <w:color w:val="auto"/>
                <w:sz w:val="24"/>
                <w:highlight w:val="none"/>
              </w:rPr>
            </w:pPr>
          </w:p>
        </w:tc>
      </w:tr>
      <w:tr w14:paraId="323961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32" w:type="dxa"/>
            <w:tcBorders>
              <w:top w:val="single" w:color="auto" w:sz="4" w:space="0"/>
              <w:left w:val="single" w:color="auto" w:sz="4" w:space="0"/>
              <w:bottom w:val="single" w:color="auto" w:sz="4" w:space="0"/>
              <w:right w:val="single" w:color="auto" w:sz="4" w:space="0"/>
            </w:tcBorders>
          </w:tcPr>
          <w:p w14:paraId="7E2BDE06">
            <w:pPr>
              <w:snapToGrid w:val="0"/>
              <w:spacing w:before="50" w:afterLines="50" w:line="400" w:lineRule="exact"/>
              <w:jc w:val="left"/>
              <w:rPr>
                <w:rFonts w:ascii="宋体" w:hAnsi="宋体" w:cs="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tcPr>
          <w:p w14:paraId="22B1E556">
            <w:pPr>
              <w:snapToGrid w:val="0"/>
              <w:spacing w:before="50" w:afterLines="50" w:line="400" w:lineRule="exact"/>
              <w:jc w:val="left"/>
              <w:rPr>
                <w:rFonts w:ascii="宋体" w:hAnsi="宋体" w:cs="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tcPr>
          <w:p w14:paraId="0DA6FEC9">
            <w:pPr>
              <w:snapToGrid w:val="0"/>
              <w:spacing w:before="50" w:afterLines="50" w:line="400" w:lineRule="exact"/>
              <w:jc w:val="left"/>
              <w:rPr>
                <w:rFonts w:ascii="宋体" w:hAnsi="宋体" w:cs="宋体"/>
                <w:color w:val="auto"/>
                <w:sz w:val="24"/>
                <w:highlight w:val="none"/>
              </w:rPr>
            </w:pPr>
          </w:p>
        </w:tc>
        <w:tc>
          <w:tcPr>
            <w:tcW w:w="3621" w:type="dxa"/>
            <w:tcBorders>
              <w:top w:val="single" w:color="auto" w:sz="4" w:space="0"/>
              <w:left w:val="single" w:color="auto" w:sz="4" w:space="0"/>
              <w:bottom w:val="single" w:color="auto" w:sz="4" w:space="0"/>
              <w:right w:val="single" w:color="auto" w:sz="4" w:space="0"/>
            </w:tcBorders>
          </w:tcPr>
          <w:p w14:paraId="6D56428E">
            <w:pPr>
              <w:snapToGrid w:val="0"/>
              <w:spacing w:before="50" w:afterLines="50" w:line="400" w:lineRule="exact"/>
              <w:jc w:val="left"/>
              <w:rPr>
                <w:rFonts w:ascii="宋体" w:hAnsi="宋体" w:cs="宋体"/>
                <w:color w:val="auto"/>
                <w:sz w:val="24"/>
                <w:highlight w:val="none"/>
              </w:rPr>
            </w:pPr>
          </w:p>
        </w:tc>
      </w:tr>
    </w:tbl>
    <w:p w14:paraId="022F8220">
      <w:pPr>
        <w:contextualSpacing/>
        <w:jc w:val="left"/>
        <w:rPr>
          <w:rFonts w:ascii="宋体" w:hAnsi="宋体" w:cs="宋体"/>
          <w:color w:val="auto"/>
          <w:szCs w:val="21"/>
          <w:highlight w:val="none"/>
        </w:rPr>
      </w:pPr>
      <w:r>
        <w:rPr>
          <w:rFonts w:hint="eastAsia" w:ascii="宋体" w:hAnsi="宋体" w:cs="宋体"/>
          <w:color w:val="auto"/>
          <w:szCs w:val="21"/>
          <w:highlight w:val="none"/>
        </w:rPr>
        <w:t>注：1.在填写时，如本表格不适合投标人的实际情况，可根据本表格式自行制表填写，但应以便于评审为原则。</w:t>
      </w:r>
    </w:p>
    <w:p w14:paraId="6D31354C">
      <w:pPr>
        <w:ind w:firstLine="420" w:firstLineChars="200"/>
        <w:contextualSpacing/>
        <w:jc w:val="left"/>
        <w:rPr>
          <w:rFonts w:ascii="宋体" w:hAnsi="宋体" w:cs="宋体"/>
          <w:color w:val="auto"/>
          <w:szCs w:val="21"/>
          <w:highlight w:val="none"/>
        </w:rPr>
      </w:pPr>
      <w:r>
        <w:rPr>
          <w:rFonts w:hint="eastAsia" w:ascii="宋体" w:hAnsi="宋体" w:cs="宋体"/>
          <w:color w:val="auto"/>
          <w:szCs w:val="21"/>
          <w:highlight w:val="none"/>
        </w:rPr>
        <w:t>2.投标人根据评标标准具体要求附业绩证明材料。</w:t>
      </w:r>
    </w:p>
    <w:p w14:paraId="1F4763BC">
      <w:pPr>
        <w:pStyle w:val="14"/>
        <w:spacing w:before="0" w:after="0" w:line="360" w:lineRule="auto"/>
        <w:contextualSpacing/>
        <w:jc w:val="left"/>
        <w:rPr>
          <w:rFonts w:ascii="宋体" w:hAnsi="宋体" w:eastAsia="宋体" w:cs="宋体"/>
          <w:color w:val="auto"/>
          <w:sz w:val="24"/>
          <w:szCs w:val="24"/>
          <w:highlight w:val="none"/>
        </w:rPr>
      </w:pPr>
    </w:p>
    <w:p w14:paraId="0F54538A">
      <w:pPr>
        <w:snapToGrid w:val="0"/>
        <w:spacing w:line="360" w:lineRule="auto"/>
        <w:ind w:firstLine="1470" w:firstLineChars="700"/>
        <w:rPr>
          <w:rFonts w:ascii="宋体" w:hAnsi="宋体" w:cs="宋体"/>
          <w:color w:val="auto"/>
          <w:szCs w:val="21"/>
          <w:highlight w:val="none"/>
        </w:rPr>
      </w:pPr>
      <w:r>
        <w:rPr>
          <w:rFonts w:hint="eastAsia" w:ascii="宋体" w:hAnsi="宋体" w:cs="宋体"/>
          <w:color w:val="auto"/>
          <w:szCs w:val="21"/>
          <w:highlight w:val="none"/>
        </w:rPr>
        <w:t xml:space="preserve">                投标人名称（</w:t>
      </w:r>
      <w:r>
        <w:rPr>
          <w:rFonts w:hint="eastAsia" w:cs="宋体" w:asciiTheme="minorEastAsia" w:hAnsiTheme="minorEastAsia" w:eastAsiaTheme="minorEastAsia"/>
          <w:color w:val="auto"/>
          <w:highlight w:val="none"/>
        </w:rPr>
        <w:t>电子签章</w:t>
      </w:r>
      <w:r>
        <w:rPr>
          <w:rFonts w:hint="eastAsia" w:ascii="宋体" w:hAnsi="宋体" w:cs="宋体"/>
          <w:color w:val="auto"/>
          <w:szCs w:val="21"/>
          <w:highlight w:val="none"/>
        </w:rPr>
        <w:t>）：</w:t>
      </w:r>
    </w:p>
    <w:p w14:paraId="4227928F">
      <w:pPr>
        <w:snapToGrid w:val="0"/>
        <w:spacing w:before="50"/>
        <w:ind w:firstLine="4410" w:firstLineChars="2100"/>
        <w:jc w:val="left"/>
        <w:rPr>
          <w:rFonts w:ascii="宋体" w:hAnsi="宋体" w:cs="宋体"/>
          <w:color w:val="auto"/>
          <w:szCs w:val="21"/>
          <w:highlight w:val="none"/>
        </w:rPr>
      </w:pPr>
    </w:p>
    <w:p w14:paraId="16B0B819">
      <w:pPr>
        <w:snapToGrid w:val="0"/>
        <w:spacing w:before="50"/>
        <w:ind w:firstLine="5250" w:firstLineChars="2100"/>
        <w:jc w:val="left"/>
        <w:rPr>
          <w:rFonts w:ascii="宋体" w:hAnsi="宋体" w:cs="宋体"/>
          <w:color w:val="auto"/>
          <w:sz w:val="24"/>
          <w:szCs w:val="20"/>
          <w:highlight w:val="none"/>
        </w:rPr>
      </w:pPr>
      <w:r>
        <w:rPr>
          <w:rFonts w:hint="eastAsia" w:ascii="宋体" w:hAnsi="宋体" w:cs="宋体"/>
          <w:color w:val="auto"/>
          <w:spacing w:val="20"/>
          <w:szCs w:val="21"/>
          <w:highlight w:val="none"/>
        </w:rPr>
        <w:t>日 期：</w:t>
      </w:r>
    </w:p>
    <w:sectPr>
      <w:footerReference r:id="rId17" w:type="first"/>
      <w:headerReference r:id="rId14" w:type="default"/>
      <w:footerReference r:id="rId15" w:type="default"/>
      <w:footerReference r:id="rId16" w:type="even"/>
      <w:pgSz w:w="11906" w:h="16838"/>
      <w:pgMar w:top="1134" w:right="1503" w:bottom="1559" w:left="167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_x000B__x000C_">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Century">
    <w:altName w:val="Nyala"/>
    <w:panose1 w:val="02040604050505020304"/>
    <w:charset w:val="00"/>
    <w:family w:val="roman"/>
    <w:pitch w:val="default"/>
    <w:sig w:usb0="00000000" w:usb1="00000000" w:usb2="00000000" w:usb3="00000000" w:csb0="2000009F" w:csb1="DFD70000"/>
  </w:font>
  <w:font w:name="Nyala">
    <w:panose1 w:val="02000504070300020003"/>
    <w:charset w:val="00"/>
    <w:family w:val="auto"/>
    <w:pitch w:val="default"/>
    <w:sig w:usb0="A000006F" w:usb1="00000000" w:usb2="00000800" w:usb3="00000000" w:csb0="00000093" w:csb1="00000000"/>
  </w:font>
  <w:font w:name="MingLiU">
    <w:panose1 w:val="02020509000000000000"/>
    <w:charset w:val="88"/>
    <w:family w:val="modern"/>
    <w:pitch w:val="default"/>
    <w:sig w:usb0="A00002FF" w:usb1="28CFFCFA" w:usb2="00000016" w:usb3="00000000" w:csb0="00100001" w:csb1="00000000"/>
  </w:font>
  <w:font w:name="Adobe 宋体 Std L">
    <w:panose1 w:val="02020300000000000000"/>
    <w:charset w:val="86"/>
    <w:family w:val="roman"/>
    <w:pitch w:val="default"/>
    <w:sig w:usb0="00000001" w:usb1="0A0F1810" w:usb2="00000016" w:usb3="00000000" w:csb0="00060007" w:csb1="00000000"/>
  </w:font>
  <w:font w:name="Wingdings 2">
    <w:altName w:val="Wingdings"/>
    <w:panose1 w:val="05020102010507070707"/>
    <w:charset w:val="02"/>
    <w:family w:val="roman"/>
    <w:pitch w:val="default"/>
    <w:sig w:usb0="00000000" w:usb1="00000000" w:usb2="00000000" w:usb3="00000000" w:csb0="80000000" w:csb1="00000000"/>
  </w:font>
  <w:font w:name="Kingsoft UE">
    <w:altName w:val="AMGDT"/>
    <w:panose1 w:val="00000000000000000000"/>
    <w:charset w:val="00"/>
    <w:family w:val="auto"/>
    <w:pitch w:val="default"/>
    <w:sig w:usb0="00000000" w:usb1="00000000" w:usb2="00000000" w:usb3="00000000" w:csb0="00000000" w:csb1="00000000"/>
  </w:font>
  <w:font w:name="AMGDT">
    <w:panose1 w:val="02000400000000000000"/>
    <w:charset w:val="00"/>
    <w:family w:val="auto"/>
    <w:pitch w:val="default"/>
    <w:sig w:usb0="80000003" w:usb1="1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B776A6">
    <w:pPr>
      <w:pStyle w:val="29"/>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2" name="文本框 1025"/>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a:effectLst/>
                    </wps:spPr>
                    <wps:txbx>
                      <w:txbxContent>
                        <w:p w14:paraId="7CCFEFB5">
                          <w:pPr>
                            <w:pStyle w:val="29"/>
                          </w:pPr>
                          <w:r>
                            <w:fldChar w:fldCharType="begin"/>
                          </w:r>
                          <w:r>
                            <w:instrText xml:space="preserve"> PAGE  \* MERGEFORMAT </w:instrText>
                          </w:r>
                          <w:r>
                            <w:fldChar w:fldCharType="separate"/>
                          </w:r>
                          <w:r>
                            <w:t>55</w:t>
                          </w:r>
                          <w:r>
                            <w:fldChar w:fldCharType="end"/>
                          </w:r>
                        </w:p>
                      </w:txbxContent>
                    </wps:txbx>
                    <wps:bodyPr wrap="none" lIns="0" tIns="0" rIns="0" bIns="0">
                      <a:spAutoFit/>
                    </wps:bodyPr>
                  </wps:wsp>
                </a:graphicData>
              </a:graphic>
            </wp:anchor>
          </w:drawing>
        </mc:Choice>
        <mc:Fallback>
          <w:pict>
            <v:shape id="文本框 1025"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D5X5J0AAAAAMBAAAPAAAAAAAAAAEAIAAAACIAAABkcnMvZG93&#10;bnJldi54bWxQSwECFAAUAAAACACHTuJARSe57c8BAACcAwAADgAAAAAAAAABACAAAAAfAQAAZHJz&#10;L2Uyb0RvYy54bWxQSwUGAAAAAAYABgBZAQAAYAUAAAAA&#10;">
              <v:fill on="f" focussize="0,0"/>
              <v:stroke on="f"/>
              <v:imagedata o:title=""/>
              <o:lock v:ext="edit" aspectratio="f"/>
              <v:textbox inset="0mm,0mm,0mm,0mm" style="mso-fit-shape-to-text:t;">
                <w:txbxContent>
                  <w:p w14:paraId="7CCFEFB5">
                    <w:pPr>
                      <w:pStyle w:val="29"/>
                    </w:pPr>
                    <w:r>
                      <w:fldChar w:fldCharType="begin"/>
                    </w:r>
                    <w:r>
                      <w:instrText xml:space="preserve"> PAGE  \* MERGEFORMAT </w:instrText>
                    </w:r>
                    <w:r>
                      <w:fldChar w:fldCharType="separate"/>
                    </w:r>
                    <w:r>
                      <w:t>55</w:t>
                    </w:r>
                    <w:r>
                      <w:fldChar w:fldCharType="end"/>
                    </w:r>
                  </w:p>
                </w:txbxContent>
              </v:textbox>
            </v:shape>
          </w:pict>
        </mc:Fallback>
      </mc:AlternateContent>
    </w:r>
  </w:p>
  <w:p w14:paraId="3ECEE3DB">
    <w:pPr>
      <w:pStyle w:val="2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93951094"/>
    </w:sdtPr>
    <w:sdtContent>
      <w:p w14:paraId="5D4828A5">
        <w:pPr>
          <w:pStyle w:val="29"/>
          <w:jc w:val="center"/>
        </w:pPr>
        <w:r>
          <w:fldChar w:fldCharType="begin"/>
        </w:r>
        <w:r>
          <w:instrText xml:space="preserve"> PAGE   \* MERGEFORMAT </w:instrText>
        </w:r>
        <w:r>
          <w:fldChar w:fldCharType="separate"/>
        </w:r>
        <w:r>
          <w:rPr>
            <w:lang w:val="zh-CN"/>
          </w:rPr>
          <w:t>11</w:t>
        </w:r>
        <w:r>
          <w:rPr>
            <w:lang w:val="zh-CN"/>
          </w:rPr>
          <w:fldChar w:fldCharType="end"/>
        </w:r>
      </w:p>
    </w:sdtContent>
  </w:sdt>
  <w:p w14:paraId="128B2440">
    <w:pPr>
      <w:pStyle w:val="2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8E3843">
    <w:pPr>
      <w:pStyle w:val="29"/>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72085" cy="131445"/>
              <wp:effectExtent l="0" t="0" r="0" b="0"/>
              <wp:wrapNone/>
              <wp:docPr id="3" name="文本框 1026"/>
              <wp:cNvGraphicFramePr/>
              <a:graphic xmlns:a="http://schemas.openxmlformats.org/drawingml/2006/main">
                <a:graphicData uri="http://schemas.microsoft.com/office/word/2010/wordprocessingShape">
                  <wps:wsp>
                    <wps:cNvSpPr txBox="1"/>
                    <wps:spPr>
                      <a:xfrm>
                        <a:off x="0" y="0"/>
                        <a:ext cx="172085" cy="131445"/>
                      </a:xfrm>
                      <a:prstGeom prst="rect">
                        <a:avLst/>
                      </a:prstGeom>
                      <a:noFill/>
                      <a:ln>
                        <a:noFill/>
                      </a:ln>
                      <a:effectLst/>
                    </wps:spPr>
                    <wps:txbx>
                      <w:txbxContent>
                        <w:p w14:paraId="56AFC673">
                          <w:pPr>
                            <w:pStyle w:val="29"/>
                          </w:pPr>
                          <w:r>
                            <w:fldChar w:fldCharType="begin"/>
                          </w:r>
                          <w:r>
                            <w:instrText xml:space="preserve"> PAGE  \* MERGEFORMAT </w:instrText>
                          </w:r>
                          <w:r>
                            <w:fldChar w:fldCharType="separate"/>
                          </w:r>
                          <w:r>
                            <w:t>70</w:t>
                          </w:r>
                          <w:r>
                            <w:fldChar w:fldCharType="end"/>
                          </w:r>
                        </w:p>
                      </w:txbxContent>
                    </wps:txbx>
                    <wps:bodyPr wrap="none" lIns="0" tIns="0" rIns="0" bIns="0">
                      <a:spAutoFit/>
                    </wps:bodyPr>
                  </wps:wsp>
                </a:graphicData>
              </a:graphic>
            </wp:anchor>
          </w:drawing>
        </mc:Choice>
        <mc:Fallback>
          <w:pict>
            <v:shape id="文本框 1026" o:spid="_x0000_s1026" o:spt="202" type="#_x0000_t202" style="position:absolute;left:0pt;margin-top:0pt;height:10.35pt;width:13.55pt;mso-position-horizontal:center;mso-position-horizontal-relative:margin;mso-wrap-style:none;z-index:251660288;mso-width-relative:page;mso-height-relative:page;" filled="f" stroked="f" coordsize="21600,21600" o:gfxdata="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JSV0OXPAAAAAwEAAA8AAAAAAAAAAQAgAAAAIgAAAGRycy9kb3du&#10;cmV2LnhtbFBLAQIUABQAAAAIAIdO4kDHlPKtzwEAAJwDAAAOAAAAAAAAAAEAIAAAAB4BAABkcnMv&#10;ZTJvRG9jLnhtbFBLBQYAAAAABgAGAFkBAABfBQAAAAA=&#10;">
              <v:fill on="f" focussize="0,0"/>
              <v:stroke on="f"/>
              <v:imagedata o:title=""/>
              <o:lock v:ext="edit" aspectratio="f"/>
              <v:textbox inset="0mm,0mm,0mm,0mm" style="mso-fit-shape-to-text:t;">
                <w:txbxContent>
                  <w:p w14:paraId="56AFC673">
                    <w:pPr>
                      <w:pStyle w:val="29"/>
                    </w:pPr>
                    <w:r>
                      <w:fldChar w:fldCharType="begin"/>
                    </w:r>
                    <w:r>
                      <w:instrText xml:space="preserve"> PAGE  \* MERGEFORMAT </w:instrText>
                    </w:r>
                    <w:r>
                      <w:fldChar w:fldCharType="separate"/>
                    </w:r>
                    <w:r>
                      <w:t>70</w:t>
                    </w:r>
                    <w:r>
                      <w:fldChar w:fldCharType="end"/>
                    </w:r>
                  </w:p>
                </w:txbxContent>
              </v:textbox>
            </v:shape>
          </w:pict>
        </mc:Fallback>
      </mc:AlternateContent>
    </w:r>
  </w:p>
  <w:p w14:paraId="517A48E1">
    <w:pPr>
      <w:pStyle w:val="2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2C5742">
    <w:pPr>
      <w:pStyle w:val="29"/>
      <w:framePr w:wrap="around" w:vAnchor="text" w:hAnchor="margin" w:xAlign="center" w:y="1"/>
      <w:rPr>
        <w:rStyle w:val="51"/>
      </w:rPr>
    </w:pPr>
    <w:r>
      <w:fldChar w:fldCharType="begin"/>
    </w:r>
    <w:r>
      <w:rPr>
        <w:rStyle w:val="51"/>
      </w:rPr>
      <w:instrText xml:space="preserve">PAGE  </w:instrText>
    </w:r>
    <w:r>
      <w:fldChar w:fldCharType="end"/>
    </w:r>
  </w:p>
  <w:p w14:paraId="07C8DDDE">
    <w:pPr>
      <w:pStyle w:val="2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00C5A4">
    <w:pPr>
      <w:pStyle w:val="29"/>
      <w:ind w:right="360"/>
      <w:jc w:val="both"/>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31445"/>
              <wp:effectExtent l="0" t="0" r="0" b="0"/>
              <wp:wrapNone/>
              <wp:docPr id="4" name="文本框 1027"/>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a:effectLst/>
                    </wps:spPr>
                    <wps:txbx>
                      <w:txbxContent>
                        <w:p w14:paraId="6559C7FB">
                          <w:pPr>
                            <w:pStyle w:val="29"/>
                          </w:pPr>
                          <w:r>
                            <w:fldChar w:fldCharType="begin"/>
                          </w:r>
                          <w:r>
                            <w:instrText xml:space="preserve"> PAGE  \* MERGEFORMAT </w:instrText>
                          </w:r>
                          <w:r>
                            <w:fldChar w:fldCharType="separate"/>
                          </w:r>
                          <w:r>
                            <w:t>60</w:t>
                          </w:r>
                          <w:r>
                            <w:fldChar w:fldCharType="end"/>
                          </w:r>
                        </w:p>
                      </w:txbxContent>
                    </wps:txbx>
                    <wps:bodyPr wrap="none" lIns="0" tIns="0" rIns="0" bIns="0">
                      <a:spAutoFit/>
                    </wps:bodyPr>
                  </wps:wsp>
                </a:graphicData>
              </a:graphic>
            </wp:anchor>
          </w:drawing>
        </mc:Choice>
        <mc:Fallback>
          <w:pict>
            <v:shape id="文本框 1027" o:spid="_x0000_s1026" o:spt="202" type="#_x0000_t202" style="position:absolute;left:0pt;margin-top:0pt;height:10.35pt;width:9.05pt;mso-position-horizontal:center;mso-position-horizontal-relative:margin;mso-wrap-style:none;z-index:251661312;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D5X5J0AAAAAMBAAAPAAAAAAAAAAEAIAAAACIAAABkcnMvZG93&#10;bnJldi54bWxQSwECFAAUAAAACACHTuJAfxNMgc8BAACcAwAADgAAAAAAAAABACAAAAAfAQAAZHJz&#10;L2Uyb0RvYy54bWxQSwUGAAAAAAYABgBZAQAAYAUAAAAA&#10;">
              <v:fill on="f" focussize="0,0"/>
              <v:stroke on="f"/>
              <v:imagedata o:title=""/>
              <o:lock v:ext="edit" aspectratio="f"/>
              <v:textbox inset="0mm,0mm,0mm,0mm" style="mso-fit-shape-to-text:t;">
                <w:txbxContent>
                  <w:p w14:paraId="6559C7FB">
                    <w:pPr>
                      <w:pStyle w:val="29"/>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80288">
    <w:pPr>
      <w:pStyle w:val="29"/>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72085" cy="131445"/>
              <wp:effectExtent l="0" t="0" r="0" b="0"/>
              <wp:wrapNone/>
              <wp:docPr id="5" name="文本框 1028"/>
              <wp:cNvGraphicFramePr/>
              <a:graphic xmlns:a="http://schemas.openxmlformats.org/drawingml/2006/main">
                <a:graphicData uri="http://schemas.microsoft.com/office/word/2010/wordprocessingShape">
                  <wps:wsp>
                    <wps:cNvSpPr txBox="1"/>
                    <wps:spPr>
                      <a:xfrm>
                        <a:off x="0" y="0"/>
                        <a:ext cx="172085" cy="131445"/>
                      </a:xfrm>
                      <a:prstGeom prst="rect">
                        <a:avLst/>
                      </a:prstGeom>
                      <a:noFill/>
                      <a:ln>
                        <a:noFill/>
                      </a:ln>
                      <a:effectLst/>
                    </wps:spPr>
                    <wps:txbx>
                      <w:txbxContent>
                        <w:p w14:paraId="5E1C104B">
                          <w:pPr>
                            <w:pStyle w:val="29"/>
                          </w:pPr>
                          <w:r>
                            <w:fldChar w:fldCharType="begin"/>
                          </w:r>
                          <w:r>
                            <w:instrText xml:space="preserve"> PAGE  \* MERGEFORMAT </w:instrText>
                          </w:r>
                          <w:r>
                            <w:fldChar w:fldCharType="separate"/>
                          </w:r>
                          <w:r>
                            <w:t>71</w:t>
                          </w:r>
                          <w:r>
                            <w:fldChar w:fldCharType="end"/>
                          </w:r>
                        </w:p>
                      </w:txbxContent>
                    </wps:txbx>
                    <wps:bodyPr wrap="none" lIns="0" tIns="0" rIns="0" bIns="0">
                      <a:spAutoFit/>
                    </wps:bodyPr>
                  </wps:wsp>
                </a:graphicData>
              </a:graphic>
            </wp:anchor>
          </w:drawing>
        </mc:Choice>
        <mc:Fallback>
          <w:pict>
            <v:shape id="文本框 1028" o:spid="_x0000_s1026" o:spt="202" type="#_x0000_t202" style="position:absolute;left:0pt;margin-top:0pt;height:10.35pt;width:13.55pt;mso-position-horizontal:center;mso-position-horizontal-relative:margin;mso-wrap-style:none;z-index:251662336;mso-width-relative:page;mso-height-relative:page;" filled="f" stroked="f" coordsize="21600,21600" o:gfxdata="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lJXQ5c8AAAADAQAADwAAAAAAAAABACAAAAAiAAAAZHJzL2Rvd25y&#10;ZXYueG1sUEsBAhQAFAAAAAgAh07iQPGc0HbOAQAAnAMAAA4AAAAAAAAAAQAgAAAAHgEAAGRycy9l&#10;Mm9Eb2MueG1sUEsFBgAAAAAGAAYAWQEAAF4FAAAAAA==&#10;">
              <v:fill on="f" focussize="0,0"/>
              <v:stroke on="f"/>
              <v:imagedata o:title=""/>
              <o:lock v:ext="edit" aspectratio="f"/>
              <v:textbox inset="0mm,0mm,0mm,0mm" style="mso-fit-shape-to-text:t;">
                <w:txbxContent>
                  <w:p w14:paraId="5E1C104B">
                    <w:pPr>
                      <w:pStyle w:val="29"/>
                    </w:pPr>
                    <w:r>
                      <w:fldChar w:fldCharType="begin"/>
                    </w:r>
                    <w:r>
                      <w:instrText xml:space="preserve"> PAGE  \* MERGEFORMAT </w:instrText>
                    </w:r>
                    <w:r>
                      <w:fldChar w:fldCharType="separate"/>
                    </w:r>
                    <w:r>
                      <w:t>71</w:t>
                    </w:r>
                    <w:r>
                      <w:fldChar w:fldCharType="end"/>
                    </w:r>
                  </w:p>
                </w:txbxContent>
              </v:textbox>
            </v:shape>
          </w:pict>
        </mc:Fallback>
      </mc:AlternateContent>
    </w:r>
  </w:p>
  <w:p w14:paraId="47F3B956">
    <w:pPr>
      <w:pStyle w:val="29"/>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EBDE">
    <w:pPr>
      <w:pStyle w:val="29"/>
      <w:framePr w:wrap="around" w:vAnchor="text" w:hAnchor="margin" w:xAlign="center" w:y="1"/>
      <w:rPr>
        <w:rStyle w:val="51"/>
      </w:rPr>
    </w:pPr>
    <w:r>
      <w:fldChar w:fldCharType="begin"/>
    </w:r>
    <w:r>
      <w:rPr>
        <w:rStyle w:val="51"/>
      </w:rPr>
      <w:instrText xml:space="preserve">PAGE  </w:instrText>
    </w:r>
    <w:r>
      <w:fldChar w:fldCharType="end"/>
    </w:r>
  </w:p>
  <w:p w14:paraId="6E34E08C">
    <w:pPr>
      <w:pStyle w:val="29"/>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20938F">
    <w:pPr>
      <w:pStyle w:val="29"/>
      <w:framePr w:wrap="around" w:vAnchor="text" w:hAnchor="margin" w:xAlign="right" w:y="1"/>
      <w:rPr>
        <w:rStyle w:val="51"/>
      </w:rPr>
    </w:pPr>
    <w:r>
      <w:fldChar w:fldCharType="begin"/>
    </w:r>
    <w:r>
      <w:rPr>
        <w:rStyle w:val="51"/>
      </w:rPr>
      <w:instrText xml:space="preserve">PAGE  </w:instrText>
    </w:r>
    <w:r>
      <w:fldChar w:fldCharType="separate"/>
    </w:r>
    <w:r>
      <w:rPr>
        <w:rStyle w:val="51"/>
      </w:rPr>
      <w:t>122</w:t>
    </w:r>
    <w:r>
      <w:fldChar w:fldCharType="end"/>
    </w:r>
  </w:p>
  <w:p w14:paraId="716FDF73">
    <w:pPr>
      <w:pStyle w:val="29"/>
      <w:ind w:right="360"/>
      <w:jc w:val="both"/>
    </w:pPr>
    <w:r>
      <w:rPr>
        <w:rFonts w:hint="eastAsia"/>
      </w:rPr>
      <w:t>121</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3E5943">
    <w:pPr>
      <w:pStyle w:val="29"/>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72085" cy="131445"/>
              <wp:effectExtent l="0" t="0" r="0" b="0"/>
              <wp:wrapNone/>
              <wp:docPr id="6" name="文本框 1029"/>
              <wp:cNvGraphicFramePr/>
              <a:graphic xmlns:a="http://schemas.openxmlformats.org/drawingml/2006/main">
                <a:graphicData uri="http://schemas.microsoft.com/office/word/2010/wordprocessingShape">
                  <wps:wsp>
                    <wps:cNvSpPr txBox="1"/>
                    <wps:spPr>
                      <a:xfrm>
                        <a:off x="0" y="0"/>
                        <a:ext cx="172085" cy="131445"/>
                      </a:xfrm>
                      <a:prstGeom prst="rect">
                        <a:avLst/>
                      </a:prstGeom>
                      <a:noFill/>
                      <a:ln>
                        <a:noFill/>
                      </a:ln>
                      <a:effectLst/>
                    </wps:spPr>
                    <wps:txbx>
                      <w:txbxContent>
                        <w:p w14:paraId="579BCDFD">
                          <w:pPr>
                            <w:pStyle w:val="29"/>
                          </w:pPr>
                          <w:r>
                            <w:fldChar w:fldCharType="begin"/>
                          </w:r>
                          <w:r>
                            <w:instrText xml:space="preserve"> PAGE  \* MERGEFORMAT </w:instrText>
                          </w:r>
                          <w:r>
                            <w:fldChar w:fldCharType="separate"/>
                          </w:r>
                          <w:r>
                            <w:t>76</w:t>
                          </w:r>
                          <w:r>
                            <w:fldChar w:fldCharType="end"/>
                          </w:r>
                        </w:p>
                      </w:txbxContent>
                    </wps:txbx>
                    <wps:bodyPr wrap="none" lIns="0" tIns="0" rIns="0" bIns="0">
                      <a:spAutoFit/>
                    </wps:bodyPr>
                  </wps:wsp>
                </a:graphicData>
              </a:graphic>
            </wp:anchor>
          </w:drawing>
        </mc:Choice>
        <mc:Fallback>
          <w:pict>
            <v:shape id="文本框 1029" o:spid="_x0000_s1026" o:spt="202" type="#_x0000_t202" style="position:absolute;left:0pt;margin-top:0pt;height:10.35pt;width:13.55pt;mso-position-horizontal:center;mso-position-horizontal-relative:margin;mso-wrap-style:none;z-index:251663360;mso-width-relative:page;mso-height-relative:page;" filled="f" stroked="f" coordsize="21600,21600" o:gfxdata="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JSV0OXPAAAAAwEAAA8AAAAAAAAAAQAgAAAAIgAAAGRycy9kb3du&#10;cmV2LnhtbFBLAQIUABQAAAAIAIdO4kDsBqpAzwEAAJwDAAAOAAAAAAAAAAEAIAAAAB4BAABkcnMv&#10;ZTJvRG9jLnhtbFBLBQYAAAAABgAGAFkBAABfBQAAAAA=&#10;">
              <v:fill on="f" focussize="0,0"/>
              <v:stroke on="f"/>
              <v:imagedata o:title=""/>
              <o:lock v:ext="edit" aspectratio="f"/>
              <v:textbox inset="0mm,0mm,0mm,0mm" style="mso-fit-shape-to-text:t;">
                <w:txbxContent>
                  <w:p w14:paraId="579BCDFD">
                    <w:pPr>
                      <w:pStyle w:val="29"/>
                    </w:pPr>
                    <w:r>
                      <w:fldChar w:fldCharType="begin"/>
                    </w:r>
                    <w:r>
                      <w:instrText xml:space="preserve"> PAGE  \* MERGEFORMAT </w:instrText>
                    </w:r>
                    <w:r>
                      <w:fldChar w:fldCharType="separate"/>
                    </w:r>
                    <w:r>
                      <w:t>76</w:t>
                    </w:r>
                    <w:r>
                      <w:fldChar w:fldCharType="end"/>
                    </w:r>
                  </w:p>
                </w:txbxContent>
              </v:textbox>
            </v:shape>
          </w:pict>
        </mc:Fallback>
      </mc:AlternateContent>
    </w:r>
  </w:p>
  <w:p w14:paraId="6F1193C2">
    <w:pPr>
      <w:pStyle w:val="29"/>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668A97">
    <w:pPr>
      <w:pStyle w:val="29"/>
      <w:framePr w:wrap="around" w:vAnchor="text" w:hAnchor="margin" w:xAlign="center" w:y="1"/>
      <w:rPr>
        <w:rStyle w:val="51"/>
      </w:rPr>
    </w:pPr>
    <w:r>
      <w:fldChar w:fldCharType="begin"/>
    </w:r>
    <w:r>
      <w:rPr>
        <w:rStyle w:val="51"/>
      </w:rPr>
      <w:instrText xml:space="preserve">PAGE  </w:instrText>
    </w:r>
    <w:r>
      <w:fldChar w:fldCharType="end"/>
    </w:r>
  </w:p>
  <w:p w14:paraId="27B2B638">
    <w:pPr>
      <w:pStyle w:val="29"/>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0543A7">
    <w:pPr>
      <w:pStyle w:val="29"/>
      <w:ind w:right="360"/>
      <w:jc w:val="both"/>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72085" cy="131445"/>
              <wp:effectExtent l="0" t="0" r="0" b="0"/>
              <wp:wrapNone/>
              <wp:docPr id="7" name="文本框 1030"/>
              <wp:cNvGraphicFramePr/>
              <a:graphic xmlns:a="http://schemas.openxmlformats.org/drawingml/2006/main">
                <a:graphicData uri="http://schemas.microsoft.com/office/word/2010/wordprocessingShape">
                  <wps:wsp>
                    <wps:cNvSpPr txBox="1"/>
                    <wps:spPr>
                      <a:xfrm>
                        <a:off x="0" y="0"/>
                        <a:ext cx="172085" cy="131445"/>
                      </a:xfrm>
                      <a:prstGeom prst="rect">
                        <a:avLst/>
                      </a:prstGeom>
                      <a:noFill/>
                      <a:ln>
                        <a:noFill/>
                      </a:ln>
                      <a:effectLst/>
                    </wps:spPr>
                    <wps:txbx>
                      <w:txbxContent>
                        <w:p w14:paraId="5F6CC031">
                          <w:pPr>
                            <w:pStyle w:val="29"/>
                          </w:pPr>
                          <w:r>
                            <w:fldChar w:fldCharType="begin"/>
                          </w:r>
                          <w:r>
                            <w:instrText xml:space="preserve"> PAGE  \* MERGEFORMAT </w:instrText>
                          </w:r>
                          <w:r>
                            <w:fldChar w:fldCharType="separate"/>
                          </w:r>
                          <w:r>
                            <w:t>72</w:t>
                          </w:r>
                          <w:r>
                            <w:fldChar w:fldCharType="end"/>
                          </w:r>
                        </w:p>
                      </w:txbxContent>
                    </wps:txbx>
                    <wps:bodyPr wrap="none" lIns="0" tIns="0" rIns="0" bIns="0">
                      <a:spAutoFit/>
                    </wps:bodyPr>
                  </wps:wsp>
                </a:graphicData>
              </a:graphic>
            </wp:anchor>
          </w:drawing>
        </mc:Choice>
        <mc:Fallback>
          <w:pict>
            <v:shape id="文本框 1030" o:spid="_x0000_s1026" o:spt="202" type="#_x0000_t202" style="position:absolute;left:0pt;margin-top:0pt;height:10.35pt;width:13.55pt;mso-position-horizontal:center;mso-position-horizontal-relative:margin;mso-wrap-style:none;z-index:251664384;mso-width-relative:page;mso-height-relative:page;" filled="f" stroked="f" coordsize="21600,21600" o:gfxdata="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lJXQ5c8AAAADAQAADwAAAAAAAAABACAAAAAiAAAAZHJzL2Rvd25y&#10;ZXYueG1sUEsBAhQAFAAAAAgAh07iQP1At1vOAQAAnAMAAA4AAAAAAAAAAQAgAAAAHgEAAGRycy9l&#10;Mm9Eb2MueG1sUEsFBgAAAAAGAAYAWQEAAF4FAAAAAA==&#10;">
              <v:fill on="f" focussize="0,0"/>
              <v:stroke on="f"/>
              <v:imagedata o:title=""/>
              <o:lock v:ext="edit" aspectratio="f"/>
              <v:textbox inset="0mm,0mm,0mm,0mm" style="mso-fit-shape-to-text:t;">
                <w:txbxContent>
                  <w:p w14:paraId="5F6CC031">
                    <w:pPr>
                      <w:pStyle w:val="29"/>
                    </w:pPr>
                    <w:r>
                      <w:fldChar w:fldCharType="begin"/>
                    </w:r>
                    <w:r>
                      <w:instrText xml:space="preserve"> PAGE  \* MERGEFORMAT </w:instrText>
                    </w:r>
                    <w:r>
                      <w:fldChar w:fldCharType="separate"/>
                    </w:r>
                    <w:r>
                      <w:t>72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F45C52">
    <w:pPr>
      <w:pStyle w:val="30"/>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58B8B8">
    <w:pPr>
      <w:pStyle w:val="30"/>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569FD6">
    <w:pPr>
      <w:pStyle w:val="30"/>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A08BB1">
    <w:pPr>
      <w:pStyle w:val="3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23EF84"/>
    <w:multiLevelType w:val="singleLevel"/>
    <w:tmpl w:val="8F23EF84"/>
    <w:lvl w:ilvl="0" w:tentative="0">
      <w:start w:val="3"/>
      <w:numFmt w:val="chineseCounting"/>
      <w:suff w:val="space"/>
      <w:lvlText w:val="第%1条"/>
      <w:lvlJc w:val="left"/>
      <w:rPr>
        <w:rFonts w:hint="eastAsia"/>
      </w:rPr>
    </w:lvl>
  </w:abstractNum>
  <w:abstractNum w:abstractNumId="1">
    <w:nsid w:val="FF531DF6"/>
    <w:multiLevelType w:val="singleLevel"/>
    <w:tmpl w:val="FF531DF6"/>
    <w:lvl w:ilvl="0" w:tentative="0">
      <w:start w:val="1"/>
      <w:numFmt w:val="decimal"/>
      <w:suff w:val="space"/>
      <w:lvlText w:val="%1."/>
      <w:lvlJc w:val="left"/>
    </w:lvl>
  </w:abstractNum>
  <w:abstractNum w:abstractNumId="2">
    <w:nsid w:val="FFFFFF7E"/>
    <w:multiLevelType w:val="singleLevel"/>
    <w:tmpl w:val="FFFFFF7E"/>
    <w:lvl w:ilvl="0" w:tentative="0">
      <w:start w:val="1"/>
      <w:numFmt w:val="decimal"/>
      <w:pStyle w:val="19"/>
      <w:lvlText w:val="%1."/>
      <w:lvlJc w:val="left"/>
      <w:pPr>
        <w:tabs>
          <w:tab w:val="left" w:pos="1200"/>
        </w:tabs>
        <w:ind w:left="1200" w:hanging="360"/>
      </w:pPr>
    </w:lvl>
  </w:abstractNum>
  <w:abstractNum w:abstractNumId="3">
    <w:nsid w:val="15E05324"/>
    <w:multiLevelType w:val="singleLevel"/>
    <w:tmpl w:val="15E05324"/>
    <w:lvl w:ilvl="0" w:tentative="0">
      <w:start w:val="3"/>
      <w:numFmt w:val="decimal"/>
      <w:suff w:val="nothing"/>
      <w:lvlText w:val="%1、"/>
      <w:lvlJc w:val="left"/>
    </w:lvl>
  </w:abstractNum>
  <w:abstractNum w:abstractNumId="4">
    <w:nsid w:val="32714F5E"/>
    <w:multiLevelType w:val="multilevel"/>
    <w:tmpl w:val="32714F5E"/>
    <w:lvl w:ilvl="0" w:tentative="0">
      <w:start w:val="1"/>
      <w:numFmt w:val="chineseCountingThousand"/>
      <w:suff w:val="nothing"/>
      <w:lvlText w:val="第%1章"/>
      <w:lvlJc w:val="left"/>
      <w:pPr>
        <w:ind w:left="0" w:firstLine="0"/>
      </w:pPr>
      <w:rPr>
        <w:rFonts w:hint="eastAsia" w:ascii="仿宋_GB2312" w:eastAsia="仿宋_GB2312"/>
        <w:sz w:val="44"/>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pStyle w:val="6"/>
      <w:suff w:val="nothing"/>
      <w:lvlText w:val=""/>
      <w:lvlJc w:val="left"/>
      <w:pPr>
        <w:ind w:left="0" w:firstLine="0"/>
      </w:pPr>
      <w:rPr>
        <w:rFonts w:hint="eastAsia"/>
      </w:rPr>
    </w:lvl>
    <w:lvl w:ilvl="5" w:tentative="0">
      <w:start w:val="1"/>
      <w:numFmt w:val="none"/>
      <w:pStyle w:val="8"/>
      <w:suff w:val="nothing"/>
      <w:lvlText w:val=""/>
      <w:lvlJc w:val="left"/>
      <w:pPr>
        <w:ind w:left="0" w:firstLine="0"/>
      </w:pPr>
      <w:rPr>
        <w:rFonts w:hint="eastAsia"/>
      </w:rPr>
    </w:lvl>
    <w:lvl w:ilvl="6" w:tentative="0">
      <w:start w:val="1"/>
      <w:numFmt w:val="none"/>
      <w:pStyle w:val="9"/>
      <w:suff w:val="nothing"/>
      <w:lvlText w:val=""/>
      <w:lvlJc w:val="left"/>
      <w:pPr>
        <w:ind w:left="0" w:firstLine="0"/>
      </w:pPr>
      <w:rPr>
        <w:rFonts w:hint="eastAsia"/>
      </w:rPr>
    </w:lvl>
    <w:lvl w:ilvl="7" w:tentative="0">
      <w:start w:val="1"/>
      <w:numFmt w:val="none"/>
      <w:pStyle w:val="10"/>
      <w:suff w:val="nothing"/>
      <w:lvlText w:val=""/>
      <w:lvlJc w:val="left"/>
      <w:pPr>
        <w:ind w:left="0" w:firstLine="0"/>
      </w:pPr>
      <w:rPr>
        <w:rFonts w:hint="eastAsia"/>
      </w:rPr>
    </w:lvl>
    <w:lvl w:ilvl="8" w:tentative="0">
      <w:start w:val="1"/>
      <w:numFmt w:val="none"/>
      <w:pStyle w:val="11"/>
      <w:suff w:val="nothing"/>
      <w:lvlText w:val=""/>
      <w:lvlJc w:val="left"/>
      <w:pPr>
        <w:ind w:left="0" w:firstLine="0"/>
      </w:pPr>
      <w:rPr>
        <w:rFonts w:hint="eastAsia"/>
      </w:rPr>
    </w:lvl>
  </w:abstractNum>
  <w:abstractNum w:abstractNumId="5">
    <w:nsid w:val="4C601917"/>
    <w:multiLevelType w:val="singleLevel"/>
    <w:tmpl w:val="4C601917"/>
    <w:lvl w:ilvl="0" w:tentative="0">
      <w:start w:val="1"/>
      <w:numFmt w:val="decimal"/>
      <w:suff w:val="nothing"/>
      <w:lvlText w:val="（%1）"/>
      <w:lvlJc w:val="left"/>
    </w:lvl>
  </w:abstractNum>
  <w:num w:numId="1">
    <w:abstractNumId w:val="4"/>
  </w:num>
  <w:num w:numId="2">
    <w:abstractNumId w:val="2"/>
  </w:num>
  <w:num w:numId="3">
    <w:abstractNumId w:val="3"/>
  </w:num>
  <w:num w:numId="4">
    <w:abstractNumId w:val="5"/>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1"/>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1,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Q3MjgxNzFiNWYxMDA3NjZiZDRkYzY4NjkwMDNlMDYifQ=="/>
  </w:docVars>
  <w:rsids>
    <w:rsidRoot w:val="00F9008B"/>
    <w:rsid w:val="0000010C"/>
    <w:rsid w:val="00000D21"/>
    <w:rsid w:val="00000FE0"/>
    <w:rsid w:val="00001068"/>
    <w:rsid w:val="0000114A"/>
    <w:rsid w:val="00001731"/>
    <w:rsid w:val="00001C2D"/>
    <w:rsid w:val="00001C55"/>
    <w:rsid w:val="00001CA8"/>
    <w:rsid w:val="00001E29"/>
    <w:rsid w:val="00001FAE"/>
    <w:rsid w:val="00002291"/>
    <w:rsid w:val="00002644"/>
    <w:rsid w:val="00002667"/>
    <w:rsid w:val="00002DBF"/>
    <w:rsid w:val="00002EC0"/>
    <w:rsid w:val="000031BA"/>
    <w:rsid w:val="00003224"/>
    <w:rsid w:val="000033F5"/>
    <w:rsid w:val="000034EA"/>
    <w:rsid w:val="0000358C"/>
    <w:rsid w:val="000035F8"/>
    <w:rsid w:val="00003BEF"/>
    <w:rsid w:val="00003C8D"/>
    <w:rsid w:val="00004130"/>
    <w:rsid w:val="000042AD"/>
    <w:rsid w:val="0000431F"/>
    <w:rsid w:val="00004634"/>
    <w:rsid w:val="00004D8B"/>
    <w:rsid w:val="000059E2"/>
    <w:rsid w:val="00006AE7"/>
    <w:rsid w:val="00006B9B"/>
    <w:rsid w:val="00006C35"/>
    <w:rsid w:val="000072B1"/>
    <w:rsid w:val="00007329"/>
    <w:rsid w:val="00007E28"/>
    <w:rsid w:val="00007E84"/>
    <w:rsid w:val="00010401"/>
    <w:rsid w:val="000105A1"/>
    <w:rsid w:val="000107AD"/>
    <w:rsid w:val="00010835"/>
    <w:rsid w:val="000117F0"/>
    <w:rsid w:val="00011842"/>
    <w:rsid w:val="00012137"/>
    <w:rsid w:val="000121EE"/>
    <w:rsid w:val="000121FF"/>
    <w:rsid w:val="000125B8"/>
    <w:rsid w:val="00012692"/>
    <w:rsid w:val="00012B48"/>
    <w:rsid w:val="00013446"/>
    <w:rsid w:val="00013509"/>
    <w:rsid w:val="000135BC"/>
    <w:rsid w:val="000135DC"/>
    <w:rsid w:val="000136D6"/>
    <w:rsid w:val="00013979"/>
    <w:rsid w:val="00014085"/>
    <w:rsid w:val="0001496D"/>
    <w:rsid w:val="00014B4C"/>
    <w:rsid w:val="00014DD9"/>
    <w:rsid w:val="000151E4"/>
    <w:rsid w:val="000153D8"/>
    <w:rsid w:val="00015577"/>
    <w:rsid w:val="000156E4"/>
    <w:rsid w:val="000159A7"/>
    <w:rsid w:val="00015FB8"/>
    <w:rsid w:val="0001609F"/>
    <w:rsid w:val="0001635B"/>
    <w:rsid w:val="00016549"/>
    <w:rsid w:val="00016BF7"/>
    <w:rsid w:val="00016CD1"/>
    <w:rsid w:val="00016D20"/>
    <w:rsid w:val="0001767E"/>
    <w:rsid w:val="0001776D"/>
    <w:rsid w:val="00017C00"/>
    <w:rsid w:val="00017F31"/>
    <w:rsid w:val="00020607"/>
    <w:rsid w:val="000206AC"/>
    <w:rsid w:val="0002103A"/>
    <w:rsid w:val="000217E4"/>
    <w:rsid w:val="00021852"/>
    <w:rsid w:val="00021A12"/>
    <w:rsid w:val="00022622"/>
    <w:rsid w:val="00023363"/>
    <w:rsid w:val="0002350B"/>
    <w:rsid w:val="000235F3"/>
    <w:rsid w:val="00023644"/>
    <w:rsid w:val="00023712"/>
    <w:rsid w:val="0002476C"/>
    <w:rsid w:val="00024E3C"/>
    <w:rsid w:val="00024EB0"/>
    <w:rsid w:val="00025A93"/>
    <w:rsid w:val="0002646A"/>
    <w:rsid w:val="0002651D"/>
    <w:rsid w:val="00026CFD"/>
    <w:rsid w:val="000279F9"/>
    <w:rsid w:val="00027A11"/>
    <w:rsid w:val="00027C8B"/>
    <w:rsid w:val="00027CD9"/>
    <w:rsid w:val="00030242"/>
    <w:rsid w:val="00030B06"/>
    <w:rsid w:val="0003183A"/>
    <w:rsid w:val="00031CDC"/>
    <w:rsid w:val="00031DC8"/>
    <w:rsid w:val="0003263B"/>
    <w:rsid w:val="0003282C"/>
    <w:rsid w:val="0003304A"/>
    <w:rsid w:val="0003317E"/>
    <w:rsid w:val="00033413"/>
    <w:rsid w:val="000337F3"/>
    <w:rsid w:val="000349FF"/>
    <w:rsid w:val="00034C00"/>
    <w:rsid w:val="00034C27"/>
    <w:rsid w:val="00034E2A"/>
    <w:rsid w:val="0003577F"/>
    <w:rsid w:val="000361E7"/>
    <w:rsid w:val="00036466"/>
    <w:rsid w:val="0003675E"/>
    <w:rsid w:val="00036E0B"/>
    <w:rsid w:val="00037633"/>
    <w:rsid w:val="00037E9E"/>
    <w:rsid w:val="00037F87"/>
    <w:rsid w:val="00037FA2"/>
    <w:rsid w:val="000400D0"/>
    <w:rsid w:val="0004044E"/>
    <w:rsid w:val="0004106B"/>
    <w:rsid w:val="00041BE2"/>
    <w:rsid w:val="00042542"/>
    <w:rsid w:val="000425AC"/>
    <w:rsid w:val="00042F4A"/>
    <w:rsid w:val="0004397A"/>
    <w:rsid w:val="00043BE5"/>
    <w:rsid w:val="00044003"/>
    <w:rsid w:val="00044527"/>
    <w:rsid w:val="0004469E"/>
    <w:rsid w:val="0004484A"/>
    <w:rsid w:val="00044897"/>
    <w:rsid w:val="00044ACF"/>
    <w:rsid w:val="00044D83"/>
    <w:rsid w:val="00044E06"/>
    <w:rsid w:val="000454F4"/>
    <w:rsid w:val="00045670"/>
    <w:rsid w:val="00045D1E"/>
    <w:rsid w:val="00045E69"/>
    <w:rsid w:val="00045EF4"/>
    <w:rsid w:val="00046547"/>
    <w:rsid w:val="000466D7"/>
    <w:rsid w:val="00046753"/>
    <w:rsid w:val="00046B43"/>
    <w:rsid w:val="00047254"/>
    <w:rsid w:val="000472FD"/>
    <w:rsid w:val="00047DED"/>
    <w:rsid w:val="0005022B"/>
    <w:rsid w:val="00050771"/>
    <w:rsid w:val="00050EAA"/>
    <w:rsid w:val="000513F3"/>
    <w:rsid w:val="00051D50"/>
    <w:rsid w:val="00052287"/>
    <w:rsid w:val="000522E0"/>
    <w:rsid w:val="00052609"/>
    <w:rsid w:val="000532F4"/>
    <w:rsid w:val="000536AE"/>
    <w:rsid w:val="00054404"/>
    <w:rsid w:val="00054CD5"/>
    <w:rsid w:val="00054D03"/>
    <w:rsid w:val="00054EAD"/>
    <w:rsid w:val="000550AC"/>
    <w:rsid w:val="0005555B"/>
    <w:rsid w:val="0005580E"/>
    <w:rsid w:val="0005584D"/>
    <w:rsid w:val="00055CC3"/>
    <w:rsid w:val="00055CEE"/>
    <w:rsid w:val="00056543"/>
    <w:rsid w:val="000566FA"/>
    <w:rsid w:val="00056A2B"/>
    <w:rsid w:val="00056DC3"/>
    <w:rsid w:val="00056E37"/>
    <w:rsid w:val="00056EE2"/>
    <w:rsid w:val="00056FE2"/>
    <w:rsid w:val="000570FB"/>
    <w:rsid w:val="000575B8"/>
    <w:rsid w:val="00060131"/>
    <w:rsid w:val="0006026B"/>
    <w:rsid w:val="00060293"/>
    <w:rsid w:val="00061BDA"/>
    <w:rsid w:val="000621FE"/>
    <w:rsid w:val="00062B90"/>
    <w:rsid w:val="00062C70"/>
    <w:rsid w:val="00062DD0"/>
    <w:rsid w:val="00062E6F"/>
    <w:rsid w:val="000630C7"/>
    <w:rsid w:val="00063866"/>
    <w:rsid w:val="0006400F"/>
    <w:rsid w:val="000643DA"/>
    <w:rsid w:val="000645DD"/>
    <w:rsid w:val="00064D7E"/>
    <w:rsid w:val="00064F65"/>
    <w:rsid w:val="00064FD0"/>
    <w:rsid w:val="0006534A"/>
    <w:rsid w:val="00065A5D"/>
    <w:rsid w:val="00065BA2"/>
    <w:rsid w:val="000661CA"/>
    <w:rsid w:val="0006668D"/>
    <w:rsid w:val="00066F2B"/>
    <w:rsid w:val="00067002"/>
    <w:rsid w:val="0006710A"/>
    <w:rsid w:val="00067993"/>
    <w:rsid w:val="00067B1C"/>
    <w:rsid w:val="00067CED"/>
    <w:rsid w:val="00067D39"/>
    <w:rsid w:val="00067F66"/>
    <w:rsid w:val="0007041A"/>
    <w:rsid w:val="00070634"/>
    <w:rsid w:val="00070883"/>
    <w:rsid w:val="00070884"/>
    <w:rsid w:val="00070C3F"/>
    <w:rsid w:val="0007102C"/>
    <w:rsid w:val="00071D68"/>
    <w:rsid w:val="00071FCE"/>
    <w:rsid w:val="000723DF"/>
    <w:rsid w:val="00072661"/>
    <w:rsid w:val="00072CCC"/>
    <w:rsid w:val="00073549"/>
    <w:rsid w:val="00073A58"/>
    <w:rsid w:val="0007483E"/>
    <w:rsid w:val="000751DB"/>
    <w:rsid w:val="000752EB"/>
    <w:rsid w:val="0007578F"/>
    <w:rsid w:val="000759A3"/>
    <w:rsid w:val="00075E43"/>
    <w:rsid w:val="00077706"/>
    <w:rsid w:val="00077878"/>
    <w:rsid w:val="00077DE2"/>
    <w:rsid w:val="000804EF"/>
    <w:rsid w:val="00080558"/>
    <w:rsid w:val="00080B37"/>
    <w:rsid w:val="00081230"/>
    <w:rsid w:val="000814E2"/>
    <w:rsid w:val="000818C9"/>
    <w:rsid w:val="00081CBB"/>
    <w:rsid w:val="00081D42"/>
    <w:rsid w:val="000822EF"/>
    <w:rsid w:val="0008241E"/>
    <w:rsid w:val="000826F5"/>
    <w:rsid w:val="000829B1"/>
    <w:rsid w:val="000829ED"/>
    <w:rsid w:val="00082AAB"/>
    <w:rsid w:val="0008307D"/>
    <w:rsid w:val="000831E9"/>
    <w:rsid w:val="00083288"/>
    <w:rsid w:val="000833BB"/>
    <w:rsid w:val="0008452D"/>
    <w:rsid w:val="0008467B"/>
    <w:rsid w:val="000846E2"/>
    <w:rsid w:val="00084CA3"/>
    <w:rsid w:val="00084D57"/>
    <w:rsid w:val="000850FA"/>
    <w:rsid w:val="00085C12"/>
    <w:rsid w:val="00085DA0"/>
    <w:rsid w:val="00085F82"/>
    <w:rsid w:val="000863A8"/>
    <w:rsid w:val="000863E0"/>
    <w:rsid w:val="00086506"/>
    <w:rsid w:val="00086A76"/>
    <w:rsid w:val="00086B6E"/>
    <w:rsid w:val="00086C64"/>
    <w:rsid w:val="00086F41"/>
    <w:rsid w:val="0008781A"/>
    <w:rsid w:val="00090951"/>
    <w:rsid w:val="00090A61"/>
    <w:rsid w:val="00090CC4"/>
    <w:rsid w:val="000918F5"/>
    <w:rsid w:val="000919B5"/>
    <w:rsid w:val="00091C1D"/>
    <w:rsid w:val="00091E08"/>
    <w:rsid w:val="00091E29"/>
    <w:rsid w:val="000922D8"/>
    <w:rsid w:val="000932E7"/>
    <w:rsid w:val="0009333A"/>
    <w:rsid w:val="00093459"/>
    <w:rsid w:val="00093B12"/>
    <w:rsid w:val="00093B8B"/>
    <w:rsid w:val="000951E7"/>
    <w:rsid w:val="00095B82"/>
    <w:rsid w:val="00096098"/>
    <w:rsid w:val="000961C5"/>
    <w:rsid w:val="000968AF"/>
    <w:rsid w:val="000969D9"/>
    <w:rsid w:val="00096F37"/>
    <w:rsid w:val="00097FE5"/>
    <w:rsid w:val="000A0354"/>
    <w:rsid w:val="000A091F"/>
    <w:rsid w:val="000A0958"/>
    <w:rsid w:val="000A0FCC"/>
    <w:rsid w:val="000A1033"/>
    <w:rsid w:val="000A2712"/>
    <w:rsid w:val="000A2877"/>
    <w:rsid w:val="000A2D31"/>
    <w:rsid w:val="000A355D"/>
    <w:rsid w:val="000A35DA"/>
    <w:rsid w:val="000A371E"/>
    <w:rsid w:val="000A3DE5"/>
    <w:rsid w:val="000A4011"/>
    <w:rsid w:val="000A4397"/>
    <w:rsid w:val="000A45D5"/>
    <w:rsid w:val="000A490E"/>
    <w:rsid w:val="000A5B49"/>
    <w:rsid w:val="000A5FE5"/>
    <w:rsid w:val="000A688F"/>
    <w:rsid w:val="000A7218"/>
    <w:rsid w:val="000A740A"/>
    <w:rsid w:val="000A7446"/>
    <w:rsid w:val="000A7A56"/>
    <w:rsid w:val="000A7E7F"/>
    <w:rsid w:val="000A7ECD"/>
    <w:rsid w:val="000B04DD"/>
    <w:rsid w:val="000B09CC"/>
    <w:rsid w:val="000B0F01"/>
    <w:rsid w:val="000B12F8"/>
    <w:rsid w:val="000B1346"/>
    <w:rsid w:val="000B1771"/>
    <w:rsid w:val="000B1795"/>
    <w:rsid w:val="000B1914"/>
    <w:rsid w:val="000B19DC"/>
    <w:rsid w:val="000B1CA2"/>
    <w:rsid w:val="000B202E"/>
    <w:rsid w:val="000B2293"/>
    <w:rsid w:val="000B24A4"/>
    <w:rsid w:val="000B255A"/>
    <w:rsid w:val="000B255C"/>
    <w:rsid w:val="000B292B"/>
    <w:rsid w:val="000B395E"/>
    <w:rsid w:val="000B39C3"/>
    <w:rsid w:val="000B3A00"/>
    <w:rsid w:val="000B3BFD"/>
    <w:rsid w:val="000B4840"/>
    <w:rsid w:val="000B4D79"/>
    <w:rsid w:val="000B5627"/>
    <w:rsid w:val="000B5671"/>
    <w:rsid w:val="000B6BF0"/>
    <w:rsid w:val="000B6CE8"/>
    <w:rsid w:val="000B7DAF"/>
    <w:rsid w:val="000C01A9"/>
    <w:rsid w:val="000C040D"/>
    <w:rsid w:val="000C048E"/>
    <w:rsid w:val="000C0555"/>
    <w:rsid w:val="000C071C"/>
    <w:rsid w:val="000C0B35"/>
    <w:rsid w:val="000C0BB4"/>
    <w:rsid w:val="000C0BEE"/>
    <w:rsid w:val="000C1CB9"/>
    <w:rsid w:val="000C2159"/>
    <w:rsid w:val="000C21BB"/>
    <w:rsid w:val="000C289B"/>
    <w:rsid w:val="000C34B8"/>
    <w:rsid w:val="000C38F3"/>
    <w:rsid w:val="000C3B86"/>
    <w:rsid w:val="000C3F01"/>
    <w:rsid w:val="000C420D"/>
    <w:rsid w:val="000C4773"/>
    <w:rsid w:val="000C4944"/>
    <w:rsid w:val="000C4E24"/>
    <w:rsid w:val="000C591F"/>
    <w:rsid w:val="000C5C4A"/>
    <w:rsid w:val="000C5F01"/>
    <w:rsid w:val="000C63C4"/>
    <w:rsid w:val="000C66C1"/>
    <w:rsid w:val="000C6F0B"/>
    <w:rsid w:val="000C6F32"/>
    <w:rsid w:val="000C708E"/>
    <w:rsid w:val="000C778C"/>
    <w:rsid w:val="000C7833"/>
    <w:rsid w:val="000C788D"/>
    <w:rsid w:val="000C7DFB"/>
    <w:rsid w:val="000C7E1B"/>
    <w:rsid w:val="000C7E73"/>
    <w:rsid w:val="000D001B"/>
    <w:rsid w:val="000D0A45"/>
    <w:rsid w:val="000D136E"/>
    <w:rsid w:val="000D14AC"/>
    <w:rsid w:val="000D15BA"/>
    <w:rsid w:val="000D182B"/>
    <w:rsid w:val="000D28F2"/>
    <w:rsid w:val="000D2C9B"/>
    <w:rsid w:val="000D35FD"/>
    <w:rsid w:val="000D3D2D"/>
    <w:rsid w:val="000D3D99"/>
    <w:rsid w:val="000D4653"/>
    <w:rsid w:val="000D4696"/>
    <w:rsid w:val="000D4817"/>
    <w:rsid w:val="000D4FB9"/>
    <w:rsid w:val="000D54B4"/>
    <w:rsid w:val="000D54F8"/>
    <w:rsid w:val="000D584B"/>
    <w:rsid w:val="000D5F3E"/>
    <w:rsid w:val="000D5F55"/>
    <w:rsid w:val="000D6372"/>
    <w:rsid w:val="000D6979"/>
    <w:rsid w:val="000D6CE7"/>
    <w:rsid w:val="000D6E38"/>
    <w:rsid w:val="000D6E63"/>
    <w:rsid w:val="000D711C"/>
    <w:rsid w:val="000D751F"/>
    <w:rsid w:val="000D7B6E"/>
    <w:rsid w:val="000E042A"/>
    <w:rsid w:val="000E0644"/>
    <w:rsid w:val="000E076D"/>
    <w:rsid w:val="000E08F0"/>
    <w:rsid w:val="000E0CD2"/>
    <w:rsid w:val="000E187C"/>
    <w:rsid w:val="000E1B28"/>
    <w:rsid w:val="000E1E8D"/>
    <w:rsid w:val="000E1EBC"/>
    <w:rsid w:val="000E2173"/>
    <w:rsid w:val="000E220B"/>
    <w:rsid w:val="000E2A50"/>
    <w:rsid w:val="000E30F2"/>
    <w:rsid w:val="000E316B"/>
    <w:rsid w:val="000E3D08"/>
    <w:rsid w:val="000E4728"/>
    <w:rsid w:val="000E4D1F"/>
    <w:rsid w:val="000E5658"/>
    <w:rsid w:val="000E5698"/>
    <w:rsid w:val="000E5723"/>
    <w:rsid w:val="000E581B"/>
    <w:rsid w:val="000E58B4"/>
    <w:rsid w:val="000E6114"/>
    <w:rsid w:val="000E65D2"/>
    <w:rsid w:val="000E6919"/>
    <w:rsid w:val="000E6B1B"/>
    <w:rsid w:val="000E6F0C"/>
    <w:rsid w:val="000E719D"/>
    <w:rsid w:val="000E732D"/>
    <w:rsid w:val="000F07ED"/>
    <w:rsid w:val="000F0CF2"/>
    <w:rsid w:val="000F14F6"/>
    <w:rsid w:val="000F1A32"/>
    <w:rsid w:val="000F1CC2"/>
    <w:rsid w:val="000F1D15"/>
    <w:rsid w:val="000F270A"/>
    <w:rsid w:val="000F34C8"/>
    <w:rsid w:val="000F38BC"/>
    <w:rsid w:val="000F3CB7"/>
    <w:rsid w:val="000F3E2A"/>
    <w:rsid w:val="000F4D26"/>
    <w:rsid w:val="000F4E7B"/>
    <w:rsid w:val="000F5639"/>
    <w:rsid w:val="000F58A4"/>
    <w:rsid w:val="000F6833"/>
    <w:rsid w:val="000F6A24"/>
    <w:rsid w:val="000F7616"/>
    <w:rsid w:val="000F7DE9"/>
    <w:rsid w:val="000F7F7A"/>
    <w:rsid w:val="0010004B"/>
    <w:rsid w:val="001002F4"/>
    <w:rsid w:val="001005B4"/>
    <w:rsid w:val="001011FC"/>
    <w:rsid w:val="0010165F"/>
    <w:rsid w:val="001018C1"/>
    <w:rsid w:val="00101E7C"/>
    <w:rsid w:val="00102260"/>
    <w:rsid w:val="001023DC"/>
    <w:rsid w:val="0010256D"/>
    <w:rsid w:val="00102572"/>
    <w:rsid w:val="00102946"/>
    <w:rsid w:val="00102FBF"/>
    <w:rsid w:val="0010333D"/>
    <w:rsid w:val="0010372A"/>
    <w:rsid w:val="00103F41"/>
    <w:rsid w:val="00104E77"/>
    <w:rsid w:val="00104F34"/>
    <w:rsid w:val="00104F3E"/>
    <w:rsid w:val="001053C5"/>
    <w:rsid w:val="001055AD"/>
    <w:rsid w:val="00105C14"/>
    <w:rsid w:val="001061F4"/>
    <w:rsid w:val="001065A3"/>
    <w:rsid w:val="0010691D"/>
    <w:rsid w:val="00106B33"/>
    <w:rsid w:val="00106E69"/>
    <w:rsid w:val="0010733E"/>
    <w:rsid w:val="0011064F"/>
    <w:rsid w:val="00110AC5"/>
    <w:rsid w:val="00110C48"/>
    <w:rsid w:val="00110F0B"/>
    <w:rsid w:val="0011108B"/>
    <w:rsid w:val="00111136"/>
    <w:rsid w:val="00111164"/>
    <w:rsid w:val="00111761"/>
    <w:rsid w:val="00112164"/>
    <w:rsid w:val="0011241F"/>
    <w:rsid w:val="001128BF"/>
    <w:rsid w:val="00112D09"/>
    <w:rsid w:val="00112F03"/>
    <w:rsid w:val="00112F38"/>
    <w:rsid w:val="00113821"/>
    <w:rsid w:val="0011394B"/>
    <w:rsid w:val="00113CEE"/>
    <w:rsid w:val="00114058"/>
    <w:rsid w:val="00114342"/>
    <w:rsid w:val="0011449E"/>
    <w:rsid w:val="0011460B"/>
    <w:rsid w:val="001153EF"/>
    <w:rsid w:val="001159B0"/>
    <w:rsid w:val="00115D55"/>
    <w:rsid w:val="00115E45"/>
    <w:rsid w:val="00115F85"/>
    <w:rsid w:val="00115FD1"/>
    <w:rsid w:val="001165CC"/>
    <w:rsid w:val="0011688E"/>
    <w:rsid w:val="00116ACD"/>
    <w:rsid w:val="001171C6"/>
    <w:rsid w:val="00117B7D"/>
    <w:rsid w:val="00120026"/>
    <w:rsid w:val="001205A8"/>
    <w:rsid w:val="00120948"/>
    <w:rsid w:val="0012180B"/>
    <w:rsid w:val="001218A4"/>
    <w:rsid w:val="00122A64"/>
    <w:rsid w:val="001234F2"/>
    <w:rsid w:val="00123641"/>
    <w:rsid w:val="0012388A"/>
    <w:rsid w:val="0012388C"/>
    <w:rsid w:val="00123AFA"/>
    <w:rsid w:val="00123C8C"/>
    <w:rsid w:val="00123D68"/>
    <w:rsid w:val="00123E8B"/>
    <w:rsid w:val="00124B43"/>
    <w:rsid w:val="00124DF8"/>
    <w:rsid w:val="001253EA"/>
    <w:rsid w:val="00125B99"/>
    <w:rsid w:val="00126160"/>
    <w:rsid w:val="00126DB5"/>
    <w:rsid w:val="00127178"/>
    <w:rsid w:val="00127D2B"/>
    <w:rsid w:val="00127F09"/>
    <w:rsid w:val="0013002A"/>
    <w:rsid w:val="0013085D"/>
    <w:rsid w:val="0013089C"/>
    <w:rsid w:val="00130A2D"/>
    <w:rsid w:val="00130F54"/>
    <w:rsid w:val="00131888"/>
    <w:rsid w:val="00131F17"/>
    <w:rsid w:val="001323F9"/>
    <w:rsid w:val="0013251F"/>
    <w:rsid w:val="00132FA3"/>
    <w:rsid w:val="00133088"/>
    <w:rsid w:val="00133346"/>
    <w:rsid w:val="001335B1"/>
    <w:rsid w:val="0013372D"/>
    <w:rsid w:val="00133733"/>
    <w:rsid w:val="00133B4E"/>
    <w:rsid w:val="00133D47"/>
    <w:rsid w:val="001346AF"/>
    <w:rsid w:val="00134990"/>
    <w:rsid w:val="00134AD9"/>
    <w:rsid w:val="00135416"/>
    <w:rsid w:val="001354D1"/>
    <w:rsid w:val="00135517"/>
    <w:rsid w:val="001355E7"/>
    <w:rsid w:val="00135A0A"/>
    <w:rsid w:val="00135BB9"/>
    <w:rsid w:val="0013621D"/>
    <w:rsid w:val="00136354"/>
    <w:rsid w:val="00136674"/>
    <w:rsid w:val="00136B0E"/>
    <w:rsid w:val="00136C3B"/>
    <w:rsid w:val="00136E7E"/>
    <w:rsid w:val="00137103"/>
    <w:rsid w:val="001376AB"/>
    <w:rsid w:val="0013777C"/>
    <w:rsid w:val="00137D5F"/>
    <w:rsid w:val="00137EF0"/>
    <w:rsid w:val="00140082"/>
    <w:rsid w:val="00140175"/>
    <w:rsid w:val="00140757"/>
    <w:rsid w:val="00140B62"/>
    <w:rsid w:val="00140D07"/>
    <w:rsid w:val="00141A3A"/>
    <w:rsid w:val="001422F4"/>
    <w:rsid w:val="001423FA"/>
    <w:rsid w:val="0014258D"/>
    <w:rsid w:val="001427B5"/>
    <w:rsid w:val="001428CF"/>
    <w:rsid w:val="00142C63"/>
    <w:rsid w:val="00142D0C"/>
    <w:rsid w:val="00142E3C"/>
    <w:rsid w:val="00143DA5"/>
    <w:rsid w:val="00144013"/>
    <w:rsid w:val="001454B8"/>
    <w:rsid w:val="00145A17"/>
    <w:rsid w:val="00145BBE"/>
    <w:rsid w:val="00145D7F"/>
    <w:rsid w:val="001460B5"/>
    <w:rsid w:val="0014641F"/>
    <w:rsid w:val="001464A8"/>
    <w:rsid w:val="00146618"/>
    <w:rsid w:val="001467BB"/>
    <w:rsid w:val="00146AB3"/>
    <w:rsid w:val="00146CA8"/>
    <w:rsid w:val="001472A5"/>
    <w:rsid w:val="00147884"/>
    <w:rsid w:val="00150669"/>
    <w:rsid w:val="00150827"/>
    <w:rsid w:val="00150B0D"/>
    <w:rsid w:val="00151E31"/>
    <w:rsid w:val="00151F9B"/>
    <w:rsid w:val="00152095"/>
    <w:rsid w:val="00152289"/>
    <w:rsid w:val="00152425"/>
    <w:rsid w:val="00152A7F"/>
    <w:rsid w:val="00152BAD"/>
    <w:rsid w:val="00152CE3"/>
    <w:rsid w:val="00153652"/>
    <w:rsid w:val="00153697"/>
    <w:rsid w:val="00153956"/>
    <w:rsid w:val="00153B95"/>
    <w:rsid w:val="00154146"/>
    <w:rsid w:val="00154190"/>
    <w:rsid w:val="001545EA"/>
    <w:rsid w:val="001549BA"/>
    <w:rsid w:val="00154FFC"/>
    <w:rsid w:val="00155099"/>
    <w:rsid w:val="001553F5"/>
    <w:rsid w:val="00155C85"/>
    <w:rsid w:val="00156A6C"/>
    <w:rsid w:val="00156B10"/>
    <w:rsid w:val="00157823"/>
    <w:rsid w:val="0015790D"/>
    <w:rsid w:val="00157C5E"/>
    <w:rsid w:val="0016015A"/>
    <w:rsid w:val="0016020E"/>
    <w:rsid w:val="00160503"/>
    <w:rsid w:val="0016069D"/>
    <w:rsid w:val="00160701"/>
    <w:rsid w:val="00160D7C"/>
    <w:rsid w:val="00160E30"/>
    <w:rsid w:val="0016106D"/>
    <w:rsid w:val="001612E1"/>
    <w:rsid w:val="001614DB"/>
    <w:rsid w:val="0016194E"/>
    <w:rsid w:val="0016236C"/>
    <w:rsid w:val="00162625"/>
    <w:rsid w:val="001630A8"/>
    <w:rsid w:val="001634C7"/>
    <w:rsid w:val="00163826"/>
    <w:rsid w:val="00163943"/>
    <w:rsid w:val="00163BA1"/>
    <w:rsid w:val="00163F22"/>
    <w:rsid w:val="0016417B"/>
    <w:rsid w:val="0016470E"/>
    <w:rsid w:val="001649C2"/>
    <w:rsid w:val="00164E0A"/>
    <w:rsid w:val="0016520F"/>
    <w:rsid w:val="001652D7"/>
    <w:rsid w:val="001658E1"/>
    <w:rsid w:val="0016596E"/>
    <w:rsid w:val="00165A5F"/>
    <w:rsid w:val="00166223"/>
    <w:rsid w:val="00166492"/>
    <w:rsid w:val="001670D8"/>
    <w:rsid w:val="0016793E"/>
    <w:rsid w:val="00167D4D"/>
    <w:rsid w:val="00167EE8"/>
    <w:rsid w:val="00167F70"/>
    <w:rsid w:val="00170635"/>
    <w:rsid w:val="0017070D"/>
    <w:rsid w:val="00170837"/>
    <w:rsid w:val="00171035"/>
    <w:rsid w:val="001713B7"/>
    <w:rsid w:val="00171ADB"/>
    <w:rsid w:val="00172029"/>
    <w:rsid w:val="0017329D"/>
    <w:rsid w:val="001733A4"/>
    <w:rsid w:val="00173AB9"/>
    <w:rsid w:val="00173EED"/>
    <w:rsid w:val="001742B6"/>
    <w:rsid w:val="00174368"/>
    <w:rsid w:val="001744EA"/>
    <w:rsid w:val="00174D82"/>
    <w:rsid w:val="00174E44"/>
    <w:rsid w:val="00175053"/>
    <w:rsid w:val="001753B7"/>
    <w:rsid w:val="001757E7"/>
    <w:rsid w:val="00175873"/>
    <w:rsid w:val="0017592E"/>
    <w:rsid w:val="00175C59"/>
    <w:rsid w:val="001760BC"/>
    <w:rsid w:val="00176674"/>
    <w:rsid w:val="00176818"/>
    <w:rsid w:val="00176B82"/>
    <w:rsid w:val="00176E3B"/>
    <w:rsid w:val="00176ECB"/>
    <w:rsid w:val="0017716E"/>
    <w:rsid w:val="0017752D"/>
    <w:rsid w:val="0017759F"/>
    <w:rsid w:val="00177832"/>
    <w:rsid w:val="00177D48"/>
    <w:rsid w:val="0018036F"/>
    <w:rsid w:val="00181178"/>
    <w:rsid w:val="0018119E"/>
    <w:rsid w:val="00181EEF"/>
    <w:rsid w:val="00181F3E"/>
    <w:rsid w:val="00182FE0"/>
    <w:rsid w:val="00183911"/>
    <w:rsid w:val="001845FB"/>
    <w:rsid w:val="00184B10"/>
    <w:rsid w:val="00184CDD"/>
    <w:rsid w:val="00184DAB"/>
    <w:rsid w:val="00185490"/>
    <w:rsid w:val="00185634"/>
    <w:rsid w:val="00185756"/>
    <w:rsid w:val="00185DA6"/>
    <w:rsid w:val="00185F51"/>
    <w:rsid w:val="00185F64"/>
    <w:rsid w:val="00186096"/>
    <w:rsid w:val="001867AB"/>
    <w:rsid w:val="00186F7C"/>
    <w:rsid w:val="0018772E"/>
    <w:rsid w:val="00187A94"/>
    <w:rsid w:val="00190188"/>
    <w:rsid w:val="0019029E"/>
    <w:rsid w:val="00190329"/>
    <w:rsid w:val="00190804"/>
    <w:rsid w:val="0019088F"/>
    <w:rsid w:val="00190C51"/>
    <w:rsid w:val="001914F6"/>
    <w:rsid w:val="001917E7"/>
    <w:rsid w:val="00191C95"/>
    <w:rsid w:val="00192476"/>
    <w:rsid w:val="00192FA5"/>
    <w:rsid w:val="0019336B"/>
    <w:rsid w:val="001939A6"/>
    <w:rsid w:val="00193ACC"/>
    <w:rsid w:val="00193B31"/>
    <w:rsid w:val="00193BFE"/>
    <w:rsid w:val="00194E7E"/>
    <w:rsid w:val="00195322"/>
    <w:rsid w:val="0019560E"/>
    <w:rsid w:val="00195702"/>
    <w:rsid w:val="001958E3"/>
    <w:rsid w:val="0019601B"/>
    <w:rsid w:val="00196048"/>
    <w:rsid w:val="00196A82"/>
    <w:rsid w:val="001970B8"/>
    <w:rsid w:val="0019726A"/>
    <w:rsid w:val="0019769B"/>
    <w:rsid w:val="00197FFE"/>
    <w:rsid w:val="001A0D25"/>
    <w:rsid w:val="001A0FD8"/>
    <w:rsid w:val="001A1454"/>
    <w:rsid w:val="001A1570"/>
    <w:rsid w:val="001A1917"/>
    <w:rsid w:val="001A1C64"/>
    <w:rsid w:val="001A1E7F"/>
    <w:rsid w:val="001A228D"/>
    <w:rsid w:val="001A2918"/>
    <w:rsid w:val="001A2D02"/>
    <w:rsid w:val="001A2DFE"/>
    <w:rsid w:val="001A3076"/>
    <w:rsid w:val="001A3120"/>
    <w:rsid w:val="001A31A5"/>
    <w:rsid w:val="001A389C"/>
    <w:rsid w:val="001A3B75"/>
    <w:rsid w:val="001A44EB"/>
    <w:rsid w:val="001A46FB"/>
    <w:rsid w:val="001A4F7C"/>
    <w:rsid w:val="001A5944"/>
    <w:rsid w:val="001A5FB1"/>
    <w:rsid w:val="001A698A"/>
    <w:rsid w:val="001A6CCC"/>
    <w:rsid w:val="001A70C8"/>
    <w:rsid w:val="001A71C9"/>
    <w:rsid w:val="001A7429"/>
    <w:rsid w:val="001A75A7"/>
    <w:rsid w:val="001A760C"/>
    <w:rsid w:val="001A799B"/>
    <w:rsid w:val="001A7AC7"/>
    <w:rsid w:val="001A7C38"/>
    <w:rsid w:val="001B02F8"/>
    <w:rsid w:val="001B2104"/>
    <w:rsid w:val="001B2279"/>
    <w:rsid w:val="001B2729"/>
    <w:rsid w:val="001B2866"/>
    <w:rsid w:val="001B2881"/>
    <w:rsid w:val="001B34A3"/>
    <w:rsid w:val="001B3675"/>
    <w:rsid w:val="001B37C8"/>
    <w:rsid w:val="001B4B2C"/>
    <w:rsid w:val="001B4D51"/>
    <w:rsid w:val="001B4F10"/>
    <w:rsid w:val="001B5026"/>
    <w:rsid w:val="001B5154"/>
    <w:rsid w:val="001B5B75"/>
    <w:rsid w:val="001B6E30"/>
    <w:rsid w:val="001B6E81"/>
    <w:rsid w:val="001B7C83"/>
    <w:rsid w:val="001B7F9E"/>
    <w:rsid w:val="001C0206"/>
    <w:rsid w:val="001C0246"/>
    <w:rsid w:val="001C04D4"/>
    <w:rsid w:val="001C0894"/>
    <w:rsid w:val="001C0B34"/>
    <w:rsid w:val="001C10F1"/>
    <w:rsid w:val="001C12A3"/>
    <w:rsid w:val="001C17BB"/>
    <w:rsid w:val="001C187E"/>
    <w:rsid w:val="001C1A37"/>
    <w:rsid w:val="001C1C49"/>
    <w:rsid w:val="001C286F"/>
    <w:rsid w:val="001C2B86"/>
    <w:rsid w:val="001C2F54"/>
    <w:rsid w:val="001C2FBE"/>
    <w:rsid w:val="001C3308"/>
    <w:rsid w:val="001C3BBB"/>
    <w:rsid w:val="001C3E3B"/>
    <w:rsid w:val="001C40D1"/>
    <w:rsid w:val="001C446F"/>
    <w:rsid w:val="001C468A"/>
    <w:rsid w:val="001C4A38"/>
    <w:rsid w:val="001C4A9E"/>
    <w:rsid w:val="001C5001"/>
    <w:rsid w:val="001C5103"/>
    <w:rsid w:val="001C52A8"/>
    <w:rsid w:val="001C5ADF"/>
    <w:rsid w:val="001C5E8E"/>
    <w:rsid w:val="001C6120"/>
    <w:rsid w:val="001C6516"/>
    <w:rsid w:val="001C6B5C"/>
    <w:rsid w:val="001C7155"/>
    <w:rsid w:val="001C71D9"/>
    <w:rsid w:val="001C7E48"/>
    <w:rsid w:val="001D039B"/>
    <w:rsid w:val="001D10B1"/>
    <w:rsid w:val="001D1162"/>
    <w:rsid w:val="001D1258"/>
    <w:rsid w:val="001D12A2"/>
    <w:rsid w:val="001D1358"/>
    <w:rsid w:val="001D14AB"/>
    <w:rsid w:val="001D1AB8"/>
    <w:rsid w:val="001D286F"/>
    <w:rsid w:val="001D2C94"/>
    <w:rsid w:val="001D33D9"/>
    <w:rsid w:val="001D36F6"/>
    <w:rsid w:val="001D3D5F"/>
    <w:rsid w:val="001D4303"/>
    <w:rsid w:val="001D45E5"/>
    <w:rsid w:val="001D461A"/>
    <w:rsid w:val="001D4A9D"/>
    <w:rsid w:val="001D4AAD"/>
    <w:rsid w:val="001D5744"/>
    <w:rsid w:val="001D5AFA"/>
    <w:rsid w:val="001D5EBB"/>
    <w:rsid w:val="001D7177"/>
    <w:rsid w:val="001D756E"/>
    <w:rsid w:val="001D784A"/>
    <w:rsid w:val="001D798F"/>
    <w:rsid w:val="001E04A4"/>
    <w:rsid w:val="001E04EE"/>
    <w:rsid w:val="001E07C5"/>
    <w:rsid w:val="001E176D"/>
    <w:rsid w:val="001E1BCE"/>
    <w:rsid w:val="001E1E05"/>
    <w:rsid w:val="001E2086"/>
    <w:rsid w:val="001E2CED"/>
    <w:rsid w:val="001E339F"/>
    <w:rsid w:val="001E3629"/>
    <w:rsid w:val="001E3B2C"/>
    <w:rsid w:val="001E40F0"/>
    <w:rsid w:val="001E4172"/>
    <w:rsid w:val="001E4AC7"/>
    <w:rsid w:val="001E5490"/>
    <w:rsid w:val="001E5513"/>
    <w:rsid w:val="001E5730"/>
    <w:rsid w:val="001E5E2E"/>
    <w:rsid w:val="001E6352"/>
    <w:rsid w:val="001E70AD"/>
    <w:rsid w:val="001E7237"/>
    <w:rsid w:val="001E7AF6"/>
    <w:rsid w:val="001E7FBF"/>
    <w:rsid w:val="001F01B8"/>
    <w:rsid w:val="001F0FC3"/>
    <w:rsid w:val="001F1188"/>
    <w:rsid w:val="001F1B48"/>
    <w:rsid w:val="001F1B8D"/>
    <w:rsid w:val="001F274F"/>
    <w:rsid w:val="001F289C"/>
    <w:rsid w:val="001F2BF9"/>
    <w:rsid w:val="001F3AF2"/>
    <w:rsid w:val="001F6008"/>
    <w:rsid w:val="001F641B"/>
    <w:rsid w:val="001F6C19"/>
    <w:rsid w:val="001F6D4D"/>
    <w:rsid w:val="001F7C00"/>
    <w:rsid w:val="001F7F74"/>
    <w:rsid w:val="0020042C"/>
    <w:rsid w:val="002009A3"/>
    <w:rsid w:val="00200F1A"/>
    <w:rsid w:val="0020130D"/>
    <w:rsid w:val="00201351"/>
    <w:rsid w:val="00201D06"/>
    <w:rsid w:val="00201E9F"/>
    <w:rsid w:val="00202790"/>
    <w:rsid w:val="00202F25"/>
    <w:rsid w:val="002030F4"/>
    <w:rsid w:val="002035B3"/>
    <w:rsid w:val="00203929"/>
    <w:rsid w:val="00203CD6"/>
    <w:rsid w:val="00203F0A"/>
    <w:rsid w:val="00204460"/>
    <w:rsid w:val="00205045"/>
    <w:rsid w:val="00205151"/>
    <w:rsid w:val="002051EA"/>
    <w:rsid w:val="00205CBC"/>
    <w:rsid w:val="00205E9E"/>
    <w:rsid w:val="00206259"/>
    <w:rsid w:val="0020699C"/>
    <w:rsid w:val="00206CE5"/>
    <w:rsid w:val="00206D87"/>
    <w:rsid w:val="002074B7"/>
    <w:rsid w:val="0020758D"/>
    <w:rsid w:val="0020769E"/>
    <w:rsid w:val="00207C7B"/>
    <w:rsid w:val="00211470"/>
    <w:rsid w:val="00211922"/>
    <w:rsid w:val="0021213A"/>
    <w:rsid w:val="0021265F"/>
    <w:rsid w:val="00213562"/>
    <w:rsid w:val="00213817"/>
    <w:rsid w:val="00214428"/>
    <w:rsid w:val="002145EB"/>
    <w:rsid w:val="002150DE"/>
    <w:rsid w:val="00215834"/>
    <w:rsid w:val="00215CC2"/>
    <w:rsid w:val="00215ED8"/>
    <w:rsid w:val="00217700"/>
    <w:rsid w:val="002177E2"/>
    <w:rsid w:val="00217ACC"/>
    <w:rsid w:val="002205F3"/>
    <w:rsid w:val="0022085B"/>
    <w:rsid w:val="00220E53"/>
    <w:rsid w:val="0022176C"/>
    <w:rsid w:val="002225D1"/>
    <w:rsid w:val="00222F73"/>
    <w:rsid w:val="002230FA"/>
    <w:rsid w:val="002235D9"/>
    <w:rsid w:val="00223A2D"/>
    <w:rsid w:val="00223A8E"/>
    <w:rsid w:val="00223AB9"/>
    <w:rsid w:val="00223DF2"/>
    <w:rsid w:val="00224737"/>
    <w:rsid w:val="00224C0C"/>
    <w:rsid w:val="00225323"/>
    <w:rsid w:val="002256C2"/>
    <w:rsid w:val="002256D0"/>
    <w:rsid w:val="00225C8E"/>
    <w:rsid w:val="00226428"/>
    <w:rsid w:val="002265A9"/>
    <w:rsid w:val="002266CB"/>
    <w:rsid w:val="00226777"/>
    <w:rsid w:val="00226DC6"/>
    <w:rsid w:val="0022701E"/>
    <w:rsid w:val="00227052"/>
    <w:rsid w:val="002272D5"/>
    <w:rsid w:val="0022738E"/>
    <w:rsid w:val="002278AB"/>
    <w:rsid w:val="00227906"/>
    <w:rsid w:val="00227934"/>
    <w:rsid w:val="00227E21"/>
    <w:rsid w:val="00230178"/>
    <w:rsid w:val="00231D05"/>
    <w:rsid w:val="002321D9"/>
    <w:rsid w:val="00233056"/>
    <w:rsid w:val="002336E2"/>
    <w:rsid w:val="00233AC2"/>
    <w:rsid w:val="00233BAF"/>
    <w:rsid w:val="0023484F"/>
    <w:rsid w:val="00235420"/>
    <w:rsid w:val="002356A5"/>
    <w:rsid w:val="00235DAA"/>
    <w:rsid w:val="002402C5"/>
    <w:rsid w:val="0024065B"/>
    <w:rsid w:val="002409A6"/>
    <w:rsid w:val="00240EA5"/>
    <w:rsid w:val="00241132"/>
    <w:rsid w:val="00241205"/>
    <w:rsid w:val="00241619"/>
    <w:rsid w:val="002418C5"/>
    <w:rsid w:val="002419ED"/>
    <w:rsid w:val="0024261D"/>
    <w:rsid w:val="00242DFB"/>
    <w:rsid w:val="00243807"/>
    <w:rsid w:val="00243F3C"/>
    <w:rsid w:val="002440AC"/>
    <w:rsid w:val="00244365"/>
    <w:rsid w:val="0024459A"/>
    <w:rsid w:val="00244771"/>
    <w:rsid w:val="00244903"/>
    <w:rsid w:val="00244AFB"/>
    <w:rsid w:val="002453DF"/>
    <w:rsid w:val="00245A81"/>
    <w:rsid w:val="00246B86"/>
    <w:rsid w:val="00246C79"/>
    <w:rsid w:val="00247335"/>
    <w:rsid w:val="002473EF"/>
    <w:rsid w:val="002477B9"/>
    <w:rsid w:val="00247CBE"/>
    <w:rsid w:val="00250100"/>
    <w:rsid w:val="00250A1F"/>
    <w:rsid w:val="00250ADA"/>
    <w:rsid w:val="00250F1D"/>
    <w:rsid w:val="0025106A"/>
    <w:rsid w:val="0025194E"/>
    <w:rsid w:val="00251FF1"/>
    <w:rsid w:val="002520BA"/>
    <w:rsid w:val="00252234"/>
    <w:rsid w:val="002527AF"/>
    <w:rsid w:val="002528E3"/>
    <w:rsid w:val="00252944"/>
    <w:rsid w:val="00252D55"/>
    <w:rsid w:val="00252D82"/>
    <w:rsid w:val="00253006"/>
    <w:rsid w:val="002533F5"/>
    <w:rsid w:val="00253424"/>
    <w:rsid w:val="002538CE"/>
    <w:rsid w:val="00253C60"/>
    <w:rsid w:val="00253F21"/>
    <w:rsid w:val="0025429D"/>
    <w:rsid w:val="002549E9"/>
    <w:rsid w:val="00254FF6"/>
    <w:rsid w:val="00255099"/>
    <w:rsid w:val="002555C6"/>
    <w:rsid w:val="002558D8"/>
    <w:rsid w:val="00255E14"/>
    <w:rsid w:val="0025615C"/>
    <w:rsid w:val="00257059"/>
    <w:rsid w:val="0025712F"/>
    <w:rsid w:val="00257395"/>
    <w:rsid w:val="00257857"/>
    <w:rsid w:val="002578DA"/>
    <w:rsid w:val="00257CBC"/>
    <w:rsid w:val="002602C2"/>
    <w:rsid w:val="002602DA"/>
    <w:rsid w:val="0026040B"/>
    <w:rsid w:val="00260802"/>
    <w:rsid w:val="00260993"/>
    <w:rsid w:val="002609E3"/>
    <w:rsid w:val="00261223"/>
    <w:rsid w:val="002617AB"/>
    <w:rsid w:val="00261D08"/>
    <w:rsid w:val="00261DCC"/>
    <w:rsid w:val="002624D0"/>
    <w:rsid w:val="0026273B"/>
    <w:rsid w:val="00263AE7"/>
    <w:rsid w:val="00263BE3"/>
    <w:rsid w:val="00263EC7"/>
    <w:rsid w:val="00264441"/>
    <w:rsid w:val="0026491B"/>
    <w:rsid w:val="00264A36"/>
    <w:rsid w:val="00264B06"/>
    <w:rsid w:val="00264C1B"/>
    <w:rsid w:val="00265E2E"/>
    <w:rsid w:val="002661AB"/>
    <w:rsid w:val="002668DB"/>
    <w:rsid w:val="0026742B"/>
    <w:rsid w:val="002674FE"/>
    <w:rsid w:val="00267B4F"/>
    <w:rsid w:val="00270748"/>
    <w:rsid w:val="0027105A"/>
    <w:rsid w:val="0027117F"/>
    <w:rsid w:val="00271283"/>
    <w:rsid w:val="002712DC"/>
    <w:rsid w:val="00271875"/>
    <w:rsid w:val="002718FF"/>
    <w:rsid w:val="00271955"/>
    <w:rsid w:val="00272278"/>
    <w:rsid w:val="00272432"/>
    <w:rsid w:val="00272633"/>
    <w:rsid w:val="00272CAB"/>
    <w:rsid w:val="00272FBF"/>
    <w:rsid w:val="00273A10"/>
    <w:rsid w:val="00273A58"/>
    <w:rsid w:val="00273FBB"/>
    <w:rsid w:val="00274476"/>
    <w:rsid w:val="00274CAB"/>
    <w:rsid w:val="00274E8A"/>
    <w:rsid w:val="0027507D"/>
    <w:rsid w:val="00275FCE"/>
    <w:rsid w:val="002766B8"/>
    <w:rsid w:val="0027680F"/>
    <w:rsid w:val="00276CFA"/>
    <w:rsid w:val="00281006"/>
    <w:rsid w:val="002815B1"/>
    <w:rsid w:val="00281A3D"/>
    <w:rsid w:val="00281C1F"/>
    <w:rsid w:val="00281EEA"/>
    <w:rsid w:val="00281F88"/>
    <w:rsid w:val="0028288D"/>
    <w:rsid w:val="002829B7"/>
    <w:rsid w:val="00282B82"/>
    <w:rsid w:val="00282C74"/>
    <w:rsid w:val="00282E5B"/>
    <w:rsid w:val="00282F51"/>
    <w:rsid w:val="00283995"/>
    <w:rsid w:val="00283B11"/>
    <w:rsid w:val="002841A9"/>
    <w:rsid w:val="00284313"/>
    <w:rsid w:val="002848AD"/>
    <w:rsid w:val="00284A5E"/>
    <w:rsid w:val="00285154"/>
    <w:rsid w:val="00285BF2"/>
    <w:rsid w:val="00285C78"/>
    <w:rsid w:val="002860DE"/>
    <w:rsid w:val="002863CE"/>
    <w:rsid w:val="002868CF"/>
    <w:rsid w:val="0028702A"/>
    <w:rsid w:val="0028732A"/>
    <w:rsid w:val="00290F01"/>
    <w:rsid w:val="00291035"/>
    <w:rsid w:val="00291492"/>
    <w:rsid w:val="00291527"/>
    <w:rsid w:val="0029199A"/>
    <w:rsid w:val="00291BBE"/>
    <w:rsid w:val="00291FEB"/>
    <w:rsid w:val="002920B3"/>
    <w:rsid w:val="00293146"/>
    <w:rsid w:val="0029361E"/>
    <w:rsid w:val="00293D68"/>
    <w:rsid w:val="0029431E"/>
    <w:rsid w:val="00294352"/>
    <w:rsid w:val="002944A0"/>
    <w:rsid w:val="002946E4"/>
    <w:rsid w:val="0029495C"/>
    <w:rsid w:val="00294CEE"/>
    <w:rsid w:val="002957D9"/>
    <w:rsid w:val="00295B52"/>
    <w:rsid w:val="00296024"/>
    <w:rsid w:val="00296293"/>
    <w:rsid w:val="0029686F"/>
    <w:rsid w:val="00296AF7"/>
    <w:rsid w:val="00296B50"/>
    <w:rsid w:val="002972F9"/>
    <w:rsid w:val="002977CA"/>
    <w:rsid w:val="00297DC9"/>
    <w:rsid w:val="00297ED7"/>
    <w:rsid w:val="002A0007"/>
    <w:rsid w:val="002A03AA"/>
    <w:rsid w:val="002A0478"/>
    <w:rsid w:val="002A056D"/>
    <w:rsid w:val="002A0649"/>
    <w:rsid w:val="002A07FE"/>
    <w:rsid w:val="002A094D"/>
    <w:rsid w:val="002A0CAF"/>
    <w:rsid w:val="002A1565"/>
    <w:rsid w:val="002A16A9"/>
    <w:rsid w:val="002A1954"/>
    <w:rsid w:val="002A1C22"/>
    <w:rsid w:val="002A2941"/>
    <w:rsid w:val="002A2DC4"/>
    <w:rsid w:val="002A311A"/>
    <w:rsid w:val="002A3D7A"/>
    <w:rsid w:val="002A3E69"/>
    <w:rsid w:val="002A41F7"/>
    <w:rsid w:val="002A44F9"/>
    <w:rsid w:val="002A46A0"/>
    <w:rsid w:val="002A46D1"/>
    <w:rsid w:val="002A49EF"/>
    <w:rsid w:val="002A4B8B"/>
    <w:rsid w:val="002A4C3D"/>
    <w:rsid w:val="002A5107"/>
    <w:rsid w:val="002A535E"/>
    <w:rsid w:val="002A6406"/>
    <w:rsid w:val="002A6AD0"/>
    <w:rsid w:val="002A6CF0"/>
    <w:rsid w:val="002A6FFC"/>
    <w:rsid w:val="002A7010"/>
    <w:rsid w:val="002A70BA"/>
    <w:rsid w:val="002A7A57"/>
    <w:rsid w:val="002A7BB2"/>
    <w:rsid w:val="002A7DCB"/>
    <w:rsid w:val="002B0B53"/>
    <w:rsid w:val="002B1617"/>
    <w:rsid w:val="002B194B"/>
    <w:rsid w:val="002B1D11"/>
    <w:rsid w:val="002B273B"/>
    <w:rsid w:val="002B29AA"/>
    <w:rsid w:val="002B2A7E"/>
    <w:rsid w:val="002B2F1B"/>
    <w:rsid w:val="002B4A32"/>
    <w:rsid w:val="002B4C6B"/>
    <w:rsid w:val="002B5559"/>
    <w:rsid w:val="002B5AFB"/>
    <w:rsid w:val="002B6320"/>
    <w:rsid w:val="002B66AC"/>
    <w:rsid w:val="002B6852"/>
    <w:rsid w:val="002B7033"/>
    <w:rsid w:val="002B77E1"/>
    <w:rsid w:val="002B7B14"/>
    <w:rsid w:val="002B7FBE"/>
    <w:rsid w:val="002C04DF"/>
    <w:rsid w:val="002C0714"/>
    <w:rsid w:val="002C0A96"/>
    <w:rsid w:val="002C10A8"/>
    <w:rsid w:val="002C1BF4"/>
    <w:rsid w:val="002C1E0D"/>
    <w:rsid w:val="002C2266"/>
    <w:rsid w:val="002C2309"/>
    <w:rsid w:val="002C24D1"/>
    <w:rsid w:val="002C28EB"/>
    <w:rsid w:val="002C3265"/>
    <w:rsid w:val="002C3666"/>
    <w:rsid w:val="002C3AED"/>
    <w:rsid w:val="002C3E56"/>
    <w:rsid w:val="002C414C"/>
    <w:rsid w:val="002C4C2F"/>
    <w:rsid w:val="002C4FF2"/>
    <w:rsid w:val="002C5776"/>
    <w:rsid w:val="002C5CD6"/>
    <w:rsid w:val="002C5EED"/>
    <w:rsid w:val="002C66DE"/>
    <w:rsid w:val="002C7193"/>
    <w:rsid w:val="002C7699"/>
    <w:rsid w:val="002C7A49"/>
    <w:rsid w:val="002C7B1A"/>
    <w:rsid w:val="002D0128"/>
    <w:rsid w:val="002D0E85"/>
    <w:rsid w:val="002D0FA7"/>
    <w:rsid w:val="002D12FB"/>
    <w:rsid w:val="002D1306"/>
    <w:rsid w:val="002D19D1"/>
    <w:rsid w:val="002D1F35"/>
    <w:rsid w:val="002D1FA3"/>
    <w:rsid w:val="002D201A"/>
    <w:rsid w:val="002D20CD"/>
    <w:rsid w:val="002D23C6"/>
    <w:rsid w:val="002D24F0"/>
    <w:rsid w:val="002D25EB"/>
    <w:rsid w:val="002D29F3"/>
    <w:rsid w:val="002D2D1C"/>
    <w:rsid w:val="002D3126"/>
    <w:rsid w:val="002D3529"/>
    <w:rsid w:val="002D3D0A"/>
    <w:rsid w:val="002D478E"/>
    <w:rsid w:val="002D47AE"/>
    <w:rsid w:val="002D4A94"/>
    <w:rsid w:val="002D5CBF"/>
    <w:rsid w:val="002D65FF"/>
    <w:rsid w:val="002D6D10"/>
    <w:rsid w:val="002D6D9C"/>
    <w:rsid w:val="002D71E2"/>
    <w:rsid w:val="002D7367"/>
    <w:rsid w:val="002D78E2"/>
    <w:rsid w:val="002D7961"/>
    <w:rsid w:val="002D7B6A"/>
    <w:rsid w:val="002D7E36"/>
    <w:rsid w:val="002E0026"/>
    <w:rsid w:val="002E08E8"/>
    <w:rsid w:val="002E0918"/>
    <w:rsid w:val="002E0BAA"/>
    <w:rsid w:val="002E0D96"/>
    <w:rsid w:val="002E0EA5"/>
    <w:rsid w:val="002E1E19"/>
    <w:rsid w:val="002E283F"/>
    <w:rsid w:val="002E2854"/>
    <w:rsid w:val="002E2E74"/>
    <w:rsid w:val="002E32D2"/>
    <w:rsid w:val="002E361B"/>
    <w:rsid w:val="002E37AB"/>
    <w:rsid w:val="002E37CC"/>
    <w:rsid w:val="002E3A80"/>
    <w:rsid w:val="002E41C7"/>
    <w:rsid w:val="002E51DF"/>
    <w:rsid w:val="002E555B"/>
    <w:rsid w:val="002E57B9"/>
    <w:rsid w:val="002E6127"/>
    <w:rsid w:val="002E6885"/>
    <w:rsid w:val="002E6E81"/>
    <w:rsid w:val="002E72E4"/>
    <w:rsid w:val="002E739D"/>
    <w:rsid w:val="002F02AD"/>
    <w:rsid w:val="002F0F36"/>
    <w:rsid w:val="002F1276"/>
    <w:rsid w:val="002F1986"/>
    <w:rsid w:val="002F1E5F"/>
    <w:rsid w:val="002F24AA"/>
    <w:rsid w:val="002F2A49"/>
    <w:rsid w:val="002F3550"/>
    <w:rsid w:val="002F3B63"/>
    <w:rsid w:val="002F3C56"/>
    <w:rsid w:val="002F44CA"/>
    <w:rsid w:val="002F46B0"/>
    <w:rsid w:val="002F4B17"/>
    <w:rsid w:val="002F4CDA"/>
    <w:rsid w:val="002F5150"/>
    <w:rsid w:val="002F5463"/>
    <w:rsid w:val="002F58C2"/>
    <w:rsid w:val="002F5932"/>
    <w:rsid w:val="002F5C85"/>
    <w:rsid w:val="002F603B"/>
    <w:rsid w:val="002F6201"/>
    <w:rsid w:val="002F6884"/>
    <w:rsid w:val="002F6A2B"/>
    <w:rsid w:val="002F6B49"/>
    <w:rsid w:val="002F6CB1"/>
    <w:rsid w:val="002F724B"/>
    <w:rsid w:val="002F72BA"/>
    <w:rsid w:val="00300267"/>
    <w:rsid w:val="003004D2"/>
    <w:rsid w:val="00300674"/>
    <w:rsid w:val="00300C88"/>
    <w:rsid w:val="00300D6B"/>
    <w:rsid w:val="00301380"/>
    <w:rsid w:val="00301B26"/>
    <w:rsid w:val="00301E89"/>
    <w:rsid w:val="00302052"/>
    <w:rsid w:val="00302142"/>
    <w:rsid w:val="00302169"/>
    <w:rsid w:val="00302612"/>
    <w:rsid w:val="00303254"/>
    <w:rsid w:val="0030361F"/>
    <w:rsid w:val="00303B08"/>
    <w:rsid w:val="0030408D"/>
    <w:rsid w:val="003044D9"/>
    <w:rsid w:val="00304D8A"/>
    <w:rsid w:val="00305216"/>
    <w:rsid w:val="0030555B"/>
    <w:rsid w:val="00305BFD"/>
    <w:rsid w:val="003061F5"/>
    <w:rsid w:val="003066F8"/>
    <w:rsid w:val="00306D27"/>
    <w:rsid w:val="0030739C"/>
    <w:rsid w:val="00310703"/>
    <w:rsid w:val="00310D51"/>
    <w:rsid w:val="00311B36"/>
    <w:rsid w:val="00311C92"/>
    <w:rsid w:val="00312655"/>
    <w:rsid w:val="00312F45"/>
    <w:rsid w:val="003133AE"/>
    <w:rsid w:val="00313414"/>
    <w:rsid w:val="0031371B"/>
    <w:rsid w:val="00313F2D"/>
    <w:rsid w:val="00314156"/>
    <w:rsid w:val="00314E9E"/>
    <w:rsid w:val="00315081"/>
    <w:rsid w:val="0031535B"/>
    <w:rsid w:val="003170F4"/>
    <w:rsid w:val="0031750F"/>
    <w:rsid w:val="0032035D"/>
    <w:rsid w:val="003205E9"/>
    <w:rsid w:val="00320B28"/>
    <w:rsid w:val="0032123E"/>
    <w:rsid w:val="003216D5"/>
    <w:rsid w:val="003216FF"/>
    <w:rsid w:val="00321866"/>
    <w:rsid w:val="00321A83"/>
    <w:rsid w:val="00321C1A"/>
    <w:rsid w:val="00321D9A"/>
    <w:rsid w:val="00321F6B"/>
    <w:rsid w:val="00322389"/>
    <w:rsid w:val="00322BE5"/>
    <w:rsid w:val="00322E87"/>
    <w:rsid w:val="0032312D"/>
    <w:rsid w:val="003235A2"/>
    <w:rsid w:val="00323AA5"/>
    <w:rsid w:val="003242E4"/>
    <w:rsid w:val="0032468D"/>
    <w:rsid w:val="00324926"/>
    <w:rsid w:val="00324B25"/>
    <w:rsid w:val="0032522F"/>
    <w:rsid w:val="003253C4"/>
    <w:rsid w:val="0032550F"/>
    <w:rsid w:val="0032566F"/>
    <w:rsid w:val="00325992"/>
    <w:rsid w:val="00325B74"/>
    <w:rsid w:val="0032638F"/>
    <w:rsid w:val="00326B59"/>
    <w:rsid w:val="003272C6"/>
    <w:rsid w:val="0032746C"/>
    <w:rsid w:val="00327752"/>
    <w:rsid w:val="00327C7C"/>
    <w:rsid w:val="00330009"/>
    <w:rsid w:val="003301E6"/>
    <w:rsid w:val="003310AB"/>
    <w:rsid w:val="003314D2"/>
    <w:rsid w:val="00331712"/>
    <w:rsid w:val="00331A3F"/>
    <w:rsid w:val="00332191"/>
    <w:rsid w:val="00332720"/>
    <w:rsid w:val="00332EED"/>
    <w:rsid w:val="00332EF2"/>
    <w:rsid w:val="003334A7"/>
    <w:rsid w:val="003337E8"/>
    <w:rsid w:val="00333A14"/>
    <w:rsid w:val="00333B2A"/>
    <w:rsid w:val="00333FD5"/>
    <w:rsid w:val="003350E9"/>
    <w:rsid w:val="003351BA"/>
    <w:rsid w:val="0033520F"/>
    <w:rsid w:val="00335519"/>
    <w:rsid w:val="0033596B"/>
    <w:rsid w:val="00335A93"/>
    <w:rsid w:val="0033635A"/>
    <w:rsid w:val="0033650E"/>
    <w:rsid w:val="003366EF"/>
    <w:rsid w:val="00336907"/>
    <w:rsid w:val="003369DF"/>
    <w:rsid w:val="00336C71"/>
    <w:rsid w:val="00336D96"/>
    <w:rsid w:val="00336DFC"/>
    <w:rsid w:val="00337230"/>
    <w:rsid w:val="00337588"/>
    <w:rsid w:val="003377D0"/>
    <w:rsid w:val="00337D75"/>
    <w:rsid w:val="00340020"/>
    <w:rsid w:val="0034056F"/>
    <w:rsid w:val="0034081A"/>
    <w:rsid w:val="00341162"/>
    <w:rsid w:val="003413B4"/>
    <w:rsid w:val="00341866"/>
    <w:rsid w:val="00341DAF"/>
    <w:rsid w:val="00342181"/>
    <w:rsid w:val="0034339B"/>
    <w:rsid w:val="00343560"/>
    <w:rsid w:val="00343A20"/>
    <w:rsid w:val="0034402B"/>
    <w:rsid w:val="0034449E"/>
    <w:rsid w:val="00344D46"/>
    <w:rsid w:val="0034621B"/>
    <w:rsid w:val="003465A5"/>
    <w:rsid w:val="00346817"/>
    <w:rsid w:val="003469C8"/>
    <w:rsid w:val="00347440"/>
    <w:rsid w:val="003475EA"/>
    <w:rsid w:val="0034792D"/>
    <w:rsid w:val="00347A27"/>
    <w:rsid w:val="00347CD4"/>
    <w:rsid w:val="00350A55"/>
    <w:rsid w:val="00350DF8"/>
    <w:rsid w:val="00351A8A"/>
    <w:rsid w:val="00351E44"/>
    <w:rsid w:val="00352541"/>
    <w:rsid w:val="0035266A"/>
    <w:rsid w:val="0035279C"/>
    <w:rsid w:val="00352B23"/>
    <w:rsid w:val="00352C49"/>
    <w:rsid w:val="00352EA3"/>
    <w:rsid w:val="003534D3"/>
    <w:rsid w:val="003535D2"/>
    <w:rsid w:val="0035384D"/>
    <w:rsid w:val="00353BF0"/>
    <w:rsid w:val="00353C0B"/>
    <w:rsid w:val="00354AE4"/>
    <w:rsid w:val="00354B0A"/>
    <w:rsid w:val="0035551B"/>
    <w:rsid w:val="003555ED"/>
    <w:rsid w:val="00355911"/>
    <w:rsid w:val="0035636B"/>
    <w:rsid w:val="00356714"/>
    <w:rsid w:val="00357424"/>
    <w:rsid w:val="00360973"/>
    <w:rsid w:val="00361789"/>
    <w:rsid w:val="0036196D"/>
    <w:rsid w:val="00361EEC"/>
    <w:rsid w:val="0036208F"/>
    <w:rsid w:val="003627BD"/>
    <w:rsid w:val="003627C7"/>
    <w:rsid w:val="00362997"/>
    <w:rsid w:val="003629B5"/>
    <w:rsid w:val="00362C59"/>
    <w:rsid w:val="00363040"/>
    <w:rsid w:val="003630B7"/>
    <w:rsid w:val="00363275"/>
    <w:rsid w:val="00363786"/>
    <w:rsid w:val="003638A4"/>
    <w:rsid w:val="003639BF"/>
    <w:rsid w:val="00363AEE"/>
    <w:rsid w:val="00363DDC"/>
    <w:rsid w:val="00363E41"/>
    <w:rsid w:val="00363ED8"/>
    <w:rsid w:val="00363FD2"/>
    <w:rsid w:val="003644D0"/>
    <w:rsid w:val="003651F5"/>
    <w:rsid w:val="0036572E"/>
    <w:rsid w:val="003659F4"/>
    <w:rsid w:val="003663D9"/>
    <w:rsid w:val="003666BF"/>
    <w:rsid w:val="00366707"/>
    <w:rsid w:val="00366FA9"/>
    <w:rsid w:val="00367CDF"/>
    <w:rsid w:val="00367E49"/>
    <w:rsid w:val="003700E6"/>
    <w:rsid w:val="003713B4"/>
    <w:rsid w:val="00371C86"/>
    <w:rsid w:val="00372199"/>
    <w:rsid w:val="0037236C"/>
    <w:rsid w:val="003729DE"/>
    <w:rsid w:val="00372C74"/>
    <w:rsid w:val="003730E4"/>
    <w:rsid w:val="003735D3"/>
    <w:rsid w:val="0037386D"/>
    <w:rsid w:val="00373956"/>
    <w:rsid w:val="00374153"/>
    <w:rsid w:val="003750E0"/>
    <w:rsid w:val="00375AF1"/>
    <w:rsid w:val="00375C2F"/>
    <w:rsid w:val="00375FC5"/>
    <w:rsid w:val="003769BA"/>
    <w:rsid w:val="00376D68"/>
    <w:rsid w:val="00377871"/>
    <w:rsid w:val="003778B2"/>
    <w:rsid w:val="003778B3"/>
    <w:rsid w:val="00377E58"/>
    <w:rsid w:val="003805E3"/>
    <w:rsid w:val="00380618"/>
    <w:rsid w:val="0038062E"/>
    <w:rsid w:val="003807F7"/>
    <w:rsid w:val="0038121B"/>
    <w:rsid w:val="00381610"/>
    <w:rsid w:val="00382106"/>
    <w:rsid w:val="00382657"/>
    <w:rsid w:val="00382B82"/>
    <w:rsid w:val="0038352F"/>
    <w:rsid w:val="00383618"/>
    <w:rsid w:val="00383E73"/>
    <w:rsid w:val="003844BF"/>
    <w:rsid w:val="003852BA"/>
    <w:rsid w:val="0038543F"/>
    <w:rsid w:val="003854D5"/>
    <w:rsid w:val="0038552A"/>
    <w:rsid w:val="003859EA"/>
    <w:rsid w:val="0038709E"/>
    <w:rsid w:val="00387D30"/>
    <w:rsid w:val="00390A4D"/>
    <w:rsid w:val="00390B5B"/>
    <w:rsid w:val="00391398"/>
    <w:rsid w:val="00391753"/>
    <w:rsid w:val="00391C7F"/>
    <w:rsid w:val="00392454"/>
    <w:rsid w:val="003929C6"/>
    <w:rsid w:val="00392A6C"/>
    <w:rsid w:val="00392C85"/>
    <w:rsid w:val="00392FD8"/>
    <w:rsid w:val="00393E11"/>
    <w:rsid w:val="00394475"/>
    <w:rsid w:val="00394C48"/>
    <w:rsid w:val="0039514A"/>
    <w:rsid w:val="0039517A"/>
    <w:rsid w:val="00395B51"/>
    <w:rsid w:val="00396796"/>
    <w:rsid w:val="00396EC6"/>
    <w:rsid w:val="00396F3C"/>
    <w:rsid w:val="003970BA"/>
    <w:rsid w:val="003971BE"/>
    <w:rsid w:val="0039746C"/>
    <w:rsid w:val="00397DC6"/>
    <w:rsid w:val="003A0C3A"/>
    <w:rsid w:val="003A0E82"/>
    <w:rsid w:val="003A0FAC"/>
    <w:rsid w:val="003A184D"/>
    <w:rsid w:val="003A1C35"/>
    <w:rsid w:val="003A1FB7"/>
    <w:rsid w:val="003A2236"/>
    <w:rsid w:val="003A2962"/>
    <w:rsid w:val="003A31E3"/>
    <w:rsid w:val="003A371E"/>
    <w:rsid w:val="003A462A"/>
    <w:rsid w:val="003A4CE8"/>
    <w:rsid w:val="003A557A"/>
    <w:rsid w:val="003A595F"/>
    <w:rsid w:val="003A5EEC"/>
    <w:rsid w:val="003A79AE"/>
    <w:rsid w:val="003A7CA3"/>
    <w:rsid w:val="003B00B6"/>
    <w:rsid w:val="003B00B7"/>
    <w:rsid w:val="003B01C4"/>
    <w:rsid w:val="003B0BB0"/>
    <w:rsid w:val="003B11EE"/>
    <w:rsid w:val="003B1332"/>
    <w:rsid w:val="003B15F8"/>
    <w:rsid w:val="003B18EB"/>
    <w:rsid w:val="003B230B"/>
    <w:rsid w:val="003B23BC"/>
    <w:rsid w:val="003B2DB5"/>
    <w:rsid w:val="003B2F05"/>
    <w:rsid w:val="003B3966"/>
    <w:rsid w:val="003B39B7"/>
    <w:rsid w:val="003B4EB0"/>
    <w:rsid w:val="003B5F6A"/>
    <w:rsid w:val="003B6B7F"/>
    <w:rsid w:val="003B7820"/>
    <w:rsid w:val="003C01A4"/>
    <w:rsid w:val="003C0219"/>
    <w:rsid w:val="003C07FE"/>
    <w:rsid w:val="003C0C12"/>
    <w:rsid w:val="003C16EE"/>
    <w:rsid w:val="003C1BCE"/>
    <w:rsid w:val="003C1C87"/>
    <w:rsid w:val="003C2C85"/>
    <w:rsid w:val="003C2F61"/>
    <w:rsid w:val="003C345E"/>
    <w:rsid w:val="003C4409"/>
    <w:rsid w:val="003C4997"/>
    <w:rsid w:val="003C4B91"/>
    <w:rsid w:val="003C4DA5"/>
    <w:rsid w:val="003C5666"/>
    <w:rsid w:val="003C5D16"/>
    <w:rsid w:val="003C6304"/>
    <w:rsid w:val="003C64F4"/>
    <w:rsid w:val="003C6DE1"/>
    <w:rsid w:val="003C7003"/>
    <w:rsid w:val="003C724B"/>
    <w:rsid w:val="003C73DB"/>
    <w:rsid w:val="003D0185"/>
    <w:rsid w:val="003D02CB"/>
    <w:rsid w:val="003D0382"/>
    <w:rsid w:val="003D057A"/>
    <w:rsid w:val="003D069C"/>
    <w:rsid w:val="003D0BC2"/>
    <w:rsid w:val="003D191E"/>
    <w:rsid w:val="003D22A5"/>
    <w:rsid w:val="003D22C7"/>
    <w:rsid w:val="003D238F"/>
    <w:rsid w:val="003D23A4"/>
    <w:rsid w:val="003D317D"/>
    <w:rsid w:val="003D3414"/>
    <w:rsid w:val="003D3426"/>
    <w:rsid w:val="003D358E"/>
    <w:rsid w:val="003D3721"/>
    <w:rsid w:val="003D46BA"/>
    <w:rsid w:val="003D4DAB"/>
    <w:rsid w:val="003D590A"/>
    <w:rsid w:val="003D6722"/>
    <w:rsid w:val="003D7428"/>
    <w:rsid w:val="003D77F2"/>
    <w:rsid w:val="003D78CC"/>
    <w:rsid w:val="003D7901"/>
    <w:rsid w:val="003D7D01"/>
    <w:rsid w:val="003D7ED8"/>
    <w:rsid w:val="003E0003"/>
    <w:rsid w:val="003E0099"/>
    <w:rsid w:val="003E08C7"/>
    <w:rsid w:val="003E0992"/>
    <w:rsid w:val="003E1A72"/>
    <w:rsid w:val="003E1C3E"/>
    <w:rsid w:val="003E1C41"/>
    <w:rsid w:val="003E2880"/>
    <w:rsid w:val="003E28FB"/>
    <w:rsid w:val="003E2A00"/>
    <w:rsid w:val="003E382C"/>
    <w:rsid w:val="003E3D00"/>
    <w:rsid w:val="003E3FD6"/>
    <w:rsid w:val="003E4531"/>
    <w:rsid w:val="003E4771"/>
    <w:rsid w:val="003E54A8"/>
    <w:rsid w:val="003E5833"/>
    <w:rsid w:val="003E5C23"/>
    <w:rsid w:val="003E5DA8"/>
    <w:rsid w:val="003E64EB"/>
    <w:rsid w:val="003E7109"/>
    <w:rsid w:val="003E7555"/>
    <w:rsid w:val="003E76DE"/>
    <w:rsid w:val="003E77DC"/>
    <w:rsid w:val="003E7BC1"/>
    <w:rsid w:val="003F0453"/>
    <w:rsid w:val="003F097D"/>
    <w:rsid w:val="003F0C9F"/>
    <w:rsid w:val="003F144A"/>
    <w:rsid w:val="003F1B02"/>
    <w:rsid w:val="003F1EDD"/>
    <w:rsid w:val="003F1EFE"/>
    <w:rsid w:val="003F2212"/>
    <w:rsid w:val="003F2240"/>
    <w:rsid w:val="003F2460"/>
    <w:rsid w:val="003F2BD1"/>
    <w:rsid w:val="003F2E7B"/>
    <w:rsid w:val="003F3932"/>
    <w:rsid w:val="003F39C7"/>
    <w:rsid w:val="003F3CD5"/>
    <w:rsid w:val="003F4473"/>
    <w:rsid w:val="003F4CF5"/>
    <w:rsid w:val="003F4E31"/>
    <w:rsid w:val="003F51EE"/>
    <w:rsid w:val="003F574E"/>
    <w:rsid w:val="003F60D6"/>
    <w:rsid w:val="003F68E9"/>
    <w:rsid w:val="003F6BE1"/>
    <w:rsid w:val="003F73EA"/>
    <w:rsid w:val="003F7514"/>
    <w:rsid w:val="003F7E15"/>
    <w:rsid w:val="003F7FDA"/>
    <w:rsid w:val="00400DE4"/>
    <w:rsid w:val="004013AD"/>
    <w:rsid w:val="004013EF"/>
    <w:rsid w:val="004021C0"/>
    <w:rsid w:val="004028CE"/>
    <w:rsid w:val="00402D26"/>
    <w:rsid w:val="0040313D"/>
    <w:rsid w:val="004043FA"/>
    <w:rsid w:val="00404970"/>
    <w:rsid w:val="00405181"/>
    <w:rsid w:val="00405530"/>
    <w:rsid w:val="0040567F"/>
    <w:rsid w:val="00405873"/>
    <w:rsid w:val="00405F09"/>
    <w:rsid w:val="004066F4"/>
    <w:rsid w:val="00406A32"/>
    <w:rsid w:val="0040760B"/>
    <w:rsid w:val="00410117"/>
    <w:rsid w:val="00410C32"/>
    <w:rsid w:val="004111FB"/>
    <w:rsid w:val="00411237"/>
    <w:rsid w:val="00411557"/>
    <w:rsid w:val="00411994"/>
    <w:rsid w:val="00411D74"/>
    <w:rsid w:val="00411DDE"/>
    <w:rsid w:val="00411F84"/>
    <w:rsid w:val="00412069"/>
    <w:rsid w:val="004121A1"/>
    <w:rsid w:val="00412477"/>
    <w:rsid w:val="00412570"/>
    <w:rsid w:val="004127A2"/>
    <w:rsid w:val="0041280A"/>
    <w:rsid w:val="00412A9D"/>
    <w:rsid w:val="00412CB1"/>
    <w:rsid w:val="004133A5"/>
    <w:rsid w:val="00413B02"/>
    <w:rsid w:val="00413D45"/>
    <w:rsid w:val="00414197"/>
    <w:rsid w:val="0041423D"/>
    <w:rsid w:val="00414D68"/>
    <w:rsid w:val="00414FD9"/>
    <w:rsid w:val="00415773"/>
    <w:rsid w:val="00415864"/>
    <w:rsid w:val="00415CAE"/>
    <w:rsid w:val="00415EE7"/>
    <w:rsid w:val="004160FA"/>
    <w:rsid w:val="004164AE"/>
    <w:rsid w:val="004165AE"/>
    <w:rsid w:val="0041669E"/>
    <w:rsid w:val="00416ACA"/>
    <w:rsid w:val="00416C56"/>
    <w:rsid w:val="004170DD"/>
    <w:rsid w:val="00417294"/>
    <w:rsid w:val="004176B8"/>
    <w:rsid w:val="00417B99"/>
    <w:rsid w:val="00417CE0"/>
    <w:rsid w:val="004209D5"/>
    <w:rsid w:val="00420FAF"/>
    <w:rsid w:val="00421184"/>
    <w:rsid w:val="004212C1"/>
    <w:rsid w:val="004214B7"/>
    <w:rsid w:val="00421988"/>
    <w:rsid w:val="00421FB5"/>
    <w:rsid w:val="0042219F"/>
    <w:rsid w:val="004226ED"/>
    <w:rsid w:val="00422AF4"/>
    <w:rsid w:val="004235F4"/>
    <w:rsid w:val="004236C9"/>
    <w:rsid w:val="00423CF3"/>
    <w:rsid w:val="00423E18"/>
    <w:rsid w:val="00424B7C"/>
    <w:rsid w:val="0042500C"/>
    <w:rsid w:val="00425514"/>
    <w:rsid w:val="004256BD"/>
    <w:rsid w:val="00425863"/>
    <w:rsid w:val="00425D02"/>
    <w:rsid w:val="00425EDC"/>
    <w:rsid w:val="004266D2"/>
    <w:rsid w:val="00426C3E"/>
    <w:rsid w:val="004275CD"/>
    <w:rsid w:val="00427A9D"/>
    <w:rsid w:val="00427FEB"/>
    <w:rsid w:val="00427FF2"/>
    <w:rsid w:val="004305C0"/>
    <w:rsid w:val="00430B20"/>
    <w:rsid w:val="00430B6C"/>
    <w:rsid w:val="0043135D"/>
    <w:rsid w:val="00431875"/>
    <w:rsid w:val="0043227C"/>
    <w:rsid w:val="004335C0"/>
    <w:rsid w:val="00433AFC"/>
    <w:rsid w:val="00434193"/>
    <w:rsid w:val="00435068"/>
    <w:rsid w:val="00435715"/>
    <w:rsid w:val="0043571B"/>
    <w:rsid w:val="00435B36"/>
    <w:rsid w:val="00435EE0"/>
    <w:rsid w:val="00435F29"/>
    <w:rsid w:val="0043610C"/>
    <w:rsid w:val="004366FF"/>
    <w:rsid w:val="004376D3"/>
    <w:rsid w:val="0043777D"/>
    <w:rsid w:val="00437D83"/>
    <w:rsid w:val="004401DD"/>
    <w:rsid w:val="00440344"/>
    <w:rsid w:val="0044069C"/>
    <w:rsid w:val="00441264"/>
    <w:rsid w:val="00441B0F"/>
    <w:rsid w:val="00442413"/>
    <w:rsid w:val="004425C6"/>
    <w:rsid w:val="0044305C"/>
    <w:rsid w:val="00443512"/>
    <w:rsid w:val="00443A55"/>
    <w:rsid w:val="00443CA6"/>
    <w:rsid w:val="00443D5D"/>
    <w:rsid w:val="00444DEB"/>
    <w:rsid w:val="00445CBA"/>
    <w:rsid w:val="004463CB"/>
    <w:rsid w:val="004466F7"/>
    <w:rsid w:val="00446858"/>
    <w:rsid w:val="00447206"/>
    <w:rsid w:val="00447304"/>
    <w:rsid w:val="00450127"/>
    <w:rsid w:val="0045075F"/>
    <w:rsid w:val="00450DFD"/>
    <w:rsid w:val="004516AD"/>
    <w:rsid w:val="00451E84"/>
    <w:rsid w:val="00451EA3"/>
    <w:rsid w:val="00451F01"/>
    <w:rsid w:val="004522EA"/>
    <w:rsid w:val="00453349"/>
    <w:rsid w:val="004546A7"/>
    <w:rsid w:val="00454831"/>
    <w:rsid w:val="004548DF"/>
    <w:rsid w:val="00455A0F"/>
    <w:rsid w:val="00455B98"/>
    <w:rsid w:val="00455E25"/>
    <w:rsid w:val="00456CC0"/>
    <w:rsid w:val="0045755C"/>
    <w:rsid w:val="00457933"/>
    <w:rsid w:val="00457C78"/>
    <w:rsid w:val="00460136"/>
    <w:rsid w:val="00460735"/>
    <w:rsid w:val="00460941"/>
    <w:rsid w:val="00460AD5"/>
    <w:rsid w:val="00460EB8"/>
    <w:rsid w:val="00461090"/>
    <w:rsid w:val="004611D5"/>
    <w:rsid w:val="004614D1"/>
    <w:rsid w:val="004617D8"/>
    <w:rsid w:val="00461991"/>
    <w:rsid w:val="00461A6B"/>
    <w:rsid w:val="00461C43"/>
    <w:rsid w:val="00462125"/>
    <w:rsid w:val="00463216"/>
    <w:rsid w:val="0046334D"/>
    <w:rsid w:val="00463848"/>
    <w:rsid w:val="00463BBF"/>
    <w:rsid w:val="00463C95"/>
    <w:rsid w:val="00463E1C"/>
    <w:rsid w:val="00464052"/>
    <w:rsid w:val="00464C9C"/>
    <w:rsid w:val="00465153"/>
    <w:rsid w:val="00465473"/>
    <w:rsid w:val="00465602"/>
    <w:rsid w:val="004669A6"/>
    <w:rsid w:val="00466AFD"/>
    <w:rsid w:val="00466E99"/>
    <w:rsid w:val="00467152"/>
    <w:rsid w:val="00470563"/>
    <w:rsid w:val="00470696"/>
    <w:rsid w:val="004724C9"/>
    <w:rsid w:val="00472585"/>
    <w:rsid w:val="00473045"/>
    <w:rsid w:val="00474130"/>
    <w:rsid w:val="0047446F"/>
    <w:rsid w:val="004754EE"/>
    <w:rsid w:val="00475A6C"/>
    <w:rsid w:val="004764AF"/>
    <w:rsid w:val="00476D04"/>
    <w:rsid w:val="0047775E"/>
    <w:rsid w:val="00477AAE"/>
    <w:rsid w:val="00477AF6"/>
    <w:rsid w:val="00477B3B"/>
    <w:rsid w:val="00477BCB"/>
    <w:rsid w:val="004801A7"/>
    <w:rsid w:val="00480E47"/>
    <w:rsid w:val="00481666"/>
    <w:rsid w:val="0048181B"/>
    <w:rsid w:val="00481F2B"/>
    <w:rsid w:val="004820C5"/>
    <w:rsid w:val="00482198"/>
    <w:rsid w:val="004823D8"/>
    <w:rsid w:val="0048285B"/>
    <w:rsid w:val="00482A91"/>
    <w:rsid w:val="00482F20"/>
    <w:rsid w:val="00483196"/>
    <w:rsid w:val="0048340F"/>
    <w:rsid w:val="0048384A"/>
    <w:rsid w:val="0048423C"/>
    <w:rsid w:val="00484449"/>
    <w:rsid w:val="004845A6"/>
    <w:rsid w:val="00484C71"/>
    <w:rsid w:val="004852CE"/>
    <w:rsid w:val="0048540C"/>
    <w:rsid w:val="0048561D"/>
    <w:rsid w:val="00485EDD"/>
    <w:rsid w:val="00485F92"/>
    <w:rsid w:val="004860BD"/>
    <w:rsid w:val="004866E1"/>
    <w:rsid w:val="00486C72"/>
    <w:rsid w:val="0048726F"/>
    <w:rsid w:val="0049030D"/>
    <w:rsid w:val="0049080E"/>
    <w:rsid w:val="00490954"/>
    <w:rsid w:val="0049184D"/>
    <w:rsid w:val="004921DC"/>
    <w:rsid w:val="0049277A"/>
    <w:rsid w:val="00492B38"/>
    <w:rsid w:val="00492FE4"/>
    <w:rsid w:val="00493035"/>
    <w:rsid w:val="00493321"/>
    <w:rsid w:val="004936DE"/>
    <w:rsid w:val="0049544E"/>
    <w:rsid w:val="00495670"/>
    <w:rsid w:val="0049604B"/>
    <w:rsid w:val="00496AC9"/>
    <w:rsid w:val="00496D43"/>
    <w:rsid w:val="004A040E"/>
    <w:rsid w:val="004A042D"/>
    <w:rsid w:val="004A11E0"/>
    <w:rsid w:val="004A1E0D"/>
    <w:rsid w:val="004A1FC5"/>
    <w:rsid w:val="004A2158"/>
    <w:rsid w:val="004A29A5"/>
    <w:rsid w:val="004A2ABE"/>
    <w:rsid w:val="004A3225"/>
    <w:rsid w:val="004A374A"/>
    <w:rsid w:val="004A395B"/>
    <w:rsid w:val="004A39D9"/>
    <w:rsid w:val="004A3C2A"/>
    <w:rsid w:val="004A3C59"/>
    <w:rsid w:val="004A3FE2"/>
    <w:rsid w:val="004A480D"/>
    <w:rsid w:val="004A4D76"/>
    <w:rsid w:val="004A522F"/>
    <w:rsid w:val="004A5851"/>
    <w:rsid w:val="004A5A91"/>
    <w:rsid w:val="004A5B0F"/>
    <w:rsid w:val="004A5CF1"/>
    <w:rsid w:val="004A66E0"/>
    <w:rsid w:val="004A6F01"/>
    <w:rsid w:val="004A7651"/>
    <w:rsid w:val="004A7AAE"/>
    <w:rsid w:val="004A7D49"/>
    <w:rsid w:val="004A7F21"/>
    <w:rsid w:val="004B06AB"/>
    <w:rsid w:val="004B082D"/>
    <w:rsid w:val="004B08DB"/>
    <w:rsid w:val="004B1422"/>
    <w:rsid w:val="004B24EB"/>
    <w:rsid w:val="004B259A"/>
    <w:rsid w:val="004B29AC"/>
    <w:rsid w:val="004B3C8B"/>
    <w:rsid w:val="004B44A9"/>
    <w:rsid w:val="004B4509"/>
    <w:rsid w:val="004B452A"/>
    <w:rsid w:val="004B4871"/>
    <w:rsid w:val="004B4ADF"/>
    <w:rsid w:val="004B4C00"/>
    <w:rsid w:val="004B4E06"/>
    <w:rsid w:val="004B5493"/>
    <w:rsid w:val="004B5914"/>
    <w:rsid w:val="004B5EF3"/>
    <w:rsid w:val="004B6C77"/>
    <w:rsid w:val="004B6D0A"/>
    <w:rsid w:val="004B7995"/>
    <w:rsid w:val="004B7E50"/>
    <w:rsid w:val="004C02B3"/>
    <w:rsid w:val="004C098E"/>
    <w:rsid w:val="004C0BBE"/>
    <w:rsid w:val="004C0E2F"/>
    <w:rsid w:val="004C1194"/>
    <w:rsid w:val="004C222E"/>
    <w:rsid w:val="004C2561"/>
    <w:rsid w:val="004C2806"/>
    <w:rsid w:val="004C2F18"/>
    <w:rsid w:val="004C3ADD"/>
    <w:rsid w:val="004C428E"/>
    <w:rsid w:val="004C4775"/>
    <w:rsid w:val="004C483D"/>
    <w:rsid w:val="004C48A9"/>
    <w:rsid w:val="004C590B"/>
    <w:rsid w:val="004C5B70"/>
    <w:rsid w:val="004C6326"/>
    <w:rsid w:val="004C63C7"/>
    <w:rsid w:val="004C6D39"/>
    <w:rsid w:val="004C6D98"/>
    <w:rsid w:val="004C7217"/>
    <w:rsid w:val="004C75B5"/>
    <w:rsid w:val="004C7743"/>
    <w:rsid w:val="004C77A7"/>
    <w:rsid w:val="004C7DBE"/>
    <w:rsid w:val="004C7F57"/>
    <w:rsid w:val="004D0201"/>
    <w:rsid w:val="004D032B"/>
    <w:rsid w:val="004D039E"/>
    <w:rsid w:val="004D04A3"/>
    <w:rsid w:val="004D0C9F"/>
    <w:rsid w:val="004D15FD"/>
    <w:rsid w:val="004D1E4A"/>
    <w:rsid w:val="004D2369"/>
    <w:rsid w:val="004D2485"/>
    <w:rsid w:val="004D2998"/>
    <w:rsid w:val="004D310D"/>
    <w:rsid w:val="004D3A57"/>
    <w:rsid w:val="004D3B2A"/>
    <w:rsid w:val="004D3C67"/>
    <w:rsid w:val="004D47FF"/>
    <w:rsid w:val="004D4D35"/>
    <w:rsid w:val="004D518F"/>
    <w:rsid w:val="004D527C"/>
    <w:rsid w:val="004D54D7"/>
    <w:rsid w:val="004D5BB7"/>
    <w:rsid w:val="004D6053"/>
    <w:rsid w:val="004D61EF"/>
    <w:rsid w:val="004D6FA4"/>
    <w:rsid w:val="004D7C23"/>
    <w:rsid w:val="004D7DA1"/>
    <w:rsid w:val="004D7E25"/>
    <w:rsid w:val="004D7EBE"/>
    <w:rsid w:val="004D7ECB"/>
    <w:rsid w:val="004E01C6"/>
    <w:rsid w:val="004E0212"/>
    <w:rsid w:val="004E0736"/>
    <w:rsid w:val="004E0ADC"/>
    <w:rsid w:val="004E0FB1"/>
    <w:rsid w:val="004E1043"/>
    <w:rsid w:val="004E1AF7"/>
    <w:rsid w:val="004E1DCA"/>
    <w:rsid w:val="004E1F76"/>
    <w:rsid w:val="004E21B4"/>
    <w:rsid w:val="004E252B"/>
    <w:rsid w:val="004E2861"/>
    <w:rsid w:val="004E2A85"/>
    <w:rsid w:val="004E2C09"/>
    <w:rsid w:val="004E3F72"/>
    <w:rsid w:val="004E408B"/>
    <w:rsid w:val="004E4A78"/>
    <w:rsid w:val="004E4E51"/>
    <w:rsid w:val="004E551E"/>
    <w:rsid w:val="004E58F6"/>
    <w:rsid w:val="004E5E37"/>
    <w:rsid w:val="004E5E4C"/>
    <w:rsid w:val="004E623E"/>
    <w:rsid w:val="004E6CF9"/>
    <w:rsid w:val="004E734E"/>
    <w:rsid w:val="004E7EC0"/>
    <w:rsid w:val="004E7F48"/>
    <w:rsid w:val="004F014E"/>
    <w:rsid w:val="004F0BC6"/>
    <w:rsid w:val="004F1123"/>
    <w:rsid w:val="004F1715"/>
    <w:rsid w:val="004F17DA"/>
    <w:rsid w:val="004F184C"/>
    <w:rsid w:val="004F2927"/>
    <w:rsid w:val="004F36D0"/>
    <w:rsid w:val="004F39DE"/>
    <w:rsid w:val="004F3BD2"/>
    <w:rsid w:val="004F4372"/>
    <w:rsid w:val="004F43E0"/>
    <w:rsid w:val="004F45EB"/>
    <w:rsid w:val="004F521B"/>
    <w:rsid w:val="004F52BB"/>
    <w:rsid w:val="004F53BF"/>
    <w:rsid w:val="004F5582"/>
    <w:rsid w:val="004F59B8"/>
    <w:rsid w:val="004F5BD9"/>
    <w:rsid w:val="004F62A7"/>
    <w:rsid w:val="004F62F9"/>
    <w:rsid w:val="004F66B3"/>
    <w:rsid w:val="004F674C"/>
    <w:rsid w:val="004F7352"/>
    <w:rsid w:val="004F7EE2"/>
    <w:rsid w:val="0050015C"/>
    <w:rsid w:val="00500418"/>
    <w:rsid w:val="00500CCF"/>
    <w:rsid w:val="00500E62"/>
    <w:rsid w:val="005010DE"/>
    <w:rsid w:val="005011FD"/>
    <w:rsid w:val="0050164B"/>
    <w:rsid w:val="00502038"/>
    <w:rsid w:val="00502958"/>
    <w:rsid w:val="005029FC"/>
    <w:rsid w:val="00502BD2"/>
    <w:rsid w:val="00502DA4"/>
    <w:rsid w:val="00503F83"/>
    <w:rsid w:val="0050421C"/>
    <w:rsid w:val="00504533"/>
    <w:rsid w:val="00504A9B"/>
    <w:rsid w:val="00504E9A"/>
    <w:rsid w:val="00504F83"/>
    <w:rsid w:val="005059B9"/>
    <w:rsid w:val="00505F64"/>
    <w:rsid w:val="005061EE"/>
    <w:rsid w:val="00506DCD"/>
    <w:rsid w:val="00507325"/>
    <w:rsid w:val="00507C56"/>
    <w:rsid w:val="00507F13"/>
    <w:rsid w:val="00510809"/>
    <w:rsid w:val="005109D4"/>
    <w:rsid w:val="00510CF4"/>
    <w:rsid w:val="00510D3B"/>
    <w:rsid w:val="0051160A"/>
    <w:rsid w:val="005118BA"/>
    <w:rsid w:val="00512D87"/>
    <w:rsid w:val="005130DA"/>
    <w:rsid w:val="00513998"/>
    <w:rsid w:val="00513DDA"/>
    <w:rsid w:val="00513E19"/>
    <w:rsid w:val="005148B4"/>
    <w:rsid w:val="00514B29"/>
    <w:rsid w:val="00514C19"/>
    <w:rsid w:val="005152B1"/>
    <w:rsid w:val="005152F0"/>
    <w:rsid w:val="00515856"/>
    <w:rsid w:val="00515DE0"/>
    <w:rsid w:val="00516039"/>
    <w:rsid w:val="005163E6"/>
    <w:rsid w:val="005167B6"/>
    <w:rsid w:val="005172EC"/>
    <w:rsid w:val="0051740D"/>
    <w:rsid w:val="00517888"/>
    <w:rsid w:val="005178CE"/>
    <w:rsid w:val="00517A70"/>
    <w:rsid w:val="00520C6A"/>
    <w:rsid w:val="00521CAB"/>
    <w:rsid w:val="005224EF"/>
    <w:rsid w:val="00522654"/>
    <w:rsid w:val="00522835"/>
    <w:rsid w:val="0052293D"/>
    <w:rsid w:val="00522AF4"/>
    <w:rsid w:val="00522B93"/>
    <w:rsid w:val="00523499"/>
    <w:rsid w:val="00523BC7"/>
    <w:rsid w:val="00523C08"/>
    <w:rsid w:val="00523C10"/>
    <w:rsid w:val="005245D5"/>
    <w:rsid w:val="00524889"/>
    <w:rsid w:val="0052575D"/>
    <w:rsid w:val="00525A53"/>
    <w:rsid w:val="00525C1F"/>
    <w:rsid w:val="005263EC"/>
    <w:rsid w:val="00526569"/>
    <w:rsid w:val="00526726"/>
    <w:rsid w:val="005269CF"/>
    <w:rsid w:val="00527256"/>
    <w:rsid w:val="00527599"/>
    <w:rsid w:val="00527B57"/>
    <w:rsid w:val="00527C8D"/>
    <w:rsid w:val="0053021B"/>
    <w:rsid w:val="005303A3"/>
    <w:rsid w:val="00530AC4"/>
    <w:rsid w:val="0053201E"/>
    <w:rsid w:val="00532115"/>
    <w:rsid w:val="0053265B"/>
    <w:rsid w:val="00533169"/>
    <w:rsid w:val="00533194"/>
    <w:rsid w:val="005332C8"/>
    <w:rsid w:val="00533C74"/>
    <w:rsid w:val="0053464E"/>
    <w:rsid w:val="005346C8"/>
    <w:rsid w:val="005352C8"/>
    <w:rsid w:val="005354C1"/>
    <w:rsid w:val="00535F99"/>
    <w:rsid w:val="00536356"/>
    <w:rsid w:val="00536CBB"/>
    <w:rsid w:val="00536DDD"/>
    <w:rsid w:val="00537033"/>
    <w:rsid w:val="00537085"/>
    <w:rsid w:val="00540A37"/>
    <w:rsid w:val="00540B49"/>
    <w:rsid w:val="00540D4C"/>
    <w:rsid w:val="005418DB"/>
    <w:rsid w:val="005434EA"/>
    <w:rsid w:val="00545D55"/>
    <w:rsid w:val="005461AB"/>
    <w:rsid w:val="00546C6A"/>
    <w:rsid w:val="00546FBA"/>
    <w:rsid w:val="0054782D"/>
    <w:rsid w:val="00547C57"/>
    <w:rsid w:val="00547F04"/>
    <w:rsid w:val="00550924"/>
    <w:rsid w:val="00550D63"/>
    <w:rsid w:val="00550EF1"/>
    <w:rsid w:val="00551075"/>
    <w:rsid w:val="005513C8"/>
    <w:rsid w:val="00551D4A"/>
    <w:rsid w:val="0055248E"/>
    <w:rsid w:val="0055352C"/>
    <w:rsid w:val="00553672"/>
    <w:rsid w:val="005538A6"/>
    <w:rsid w:val="00554F94"/>
    <w:rsid w:val="00555161"/>
    <w:rsid w:val="00555DE6"/>
    <w:rsid w:val="00555EB3"/>
    <w:rsid w:val="005567F6"/>
    <w:rsid w:val="00556E29"/>
    <w:rsid w:val="00557474"/>
    <w:rsid w:val="005575C9"/>
    <w:rsid w:val="00557DAA"/>
    <w:rsid w:val="00557DAD"/>
    <w:rsid w:val="00561138"/>
    <w:rsid w:val="00561369"/>
    <w:rsid w:val="00561699"/>
    <w:rsid w:val="0056194F"/>
    <w:rsid w:val="005619E1"/>
    <w:rsid w:val="00562207"/>
    <w:rsid w:val="00562629"/>
    <w:rsid w:val="005628FE"/>
    <w:rsid w:val="0056330E"/>
    <w:rsid w:val="0056364B"/>
    <w:rsid w:val="00563F70"/>
    <w:rsid w:val="00564191"/>
    <w:rsid w:val="00564557"/>
    <w:rsid w:val="0056458C"/>
    <w:rsid w:val="00564628"/>
    <w:rsid w:val="005648B9"/>
    <w:rsid w:val="00564A3C"/>
    <w:rsid w:val="00564F82"/>
    <w:rsid w:val="005653AF"/>
    <w:rsid w:val="00565501"/>
    <w:rsid w:val="00565755"/>
    <w:rsid w:val="00565AB9"/>
    <w:rsid w:val="0056601E"/>
    <w:rsid w:val="00566406"/>
    <w:rsid w:val="00566538"/>
    <w:rsid w:val="0056725A"/>
    <w:rsid w:val="0056741F"/>
    <w:rsid w:val="0056745E"/>
    <w:rsid w:val="00567647"/>
    <w:rsid w:val="0056781B"/>
    <w:rsid w:val="00567BE2"/>
    <w:rsid w:val="00570102"/>
    <w:rsid w:val="00570505"/>
    <w:rsid w:val="005712E6"/>
    <w:rsid w:val="005719AE"/>
    <w:rsid w:val="00572942"/>
    <w:rsid w:val="005730DB"/>
    <w:rsid w:val="00573251"/>
    <w:rsid w:val="005733A8"/>
    <w:rsid w:val="00573B5B"/>
    <w:rsid w:val="00573CFC"/>
    <w:rsid w:val="00573F55"/>
    <w:rsid w:val="0057540E"/>
    <w:rsid w:val="005757B6"/>
    <w:rsid w:val="00576EB8"/>
    <w:rsid w:val="0058000F"/>
    <w:rsid w:val="00580557"/>
    <w:rsid w:val="0058074F"/>
    <w:rsid w:val="005808F3"/>
    <w:rsid w:val="00580A76"/>
    <w:rsid w:val="00581042"/>
    <w:rsid w:val="00581703"/>
    <w:rsid w:val="00581B15"/>
    <w:rsid w:val="00581B54"/>
    <w:rsid w:val="005821DD"/>
    <w:rsid w:val="00582E42"/>
    <w:rsid w:val="00583908"/>
    <w:rsid w:val="005842FB"/>
    <w:rsid w:val="00584757"/>
    <w:rsid w:val="00584E21"/>
    <w:rsid w:val="005856D5"/>
    <w:rsid w:val="00585951"/>
    <w:rsid w:val="0058608B"/>
    <w:rsid w:val="005863C1"/>
    <w:rsid w:val="0058654D"/>
    <w:rsid w:val="00586786"/>
    <w:rsid w:val="005876B4"/>
    <w:rsid w:val="00587729"/>
    <w:rsid w:val="00587886"/>
    <w:rsid w:val="00587A66"/>
    <w:rsid w:val="00590147"/>
    <w:rsid w:val="00590BD1"/>
    <w:rsid w:val="00590D26"/>
    <w:rsid w:val="00591276"/>
    <w:rsid w:val="00591490"/>
    <w:rsid w:val="0059151A"/>
    <w:rsid w:val="005916C9"/>
    <w:rsid w:val="00591C7E"/>
    <w:rsid w:val="00591DCF"/>
    <w:rsid w:val="005929B4"/>
    <w:rsid w:val="00592A3C"/>
    <w:rsid w:val="0059367F"/>
    <w:rsid w:val="00593720"/>
    <w:rsid w:val="00593909"/>
    <w:rsid w:val="00593A71"/>
    <w:rsid w:val="00593F5B"/>
    <w:rsid w:val="005941E1"/>
    <w:rsid w:val="005943E2"/>
    <w:rsid w:val="0059442A"/>
    <w:rsid w:val="005946A0"/>
    <w:rsid w:val="00594B8A"/>
    <w:rsid w:val="00595009"/>
    <w:rsid w:val="005954B7"/>
    <w:rsid w:val="00595A05"/>
    <w:rsid w:val="00595F17"/>
    <w:rsid w:val="00595F3D"/>
    <w:rsid w:val="00595F89"/>
    <w:rsid w:val="00596873"/>
    <w:rsid w:val="00596BB3"/>
    <w:rsid w:val="00596BD4"/>
    <w:rsid w:val="00596FA8"/>
    <w:rsid w:val="005971A7"/>
    <w:rsid w:val="00597310"/>
    <w:rsid w:val="005977AB"/>
    <w:rsid w:val="005A01C5"/>
    <w:rsid w:val="005A0201"/>
    <w:rsid w:val="005A0532"/>
    <w:rsid w:val="005A07E7"/>
    <w:rsid w:val="005A0A57"/>
    <w:rsid w:val="005A0B9F"/>
    <w:rsid w:val="005A0DBB"/>
    <w:rsid w:val="005A0EBD"/>
    <w:rsid w:val="005A1270"/>
    <w:rsid w:val="005A1295"/>
    <w:rsid w:val="005A1585"/>
    <w:rsid w:val="005A1FBF"/>
    <w:rsid w:val="005A2081"/>
    <w:rsid w:val="005A29B1"/>
    <w:rsid w:val="005A2EBF"/>
    <w:rsid w:val="005A380B"/>
    <w:rsid w:val="005A4208"/>
    <w:rsid w:val="005A4890"/>
    <w:rsid w:val="005A49D4"/>
    <w:rsid w:val="005A4D7C"/>
    <w:rsid w:val="005A51C9"/>
    <w:rsid w:val="005A5DC0"/>
    <w:rsid w:val="005A62B3"/>
    <w:rsid w:val="005A6B6D"/>
    <w:rsid w:val="005A6F0E"/>
    <w:rsid w:val="005A6F57"/>
    <w:rsid w:val="005A7079"/>
    <w:rsid w:val="005A7235"/>
    <w:rsid w:val="005A795B"/>
    <w:rsid w:val="005A7A1A"/>
    <w:rsid w:val="005A7BAF"/>
    <w:rsid w:val="005B0652"/>
    <w:rsid w:val="005B1213"/>
    <w:rsid w:val="005B1329"/>
    <w:rsid w:val="005B1512"/>
    <w:rsid w:val="005B1B55"/>
    <w:rsid w:val="005B1DBD"/>
    <w:rsid w:val="005B2769"/>
    <w:rsid w:val="005B3EBD"/>
    <w:rsid w:val="005B48E8"/>
    <w:rsid w:val="005B55D9"/>
    <w:rsid w:val="005B56D9"/>
    <w:rsid w:val="005B5BA3"/>
    <w:rsid w:val="005B5E62"/>
    <w:rsid w:val="005B6B8B"/>
    <w:rsid w:val="005B6D00"/>
    <w:rsid w:val="005B727B"/>
    <w:rsid w:val="005B7341"/>
    <w:rsid w:val="005B778C"/>
    <w:rsid w:val="005B7E97"/>
    <w:rsid w:val="005B7F46"/>
    <w:rsid w:val="005C0251"/>
    <w:rsid w:val="005C0665"/>
    <w:rsid w:val="005C092A"/>
    <w:rsid w:val="005C09A7"/>
    <w:rsid w:val="005C102D"/>
    <w:rsid w:val="005C132C"/>
    <w:rsid w:val="005C17FB"/>
    <w:rsid w:val="005C1833"/>
    <w:rsid w:val="005C1838"/>
    <w:rsid w:val="005C18C2"/>
    <w:rsid w:val="005C1D93"/>
    <w:rsid w:val="005C2063"/>
    <w:rsid w:val="005C244F"/>
    <w:rsid w:val="005C2767"/>
    <w:rsid w:val="005C2922"/>
    <w:rsid w:val="005C2D28"/>
    <w:rsid w:val="005C2F60"/>
    <w:rsid w:val="005C323D"/>
    <w:rsid w:val="005C3772"/>
    <w:rsid w:val="005C39C3"/>
    <w:rsid w:val="005C4229"/>
    <w:rsid w:val="005C42E0"/>
    <w:rsid w:val="005C4580"/>
    <w:rsid w:val="005C5065"/>
    <w:rsid w:val="005C52F3"/>
    <w:rsid w:val="005C564C"/>
    <w:rsid w:val="005C60C8"/>
    <w:rsid w:val="005C6234"/>
    <w:rsid w:val="005C6605"/>
    <w:rsid w:val="005C71A0"/>
    <w:rsid w:val="005C751C"/>
    <w:rsid w:val="005C7802"/>
    <w:rsid w:val="005C7B50"/>
    <w:rsid w:val="005C7E73"/>
    <w:rsid w:val="005D029E"/>
    <w:rsid w:val="005D0427"/>
    <w:rsid w:val="005D0776"/>
    <w:rsid w:val="005D07AE"/>
    <w:rsid w:val="005D0B55"/>
    <w:rsid w:val="005D0C83"/>
    <w:rsid w:val="005D113B"/>
    <w:rsid w:val="005D1732"/>
    <w:rsid w:val="005D1BAC"/>
    <w:rsid w:val="005D2065"/>
    <w:rsid w:val="005D2D9A"/>
    <w:rsid w:val="005D3A6E"/>
    <w:rsid w:val="005D3B21"/>
    <w:rsid w:val="005D3B53"/>
    <w:rsid w:val="005D4019"/>
    <w:rsid w:val="005D41DC"/>
    <w:rsid w:val="005D43C3"/>
    <w:rsid w:val="005D460F"/>
    <w:rsid w:val="005D4638"/>
    <w:rsid w:val="005D4D7D"/>
    <w:rsid w:val="005D4DC5"/>
    <w:rsid w:val="005D5C22"/>
    <w:rsid w:val="005D5E6C"/>
    <w:rsid w:val="005D63A9"/>
    <w:rsid w:val="005D65D5"/>
    <w:rsid w:val="005D6C56"/>
    <w:rsid w:val="005D6F49"/>
    <w:rsid w:val="005D7E8A"/>
    <w:rsid w:val="005E06FA"/>
    <w:rsid w:val="005E0898"/>
    <w:rsid w:val="005E11A5"/>
    <w:rsid w:val="005E13D4"/>
    <w:rsid w:val="005E1435"/>
    <w:rsid w:val="005E21F3"/>
    <w:rsid w:val="005E235C"/>
    <w:rsid w:val="005E3078"/>
    <w:rsid w:val="005E34C0"/>
    <w:rsid w:val="005E3D71"/>
    <w:rsid w:val="005E44F1"/>
    <w:rsid w:val="005E49CA"/>
    <w:rsid w:val="005E5427"/>
    <w:rsid w:val="005E5428"/>
    <w:rsid w:val="005E5A7C"/>
    <w:rsid w:val="005E5C33"/>
    <w:rsid w:val="005E5F53"/>
    <w:rsid w:val="005E6976"/>
    <w:rsid w:val="005E6E12"/>
    <w:rsid w:val="005E6E55"/>
    <w:rsid w:val="005E70CD"/>
    <w:rsid w:val="005E74B3"/>
    <w:rsid w:val="005E74EC"/>
    <w:rsid w:val="005E7AB6"/>
    <w:rsid w:val="005E7B1E"/>
    <w:rsid w:val="005E7CBC"/>
    <w:rsid w:val="005E7EB3"/>
    <w:rsid w:val="005F0A62"/>
    <w:rsid w:val="005F0C8A"/>
    <w:rsid w:val="005F0D1D"/>
    <w:rsid w:val="005F0FA8"/>
    <w:rsid w:val="005F1C5D"/>
    <w:rsid w:val="005F222B"/>
    <w:rsid w:val="005F2317"/>
    <w:rsid w:val="005F2550"/>
    <w:rsid w:val="005F297E"/>
    <w:rsid w:val="005F2B2D"/>
    <w:rsid w:val="005F2D9C"/>
    <w:rsid w:val="005F2FD5"/>
    <w:rsid w:val="005F340A"/>
    <w:rsid w:val="005F3AE8"/>
    <w:rsid w:val="005F3B09"/>
    <w:rsid w:val="005F3B47"/>
    <w:rsid w:val="005F437B"/>
    <w:rsid w:val="005F47C1"/>
    <w:rsid w:val="005F4926"/>
    <w:rsid w:val="005F4B6F"/>
    <w:rsid w:val="005F5009"/>
    <w:rsid w:val="005F5054"/>
    <w:rsid w:val="005F530F"/>
    <w:rsid w:val="005F65D9"/>
    <w:rsid w:val="005F6768"/>
    <w:rsid w:val="005F69CF"/>
    <w:rsid w:val="005F6E39"/>
    <w:rsid w:val="005F6E58"/>
    <w:rsid w:val="005F704C"/>
    <w:rsid w:val="005F7A22"/>
    <w:rsid w:val="005F7B9D"/>
    <w:rsid w:val="00600501"/>
    <w:rsid w:val="006006CD"/>
    <w:rsid w:val="00600B0C"/>
    <w:rsid w:val="00601078"/>
    <w:rsid w:val="00602543"/>
    <w:rsid w:val="0060254C"/>
    <w:rsid w:val="00602DFA"/>
    <w:rsid w:val="006031D1"/>
    <w:rsid w:val="006033BF"/>
    <w:rsid w:val="00603702"/>
    <w:rsid w:val="00603B4B"/>
    <w:rsid w:val="00603F20"/>
    <w:rsid w:val="006042BD"/>
    <w:rsid w:val="00604A11"/>
    <w:rsid w:val="00604F37"/>
    <w:rsid w:val="0060508A"/>
    <w:rsid w:val="006055AF"/>
    <w:rsid w:val="00605942"/>
    <w:rsid w:val="00605C9F"/>
    <w:rsid w:val="00606814"/>
    <w:rsid w:val="006068E8"/>
    <w:rsid w:val="00606ADB"/>
    <w:rsid w:val="006072DE"/>
    <w:rsid w:val="006075F4"/>
    <w:rsid w:val="006078A8"/>
    <w:rsid w:val="00607BAD"/>
    <w:rsid w:val="00607EC7"/>
    <w:rsid w:val="0061048A"/>
    <w:rsid w:val="006104F8"/>
    <w:rsid w:val="00610AE7"/>
    <w:rsid w:val="00610BEE"/>
    <w:rsid w:val="00610CB4"/>
    <w:rsid w:val="00611178"/>
    <w:rsid w:val="0061148D"/>
    <w:rsid w:val="00611D01"/>
    <w:rsid w:val="00611D21"/>
    <w:rsid w:val="00611EB8"/>
    <w:rsid w:val="00612190"/>
    <w:rsid w:val="0061229F"/>
    <w:rsid w:val="006124B3"/>
    <w:rsid w:val="00612611"/>
    <w:rsid w:val="0061279A"/>
    <w:rsid w:val="00613009"/>
    <w:rsid w:val="006132EA"/>
    <w:rsid w:val="0061401C"/>
    <w:rsid w:val="0061420B"/>
    <w:rsid w:val="00614931"/>
    <w:rsid w:val="00614D33"/>
    <w:rsid w:val="0061537D"/>
    <w:rsid w:val="0061537F"/>
    <w:rsid w:val="00615DEA"/>
    <w:rsid w:val="006169F3"/>
    <w:rsid w:val="00616A60"/>
    <w:rsid w:val="00616EE6"/>
    <w:rsid w:val="006171FB"/>
    <w:rsid w:val="00617A2A"/>
    <w:rsid w:val="006207F4"/>
    <w:rsid w:val="006209A0"/>
    <w:rsid w:val="00620C67"/>
    <w:rsid w:val="00621646"/>
    <w:rsid w:val="00621803"/>
    <w:rsid w:val="006220F1"/>
    <w:rsid w:val="00622F27"/>
    <w:rsid w:val="00623C68"/>
    <w:rsid w:val="00623E46"/>
    <w:rsid w:val="00624604"/>
    <w:rsid w:val="00624D2C"/>
    <w:rsid w:val="00624EF1"/>
    <w:rsid w:val="00625145"/>
    <w:rsid w:val="006258C5"/>
    <w:rsid w:val="00627402"/>
    <w:rsid w:val="00630480"/>
    <w:rsid w:val="0063058E"/>
    <w:rsid w:val="006305F8"/>
    <w:rsid w:val="00631DA7"/>
    <w:rsid w:val="00632B9C"/>
    <w:rsid w:val="00632F18"/>
    <w:rsid w:val="006332D7"/>
    <w:rsid w:val="0063333D"/>
    <w:rsid w:val="00634225"/>
    <w:rsid w:val="00634B0E"/>
    <w:rsid w:val="00635003"/>
    <w:rsid w:val="006351CE"/>
    <w:rsid w:val="006352FD"/>
    <w:rsid w:val="00635819"/>
    <w:rsid w:val="00635B15"/>
    <w:rsid w:val="00635F12"/>
    <w:rsid w:val="006362E1"/>
    <w:rsid w:val="006367DA"/>
    <w:rsid w:val="00636FAD"/>
    <w:rsid w:val="006370E1"/>
    <w:rsid w:val="006375B2"/>
    <w:rsid w:val="006375BB"/>
    <w:rsid w:val="006379DE"/>
    <w:rsid w:val="006407FE"/>
    <w:rsid w:val="006409EE"/>
    <w:rsid w:val="00640AE7"/>
    <w:rsid w:val="00640BF7"/>
    <w:rsid w:val="00640C7D"/>
    <w:rsid w:val="00640E7E"/>
    <w:rsid w:val="00640FFF"/>
    <w:rsid w:val="00641761"/>
    <w:rsid w:val="006421D9"/>
    <w:rsid w:val="006424FE"/>
    <w:rsid w:val="006425FC"/>
    <w:rsid w:val="00642631"/>
    <w:rsid w:val="00642C3C"/>
    <w:rsid w:val="00642DF5"/>
    <w:rsid w:val="0064304A"/>
    <w:rsid w:val="0064329C"/>
    <w:rsid w:val="0064380B"/>
    <w:rsid w:val="00643A4F"/>
    <w:rsid w:val="00643FF5"/>
    <w:rsid w:val="006441FD"/>
    <w:rsid w:val="00644A6D"/>
    <w:rsid w:val="00644E5A"/>
    <w:rsid w:val="00644F2C"/>
    <w:rsid w:val="00645141"/>
    <w:rsid w:val="00645AEE"/>
    <w:rsid w:val="00646428"/>
    <w:rsid w:val="006466D4"/>
    <w:rsid w:val="0064707F"/>
    <w:rsid w:val="006471E8"/>
    <w:rsid w:val="00647E90"/>
    <w:rsid w:val="00647FA3"/>
    <w:rsid w:val="006500F7"/>
    <w:rsid w:val="00650769"/>
    <w:rsid w:val="00650865"/>
    <w:rsid w:val="00650B10"/>
    <w:rsid w:val="00650DF8"/>
    <w:rsid w:val="006516B7"/>
    <w:rsid w:val="006518E4"/>
    <w:rsid w:val="00651FB8"/>
    <w:rsid w:val="00652BA0"/>
    <w:rsid w:val="00652DF6"/>
    <w:rsid w:val="00652FCA"/>
    <w:rsid w:val="00653045"/>
    <w:rsid w:val="00653A25"/>
    <w:rsid w:val="00653D5C"/>
    <w:rsid w:val="00653D93"/>
    <w:rsid w:val="00653FDA"/>
    <w:rsid w:val="006541A0"/>
    <w:rsid w:val="00654E99"/>
    <w:rsid w:val="00655104"/>
    <w:rsid w:val="0065548F"/>
    <w:rsid w:val="0065558B"/>
    <w:rsid w:val="00655633"/>
    <w:rsid w:val="006559BB"/>
    <w:rsid w:val="00655A93"/>
    <w:rsid w:val="00655D93"/>
    <w:rsid w:val="00655E86"/>
    <w:rsid w:val="00656614"/>
    <w:rsid w:val="00656C4D"/>
    <w:rsid w:val="006577CD"/>
    <w:rsid w:val="006578A6"/>
    <w:rsid w:val="00657CCC"/>
    <w:rsid w:val="00660162"/>
    <w:rsid w:val="0066036D"/>
    <w:rsid w:val="00660400"/>
    <w:rsid w:val="006604FA"/>
    <w:rsid w:val="00660879"/>
    <w:rsid w:val="00661639"/>
    <w:rsid w:val="0066174D"/>
    <w:rsid w:val="00661E36"/>
    <w:rsid w:val="00661F03"/>
    <w:rsid w:val="006631D3"/>
    <w:rsid w:val="00663210"/>
    <w:rsid w:val="00663D0F"/>
    <w:rsid w:val="00664525"/>
    <w:rsid w:val="0066454A"/>
    <w:rsid w:val="0066465B"/>
    <w:rsid w:val="00664C81"/>
    <w:rsid w:val="0066521A"/>
    <w:rsid w:val="0066540C"/>
    <w:rsid w:val="00665EAE"/>
    <w:rsid w:val="006661EA"/>
    <w:rsid w:val="00666909"/>
    <w:rsid w:val="00666EBC"/>
    <w:rsid w:val="00667034"/>
    <w:rsid w:val="0066711C"/>
    <w:rsid w:val="00667189"/>
    <w:rsid w:val="00667212"/>
    <w:rsid w:val="0066733C"/>
    <w:rsid w:val="0066749E"/>
    <w:rsid w:val="00667CCB"/>
    <w:rsid w:val="00667EFD"/>
    <w:rsid w:val="00670475"/>
    <w:rsid w:val="0067097F"/>
    <w:rsid w:val="00670B8C"/>
    <w:rsid w:val="00670C4A"/>
    <w:rsid w:val="00671F3E"/>
    <w:rsid w:val="006722BF"/>
    <w:rsid w:val="00672482"/>
    <w:rsid w:val="00672A18"/>
    <w:rsid w:val="006735D0"/>
    <w:rsid w:val="006739E9"/>
    <w:rsid w:val="00674AF5"/>
    <w:rsid w:val="00674D52"/>
    <w:rsid w:val="00674F93"/>
    <w:rsid w:val="0067546F"/>
    <w:rsid w:val="00675A94"/>
    <w:rsid w:val="00675F1E"/>
    <w:rsid w:val="006768B7"/>
    <w:rsid w:val="00676CE4"/>
    <w:rsid w:val="00676EC2"/>
    <w:rsid w:val="00676FA5"/>
    <w:rsid w:val="006771A4"/>
    <w:rsid w:val="006771AD"/>
    <w:rsid w:val="006774A8"/>
    <w:rsid w:val="00677572"/>
    <w:rsid w:val="00677C75"/>
    <w:rsid w:val="00677E7B"/>
    <w:rsid w:val="00680B18"/>
    <w:rsid w:val="00681229"/>
    <w:rsid w:val="0068185E"/>
    <w:rsid w:val="00681BE5"/>
    <w:rsid w:val="00681E30"/>
    <w:rsid w:val="00682CF6"/>
    <w:rsid w:val="0068379B"/>
    <w:rsid w:val="00683D98"/>
    <w:rsid w:val="00683D99"/>
    <w:rsid w:val="00684079"/>
    <w:rsid w:val="006840FC"/>
    <w:rsid w:val="00685336"/>
    <w:rsid w:val="00685412"/>
    <w:rsid w:val="0068629B"/>
    <w:rsid w:val="00686C12"/>
    <w:rsid w:val="00686D75"/>
    <w:rsid w:val="0068736A"/>
    <w:rsid w:val="00687D17"/>
    <w:rsid w:val="00690024"/>
    <w:rsid w:val="0069017D"/>
    <w:rsid w:val="006903A4"/>
    <w:rsid w:val="00690883"/>
    <w:rsid w:val="00690CAA"/>
    <w:rsid w:val="00690E5A"/>
    <w:rsid w:val="00690EFB"/>
    <w:rsid w:val="006911F9"/>
    <w:rsid w:val="006912CB"/>
    <w:rsid w:val="0069137B"/>
    <w:rsid w:val="006913EC"/>
    <w:rsid w:val="006914B7"/>
    <w:rsid w:val="00691742"/>
    <w:rsid w:val="00691DEE"/>
    <w:rsid w:val="006920F5"/>
    <w:rsid w:val="00692147"/>
    <w:rsid w:val="00692242"/>
    <w:rsid w:val="0069236E"/>
    <w:rsid w:val="00692704"/>
    <w:rsid w:val="00692E67"/>
    <w:rsid w:val="00693ACF"/>
    <w:rsid w:val="00693EE5"/>
    <w:rsid w:val="00693FBC"/>
    <w:rsid w:val="006944C5"/>
    <w:rsid w:val="00694A7E"/>
    <w:rsid w:val="00694B8D"/>
    <w:rsid w:val="0069561C"/>
    <w:rsid w:val="00695634"/>
    <w:rsid w:val="00695696"/>
    <w:rsid w:val="0069600D"/>
    <w:rsid w:val="00696143"/>
    <w:rsid w:val="006962CF"/>
    <w:rsid w:val="006963AE"/>
    <w:rsid w:val="0069640F"/>
    <w:rsid w:val="00696B07"/>
    <w:rsid w:val="00697053"/>
    <w:rsid w:val="006A066A"/>
    <w:rsid w:val="006A06CA"/>
    <w:rsid w:val="006A083E"/>
    <w:rsid w:val="006A0FFD"/>
    <w:rsid w:val="006A1170"/>
    <w:rsid w:val="006A14A3"/>
    <w:rsid w:val="006A159D"/>
    <w:rsid w:val="006A18BF"/>
    <w:rsid w:val="006A1F58"/>
    <w:rsid w:val="006A242E"/>
    <w:rsid w:val="006A25E9"/>
    <w:rsid w:val="006A26AB"/>
    <w:rsid w:val="006A298D"/>
    <w:rsid w:val="006A2F80"/>
    <w:rsid w:val="006A3FD6"/>
    <w:rsid w:val="006A4076"/>
    <w:rsid w:val="006A436F"/>
    <w:rsid w:val="006A4E5B"/>
    <w:rsid w:val="006A5249"/>
    <w:rsid w:val="006A59D8"/>
    <w:rsid w:val="006A5A45"/>
    <w:rsid w:val="006A5C13"/>
    <w:rsid w:val="006A608E"/>
    <w:rsid w:val="006A6B7B"/>
    <w:rsid w:val="006A73D2"/>
    <w:rsid w:val="006A75B8"/>
    <w:rsid w:val="006A78F8"/>
    <w:rsid w:val="006A7991"/>
    <w:rsid w:val="006A7C26"/>
    <w:rsid w:val="006A7E27"/>
    <w:rsid w:val="006B010E"/>
    <w:rsid w:val="006B091F"/>
    <w:rsid w:val="006B0CAF"/>
    <w:rsid w:val="006B0ED0"/>
    <w:rsid w:val="006B0EED"/>
    <w:rsid w:val="006B147E"/>
    <w:rsid w:val="006B1DF6"/>
    <w:rsid w:val="006B233F"/>
    <w:rsid w:val="006B275E"/>
    <w:rsid w:val="006B28EA"/>
    <w:rsid w:val="006B2DA3"/>
    <w:rsid w:val="006B2FBB"/>
    <w:rsid w:val="006B378A"/>
    <w:rsid w:val="006B3BD5"/>
    <w:rsid w:val="006B4185"/>
    <w:rsid w:val="006B4224"/>
    <w:rsid w:val="006B4493"/>
    <w:rsid w:val="006B4B62"/>
    <w:rsid w:val="006B53DC"/>
    <w:rsid w:val="006B5423"/>
    <w:rsid w:val="006B5855"/>
    <w:rsid w:val="006B5AB2"/>
    <w:rsid w:val="006B5C67"/>
    <w:rsid w:val="006B5EA4"/>
    <w:rsid w:val="006B6B5D"/>
    <w:rsid w:val="006B6C0D"/>
    <w:rsid w:val="006B7825"/>
    <w:rsid w:val="006B7D68"/>
    <w:rsid w:val="006C033F"/>
    <w:rsid w:val="006C0685"/>
    <w:rsid w:val="006C1818"/>
    <w:rsid w:val="006C1F8B"/>
    <w:rsid w:val="006C2145"/>
    <w:rsid w:val="006C2721"/>
    <w:rsid w:val="006C323A"/>
    <w:rsid w:val="006C339C"/>
    <w:rsid w:val="006C3868"/>
    <w:rsid w:val="006C38FF"/>
    <w:rsid w:val="006C39EC"/>
    <w:rsid w:val="006C3E6E"/>
    <w:rsid w:val="006C3EEA"/>
    <w:rsid w:val="006C43A6"/>
    <w:rsid w:val="006C44EC"/>
    <w:rsid w:val="006C4A4A"/>
    <w:rsid w:val="006C5293"/>
    <w:rsid w:val="006C53EB"/>
    <w:rsid w:val="006C54F0"/>
    <w:rsid w:val="006C5B37"/>
    <w:rsid w:val="006C5D29"/>
    <w:rsid w:val="006C650D"/>
    <w:rsid w:val="006C69A5"/>
    <w:rsid w:val="006C6A4D"/>
    <w:rsid w:val="006C6CF3"/>
    <w:rsid w:val="006C722B"/>
    <w:rsid w:val="006C7740"/>
    <w:rsid w:val="006D0389"/>
    <w:rsid w:val="006D0848"/>
    <w:rsid w:val="006D088D"/>
    <w:rsid w:val="006D0BA5"/>
    <w:rsid w:val="006D0C15"/>
    <w:rsid w:val="006D0D8B"/>
    <w:rsid w:val="006D0FBF"/>
    <w:rsid w:val="006D10DC"/>
    <w:rsid w:val="006D1586"/>
    <w:rsid w:val="006D19C1"/>
    <w:rsid w:val="006D2827"/>
    <w:rsid w:val="006D2848"/>
    <w:rsid w:val="006D2B19"/>
    <w:rsid w:val="006D2B9E"/>
    <w:rsid w:val="006D2EC9"/>
    <w:rsid w:val="006D3A05"/>
    <w:rsid w:val="006D3B62"/>
    <w:rsid w:val="006D3FDF"/>
    <w:rsid w:val="006D4527"/>
    <w:rsid w:val="006D4B05"/>
    <w:rsid w:val="006D4EE5"/>
    <w:rsid w:val="006D4F86"/>
    <w:rsid w:val="006D5F98"/>
    <w:rsid w:val="006D6665"/>
    <w:rsid w:val="006D7098"/>
    <w:rsid w:val="006D72FB"/>
    <w:rsid w:val="006D740E"/>
    <w:rsid w:val="006D7C8A"/>
    <w:rsid w:val="006D7F72"/>
    <w:rsid w:val="006E00B7"/>
    <w:rsid w:val="006E0CB5"/>
    <w:rsid w:val="006E0E5B"/>
    <w:rsid w:val="006E132F"/>
    <w:rsid w:val="006E2701"/>
    <w:rsid w:val="006E3023"/>
    <w:rsid w:val="006E3369"/>
    <w:rsid w:val="006E3D12"/>
    <w:rsid w:val="006E449C"/>
    <w:rsid w:val="006E4726"/>
    <w:rsid w:val="006E4E72"/>
    <w:rsid w:val="006E4FCD"/>
    <w:rsid w:val="006E50D0"/>
    <w:rsid w:val="006E5B0B"/>
    <w:rsid w:val="006E663E"/>
    <w:rsid w:val="006E6655"/>
    <w:rsid w:val="006E6855"/>
    <w:rsid w:val="006E6C69"/>
    <w:rsid w:val="006E6E42"/>
    <w:rsid w:val="006E6EDF"/>
    <w:rsid w:val="006E7BA5"/>
    <w:rsid w:val="006F01E8"/>
    <w:rsid w:val="006F02D7"/>
    <w:rsid w:val="006F07FA"/>
    <w:rsid w:val="006F0EBB"/>
    <w:rsid w:val="006F1E96"/>
    <w:rsid w:val="006F2D24"/>
    <w:rsid w:val="006F37F7"/>
    <w:rsid w:val="006F38C3"/>
    <w:rsid w:val="006F3909"/>
    <w:rsid w:val="006F4036"/>
    <w:rsid w:val="006F428E"/>
    <w:rsid w:val="006F48E1"/>
    <w:rsid w:val="006F5160"/>
    <w:rsid w:val="006F5374"/>
    <w:rsid w:val="006F60DF"/>
    <w:rsid w:val="006F62BD"/>
    <w:rsid w:val="006F68C1"/>
    <w:rsid w:val="006F6B60"/>
    <w:rsid w:val="006F6CE2"/>
    <w:rsid w:val="006F6E10"/>
    <w:rsid w:val="006F7800"/>
    <w:rsid w:val="00700132"/>
    <w:rsid w:val="007014F8"/>
    <w:rsid w:val="0070150D"/>
    <w:rsid w:val="007016D2"/>
    <w:rsid w:val="007018D8"/>
    <w:rsid w:val="007029E8"/>
    <w:rsid w:val="00703107"/>
    <w:rsid w:val="00703138"/>
    <w:rsid w:val="00703277"/>
    <w:rsid w:val="0070356D"/>
    <w:rsid w:val="00703981"/>
    <w:rsid w:val="00703D7E"/>
    <w:rsid w:val="00703DE6"/>
    <w:rsid w:val="007041A7"/>
    <w:rsid w:val="0070495F"/>
    <w:rsid w:val="00704B6E"/>
    <w:rsid w:val="00704F73"/>
    <w:rsid w:val="0070508D"/>
    <w:rsid w:val="0070542E"/>
    <w:rsid w:val="00705886"/>
    <w:rsid w:val="00706096"/>
    <w:rsid w:val="007060D4"/>
    <w:rsid w:val="0070624C"/>
    <w:rsid w:val="00706451"/>
    <w:rsid w:val="00706764"/>
    <w:rsid w:val="00707E0F"/>
    <w:rsid w:val="007100F9"/>
    <w:rsid w:val="0071068A"/>
    <w:rsid w:val="00710E19"/>
    <w:rsid w:val="00710E52"/>
    <w:rsid w:val="0071154B"/>
    <w:rsid w:val="007116B6"/>
    <w:rsid w:val="007116E8"/>
    <w:rsid w:val="0071174F"/>
    <w:rsid w:val="0071196A"/>
    <w:rsid w:val="00711C03"/>
    <w:rsid w:val="00711EFC"/>
    <w:rsid w:val="0071227C"/>
    <w:rsid w:val="007131CF"/>
    <w:rsid w:val="007132CD"/>
    <w:rsid w:val="007133C0"/>
    <w:rsid w:val="00713597"/>
    <w:rsid w:val="00713613"/>
    <w:rsid w:val="007137C6"/>
    <w:rsid w:val="007138FC"/>
    <w:rsid w:val="0071393D"/>
    <w:rsid w:val="00713E79"/>
    <w:rsid w:val="00714245"/>
    <w:rsid w:val="00714901"/>
    <w:rsid w:val="00714C20"/>
    <w:rsid w:val="00714CD9"/>
    <w:rsid w:val="00715441"/>
    <w:rsid w:val="00715739"/>
    <w:rsid w:val="0071576C"/>
    <w:rsid w:val="00715C94"/>
    <w:rsid w:val="00715EA7"/>
    <w:rsid w:val="00715F72"/>
    <w:rsid w:val="00716A09"/>
    <w:rsid w:val="007170DB"/>
    <w:rsid w:val="00717880"/>
    <w:rsid w:val="00717CA8"/>
    <w:rsid w:val="007205E7"/>
    <w:rsid w:val="007209C4"/>
    <w:rsid w:val="00721ACB"/>
    <w:rsid w:val="00721E9E"/>
    <w:rsid w:val="007227FE"/>
    <w:rsid w:val="0072290A"/>
    <w:rsid w:val="007233C3"/>
    <w:rsid w:val="00723C95"/>
    <w:rsid w:val="007244E7"/>
    <w:rsid w:val="0072505F"/>
    <w:rsid w:val="00725B00"/>
    <w:rsid w:val="00725E54"/>
    <w:rsid w:val="0072680C"/>
    <w:rsid w:val="0072698B"/>
    <w:rsid w:val="00726A25"/>
    <w:rsid w:val="00726B3D"/>
    <w:rsid w:val="00726C64"/>
    <w:rsid w:val="007310B7"/>
    <w:rsid w:val="00731237"/>
    <w:rsid w:val="0073207E"/>
    <w:rsid w:val="00732664"/>
    <w:rsid w:val="00732BA7"/>
    <w:rsid w:val="007333EA"/>
    <w:rsid w:val="00733535"/>
    <w:rsid w:val="00733601"/>
    <w:rsid w:val="00733A57"/>
    <w:rsid w:val="00733BB1"/>
    <w:rsid w:val="00733F36"/>
    <w:rsid w:val="007340CE"/>
    <w:rsid w:val="00734781"/>
    <w:rsid w:val="007349FC"/>
    <w:rsid w:val="00734B6F"/>
    <w:rsid w:val="00735293"/>
    <w:rsid w:val="00735376"/>
    <w:rsid w:val="007363EA"/>
    <w:rsid w:val="00736E06"/>
    <w:rsid w:val="00736E37"/>
    <w:rsid w:val="00737286"/>
    <w:rsid w:val="007373DB"/>
    <w:rsid w:val="00737F27"/>
    <w:rsid w:val="00737FD3"/>
    <w:rsid w:val="007407DB"/>
    <w:rsid w:val="0074085F"/>
    <w:rsid w:val="00740BFC"/>
    <w:rsid w:val="00740F76"/>
    <w:rsid w:val="00741037"/>
    <w:rsid w:val="0074198F"/>
    <w:rsid w:val="007422B3"/>
    <w:rsid w:val="007424BF"/>
    <w:rsid w:val="007434BD"/>
    <w:rsid w:val="007435F1"/>
    <w:rsid w:val="00743B30"/>
    <w:rsid w:val="00743DDD"/>
    <w:rsid w:val="00744625"/>
    <w:rsid w:val="007446BB"/>
    <w:rsid w:val="00745244"/>
    <w:rsid w:val="00745882"/>
    <w:rsid w:val="00745A04"/>
    <w:rsid w:val="00745A0F"/>
    <w:rsid w:val="00745DFD"/>
    <w:rsid w:val="00746197"/>
    <w:rsid w:val="0074689C"/>
    <w:rsid w:val="00746B3F"/>
    <w:rsid w:val="00747117"/>
    <w:rsid w:val="007471CA"/>
    <w:rsid w:val="007479C2"/>
    <w:rsid w:val="00747B0D"/>
    <w:rsid w:val="00750712"/>
    <w:rsid w:val="007511BA"/>
    <w:rsid w:val="00751452"/>
    <w:rsid w:val="00751D06"/>
    <w:rsid w:val="00751D74"/>
    <w:rsid w:val="007521A5"/>
    <w:rsid w:val="00752243"/>
    <w:rsid w:val="007531BA"/>
    <w:rsid w:val="00753959"/>
    <w:rsid w:val="00753DD6"/>
    <w:rsid w:val="007548F5"/>
    <w:rsid w:val="00754A4A"/>
    <w:rsid w:val="007567A8"/>
    <w:rsid w:val="00756EB2"/>
    <w:rsid w:val="0075766F"/>
    <w:rsid w:val="00760D1E"/>
    <w:rsid w:val="00760F66"/>
    <w:rsid w:val="00761103"/>
    <w:rsid w:val="007611F8"/>
    <w:rsid w:val="00761200"/>
    <w:rsid w:val="0076127E"/>
    <w:rsid w:val="0076135C"/>
    <w:rsid w:val="007615F6"/>
    <w:rsid w:val="007618E2"/>
    <w:rsid w:val="00761931"/>
    <w:rsid w:val="00761BD1"/>
    <w:rsid w:val="00762034"/>
    <w:rsid w:val="007627BA"/>
    <w:rsid w:val="0076291E"/>
    <w:rsid w:val="00762D81"/>
    <w:rsid w:val="00762DDF"/>
    <w:rsid w:val="0076317B"/>
    <w:rsid w:val="007634C7"/>
    <w:rsid w:val="007639A1"/>
    <w:rsid w:val="00763CB9"/>
    <w:rsid w:val="007643D5"/>
    <w:rsid w:val="00765366"/>
    <w:rsid w:val="00765614"/>
    <w:rsid w:val="00765914"/>
    <w:rsid w:val="0076614D"/>
    <w:rsid w:val="0076624C"/>
    <w:rsid w:val="0076627D"/>
    <w:rsid w:val="00766304"/>
    <w:rsid w:val="00766AA0"/>
    <w:rsid w:val="007674B9"/>
    <w:rsid w:val="00767A28"/>
    <w:rsid w:val="00767DD2"/>
    <w:rsid w:val="00767ECC"/>
    <w:rsid w:val="00770221"/>
    <w:rsid w:val="0077082B"/>
    <w:rsid w:val="00770B12"/>
    <w:rsid w:val="00770E60"/>
    <w:rsid w:val="00771848"/>
    <w:rsid w:val="00771A64"/>
    <w:rsid w:val="00771C8F"/>
    <w:rsid w:val="00772019"/>
    <w:rsid w:val="00772521"/>
    <w:rsid w:val="0077266E"/>
    <w:rsid w:val="0077292E"/>
    <w:rsid w:val="00772D52"/>
    <w:rsid w:val="00773287"/>
    <w:rsid w:val="007737D8"/>
    <w:rsid w:val="0077391C"/>
    <w:rsid w:val="00773D24"/>
    <w:rsid w:val="00774576"/>
    <w:rsid w:val="00774D87"/>
    <w:rsid w:val="0077508A"/>
    <w:rsid w:val="00775567"/>
    <w:rsid w:val="00775E0D"/>
    <w:rsid w:val="00776343"/>
    <w:rsid w:val="00776416"/>
    <w:rsid w:val="00776C7B"/>
    <w:rsid w:val="00776CEF"/>
    <w:rsid w:val="0077790B"/>
    <w:rsid w:val="00777E7E"/>
    <w:rsid w:val="007804DD"/>
    <w:rsid w:val="0078095A"/>
    <w:rsid w:val="00780F3B"/>
    <w:rsid w:val="007816EE"/>
    <w:rsid w:val="00782071"/>
    <w:rsid w:val="00782946"/>
    <w:rsid w:val="00782A5C"/>
    <w:rsid w:val="00782AB1"/>
    <w:rsid w:val="00782ECD"/>
    <w:rsid w:val="007835FB"/>
    <w:rsid w:val="0078363B"/>
    <w:rsid w:val="00783CCF"/>
    <w:rsid w:val="00783F5A"/>
    <w:rsid w:val="00783F5B"/>
    <w:rsid w:val="0078445D"/>
    <w:rsid w:val="00784609"/>
    <w:rsid w:val="00784720"/>
    <w:rsid w:val="0078481D"/>
    <w:rsid w:val="007859FC"/>
    <w:rsid w:val="00785F4C"/>
    <w:rsid w:val="0078609C"/>
    <w:rsid w:val="00786355"/>
    <w:rsid w:val="00787370"/>
    <w:rsid w:val="007874AE"/>
    <w:rsid w:val="0078750B"/>
    <w:rsid w:val="00787F5E"/>
    <w:rsid w:val="0079024D"/>
    <w:rsid w:val="007911B8"/>
    <w:rsid w:val="00791DAE"/>
    <w:rsid w:val="007930E8"/>
    <w:rsid w:val="007935F5"/>
    <w:rsid w:val="00793D04"/>
    <w:rsid w:val="00793F28"/>
    <w:rsid w:val="00793FDB"/>
    <w:rsid w:val="00794252"/>
    <w:rsid w:val="007944D2"/>
    <w:rsid w:val="00794B19"/>
    <w:rsid w:val="00795768"/>
    <w:rsid w:val="00795B8D"/>
    <w:rsid w:val="00795EB9"/>
    <w:rsid w:val="00795F0E"/>
    <w:rsid w:val="007960A9"/>
    <w:rsid w:val="00796649"/>
    <w:rsid w:val="00797D8F"/>
    <w:rsid w:val="007A0C00"/>
    <w:rsid w:val="007A0E15"/>
    <w:rsid w:val="007A16A6"/>
    <w:rsid w:val="007A176E"/>
    <w:rsid w:val="007A19BF"/>
    <w:rsid w:val="007A2A69"/>
    <w:rsid w:val="007A2CF1"/>
    <w:rsid w:val="007A3F51"/>
    <w:rsid w:val="007A41B5"/>
    <w:rsid w:val="007A4486"/>
    <w:rsid w:val="007A4682"/>
    <w:rsid w:val="007A49D1"/>
    <w:rsid w:val="007A5879"/>
    <w:rsid w:val="007A58A8"/>
    <w:rsid w:val="007A5BDC"/>
    <w:rsid w:val="007A629D"/>
    <w:rsid w:val="007A6610"/>
    <w:rsid w:val="007A6DD3"/>
    <w:rsid w:val="007A6FF3"/>
    <w:rsid w:val="007A71DC"/>
    <w:rsid w:val="007A7A04"/>
    <w:rsid w:val="007B04FF"/>
    <w:rsid w:val="007B0976"/>
    <w:rsid w:val="007B0CAC"/>
    <w:rsid w:val="007B15F3"/>
    <w:rsid w:val="007B1701"/>
    <w:rsid w:val="007B17C0"/>
    <w:rsid w:val="007B1C32"/>
    <w:rsid w:val="007B1DBB"/>
    <w:rsid w:val="007B2319"/>
    <w:rsid w:val="007B2FBF"/>
    <w:rsid w:val="007B3E13"/>
    <w:rsid w:val="007B4046"/>
    <w:rsid w:val="007B4300"/>
    <w:rsid w:val="007B44CE"/>
    <w:rsid w:val="007B44F9"/>
    <w:rsid w:val="007B46A1"/>
    <w:rsid w:val="007B4E05"/>
    <w:rsid w:val="007B565C"/>
    <w:rsid w:val="007B595F"/>
    <w:rsid w:val="007B5D75"/>
    <w:rsid w:val="007B6388"/>
    <w:rsid w:val="007B6D5E"/>
    <w:rsid w:val="007B7115"/>
    <w:rsid w:val="007B736B"/>
    <w:rsid w:val="007C0090"/>
    <w:rsid w:val="007C0221"/>
    <w:rsid w:val="007C0853"/>
    <w:rsid w:val="007C08D0"/>
    <w:rsid w:val="007C08FD"/>
    <w:rsid w:val="007C0C90"/>
    <w:rsid w:val="007C0E07"/>
    <w:rsid w:val="007C0E86"/>
    <w:rsid w:val="007C10EE"/>
    <w:rsid w:val="007C249E"/>
    <w:rsid w:val="007C26CF"/>
    <w:rsid w:val="007C271B"/>
    <w:rsid w:val="007C2C14"/>
    <w:rsid w:val="007C2D50"/>
    <w:rsid w:val="007C357D"/>
    <w:rsid w:val="007C3A55"/>
    <w:rsid w:val="007C4166"/>
    <w:rsid w:val="007C4364"/>
    <w:rsid w:val="007C44E1"/>
    <w:rsid w:val="007C48DD"/>
    <w:rsid w:val="007C4A05"/>
    <w:rsid w:val="007C4D79"/>
    <w:rsid w:val="007C5711"/>
    <w:rsid w:val="007C57B9"/>
    <w:rsid w:val="007C6325"/>
    <w:rsid w:val="007C6C53"/>
    <w:rsid w:val="007C71EA"/>
    <w:rsid w:val="007C71FB"/>
    <w:rsid w:val="007C73A3"/>
    <w:rsid w:val="007C7975"/>
    <w:rsid w:val="007C7EF5"/>
    <w:rsid w:val="007D06AC"/>
    <w:rsid w:val="007D0741"/>
    <w:rsid w:val="007D0A53"/>
    <w:rsid w:val="007D0C62"/>
    <w:rsid w:val="007D0FFC"/>
    <w:rsid w:val="007D1013"/>
    <w:rsid w:val="007D19EC"/>
    <w:rsid w:val="007D1D3E"/>
    <w:rsid w:val="007D1FAE"/>
    <w:rsid w:val="007D2180"/>
    <w:rsid w:val="007D2608"/>
    <w:rsid w:val="007D30C3"/>
    <w:rsid w:val="007D35AC"/>
    <w:rsid w:val="007D36B1"/>
    <w:rsid w:val="007D36D7"/>
    <w:rsid w:val="007D3BA1"/>
    <w:rsid w:val="007D3BDB"/>
    <w:rsid w:val="007D3E8A"/>
    <w:rsid w:val="007D3EC8"/>
    <w:rsid w:val="007D40AC"/>
    <w:rsid w:val="007D4317"/>
    <w:rsid w:val="007D4C12"/>
    <w:rsid w:val="007D57E0"/>
    <w:rsid w:val="007D5962"/>
    <w:rsid w:val="007D63B2"/>
    <w:rsid w:val="007D651D"/>
    <w:rsid w:val="007D71B7"/>
    <w:rsid w:val="007D7C66"/>
    <w:rsid w:val="007D7CF3"/>
    <w:rsid w:val="007E0274"/>
    <w:rsid w:val="007E02A7"/>
    <w:rsid w:val="007E0415"/>
    <w:rsid w:val="007E0991"/>
    <w:rsid w:val="007E0B2C"/>
    <w:rsid w:val="007E107F"/>
    <w:rsid w:val="007E1C84"/>
    <w:rsid w:val="007E25ED"/>
    <w:rsid w:val="007E2998"/>
    <w:rsid w:val="007E2FD7"/>
    <w:rsid w:val="007E310B"/>
    <w:rsid w:val="007E3632"/>
    <w:rsid w:val="007E38DA"/>
    <w:rsid w:val="007E3D65"/>
    <w:rsid w:val="007E3EE2"/>
    <w:rsid w:val="007E47E7"/>
    <w:rsid w:val="007E4A98"/>
    <w:rsid w:val="007E4EB6"/>
    <w:rsid w:val="007E5DD7"/>
    <w:rsid w:val="007E7139"/>
    <w:rsid w:val="007E7366"/>
    <w:rsid w:val="007E7EA1"/>
    <w:rsid w:val="007E7EA4"/>
    <w:rsid w:val="007F03CE"/>
    <w:rsid w:val="007F04D3"/>
    <w:rsid w:val="007F0DB7"/>
    <w:rsid w:val="007F0E95"/>
    <w:rsid w:val="007F137D"/>
    <w:rsid w:val="007F2D8D"/>
    <w:rsid w:val="007F2EBF"/>
    <w:rsid w:val="007F3044"/>
    <w:rsid w:val="007F3249"/>
    <w:rsid w:val="007F33AB"/>
    <w:rsid w:val="007F4657"/>
    <w:rsid w:val="007F49E6"/>
    <w:rsid w:val="007F5609"/>
    <w:rsid w:val="007F5625"/>
    <w:rsid w:val="007F568A"/>
    <w:rsid w:val="007F59F7"/>
    <w:rsid w:val="007F5D13"/>
    <w:rsid w:val="007F5E21"/>
    <w:rsid w:val="007F619D"/>
    <w:rsid w:val="007F6413"/>
    <w:rsid w:val="007F676E"/>
    <w:rsid w:val="007F68FC"/>
    <w:rsid w:val="007F6B11"/>
    <w:rsid w:val="007F6C91"/>
    <w:rsid w:val="007F6E2B"/>
    <w:rsid w:val="007F6F3C"/>
    <w:rsid w:val="007F7D12"/>
    <w:rsid w:val="007F7F02"/>
    <w:rsid w:val="00800258"/>
    <w:rsid w:val="00800562"/>
    <w:rsid w:val="00800AE4"/>
    <w:rsid w:val="00800C97"/>
    <w:rsid w:val="00800E69"/>
    <w:rsid w:val="00801350"/>
    <w:rsid w:val="008015BF"/>
    <w:rsid w:val="00801A63"/>
    <w:rsid w:val="00801D6B"/>
    <w:rsid w:val="0080220F"/>
    <w:rsid w:val="00802735"/>
    <w:rsid w:val="008028C2"/>
    <w:rsid w:val="00802986"/>
    <w:rsid w:val="00802DDB"/>
    <w:rsid w:val="00803165"/>
    <w:rsid w:val="008031A9"/>
    <w:rsid w:val="008037D8"/>
    <w:rsid w:val="00803B7E"/>
    <w:rsid w:val="00803DA6"/>
    <w:rsid w:val="008040D9"/>
    <w:rsid w:val="0080436E"/>
    <w:rsid w:val="008043C1"/>
    <w:rsid w:val="00804937"/>
    <w:rsid w:val="00804E1E"/>
    <w:rsid w:val="00804E43"/>
    <w:rsid w:val="008050F5"/>
    <w:rsid w:val="00805112"/>
    <w:rsid w:val="0080512F"/>
    <w:rsid w:val="0080519C"/>
    <w:rsid w:val="008069B6"/>
    <w:rsid w:val="00810518"/>
    <w:rsid w:val="008106D3"/>
    <w:rsid w:val="00810BC2"/>
    <w:rsid w:val="00810E0E"/>
    <w:rsid w:val="00811683"/>
    <w:rsid w:val="00811AFF"/>
    <w:rsid w:val="00812102"/>
    <w:rsid w:val="00812373"/>
    <w:rsid w:val="00813640"/>
    <w:rsid w:val="00813F3A"/>
    <w:rsid w:val="008140E8"/>
    <w:rsid w:val="00814271"/>
    <w:rsid w:val="00814941"/>
    <w:rsid w:val="00814955"/>
    <w:rsid w:val="00814A65"/>
    <w:rsid w:val="00814BD9"/>
    <w:rsid w:val="008157A8"/>
    <w:rsid w:val="008158AC"/>
    <w:rsid w:val="00816805"/>
    <w:rsid w:val="00816A25"/>
    <w:rsid w:val="00816BE8"/>
    <w:rsid w:val="00816CD5"/>
    <w:rsid w:val="00816DBD"/>
    <w:rsid w:val="00816FE2"/>
    <w:rsid w:val="00817062"/>
    <w:rsid w:val="00817991"/>
    <w:rsid w:val="00817F58"/>
    <w:rsid w:val="00820193"/>
    <w:rsid w:val="008203C5"/>
    <w:rsid w:val="00820B84"/>
    <w:rsid w:val="00821244"/>
    <w:rsid w:val="0082199B"/>
    <w:rsid w:val="00821C2A"/>
    <w:rsid w:val="00821EAE"/>
    <w:rsid w:val="008227B7"/>
    <w:rsid w:val="00823179"/>
    <w:rsid w:val="008243A8"/>
    <w:rsid w:val="00824925"/>
    <w:rsid w:val="00824C8B"/>
    <w:rsid w:val="00824F15"/>
    <w:rsid w:val="008252E8"/>
    <w:rsid w:val="00825B2D"/>
    <w:rsid w:val="00825BA8"/>
    <w:rsid w:val="00825C14"/>
    <w:rsid w:val="00825FD5"/>
    <w:rsid w:val="00826088"/>
    <w:rsid w:val="0082641D"/>
    <w:rsid w:val="008267CA"/>
    <w:rsid w:val="0082722B"/>
    <w:rsid w:val="008279BA"/>
    <w:rsid w:val="00827C1B"/>
    <w:rsid w:val="0083016B"/>
    <w:rsid w:val="008301F1"/>
    <w:rsid w:val="00830C0E"/>
    <w:rsid w:val="008313E0"/>
    <w:rsid w:val="00831742"/>
    <w:rsid w:val="008317EC"/>
    <w:rsid w:val="0083195D"/>
    <w:rsid w:val="00831B7B"/>
    <w:rsid w:val="00831D90"/>
    <w:rsid w:val="008324F3"/>
    <w:rsid w:val="00832691"/>
    <w:rsid w:val="0083296B"/>
    <w:rsid w:val="0083316A"/>
    <w:rsid w:val="00833547"/>
    <w:rsid w:val="00833852"/>
    <w:rsid w:val="00833AB9"/>
    <w:rsid w:val="008344EC"/>
    <w:rsid w:val="0083460F"/>
    <w:rsid w:val="00834820"/>
    <w:rsid w:val="00834C82"/>
    <w:rsid w:val="00834DB6"/>
    <w:rsid w:val="00834F30"/>
    <w:rsid w:val="00834F93"/>
    <w:rsid w:val="008354DB"/>
    <w:rsid w:val="00835BFD"/>
    <w:rsid w:val="00840C4A"/>
    <w:rsid w:val="00840D5F"/>
    <w:rsid w:val="008411B9"/>
    <w:rsid w:val="0084122F"/>
    <w:rsid w:val="00841573"/>
    <w:rsid w:val="00841D08"/>
    <w:rsid w:val="00842AF4"/>
    <w:rsid w:val="00842D43"/>
    <w:rsid w:val="0084323E"/>
    <w:rsid w:val="0084375D"/>
    <w:rsid w:val="00843D50"/>
    <w:rsid w:val="0084464E"/>
    <w:rsid w:val="008458BF"/>
    <w:rsid w:val="00846262"/>
    <w:rsid w:val="00846370"/>
    <w:rsid w:val="00846DCD"/>
    <w:rsid w:val="00847665"/>
    <w:rsid w:val="00847BC5"/>
    <w:rsid w:val="00847F11"/>
    <w:rsid w:val="00850010"/>
    <w:rsid w:val="008503F4"/>
    <w:rsid w:val="008504A0"/>
    <w:rsid w:val="00850AC1"/>
    <w:rsid w:val="00850C2A"/>
    <w:rsid w:val="00850DFA"/>
    <w:rsid w:val="00851331"/>
    <w:rsid w:val="008516D1"/>
    <w:rsid w:val="00852003"/>
    <w:rsid w:val="0085212C"/>
    <w:rsid w:val="00852F9E"/>
    <w:rsid w:val="00854053"/>
    <w:rsid w:val="0085434B"/>
    <w:rsid w:val="008543AC"/>
    <w:rsid w:val="008548B8"/>
    <w:rsid w:val="00854965"/>
    <w:rsid w:val="008554D1"/>
    <w:rsid w:val="008558E0"/>
    <w:rsid w:val="00857AF7"/>
    <w:rsid w:val="00860109"/>
    <w:rsid w:val="008601BD"/>
    <w:rsid w:val="00860359"/>
    <w:rsid w:val="00860700"/>
    <w:rsid w:val="00860E43"/>
    <w:rsid w:val="00860EE9"/>
    <w:rsid w:val="00861075"/>
    <w:rsid w:val="00861252"/>
    <w:rsid w:val="0086171A"/>
    <w:rsid w:val="00861B89"/>
    <w:rsid w:val="0086226C"/>
    <w:rsid w:val="00862C76"/>
    <w:rsid w:val="00863968"/>
    <w:rsid w:val="00863A16"/>
    <w:rsid w:val="0086418B"/>
    <w:rsid w:val="008644A4"/>
    <w:rsid w:val="00864A6C"/>
    <w:rsid w:val="00864BB1"/>
    <w:rsid w:val="00864DF7"/>
    <w:rsid w:val="00864FDB"/>
    <w:rsid w:val="00865278"/>
    <w:rsid w:val="008654F9"/>
    <w:rsid w:val="008657DA"/>
    <w:rsid w:val="008658C0"/>
    <w:rsid w:val="00866388"/>
    <w:rsid w:val="00866E68"/>
    <w:rsid w:val="00866FE3"/>
    <w:rsid w:val="00867172"/>
    <w:rsid w:val="0086722D"/>
    <w:rsid w:val="00867D56"/>
    <w:rsid w:val="0087028A"/>
    <w:rsid w:val="00870BAA"/>
    <w:rsid w:val="00870D91"/>
    <w:rsid w:val="008716D1"/>
    <w:rsid w:val="008716ED"/>
    <w:rsid w:val="0087193F"/>
    <w:rsid w:val="00871D60"/>
    <w:rsid w:val="008724E6"/>
    <w:rsid w:val="00872767"/>
    <w:rsid w:val="008728C8"/>
    <w:rsid w:val="00873205"/>
    <w:rsid w:val="008735E8"/>
    <w:rsid w:val="0087377E"/>
    <w:rsid w:val="008739AB"/>
    <w:rsid w:val="00874043"/>
    <w:rsid w:val="00874594"/>
    <w:rsid w:val="00874776"/>
    <w:rsid w:val="0087487C"/>
    <w:rsid w:val="00874A07"/>
    <w:rsid w:val="00874B75"/>
    <w:rsid w:val="00875007"/>
    <w:rsid w:val="008750DB"/>
    <w:rsid w:val="00875144"/>
    <w:rsid w:val="008751B4"/>
    <w:rsid w:val="0087527F"/>
    <w:rsid w:val="0087543F"/>
    <w:rsid w:val="008754B5"/>
    <w:rsid w:val="008758A8"/>
    <w:rsid w:val="00875AF3"/>
    <w:rsid w:val="008765E9"/>
    <w:rsid w:val="00876605"/>
    <w:rsid w:val="00876B13"/>
    <w:rsid w:val="00880017"/>
    <w:rsid w:val="00880305"/>
    <w:rsid w:val="00880315"/>
    <w:rsid w:val="0088031C"/>
    <w:rsid w:val="0088088A"/>
    <w:rsid w:val="00880A3F"/>
    <w:rsid w:val="00880EE2"/>
    <w:rsid w:val="00881318"/>
    <w:rsid w:val="00881732"/>
    <w:rsid w:val="008818A2"/>
    <w:rsid w:val="008820FB"/>
    <w:rsid w:val="0088213D"/>
    <w:rsid w:val="008821C6"/>
    <w:rsid w:val="0088243C"/>
    <w:rsid w:val="0088243D"/>
    <w:rsid w:val="0088251A"/>
    <w:rsid w:val="00882D28"/>
    <w:rsid w:val="00883A4B"/>
    <w:rsid w:val="00883A67"/>
    <w:rsid w:val="0088400F"/>
    <w:rsid w:val="00884529"/>
    <w:rsid w:val="008848E9"/>
    <w:rsid w:val="00884FD8"/>
    <w:rsid w:val="00885244"/>
    <w:rsid w:val="00885632"/>
    <w:rsid w:val="008857C7"/>
    <w:rsid w:val="008858B3"/>
    <w:rsid w:val="00885B52"/>
    <w:rsid w:val="00885F36"/>
    <w:rsid w:val="008866CF"/>
    <w:rsid w:val="00886782"/>
    <w:rsid w:val="008869A1"/>
    <w:rsid w:val="00886B3F"/>
    <w:rsid w:val="0089015D"/>
    <w:rsid w:val="0089021A"/>
    <w:rsid w:val="0089022E"/>
    <w:rsid w:val="00890475"/>
    <w:rsid w:val="00890A7C"/>
    <w:rsid w:val="00890D11"/>
    <w:rsid w:val="008910EE"/>
    <w:rsid w:val="00891A26"/>
    <w:rsid w:val="0089221C"/>
    <w:rsid w:val="008923F8"/>
    <w:rsid w:val="0089253F"/>
    <w:rsid w:val="0089278C"/>
    <w:rsid w:val="008928F1"/>
    <w:rsid w:val="00892BBF"/>
    <w:rsid w:val="00892DB5"/>
    <w:rsid w:val="00892F62"/>
    <w:rsid w:val="0089389C"/>
    <w:rsid w:val="0089414C"/>
    <w:rsid w:val="008942BD"/>
    <w:rsid w:val="0089478A"/>
    <w:rsid w:val="0089480A"/>
    <w:rsid w:val="00894BEE"/>
    <w:rsid w:val="00894D9F"/>
    <w:rsid w:val="00894FE5"/>
    <w:rsid w:val="008954D2"/>
    <w:rsid w:val="00895658"/>
    <w:rsid w:val="008956DA"/>
    <w:rsid w:val="008959E5"/>
    <w:rsid w:val="00895BA9"/>
    <w:rsid w:val="00895D79"/>
    <w:rsid w:val="0089601B"/>
    <w:rsid w:val="008964AB"/>
    <w:rsid w:val="0089655D"/>
    <w:rsid w:val="00896784"/>
    <w:rsid w:val="00896AE2"/>
    <w:rsid w:val="00897701"/>
    <w:rsid w:val="00897824"/>
    <w:rsid w:val="008979DB"/>
    <w:rsid w:val="00897BCB"/>
    <w:rsid w:val="00897C07"/>
    <w:rsid w:val="00897DBA"/>
    <w:rsid w:val="008A02FA"/>
    <w:rsid w:val="008A06A8"/>
    <w:rsid w:val="008A0DF0"/>
    <w:rsid w:val="008A1AAC"/>
    <w:rsid w:val="008A1D3C"/>
    <w:rsid w:val="008A20CA"/>
    <w:rsid w:val="008A239B"/>
    <w:rsid w:val="008A2956"/>
    <w:rsid w:val="008A2EA1"/>
    <w:rsid w:val="008A2EF6"/>
    <w:rsid w:val="008A3480"/>
    <w:rsid w:val="008A34C2"/>
    <w:rsid w:val="008A3C15"/>
    <w:rsid w:val="008A425D"/>
    <w:rsid w:val="008A4B88"/>
    <w:rsid w:val="008A4F3C"/>
    <w:rsid w:val="008A51AD"/>
    <w:rsid w:val="008A53BA"/>
    <w:rsid w:val="008A551D"/>
    <w:rsid w:val="008A56BA"/>
    <w:rsid w:val="008A570A"/>
    <w:rsid w:val="008A58E4"/>
    <w:rsid w:val="008A58E7"/>
    <w:rsid w:val="008A5C1D"/>
    <w:rsid w:val="008A615A"/>
    <w:rsid w:val="008A650C"/>
    <w:rsid w:val="008A6A36"/>
    <w:rsid w:val="008A6CB9"/>
    <w:rsid w:val="008A6DC1"/>
    <w:rsid w:val="008A6F0F"/>
    <w:rsid w:val="008A7100"/>
    <w:rsid w:val="008A7139"/>
    <w:rsid w:val="008A776D"/>
    <w:rsid w:val="008A7C74"/>
    <w:rsid w:val="008B0107"/>
    <w:rsid w:val="008B04C0"/>
    <w:rsid w:val="008B0A83"/>
    <w:rsid w:val="008B0E93"/>
    <w:rsid w:val="008B198D"/>
    <w:rsid w:val="008B29A4"/>
    <w:rsid w:val="008B2BB4"/>
    <w:rsid w:val="008B2C30"/>
    <w:rsid w:val="008B2D73"/>
    <w:rsid w:val="008B3AB6"/>
    <w:rsid w:val="008B3C2B"/>
    <w:rsid w:val="008B3DB6"/>
    <w:rsid w:val="008B4679"/>
    <w:rsid w:val="008B47C4"/>
    <w:rsid w:val="008B4D00"/>
    <w:rsid w:val="008B4D13"/>
    <w:rsid w:val="008B4E78"/>
    <w:rsid w:val="008B4FE2"/>
    <w:rsid w:val="008B61A1"/>
    <w:rsid w:val="008B66EE"/>
    <w:rsid w:val="008B6793"/>
    <w:rsid w:val="008B6E62"/>
    <w:rsid w:val="008B6E87"/>
    <w:rsid w:val="008B728A"/>
    <w:rsid w:val="008B7342"/>
    <w:rsid w:val="008B75C2"/>
    <w:rsid w:val="008B770F"/>
    <w:rsid w:val="008B787A"/>
    <w:rsid w:val="008C0773"/>
    <w:rsid w:val="008C0A89"/>
    <w:rsid w:val="008C0E71"/>
    <w:rsid w:val="008C1852"/>
    <w:rsid w:val="008C27B4"/>
    <w:rsid w:val="008C2CFF"/>
    <w:rsid w:val="008C2E1E"/>
    <w:rsid w:val="008C2E22"/>
    <w:rsid w:val="008C2ED2"/>
    <w:rsid w:val="008C3D4D"/>
    <w:rsid w:val="008C4026"/>
    <w:rsid w:val="008C417E"/>
    <w:rsid w:val="008C5B51"/>
    <w:rsid w:val="008C5F0A"/>
    <w:rsid w:val="008C6105"/>
    <w:rsid w:val="008C6124"/>
    <w:rsid w:val="008C6334"/>
    <w:rsid w:val="008C66BD"/>
    <w:rsid w:val="008C6968"/>
    <w:rsid w:val="008C6C04"/>
    <w:rsid w:val="008C742A"/>
    <w:rsid w:val="008C74C7"/>
    <w:rsid w:val="008C7714"/>
    <w:rsid w:val="008C7B26"/>
    <w:rsid w:val="008C7F4F"/>
    <w:rsid w:val="008D00F3"/>
    <w:rsid w:val="008D03DB"/>
    <w:rsid w:val="008D0926"/>
    <w:rsid w:val="008D0F27"/>
    <w:rsid w:val="008D14A1"/>
    <w:rsid w:val="008D15A2"/>
    <w:rsid w:val="008D18CD"/>
    <w:rsid w:val="008D1F86"/>
    <w:rsid w:val="008D20E0"/>
    <w:rsid w:val="008D2796"/>
    <w:rsid w:val="008D2B6E"/>
    <w:rsid w:val="008D2CA9"/>
    <w:rsid w:val="008D335C"/>
    <w:rsid w:val="008D35B7"/>
    <w:rsid w:val="008D4007"/>
    <w:rsid w:val="008D436A"/>
    <w:rsid w:val="008D4C72"/>
    <w:rsid w:val="008D50BA"/>
    <w:rsid w:val="008D561B"/>
    <w:rsid w:val="008D582B"/>
    <w:rsid w:val="008D5CF9"/>
    <w:rsid w:val="008D5D0A"/>
    <w:rsid w:val="008D66A1"/>
    <w:rsid w:val="008D6794"/>
    <w:rsid w:val="008D74E4"/>
    <w:rsid w:val="008D7F65"/>
    <w:rsid w:val="008E0178"/>
    <w:rsid w:val="008E02F8"/>
    <w:rsid w:val="008E08A9"/>
    <w:rsid w:val="008E1189"/>
    <w:rsid w:val="008E12AF"/>
    <w:rsid w:val="008E13CF"/>
    <w:rsid w:val="008E1592"/>
    <w:rsid w:val="008E211C"/>
    <w:rsid w:val="008E2BB3"/>
    <w:rsid w:val="008E2BC5"/>
    <w:rsid w:val="008E2C79"/>
    <w:rsid w:val="008E3176"/>
    <w:rsid w:val="008E3564"/>
    <w:rsid w:val="008E3A0B"/>
    <w:rsid w:val="008E3A90"/>
    <w:rsid w:val="008E3AAB"/>
    <w:rsid w:val="008E4043"/>
    <w:rsid w:val="008E4163"/>
    <w:rsid w:val="008E41E2"/>
    <w:rsid w:val="008E4520"/>
    <w:rsid w:val="008E4588"/>
    <w:rsid w:val="008E4EB7"/>
    <w:rsid w:val="008E54E8"/>
    <w:rsid w:val="008E5740"/>
    <w:rsid w:val="008E5868"/>
    <w:rsid w:val="008E5DC8"/>
    <w:rsid w:val="008E6465"/>
    <w:rsid w:val="008E6C57"/>
    <w:rsid w:val="008E6E66"/>
    <w:rsid w:val="008E7082"/>
    <w:rsid w:val="008E718C"/>
    <w:rsid w:val="008E72AF"/>
    <w:rsid w:val="008E7B0B"/>
    <w:rsid w:val="008F0952"/>
    <w:rsid w:val="008F0AF6"/>
    <w:rsid w:val="008F1154"/>
    <w:rsid w:val="008F1B84"/>
    <w:rsid w:val="008F1B9D"/>
    <w:rsid w:val="008F1DB6"/>
    <w:rsid w:val="008F1DDC"/>
    <w:rsid w:val="008F39C0"/>
    <w:rsid w:val="008F3CC0"/>
    <w:rsid w:val="008F44F4"/>
    <w:rsid w:val="008F57CD"/>
    <w:rsid w:val="008F5960"/>
    <w:rsid w:val="008F5CD0"/>
    <w:rsid w:val="008F6100"/>
    <w:rsid w:val="008F6268"/>
    <w:rsid w:val="008F629A"/>
    <w:rsid w:val="008F6A9B"/>
    <w:rsid w:val="008F6F03"/>
    <w:rsid w:val="008F6F9D"/>
    <w:rsid w:val="008F71FB"/>
    <w:rsid w:val="008F7603"/>
    <w:rsid w:val="008F769D"/>
    <w:rsid w:val="008F76DC"/>
    <w:rsid w:val="008F7A06"/>
    <w:rsid w:val="008F7D2F"/>
    <w:rsid w:val="00900FB8"/>
    <w:rsid w:val="009013C5"/>
    <w:rsid w:val="0090147B"/>
    <w:rsid w:val="00901649"/>
    <w:rsid w:val="00901CBA"/>
    <w:rsid w:val="00901DC6"/>
    <w:rsid w:val="009021DC"/>
    <w:rsid w:val="00902B32"/>
    <w:rsid w:val="00903026"/>
    <w:rsid w:val="0090357B"/>
    <w:rsid w:val="00903832"/>
    <w:rsid w:val="009044BE"/>
    <w:rsid w:val="009048EB"/>
    <w:rsid w:val="00904913"/>
    <w:rsid w:val="00904D4B"/>
    <w:rsid w:val="009050B3"/>
    <w:rsid w:val="00905945"/>
    <w:rsid w:val="00905FEB"/>
    <w:rsid w:val="00905FEC"/>
    <w:rsid w:val="00906252"/>
    <w:rsid w:val="0090672E"/>
    <w:rsid w:val="00906A4F"/>
    <w:rsid w:val="00906BD6"/>
    <w:rsid w:val="00907074"/>
    <w:rsid w:val="009073C7"/>
    <w:rsid w:val="009078BA"/>
    <w:rsid w:val="009079C7"/>
    <w:rsid w:val="009079F7"/>
    <w:rsid w:val="00907B44"/>
    <w:rsid w:val="00907C33"/>
    <w:rsid w:val="0091072D"/>
    <w:rsid w:val="009108D2"/>
    <w:rsid w:val="00910C20"/>
    <w:rsid w:val="00910EC0"/>
    <w:rsid w:val="00910FE1"/>
    <w:rsid w:val="0091106A"/>
    <w:rsid w:val="009117D0"/>
    <w:rsid w:val="00911C77"/>
    <w:rsid w:val="00911D1C"/>
    <w:rsid w:val="00912F38"/>
    <w:rsid w:val="00913C58"/>
    <w:rsid w:val="00913FCD"/>
    <w:rsid w:val="009140B4"/>
    <w:rsid w:val="00914174"/>
    <w:rsid w:val="0091428A"/>
    <w:rsid w:val="00914733"/>
    <w:rsid w:val="00914AA5"/>
    <w:rsid w:val="009159A9"/>
    <w:rsid w:val="009162DD"/>
    <w:rsid w:val="009163E7"/>
    <w:rsid w:val="009165DF"/>
    <w:rsid w:val="0091671A"/>
    <w:rsid w:val="009169F6"/>
    <w:rsid w:val="00916C37"/>
    <w:rsid w:val="00916D5B"/>
    <w:rsid w:val="0091715C"/>
    <w:rsid w:val="0091719D"/>
    <w:rsid w:val="00917903"/>
    <w:rsid w:val="009200D3"/>
    <w:rsid w:val="00920997"/>
    <w:rsid w:val="00920B1E"/>
    <w:rsid w:val="00920DD5"/>
    <w:rsid w:val="00921161"/>
    <w:rsid w:val="00921562"/>
    <w:rsid w:val="0092158B"/>
    <w:rsid w:val="009219AA"/>
    <w:rsid w:val="00921E0A"/>
    <w:rsid w:val="00922492"/>
    <w:rsid w:val="009224EB"/>
    <w:rsid w:val="0092272F"/>
    <w:rsid w:val="00922B75"/>
    <w:rsid w:val="00922BE2"/>
    <w:rsid w:val="00922EDE"/>
    <w:rsid w:val="0092337C"/>
    <w:rsid w:val="009237D9"/>
    <w:rsid w:val="009239D2"/>
    <w:rsid w:val="0092406C"/>
    <w:rsid w:val="00924096"/>
    <w:rsid w:val="009243BC"/>
    <w:rsid w:val="009244D5"/>
    <w:rsid w:val="00924890"/>
    <w:rsid w:val="00924B90"/>
    <w:rsid w:val="009252F1"/>
    <w:rsid w:val="00925588"/>
    <w:rsid w:val="00925AF5"/>
    <w:rsid w:val="00925C76"/>
    <w:rsid w:val="00926268"/>
    <w:rsid w:val="009264A2"/>
    <w:rsid w:val="00926F3D"/>
    <w:rsid w:val="0092715D"/>
    <w:rsid w:val="00927206"/>
    <w:rsid w:val="009279C1"/>
    <w:rsid w:val="00927E80"/>
    <w:rsid w:val="00930057"/>
    <w:rsid w:val="00930632"/>
    <w:rsid w:val="009310BC"/>
    <w:rsid w:val="009311AE"/>
    <w:rsid w:val="009312F0"/>
    <w:rsid w:val="00931D3F"/>
    <w:rsid w:val="009324C4"/>
    <w:rsid w:val="00932671"/>
    <w:rsid w:val="00932A7A"/>
    <w:rsid w:val="009330BF"/>
    <w:rsid w:val="00933817"/>
    <w:rsid w:val="00933885"/>
    <w:rsid w:val="00933C07"/>
    <w:rsid w:val="00934510"/>
    <w:rsid w:val="0093476C"/>
    <w:rsid w:val="009357FA"/>
    <w:rsid w:val="00935A1E"/>
    <w:rsid w:val="00935B7C"/>
    <w:rsid w:val="00935E3A"/>
    <w:rsid w:val="00936005"/>
    <w:rsid w:val="0093607C"/>
    <w:rsid w:val="00937A83"/>
    <w:rsid w:val="00937B51"/>
    <w:rsid w:val="00940008"/>
    <w:rsid w:val="0094014F"/>
    <w:rsid w:val="00940387"/>
    <w:rsid w:val="00940FFA"/>
    <w:rsid w:val="00941503"/>
    <w:rsid w:val="00941543"/>
    <w:rsid w:val="0094187D"/>
    <w:rsid w:val="00942C90"/>
    <w:rsid w:val="00942F29"/>
    <w:rsid w:val="00942FB6"/>
    <w:rsid w:val="009434EB"/>
    <w:rsid w:val="00943EA6"/>
    <w:rsid w:val="00943F22"/>
    <w:rsid w:val="00944400"/>
    <w:rsid w:val="009448F2"/>
    <w:rsid w:val="009448F3"/>
    <w:rsid w:val="0094524B"/>
    <w:rsid w:val="009456E3"/>
    <w:rsid w:val="00945759"/>
    <w:rsid w:val="009466E9"/>
    <w:rsid w:val="00946CB3"/>
    <w:rsid w:val="00946D20"/>
    <w:rsid w:val="00946E51"/>
    <w:rsid w:val="009473F4"/>
    <w:rsid w:val="0094767D"/>
    <w:rsid w:val="00947720"/>
    <w:rsid w:val="00947F40"/>
    <w:rsid w:val="00950231"/>
    <w:rsid w:val="00950794"/>
    <w:rsid w:val="009507AA"/>
    <w:rsid w:val="009509EF"/>
    <w:rsid w:val="009513C0"/>
    <w:rsid w:val="009515B1"/>
    <w:rsid w:val="009515CA"/>
    <w:rsid w:val="00951691"/>
    <w:rsid w:val="00951A1F"/>
    <w:rsid w:val="00951FCE"/>
    <w:rsid w:val="009521CC"/>
    <w:rsid w:val="0095226C"/>
    <w:rsid w:val="00952809"/>
    <w:rsid w:val="00952C05"/>
    <w:rsid w:val="00952D52"/>
    <w:rsid w:val="009540B7"/>
    <w:rsid w:val="009543D0"/>
    <w:rsid w:val="00954DAE"/>
    <w:rsid w:val="00955410"/>
    <w:rsid w:val="0095555D"/>
    <w:rsid w:val="009558EE"/>
    <w:rsid w:val="009559D5"/>
    <w:rsid w:val="00955C17"/>
    <w:rsid w:val="00955D04"/>
    <w:rsid w:val="00955FFA"/>
    <w:rsid w:val="00956170"/>
    <w:rsid w:val="00956BA1"/>
    <w:rsid w:val="00956D42"/>
    <w:rsid w:val="00956F0F"/>
    <w:rsid w:val="00957065"/>
    <w:rsid w:val="0095727F"/>
    <w:rsid w:val="009572AF"/>
    <w:rsid w:val="00957E41"/>
    <w:rsid w:val="0096023A"/>
    <w:rsid w:val="009607AB"/>
    <w:rsid w:val="00960A9A"/>
    <w:rsid w:val="009615DB"/>
    <w:rsid w:val="00961C4C"/>
    <w:rsid w:val="009625B8"/>
    <w:rsid w:val="00962683"/>
    <w:rsid w:val="00962E23"/>
    <w:rsid w:val="00963149"/>
    <w:rsid w:val="0096456D"/>
    <w:rsid w:val="00964822"/>
    <w:rsid w:val="0096487C"/>
    <w:rsid w:val="00964BC2"/>
    <w:rsid w:val="00964D4A"/>
    <w:rsid w:val="00964EAE"/>
    <w:rsid w:val="00965023"/>
    <w:rsid w:val="009650B7"/>
    <w:rsid w:val="0096515D"/>
    <w:rsid w:val="00965841"/>
    <w:rsid w:val="00965E48"/>
    <w:rsid w:val="00965EE1"/>
    <w:rsid w:val="00966623"/>
    <w:rsid w:val="009668D5"/>
    <w:rsid w:val="00966D23"/>
    <w:rsid w:val="009678DB"/>
    <w:rsid w:val="00970728"/>
    <w:rsid w:val="009707C9"/>
    <w:rsid w:val="0097082A"/>
    <w:rsid w:val="00971E0B"/>
    <w:rsid w:val="00972101"/>
    <w:rsid w:val="00972D22"/>
    <w:rsid w:val="00972FB5"/>
    <w:rsid w:val="00973510"/>
    <w:rsid w:val="009736FE"/>
    <w:rsid w:val="00973B96"/>
    <w:rsid w:val="00973BAA"/>
    <w:rsid w:val="00973E3C"/>
    <w:rsid w:val="00974763"/>
    <w:rsid w:val="009757CA"/>
    <w:rsid w:val="00975C9D"/>
    <w:rsid w:val="00976E76"/>
    <w:rsid w:val="00977073"/>
    <w:rsid w:val="0097751D"/>
    <w:rsid w:val="00977A14"/>
    <w:rsid w:val="00977E9B"/>
    <w:rsid w:val="009807BF"/>
    <w:rsid w:val="009809CE"/>
    <w:rsid w:val="00980D42"/>
    <w:rsid w:val="0098131F"/>
    <w:rsid w:val="00981479"/>
    <w:rsid w:val="009815A8"/>
    <w:rsid w:val="00981CF9"/>
    <w:rsid w:val="00982295"/>
    <w:rsid w:val="009829B3"/>
    <w:rsid w:val="00982C31"/>
    <w:rsid w:val="00982D45"/>
    <w:rsid w:val="00982FE4"/>
    <w:rsid w:val="00983165"/>
    <w:rsid w:val="00983343"/>
    <w:rsid w:val="009833C4"/>
    <w:rsid w:val="009834E0"/>
    <w:rsid w:val="009838FF"/>
    <w:rsid w:val="00984149"/>
    <w:rsid w:val="00984788"/>
    <w:rsid w:val="00984909"/>
    <w:rsid w:val="00984D7E"/>
    <w:rsid w:val="00984FF3"/>
    <w:rsid w:val="00984FF9"/>
    <w:rsid w:val="009850C5"/>
    <w:rsid w:val="00986326"/>
    <w:rsid w:val="00986849"/>
    <w:rsid w:val="00986BB7"/>
    <w:rsid w:val="00986D4B"/>
    <w:rsid w:val="00986E1E"/>
    <w:rsid w:val="00986F6D"/>
    <w:rsid w:val="0098726B"/>
    <w:rsid w:val="0098727C"/>
    <w:rsid w:val="00987708"/>
    <w:rsid w:val="00987DDD"/>
    <w:rsid w:val="00987DF0"/>
    <w:rsid w:val="00987DF4"/>
    <w:rsid w:val="00987E2E"/>
    <w:rsid w:val="0099008B"/>
    <w:rsid w:val="00991202"/>
    <w:rsid w:val="0099177B"/>
    <w:rsid w:val="009917E0"/>
    <w:rsid w:val="0099367E"/>
    <w:rsid w:val="00993FE4"/>
    <w:rsid w:val="0099425E"/>
    <w:rsid w:val="00994288"/>
    <w:rsid w:val="0099482F"/>
    <w:rsid w:val="00994CDC"/>
    <w:rsid w:val="00995ABB"/>
    <w:rsid w:val="009969CD"/>
    <w:rsid w:val="00996CFC"/>
    <w:rsid w:val="0099770A"/>
    <w:rsid w:val="00997769"/>
    <w:rsid w:val="00997A2E"/>
    <w:rsid w:val="009A048E"/>
    <w:rsid w:val="009A119F"/>
    <w:rsid w:val="009A1609"/>
    <w:rsid w:val="009A1A7E"/>
    <w:rsid w:val="009A3480"/>
    <w:rsid w:val="009A3DB8"/>
    <w:rsid w:val="009A4356"/>
    <w:rsid w:val="009A43B3"/>
    <w:rsid w:val="009A464D"/>
    <w:rsid w:val="009A496F"/>
    <w:rsid w:val="009A4B78"/>
    <w:rsid w:val="009A4D73"/>
    <w:rsid w:val="009A4E41"/>
    <w:rsid w:val="009A5297"/>
    <w:rsid w:val="009A5326"/>
    <w:rsid w:val="009A533F"/>
    <w:rsid w:val="009A5D40"/>
    <w:rsid w:val="009A5E10"/>
    <w:rsid w:val="009A5E9E"/>
    <w:rsid w:val="009A60EF"/>
    <w:rsid w:val="009A6366"/>
    <w:rsid w:val="009A6665"/>
    <w:rsid w:val="009A6785"/>
    <w:rsid w:val="009A6BAF"/>
    <w:rsid w:val="009A7029"/>
    <w:rsid w:val="009A743F"/>
    <w:rsid w:val="009A74F7"/>
    <w:rsid w:val="009A76B0"/>
    <w:rsid w:val="009A7FD7"/>
    <w:rsid w:val="009B00F2"/>
    <w:rsid w:val="009B09FD"/>
    <w:rsid w:val="009B0FB2"/>
    <w:rsid w:val="009B1113"/>
    <w:rsid w:val="009B1A75"/>
    <w:rsid w:val="009B1C34"/>
    <w:rsid w:val="009B1D22"/>
    <w:rsid w:val="009B1E86"/>
    <w:rsid w:val="009B27C4"/>
    <w:rsid w:val="009B2D92"/>
    <w:rsid w:val="009B3250"/>
    <w:rsid w:val="009B3344"/>
    <w:rsid w:val="009B3C66"/>
    <w:rsid w:val="009B42D2"/>
    <w:rsid w:val="009B4A06"/>
    <w:rsid w:val="009B5764"/>
    <w:rsid w:val="009B5E9C"/>
    <w:rsid w:val="009B609E"/>
    <w:rsid w:val="009B696A"/>
    <w:rsid w:val="009B70C8"/>
    <w:rsid w:val="009B722F"/>
    <w:rsid w:val="009B737C"/>
    <w:rsid w:val="009B742E"/>
    <w:rsid w:val="009C0AC6"/>
    <w:rsid w:val="009C0E66"/>
    <w:rsid w:val="009C11B2"/>
    <w:rsid w:val="009C1456"/>
    <w:rsid w:val="009C164F"/>
    <w:rsid w:val="009C1C30"/>
    <w:rsid w:val="009C22DD"/>
    <w:rsid w:val="009C29D5"/>
    <w:rsid w:val="009C30A0"/>
    <w:rsid w:val="009C359E"/>
    <w:rsid w:val="009C37FE"/>
    <w:rsid w:val="009C4082"/>
    <w:rsid w:val="009C4806"/>
    <w:rsid w:val="009C4A38"/>
    <w:rsid w:val="009C4AD8"/>
    <w:rsid w:val="009C4D3D"/>
    <w:rsid w:val="009C55E2"/>
    <w:rsid w:val="009C5A4E"/>
    <w:rsid w:val="009C5EE5"/>
    <w:rsid w:val="009C61E3"/>
    <w:rsid w:val="009C6B56"/>
    <w:rsid w:val="009C6C93"/>
    <w:rsid w:val="009C76F9"/>
    <w:rsid w:val="009C7785"/>
    <w:rsid w:val="009C7DB8"/>
    <w:rsid w:val="009C7FF0"/>
    <w:rsid w:val="009D010D"/>
    <w:rsid w:val="009D0244"/>
    <w:rsid w:val="009D050F"/>
    <w:rsid w:val="009D0F71"/>
    <w:rsid w:val="009D111C"/>
    <w:rsid w:val="009D141A"/>
    <w:rsid w:val="009D17A0"/>
    <w:rsid w:val="009D1A08"/>
    <w:rsid w:val="009D1F7A"/>
    <w:rsid w:val="009D2165"/>
    <w:rsid w:val="009D2873"/>
    <w:rsid w:val="009D2942"/>
    <w:rsid w:val="009D3827"/>
    <w:rsid w:val="009D3A1A"/>
    <w:rsid w:val="009D40D4"/>
    <w:rsid w:val="009D426A"/>
    <w:rsid w:val="009D5BDB"/>
    <w:rsid w:val="009D5CCA"/>
    <w:rsid w:val="009D6208"/>
    <w:rsid w:val="009D6651"/>
    <w:rsid w:val="009D6B03"/>
    <w:rsid w:val="009D6B3D"/>
    <w:rsid w:val="009D6FE8"/>
    <w:rsid w:val="009D72BE"/>
    <w:rsid w:val="009D7410"/>
    <w:rsid w:val="009D7422"/>
    <w:rsid w:val="009D77A4"/>
    <w:rsid w:val="009D78E7"/>
    <w:rsid w:val="009E0505"/>
    <w:rsid w:val="009E0742"/>
    <w:rsid w:val="009E1291"/>
    <w:rsid w:val="009E12BC"/>
    <w:rsid w:val="009E224D"/>
    <w:rsid w:val="009E26D5"/>
    <w:rsid w:val="009E276C"/>
    <w:rsid w:val="009E2A07"/>
    <w:rsid w:val="009E3398"/>
    <w:rsid w:val="009E3577"/>
    <w:rsid w:val="009E3D2B"/>
    <w:rsid w:val="009E3E84"/>
    <w:rsid w:val="009E4097"/>
    <w:rsid w:val="009E4664"/>
    <w:rsid w:val="009E4D8E"/>
    <w:rsid w:val="009E4E90"/>
    <w:rsid w:val="009E4EB7"/>
    <w:rsid w:val="009E55C9"/>
    <w:rsid w:val="009E56C7"/>
    <w:rsid w:val="009E57C1"/>
    <w:rsid w:val="009E624A"/>
    <w:rsid w:val="009E6AC5"/>
    <w:rsid w:val="009E6B32"/>
    <w:rsid w:val="009E70F3"/>
    <w:rsid w:val="009E733B"/>
    <w:rsid w:val="009E7E98"/>
    <w:rsid w:val="009E7ECA"/>
    <w:rsid w:val="009F00EE"/>
    <w:rsid w:val="009F0827"/>
    <w:rsid w:val="009F0BED"/>
    <w:rsid w:val="009F1673"/>
    <w:rsid w:val="009F1EA5"/>
    <w:rsid w:val="009F23F3"/>
    <w:rsid w:val="009F3255"/>
    <w:rsid w:val="009F34AA"/>
    <w:rsid w:val="009F3DCE"/>
    <w:rsid w:val="009F44FF"/>
    <w:rsid w:val="009F46E8"/>
    <w:rsid w:val="009F472D"/>
    <w:rsid w:val="009F4CF0"/>
    <w:rsid w:val="009F4E88"/>
    <w:rsid w:val="009F50D1"/>
    <w:rsid w:val="009F568A"/>
    <w:rsid w:val="009F573B"/>
    <w:rsid w:val="009F5918"/>
    <w:rsid w:val="009F596D"/>
    <w:rsid w:val="009F5F3A"/>
    <w:rsid w:val="009F6A91"/>
    <w:rsid w:val="009F71A6"/>
    <w:rsid w:val="009F71AA"/>
    <w:rsid w:val="009F7326"/>
    <w:rsid w:val="009F754A"/>
    <w:rsid w:val="009F791F"/>
    <w:rsid w:val="009F7F86"/>
    <w:rsid w:val="00A0034D"/>
    <w:rsid w:val="00A00BFB"/>
    <w:rsid w:val="00A00DCF"/>
    <w:rsid w:val="00A010E6"/>
    <w:rsid w:val="00A0126C"/>
    <w:rsid w:val="00A01282"/>
    <w:rsid w:val="00A012DA"/>
    <w:rsid w:val="00A0168E"/>
    <w:rsid w:val="00A0187E"/>
    <w:rsid w:val="00A01E82"/>
    <w:rsid w:val="00A02450"/>
    <w:rsid w:val="00A026F0"/>
    <w:rsid w:val="00A02F2D"/>
    <w:rsid w:val="00A02F61"/>
    <w:rsid w:val="00A03629"/>
    <w:rsid w:val="00A03E0E"/>
    <w:rsid w:val="00A040D1"/>
    <w:rsid w:val="00A042A6"/>
    <w:rsid w:val="00A04424"/>
    <w:rsid w:val="00A04A0A"/>
    <w:rsid w:val="00A050A8"/>
    <w:rsid w:val="00A056A3"/>
    <w:rsid w:val="00A056AA"/>
    <w:rsid w:val="00A05B51"/>
    <w:rsid w:val="00A06286"/>
    <w:rsid w:val="00A06318"/>
    <w:rsid w:val="00A063BC"/>
    <w:rsid w:val="00A068E1"/>
    <w:rsid w:val="00A06A80"/>
    <w:rsid w:val="00A06D8A"/>
    <w:rsid w:val="00A0711F"/>
    <w:rsid w:val="00A07B0B"/>
    <w:rsid w:val="00A102A0"/>
    <w:rsid w:val="00A103B2"/>
    <w:rsid w:val="00A108C2"/>
    <w:rsid w:val="00A114FA"/>
    <w:rsid w:val="00A11AF3"/>
    <w:rsid w:val="00A12775"/>
    <w:rsid w:val="00A12C09"/>
    <w:rsid w:val="00A13084"/>
    <w:rsid w:val="00A1327F"/>
    <w:rsid w:val="00A13817"/>
    <w:rsid w:val="00A138D3"/>
    <w:rsid w:val="00A13E0F"/>
    <w:rsid w:val="00A144B7"/>
    <w:rsid w:val="00A149B4"/>
    <w:rsid w:val="00A15F4F"/>
    <w:rsid w:val="00A160AB"/>
    <w:rsid w:val="00A160F0"/>
    <w:rsid w:val="00A16745"/>
    <w:rsid w:val="00A16747"/>
    <w:rsid w:val="00A17C1D"/>
    <w:rsid w:val="00A20013"/>
    <w:rsid w:val="00A20582"/>
    <w:rsid w:val="00A205D3"/>
    <w:rsid w:val="00A20C65"/>
    <w:rsid w:val="00A214B2"/>
    <w:rsid w:val="00A21767"/>
    <w:rsid w:val="00A21FD5"/>
    <w:rsid w:val="00A223A8"/>
    <w:rsid w:val="00A22751"/>
    <w:rsid w:val="00A22940"/>
    <w:rsid w:val="00A23102"/>
    <w:rsid w:val="00A23284"/>
    <w:rsid w:val="00A2343F"/>
    <w:rsid w:val="00A23505"/>
    <w:rsid w:val="00A23598"/>
    <w:rsid w:val="00A2428B"/>
    <w:rsid w:val="00A2476B"/>
    <w:rsid w:val="00A247E5"/>
    <w:rsid w:val="00A24D81"/>
    <w:rsid w:val="00A24EA5"/>
    <w:rsid w:val="00A25173"/>
    <w:rsid w:val="00A252F0"/>
    <w:rsid w:val="00A259F2"/>
    <w:rsid w:val="00A25C48"/>
    <w:rsid w:val="00A25FDB"/>
    <w:rsid w:val="00A26278"/>
    <w:rsid w:val="00A26463"/>
    <w:rsid w:val="00A26608"/>
    <w:rsid w:val="00A2660E"/>
    <w:rsid w:val="00A26916"/>
    <w:rsid w:val="00A26B47"/>
    <w:rsid w:val="00A26FF1"/>
    <w:rsid w:val="00A27806"/>
    <w:rsid w:val="00A27868"/>
    <w:rsid w:val="00A3068C"/>
    <w:rsid w:val="00A3127F"/>
    <w:rsid w:val="00A31922"/>
    <w:rsid w:val="00A31BCC"/>
    <w:rsid w:val="00A31C70"/>
    <w:rsid w:val="00A32382"/>
    <w:rsid w:val="00A325BB"/>
    <w:rsid w:val="00A3297A"/>
    <w:rsid w:val="00A32A58"/>
    <w:rsid w:val="00A32EEC"/>
    <w:rsid w:val="00A336C5"/>
    <w:rsid w:val="00A33A8D"/>
    <w:rsid w:val="00A3510A"/>
    <w:rsid w:val="00A3515F"/>
    <w:rsid w:val="00A35751"/>
    <w:rsid w:val="00A35762"/>
    <w:rsid w:val="00A3577F"/>
    <w:rsid w:val="00A35BBC"/>
    <w:rsid w:val="00A35DAB"/>
    <w:rsid w:val="00A36724"/>
    <w:rsid w:val="00A367AF"/>
    <w:rsid w:val="00A36AA0"/>
    <w:rsid w:val="00A36C13"/>
    <w:rsid w:val="00A377C2"/>
    <w:rsid w:val="00A37A31"/>
    <w:rsid w:val="00A40786"/>
    <w:rsid w:val="00A40B1F"/>
    <w:rsid w:val="00A40B4D"/>
    <w:rsid w:val="00A411E2"/>
    <w:rsid w:val="00A41373"/>
    <w:rsid w:val="00A41638"/>
    <w:rsid w:val="00A41B15"/>
    <w:rsid w:val="00A4224E"/>
    <w:rsid w:val="00A4229F"/>
    <w:rsid w:val="00A428A9"/>
    <w:rsid w:val="00A42ACA"/>
    <w:rsid w:val="00A43AAB"/>
    <w:rsid w:val="00A43AFE"/>
    <w:rsid w:val="00A44AAD"/>
    <w:rsid w:val="00A44E8A"/>
    <w:rsid w:val="00A45280"/>
    <w:rsid w:val="00A4539E"/>
    <w:rsid w:val="00A458D9"/>
    <w:rsid w:val="00A45BF7"/>
    <w:rsid w:val="00A463B5"/>
    <w:rsid w:val="00A463BA"/>
    <w:rsid w:val="00A46675"/>
    <w:rsid w:val="00A471A3"/>
    <w:rsid w:val="00A47597"/>
    <w:rsid w:val="00A47E08"/>
    <w:rsid w:val="00A47E44"/>
    <w:rsid w:val="00A47F91"/>
    <w:rsid w:val="00A507D7"/>
    <w:rsid w:val="00A50A5C"/>
    <w:rsid w:val="00A50BE2"/>
    <w:rsid w:val="00A50CC6"/>
    <w:rsid w:val="00A50E40"/>
    <w:rsid w:val="00A51462"/>
    <w:rsid w:val="00A51946"/>
    <w:rsid w:val="00A51C1F"/>
    <w:rsid w:val="00A51FF7"/>
    <w:rsid w:val="00A52079"/>
    <w:rsid w:val="00A52143"/>
    <w:rsid w:val="00A521E9"/>
    <w:rsid w:val="00A5298E"/>
    <w:rsid w:val="00A52B3E"/>
    <w:rsid w:val="00A5313B"/>
    <w:rsid w:val="00A5320E"/>
    <w:rsid w:val="00A53F7B"/>
    <w:rsid w:val="00A54090"/>
    <w:rsid w:val="00A54282"/>
    <w:rsid w:val="00A549D3"/>
    <w:rsid w:val="00A54CEF"/>
    <w:rsid w:val="00A54DF0"/>
    <w:rsid w:val="00A56E99"/>
    <w:rsid w:val="00A57212"/>
    <w:rsid w:val="00A57E98"/>
    <w:rsid w:val="00A60849"/>
    <w:rsid w:val="00A60ABC"/>
    <w:rsid w:val="00A6105B"/>
    <w:rsid w:val="00A61355"/>
    <w:rsid w:val="00A61668"/>
    <w:rsid w:val="00A621D3"/>
    <w:rsid w:val="00A628CB"/>
    <w:rsid w:val="00A628F8"/>
    <w:rsid w:val="00A62B7A"/>
    <w:rsid w:val="00A632EA"/>
    <w:rsid w:val="00A634BE"/>
    <w:rsid w:val="00A63AD7"/>
    <w:rsid w:val="00A63BFD"/>
    <w:rsid w:val="00A6444A"/>
    <w:rsid w:val="00A6491F"/>
    <w:rsid w:val="00A64C72"/>
    <w:rsid w:val="00A64D1A"/>
    <w:rsid w:val="00A65320"/>
    <w:rsid w:val="00A65BA5"/>
    <w:rsid w:val="00A66288"/>
    <w:rsid w:val="00A66354"/>
    <w:rsid w:val="00A66E37"/>
    <w:rsid w:val="00A66ECF"/>
    <w:rsid w:val="00A67E38"/>
    <w:rsid w:val="00A703E4"/>
    <w:rsid w:val="00A70925"/>
    <w:rsid w:val="00A70DC6"/>
    <w:rsid w:val="00A71080"/>
    <w:rsid w:val="00A713B3"/>
    <w:rsid w:val="00A71986"/>
    <w:rsid w:val="00A71DE8"/>
    <w:rsid w:val="00A71E73"/>
    <w:rsid w:val="00A72740"/>
    <w:rsid w:val="00A7368B"/>
    <w:rsid w:val="00A73A64"/>
    <w:rsid w:val="00A742AD"/>
    <w:rsid w:val="00A746D7"/>
    <w:rsid w:val="00A74AB2"/>
    <w:rsid w:val="00A75A46"/>
    <w:rsid w:val="00A75AE7"/>
    <w:rsid w:val="00A75B36"/>
    <w:rsid w:val="00A762F1"/>
    <w:rsid w:val="00A7663A"/>
    <w:rsid w:val="00A7696B"/>
    <w:rsid w:val="00A769D4"/>
    <w:rsid w:val="00A77D37"/>
    <w:rsid w:val="00A80268"/>
    <w:rsid w:val="00A804C7"/>
    <w:rsid w:val="00A80857"/>
    <w:rsid w:val="00A80929"/>
    <w:rsid w:val="00A80A39"/>
    <w:rsid w:val="00A80DF0"/>
    <w:rsid w:val="00A80E64"/>
    <w:rsid w:val="00A80F2E"/>
    <w:rsid w:val="00A80F73"/>
    <w:rsid w:val="00A81A16"/>
    <w:rsid w:val="00A81CBA"/>
    <w:rsid w:val="00A823A7"/>
    <w:rsid w:val="00A825C8"/>
    <w:rsid w:val="00A82742"/>
    <w:rsid w:val="00A83984"/>
    <w:rsid w:val="00A83A1E"/>
    <w:rsid w:val="00A84198"/>
    <w:rsid w:val="00A841AB"/>
    <w:rsid w:val="00A844EC"/>
    <w:rsid w:val="00A8452B"/>
    <w:rsid w:val="00A84DBC"/>
    <w:rsid w:val="00A84FFD"/>
    <w:rsid w:val="00A86104"/>
    <w:rsid w:val="00A8655A"/>
    <w:rsid w:val="00A86BFB"/>
    <w:rsid w:val="00A87203"/>
    <w:rsid w:val="00A87744"/>
    <w:rsid w:val="00A87986"/>
    <w:rsid w:val="00A87AE6"/>
    <w:rsid w:val="00A87B09"/>
    <w:rsid w:val="00A87C22"/>
    <w:rsid w:val="00A87CC4"/>
    <w:rsid w:val="00A903FA"/>
    <w:rsid w:val="00A90590"/>
    <w:rsid w:val="00A90A97"/>
    <w:rsid w:val="00A90CB4"/>
    <w:rsid w:val="00A910DA"/>
    <w:rsid w:val="00A920E1"/>
    <w:rsid w:val="00A923D6"/>
    <w:rsid w:val="00A9266A"/>
    <w:rsid w:val="00A92B42"/>
    <w:rsid w:val="00A9326E"/>
    <w:rsid w:val="00A933AE"/>
    <w:rsid w:val="00A93863"/>
    <w:rsid w:val="00A9415E"/>
    <w:rsid w:val="00A9423F"/>
    <w:rsid w:val="00A94EBD"/>
    <w:rsid w:val="00A9510D"/>
    <w:rsid w:val="00A956AC"/>
    <w:rsid w:val="00A95D2A"/>
    <w:rsid w:val="00A96214"/>
    <w:rsid w:val="00A967E8"/>
    <w:rsid w:val="00A9762E"/>
    <w:rsid w:val="00A97AF8"/>
    <w:rsid w:val="00A97D38"/>
    <w:rsid w:val="00A97F4B"/>
    <w:rsid w:val="00AA04C5"/>
    <w:rsid w:val="00AA1044"/>
    <w:rsid w:val="00AA10B1"/>
    <w:rsid w:val="00AA239B"/>
    <w:rsid w:val="00AA27B8"/>
    <w:rsid w:val="00AA2803"/>
    <w:rsid w:val="00AA2BF2"/>
    <w:rsid w:val="00AA2D65"/>
    <w:rsid w:val="00AA2D68"/>
    <w:rsid w:val="00AA2D6F"/>
    <w:rsid w:val="00AA3987"/>
    <w:rsid w:val="00AA3B68"/>
    <w:rsid w:val="00AA3E79"/>
    <w:rsid w:val="00AA4333"/>
    <w:rsid w:val="00AA447C"/>
    <w:rsid w:val="00AA4628"/>
    <w:rsid w:val="00AA4FB4"/>
    <w:rsid w:val="00AA5C0B"/>
    <w:rsid w:val="00AA5E3B"/>
    <w:rsid w:val="00AA63AD"/>
    <w:rsid w:val="00AA65B4"/>
    <w:rsid w:val="00AA65EC"/>
    <w:rsid w:val="00AA6C3B"/>
    <w:rsid w:val="00AA745E"/>
    <w:rsid w:val="00AA7E43"/>
    <w:rsid w:val="00AB0352"/>
    <w:rsid w:val="00AB047A"/>
    <w:rsid w:val="00AB04AB"/>
    <w:rsid w:val="00AB0733"/>
    <w:rsid w:val="00AB09D2"/>
    <w:rsid w:val="00AB0B64"/>
    <w:rsid w:val="00AB0C30"/>
    <w:rsid w:val="00AB161B"/>
    <w:rsid w:val="00AB176B"/>
    <w:rsid w:val="00AB327D"/>
    <w:rsid w:val="00AB37E6"/>
    <w:rsid w:val="00AB3DBA"/>
    <w:rsid w:val="00AB431C"/>
    <w:rsid w:val="00AB470E"/>
    <w:rsid w:val="00AB5A7E"/>
    <w:rsid w:val="00AB5ACF"/>
    <w:rsid w:val="00AB7538"/>
    <w:rsid w:val="00AB75A7"/>
    <w:rsid w:val="00AB77F3"/>
    <w:rsid w:val="00AB7BE7"/>
    <w:rsid w:val="00AC0AAD"/>
    <w:rsid w:val="00AC0C2A"/>
    <w:rsid w:val="00AC1231"/>
    <w:rsid w:val="00AC15D4"/>
    <w:rsid w:val="00AC1610"/>
    <w:rsid w:val="00AC1992"/>
    <w:rsid w:val="00AC1B4D"/>
    <w:rsid w:val="00AC1D0C"/>
    <w:rsid w:val="00AC1E14"/>
    <w:rsid w:val="00AC2CFA"/>
    <w:rsid w:val="00AC3263"/>
    <w:rsid w:val="00AC3E12"/>
    <w:rsid w:val="00AC406E"/>
    <w:rsid w:val="00AC430C"/>
    <w:rsid w:val="00AC4A6B"/>
    <w:rsid w:val="00AC4EEB"/>
    <w:rsid w:val="00AC5C19"/>
    <w:rsid w:val="00AC60F0"/>
    <w:rsid w:val="00AC6657"/>
    <w:rsid w:val="00AC6858"/>
    <w:rsid w:val="00AC6A24"/>
    <w:rsid w:val="00AC6D7A"/>
    <w:rsid w:val="00AC72B0"/>
    <w:rsid w:val="00AC7363"/>
    <w:rsid w:val="00AC7401"/>
    <w:rsid w:val="00AC7901"/>
    <w:rsid w:val="00AC79F3"/>
    <w:rsid w:val="00AC7F15"/>
    <w:rsid w:val="00AC7FDD"/>
    <w:rsid w:val="00AD0949"/>
    <w:rsid w:val="00AD0F1D"/>
    <w:rsid w:val="00AD1179"/>
    <w:rsid w:val="00AD1359"/>
    <w:rsid w:val="00AD194B"/>
    <w:rsid w:val="00AD19F0"/>
    <w:rsid w:val="00AD1FCE"/>
    <w:rsid w:val="00AD26E1"/>
    <w:rsid w:val="00AD29CC"/>
    <w:rsid w:val="00AD3268"/>
    <w:rsid w:val="00AD338A"/>
    <w:rsid w:val="00AD3DE2"/>
    <w:rsid w:val="00AD4261"/>
    <w:rsid w:val="00AD4473"/>
    <w:rsid w:val="00AD46F5"/>
    <w:rsid w:val="00AD51A3"/>
    <w:rsid w:val="00AD598B"/>
    <w:rsid w:val="00AD7154"/>
    <w:rsid w:val="00AD7844"/>
    <w:rsid w:val="00AD797D"/>
    <w:rsid w:val="00AD7C94"/>
    <w:rsid w:val="00AD7E02"/>
    <w:rsid w:val="00AE0483"/>
    <w:rsid w:val="00AE0672"/>
    <w:rsid w:val="00AE08DD"/>
    <w:rsid w:val="00AE101E"/>
    <w:rsid w:val="00AE13BD"/>
    <w:rsid w:val="00AE1681"/>
    <w:rsid w:val="00AE1AF9"/>
    <w:rsid w:val="00AE1E60"/>
    <w:rsid w:val="00AE2068"/>
    <w:rsid w:val="00AE2073"/>
    <w:rsid w:val="00AE2258"/>
    <w:rsid w:val="00AE277E"/>
    <w:rsid w:val="00AE2A36"/>
    <w:rsid w:val="00AE2BC6"/>
    <w:rsid w:val="00AE3251"/>
    <w:rsid w:val="00AE3FE0"/>
    <w:rsid w:val="00AE44A2"/>
    <w:rsid w:val="00AE4A71"/>
    <w:rsid w:val="00AE4E5F"/>
    <w:rsid w:val="00AE5058"/>
    <w:rsid w:val="00AE5170"/>
    <w:rsid w:val="00AE51CD"/>
    <w:rsid w:val="00AE5471"/>
    <w:rsid w:val="00AE54AA"/>
    <w:rsid w:val="00AE60E4"/>
    <w:rsid w:val="00AE6872"/>
    <w:rsid w:val="00AE6C58"/>
    <w:rsid w:val="00AE72C4"/>
    <w:rsid w:val="00AE7822"/>
    <w:rsid w:val="00AE7F05"/>
    <w:rsid w:val="00AE7F38"/>
    <w:rsid w:val="00AF054D"/>
    <w:rsid w:val="00AF0939"/>
    <w:rsid w:val="00AF0A7C"/>
    <w:rsid w:val="00AF1813"/>
    <w:rsid w:val="00AF1F5B"/>
    <w:rsid w:val="00AF2145"/>
    <w:rsid w:val="00AF24E7"/>
    <w:rsid w:val="00AF272B"/>
    <w:rsid w:val="00AF291B"/>
    <w:rsid w:val="00AF2DAA"/>
    <w:rsid w:val="00AF2EBD"/>
    <w:rsid w:val="00AF33AE"/>
    <w:rsid w:val="00AF37B4"/>
    <w:rsid w:val="00AF409A"/>
    <w:rsid w:val="00AF44B1"/>
    <w:rsid w:val="00AF4AD1"/>
    <w:rsid w:val="00AF5800"/>
    <w:rsid w:val="00AF6986"/>
    <w:rsid w:val="00AF6D1B"/>
    <w:rsid w:val="00AF73ED"/>
    <w:rsid w:val="00AF7D69"/>
    <w:rsid w:val="00AF7ED2"/>
    <w:rsid w:val="00B004D8"/>
    <w:rsid w:val="00B00830"/>
    <w:rsid w:val="00B00B91"/>
    <w:rsid w:val="00B00CC5"/>
    <w:rsid w:val="00B016D2"/>
    <w:rsid w:val="00B018B6"/>
    <w:rsid w:val="00B01E41"/>
    <w:rsid w:val="00B02091"/>
    <w:rsid w:val="00B02B3F"/>
    <w:rsid w:val="00B02B43"/>
    <w:rsid w:val="00B02BCB"/>
    <w:rsid w:val="00B03D36"/>
    <w:rsid w:val="00B03F3D"/>
    <w:rsid w:val="00B04384"/>
    <w:rsid w:val="00B04540"/>
    <w:rsid w:val="00B04CA8"/>
    <w:rsid w:val="00B05116"/>
    <w:rsid w:val="00B051A7"/>
    <w:rsid w:val="00B05574"/>
    <w:rsid w:val="00B058F8"/>
    <w:rsid w:val="00B05D64"/>
    <w:rsid w:val="00B05F1A"/>
    <w:rsid w:val="00B07B33"/>
    <w:rsid w:val="00B07FA2"/>
    <w:rsid w:val="00B100CF"/>
    <w:rsid w:val="00B10D7A"/>
    <w:rsid w:val="00B10E82"/>
    <w:rsid w:val="00B111A6"/>
    <w:rsid w:val="00B115E5"/>
    <w:rsid w:val="00B118EE"/>
    <w:rsid w:val="00B11B03"/>
    <w:rsid w:val="00B11C5B"/>
    <w:rsid w:val="00B121CD"/>
    <w:rsid w:val="00B12343"/>
    <w:rsid w:val="00B12529"/>
    <w:rsid w:val="00B128C5"/>
    <w:rsid w:val="00B12B11"/>
    <w:rsid w:val="00B12C94"/>
    <w:rsid w:val="00B135AB"/>
    <w:rsid w:val="00B137BF"/>
    <w:rsid w:val="00B13A1B"/>
    <w:rsid w:val="00B13A59"/>
    <w:rsid w:val="00B142D9"/>
    <w:rsid w:val="00B14BC4"/>
    <w:rsid w:val="00B156C8"/>
    <w:rsid w:val="00B158A3"/>
    <w:rsid w:val="00B15B25"/>
    <w:rsid w:val="00B15EA0"/>
    <w:rsid w:val="00B168E6"/>
    <w:rsid w:val="00B171C2"/>
    <w:rsid w:val="00B1799E"/>
    <w:rsid w:val="00B17A4E"/>
    <w:rsid w:val="00B17B30"/>
    <w:rsid w:val="00B17C2F"/>
    <w:rsid w:val="00B17D73"/>
    <w:rsid w:val="00B21175"/>
    <w:rsid w:val="00B2153E"/>
    <w:rsid w:val="00B21FA7"/>
    <w:rsid w:val="00B22010"/>
    <w:rsid w:val="00B22022"/>
    <w:rsid w:val="00B225E4"/>
    <w:rsid w:val="00B23638"/>
    <w:rsid w:val="00B23D4F"/>
    <w:rsid w:val="00B23F7A"/>
    <w:rsid w:val="00B240B1"/>
    <w:rsid w:val="00B24208"/>
    <w:rsid w:val="00B24728"/>
    <w:rsid w:val="00B248A9"/>
    <w:rsid w:val="00B24D28"/>
    <w:rsid w:val="00B24F1C"/>
    <w:rsid w:val="00B25890"/>
    <w:rsid w:val="00B25B19"/>
    <w:rsid w:val="00B25D76"/>
    <w:rsid w:val="00B27032"/>
    <w:rsid w:val="00B2739D"/>
    <w:rsid w:val="00B30003"/>
    <w:rsid w:val="00B30C06"/>
    <w:rsid w:val="00B31201"/>
    <w:rsid w:val="00B3129C"/>
    <w:rsid w:val="00B3167E"/>
    <w:rsid w:val="00B319F7"/>
    <w:rsid w:val="00B31B4B"/>
    <w:rsid w:val="00B31CD5"/>
    <w:rsid w:val="00B31E36"/>
    <w:rsid w:val="00B32E26"/>
    <w:rsid w:val="00B33646"/>
    <w:rsid w:val="00B338B7"/>
    <w:rsid w:val="00B34061"/>
    <w:rsid w:val="00B3440A"/>
    <w:rsid w:val="00B34441"/>
    <w:rsid w:val="00B35534"/>
    <w:rsid w:val="00B35A87"/>
    <w:rsid w:val="00B35AB6"/>
    <w:rsid w:val="00B35AFD"/>
    <w:rsid w:val="00B35B96"/>
    <w:rsid w:val="00B35F9A"/>
    <w:rsid w:val="00B36236"/>
    <w:rsid w:val="00B3662E"/>
    <w:rsid w:val="00B366D2"/>
    <w:rsid w:val="00B366FA"/>
    <w:rsid w:val="00B36E86"/>
    <w:rsid w:val="00B37122"/>
    <w:rsid w:val="00B379BA"/>
    <w:rsid w:val="00B40139"/>
    <w:rsid w:val="00B406BD"/>
    <w:rsid w:val="00B410E1"/>
    <w:rsid w:val="00B412FD"/>
    <w:rsid w:val="00B422BE"/>
    <w:rsid w:val="00B4241D"/>
    <w:rsid w:val="00B426BB"/>
    <w:rsid w:val="00B42EB9"/>
    <w:rsid w:val="00B434E9"/>
    <w:rsid w:val="00B441FE"/>
    <w:rsid w:val="00B4433F"/>
    <w:rsid w:val="00B44821"/>
    <w:rsid w:val="00B44AD3"/>
    <w:rsid w:val="00B44BDC"/>
    <w:rsid w:val="00B45152"/>
    <w:rsid w:val="00B45E54"/>
    <w:rsid w:val="00B461E5"/>
    <w:rsid w:val="00B464E4"/>
    <w:rsid w:val="00B4689A"/>
    <w:rsid w:val="00B46D5F"/>
    <w:rsid w:val="00B46E7B"/>
    <w:rsid w:val="00B4750B"/>
    <w:rsid w:val="00B47DC5"/>
    <w:rsid w:val="00B50100"/>
    <w:rsid w:val="00B505B3"/>
    <w:rsid w:val="00B509D2"/>
    <w:rsid w:val="00B50A74"/>
    <w:rsid w:val="00B5102B"/>
    <w:rsid w:val="00B520A0"/>
    <w:rsid w:val="00B5257E"/>
    <w:rsid w:val="00B525CE"/>
    <w:rsid w:val="00B52CFD"/>
    <w:rsid w:val="00B530CF"/>
    <w:rsid w:val="00B545A8"/>
    <w:rsid w:val="00B548E8"/>
    <w:rsid w:val="00B56527"/>
    <w:rsid w:val="00B56918"/>
    <w:rsid w:val="00B576DA"/>
    <w:rsid w:val="00B57710"/>
    <w:rsid w:val="00B601C9"/>
    <w:rsid w:val="00B60D04"/>
    <w:rsid w:val="00B61EE8"/>
    <w:rsid w:val="00B62D9B"/>
    <w:rsid w:val="00B633A3"/>
    <w:rsid w:val="00B63533"/>
    <w:rsid w:val="00B63BDB"/>
    <w:rsid w:val="00B63DF3"/>
    <w:rsid w:val="00B643D2"/>
    <w:rsid w:val="00B64A0E"/>
    <w:rsid w:val="00B64CC6"/>
    <w:rsid w:val="00B64DDF"/>
    <w:rsid w:val="00B651D7"/>
    <w:rsid w:val="00B65728"/>
    <w:rsid w:val="00B65D32"/>
    <w:rsid w:val="00B6601E"/>
    <w:rsid w:val="00B66049"/>
    <w:rsid w:val="00B663AA"/>
    <w:rsid w:val="00B66537"/>
    <w:rsid w:val="00B66DD5"/>
    <w:rsid w:val="00B670C2"/>
    <w:rsid w:val="00B6715C"/>
    <w:rsid w:val="00B67B97"/>
    <w:rsid w:val="00B67F01"/>
    <w:rsid w:val="00B7006B"/>
    <w:rsid w:val="00B711AB"/>
    <w:rsid w:val="00B712E1"/>
    <w:rsid w:val="00B714E9"/>
    <w:rsid w:val="00B714F0"/>
    <w:rsid w:val="00B71A40"/>
    <w:rsid w:val="00B71BFA"/>
    <w:rsid w:val="00B71C8C"/>
    <w:rsid w:val="00B71CB4"/>
    <w:rsid w:val="00B71FD7"/>
    <w:rsid w:val="00B72003"/>
    <w:rsid w:val="00B7210F"/>
    <w:rsid w:val="00B725E7"/>
    <w:rsid w:val="00B72C07"/>
    <w:rsid w:val="00B72DF7"/>
    <w:rsid w:val="00B72F42"/>
    <w:rsid w:val="00B7349E"/>
    <w:rsid w:val="00B73E44"/>
    <w:rsid w:val="00B74290"/>
    <w:rsid w:val="00B74390"/>
    <w:rsid w:val="00B74510"/>
    <w:rsid w:val="00B74822"/>
    <w:rsid w:val="00B74BD4"/>
    <w:rsid w:val="00B74BF7"/>
    <w:rsid w:val="00B75012"/>
    <w:rsid w:val="00B76185"/>
    <w:rsid w:val="00B7676C"/>
    <w:rsid w:val="00B76BCD"/>
    <w:rsid w:val="00B76FBC"/>
    <w:rsid w:val="00B7782B"/>
    <w:rsid w:val="00B779E6"/>
    <w:rsid w:val="00B804E2"/>
    <w:rsid w:val="00B811B2"/>
    <w:rsid w:val="00B82024"/>
    <w:rsid w:val="00B8276E"/>
    <w:rsid w:val="00B83997"/>
    <w:rsid w:val="00B83A62"/>
    <w:rsid w:val="00B83B59"/>
    <w:rsid w:val="00B84252"/>
    <w:rsid w:val="00B84677"/>
    <w:rsid w:val="00B8468F"/>
    <w:rsid w:val="00B84FC6"/>
    <w:rsid w:val="00B857F5"/>
    <w:rsid w:val="00B85A56"/>
    <w:rsid w:val="00B85B2C"/>
    <w:rsid w:val="00B85B6E"/>
    <w:rsid w:val="00B8664C"/>
    <w:rsid w:val="00B868AC"/>
    <w:rsid w:val="00B86D6C"/>
    <w:rsid w:val="00B86F47"/>
    <w:rsid w:val="00B874B4"/>
    <w:rsid w:val="00B875E9"/>
    <w:rsid w:val="00B8787A"/>
    <w:rsid w:val="00B87887"/>
    <w:rsid w:val="00B90123"/>
    <w:rsid w:val="00B90196"/>
    <w:rsid w:val="00B90FBE"/>
    <w:rsid w:val="00B911C1"/>
    <w:rsid w:val="00B91ADF"/>
    <w:rsid w:val="00B92008"/>
    <w:rsid w:val="00B9214A"/>
    <w:rsid w:val="00B92184"/>
    <w:rsid w:val="00B922C3"/>
    <w:rsid w:val="00B9272E"/>
    <w:rsid w:val="00B927A7"/>
    <w:rsid w:val="00B92B9E"/>
    <w:rsid w:val="00B93315"/>
    <w:rsid w:val="00B93519"/>
    <w:rsid w:val="00B9372A"/>
    <w:rsid w:val="00B93C04"/>
    <w:rsid w:val="00B93FD0"/>
    <w:rsid w:val="00B9425C"/>
    <w:rsid w:val="00B94AAF"/>
    <w:rsid w:val="00B94DB1"/>
    <w:rsid w:val="00B953FF"/>
    <w:rsid w:val="00B9574F"/>
    <w:rsid w:val="00B9622D"/>
    <w:rsid w:val="00B96263"/>
    <w:rsid w:val="00B968A5"/>
    <w:rsid w:val="00B972CD"/>
    <w:rsid w:val="00B9769B"/>
    <w:rsid w:val="00B97D02"/>
    <w:rsid w:val="00BA0304"/>
    <w:rsid w:val="00BA0557"/>
    <w:rsid w:val="00BA203A"/>
    <w:rsid w:val="00BA2A34"/>
    <w:rsid w:val="00BA3038"/>
    <w:rsid w:val="00BA3319"/>
    <w:rsid w:val="00BA370A"/>
    <w:rsid w:val="00BA3826"/>
    <w:rsid w:val="00BA48BC"/>
    <w:rsid w:val="00BA4A29"/>
    <w:rsid w:val="00BA4BE7"/>
    <w:rsid w:val="00BA5D1E"/>
    <w:rsid w:val="00BA5F20"/>
    <w:rsid w:val="00BA68D9"/>
    <w:rsid w:val="00BA7172"/>
    <w:rsid w:val="00BA7B01"/>
    <w:rsid w:val="00BB02D7"/>
    <w:rsid w:val="00BB0D9F"/>
    <w:rsid w:val="00BB0DEE"/>
    <w:rsid w:val="00BB1031"/>
    <w:rsid w:val="00BB1B33"/>
    <w:rsid w:val="00BB2480"/>
    <w:rsid w:val="00BB2C4E"/>
    <w:rsid w:val="00BB2E29"/>
    <w:rsid w:val="00BB2F74"/>
    <w:rsid w:val="00BB3206"/>
    <w:rsid w:val="00BB32C2"/>
    <w:rsid w:val="00BB38E0"/>
    <w:rsid w:val="00BB3B0D"/>
    <w:rsid w:val="00BB524C"/>
    <w:rsid w:val="00BB5DAB"/>
    <w:rsid w:val="00BB6195"/>
    <w:rsid w:val="00BB61A3"/>
    <w:rsid w:val="00BB623D"/>
    <w:rsid w:val="00BB62C4"/>
    <w:rsid w:val="00BB707E"/>
    <w:rsid w:val="00BB711E"/>
    <w:rsid w:val="00BB7568"/>
    <w:rsid w:val="00BB7F82"/>
    <w:rsid w:val="00BC007C"/>
    <w:rsid w:val="00BC043A"/>
    <w:rsid w:val="00BC0AB2"/>
    <w:rsid w:val="00BC1308"/>
    <w:rsid w:val="00BC1BF4"/>
    <w:rsid w:val="00BC2600"/>
    <w:rsid w:val="00BC2F24"/>
    <w:rsid w:val="00BC33BE"/>
    <w:rsid w:val="00BC3A47"/>
    <w:rsid w:val="00BC3A83"/>
    <w:rsid w:val="00BC3EEB"/>
    <w:rsid w:val="00BC4780"/>
    <w:rsid w:val="00BC4DD7"/>
    <w:rsid w:val="00BC4F46"/>
    <w:rsid w:val="00BC50CD"/>
    <w:rsid w:val="00BC52C8"/>
    <w:rsid w:val="00BC5485"/>
    <w:rsid w:val="00BC549C"/>
    <w:rsid w:val="00BC570E"/>
    <w:rsid w:val="00BC5A6C"/>
    <w:rsid w:val="00BC5AF6"/>
    <w:rsid w:val="00BC5B4B"/>
    <w:rsid w:val="00BC5EDB"/>
    <w:rsid w:val="00BC6630"/>
    <w:rsid w:val="00BC69A2"/>
    <w:rsid w:val="00BC6A35"/>
    <w:rsid w:val="00BC6ED6"/>
    <w:rsid w:val="00BC6F03"/>
    <w:rsid w:val="00BC6FA1"/>
    <w:rsid w:val="00BD024F"/>
    <w:rsid w:val="00BD0570"/>
    <w:rsid w:val="00BD0853"/>
    <w:rsid w:val="00BD112D"/>
    <w:rsid w:val="00BD214E"/>
    <w:rsid w:val="00BD22F7"/>
    <w:rsid w:val="00BD2395"/>
    <w:rsid w:val="00BD25B8"/>
    <w:rsid w:val="00BD2842"/>
    <w:rsid w:val="00BD2892"/>
    <w:rsid w:val="00BD3120"/>
    <w:rsid w:val="00BD3354"/>
    <w:rsid w:val="00BD368C"/>
    <w:rsid w:val="00BD384E"/>
    <w:rsid w:val="00BD3E76"/>
    <w:rsid w:val="00BD3EE2"/>
    <w:rsid w:val="00BD3FCF"/>
    <w:rsid w:val="00BD42D2"/>
    <w:rsid w:val="00BD47D7"/>
    <w:rsid w:val="00BD4B17"/>
    <w:rsid w:val="00BD4EFB"/>
    <w:rsid w:val="00BD5076"/>
    <w:rsid w:val="00BD5551"/>
    <w:rsid w:val="00BD5AF1"/>
    <w:rsid w:val="00BD61F7"/>
    <w:rsid w:val="00BD669C"/>
    <w:rsid w:val="00BD6D43"/>
    <w:rsid w:val="00BD7090"/>
    <w:rsid w:val="00BD7490"/>
    <w:rsid w:val="00BD767F"/>
    <w:rsid w:val="00BE09C3"/>
    <w:rsid w:val="00BE0C27"/>
    <w:rsid w:val="00BE15BB"/>
    <w:rsid w:val="00BE198F"/>
    <w:rsid w:val="00BE1A78"/>
    <w:rsid w:val="00BE418D"/>
    <w:rsid w:val="00BE473E"/>
    <w:rsid w:val="00BE5135"/>
    <w:rsid w:val="00BE5964"/>
    <w:rsid w:val="00BE5F2B"/>
    <w:rsid w:val="00BE6010"/>
    <w:rsid w:val="00BE65FE"/>
    <w:rsid w:val="00BE660B"/>
    <w:rsid w:val="00BE6AFE"/>
    <w:rsid w:val="00BE6BBE"/>
    <w:rsid w:val="00BE6FDA"/>
    <w:rsid w:val="00BE7021"/>
    <w:rsid w:val="00BE7300"/>
    <w:rsid w:val="00BE784F"/>
    <w:rsid w:val="00BE78CE"/>
    <w:rsid w:val="00BF0238"/>
    <w:rsid w:val="00BF0717"/>
    <w:rsid w:val="00BF071D"/>
    <w:rsid w:val="00BF1224"/>
    <w:rsid w:val="00BF1750"/>
    <w:rsid w:val="00BF178E"/>
    <w:rsid w:val="00BF189F"/>
    <w:rsid w:val="00BF1B44"/>
    <w:rsid w:val="00BF1F01"/>
    <w:rsid w:val="00BF21FF"/>
    <w:rsid w:val="00BF23CC"/>
    <w:rsid w:val="00BF243F"/>
    <w:rsid w:val="00BF284E"/>
    <w:rsid w:val="00BF2F93"/>
    <w:rsid w:val="00BF332B"/>
    <w:rsid w:val="00BF3ACF"/>
    <w:rsid w:val="00BF3C2A"/>
    <w:rsid w:val="00BF3E72"/>
    <w:rsid w:val="00BF480C"/>
    <w:rsid w:val="00BF4C2B"/>
    <w:rsid w:val="00BF507A"/>
    <w:rsid w:val="00BF53F1"/>
    <w:rsid w:val="00BF5717"/>
    <w:rsid w:val="00BF5B9D"/>
    <w:rsid w:val="00BF5CD8"/>
    <w:rsid w:val="00BF5FA3"/>
    <w:rsid w:val="00BF60CD"/>
    <w:rsid w:val="00BF62F2"/>
    <w:rsid w:val="00BF63A5"/>
    <w:rsid w:val="00BF72A7"/>
    <w:rsid w:val="00BF7558"/>
    <w:rsid w:val="00BF77DC"/>
    <w:rsid w:val="00C00B2B"/>
    <w:rsid w:val="00C0111E"/>
    <w:rsid w:val="00C02676"/>
    <w:rsid w:val="00C029AB"/>
    <w:rsid w:val="00C03BD5"/>
    <w:rsid w:val="00C03C8B"/>
    <w:rsid w:val="00C03F3C"/>
    <w:rsid w:val="00C049BE"/>
    <w:rsid w:val="00C04A71"/>
    <w:rsid w:val="00C04DF0"/>
    <w:rsid w:val="00C057BF"/>
    <w:rsid w:val="00C05A4C"/>
    <w:rsid w:val="00C05A67"/>
    <w:rsid w:val="00C05ECC"/>
    <w:rsid w:val="00C06504"/>
    <w:rsid w:val="00C073E0"/>
    <w:rsid w:val="00C1001D"/>
    <w:rsid w:val="00C10B5A"/>
    <w:rsid w:val="00C11113"/>
    <w:rsid w:val="00C11687"/>
    <w:rsid w:val="00C117BE"/>
    <w:rsid w:val="00C11E28"/>
    <w:rsid w:val="00C1210C"/>
    <w:rsid w:val="00C1225B"/>
    <w:rsid w:val="00C122F9"/>
    <w:rsid w:val="00C12459"/>
    <w:rsid w:val="00C1253A"/>
    <w:rsid w:val="00C128C9"/>
    <w:rsid w:val="00C12CF3"/>
    <w:rsid w:val="00C12F88"/>
    <w:rsid w:val="00C131A8"/>
    <w:rsid w:val="00C1322D"/>
    <w:rsid w:val="00C135A3"/>
    <w:rsid w:val="00C1477A"/>
    <w:rsid w:val="00C14A62"/>
    <w:rsid w:val="00C14C88"/>
    <w:rsid w:val="00C158EB"/>
    <w:rsid w:val="00C159B1"/>
    <w:rsid w:val="00C161F5"/>
    <w:rsid w:val="00C164C9"/>
    <w:rsid w:val="00C16C92"/>
    <w:rsid w:val="00C1706B"/>
    <w:rsid w:val="00C17648"/>
    <w:rsid w:val="00C17DB7"/>
    <w:rsid w:val="00C17E48"/>
    <w:rsid w:val="00C17E81"/>
    <w:rsid w:val="00C17FF5"/>
    <w:rsid w:val="00C201E7"/>
    <w:rsid w:val="00C2034D"/>
    <w:rsid w:val="00C20AA2"/>
    <w:rsid w:val="00C20B91"/>
    <w:rsid w:val="00C21155"/>
    <w:rsid w:val="00C21180"/>
    <w:rsid w:val="00C2146C"/>
    <w:rsid w:val="00C214D7"/>
    <w:rsid w:val="00C21561"/>
    <w:rsid w:val="00C217EE"/>
    <w:rsid w:val="00C21CBF"/>
    <w:rsid w:val="00C2223D"/>
    <w:rsid w:val="00C22784"/>
    <w:rsid w:val="00C227D6"/>
    <w:rsid w:val="00C2395D"/>
    <w:rsid w:val="00C23A4C"/>
    <w:rsid w:val="00C2419D"/>
    <w:rsid w:val="00C243A4"/>
    <w:rsid w:val="00C24416"/>
    <w:rsid w:val="00C248DB"/>
    <w:rsid w:val="00C255A0"/>
    <w:rsid w:val="00C26170"/>
    <w:rsid w:val="00C26B5A"/>
    <w:rsid w:val="00C26D52"/>
    <w:rsid w:val="00C26F21"/>
    <w:rsid w:val="00C277DA"/>
    <w:rsid w:val="00C303E4"/>
    <w:rsid w:val="00C30775"/>
    <w:rsid w:val="00C30B8D"/>
    <w:rsid w:val="00C310BA"/>
    <w:rsid w:val="00C3134E"/>
    <w:rsid w:val="00C315D8"/>
    <w:rsid w:val="00C31C4A"/>
    <w:rsid w:val="00C31D2D"/>
    <w:rsid w:val="00C32639"/>
    <w:rsid w:val="00C32AD2"/>
    <w:rsid w:val="00C33CE5"/>
    <w:rsid w:val="00C34193"/>
    <w:rsid w:val="00C347FD"/>
    <w:rsid w:val="00C34DAE"/>
    <w:rsid w:val="00C34E1E"/>
    <w:rsid w:val="00C34E5A"/>
    <w:rsid w:val="00C35323"/>
    <w:rsid w:val="00C35617"/>
    <w:rsid w:val="00C35A84"/>
    <w:rsid w:val="00C36219"/>
    <w:rsid w:val="00C3698E"/>
    <w:rsid w:val="00C36CCA"/>
    <w:rsid w:val="00C36E1C"/>
    <w:rsid w:val="00C36F42"/>
    <w:rsid w:val="00C3718A"/>
    <w:rsid w:val="00C377B1"/>
    <w:rsid w:val="00C379C5"/>
    <w:rsid w:val="00C37E84"/>
    <w:rsid w:val="00C37EEE"/>
    <w:rsid w:val="00C40453"/>
    <w:rsid w:val="00C40E71"/>
    <w:rsid w:val="00C41879"/>
    <w:rsid w:val="00C41A7C"/>
    <w:rsid w:val="00C42651"/>
    <w:rsid w:val="00C42CEF"/>
    <w:rsid w:val="00C42D55"/>
    <w:rsid w:val="00C43080"/>
    <w:rsid w:val="00C4370E"/>
    <w:rsid w:val="00C43823"/>
    <w:rsid w:val="00C4384B"/>
    <w:rsid w:val="00C4393C"/>
    <w:rsid w:val="00C44068"/>
    <w:rsid w:val="00C442AE"/>
    <w:rsid w:val="00C4518B"/>
    <w:rsid w:val="00C4543A"/>
    <w:rsid w:val="00C45780"/>
    <w:rsid w:val="00C458D6"/>
    <w:rsid w:val="00C46268"/>
    <w:rsid w:val="00C4655A"/>
    <w:rsid w:val="00C466BF"/>
    <w:rsid w:val="00C46FF3"/>
    <w:rsid w:val="00C47385"/>
    <w:rsid w:val="00C47555"/>
    <w:rsid w:val="00C476AC"/>
    <w:rsid w:val="00C47E67"/>
    <w:rsid w:val="00C47FD9"/>
    <w:rsid w:val="00C50387"/>
    <w:rsid w:val="00C50AC5"/>
    <w:rsid w:val="00C50C1A"/>
    <w:rsid w:val="00C51508"/>
    <w:rsid w:val="00C51D73"/>
    <w:rsid w:val="00C51DEB"/>
    <w:rsid w:val="00C51E83"/>
    <w:rsid w:val="00C52A05"/>
    <w:rsid w:val="00C52E97"/>
    <w:rsid w:val="00C52EAF"/>
    <w:rsid w:val="00C53189"/>
    <w:rsid w:val="00C534E5"/>
    <w:rsid w:val="00C534F4"/>
    <w:rsid w:val="00C5375B"/>
    <w:rsid w:val="00C53B15"/>
    <w:rsid w:val="00C53DA9"/>
    <w:rsid w:val="00C53EF7"/>
    <w:rsid w:val="00C54280"/>
    <w:rsid w:val="00C54929"/>
    <w:rsid w:val="00C556B1"/>
    <w:rsid w:val="00C55A05"/>
    <w:rsid w:val="00C55A12"/>
    <w:rsid w:val="00C56101"/>
    <w:rsid w:val="00C56498"/>
    <w:rsid w:val="00C565F2"/>
    <w:rsid w:val="00C56C45"/>
    <w:rsid w:val="00C573CC"/>
    <w:rsid w:val="00C57B81"/>
    <w:rsid w:val="00C57FB9"/>
    <w:rsid w:val="00C60145"/>
    <w:rsid w:val="00C6077B"/>
    <w:rsid w:val="00C60950"/>
    <w:rsid w:val="00C609FD"/>
    <w:rsid w:val="00C60DD1"/>
    <w:rsid w:val="00C61565"/>
    <w:rsid w:val="00C61574"/>
    <w:rsid w:val="00C615B4"/>
    <w:rsid w:val="00C61765"/>
    <w:rsid w:val="00C61A90"/>
    <w:rsid w:val="00C6211D"/>
    <w:rsid w:val="00C62B32"/>
    <w:rsid w:val="00C63050"/>
    <w:rsid w:val="00C63DED"/>
    <w:rsid w:val="00C63E88"/>
    <w:rsid w:val="00C64F97"/>
    <w:rsid w:val="00C65585"/>
    <w:rsid w:val="00C656EB"/>
    <w:rsid w:val="00C65C5A"/>
    <w:rsid w:val="00C65D7B"/>
    <w:rsid w:val="00C65DF4"/>
    <w:rsid w:val="00C66F13"/>
    <w:rsid w:val="00C6762C"/>
    <w:rsid w:val="00C67B49"/>
    <w:rsid w:val="00C70942"/>
    <w:rsid w:val="00C711F5"/>
    <w:rsid w:val="00C713A1"/>
    <w:rsid w:val="00C71828"/>
    <w:rsid w:val="00C72105"/>
    <w:rsid w:val="00C72BCE"/>
    <w:rsid w:val="00C74954"/>
    <w:rsid w:val="00C76028"/>
    <w:rsid w:val="00C76184"/>
    <w:rsid w:val="00C7673D"/>
    <w:rsid w:val="00C76A80"/>
    <w:rsid w:val="00C76C27"/>
    <w:rsid w:val="00C76F07"/>
    <w:rsid w:val="00C7706C"/>
    <w:rsid w:val="00C77EF6"/>
    <w:rsid w:val="00C8058E"/>
    <w:rsid w:val="00C80B4B"/>
    <w:rsid w:val="00C80D63"/>
    <w:rsid w:val="00C812D5"/>
    <w:rsid w:val="00C818D0"/>
    <w:rsid w:val="00C81BEA"/>
    <w:rsid w:val="00C81DF5"/>
    <w:rsid w:val="00C82188"/>
    <w:rsid w:val="00C8242B"/>
    <w:rsid w:val="00C829FA"/>
    <w:rsid w:val="00C82A50"/>
    <w:rsid w:val="00C830C7"/>
    <w:rsid w:val="00C83240"/>
    <w:rsid w:val="00C832E7"/>
    <w:rsid w:val="00C83381"/>
    <w:rsid w:val="00C83607"/>
    <w:rsid w:val="00C83768"/>
    <w:rsid w:val="00C83B18"/>
    <w:rsid w:val="00C840C3"/>
    <w:rsid w:val="00C841B4"/>
    <w:rsid w:val="00C84266"/>
    <w:rsid w:val="00C849E0"/>
    <w:rsid w:val="00C84B74"/>
    <w:rsid w:val="00C8512A"/>
    <w:rsid w:val="00C85970"/>
    <w:rsid w:val="00C85E9B"/>
    <w:rsid w:val="00C87232"/>
    <w:rsid w:val="00C874C8"/>
    <w:rsid w:val="00C87B9F"/>
    <w:rsid w:val="00C87C84"/>
    <w:rsid w:val="00C90165"/>
    <w:rsid w:val="00C90733"/>
    <w:rsid w:val="00C91566"/>
    <w:rsid w:val="00C91840"/>
    <w:rsid w:val="00C91984"/>
    <w:rsid w:val="00C921C4"/>
    <w:rsid w:val="00C9235F"/>
    <w:rsid w:val="00C9257F"/>
    <w:rsid w:val="00C9319C"/>
    <w:rsid w:val="00C934F6"/>
    <w:rsid w:val="00C93874"/>
    <w:rsid w:val="00C93A4C"/>
    <w:rsid w:val="00C9448D"/>
    <w:rsid w:val="00C9478A"/>
    <w:rsid w:val="00C94AEF"/>
    <w:rsid w:val="00C94FD2"/>
    <w:rsid w:val="00C9514C"/>
    <w:rsid w:val="00C95341"/>
    <w:rsid w:val="00C95B76"/>
    <w:rsid w:val="00C95E75"/>
    <w:rsid w:val="00C964C3"/>
    <w:rsid w:val="00C96635"/>
    <w:rsid w:val="00C966B7"/>
    <w:rsid w:val="00C969DB"/>
    <w:rsid w:val="00C97A4A"/>
    <w:rsid w:val="00C97DC9"/>
    <w:rsid w:val="00C97EE3"/>
    <w:rsid w:val="00CA0C05"/>
    <w:rsid w:val="00CA12BA"/>
    <w:rsid w:val="00CA165C"/>
    <w:rsid w:val="00CA1C0D"/>
    <w:rsid w:val="00CA1DAE"/>
    <w:rsid w:val="00CA2020"/>
    <w:rsid w:val="00CA2267"/>
    <w:rsid w:val="00CA38AD"/>
    <w:rsid w:val="00CA3BEB"/>
    <w:rsid w:val="00CA413F"/>
    <w:rsid w:val="00CA5098"/>
    <w:rsid w:val="00CA5503"/>
    <w:rsid w:val="00CA55C3"/>
    <w:rsid w:val="00CA5C46"/>
    <w:rsid w:val="00CA60A6"/>
    <w:rsid w:val="00CA65B3"/>
    <w:rsid w:val="00CA66C3"/>
    <w:rsid w:val="00CA6CAD"/>
    <w:rsid w:val="00CA70A8"/>
    <w:rsid w:val="00CA70D0"/>
    <w:rsid w:val="00CA74A4"/>
    <w:rsid w:val="00CA7683"/>
    <w:rsid w:val="00CA7EA1"/>
    <w:rsid w:val="00CA7EEB"/>
    <w:rsid w:val="00CB009B"/>
    <w:rsid w:val="00CB0231"/>
    <w:rsid w:val="00CB0838"/>
    <w:rsid w:val="00CB0DD9"/>
    <w:rsid w:val="00CB1AFD"/>
    <w:rsid w:val="00CB1E7F"/>
    <w:rsid w:val="00CB1EB3"/>
    <w:rsid w:val="00CB2126"/>
    <w:rsid w:val="00CB24AD"/>
    <w:rsid w:val="00CB2C59"/>
    <w:rsid w:val="00CB2D9C"/>
    <w:rsid w:val="00CB34AB"/>
    <w:rsid w:val="00CB3529"/>
    <w:rsid w:val="00CB3562"/>
    <w:rsid w:val="00CB38A9"/>
    <w:rsid w:val="00CB40E7"/>
    <w:rsid w:val="00CB4728"/>
    <w:rsid w:val="00CB4994"/>
    <w:rsid w:val="00CB4C22"/>
    <w:rsid w:val="00CB556C"/>
    <w:rsid w:val="00CB59E7"/>
    <w:rsid w:val="00CB5E4A"/>
    <w:rsid w:val="00CB668A"/>
    <w:rsid w:val="00CB6976"/>
    <w:rsid w:val="00CB6FCA"/>
    <w:rsid w:val="00CB724D"/>
    <w:rsid w:val="00CB73EA"/>
    <w:rsid w:val="00CB7D4E"/>
    <w:rsid w:val="00CC002B"/>
    <w:rsid w:val="00CC07E5"/>
    <w:rsid w:val="00CC09F0"/>
    <w:rsid w:val="00CC0C11"/>
    <w:rsid w:val="00CC15B5"/>
    <w:rsid w:val="00CC1671"/>
    <w:rsid w:val="00CC1F52"/>
    <w:rsid w:val="00CC233F"/>
    <w:rsid w:val="00CC27FD"/>
    <w:rsid w:val="00CC31E8"/>
    <w:rsid w:val="00CC33C6"/>
    <w:rsid w:val="00CC352C"/>
    <w:rsid w:val="00CC3719"/>
    <w:rsid w:val="00CC39BE"/>
    <w:rsid w:val="00CC3AB9"/>
    <w:rsid w:val="00CC3C9E"/>
    <w:rsid w:val="00CC45E0"/>
    <w:rsid w:val="00CC4BBE"/>
    <w:rsid w:val="00CC4BC3"/>
    <w:rsid w:val="00CC50C7"/>
    <w:rsid w:val="00CC55AC"/>
    <w:rsid w:val="00CC5859"/>
    <w:rsid w:val="00CC6159"/>
    <w:rsid w:val="00CC633A"/>
    <w:rsid w:val="00CC65A8"/>
    <w:rsid w:val="00CC6FF2"/>
    <w:rsid w:val="00CC71F3"/>
    <w:rsid w:val="00CC72C0"/>
    <w:rsid w:val="00CC757D"/>
    <w:rsid w:val="00CC7C74"/>
    <w:rsid w:val="00CD00DB"/>
    <w:rsid w:val="00CD0119"/>
    <w:rsid w:val="00CD07FD"/>
    <w:rsid w:val="00CD0866"/>
    <w:rsid w:val="00CD102E"/>
    <w:rsid w:val="00CD1169"/>
    <w:rsid w:val="00CD16C7"/>
    <w:rsid w:val="00CD1A40"/>
    <w:rsid w:val="00CD1B33"/>
    <w:rsid w:val="00CD25F3"/>
    <w:rsid w:val="00CD27FF"/>
    <w:rsid w:val="00CD305C"/>
    <w:rsid w:val="00CD3A6D"/>
    <w:rsid w:val="00CD3E5A"/>
    <w:rsid w:val="00CD3E63"/>
    <w:rsid w:val="00CD40A3"/>
    <w:rsid w:val="00CD4C2A"/>
    <w:rsid w:val="00CD4CD3"/>
    <w:rsid w:val="00CD578C"/>
    <w:rsid w:val="00CD589F"/>
    <w:rsid w:val="00CD60C9"/>
    <w:rsid w:val="00CD6345"/>
    <w:rsid w:val="00CD67D2"/>
    <w:rsid w:val="00CD6BBB"/>
    <w:rsid w:val="00CD6C19"/>
    <w:rsid w:val="00CD6E47"/>
    <w:rsid w:val="00CD7426"/>
    <w:rsid w:val="00CD7482"/>
    <w:rsid w:val="00CE07C1"/>
    <w:rsid w:val="00CE1567"/>
    <w:rsid w:val="00CE186F"/>
    <w:rsid w:val="00CE1BC4"/>
    <w:rsid w:val="00CE1C09"/>
    <w:rsid w:val="00CE1E82"/>
    <w:rsid w:val="00CE20E3"/>
    <w:rsid w:val="00CE24B7"/>
    <w:rsid w:val="00CE273A"/>
    <w:rsid w:val="00CE321C"/>
    <w:rsid w:val="00CE32E8"/>
    <w:rsid w:val="00CE3700"/>
    <w:rsid w:val="00CE3B69"/>
    <w:rsid w:val="00CE3B77"/>
    <w:rsid w:val="00CE44B8"/>
    <w:rsid w:val="00CE4559"/>
    <w:rsid w:val="00CE5118"/>
    <w:rsid w:val="00CE5302"/>
    <w:rsid w:val="00CE5487"/>
    <w:rsid w:val="00CE59B5"/>
    <w:rsid w:val="00CE59DB"/>
    <w:rsid w:val="00CE5D3A"/>
    <w:rsid w:val="00CE7381"/>
    <w:rsid w:val="00CE7447"/>
    <w:rsid w:val="00CE74CE"/>
    <w:rsid w:val="00CE7F36"/>
    <w:rsid w:val="00CF0829"/>
    <w:rsid w:val="00CF0E74"/>
    <w:rsid w:val="00CF1833"/>
    <w:rsid w:val="00CF1AEA"/>
    <w:rsid w:val="00CF1B4F"/>
    <w:rsid w:val="00CF2091"/>
    <w:rsid w:val="00CF21F6"/>
    <w:rsid w:val="00CF2278"/>
    <w:rsid w:val="00CF2C62"/>
    <w:rsid w:val="00CF2F66"/>
    <w:rsid w:val="00CF3325"/>
    <w:rsid w:val="00CF337B"/>
    <w:rsid w:val="00CF3B15"/>
    <w:rsid w:val="00CF3FE7"/>
    <w:rsid w:val="00CF4059"/>
    <w:rsid w:val="00CF4416"/>
    <w:rsid w:val="00CF4734"/>
    <w:rsid w:val="00CF5762"/>
    <w:rsid w:val="00CF65B4"/>
    <w:rsid w:val="00CF69B0"/>
    <w:rsid w:val="00CF6C05"/>
    <w:rsid w:val="00CF6FD3"/>
    <w:rsid w:val="00CF7485"/>
    <w:rsid w:val="00CF7913"/>
    <w:rsid w:val="00CF7E56"/>
    <w:rsid w:val="00D0139C"/>
    <w:rsid w:val="00D01744"/>
    <w:rsid w:val="00D025CE"/>
    <w:rsid w:val="00D02A0F"/>
    <w:rsid w:val="00D02CA8"/>
    <w:rsid w:val="00D02DF3"/>
    <w:rsid w:val="00D02FB3"/>
    <w:rsid w:val="00D03181"/>
    <w:rsid w:val="00D037DC"/>
    <w:rsid w:val="00D0383B"/>
    <w:rsid w:val="00D03A8A"/>
    <w:rsid w:val="00D03B4A"/>
    <w:rsid w:val="00D03DA5"/>
    <w:rsid w:val="00D03F27"/>
    <w:rsid w:val="00D043EE"/>
    <w:rsid w:val="00D0470D"/>
    <w:rsid w:val="00D05249"/>
    <w:rsid w:val="00D055CA"/>
    <w:rsid w:val="00D059FC"/>
    <w:rsid w:val="00D05DEF"/>
    <w:rsid w:val="00D06861"/>
    <w:rsid w:val="00D0688A"/>
    <w:rsid w:val="00D06F22"/>
    <w:rsid w:val="00D07A9C"/>
    <w:rsid w:val="00D10076"/>
    <w:rsid w:val="00D1033B"/>
    <w:rsid w:val="00D10477"/>
    <w:rsid w:val="00D107E2"/>
    <w:rsid w:val="00D11D76"/>
    <w:rsid w:val="00D11E73"/>
    <w:rsid w:val="00D121F5"/>
    <w:rsid w:val="00D126E4"/>
    <w:rsid w:val="00D131BF"/>
    <w:rsid w:val="00D140E6"/>
    <w:rsid w:val="00D158EF"/>
    <w:rsid w:val="00D15C14"/>
    <w:rsid w:val="00D15D91"/>
    <w:rsid w:val="00D15E74"/>
    <w:rsid w:val="00D15FAA"/>
    <w:rsid w:val="00D16ECB"/>
    <w:rsid w:val="00D16EEE"/>
    <w:rsid w:val="00D17167"/>
    <w:rsid w:val="00D1794C"/>
    <w:rsid w:val="00D17BA5"/>
    <w:rsid w:val="00D17EC9"/>
    <w:rsid w:val="00D2058D"/>
    <w:rsid w:val="00D2066A"/>
    <w:rsid w:val="00D2176E"/>
    <w:rsid w:val="00D2182A"/>
    <w:rsid w:val="00D22105"/>
    <w:rsid w:val="00D2211C"/>
    <w:rsid w:val="00D22945"/>
    <w:rsid w:val="00D22B55"/>
    <w:rsid w:val="00D23055"/>
    <w:rsid w:val="00D230AD"/>
    <w:rsid w:val="00D249F1"/>
    <w:rsid w:val="00D251AB"/>
    <w:rsid w:val="00D25AC6"/>
    <w:rsid w:val="00D261D3"/>
    <w:rsid w:val="00D27518"/>
    <w:rsid w:val="00D31255"/>
    <w:rsid w:val="00D319DF"/>
    <w:rsid w:val="00D3225E"/>
    <w:rsid w:val="00D324BC"/>
    <w:rsid w:val="00D33565"/>
    <w:rsid w:val="00D33762"/>
    <w:rsid w:val="00D34025"/>
    <w:rsid w:val="00D3413A"/>
    <w:rsid w:val="00D34BD1"/>
    <w:rsid w:val="00D34D90"/>
    <w:rsid w:val="00D35177"/>
    <w:rsid w:val="00D356E1"/>
    <w:rsid w:val="00D37006"/>
    <w:rsid w:val="00D40609"/>
    <w:rsid w:val="00D40983"/>
    <w:rsid w:val="00D41188"/>
    <w:rsid w:val="00D41477"/>
    <w:rsid w:val="00D417D3"/>
    <w:rsid w:val="00D418D5"/>
    <w:rsid w:val="00D41A6B"/>
    <w:rsid w:val="00D41DB1"/>
    <w:rsid w:val="00D42045"/>
    <w:rsid w:val="00D4276D"/>
    <w:rsid w:val="00D42798"/>
    <w:rsid w:val="00D42970"/>
    <w:rsid w:val="00D43492"/>
    <w:rsid w:val="00D4364E"/>
    <w:rsid w:val="00D43AED"/>
    <w:rsid w:val="00D44126"/>
    <w:rsid w:val="00D44180"/>
    <w:rsid w:val="00D44783"/>
    <w:rsid w:val="00D44916"/>
    <w:rsid w:val="00D4497A"/>
    <w:rsid w:val="00D45CA4"/>
    <w:rsid w:val="00D45EA7"/>
    <w:rsid w:val="00D45F22"/>
    <w:rsid w:val="00D46485"/>
    <w:rsid w:val="00D46C94"/>
    <w:rsid w:val="00D47178"/>
    <w:rsid w:val="00D4752E"/>
    <w:rsid w:val="00D47842"/>
    <w:rsid w:val="00D478A8"/>
    <w:rsid w:val="00D47BEF"/>
    <w:rsid w:val="00D501E3"/>
    <w:rsid w:val="00D50826"/>
    <w:rsid w:val="00D51675"/>
    <w:rsid w:val="00D51A75"/>
    <w:rsid w:val="00D51F73"/>
    <w:rsid w:val="00D520B8"/>
    <w:rsid w:val="00D52827"/>
    <w:rsid w:val="00D529BE"/>
    <w:rsid w:val="00D52CF6"/>
    <w:rsid w:val="00D53198"/>
    <w:rsid w:val="00D53CDF"/>
    <w:rsid w:val="00D53D3E"/>
    <w:rsid w:val="00D547E0"/>
    <w:rsid w:val="00D54992"/>
    <w:rsid w:val="00D55291"/>
    <w:rsid w:val="00D55C48"/>
    <w:rsid w:val="00D55E47"/>
    <w:rsid w:val="00D56997"/>
    <w:rsid w:val="00D570E6"/>
    <w:rsid w:val="00D5730F"/>
    <w:rsid w:val="00D5774F"/>
    <w:rsid w:val="00D578B1"/>
    <w:rsid w:val="00D57A52"/>
    <w:rsid w:val="00D60809"/>
    <w:rsid w:val="00D60D7F"/>
    <w:rsid w:val="00D61C9C"/>
    <w:rsid w:val="00D62111"/>
    <w:rsid w:val="00D62224"/>
    <w:rsid w:val="00D62229"/>
    <w:rsid w:val="00D625B8"/>
    <w:rsid w:val="00D626F8"/>
    <w:rsid w:val="00D62E7C"/>
    <w:rsid w:val="00D634CD"/>
    <w:rsid w:val="00D636DC"/>
    <w:rsid w:val="00D63F4C"/>
    <w:rsid w:val="00D64265"/>
    <w:rsid w:val="00D64613"/>
    <w:rsid w:val="00D64702"/>
    <w:rsid w:val="00D6620F"/>
    <w:rsid w:val="00D66BD9"/>
    <w:rsid w:val="00D66BFD"/>
    <w:rsid w:val="00D66C91"/>
    <w:rsid w:val="00D674EE"/>
    <w:rsid w:val="00D67535"/>
    <w:rsid w:val="00D67B2A"/>
    <w:rsid w:val="00D67BC9"/>
    <w:rsid w:val="00D67DBC"/>
    <w:rsid w:val="00D704D9"/>
    <w:rsid w:val="00D70BD2"/>
    <w:rsid w:val="00D713F2"/>
    <w:rsid w:val="00D71800"/>
    <w:rsid w:val="00D721AA"/>
    <w:rsid w:val="00D72705"/>
    <w:rsid w:val="00D72FCC"/>
    <w:rsid w:val="00D738BF"/>
    <w:rsid w:val="00D73B93"/>
    <w:rsid w:val="00D73C95"/>
    <w:rsid w:val="00D73F99"/>
    <w:rsid w:val="00D745C1"/>
    <w:rsid w:val="00D754EE"/>
    <w:rsid w:val="00D75676"/>
    <w:rsid w:val="00D75731"/>
    <w:rsid w:val="00D75B45"/>
    <w:rsid w:val="00D75B5C"/>
    <w:rsid w:val="00D75F8C"/>
    <w:rsid w:val="00D76050"/>
    <w:rsid w:val="00D76309"/>
    <w:rsid w:val="00D76423"/>
    <w:rsid w:val="00D767BF"/>
    <w:rsid w:val="00D77278"/>
    <w:rsid w:val="00D775B5"/>
    <w:rsid w:val="00D77961"/>
    <w:rsid w:val="00D77B20"/>
    <w:rsid w:val="00D77B3B"/>
    <w:rsid w:val="00D77B49"/>
    <w:rsid w:val="00D8007C"/>
    <w:rsid w:val="00D806DC"/>
    <w:rsid w:val="00D8079F"/>
    <w:rsid w:val="00D8103B"/>
    <w:rsid w:val="00D8111B"/>
    <w:rsid w:val="00D81242"/>
    <w:rsid w:val="00D812D2"/>
    <w:rsid w:val="00D822FA"/>
    <w:rsid w:val="00D82D02"/>
    <w:rsid w:val="00D82D0F"/>
    <w:rsid w:val="00D83A5A"/>
    <w:rsid w:val="00D84157"/>
    <w:rsid w:val="00D84BD7"/>
    <w:rsid w:val="00D84DCA"/>
    <w:rsid w:val="00D850FC"/>
    <w:rsid w:val="00D85114"/>
    <w:rsid w:val="00D857BC"/>
    <w:rsid w:val="00D86144"/>
    <w:rsid w:val="00D8622E"/>
    <w:rsid w:val="00D8718F"/>
    <w:rsid w:val="00D871B6"/>
    <w:rsid w:val="00D875E1"/>
    <w:rsid w:val="00D87D23"/>
    <w:rsid w:val="00D90275"/>
    <w:rsid w:val="00D902F5"/>
    <w:rsid w:val="00D9075D"/>
    <w:rsid w:val="00D90959"/>
    <w:rsid w:val="00D91410"/>
    <w:rsid w:val="00D91438"/>
    <w:rsid w:val="00D91594"/>
    <w:rsid w:val="00D91756"/>
    <w:rsid w:val="00D91A8F"/>
    <w:rsid w:val="00D91ABE"/>
    <w:rsid w:val="00D91C26"/>
    <w:rsid w:val="00D91DFB"/>
    <w:rsid w:val="00D921DA"/>
    <w:rsid w:val="00D926BF"/>
    <w:rsid w:val="00D92C2F"/>
    <w:rsid w:val="00D92F7F"/>
    <w:rsid w:val="00D9459D"/>
    <w:rsid w:val="00D94730"/>
    <w:rsid w:val="00D94858"/>
    <w:rsid w:val="00D94972"/>
    <w:rsid w:val="00D952B7"/>
    <w:rsid w:val="00D954A1"/>
    <w:rsid w:val="00D95519"/>
    <w:rsid w:val="00D95744"/>
    <w:rsid w:val="00D958FC"/>
    <w:rsid w:val="00D959AE"/>
    <w:rsid w:val="00D95DC2"/>
    <w:rsid w:val="00D96678"/>
    <w:rsid w:val="00D96C73"/>
    <w:rsid w:val="00D96D46"/>
    <w:rsid w:val="00D97C27"/>
    <w:rsid w:val="00DA0526"/>
    <w:rsid w:val="00DA0639"/>
    <w:rsid w:val="00DA079C"/>
    <w:rsid w:val="00DA0CF7"/>
    <w:rsid w:val="00DA0E96"/>
    <w:rsid w:val="00DA1203"/>
    <w:rsid w:val="00DA18DA"/>
    <w:rsid w:val="00DA18EA"/>
    <w:rsid w:val="00DA1F0C"/>
    <w:rsid w:val="00DA1F38"/>
    <w:rsid w:val="00DA1FAE"/>
    <w:rsid w:val="00DA2F0F"/>
    <w:rsid w:val="00DA3565"/>
    <w:rsid w:val="00DA3A5B"/>
    <w:rsid w:val="00DA3D0B"/>
    <w:rsid w:val="00DA3F51"/>
    <w:rsid w:val="00DA45DB"/>
    <w:rsid w:val="00DA48D9"/>
    <w:rsid w:val="00DA49F8"/>
    <w:rsid w:val="00DA4AAE"/>
    <w:rsid w:val="00DA50E7"/>
    <w:rsid w:val="00DA5572"/>
    <w:rsid w:val="00DA6120"/>
    <w:rsid w:val="00DA6A15"/>
    <w:rsid w:val="00DA6CC2"/>
    <w:rsid w:val="00DA6D97"/>
    <w:rsid w:val="00DA7029"/>
    <w:rsid w:val="00DA77A0"/>
    <w:rsid w:val="00DB09A2"/>
    <w:rsid w:val="00DB0C79"/>
    <w:rsid w:val="00DB103D"/>
    <w:rsid w:val="00DB1448"/>
    <w:rsid w:val="00DB1998"/>
    <w:rsid w:val="00DB1FC4"/>
    <w:rsid w:val="00DB21F0"/>
    <w:rsid w:val="00DB24C0"/>
    <w:rsid w:val="00DB2895"/>
    <w:rsid w:val="00DB2C5F"/>
    <w:rsid w:val="00DB38F0"/>
    <w:rsid w:val="00DB3A58"/>
    <w:rsid w:val="00DB3BDF"/>
    <w:rsid w:val="00DB3C58"/>
    <w:rsid w:val="00DB3D46"/>
    <w:rsid w:val="00DB401C"/>
    <w:rsid w:val="00DB46C8"/>
    <w:rsid w:val="00DB540E"/>
    <w:rsid w:val="00DB5A63"/>
    <w:rsid w:val="00DB6166"/>
    <w:rsid w:val="00DB63DC"/>
    <w:rsid w:val="00DB656B"/>
    <w:rsid w:val="00DB691E"/>
    <w:rsid w:val="00DB7147"/>
    <w:rsid w:val="00DB75A3"/>
    <w:rsid w:val="00DB799D"/>
    <w:rsid w:val="00DB79C8"/>
    <w:rsid w:val="00DC00B6"/>
    <w:rsid w:val="00DC0574"/>
    <w:rsid w:val="00DC0C65"/>
    <w:rsid w:val="00DC0CEC"/>
    <w:rsid w:val="00DC16BF"/>
    <w:rsid w:val="00DC16E1"/>
    <w:rsid w:val="00DC16FC"/>
    <w:rsid w:val="00DC1881"/>
    <w:rsid w:val="00DC1ED7"/>
    <w:rsid w:val="00DC1FF8"/>
    <w:rsid w:val="00DC3A6F"/>
    <w:rsid w:val="00DC3D1C"/>
    <w:rsid w:val="00DC4137"/>
    <w:rsid w:val="00DC43E1"/>
    <w:rsid w:val="00DC4EE7"/>
    <w:rsid w:val="00DC5199"/>
    <w:rsid w:val="00DC5A32"/>
    <w:rsid w:val="00DC5E4E"/>
    <w:rsid w:val="00DC651B"/>
    <w:rsid w:val="00DC662F"/>
    <w:rsid w:val="00DC6E78"/>
    <w:rsid w:val="00DC7099"/>
    <w:rsid w:val="00DC729A"/>
    <w:rsid w:val="00DC7328"/>
    <w:rsid w:val="00DC73B1"/>
    <w:rsid w:val="00DC7519"/>
    <w:rsid w:val="00DC75C6"/>
    <w:rsid w:val="00DC7630"/>
    <w:rsid w:val="00DC7EB5"/>
    <w:rsid w:val="00DD04AC"/>
    <w:rsid w:val="00DD04DD"/>
    <w:rsid w:val="00DD0891"/>
    <w:rsid w:val="00DD0B35"/>
    <w:rsid w:val="00DD0F9F"/>
    <w:rsid w:val="00DD11A7"/>
    <w:rsid w:val="00DD1298"/>
    <w:rsid w:val="00DD2300"/>
    <w:rsid w:val="00DD2309"/>
    <w:rsid w:val="00DD28B3"/>
    <w:rsid w:val="00DD2DE3"/>
    <w:rsid w:val="00DD2DE8"/>
    <w:rsid w:val="00DD316F"/>
    <w:rsid w:val="00DD357C"/>
    <w:rsid w:val="00DD37CA"/>
    <w:rsid w:val="00DD3D55"/>
    <w:rsid w:val="00DD3DF7"/>
    <w:rsid w:val="00DD4AE2"/>
    <w:rsid w:val="00DD4BFA"/>
    <w:rsid w:val="00DD51F8"/>
    <w:rsid w:val="00DD6388"/>
    <w:rsid w:val="00DD6C53"/>
    <w:rsid w:val="00DD6E03"/>
    <w:rsid w:val="00DD7198"/>
    <w:rsid w:val="00DD7199"/>
    <w:rsid w:val="00DD7C44"/>
    <w:rsid w:val="00DD7CB6"/>
    <w:rsid w:val="00DD7E9E"/>
    <w:rsid w:val="00DE0077"/>
    <w:rsid w:val="00DE0137"/>
    <w:rsid w:val="00DE01BA"/>
    <w:rsid w:val="00DE0DCF"/>
    <w:rsid w:val="00DE137B"/>
    <w:rsid w:val="00DE13D4"/>
    <w:rsid w:val="00DE13FD"/>
    <w:rsid w:val="00DE19D9"/>
    <w:rsid w:val="00DE1C18"/>
    <w:rsid w:val="00DE1CE9"/>
    <w:rsid w:val="00DE1DC6"/>
    <w:rsid w:val="00DE1F77"/>
    <w:rsid w:val="00DE21C6"/>
    <w:rsid w:val="00DE22AA"/>
    <w:rsid w:val="00DE288F"/>
    <w:rsid w:val="00DE2D49"/>
    <w:rsid w:val="00DE388A"/>
    <w:rsid w:val="00DE3E66"/>
    <w:rsid w:val="00DE3F75"/>
    <w:rsid w:val="00DE45F5"/>
    <w:rsid w:val="00DE4702"/>
    <w:rsid w:val="00DE4AAD"/>
    <w:rsid w:val="00DE4C0C"/>
    <w:rsid w:val="00DE4FC8"/>
    <w:rsid w:val="00DE53B5"/>
    <w:rsid w:val="00DE5A50"/>
    <w:rsid w:val="00DE60C5"/>
    <w:rsid w:val="00DE7323"/>
    <w:rsid w:val="00DE75F0"/>
    <w:rsid w:val="00DE77CB"/>
    <w:rsid w:val="00DE7EBA"/>
    <w:rsid w:val="00DF04BD"/>
    <w:rsid w:val="00DF068D"/>
    <w:rsid w:val="00DF0D3A"/>
    <w:rsid w:val="00DF1A9A"/>
    <w:rsid w:val="00DF1C2D"/>
    <w:rsid w:val="00DF1DB6"/>
    <w:rsid w:val="00DF1F8A"/>
    <w:rsid w:val="00DF248E"/>
    <w:rsid w:val="00DF253D"/>
    <w:rsid w:val="00DF30C5"/>
    <w:rsid w:val="00DF3222"/>
    <w:rsid w:val="00DF3577"/>
    <w:rsid w:val="00DF4063"/>
    <w:rsid w:val="00DF567C"/>
    <w:rsid w:val="00DF5AC1"/>
    <w:rsid w:val="00DF5F13"/>
    <w:rsid w:val="00DF63DD"/>
    <w:rsid w:val="00DF65C3"/>
    <w:rsid w:val="00DF6B62"/>
    <w:rsid w:val="00DF7828"/>
    <w:rsid w:val="00DF7BD0"/>
    <w:rsid w:val="00DF7BDF"/>
    <w:rsid w:val="00E00303"/>
    <w:rsid w:val="00E00489"/>
    <w:rsid w:val="00E00A62"/>
    <w:rsid w:val="00E010A0"/>
    <w:rsid w:val="00E0125E"/>
    <w:rsid w:val="00E01668"/>
    <w:rsid w:val="00E0173A"/>
    <w:rsid w:val="00E01849"/>
    <w:rsid w:val="00E020D1"/>
    <w:rsid w:val="00E02B64"/>
    <w:rsid w:val="00E02EAD"/>
    <w:rsid w:val="00E035B7"/>
    <w:rsid w:val="00E03D3F"/>
    <w:rsid w:val="00E0437C"/>
    <w:rsid w:val="00E0452C"/>
    <w:rsid w:val="00E04D61"/>
    <w:rsid w:val="00E04F5E"/>
    <w:rsid w:val="00E0504C"/>
    <w:rsid w:val="00E05074"/>
    <w:rsid w:val="00E05489"/>
    <w:rsid w:val="00E05741"/>
    <w:rsid w:val="00E05F7F"/>
    <w:rsid w:val="00E06930"/>
    <w:rsid w:val="00E06971"/>
    <w:rsid w:val="00E06B43"/>
    <w:rsid w:val="00E06E32"/>
    <w:rsid w:val="00E06EC4"/>
    <w:rsid w:val="00E070D9"/>
    <w:rsid w:val="00E105B3"/>
    <w:rsid w:val="00E10846"/>
    <w:rsid w:val="00E108F4"/>
    <w:rsid w:val="00E10955"/>
    <w:rsid w:val="00E10A4B"/>
    <w:rsid w:val="00E10D4E"/>
    <w:rsid w:val="00E10E8D"/>
    <w:rsid w:val="00E1100C"/>
    <w:rsid w:val="00E11489"/>
    <w:rsid w:val="00E1155D"/>
    <w:rsid w:val="00E11711"/>
    <w:rsid w:val="00E11E63"/>
    <w:rsid w:val="00E1238E"/>
    <w:rsid w:val="00E123B4"/>
    <w:rsid w:val="00E12696"/>
    <w:rsid w:val="00E12DEE"/>
    <w:rsid w:val="00E1310D"/>
    <w:rsid w:val="00E13359"/>
    <w:rsid w:val="00E138BF"/>
    <w:rsid w:val="00E14EFA"/>
    <w:rsid w:val="00E151B9"/>
    <w:rsid w:val="00E1566E"/>
    <w:rsid w:val="00E158C4"/>
    <w:rsid w:val="00E161E6"/>
    <w:rsid w:val="00E167C9"/>
    <w:rsid w:val="00E1698C"/>
    <w:rsid w:val="00E172BE"/>
    <w:rsid w:val="00E17CF7"/>
    <w:rsid w:val="00E205D6"/>
    <w:rsid w:val="00E2110D"/>
    <w:rsid w:val="00E216EC"/>
    <w:rsid w:val="00E2189A"/>
    <w:rsid w:val="00E22B5A"/>
    <w:rsid w:val="00E22B68"/>
    <w:rsid w:val="00E231C9"/>
    <w:rsid w:val="00E23379"/>
    <w:rsid w:val="00E23EBF"/>
    <w:rsid w:val="00E23FD5"/>
    <w:rsid w:val="00E24669"/>
    <w:rsid w:val="00E248B2"/>
    <w:rsid w:val="00E24C48"/>
    <w:rsid w:val="00E24D50"/>
    <w:rsid w:val="00E24FF4"/>
    <w:rsid w:val="00E252B0"/>
    <w:rsid w:val="00E25981"/>
    <w:rsid w:val="00E25BC1"/>
    <w:rsid w:val="00E26141"/>
    <w:rsid w:val="00E266F5"/>
    <w:rsid w:val="00E26F90"/>
    <w:rsid w:val="00E270D3"/>
    <w:rsid w:val="00E27CEB"/>
    <w:rsid w:val="00E27FC7"/>
    <w:rsid w:val="00E30700"/>
    <w:rsid w:val="00E30D87"/>
    <w:rsid w:val="00E30E57"/>
    <w:rsid w:val="00E31360"/>
    <w:rsid w:val="00E31D28"/>
    <w:rsid w:val="00E325FF"/>
    <w:rsid w:val="00E32CB8"/>
    <w:rsid w:val="00E334F5"/>
    <w:rsid w:val="00E3419B"/>
    <w:rsid w:val="00E3440F"/>
    <w:rsid w:val="00E3448C"/>
    <w:rsid w:val="00E3468B"/>
    <w:rsid w:val="00E34F3A"/>
    <w:rsid w:val="00E34F43"/>
    <w:rsid w:val="00E35030"/>
    <w:rsid w:val="00E356DC"/>
    <w:rsid w:val="00E35F99"/>
    <w:rsid w:val="00E35F9A"/>
    <w:rsid w:val="00E3637F"/>
    <w:rsid w:val="00E364B6"/>
    <w:rsid w:val="00E36723"/>
    <w:rsid w:val="00E3713C"/>
    <w:rsid w:val="00E37353"/>
    <w:rsid w:val="00E3767B"/>
    <w:rsid w:val="00E37A3D"/>
    <w:rsid w:val="00E37E1C"/>
    <w:rsid w:val="00E37FED"/>
    <w:rsid w:val="00E40126"/>
    <w:rsid w:val="00E406E6"/>
    <w:rsid w:val="00E40CBF"/>
    <w:rsid w:val="00E40E6C"/>
    <w:rsid w:val="00E40E7D"/>
    <w:rsid w:val="00E40EE4"/>
    <w:rsid w:val="00E413C6"/>
    <w:rsid w:val="00E41C4E"/>
    <w:rsid w:val="00E41F9C"/>
    <w:rsid w:val="00E420D5"/>
    <w:rsid w:val="00E42517"/>
    <w:rsid w:val="00E427EC"/>
    <w:rsid w:val="00E42801"/>
    <w:rsid w:val="00E42D55"/>
    <w:rsid w:val="00E42FFE"/>
    <w:rsid w:val="00E4316E"/>
    <w:rsid w:val="00E435AB"/>
    <w:rsid w:val="00E44275"/>
    <w:rsid w:val="00E44777"/>
    <w:rsid w:val="00E4535F"/>
    <w:rsid w:val="00E466BC"/>
    <w:rsid w:val="00E4686A"/>
    <w:rsid w:val="00E47538"/>
    <w:rsid w:val="00E477A6"/>
    <w:rsid w:val="00E479FD"/>
    <w:rsid w:val="00E47EB0"/>
    <w:rsid w:val="00E504D6"/>
    <w:rsid w:val="00E50B6F"/>
    <w:rsid w:val="00E50DF1"/>
    <w:rsid w:val="00E50EBE"/>
    <w:rsid w:val="00E50F69"/>
    <w:rsid w:val="00E50FC6"/>
    <w:rsid w:val="00E517CD"/>
    <w:rsid w:val="00E52185"/>
    <w:rsid w:val="00E52372"/>
    <w:rsid w:val="00E52786"/>
    <w:rsid w:val="00E52C21"/>
    <w:rsid w:val="00E52F05"/>
    <w:rsid w:val="00E53785"/>
    <w:rsid w:val="00E53DB1"/>
    <w:rsid w:val="00E540CA"/>
    <w:rsid w:val="00E54716"/>
    <w:rsid w:val="00E54B37"/>
    <w:rsid w:val="00E54DE9"/>
    <w:rsid w:val="00E55B28"/>
    <w:rsid w:val="00E56D4A"/>
    <w:rsid w:val="00E57119"/>
    <w:rsid w:val="00E5719E"/>
    <w:rsid w:val="00E57D7B"/>
    <w:rsid w:val="00E57F4B"/>
    <w:rsid w:val="00E600A9"/>
    <w:rsid w:val="00E602E5"/>
    <w:rsid w:val="00E602F8"/>
    <w:rsid w:val="00E6085B"/>
    <w:rsid w:val="00E60FBA"/>
    <w:rsid w:val="00E60FBF"/>
    <w:rsid w:val="00E616F9"/>
    <w:rsid w:val="00E61852"/>
    <w:rsid w:val="00E61A0C"/>
    <w:rsid w:val="00E61D22"/>
    <w:rsid w:val="00E61D96"/>
    <w:rsid w:val="00E61E4B"/>
    <w:rsid w:val="00E6342F"/>
    <w:rsid w:val="00E63984"/>
    <w:rsid w:val="00E63DA2"/>
    <w:rsid w:val="00E642AF"/>
    <w:rsid w:val="00E644C6"/>
    <w:rsid w:val="00E64555"/>
    <w:rsid w:val="00E64595"/>
    <w:rsid w:val="00E646BB"/>
    <w:rsid w:val="00E64D24"/>
    <w:rsid w:val="00E64E69"/>
    <w:rsid w:val="00E6549C"/>
    <w:rsid w:val="00E654B9"/>
    <w:rsid w:val="00E6589D"/>
    <w:rsid w:val="00E65D91"/>
    <w:rsid w:val="00E65E8C"/>
    <w:rsid w:val="00E665E7"/>
    <w:rsid w:val="00E66C96"/>
    <w:rsid w:val="00E6703E"/>
    <w:rsid w:val="00E70130"/>
    <w:rsid w:val="00E7063F"/>
    <w:rsid w:val="00E71327"/>
    <w:rsid w:val="00E715FC"/>
    <w:rsid w:val="00E71A45"/>
    <w:rsid w:val="00E71C21"/>
    <w:rsid w:val="00E72D84"/>
    <w:rsid w:val="00E730FC"/>
    <w:rsid w:val="00E7318D"/>
    <w:rsid w:val="00E7385A"/>
    <w:rsid w:val="00E73CE6"/>
    <w:rsid w:val="00E74780"/>
    <w:rsid w:val="00E7487D"/>
    <w:rsid w:val="00E74956"/>
    <w:rsid w:val="00E752F7"/>
    <w:rsid w:val="00E75848"/>
    <w:rsid w:val="00E75932"/>
    <w:rsid w:val="00E759D4"/>
    <w:rsid w:val="00E75D51"/>
    <w:rsid w:val="00E76A3C"/>
    <w:rsid w:val="00E76F9B"/>
    <w:rsid w:val="00E771FC"/>
    <w:rsid w:val="00E773E5"/>
    <w:rsid w:val="00E77511"/>
    <w:rsid w:val="00E77BDD"/>
    <w:rsid w:val="00E80009"/>
    <w:rsid w:val="00E806D3"/>
    <w:rsid w:val="00E81164"/>
    <w:rsid w:val="00E817C2"/>
    <w:rsid w:val="00E81C34"/>
    <w:rsid w:val="00E81D83"/>
    <w:rsid w:val="00E821BB"/>
    <w:rsid w:val="00E822E9"/>
    <w:rsid w:val="00E826FE"/>
    <w:rsid w:val="00E8275E"/>
    <w:rsid w:val="00E827AF"/>
    <w:rsid w:val="00E82DE9"/>
    <w:rsid w:val="00E83253"/>
    <w:rsid w:val="00E83C3E"/>
    <w:rsid w:val="00E844AB"/>
    <w:rsid w:val="00E84C97"/>
    <w:rsid w:val="00E84DA8"/>
    <w:rsid w:val="00E85005"/>
    <w:rsid w:val="00E85296"/>
    <w:rsid w:val="00E8533B"/>
    <w:rsid w:val="00E8575B"/>
    <w:rsid w:val="00E85931"/>
    <w:rsid w:val="00E85E4E"/>
    <w:rsid w:val="00E862BB"/>
    <w:rsid w:val="00E86327"/>
    <w:rsid w:val="00E86DF0"/>
    <w:rsid w:val="00E87BD2"/>
    <w:rsid w:val="00E87CDC"/>
    <w:rsid w:val="00E902BD"/>
    <w:rsid w:val="00E906E0"/>
    <w:rsid w:val="00E90B33"/>
    <w:rsid w:val="00E911E0"/>
    <w:rsid w:val="00E9129A"/>
    <w:rsid w:val="00E93407"/>
    <w:rsid w:val="00E93AD7"/>
    <w:rsid w:val="00E940A8"/>
    <w:rsid w:val="00E94759"/>
    <w:rsid w:val="00E947E8"/>
    <w:rsid w:val="00E94B0F"/>
    <w:rsid w:val="00E9503F"/>
    <w:rsid w:val="00E96726"/>
    <w:rsid w:val="00E96E68"/>
    <w:rsid w:val="00E973BA"/>
    <w:rsid w:val="00E97EA1"/>
    <w:rsid w:val="00EA0BBE"/>
    <w:rsid w:val="00EA10CC"/>
    <w:rsid w:val="00EA164D"/>
    <w:rsid w:val="00EA1FBC"/>
    <w:rsid w:val="00EA20A1"/>
    <w:rsid w:val="00EA212B"/>
    <w:rsid w:val="00EA24FB"/>
    <w:rsid w:val="00EA2D44"/>
    <w:rsid w:val="00EA306E"/>
    <w:rsid w:val="00EA32F4"/>
    <w:rsid w:val="00EA33FA"/>
    <w:rsid w:val="00EA3A1D"/>
    <w:rsid w:val="00EA3CD7"/>
    <w:rsid w:val="00EA3E2D"/>
    <w:rsid w:val="00EA4244"/>
    <w:rsid w:val="00EA429D"/>
    <w:rsid w:val="00EA43AF"/>
    <w:rsid w:val="00EA4676"/>
    <w:rsid w:val="00EA4C7C"/>
    <w:rsid w:val="00EA4D4C"/>
    <w:rsid w:val="00EA554F"/>
    <w:rsid w:val="00EA5F93"/>
    <w:rsid w:val="00EA6250"/>
    <w:rsid w:val="00EA66A4"/>
    <w:rsid w:val="00EA6819"/>
    <w:rsid w:val="00EA69E4"/>
    <w:rsid w:val="00EA6A1E"/>
    <w:rsid w:val="00EA75BD"/>
    <w:rsid w:val="00EA760C"/>
    <w:rsid w:val="00EA7C47"/>
    <w:rsid w:val="00EB0C01"/>
    <w:rsid w:val="00EB0F0F"/>
    <w:rsid w:val="00EB1053"/>
    <w:rsid w:val="00EB12A5"/>
    <w:rsid w:val="00EB1E2D"/>
    <w:rsid w:val="00EB2186"/>
    <w:rsid w:val="00EB24D8"/>
    <w:rsid w:val="00EB277B"/>
    <w:rsid w:val="00EB2F20"/>
    <w:rsid w:val="00EB2F35"/>
    <w:rsid w:val="00EB31DB"/>
    <w:rsid w:val="00EB32B6"/>
    <w:rsid w:val="00EB3422"/>
    <w:rsid w:val="00EB3A31"/>
    <w:rsid w:val="00EB3EFF"/>
    <w:rsid w:val="00EB4EAF"/>
    <w:rsid w:val="00EB548E"/>
    <w:rsid w:val="00EB5C41"/>
    <w:rsid w:val="00EB5EB5"/>
    <w:rsid w:val="00EB5F5A"/>
    <w:rsid w:val="00EB657E"/>
    <w:rsid w:val="00EB695E"/>
    <w:rsid w:val="00EB69D1"/>
    <w:rsid w:val="00EB6A6F"/>
    <w:rsid w:val="00EB6FE9"/>
    <w:rsid w:val="00EB72FF"/>
    <w:rsid w:val="00EB756F"/>
    <w:rsid w:val="00EB793E"/>
    <w:rsid w:val="00EB79C8"/>
    <w:rsid w:val="00EB7E78"/>
    <w:rsid w:val="00EC0301"/>
    <w:rsid w:val="00EC09C6"/>
    <w:rsid w:val="00EC0EA5"/>
    <w:rsid w:val="00EC1056"/>
    <w:rsid w:val="00EC1470"/>
    <w:rsid w:val="00EC1552"/>
    <w:rsid w:val="00EC222E"/>
    <w:rsid w:val="00EC25CD"/>
    <w:rsid w:val="00EC2716"/>
    <w:rsid w:val="00EC2DBB"/>
    <w:rsid w:val="00EC3107"/>
    <w:rsid w:val="00EC358E"/>
    <w:rsid w:val="00EC3B7F"/>
    <w:rsid w:val="00EC3F3F"/>
    <w:rsid w:val="00EC3FD2"/>
    <w:rsid w:val="00EC4095"/>
    <w:rsid w:val="00EC43B5"/>
    <w:rsid w:val="00EC4537"/>
    <w:rsid w:val="00EC4960"/>
    <w:rsid w:val="00EC4AE3"/>
    <w:rsid w:val="00EC4DEE"/>
    <w:rsid w:val="00EC522B"/>
    <w:rsid w:val="00EC54EE"/>
    <w:rsid w:val="00EC59B2"/>
    <w:rsid w:val="00EC5A3B"/>
    <w:rsid w:val="00EC6BCB"/>
    <w:rsid w:val="00EC774E"/>
    <w:rsid w:val="00EC786C"/>
    <w:rsid w:val="00EC7ADD"/>
    <w:rsid w:val="00ED04FE"/>
    <w:rsid w:val="00ED0DD0"/>
    <w:rsid w:val="00ED1989"/>
    <w:rsid w:val="00ED2791"/>
    <w:rsid w:val="00ED28F2"/>
    <w:rsid w:val="00ED3145"/>
    <w:rsid w:val="00ED3309"/>
    <w:rsid w:val="00ED356E"/>
    <w:rsid w:val="00ED3BDA"/>
    <w:rsid w:val="00ED3DA4"/>
    <w:rsid w:val="00ED4B67"/>
    <w:rsid w:val="00ED4B69"/>
    <w:rsid w:val="00ED5A3B"/>
    <w:rsid w:val="00ED5C30"/>
    <w:rsid w:val="00ED5E02"/>
    <w:rsid w:val="00ED5EED"/>
    <w:rsid w:val="00ED6B1C"/>
    <w:rsid w:val="00ED6CF7"/>
    <w:rsid w:val="00ED6F33"/>
    <w:rsid w:val="00ED741E"/>
    <w:rsid w:val="00ED766B"/>
    <w:rsid w:val="00ED7716"/>
    <w:rsid w:val="00ED7737"/>
    <w:rsid w:val="00ED7747"/>
    <w:rsid w:val="00ED7CF4"/>
    <w:rsid w:val="00EE0EA8"/>
    <w:rsid w:val="00EE1B0E"/>
    <w:rsid w:val="00EE1D9A"/>
    <w:rsid w:val="00EE22FB"/>
    <w:rsid w:val="00EE2407"/>
    <w:rsid w:val="00EE26AE"/>
    <w:rsid w:val="00EE29C8"/>
    <w:rsid w:val="00EE2A54"/>
    <w:rsid w:val="00EE2FC2"/>
    <w:rsid w:val="00EE3B88"/>
    <w:rsid w:val="00EE4B75"/>
    <w:rsid w:val="00EE4DBD"/>
    <w:rsid w:val="00EE57D6"/>
    <w:rsid w:val="00EE5957"/>
    <w:rsid w:val="00EE6025"/>
    <w:rsid w:val="00EE6AC6"/>
    <w:rsid w:val="00EE6D99"/>
    <w:rsid w:val="00EE6E26"/>
    <w:rsid w:val="00EE769D"/>
    <w:rsid w:val="00EE784F"/>
    <w:rsid w:val="00EE7A1D"/>
    <w:rsid w:val="00EE7FE3"/>
    <w:rsid w:val="00EF0500"/>
    <w:rsid w:val="00EF0B66"/>
    <w:rsid w:val="00EF1002"/>
    <w:rsid w:val="00EF143F"/>
    <w:rsid w:val="00EF23D8"/>
    <w:rsid w:val="00EF2A5A"/>
    <w:rsid w:val="00EF2A87"/>
    <w:rsid w:val="00EF3A74"/>
    <w:rsid w:val="00EF3AE9"/>
    <w:rsid w:val="00EF3EA5"/>
    <w:rsid w:val="00EF3F1E"/>
    <w:rsid w:val="00EF40DC"/>
    <w:rsid w:val="00EF49FB"/>
    <w:rsid w:val="00EF4D23"/>
    <w:rsid w:val="00EF5530"/>
    <w:rsid w:val="00EF55D6"/>
    <w:rsid w:val="00EF644D"/>
    <w:rsid w:val="00EF670F"/>
    <w:rsid w:val="00EF6D29"/>
    <w:rsid w:val="00EF6FE9"/>
    <w:rsid w:val="00EF7138"/>
    <w:rsid w:val="00EF7149"/>
    <w:rsid w:val="00F002B0"/>
    <w:rsid w:val="00F00881"/>
    <w:rsid w:val="00F00917"/>
    <w:rsid w:val="00F01032"/>
    <w:rsid w:val="00F010BB"/>
    <w:rsid w:val="00F012C1"/>
    <w:rsid w:val="00F0175F"/>
    <w:rsid w:val="00F01C5B"/>
    <w:rsid w:val="00F01FCB"/>
    <w:rsid w:val="00F03280"/>
    <w:rsid w:val="00F0362A"/>
    <w:rsid w:val="00F0385C"/>
    <w:rsid w:val="00F03ABE"/>
    <w:rsid w:val="00F04345"/>
    <w:rsid w:val="00F047A4"/>
    <w:rsid w:val="00F04F52"/>
    <w:rsid w:val="00F0510F"/>
    <w:rsid w:val="00F0563F"/>
    <w:rsid w:val="00F06239"/>
    <w:rsid w:val="00F064EF"/>
    <w:rsid w:val="00F06558"/>
    <w:rsid w:val="00F06F42"/>
    <w:rsid w:val="00F07122"/>
    <w:rsid w:val="00F074C9"/>
    <w:rsid w:val="00F07C82"/>
    <w:rsid w:val="00F07F5E"/>
    <w:rsid w:val="00F1001E"/>
    <w:rsid w:val="00F106BB"/>
    <w:rsid w:val="00F11027"/>
    <w:rsid w:val="00F1106C"/>
    <w:rsid w:val="00F111BA"/>
    <w:rsid w:val="00F116DD"/>
    <w:rsid w:val="00F11D9F"/>
    <w:rsid w:val="00F11E31"/>
    <w:rsid w:val="00F12551"/>
    <w:rsid w:val="00F125CA"/>
    <w:rsid w:val="00F13137"/>
    <w:rsid w:val="00F13566"/>
    <w:rsid w:val="00F13AA1"/>
    <w:rsid w:val="00F13B14"/>
    <w:rsid w:val="00F13F2A"/>
    <w:rsid w:val="00F140EC"/>
    <w:rsid w:val="00F1482A"/>
    <w:rsid w:val="00F15097"/>
    <w:rsid w:val="00F15671"/>
    <w:rsid w:val="00F15DC7"/>
    <w:rsid w:val="00F16695"/>
    <w:rsid w:val="00F1741D"/>
    <w:rsid w:val="00F202E3"/>
    <w:rsid w:val="00F20A3E"/>
    <w:rsid w:val="00F20C6E"/>
    <w:rsid w:val="00F20D6C"/>
    <w:rsid w:val="00F2242D"/>
    <w:rsid w:val="00F2255F"/>
    <w:rsid w:val="00F225CF"/>
    <w:rsid w:val="00F22882"/>
    <w:rsid w:val="00F22985"/>
    <w:rsid w:val="00F22AEF"/>
    <w:rsid w:val="00F22F7A"/>
    <w:rsid w:val="00F2322E"/>
    <w:rsid w:val="00F2343C"/>
    <w:rsid w:val="00F23CFC"/>
    <w:rsid w:val="00F24076"/>
    <w:rsid w:val="00F240CB"/>
    <w:rsid w:val="00F2492F"/>
    <w:rsid w:val="00F2500D"/>
    <w:rsid w:val="00F256DA"/>
    <w:rsid w:val="00F25742"/>
    <w:rsid w:val="00F2596D"/>
    <w:rsid w:val="00F25CAA"/>
    <w:rsid w:val="00F26AD6"/>
    <w:rsid w:val="00F2711C"/>
    <w:rsid w:val="00F277E8"/>
    <w:rsid w:val="00F27B04"/>
    <w:rsid w:val="00F27E3D"/>
    <w:rsid w:val="00F301D0"/>
    <w:rsid w:val="00F3069F"/>
    <w:rsid w:val="00F30BA9"/>
    <w:rsid w:val="00F30C3F"/>
    <w:rsid w:val="00F30C60"/>
    <w:rsid w:val="00F30EFB"/>
    <w:rsid w:val="00F30F38"/>
    <w:rsid w:val="00F311D1"/>
    <w:rsid w:val="00F3158A"/>
    <w:rsid w:val="00F318DB"/>
    <w:rsid w:val="00F3199C"/>
    <w:rsid w:val="00F31F7D"/>
    <w:rsid w:val="00F32AFF"/>
    <w:rsid w:val="00F33825"/>
    <w:rsid w:val="00F338AC"/>
    <w:rsid w:val="00F33A8B"/>
    <w:rsid w:val="00F33D3B"/>
    <w:rsid w:val="00F341D4"/>
    <w:rsid w:val="00F34A96"/>
    <w:rsid w:val="00F34EBF"/>
    <w:rsid w:val="00F34F05"/>
    <w:rsid w:val="00F34F85"/>
    <w:rsid w:val="00F353B0"/>
    <w:rsid w:val="00F356D5"/>
    <w:rsid w:val="00F361AE"/>
    <w:rsid w:val="00F36240"/>
    <w:rsid w:val="00F363EB"/>
    <w:rsid w:val="00F365DE"/>
    <w:rsid w:val="00F36764"/>
    <w:rsid w:val="00F367CF"/>
    <w:rsid w:val="00F36D37"/>
    <w:rsid w:val="00F3719A"/>
    <w:rsid w:val="00F379BF"/>
    <w:rsid w:val="00F37EA7"/>
    <w:rsid w:val="00F40805"/>
    <w:rsid w:val="00F40958"/>
    <w:rsid w:val="00F40C5E"/>
    <w:rsid w:val="00F40E3E"/>
    <w:rsid w:val="00F4163A"/>
    <w:rsid w:val="00F41873"/>
    <w:rsid w:val="00F419C3"/>
    <w:rsid w:val="00F41D91"/>
    <w:rsid w:val="00F41E2B"/>
    <w:rsid w:val="00F423BE"/>
    <w:rsid w:val="00F424A5"/>
    <w:rsid w:val="00F425EF"/>
    <w:rsid w:val="00F428AC"/>
    <w:rsid w:val="00F42D7B"/>
    <w:rsid w:val="00F42EE3"/>
    <w:rsid w:val="00F43660"/>
    <w:rsid w:val="00F44542"/>
    <w:rsid w:val="00F448DD"/>
    <w:rsid w:val="00F44A4B"/>
    <w:rsid w:val="00F44C5F"/>
    <w:rsid w:val="00F44DB8"/>
    <w:rsid w:val="00F45760"/>
    <w:rsid w:val="00F45925"/>
    <w:rsid w:val="00F46BA6"/>
    <w:rsid w:val="00F46C97"/>
    <w:rsid w:val="00F4703E"/>
    <w:rsid w:val="00F50511"/>
    <w:rsid w:val="00F50781"/>
    <w:rsid w:val="00F50CA3"/>
    <w:rsid w:val="00F517ED"/>
    <w:rsid w:val="00F51F3F"/>
    <w:rsid w:val="00F528B5"/>
    <w:rsid w:val="00F528E7"/>
    <w:rsid w:val="00F52C8A"/>
    <w:rsid w:val="00F53615"/>
    <w:rsid w:val="00F53A91"/>
    <w:rsid w:val="00F54783"/>
    <w:rsid w:val="00F547E9"/>
    <w:rsid w:val="00F5494E"/>
    <w:rsid w:val="00F54ABE"/>
    <w:rsid w:val="00F553D2"/>
    <w:rsid w:val="00F5564F"/>
    <w:rsid w:val="00F55804"/>
    <w:rsid w:val="00F55F1A"/>
    <w:rsid w:val="00F56310"/>
    <w:rsid w:val="00F5684C"/>
    <w:rsid w:val="00F57210"/>
    <w:rsid w:val="00F577FC"/>
    <w:rsid w:val="00F602F0"/>
    <w:rsid w:val="00F6098E"/>
    <w:rsid w:val="00F60C90"/>
    <w:rsid w:val="00F61241"/>
    <w:rsid w:val="00F619EE"/>
    <w:rsid w:val="00F61C84"/>
    <w:rsid w:val="00F61CF5"/>
    <w:rsid w:val="00F61FF9"/>
    <w:rsid w:val="00F62069"/>
    <w:rsid w:val="00F62159"/>
    <w:rsid w:val="00F624C5"/>
    <w:rsid w:val="00F62A7C"/>
    <w:rsid w:val="00F62B93"/>
    <w:rsid w:val="00F633E5"/>
    <w:rsid w:val="00F63A07"/>
    <w:rsid w:val="00F63C1E"/>
    <w:rsid w:val="00F63C89"/>
    <w:rsid w:val="00F643CA"/>
    <w:rsid w:val="00F647EC"/>
    <w:rsid w:val="00F64D57"/>
    <w:rsid w:val="00F64FAB"/>
    <w:rsid w:val="00F65329"/>
    <w:rsid w:val="00F6546A"/>
    <w:rsid w:val="00F65CEA"/>
    <w:rsid w:val="00F65F15"/>
    <w:rsid w:val="00F66443"/>
    <w:rsid w:val="00F66C03"/>
    <w:rsid w:val="00F675EA"/>
    <w:rsid w:val="00F677BA"/>
    <w:rsid w:val="00F67BEB"/>
    <w:rsid w:val="00F7074A"/>
    <w:rsid w:val="00F711A0"/>
    <w:rsid w:val="00F71687"/>
    <w:rsid w:val="00F71708"/>
    <w:rsid w:val="00F717C1"/>
    <w:rsid w:val="00F71AB3"/>
    <w:rsid w:val="00F725D3"/>
    <w:rsid w:val="00F7281E"/>
    <w:rsid w:val="00F72C1A"/>
    <w:rsid w:val="00F72C3D"/>
    <w:rsid w:val="00F73269"/>
    <w:rsid w:val="00F737AB"/>
    <w:rsid w:val="00F74216"/>
    <w:rsid w:val="00F74591"/>
    <w:rsid w:val="00F74F0F"/>
    <w:rsid w:val="00F75731"/>
    <w:rsid w:val="00F75841"/>
    <w:rsid w:val="00F76333"/>
    <w:rsid w:val="00F7697D"/>
    <w:rsid w:val="00F769A3"/>
    <w:rsid w:val="00F77100"/>
    <w:rsid w:val="00F77C84"/>
    <w:rsid w:val="00F8090F"/>
    <w:rsid w:val="00F8139A"/>
    <w:rsid w:val="00F82AAE"/>
    <w:rsid w:val="00F834BE"/>
    <w:rsid w:val="00F83698"/>
    <w:rsid w:val="00F838A9"/>
    <w:rsid w:val="00F83D83"/>
    <w:rsid w:val="00F849E3"/>
    <w:rsid w:val="00F84B4E"/>
    <w:rsid w:val="00F84C44"/>
    <w:rsid w:val="00F851B7"/>
    <w:rsid w:val="00F8566C"/>
    <w:rsid w:val="00F858D4"/>
    <w:rsid w:val="00F85C65"/>
    <w:rsid w:val="00F860EB"/>
    <w:rsid w:val="00F86268"/>
    <w:rsid w:val="00F868B6"/>
    <w:rsid w:val="00F86968"/>
    <w:rsid w:val="00F86C37"/>
    <w:rsid w:val="00F86E21"/>
    <w:rsid w:val="00F86E42"/>
    <w:rsid w:val="00F86E7A"/>
    <w:rsid w:val="00F86FD9"/>
    <w:rsid w:val="00F876E6"/>
    <w:rsid w:val="00F87825"/>
    <w:rsid w:val="00F87838"/>
    <w:rsid w:val="00F879E8"/>
    <w:rsid w:val="00F87FCE"/>
    <w:rsid w:val="00F9008B"/>
    <w:rsid w:val="00F91669"/>
    <w:rsid w:val="00F9184F"/>
    <w:rsid w:val="00F91943"/>
    <w:rsid w:val="00F91E0C"/>
    <w:rsid w:val="00F92A66"/>
    <w:rsid w:val="00F931CF"/>
    <w:rsid w:val="00F93A31"/>
    <w:rsid w:val="00F93BA1"/>
    <w:rsid w:val="00F93D6E"/>
    <w:rsid w:val="00F9423D"/>
    <w:rsid w:val="00F94609"/>
    <w:rsid w:val="00F95182"/>
    <w:rsid w:val="00F957D2"/>
    <w:rsid w:val="00F95D94"/>
    <w:rsid w:val="00F96F86"/>
    <w:rsid w:val="00F97711"/>
    <w:rsid w:val="00FA02B8"/>
    <w:rsid w:val="00FA0980"/>
    <w:rsid w:val="00FA1028"/>
    <w:rsid w:val="00FA10F7"/>
    <w:rsid w:val="00FA157E"/>
    <w:rsid w:val="00FA181F"/>
    <w:rsid w:val="00FA1C1F"/>
    <w:rsid w:val="00FA1E82"/>
    <w:rsid w:val="00FA20BE"/>
    <w:rsid w:val="00FA2137"/>
    <w:rsid w:val="00FA21B0"/>
    <w:rsid w:val="00FA272D"/>
    <w:rsid w:val="00FA2C40"/>
    <w:rsid w:val="00FA338D"/>
    <w:rsid w:val="00FA34A2"/>
    <w:rsid w:val="00FA3742"/>
    <w:rsid w:val="00FA3837"/>
    <w:rsid w:val="00FA397E"/>
    <w:rsid w:val="00FA39FC"/>
    <w:rsid w:val="00FA44B4"/>
    <w:rsid w:val="00FA4538"/>
    <w:rsid w:val="00FA486C"/>
    <w:rsid w:val="00FA4998"/>
    <w:rsid w:val="00FA4DC2"/>
    <w:rsid w:val="00FA5EA3"/>
    <w:rsid w:val="00FA67E3"/>
    <w:rsid w:val="00FA7157"/>
    <w:rsid w:val="00FA73A6"/>
    <w:rsid w:val="00FA7698"/>
    <w:rsid w:val="00FA78C2"/>
    <w:rsid w:val="00FA7A2D"/>
    <w:rsid w:val="00FA7B4F"/>
    <w:rsid w:val="00FA7F36"/>
    <w:rsid w:val="00FB048B"/>
    <w:rsid w:val="00FB06E7"/>
    <w:rsid w:val="00FB06E9"/>
    <w:rsid w:val="00FB0783"/>
    <w:rsid w:val="00FB0822"/>
    <w:rsid w:val="00FB09AA"/>
    <w:rsid w:val="00FB1093"/>
    <w:rsid w:val="00FB13A0"/>
    <w:rsid w:val="00FB1F60"/>
    <w:rsid w:val="00FB20B5"/>
    <w:rsid w:val="00FB227E"/>
    <w:rsid w:val="00FB267D"/>
    <w:rsid w:val="00FB2A18"/>
    <w:rsid w:val="00FB2BF4"/>
    <w:rsid w:val="00FB2C8D"/>
    <w:rsid w:val="00FB2DC6"/>
    <w:rsid w:val="00FB4FDE"/>
    <w:rsid w:val="00FB5E81"/>
    <w:rsid w:val="00FB6E6C"/>
    <w:rsid w:val="00FB71B0"/>
    <w:rsid w:val="00FB74DA"/>
    <w:rsid w:val="00FB7ABA"/>
    <w:rsid w:val="00FB7C21"/>
    <w:rsid w:val="00FB7C46"/>
    <w:rsid w:val="00FC04E0"/>
    <w:rsid w:val="00FC08FE"/>
    <w:rsid w:val="00FC0D98"/>
    <w:rsid w:val="00FC1042"/>
    <w:rsid w:val="00FC11C6"/>
    <w:rsid w:val="00FC17D8"/>
    <w:rsid w:val="00FC279A"/>
    <w:rsid w:val="00FC2D04"/>
    <w:rsid w:val="00FC324D"/>
    <w:rsid w:val="00FC39A1"/>
    <w:rsid w:val="00FC3BC3"/>
    <w:rsid w:val="00FC3E47"/>
    <w:rsid w:val="00FC4B53"/>
    <w:rsid w:val="00FC4BAE"/>
    <w:rsid w:val="00FC5160"/>
    <w:rsid w:val="00FC5A36"/>
    <w:rsid w:val="00FC69CF"/>
    <w:rsid w:val="00FC6B0B"/>
    <w:rsid w:val="00FC713B"/>
    <w:rsid w:val="00FC7713"/>
    <w:rsid w:val="00FC7862"/>
    <w:rsid w:val="00FC79D5"/>
    <w:rsid w:val="00FC7B35"/>
    <w:rsid w:val="00FC7B53"/>
    <w:rsid w:val="00FD0177"/>
    <w:rsid w:val="00FD051A"/>
    <w:rsid w:val="00FD0AE7"/>
    <w:rsid w:val="00FD0B44"/>
    <w:rsid w:val="00FD0B95"/>
    <w:rsid w:val="00FD0F70"/>
    <w:rsid w:val="00FD2315"/>
    <w:rsid w:val="00FD29A7"/>
    <w:rsid w:val="00FD2B15"/>
    <w:rsid w:val="00FD3092"/>
    <w:rsid w:val="00FD35A1"/>
    <w:rsid w:val="00FD40FC"/>
    <w:rsid w:val="00FD412E"/>
    <w:rsid w:val="00FD420F"/>
    <w:rsid w:val="00FD4F2F"/>
    <w:rsid w:val="00FD51F7"/>
    <w:rsid w:val="00FD5258"/>
    <w:rsid w:val="00FD5602"/>
    <w:rsid w:val="00FD5A2A"/>
    <w:rsid w:val="00FD5AE2"/>
    <w:rsid w:val="00FD62B4"/>
    <w:rsid w:val="00FD7142"/>
    <w:rsid w:val="00FD750F"/>
    <w:rsid w:val="00FE011C"/>
    <w:rsid w:val="00FE07DC"/>
    <w:rsid w:val="00FE1116"/>
    <w:rsid w:val="00FE188A"/>
    <w:rsid w:val="00FE1E64"/>
    <w:rsid w:val="00FE2075"/>
    <w:rsid w:val="00FE2080"/>
    <w:rsid w:val="00FE2647"/>
    <w:rsid w:val="00FE27B9"/>
    <w:rsid w:val="00FE2E37"/>
    <w:rsid w:val="00FE3156"/>
    <w:rsid w:val="00FE3640"/>
    <w:rsid w:val="00FE3780"/>
    <w:rsid w:val="00FE3954"/>
    <w:rsid w:val="00FE3AB4"/>
    <w:rsid w:val="00FE3CF7"/>
    <w:rsid w:val="00FE4071"/>
    <w:rsid w:val="00FE42E3"/>
    <w:rsid w:val="00FE4ECD"/>
    <w:rsid w:val="00FE4FD0"/>
    <w:rsid w:val="00FE52B7"/>
    <w:rsid w:val="00FE53C5"/>
    <w:rsid w:val="00FE5807"/>
    <w:rsid w:val="00FE5C39"/>
    <w:rsid w:val="00FE5C57"/>
    <w:rsid w:val="00FE624E"/>
    <w:rsid w:val="00FE6415"/>
    <w:rsid w:val="00FE69E7"/>
    <w:rsid w:val="00FE6BB8"/>
    <w:rsid w:val="00FE6E76"/>
    <w:rsid w:val="00FE79AD"/>
    <w:rsid w:val="00FF027B"/>
    <w:rsid w:val="00FF0B88"/>
    <w:rsid w:val="00FF1174"/>
    <w:rsid w:val="00FF120C"/>
    <w:rsid w:val="00FF165A"/>
    <w:rsid w:val="00FF1B72"/>
    <w:rsid w:val="00FF1CF1"/>
    <w:rsid w:val="00FF1F4C"/>
    <w:rsid w:val="00FF2654"/>
    <w:rsid w:val="00FF35DC"/>
    <w:rsid w:val="00FF3A6A"/>
    <w:rsid w:val="00FF3C7A"/>
    <w:rsid w:val="00FF3E09"/>
    <w:rsid w:val="00FF411C"/>
    <w:rsid w:val="00FF4652"/>
    <w:rsid w:val="00FF4B2E"/>
    <w:rsid w:val="00FF4E4B"/>
    <w:rsid w:val="00FF4E4E"/>
    <w:rsid w:val="00FF5049"/>
    <w:rsid w:val="00FF5D1F"/>
    <w:rsid w:val="00FF5F95"/>
    <w:rsid w:val="00FF6126"/>
    <w:rsid w:val="00FF61F5"/>
    <w:rsid w:val="00FF62AA"/>
    <w:rsid w:val="00FF64D7"/>
    <w:rsid w:val="00FF6B6C"/>
    <w:rsid w:val="00FF70FD"/>
    <w:rsid w:val="00FF7AD0"/>
    <w:rsid w:val="012265F7"/>
    <w:rsid w:val="01420B2A"/>
    <w:rsid w:val="014D2D3B"/>
    <w:rsid w:val="015C4FB0"/>
    <w:rsid w:val="017A36FD"/>
    <w:rsid w:val="01AA2C10"/>
    <w:rsid w:val="02A16DA9"/>
    <w:rsid w:val="02AC2DFB"/>
    <w:rsid w:val="02C80F58"/>
    <w:rsid w:val="02CB76A6"/>
    <w:rsid w:val="02D7201B"/>
    <w:rsid w:val="03311E46"/>
    <w:rsid w:val="03765EB3"/>
    <w:rsid w:val="037738D8"/>
    <w:rsid w:val="037C0D07"/>
    <w:rsid w:val="03C71067"/>
    <w:rsid w:val="03D650E3"/>
    <w:rsid w:val="03EE579D"/>
    <w:rsid w:val="03FD0DEB"/>
    <w:rsid w:val="0444381A"/>
    <w:rsid w:val="04D74A36"/>
    <w:rsid w:val="04E634BE"/>
    <w:rsid w:val="04F73644"/>
    <w:rsid w:val="05622E1E"/>
    <w:rsid w:val="057B0515"/>
    <w:rsid w:val="05907900"/>
    <w:rsid w:val="059B018A"/>
    <w:rsid w:val="05A96137"/>
    <w:rsid w:val="05B53FF0"/>
    <w:rsid w:val="05C06AFE"/>
    <w:rsid w:val="05F35C4C"/>
    <w:rsid w:val="06031871"/>
    <w:rsid w:val="068220BF"/>
    <w:rsid w:val="06E52FA3"/>
    <w:rsid w:val="070E365E"/>
    <w:rsid w:val="070F41EF"/>
    <w:rsid w:val="072F5938"/>
    <w:rsid w:val="075F0692"/>
    <w:rsid w:val="078967AE"/>
    <w:rsid w:val="07DE1F42"/>
    <w:rsid w:val="084E6B20"/>
    <w:rsid w:val="085B1D6F"/>
    <w:rsid w:val="088F40BC"/>
    <w:rsid w:val="08F43C68"/>
    <w:rsid w:val="08F53B23"/>
    <w:rsid w:val="09531A76"/>
    <w:rsid w:val="095768B0"/>
    <w:rsid w:val="09B16197"/>
    <w:rsid w:val="0A070656"/>
    <w:rsid w:val="0A09040F"/>
    <w:rsid w:val="0A27573A"/>
    <w:rsid w:val="0A4B76F2"/>
    <w:rsid w:val="0A8761DA"/>
    <w:rsid w:val="0A913ED8"/>
    <w:rsid w:val="0AA61176"/>
    <w:rsid w:val="0ADE7ACE"/>
    <w:rsid w:val="0AE817CC"/>
    <w:rsid w:val="0AEF61F0"/>
    <w:rsid w:val="0B24171E"/>
    <w:rsid w:val="0B516D2A"/>
    <w:rsid w:val="0B6F1D1D"/>
    <w:rsid w:val="0B7D1118"/>
    <w:rsid w:val="0B9800FF"/>
    <w:rsid w:val="0BB33687"/>
    <w:rsid w:val="0BCD4ACD"/>
    <w:rsid w:val="0BE02B71"/>
    <w:rsid w:val="0BF704B2"/>
    <w:rsid w:val="0CA17965"/>
    <w:rsid w:val="0CA63293"/>
    <w:rsid w:val="0D081F34"/>
    <w:rsid w:val="0D541FA6"/>
    <w:rsid w:val="0D584403"/>
    <w:rsid w:val="0DB43E5C"/>
    <w:rsid w:val="0DBD3DED"/>
    <w:rsid w:val="0DC21F2C"/>
    <w:rsid w:val="0DDA523F"/>
    <w:rsid w:val="0DFC7E53"/>
    <w:rsid w:val="0E023C9B"/>
    <w:rsid w:val="0E8F3506"/>
    <w:rsid w:val="0E9558AC"/>
    <w:rsid w:val="0EB57F55"/>
    <w:rsid w:val="0EC55B95"/>
    <w:rsid w:val="0F140350"/>
    <w:rsid w:val="0F333B7C"/>
    <w:rsid w:val="0F4C0B5E"/>
    <w:rsid w:val="0F7302CD"/>
    <w:rsid w:val="0FAC71CC"/>
    <w:rsid w:val="0FAD0B7D"/>
    <w:rsid w:val="0FB527B1"/>
    <w:rsid w:val="100E60EB"/>
    <w:rsid w:val="101B6E73"/>
    <w:rsid w:val="101C0A97"/>
    <w:rsid w:val="103A49F8"/>
    <w:rsid w:val="10F67974"/>
    <w:rsid w:val="11381D05"/>
    <w:rsid w:val="116353E3"/>
    <w:rsid w:val="117C7228"/>
    <w:rsid w:val="12D6790A"/>
    <w:rsid w:val="12F438A7"/>
    <w:rsid w:val="131C08EF"/>
    <w:rsid w:val="13792EDA"/>
    <w:rsid w:val="13977E74"/>
    <w:rsid w:val="13B0615E"/>
    <w:rsid w:val="13B86E87"/>
    <w:rsid w:val="140B319C"/>
    <w:rsid w:val="141B7F51"/>
    <w:rsid w:val="141C5987"/>
    <w:rsid w:val="145E5900"/>
    <w:rsid w:val="146F2C7A"/>
    <w:rsid w:val="149E4992"/>
    <w:rsid w:val="14A53BC8"/>
    <w:rsid w:val="150625C1"/>
    <w:rsid w:val="153B5801"/>
    <w:rsid w:val="159D11E4"/>
    <w:rsid w:val="15A217AD"/>
    <w:rsid w:val="15C026F1"/>
    <w:rsid w:val="16002C86"/>
    <w:rsid w:val="161C4FA0"/>
    <w:rsid w:val="162755E3"/>
    <w:rsid w:val="163D0FE1"/>
    <w:rsid w:val="16876D18"/>
    <w:rsid w:val="16CE0798"/>
    <w:rsid w:val="16FF6757"/>
    <w:rsid w:val="17064457"/>
    <w:rsid w:val="1723362D"/>
    <w:rsid w:val="17947974"/>
    <w:rsid w:val="17A06081"/>
    <w:rsid w:val="17F44BC0"/>
    <w:rsid w:val="18582A6E"/>
    <w:rsid w:val="187A054E"/>
    <w:rsid w:val="189439F5"/>
    <w:rsid w:val="18C643E3"/>
    <w:rsid w:val="18FC2ECD"/>
    <w:rsid w:val="191C6999"/>
    <w:rsid w:val="197340DE"/>
    <w:rsid w:val="1A2126D1"/>
    <w:rsid w:val="1A250039"/>
    <w:rsid w:val="1A442DE9"/>
    <w:rsid w:val="1A5E6408"/>
    <w:rsid w:val="1AA36883"/>
    <w:rsid w:val="1B1C2AEE"/>
    <w:rsid w:val="1B2D3F86"/>
    <w:rsid w:val="1B737A55"/>
    <w:rsid w:val="1B836FB7"/>
    <w:rsid w:val="1B897F89"/>
    <w:rsid w:val="1BBE791C"/>
    <w:rsid w:val="1BFC453C"/>
    <w:rsid w:val="1C0211B7"/>
    <w:rsid w:val="1C8F6604"/>
    <w:rsid w:val="1CA67672"/>
    <w:rsid w:val="1CCB17E8"/>
    <w:rsid w:val="1CD53990"/>
    <w:rsid w:val="1CD5442F"/>
    <w:rsid w:val="1CEC114A"/>
    <w:rsid w:val="1D20688B"/>
    <w:rsid w:val="1D321E13"/>
    <w:rsid w:val="1DDC5C0D"/>
    <w:rsid w:val="1DF470B0"/>
    <w:rsid w:val="1E036CC4"/>
    <w:rsid w:val="1E2E6541"/>
    <w:rsid w:val="1E472625"/>
    <w:rsid w:val="1E547A23"/>
    <w:rsid w:val="1E5E637B"/>
    <w:rsid w:val="1E782C7A"/>
    <w:rsid w:val="1E886500"/>
    <w:rsid w:val="1F38645C"/>
    <w:rsid w:val="1F462152"/>
    <w:rsid w:val="1F6B6784"/>
    <w:rsid w:val="1F7A63CB"/>
    <w:rsid w:val="1FBF0E2C"/>
    <w:rsid w:val="20475CC4"/>
    <w:rsid w:val="20780ECB"/>
    <w:rsid w:val="20E87FE2"/>
    <w:rsid w:val="210253C7"/>
    <w:rsid w:val="21455F84"/>
    <w:rsid w:val="216866DB"/>
    <w:rsid w:val="216B7D03"/>
    <w:rsid w:val="22255134"/>
    <w:rsid w:val="22326B0B"/>
    <w:rsid w:val="224176AA"/>
    <w:rsid w:val="224C0052"/>
    <w:rsid w:val="228C1199"/>
    <w:rsid w:val="22F92D00"/>
    <w:rsid w:val="233B4CFA"/>
    <w:rsid w:val="235634BB"/>
    <w:rsid w:val="23E83722"/>
    <w:rsid w:val="242D24F6"/>
    <w:rsid w:val="2463196B"/>
    <w:rsid w:val="24801EBF"/>
    <w:rsid w:val="24977600"/>
    <w:rsid w:val="249D0C55"/>
    <w:rsid w:val="250B703F"/>
    <w:rsid w:val="25100553"/>
    <w:rsid w:val="25BE2BDA"/>
    <w:rsid w:val="264F2C5C"/>
    <w:rsid w:val="26536A8A"/>
    <w:rsid w:val="26AA0F6E"/>
    <w:rsid w:val="26AC6B0A"/>
    <w:rsid w:val="271D48AB"/>
    <w:rsid w:val="272F1A96"/>
    <w:rsid w:val="276FC8A8"/>
    <w:rsid w:val="27773F95"/>
    <w:rsid w:val="27AC0841"/>
    <w:rsid w:val="27AF5973"/>
    <w:rsid w:val="27D061DB"/>
    <w:rsid w:val="281D19E5"/>
    <w:rsid w:val="2848646B"/>
    <w:rsid w:val="284B0B33"/>
    <w:rsid w:val="285A55F7"/>
    <w:rsid w:val="285F2031"/>
    <w:rsid w:val="287E0DEE"/>
    <w:rsid w:val="29150768"/>
    <w:rsid w:val="297B0CF7"/>
    <w:rsid w:val="29880CEA"/>
    <w:rsid w:val="29DB6F1A"/>
    <w:rsid w:val="29EA2697"/>
    <w:rsid w:val="29F00D73"/>
    <w:rsid w:val="2A226F86"/>
    <w:rsid w:val="2A51423E"/>
    <w:rsid w:val="2A7C4340"/>
    <w:rsid w:val="2A930F91"/>
    <w:rsid w:val="2B1E0D76"/>
    <w:rsid w:val="2B4A5E57"/>
    <w:rsid w:val="2B6A585D"/>
    <w:rsid w:val="2B961B19"/>
    <w:rsid w:val="2BDA1158"/>
    <w:rsid w:val="2C253F71"/>
    <w:rsid w:val="2C86162C"/>
    <w:rsid w:val="2C8D6B78"/>
    <w:rsid w:val="2CC80EB8"/>
    <w:rsid w:val="2CC875CF"/>
    <w:rsid w:val="2D212884"/>
    <w:rsid w:val="2D46139B"/>
    <w:rsid w:val="2D587A32"/>
    <w:rsid w:val="2D62670F"/>
    <w:rsid w:val="2D6A536B"/>
    <w:rsid w:val="2D7C3A6A"/>
    <w:rsid w:val="2DF207D4"/>
    <w:rsid w:val="2DFE0923"/>
    <w:rsid w:val="2E8F3097"/>
    <w:rsid w:val="2EDD2DD9"/>
    <w:rsid w:val="2EFA61AC"/>
    <w:rsid w:val="2F723467"/>
    <w:rsid w:val="2FB02FC2"/>
    <w:rsid w:val="301E0FAB"/>
    <w:rsid w:val="30241AAF"/>
    <w:rsid w:val="305C26E6"/>
    <w:rsid w:val="30B86334"/>
    <w:rsid w:val="30C95F53"/>
    <w:rsid w:val="30E3452C"/>
    <w:rsid w:val="312B2B79"/>
    <w:rsid w:val="312E4C8F"/>
    <w:rsid w:val="313D032A"/>
    <w:rsid w:val="326E5A7C"/>
    <w:rsid w:val="32795B4B"/>
    <w:rsid w:val="329C3BD2"/>
    <w:rsid w:val="32A02B99"/>
    <w:rsid w:val="33662B1A"/>
    <w:rsid w:val="33681108"/>
    <w:rsid w:val="33945743"/>
    <w:rsid w:val="33D414D0"/>
    <w:rsid w:val="34683716"/>
    <w:rsid w:val="34917D90"/>
    <w:rsid w:val="34B859B2"/>
    <w:rsid w:val="35921AAA"/>
    <w:rsid w:val="3598450B"/>
    <w:rsid w:val="359955FD"/>
    <w:rsid w:val="35B70430"/>
    <w:rsid w:val="35CD358A"/>
    <w:rsid w:val="35E134FD"/>
    <w:rsid w:val="362A09EF"/>
    <w:rsid w:val="362D3DF2"/>
    <w:rsid w:val="369C1105"/>
    <w:rsid w:val="37467D39"/>
    <w:rsid w:val="375C1A20"/>
    <w:rsid w:val="38515AF3"/>
    <w:rsid w:val="385F359C"/>
    <w:rsid w:val="390A7E14"/>
    <w:rsid w:val="39236914"/>
    <w:rsid w:val="395C1A2F"/>
    <w:rsid w:val="3A7456FC"/>
    <w:rsid w:val="3A752FB9"/>
    <w:rsid w:val="3AA852D6"/>
    <w:rsid w:val="3AF11C2B"/>
    <w:rsid w:val="3B1E1065"/>
    <w:rsid w:val="3B6604E6"/>
    <w:rsid w:val="3B6F0ECB"/>
    <w:rsid w:val="3B841D62"/>
    <w:rsid w:val="3BA570FE"/>
    <w:rsid w:val="3BA80B19"/>
    <w:rsid w:val="3C4240EC"/>
    <w:rsid w:val="3C687FDC"/>
    <w:rsid w:val="3CC170AA"/>
    <w:rsid w:val="3CC7479C"/>
    <w:rsid w:val="3CFA4723"/>
    <w:rsid w:val="3D4356F0"/>
    <w:rsid w:val="3D54588C"/>
    <w:rsid w:val="3DE8190E"/>
    <w:rsid w:val="3E0F7636"/>
    <w:rsid w:val="3E1E1BB8"/>
    <w:rsid w:val="3E8D66A8"/>
    <w:rsid w:val="3E997760"/>
    <w:rsid w:val="3EBD1581"/>
    <w:rsid w:val="3EEB8A65"/>
    <w:rsid w:val="3EF60517"/>
    <w:rsid w:val="3EFA2CF7"/>
    <w:rsid w:val="3F3A1FEB"/>
    <w:rsid w:val="3F6641D4"/>
    <w:rsid w:val="3F692DF0"/>
    <w:rsid w:val="3F765EDC"/>
    <w:rsid w:val="3F8618F2"/>
    <w:rsid w:val="3F9B737D"/>
    <w:rsid w:val="3FC16DA5"/>
    <w:rsid w:val="3FE059F3"/>
    <w:rsid w:val="3FEFFA0A"/>
    <w:rsid w:val="3FF71626"/>
    <w:rsid w:val="402C53E6"/>
    <w:rsid w:val="402E1919"/>
    <w:rsid w:val="405831BF"/>
    <w:rsid w:val="405F6B9A"/>
    <w:rsid w:val="40885740"/>
    <w:rsid w:val="41CB5019"/>
    <w:rsid w:val="41F23E5E"/>
    <w:rsid w:val="42056864"/>
    <w:rsid w:val="42253D73"/>
    <w:rsid w:val="42575879"/>
    <w:rsid w:val="4272059E"/>
    <w:rsid w:val="42AA008F"/>
    <w:rsid w:val="42DB44A1"/>
    <w:rsid w:val="42DC0426"/>
    <w:rsid w:val="42F150AF"/>
    <w:rsid w:val="435C45EB"/>
    <w:rsid w:val="43B600AD"/>
    <w:rsid w:val="43BF32E9"/>
    <w:rsid w:val="43C47C47"/>
    <w:rsid w:val="43C76649"/>
    <w:rsid w:val="449E6249"/>
    <w:rsid w:val="44B91A5D"/>
    <w:rsid w:val="44BA1052"/>
    <w:rsid w:val="450512D4"/>
    <w:rsid w:val="45051EA0"/>
    <w:rsid w:val="4517335F"/>
    <w:rsid w:val="452F03D4"/>
    <w:rsid w:val="457D11CB"/>
    <w:rsid w:val="459A3BBF"/>
    <w:rsid w:val="45D81FA6"/>
    <w:rsid w:val="4616133D"/>
    <w:rsid w:val="46231F89"/>
    <w:rsid w:val="46382775"/>
    <w:rsid w:val="464A44B1"/>
    <w:rsid w:val="4693422A"/>
    <w:rsid w:val="46F67FBF"/>
    <w:rsid w:val="47843179"/>
    <w:rsid w:val="47A655C7"/>
    <w:rsid w:val="47B15172"/>
    <w:rsid w:val="47BB06CE"/>
    <w:rsid w:val="48110810"/>
    <w:rsid w:val="48824981"/>
    <w:rsid w:val="48B56C14"/>
    <w:rsid w:val="48C15BC4"/>
    <w:rsid w:val="48E16144"/>
    <w:rsid w:val="48F10CC1"/>
    <w:rsid w:val="48FD1ECC"/>
    <w:rsid w:val="490A4E1E"/>
    <w:rsid w:val="498D2ECC"/>
    <w:rsid w:val="49D3101C"/>
    <w:rsid w:val="4A1D520E"/>
    <w:rsid w:val="4A332C0F"/>
    <w:rsid w:val="4A59462E"/>
    <w:rsid w:val="4AB12EA2"/>
    <w:rsid w:val="4AB40A96"/>
    <w:rsid w:val="4AC75CBF"/>
    <w:rsid w:val="4AF51271"/>
    <w:rsid w:val="4AF875FC"/>
    <w:rsid w:val="4B7B541E"/>
    <w:rsid w:val="4C4507B6"/>
    <w:rsid w:val="4C621F26"/>
    <w:rsid w:val="4C7B725A"/>
    <w:rsid w:val="4C997628"/>
    <w:rsid w:val="4CDB793F"/>
    <w:rsid w:val="4CE775B6"/>
    <w:rsid w:val="4DC74EB8"/>
    <w:rsid w:val="4E603BCF"/>
    <w:rsid w:val="4E6268C7"/>
    <w:rsid w:val="4E886911"/>
    <w:rsid w:val="4EAC5711"/>
    <w:rsid w:val="4EDA0D8F"/>
    <w:rsid w:val="4EFC0DC6"/>
    <w:rsid w:val="4F012616"/>
    <w:rsid w:val="4F0A72C9"/>
    <w:rsid w:val="4F2E0F12"/>
    <w:rsid w:val="4F3F4A24"/>
    <w:rsid w:val="4F78542F"/>
    <w:rsid w:val="4F8D6891"/>
    <w:rsid w:val="4FF9229B"/>
    <w:rsid w:val="4FF97BA7"/>
    <w:rsid w:val="50260649"/>
    <w:rsid w:val="505C7478"/>
    <w:rsid w:val="50A647E6"/>
    <w:rsid w:val="50AD3654"/>
    <w:rsid w:val="50B36B51"/>
    <w:rsid w:val="50E4480A"/>
    <w:rsid w:val="51A92185"/>
    <w:rsid w:val="51B2004B"/>
    <w:rsid w:val="51FD0669"/>
    <w:rsid w:val="52384A5B"/>
    <w:rsid w:val="526169C2"/>
    <w:rsid w:val="527C2D46"/>
    <w:rsid w:val="52AD436E"/>
    <w:rsid w:val="52BA770F"/>
    <w:rsid w:val="52D2041C"/>
    <w:rsid w:val="53133B9E"/>
    <w:rsid w:val="53831C8C"/>
    <w:rsid w:val="53F33169"/>
    <w:rsid w:val="544507C9"/>
    <w:rsid w:val="549C0687"/>
    <w:rsid w:val="551E345B"/>
    <w:rsid w:val="55622629"/>
    <w:rsid w:val="556C1D7A"/>
    <w:rsid w:val="557701D2"/>
    <w:rsid w:val="55FA2FD9"/>
    <w:rsid w:val="55FC667D"/>
    <w:rsid w:val="5613424B"/>
    <w:rsid w:val="56183EFC"/>
    <w:rsid w:val="564F09F8"/>
    <w:rsid w:val="565F3BE1"/>
    <w:rsid w:val="569C7F55"/>
    <w:rsid w:val="56B709A2"/>
    <w:rsid w:val="56C04329"/>
    <w:rsid w:val="56C54541"/>
    <w:rsid w:val="56ED7CB4"/>
    <w:rsid w:val="57383440"/>
    <w:rsid w:val="576312E8"/>
    <w:rsid w:val="577B58E5"/>
    <w:rsid w:val="581E2406"/>
    <w:rsid w:val="582D54C5"/>
    <w:rsid w:val="58677A3C"/>
    <w:rsid w:val="587E5031"/>
    <w:rsid w:val="589822C9"/>
    <w:rsid w:val="58C90D01"/>
    <w:rsid w:val="590C2C90"/>
    <w:rsid w:val="597E7408"/>
    <w:rsid w:val="598514C2"/>
    <w:rsid w:val="598D0241"/>
    <w:rsid w:val="59927FEE"/>
    <w:rsid w:val="5A23086C"/>
    <w:rsid w:val="5A3A2DDD"/>
    <w:rsid w:val="5A914409"/>
    <w:rsid w:val="5AA10F6B"/>
    <w:rsid w:val="5AE8158A"/>
    <w:rsid w:val="5AFA5BD8"/>
    <w:rsid w:val="5C0E3B3F"/>
    <w:rsid w:val="5C1F11BE"/>
    <w:rsid w:val="5C766531"/>
    <w:rsid w:val="5CAC6DA3"/>
    <w:rsid w:val="5CFB06F8"/>
    <w:rsid w:val="5CFF635A"/>
    <w:rsid w:val="5D201747"/>
    <w:rsid w:val="5D2E60F1"/>
    <w:rsid w:val="5D47555B"/>
    <w:rsid w:val="5D4D54F4"/>
    <w:rsid w:val="5D887E95"/>
    <w:rsid w:val="5DA31D4F"/>
    <w:rsid w:val="5DDE6FBB"/>
    <w:rsid w:val="5DE104AA"/>
    <w:rsid w:val="5DF76D59"/>
    <w:rsid w:val="5E646909"/>
    <w:rsid w:val="5E931248"/>
    <w:rsid w:val="5ECB03BA"/>
    <w:rsid w:val="5F063972"/>
    <w:rsid w:val="5F320F5B"/>
    <w:rsid w:val="5F9A2872"/>
    <w:rsid w:val="5FC1059C"/>
    <w:rsid w:val="5FD70866"/>
    <w:rsid w:val="60447752"/>
    <w:rsid w:val="604819BA"/>
    <w:rsid w:val="60A42E1E"/>
    <w:rsid w:val="60AA4F41"/>
    <w:rsid w:val="60E73D51"/>
    <w:rsid w:val="61432DB8"/>
    <w:rsid w:val="614A1269"/>
    <w:rsid w:val="61501C31"/>
    <w:rsid w:val="616177F4"/>
    <w:rsid w:val="622702BF"/>
    <w:rsid w:val="626F2D4C"/>
    <w:rsid w:val="6271270B"/>
    <w:rsid w:val="627B4304"/>
    <w:rsid w:val="627F77D0"/>
    <w:rsid w:val="62BF2D0B"/>
    <w:rsid w:val="63007D72"/>
    <w:rsid w:val="635F0DA8"/>
    <w:rsid w:val="63A14D89"/>
    <w:rsid w:val="643166D3"/>
    <w:rsid w:val="64441196"/>
    <w:rsid w:val="646978EA"/>
    <w:rsid w:val="648C1223"/>
    <w:rsid w:val="64922D4F"/>
    <w:rsid w:val="64F27F4F"/>
    <w:rsid w:val="65487A87"/>
    <w:rsid w:val="65BA26F5"/>
    <w:rsid w:val="65BA6903"/>
    <w:rsid w:val="67B554CB"/>
    <w:rsid w:val="68500530"/>
    <w:rsid w:val="686A23AC"/>
    <w:rsid w:val="68B8353A"/>
    <w:rsid w:val="68C70FC8"/>
    <w:rsid w:val="68CA26AF"/>
    <w:rsid w:val="68F26CEC"/>
    <w:rsid w:val="68F91B09"/>
    <w:rsid w:val="69043521"/>
    <w:rsid w:val="692BD251"/>
    <w:rsid w:val="69485601"/>
    <w:rsid w:val="69A00F0E"/>
    <w:rsid w:val="69C85085"/>
    <w:rsid w:val="69FD5CAF"/>
    <w:rsid w:val="6AC136D7"/>
    <w:rsid w:val="6AD83AD4"/>
    <w:rsid w:val="6B241A17"/>
    <w:rsid w:val="6B28556D"/>
    <w:rsid w:val="6B3453A9"/>
    <w:rsid w:val="6B356DB5"/>
    <w:rsid w:val="6B7A2359"/>
    <w:rsid w:val="6BB87D88"/>
    <w:rsid w:val="6C300DB3"/>
    <w:rsid w:val="6C4D1FC5"/>
    <w:rsid w:val="6C7E0C8F"/>
    <w:rsid w:val="6D330B13"/>
    <w:rsid w:val="6D593B65"/>
    <w:rsid w:val="6DF522C5"/>
    <w:rsid w:val="6E1A1A5F"/>
    <w:rsid w:val="6E323277"/>
    <w:rsid w:val="6E677722"/>
    <w:rsid w:val="6E9C0F6F"/>
    <w:rsid w:val="6EA11677"/>
    <w:rsid w:val="6EC402D2"/>
    <w:rsid w:val="6F5443E6"/>
    <w:rsid w:val="6F983C7A"/>
    <w:rsid w:val="6FA30D7F"/>
    <w:rsid w:val="6FA431BE"/>
    <w:rsid w:val="6FC13B19"/>
    <w:rsid w:val="6FD06966"/>
    <w:rsid w:val="6FD21A5C"/>
    <w:rsid w:val="707424B4"/>
    <w:rsid w:val="708152DB"/>
    <w:rsid w:val="709E54A1"/>
    <w:rsid w:val="7103031A"/>
    <w:rsid w:val="71121F70"/>
    <w:rsid w:val="71676F30"/>
    <w:rsid w:val="71AD7318"/>
    <w:rsid w:val="71AE7B0C"/>
    <w:rsid w:val="71C27984"/>
    <w:rsid w:val="71C94017"/>
    <w:rsid w:val="71F421C5"/>
    <w:rsid w:val="72114317"/>
    <w:rsid w:val="721A15C9"/>
    <w:rsid w:val="724E4225"/>
    <w:rsid w:val="725700A9"/>
    <w:rsid w:val="726D70E7"/>
    <w:rsid w:val="72942689"/>
    <w:rsid w:val="72C04D9D"/>
    <w:rsid w:val="732E5CC1"/>
    <w:rsid w:val="735843D5"/>
    <w:rsid w:val="735D1991"/>
    <w:rsid w:val="737E0B7F"/>
    <w:rsid w:val="73F6588F"/>
    <w:rsid w:val="74234BB1"/>
    <w:rsid w:val="743D700C"/>
    <w:rsid w:val="744D5EC9"/>
    <w:rsid w:val="74817489"/>
    <w:rsid w:val="76275962"/>
    <w:rsid w:val="766A3D48"/>
    <w:rsid w:val="76C06B0A"/>
    <w:rsid w:val="7756518C"/>
    <w:rsid w:val="77823E0C"/>
    <w:rsid w:val="77963EF5"/>
    <w:rsid w:val="77B2473D"/>
    <w:rsid w:val="77CC74DE"/>
    <w:rsid w:val="78910C21"/>
    <w:rsid w:val="78B32107"/>
    <w:rsid w:val="79290844"/>
    <w:rsid w:val="79C93160"/>
    <w:rsid w:val="79CD78B1"/>
    <w:rsid w:val="79E65A52"/>
    <w:rsid w:val="7A245169"/>
    <w:rsid w:val="7A3538A9"/>
    <w:rsid w:val="7A5328D5"/>
    <w:rsid w:val="7A6725A8"/>
    <w:rsid w:val="7A7C4102"/>
    <w:rsid w:val="7AD269F0"/>
    <w:rsid w:val="7B05201F"/>
    <w:rsid w:val="7B1403CC"/>
    <w:rsid w:val="7B461C6B"/>
    <w:rsid w:val="7B922DFD"/>
    <w:rsid w:val="7BBC5E82"/>
    <w:rsid w:val="7BC527DB"/>
    <w:rsid w:val="7C2B7892"/>
    <w:rsid w:val="7C2F624D"/>
    <w:rsid w:val="7C3508ED"/>
    <w:rsid w:val="7C46731F"/>
    <w:rsid w:val="7C5321A4"/>
    <w:rsid w:val="7C744EE5"/>
    <w:rsid w:val="7C9C4E59"/>
    <w:rsid w:val="7CE4330E"/>
    <w:rsid w:val="7D5E7DB3"/>
    <w:rsid w:val="7DD33275"/>
    <w:rsid w:val="7DF90100"/>
    <w:rsid w:val="7DF96E65"/>
    <w:rsid w:val="7E1700E3"/>
    <w:rsid w:val="7E183762"/>
    <w:rsid w:val="7E1E298D"/>
    <w:rsid w:val="7E2C6A87"/>
    <w:rsid w:val="7E477448"/>
    <w:rsid w:val="7EB22674"/>
    <w:rsid w:val="7ED10C1A"/>
    <w:rsid w:val="7ED2669B"/>
    <w:rsid w:val="7F153843"/>
    <w:rsid w:val="7F7F49CF"/>
    <w:rsid w:val="8BAF3E3B"/>
    <w:rsid w:val="9D4B5CFF"/>
    <w:rsid w:val="BA7B23C6"/>
    <w:rsid w:val="CF3FB1D2"/>
    <w:rsid w:val="EF5AB161"/>
    <w:rsid w:val="FBFF4ED3"/>
    <w:rsid w:val="FD7B2BB5"/>
    <w:rsid w:val="FE734873"/>
    <w:rsid w:val="FEBABDB6"/>
    <w:rsid w:val="FF9B427B"/>
    <w:rsid w:val="FFFE602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iPriority="99" w:semiHidden="0"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iPriority="99" w:semiHidden="0" w:name="footnote reference"/>
    <w:lsdException w:qFormat="1" w:uiPriority="0" w:semiHidden="0" w:name="annotation reference"/>
    <w:lsdException w:uiPriority="99" w:name="line number"/>
    <w:lsdException w:qFormat="1" w:unhideWhenUsed="0" w:uiPriority="0" w:semiHidden="0" w:name="page number"/>
    <w:lsdException w:qFormat="1" w:uiPriority="99" w:semiHidden="0" w:name="endnote reference"/>
    <w:lsdException w:qFormat="1" w:uiPriority="99"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99" w:semiHidden="0" w:name="Body Text First Indent"/>
    <w:lsdException w:qFormat="1" w:uiPriority="99"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8"/>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59"/>
    <w:qFormat/>
    <w:uiPriority w:val="0"/>
    <w:pPr>
      <w:keepNext/>
      <w:keepLines/>
      <w:spacing w:before="260" w:after="260" w:line="416" w:lineRule="auto"/>
      <w:outlineLvl w:val="1"/>
    </w:pPr>
    <w:rPr>
      <w:rFonts w:ascii="Arial" w:hAnsi="Arial" w:eastAsia="黑体"/>
      <w:b/>
      <w:bCs/>
      <w:kern w:val="0"/>
      <w:sz w:val="32"/>
      <w:szCs w:val="32"/>
    </w:rPr>
  </w:style>
  <w:style w:type="paragraph" w:styleId="4">
    <w:name w:val="heading 3"/>
    <w:basedOn w:val="1"/>
    <w:next w:val="1"/>
    <w:link w:val="60"/>
    <w:qFormat/>
    <w:uiPriority w:val="0"/>
    <w:pPr>
      <w:keepNext/>
      <w:keepLines/>
      <w:spacing w:before="260" w:after="260" w:line="416" w:lineRule="auto"/>
      <w:outlineLvl w:val="2"/>
    </w:pPr>
    <w:rPr>
      <w:b/>
      <w:bCs/>
      <w:kern w:val="0"/>
      <w:sz w:val="32"/>
      <w:szCs w:val="32"/>
    </w:rPr>
  </w:style>
  <w:style w:type="paragraph" w:styleId="5">
    <w:name w:val="heading 4"/>
    <w:basedOn w:val="1"/>
    <w:next w:val="1"/>
    <w:qFormat/>
    <w:uiPriority w:val="0"/>
    <w:pPr>
      <w:tabs>
        <w:tab w:val="left" w:pos="2155"/>
      </w:tabs>
      <w:adjustRightInd w:val="0"/>
      <w:spacing w:line="360" w:lineRule="auto"/>
      <w:ind w:left="2155" w:hanging="1078"/>
      <w:textAlignment w:val="baseline"/>
      <w:outlineLvl w:val="3"/>
    </w:pPr>
    <w:rPr>
      <w:rFonts w:ascii="Arial" w:eastAsia="黑体"/>
      <w:kern w:val="0"/>
      <w:sz w:val="28"/>
      <w:szCs w:val="20"/>
    </w:rPr>
  </w:style>
  <w:style w:type="paragraph" w:styleId="6">
    <w:name w:val="heading 5"/>
    <w:basedOn w:val="1"/>
    <w:next w:val="7"/>
    <w:link w:val="61"/>
    <w:qFormat/>
    <w:uiPriority w:val="0"/>
    <w:pPr>
      <w:keepNext/>
      <w:keepLines/>
      <w:numPr>
        <w:ilvl w:val="4"/>
        <w:numId w:val="1"/>
      </w:numPr>
      <w:spacing w:before="280" w:after="290" w:line="376" w:lineRule="auto"/>
      <w:outlineLvl w:val="4"/>
    </w:pPr>
    <w:rPr>
      <w:b/>
      <w:sz w:val="28"/>
    </w:rPr>
  </w:style>
  <w:style w:type="paragraph" w:styleId="8">
    <w:name w:val="heading 6"/>
    <w:basedOn w:val="1"/>
    <w:next w:val="7"/>
    <w:link w:val="62"/>
    <w:qFormat/>
    <w:uiPriority w:val="0"/>
    <w:pPr>
      <w:keepNext/>
      <w:keepLines/>
      <w:numPr>
        <w:ilvl w:val="5"/>
        <w:numId w:val="1"/>
      </w:numPr>
      <w:spacing w:before="240" w:after="64" w:line="320" w:lineRule="auto"/>
      <w:outlineLvl w:val="5"/>
    </w:pPr>
    <w:rPr>
      <w:rFonts w:ascii="Arial" w:hAnsi="Arial" w:eastAsia="黑体"/>
      <w:b/>
      <w:sz w:val="24"/>
    </w:rPr>
  </w:style>
  <w:style w:type="paragraph" w:styleId="9">
    <w:name w:val="heading 7"/>
    <w:basedOn w:val="1"/>
    <w:next w:val="7"/>
    <w:link w:val="63"/>
    <w:qFormat/>
    <w:uiPriority w:val="0"/>
    <w:pPr>
      <w:keepNext/>
      <w:keepLines/>
      <w:numPr>
        <w:ilvl w:val="6"/>
        <w:numId w:val="1"/>
      </w:numPr>
      <w:spacing w:before="240" w:after="64" w:line="320" w:lineRule="auto"/>
      <w:outlineLvl w:val="6"/>
    </w:pPr>
    <w:rPr>
      <w:b/>
      <w:sz w:val="24"/>
    </w:rPr>
  </w:style>
  <w:style w:type="paragraph" w:styleId="10">
    <w:name w:val="heading 8"/>
    <w:basedOn w:val="1"/>
    <w:next w:val="7"/>
    <w:link w:val="64"/>
    <w:qFormat/>
    <w:uiPriority w:val="0"/>
    <w:pPr>
      <w:keepNext/>
      <w:keepLines/>
      <w:numPr>
        <w:ilvl w:val="7"/>
        <w:numId w:val="1"/>
      </w:numPr>
      <w:spacing w:before="240" w:after="64" w:line="320" w:lineRule="auto"/>
      <w:outlineLvl w:val="7"/>
    </w:pPr>
    <w:rPr>
      <w:rFonts w:ascii="Arial" w:hAnsi="Arial" w:eastAsia="黑体"/>
      <w:sz w:val="24"/>
    </w:rPr>
  </w:style>
  <w:style w:type="paragraph" w:styleId="11">
    <w:name w:val="heading 9"/>
    <w:basedOn w:val="1"/>
    <w:next w:val="7"/>
    <w:link w:val="65"/>
    <w:qFormat/>
    <w:uiPriority w:val="0"/>
    <w:pPr>
      <w:keepNext/>
      <w:keepLines/>
      <w:numPr>
        <w:ilvl w:val="8"/>
        <w:numId w:val="1"/>
      </w:numPr>
      <w:spacing w:before="240" w:after="64" w:line="320" w:lineRule="auto"/>
      <w:outlineLvl w:val="8"/>
    </w:pPr>
    <w:rPr>
      <w:rFonts w:ascii="Arial" w:hAnsi="Arial" w:eastAsia="黑体"/>
    </w:rPr>
  </w:style>
  <w:style w:type="character" w:default="1" w:styleId="49">
    <w:name w:val="Default Paragraph Font"/>
    <w:semiHidden/>
    <w:unhideWhenUsed/>
    <w:qFormat/>
    <w:uiPriority w:val="1"/>
  </w:style>
  <w:style w:type="table" w:default="1" w:styleId="47">
    <w:name w:val="Normal Table"/>
    <w:semiHidden/>
    <w:unhideWhenUsed/>
    <w:qFormat/>
    <w:uiPriority w:val="99"/>
    <w:tblPr>
      <w:tblCellMar>
        <w:top w:w="0" w:type="dxa"/>
        <w:left w:w="108" w:type="dxa"/>
        <w:bottom w:w="0" w:type="dxa"/>
        <w:right w:w="108" w:type="dxa"/>
      </w:tblCellMar>
    </w:tblPr>
  </w:style>
  <w:style w:type="paragraph" w:styleId="7">
    <w:name w:val="Normal Indent"/>
    <w:basedOn w:val="1"/>
    <w:qFormat/>
    <w:uiPriority w:val="0"/>
    <w:pPr>
      <w:ind w:firstLine="420"/>
    </w:pPr>
    <w:rPr>
      <w:szCs w:val="20"/>
    </w:rPr>
  </w:style>
  <w:style w:type="paragraph" w:styleId="12">
    <w:name w:val="toc 7"/>
    <w:basedOn w:val="1"/>
    <w:next w:val="1"/>
    <w:unhideWhenUsed/>
    <w:qFormat/>
    <w:uiPriority w:val="39"/>
    <w:pPr>
      <w:ind w:left="2520" w:leftChars="1200"/>
    </w:pPr>
    <w:rPr>
      <w:rFonts w:ascii="Calibri" w:hAnsi="Calibri"/>
      <w:szCs w:val="22"/>
    </w:rPr>
  </w:style>
  <w:style w:type="paragraph" w:styleId="13">
    <w:name w:val="List Number"/>
    <w:basedOn w:val="1"/>
    <w:qFormat/>
    <w:uiPriority w:val="0"/>
    <w:pPr>
      <w:widowControl/>
      <w:tabs>
        <w:tab w:val="left" w:pos="454"/>
        <w:tab w:val="left" w:pos="720"/>
        <w:tab w:val="left" w:pos="840"/>
      </w:tabs>
      <w:spacing w:afterLines="50"/>
      <w:ind w:left="454" w:hanging="284"/>
      <w:jc w:val="left"/>
    </w:pPr>
    <w:rPr>
      <w:kern w:val="0"/>
      <w:sz w:val="24"/>
      <w:szCs w:val="20"/>
    </w:rPr>
  </w:style>
  <w:style w:type="paragraph" w:styleId="14">
    <w:name w:val="caption"/>
    <w:basedOn w:val="1"/>
    <w:next w:val="1"/>
    <w:qFormat/>
    <w:uiPriority w:val="0"/>
    <w:pPr>
      <w:spacing w:before="152" w:after="160"/>
    </w:pPr>
    <w:rPr>
      <w:rFonts w:ascii="Arial" w:hAnsi="Arial" w:eastAsia="黑体" w:cs="Arial"/>
      <w:sz w:val="20"/>
      <w:szCs w:val="20"/>
    </w:rPr>
  </w:style>
  <w:style w:type="paragraph" w:styleId="15">
    <w:name w:val="annotation text"/>
    <w:basedOn w:val="1"/>
    <w:link w:val="66"/>
    <w:unhideWhenUsed/>
    <w:qFormat/>
    <w:uiPriority w:val="0"/>
    <w:pPr>
      <w:jc w:val="left"/>
    </w:pPr>
  </w:style>
  <w:style w:type="paragraph" w:styleId="16">
    <w:name w:val="Body Text 3"/>
    <w:basedOn w:val="1"/>
    <w:link w:val="67"/>
    <w:qFormat/>
    <w:uiPriority w:val="0"/>
    <w:pPr>
      <w:spacing w:line="500" w:lineRule="exact"/>
    </w:pPr>
    <w:rPr>
      <w:b/>
      <w:bCs/>
      <w:kern w:val="0"/>
      <w:sz w:val="24"/>
    </w:rPr>
  </w:style>
  <w:style w:type="paragraph" w:styleId="17">
    <w:name w:val="Body Text"/>
    <w:basedOn w:val="1"/>
    <w:link w:val="68"/>
    <w:qFormat/>
    <w:uiPriority w:val="99"/>
    <w:pPr>
      <w:spacing w:line="380" w:lineRule="exact"/>
    </w:pPr>
    <w:rPr>
      <w:kern w:val="0"/>
      <w:sz w:val="24"/>
    </w:rPr>
  </w:style>
  <w:style w:type="paragraph" w:styleId="18">
    <w:name w:val="Body Text Indent"/>
    <w:basedOn w:val="1"/>
    <w:link w:val="69"/>
    <w:qFormat/>
    <w:uiPriority w:val="0"/>
    <w:pPr>
      <w:ind w:firstLine="830" w:firstLineChars="352"/>
    </w:pPr>
    <w:rPr>
      <w:rFonts w:ascii="仿宋_GB2312" w:eastAsia="仿宋_GB2312"/>
      <w:kern w:val="0"/>
      <w:sz w:val="32"/>
      <w:szCs w:val="20"/>
    </w:rPr>
  </w:style>
  <w:style w:type="paragraph" w:styleId="19">
    <w:name w:val="List Number 3"/>
    <w:basedOn w:val="1"/>
    <w:qFormat/>
    <w:uiPriority w:val="0"/>
    <w:pPr>
      <w:numPr>
        <w:ilvl w:val="0"/>
        <w:numId w:val="2"/>
      </w:numPr>
    </w:pPr>
  </w:style>
  <w:style w:type="paragraph" w:styleId="20">
    <w:name w:val="List 2"/>
    <w:basedOn w:val="1"/>
    <w:qFormat/>
    <w:uiPriority w:val="0"/>
    <w:pPr>
      <w:ind w:left="100" w:leftChars="200" w:hanging="200" w:hangingChars="200"/>
    </w:pPr>
    <w:rPr>
      <w:sz w:val="28"/>
    </w:rPr>
  </w:style>
  <w:style w:type="paragraph" w:styleId="21">
    <w:name w:val="toc 5"/>
    <w:basedOn w:val="1"/>
    <w:next w:val="1"/>
    <w:unhideWhenUsed/>
    <w:qFormat/>
    <w:uiPriority w:val="39"/>
    <w:pPr>
      <w:ind w:left="1680" w:leftChars="800"/>
    </w:pPr>
    <w:rPr>
      <w:rFonts w:ascii="Calibri" w:hAnsi="Calibri"/>
      <w:szCs w:val="22"/>
    </w:rPr>
  </w:style>
  <w:style w:type="paragraph" w:styleId="22">
    <w:name w:val="toc 3"/>
    <w:basedOn w:val="1"/>
    <w:next w:val="1"/>
    <w:unhideWhenUsed/>
    <w:qFormat/>
    <w:uiPriority w:val="39"/>
    <w:pPr>
      <w:ind w:left="840" w:leftChars="400"/>
    </w:pPr>
    <w:rPr>
      <w:rFonts w:ascii="Calibri" w:hAnsi="Calibri"/>
      <w:szCs w:val="22"/>
    </w:rPr>
  </w:style>
  <w:style w:type="paragraph" w:styleId="23">
    <w:name w:val="Plain Text"/>
    <w:basedOn w:val="1"/>
    <w:link w:val="70"/>
    <w:qFormat/>
    <w:uiPriority w:val="0"/>
    <w:rPr>
      <w:rFonts w:ascii="宋体" w:hAnsi="Courier New"/>
      <w:kern w:val="0"/>
      <w:sz w:val="20"/>
      <w:szCs w:val="21"/>
    </w:rPr>
  </w:style>
  <w:style w:type="paragraph" w:styleId="24">
    <w:name w:val="toc 8"/>
    <w:basedOn w:val="1"/>
    <w:next w:val="1"/>
    <w:unhideWhenUsed/>
    <w:qFormat/>
    <w:uiPriority w:val="39"/>
    <w:pPr>
      <w:ind w:left="2940" w:leftChars="1400"/>
    </w:pPr>
    <w:rPr>
      <w:rFonts w:ascii="Calibri" w:hAnsi="Calibri"/>
      <w:szCs w:val="22"/>
    </w:rPr>
  </w:style>
  <w:style w:type="paragraph" w:styleId="25">
    <w:name w:val="Date"/>
    <w:basedOn w:val="1"/>
    <w:next w:val="1"/>
    <w:link w:val="71"/>
    <w:qFormat/>
    <w:uiPriority w:val="0"/>
    <w:pPr>
      <w:ind w:left="100" w:leftChars="2500"/>
    </w:pPr>
    <w:rPr>
      <w:rFonts w:ascii="宋体" w:hAnsi="Courier New"/>
      <w:kern w:val="0"/>
      <w:sz w:val="20"/>
      <w:szCs w:val="21"/>
    </w:rPr>
  </w:style>
  <w:style w:type="paragraph" w:styleId="26">
    <w:name w:val="Body Text Indent 2"/>
    <w:basedOn w:val="1"/>
    <w:link w:val="72"/>
    <w:qFormat/>
    <w:uiPriority w:val="0"/>
    <w:pPr>
      <w:ind w:firstLine="630"/>
    </w:pPr>
    <w:rPr>
      <w:kern w:val="0"/>
      <w:sz w:val="32"/>
      <w:szCs w:val="20"/>
    </w:rPr>
  </w:style>
  <w:style w:type="paragraph" w:styleId="27">
    <w:name w:val="endnote text"/>
    <w:basedOn w:val="1"/>
    <w:link w:val="73"/>
    <w:unhideWhenUsed/>
    <w:qFormat/>
    <w:uiPriority w:val="99"/>
    <w:pPr>
      <w:snapToGrid w:val="0"/>
      <w:jc w:val="left"/>
    </w:pPr>
  </w:style>
  <w:style w:type="paragraph" w:styleId="28">
    <w:name w:val="Balloon Text"/>
    <w:basedOn w:val="1"/>
    <w:link w:val="74"/>
    <w:semiHidden/>
    <w:qFormat/>
    <w:uiPriority w:val="99"/>
    <w:rPr>
      <w:kern w:val="0"/>
      <w:sz w:val="18"/>
      <w:szCs w:val="18"/>
    </w:rPr>
  </w:style>
  <w:style w:type="paragraph" w:styleId="29">
    <w:name w:val="footer"/>
    <w:basedOn w:val="1"/>
    <w:link w:val="75"/>
    <w:unhideWhenUsed/>
    <w:qFormat/>
    <w:uiPriority w:val="99"/>
    <w:pPr>
      <w:tabs>
        <w:tab w:val="center" w:pos="4153"/>
        <w:tab w:val="right" w:pos="8306"/>
      </w:tabs>
      <w:snapToGrid w:val="0"/>
      <w:jc w:val="left"/>
    </w:pPr>
    <w:rPr>
      <w:kern w:val="0"/>
      <w:sz w:val="18"/>
      <w:szCs w:val="18"/>
    </w:rPr>
  </w:style>
  <w:style w:type="paragraph" w:styleId="30">
    <w:name w:val="header"/>
    <w:basedOn w:val="1"/>
    <w:link w:val="76"/>
    <w:unhideWhenUsed/>
    <w:qFormat/>
    <w:uiPriority w:val="99"/>
    <w:pPr>
      <w:pBdr>
        <w:bottom w:val="single" w:color="auto" w:sz="6" w:space="1"/>
      </w:pBdr>
      <w:tabs>
        <w:tab w:val="center" w:pos="0"/>
        <w:tab w:val="left" w:pos="8306"/>
      </w:tabs>
      <w:snapToGrid w:val="0"/>
      <w:jc w:val="center"/>
    </w:pPr>
    <w:rPr>
      <w:sz w:val="18"/>
      <w:szCs w:val="18"/>
    </w:rPr>
  </w:style>
  <w:style w:type="paragraph" w:styleId="31">
    <w:name w:val="toc 1"/>
    <w:basedOn w:val="1"/>
    <w:next w:val="1"/>
    <w:qFormat/>
    <w:uiPriority w:val="39"/>
    <w:pPr>
      <w:tabs>
        <w:tab w:val="right" w:leader="dot" w:pos="8398"/>
      </w:tabs>
      <w:spacing w:before="120" w:after="120"/>
      <w:ind w:firstLine="240" w:firstLineChars="100"/>
      <w:jc w:val="left"/>
    </w:pPr>
    <w:rPr>
      <w:rFonts w:ascii="宋体" w:hAnsi="宋体"/>
      <w:b/>
      <w:bCs/>
      <w:caps/>
      <w:sz w:val="24"/>
    </w:rPr>
  </w:style>
  <w:style w:type="paragraph" w:styleId="32">
    <w:name w:val="toc 4"/>
    <w:basedOn w:val="1"/>
    <w:next w:val="1"/>
    <w:unhideWhenUsed/>
    <w:qFormat/>
    <w:uiPriority w:val="39"/>
    <w:pPr>
      <w:ind w:left="1260" w:leftChars="600"/>
    </w:pPr>
    <w:rPr>
      <w:rFonts w:ascii="Calibri" w:hAnsi="Calibri"/>
      <w:szCs w:val="22"/>
    </w:rPr>
  </w:style>
  <w:style w:type="paragraph" w:styleId="33">
    <w:name w:val="List"/>
    <w:basedOn w:val="1"/>
    <w:qFormat/>
    <w:uiPriority w:val="0"/>
    <w:pPr>
      <w:ind w:left="200" w:hanging="200" w:hangingChars="200"/>
    </w:pPr>
    <w:rPr>
      <w:sz w:val="28"/>
    </w:rPr>
  </w:style>
  <w:style w:type="paragraph" w:styleId="34">
    <w:name w:val="footnote text"/>
    <w:basedOn w:val="1"/>
    <w:link w:val="77"/>
    <w:unhideWhenUsed/>
    <w:qFormat/>
    <w:uiPriority w:val="99"/>
    <w:pPr>
      <w:snapToGrid w:val="0"/>
      <w:jc w:val="left"/>
    </w:pPr>
    <w:rPr>
      <w:sz w:val="18"/>
      <w:szCs w:val="18"/>
    </w:rPr>
  </w:style>
  <w:style w:type="paragraph" w:styleId="35">
    <w:name w:val="toc 6"/>
    <w:basedOn w:val="1"/>
    <w:next w:val="1"/>
    <w:unhideWhenUsed/>
    <w:qFormat/>
    <w:uiPriority w:val="39"/>
    <w:pPr>
      <w:ind w:left="2100" w:leftChars="1000"/>
    </w:pPr>
    <w:rPr>
      <w:rFonts w:ascii="Calibri" w:hAnsi="Calibri"/>
      <w:szCs w:val="22"/>
    </w:rPr>
  </w:style>
  <w:style w:type="paragraph" w:styleId="36">
    <w:name w:val="Body Text Indent 3"/>
    <w:basedOn w:val="1"/>
    <w:link w:val="78"/>
    <w:qFormat/>
    <w:uiPriority w:val="0"/>
    <w:pPr>
      <w:spacing w:after="120"/>
      <w:ind w:left="420" w:leftChars="200"/>
    </w:pPr>
    <w:rPr>
      <w:kern w:val="0"/>
      <w:sz w:val="16"/>
      <w:szCs w:val="16"/>
    </w:rPr>
  </w:style>
  <w:style w:type="paragraph" w:styleId="37">
    <w:name w:val="toc 2"/>
    <w:basedOn w:val="1"/>
    <w:next w:val="1"/>
    <w:unhideWhenUsed/>
    <w:qFormat/>
    <w:uiPriority w:val="39"/>
    <w:pPr>
      <w:ind w:left="420" w:leftChars="200"/>
    </w:pPr>
  </w:style>
  <w:style w:type="paragraph" w:styleId="38">
    <w:name w:val="toc 9"/>
    <w:basedOn w:val="1"/>
    <w:next w:val="1"/>
    <w:unhideWhenUsed/>
    <w:qFormat/>
    <w:uiPriority w:val="39"/>
    <w:pPr>
      <w:ind w:left="3360" w:leftChars="1600"/>
    </w:pPr>
    <w:rPr>
      <w:rFonts w:ascii="Calibri" w:hAnsi="Calibri"/>
      <w:szCs w:val="22"/>
    </w:rPr>
  </w:style>
  <w:style w:type="paragraph" w:styleId="39">
    <w:name w:val="Body Text 2"/>
    <w:basedOn w:val="1"/>
    <w:link w:val="79"/>
    <w:qFormat/>
    <w:uiPriority w:val="0"/>
    <w:pPr>
      <w:spacing w:after="120" w:line="480" w:lineRule="auto"/>
    </w:pPr>
    <w:rPr>
      <w:kern w:val="0"/>
      <w:sz w:val="20"/>
    </w:rPr>
  </w:style>
  <w:style w:type="paragraph" w:styleId="40">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41">
    <w:name w:val="Normal (Web)"/>
    <w:basedOn w:val="1"/>
    <w:qFormat/>
    <w:uiPriority w:val="99"/>
    <w:pPr>
      <w:widowControl/>
      <w:spacing w:before="100" w:beforeAutospacing="1" w:after="100" w:afterAutospacing="1"/>
      <w:jc w:val="left"/>
    </w:pPr>
    <w:rPr>
      <w:rFonts w:ascii="宋体" w:hAnsi="宋体"/>
      <w:kern w:val="0"/>
      <w:sz w:val="24"/>
    </w:rPr>
  </w:style>
  <w:style w:type="paragraph" w:styleId="42">
    <w:name w:val="index 1"/>
    <w:basedOn w:val="1"/>
    <w:next w:val="1"/>
    <w:semiHidden/>
    <w:qFormat/>
    <w:uiPriority w:val="0"/>
    <w:pPr>
      <w:spacing w:line="400" w:lineRule="exact"/>
      <w:ind w:firstLine="420" w:firstLineChars="200"/>
    </w:pPr>
    <w:rPr>
      <w:rFonts w:ascii="宋体" w:hAnsi="Courier New"/>
      <w:b/>
      <w:szCs w:val="20"/>
    </w:rPr>
  </w:style>
  <w:style w:type="paragraph" w:styleId="43">
    <w:name w:val="Title"/>
    <w:basedOn w:val="1"/>
    <w:next w:val="1"/>
    <w:link w:val="80"/>
    <w:qFormat/>
    <w:uiPriority w:val="10"/>
    <w:pPr>
      <w:spacing w:before="240" w:after="60"/>
      <w:jc w:val="center"/>
      <w:outlineLvl w:val="0"/>
    </w:pPr>
    <w:rPr>
      <w:rFonts w:ascii="Cambria" w:hAnsi="Cambria"/>
      <w:b/>
      <w:bCs/>
      <w:sz w:val="32"/>
      <w:szCs w:val="32"/>
    </w:rPr>
  </w:style>
  <w:style w:type="paragraph" w:styleId="44">
    <w:name w:val="annotation subject"/>
    <w:basedOn w:val="15"/>
    <w:next w:val="15"/>
    <w:link w:val="81"/>
    <w:unhideWhenUsed/>
    <w:qFormat/>
    <w:uiPriority w:val="99"/>
    <w:rPr>
      <w:b/>
      <w:bCs/>
    </w:rPr>
  </w:style>
  <w:style w:type="paragraph" w:styleId="45">
    <w:name w:val="Body Text First Indent"/>
    <w:basedOn w:val="17"/>
    <w:qFormat/>
    <w:uiPriority w:val="99"/>
    <w:pPr>
      <w:ind w:firstLine="420" w:firstLineChars="100"/>
    </w:pPr>
  </w:style>
  <w:style w:type="paragraph" w:styleId="46">
    <w:name w:val="Body Text First Indent 2"/>
    <w:basedOn w:val="18"/>
    <w:next w:val="1"/>
    <w:unhideWhenUsed/>
    <w:qFormat/>
    <w:uiPriority w:val="99"/>
    <w:pPr>
      <w:tabs>
        <w:tab w:val="left" w:pos="0"/>
      </w:tabs>
      <w:spacing w:after="120"/>
      <w:ind w:left="420" w:leftChars="200" w:firstLine="420" w:firstLineChars="200"/>
    </w:pPr>
    <w:rPr>
      <w:spacing w:val="-4"/>
      <w:sz w:val="21"/>
    </w:rPr>
  </w:style>
  <w:style w:type="table" w:styleId="48">
    <w:name w:val="Table Grid"/>
    <w:basedOn w:val="4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0">
    <w:name w:val="endnote reference"/>
    <w:unhideWhenUsed/>
    <w:qFormat/>
    <w:uiPriority w:val="99"/>
    <w:rPr>
      <w:vertAlign w:val="superscript"/>
    </w:rPr>
  </w:style>
  <w:style w:type="character" w:styleId="51">
    <w:name w:val="page number"/>
    <w:qFormat/>
    <w:uiPriority w:val="0"/>
  </w:style>
  <w:style w:type="character" w:styleId="52">
    <w:name w:val="FollowedHyperlink"/>
    <w:qFormat/>
    <w:uiPriority w:val="0"/>
    <w:rPr>
      <w:color w:val="800080"/>
      <w:u w:val="single"/>
    </w:rPr>
  </w:style>
  <w:style w:type="character" w:styleId="53">
    <w:name w:val="Hyperlink"/>
    <w:qFormat/>
    <w:uiPriority w:val="99"/>
    <w:rPr>
      <w:color w:val="0000FF"/>
      <w:u w:val="single"/>
    </w:rPr>
  </w:style>
  <w:style w:type="character" w:styleId="54">
    <w:name w:val="annotation reference"/>
    <w:unhideWhenUsed/>
    <w:qFormat/>
    <w:uiPriority w:val="0"/>
    <w:rPr>
      <w:sz w:val="21"/>
      <w:szCs w:val="21"/>
    </w:rPr>
  </w:style>
  <w:style w:type="character" w:styleId="55">
    <w:name w:val="footnote reference"/>
    <w:unhideWhenUsed/>
    <w:qFormat/>
    <w:uiPriority w:val="99"/>
    <w:rPr>
      <w:vertAlign w:val="superscript"/>
    </w:rPr>
  </w:style>
  <w:style w:type="paragraph" w:customStyle="1" w:styleId="56">
    <w:name w:val="Default"/>
    <w:next w:val="1"/>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7">
    <w:name w:val="NormalCharacter"/>
    <w:semiHidden/>
    <w:qFormat/>
    <w:uiPriority w:val="0"/>
    <w:rPr>
      <w:rFonts w:ascii="Times New Roman" w:hAnsi="Times New Roman" w:eastAsia="宋体" w:cs="Times New Roman"/>
      <w:kern w:val="2"/>
      <w:sz w:val="21"/>
      <w:szCs w:val="24"/>
      <w:lang w:val="en-US" w:eastAsia="zh-CN" w:bidi="ar-SA"/>
    </w:rPr>
  </w:style>
  <w:style w:type="character" w:customStyle="1" w:styleId="58">
    <w:name w:val="标题 1 Char"/>
    <w:link w:val="2"/>
    <w:qFormat/>
    <w:uiPriority w:val="0"/>
    <w:rPr>
      <w:rFonts w:ascii="Times New Roman" w:hAnsi="Times New Roman" w:eastAsia="宋体" w:cs="Times New Roman"/>
      <w:b/>
      <w:bCs/>
      <w:kern w:val="44"/>
      <w:sz w:val="44"/>
      <w:szCs w:val="44"/>
    </w:rPr>
  </w:style>
  <w:style w:type="character" w:customStyle="1" w:styleId="59">
    <w:name w:val="标题 2 Char"/>
    <w:link w:val="3"/>
    <w:qFormat/>
    <w:uiPriority w:val="0"/>
    <w:rPr>
      <w:rFonts w:ascii="Arial" w:hAnsi="Arial" w:eastAsia="黑体" w:cs="Times New Roman"/>
      <w:b/>
      <w:bCs/>
      <w:sz w:val="32"/>
      <w:szCs w:val="32"/>
    </w:rPr>
  </w:style>
  <w:style w:type="character" w:customStyle="1" w:styleId="60">
    <w:name w:val="标题 3 Char"/>
    <w:link w:val="4"/>
    <w:qFormat/>
    <w:uiPriority w:val="0"/>
    <w:rPr>
      <w:rFonts w:ascii="Times New Roman" w:hAnsi="Times New Roman" w:eastAsia="宋体" w:cs="Times New Roman"/>
      <w:b/>
      <w:bCs/>
      <w:sz w:val="32"/>
      <w:szCs w:val="32"/>
    </w:rPr>
  </w:style>
  <w:style w:type="character" w:customStyle="1" w:styleId="61">
    <w:name w:val="标题 5 Char2"/>
    <w:link w:val="6"/>
    <w:qFormat/>
    <w:uiPriority w:val="0"/>
    <w:rPr>
      <w:b/>
      <w:kern w:val="2"/>
      <w:sz w:val="28"/>
      <w:szCs w:val="24"/>
    </w:rPr>
  </w:style>
  <w:style w:type="character" w:customStyle="1" w:styleId="62">
    <w:name w:val="标题 6 Char"/>
    <w:link w:val="8"/>
    <w:qFormat/>
    <w:uiPriority w:val="0"/>
    <w:rPr>
      <w:rFonts w:ascii="Arial" w:hAnsi="Arial" w:eastAsia="黑体"/>
      <w:b/>
      <w:kern w:val="2"/>
      <w:sz w:val="24"/>
      <w:szCs w:val="24"/>
    </w:rPr>
  </w:style>
  <w:style w:type="character" w:customStyle="1" w:styleId="63">
    <w:name w:val="标题 7 Char"/>
    <w:link w:val="9"/>
    <w:qFormat/>
    <w:uiPriority w:val="0"/>
    <w:rPr>
      <w:rFonts w:ascii="Times New Roman" w:hAnsi="Times New Roman"/>
      <w:b/>
      <w:kern w:val="2"/>
      <w:sz w:val="24"/>
      <w:szCs w:val="24"/>
    </w:rPr>
  </w:style>
  <w:style w:type="character" w:customStyle="1" w:styleId="64">
    <w:name w:val="标题 8 Char"/>
    <w:link w:val="10"/>
    <w:qFormat/>
    <w:uiPriority w:val="0"/>
    <w:rPr>
      <w:rFonts w:ascii="Arial" w:hAnsi="Arial" w:eastAsia="黑体"/>
      <w:kern w:val="2"/>
      <w:sz w:val="24"/>
      <w:szCs w:val="24"/>
    </w:rPr>
  </w:style>
  <w:style w:type="character" w:customStyle="1" w:styleId="65">
    <w:name w:val="标题 9 Char"/>
    <w:link w:val="11"/>
    <w:qFormat/>
    <w:uiPriority w:val="0"/>
    <w:rPr>
      <w:rFonts w:ascii="Arial" w:hAnsi="Arial" w:eastAsia="黑体"/>
      <w:kern w:val="2"/>
      <w:sz w:val="21"/>
      <w:szCs w:val="24"/>
    </w:rPr>
  </w:style>
  <w:style w:type="character" w:customStyle="1" w:styleId="66">
    <w:name w:val="批注文字 Char2"/>
    <w:link w:val="15"/>
    <w:qFormat/>
    <w:uiPriority w:val="0"/>
    <w:rPr>
      <w:rFonts w:ascii="Times New Roman" w:hAnsi="Times New Roman"/>
      <w:kern w:val="2"/>
      <w:sz w:val="21"/>
      <w:szCs w:val="24"/>
    </w:rPr>
  </w:style>
  <w:style w:type="character" w:customStyle="1" w:styleId="67">
    <w:name w:val="正文文本 3 Char"/>
    <w:link w:val="16"/>
    <w:qFormat/>
    <w:uiPriority w:val="0"/>
    <w:rPr>
      <w:rFonts w:ascii="Times New Roman" w:hAnsi="Times New Roman" w:eastAsia="宋体" w:cs="Times New Roman"/>
      <w:b/>
      <w:bCs/>
      <w:sz w:val="24"/>
      <w:szCs w:val="24"/>
    </w:rPr>
  </w:style>
  <w:style w:type="character" w:customStyle="1" w:styleId="68">
    <w:name w:val="正文文本 Char"/>
    <w:link w:val="17"/>
    <w:qFormat/>
    <w:uiPriority w:val="99"/>
    <w:rPr>
      <w:rFonts w:ascii="Times New Roman" w:hAnsi="Times New Roman" w:eastAsia="宋体" w:cs="Times New Roman"/>
      <w:sz w:val="24"/>
      <w:szCs w:val="24"/>
    </w:rPr>
  </w:style>
  <w:style w:type="character" w:customStyle="1" w:styleId="69">
    <w:name w:val="正文文本缩进 Char"/>
    <w:link w:val="18"/>
    <w:qFormat/>
    <w:uiPriority w:val="0"/>
    <w:rPr>
      <w:rFonts w:ascii="仿宋_GB2312" w:hAnsi="Times New Roman" w:eastAsia="仿宋_GB2312" w:cs="Times New Roman"/>
      <w:sz w:val="32"/>
      <w:szCs w:val="20"/>
    </w:rPr>
  </w:style>
  <w:style w:type="character" w:customStyle="1" w:styleId="70">
    <w:name w:val="纯文本 Char2"/>
    <w:link w:val="23"/>
    <w:qFormat/>
    <w:uiPriority w:val="0"/>
    <w:rPr>
      <w:rFonts w:ascii="宋体" w:hAnsi="Courier New" w:eastAsia="宋体" w:cs="Courier New"/>
      <w:szCs w:val="21"/>
    </w:rPr>
  </w:style>
  <w:style w:type="character" w:customStyle="1" w:styleId="71">
    <w:name w:val="日期 Char"/>
    <w:link w:val="25"/>
    <w:qFormat/>
    <w:uiPriority w:val="0"/>
    <w:rPr>
      <w:rFonts w:ascii="宋体" w:hAnsi="Courier New" w:eastAsia="宋体" w:cs="Courier New"/>
      <w:szCs w:val="21"/>
    </w:rPr>
  </w:style>
  <w:style w:type="character" w:customStyle="1" w:styleId="72">
    <w:name w:val="正文文本缩进 2 Char"/>
    <w:link w:val="26"/>
    <w:qFormat/>
    <w:uiPriority w:val="0"/>
    <w:rPr>
      <w:rFonts w:ascii="Times New Roman" w:hAnsi="Times New Roman" w:eastAsia="宋体" w:cs="Times New Roman"/>
      <w:sz w:val="32"/>
      <w:szCs w:val="20"/>
    </w:rPr>
  </w:style>
  <w:style w:type="character" w:customStyle="1" w:styleId="73">
    <w:name w:val="尾注文本 Char"/>
    <w:link w:val="27"/>
    <w:semiHidden/>
    <w:qFormat/>
    <w:uiPriority w:val="99"/>
    <w:rPr>
      <w:rFonts w:ascii="Times New Roman" w:hAnsi="Times New Roman"/>
      <w:kern w:val="2"/>
      <w:sz w:val="21"/>
      <w:szCs w:val="24"/>
    </w:rPr>
  </w:style>
  <w:style w:type="character" w:customStyle="1" w:styleId="74">
    <w:name w:val="批注框文本 Char"/>
    <w:link w:val="28"/>
    <w:semiHidden/>
    <w:qFormat/>
    <w:uiPriority w:val="99"/>
    <w:rPr>
      <w:rFonts w:ascii="Times New Roman" w:hAnsi="Times New Roman" w:eastAsia="宋体" w:cs="Times New Roman"/>
      <w:sz w:val="18"/>
      <w:szCs w:val="18"/>
    </w:rPr>
  </w:style>
  <w:style w:type="character" w:customStyle="1" w:styleId="75">
    <w:name w:val="页脚 Char"/>
    <w:link w:val="29"/>
    <w:qFormat/>
    <w:uiPriority w:val="99"/>
    <w:rPr>
      <w:sz w:val="18"/>
      <w:szCs w:val="18"/>
    </w:rPr>
  </w:style>
  <w:style w:type="character" w:customStyle="1" w:styleId="76">
    <w:name w:val="页眉 Char"/>
    <w:link w:val="30"/>
    <w:qFormat/>
    <w:uiPriority w:val="99"/>
    <w:rPr>
      <w:rFonts w:ascii="Times New Roman" w:hAnsi="Times New Roman"/>
      <w:kern w:val="2"/>
      <w:sz w:val="18"/>
      <w:szCs w:val="18"/>
    </w:rPr>
  </w:style>
  <w:style w:type="character" w:customStyle="1" w:styleId="77">
    <w:name w:val="脚注文本 Char"/>
    <w:link w:val="34"/>
    <w:semiHidden/>
    <w:qFormat/>
    <w:uiPriority w:val="99"/>
    <w:rPr>
      <w:rFonts w:ascii="Times New Roman" w:hAnsi="Times New Roman"/>
      <w:kern w:val="2"/>
      <w:sz w:val="18"/>
      <w:szCs w:val="18"/>
    </w:rPr>
  </w:style>
  <w:style w:type="character" w:customStyle="1" w:styleId="78">
    <w:name w:val="正文文本缩进 3 Char"/>
    <w:link w:val="36"/>
    <w:qFormat/>
    <w:uiPriority w:val="0"/>
    <w:rPr>
      <w:rFonts w:ascii="Times New Roman" w:hAnsi="Times New Roman" w:eastAsia="宋体" w:cs="Times New Roman"/>
      <w:sz w:val="16"/>
      <w:szCs w:val="16"/>
    </w:rPr>
  </w:style>
  <w:style w:type="character" w:customStyle="1" w:styleId="79">
    <w:name w:val="正文文本 2 Char"/>
    <w:link w:val="39"/>
    <w:qFormat/>
    <w:uiPriority w:val="0"/>
    <w:rPr>
      <w:rFonts w:ascii="Times New Roman" w:hAnsi="Times New Roman" w:eastAsia="宋体" w:cs="Times New Roman"/>
      <w:szCs w:val="24"/>
    </w:rPr>
  </w:style>
  <w:style w:type="character" w:customStyle="1" w:styleId="80">
    <w:name w:val="标题 Char"/>
    <w:link w:val="43"/>
    <w:qFormat/>
    <w:uiPriority w:val="10"/>
    <w:rPr>
      <w:rFonts w:ascii="Cambria" w:hAnsi="Cambria" w:cs="Times New Roman"/>
      <w:b/>
      <w:bCs/>
      <w:kern w:val="2"/>
      <w:sz w:val="32"/>
      <w:szCs w:val="32"/>
    </w:rPr>
  </w:style>
  <w:style w:type="character" w:customStyle="1" w:styleId="81">
    <w:name w:val="批注主题 Char"/>
    <w:link w:val="44"/>
    <w:semiHidden/>
    <w:qFormat/>
    <w:uiPriority w:val="99"/>
    <w:rPr>
      <w:rFonts w:ascii="Times New Roman" w:hAnsi="Times New Roman"/>
      <w:b/>
      <w:bCs/>
      <w:kern w:val="2"/>
      <w:sz w:val="21"/>
      <w:szCs w:val="24"/>
    </w:rPr>
  </w:style>
  <w:style w:type="character" w:customStyle="1" w:styleId="82">
    <w:name w:val="纯文本 字符1"/>
    <w:qFormat/>
    <w:uiPriority w:val="0"/>
    <w:rPr>
      <w:rFonts w:ascii="宋体" w:hAnsi="Courier New"/>
    </w:rPr>
  </w:style>
  <w:style w:type="character" w:customStyle="1" w:styleId="83">
    <w:name w:val="批注文字 Char1"/>
    <w:semiHidden/>
    <w:qFormat/>
    <w:locked/>
    <w:uiPriority w:val="0"/>
    <w:rPr>
      <w:rFonts w:ascii="Times New Roman" w:hAnsi="Times New Roman"/>
      <w:kern w:val="2"/>
      <w:sz w:val="21"/>
      <w:szCs w:val="24"/>
    </w:rPr>
  </w:style>
  <w:style w:type="character" w:customStyle="1" w:styleId="84">
    <w:name w:val="headline-content4"/>
    <w:qFormat/>
    <w:uiPriority w:val="0"/>
  </w:style>
  <w:style w:type="character" w:customStyle="1" w:styleId="85">
    <w:name w:val="批注文字 字符"/>
    <w:qFormat/>
    <w:uiPriority w:val="0"/>
    <w:rPr>
      <w:rFonts w:ascii="Times New Roman" w:hAnsi="Times New Roman"/>
      <w:kern w:val="2"/>
      <w:sz w:val="21"/>
      <w:szCs w:val="24"/>
    </w:rPr>
  </w:style>
  <w:style w:type="character" w:customStyle="1" w:styleId="86">
    <w:name w:val="标题 5 Char"/>
    <w:qFormat/>
    <w:uiPriority w:val="0"/>
    <w:rPr>
      <w:b/>
      <w:kern w:val="2"/>
      <w:sz w:val="28"/>
      <w:szCs w:val="24"/>
    </w:rPr>
  </w:style>
  <w:style w:type="character" w:customStyle="1" w:styleId="87">
    <w:name w:val="正文文本 (26) + 间距 0 pt"/>
    <w:qFormat/>
    <w:uiPriority w:val="0"/>
    <w:rPr>
      <w:rFonts w:ascii="宋体" w:hAnsi="宋体" w:eastAsia="宋体" w:cs="宋体"/>
      <w:color w:val="000000"/>
      <w:spacing w:val="0"/>
      <w:w w:val="100"/>
      <w:position w:val="0"/>
      <w:sz w:val="22"/>
      <w:szCs w:val="22"/>
      <w:u w:val="none"/>
      <w:lang w:val="zh-CN" w:eastAsia="zh-CN" w:bidi="zh-CN"/>
    </w:rPr>
  </w:style>
  <w:style w:type="character" w:customStyle="1" w:styleId="88">
    <w:name w:val="批注文字 Char"/>
    <w:qFormat/>
    <w:uiPriority w:val="99"/>
    <w:rPr>
      <w:rFonts w:ascii="Times New Roman" w:hAnsi="Times New Roman"/>
      <w:kern w:val="2"/>
      <w:sz w:val="21"/>
      <w:szCs w:val="24"/>
    </w:rPr>
  </w:style>
  <w:style w:type="character" w:customStyle="1" w:styleId="89">
    <w:name w:val="标题 1 字符"/>
    <w:qFormat/>
    <w:uiPriority w:val="9"/>
    <w:rPr>
      <w:rFonts w:ascii="Times New Roman" w:hAnsi="Times New Roman" w:eastAsia="宋体" w:cs="Times New Roman"/>
      <w:b/>
      <w:bCs/>
      <w:kern w:val="44"/>
      <w:sz w:val="44"/>
      <w:szCs w:val="44"/>
    </w:rPr>
  </w:style>
  <w:style w:type="character" w:customStyle="1" w:styleId="90">
    <w:name w:val="apple-style-span"/>
    <w:qFormat/>
    <w:uiPriority w:val="0"/>
  </w:style>
  <w:style w:type="character" w:customStyle="1" w:styleId="91">
    <w:name w:val="正文文本缩进 字符"/>
    <w:qFormat/>
    <w:uiPriority w:val="0"/>
    <w:rPr>
      <w:rFonts w:ascii="仿宋_GB2312" w:hAnsi="Times New Roman" w:eastAsia="仿宋_GB2312" w:cs="Times New Roman"/>
      <w:sz w:val="32"/>
      <w:szCs w:val="20"/>
    </w:rPr>
  </w:style>
  <w:style w:type="character" w:customStyle="1" w:styleId="92">
    <w:name w:val="case31"/>
    <w:qFormat/>
    <w:uiPriority w:val="0"/>
    <w:rPr>
      <w:rFonts w:hint="default" w:ascii="_x000B__x000C_" w:hAnsi="_x000B__x000C_"/>
      <w:sz w:val="21"/>
      <w:szCs w:val="21"/>
    </w:rPr>
  </w:style>
  <w:style w:type="character" w:customStyle="1" w:styleId="93">
    <w:name w:val="纯文本 字符"/>
    <w:qFormat/>
    <w:uiPriority w:val="0"/>
    <w:rPr>
      <w:rFonts w:ascii="宋体" w:hAnsi="Courier New" w:eastAsia="宋体" w:cs="Courier New"/>
      <w:szCs w:val="21"/>
    </w:rPr>
  </w:style>
  <w:style w:type="character" w:customStyle="1" w:styleId="94">
    <w:name w:val="textcontents"/>
    <w:qFormat/>
    <w:uiPriority w:val="0"/>
  </w:style>
  <w:style w:type="character" w:customStyle="1" w:styleId="95">
    <w:name w:val="普通文字 Char Char2"/>
    <w:qFormat/>
    <w:uiPriority w:val="0"/>
    <w:rPr>
      <w:rFonts w:ascii="宋体" w:hAnsi="Courier New" w:eastAsia="宋体"/>
      <w:kern w:val="2"/>
      <w:sz w:val="21"/>
      <w:lang w:val="en-US" w:eastAsia="zh-CN" w:bidi="ar-SA"/>
    </w:rPr>
  </w:style>
  <w:style w:type="paragraph" w:customStyle="1" w:styleId="96">
    <w:name w:val="正文段"/>
    <w:basedOn w:val="1"/>
    <w:qFormat/>
    <w:uiPriority w:val="0"/>
    <w:pPr>
      <w:widowControl/>
      <w:snapToGrid w:val="0"/>
      <w:spacing w:afterLines="50"/>
      <w:ind w:firstLine="200" w:firstLineChars="200"/>
    </w:pPr>
    <w:rPr>
      <w:kern w:val="0"/>
      <w:sz w:val="24"/>
      <w:szCs w:val="20"/>
    </w:rPr>
  </w:style>
  <w:style w:type="paragraph" w:customStyle="1" w:styleId="97">
    <w:name w:val="表内文字"/>
    <w:basedOn w:val="1"/>
    <w:qFormat/>
    <w:uiPriority w:val="0"/>
    <w:pPr>
      <w:snapToGrid w:val="0"/>
      <w:spacing w:before="50" w:after="50"/>
      <w:jc w:val="center"/>
    </w:pPr>
    <w:rPr>
      <w:rFonts w:ascii="仿宋_GB2312" w:hAnsi="宋体" w:eastAsia="仿宋_GB2312"/>
      <w:b/>
      <w:color w:val="000000"/>
      <w:sz w:val="32"/>
      <w:szCs w:val="32"/>
    </w:rPr>
  </w:style>
  <w:style w:type="paragraph" w:customStyle="1" w:styleId="98">
    <w:name w:val="默认段落字体 Para Char Char Char Char Char Char Char Char Char1 Char Char Char Char"/>
    <w:basedOn w:val="1"/>
    <w:qFormat/>
    <w:uiPriority w:val="0"/>
    <w:rPr>
      <w:rFonts w:ascii="Tahoma" w:hAnsi="Tahoma"/>
      <w:sz w:val="24"/>
      <w:szCs w:val="20"/>
    </w:rPr>
  </w:style>
  <w:style w:type="paragraph" w:customStyle="1" w:styleId="99">
    <w:name w:val="xl22"/>
    <w:basedOn w:val="1"/>
    <w:qFormat/>
    <w:uiPriority w:val="0"/>
    <w:pPr>
      <w:widowControl/>
      <w:spacing w:before="100" w:beforeAutospacing="1" w:after="100" w:afterAutospacing="1"/>
      <w:jc w:val="left"/>
    </w:pPr>
    <w:rPr>
      <w:rFonts w:ascii="Arial Unicode MS" w:hAnsi="Arial Unicode MS" w:eastAsia="Arial Unicode MS" w:cs="Arial Unicode MS"/>
      <w:kern w:val="0"/>
      <w:sz w:val="20"/>
      <w:szCs w:val="20"/>
    </w:rPr>
  </w:style>
  <w:style w:type="paragraph" w:customStyle="1" w:styleId="100">
    <w:name w:val="样式"/>
    <w:qFormat/>
    <w:uiPriority w:val="0"/>
    <w:pPr>
      <w:widowControl w:val="0"/>
      <w:autoSpaceDE w:val="0"/>
      <w:autoSpaceDN w:val="0"/>
      <w:adjustRightInd w:val="0"/>
      <w:jc w:val="center"/>
    </w:pPr>
    <w:rPr>
      <w:rFonts w:ascii="宋体" w:hAnsi="宋体" w:eastAsia="宋体" w:cs="宋体"/>
      <w:sz w:val="24"/>
      <w:szCs w:val="24"/>
      <w:lang w:val="en-US" w:eastAsia="zh-CN" w:bidi="ar-SA"/>
    </w:rPr>
  </w:style>
  <w:style w:type="paragraph" w:customStyle="1" w:styleId="101">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bCs w:val="0"/>
      <w:sz w:val="28"/>
      <w:szCs w:val="20"/>
    </w:rPr>
  </w:style>
  <w:style w:type="paragraph" w:customStyle="1" w:styleId="102">
    <w:name w:val="Table Paragraph"/>
    <w:basedOn w:val="1"/>
    <w:qFormat/>
    <w:uiPriority w:val="1"/>
    <w:pPr>
      <w:jc w:val="left"/>
    </w:pPr>
    <w:rPr>
      <w:rFonts w:ascii="Calibri" w:hAnsi="Calibri"/>
      <w:kern w:val="0"/>
      <w:sz w:val="22"/>
      <w:szCs w:val="22"/>
      <w:lang w:eastAsia="en-US"/>
    </w:rPr>
  </w:style>
  <w:style w:type="paragraph" w:customStyle="1" w:styleId="103">
    <w:name w:val="Char1"/>
    <w:basedOn w:val="1"/>
    <w:qFormat/>
    <w:uiPriority w:val="0"/>
    <w:rPr>
      <w:szCs w:val="21"/>
    </w:rPr>
  </w:style>
  <w:style w:type="paragraph" w:customStyle="1" w:styleId="104">
    <w:name w:val="正文首行缩进两字符"/>
    <w:basedOn w:val="1"/>
    <w:qFormat/>
    <w:uiPriority w:val="0"/>
    <w:pPr>
      <w:spacing w:line="360" w:lineRule="auto"/>
      <w:ind w:firstLine="200" w:firstLineChars="200"/>
    </w:pPr>
  </w:style>
  <w:style w:type="paragraph" w:customStyle="1" w:styleId="105">
    <w:name w:val="表格"/>
    <w:basedOn w:val="1"/>
    <w:qFormat/>
    <w:uiPriority w:val="0"/>
    <w:pPr>
      <w:spacing w:line="400" w:lineRule="exact"/>
    </w:pPr>
    <w:rPr>
      <w:sz w:val="24"/>
    </w:rPr>
  </w:style>
  <w:style w:type="paragraph" w:customStyle="1" w:styleId="106">
    <w:name w:val="样式 首行缩进:  2 字符"/>
    <w:basedOn w:val="1"/>
    <w:qFormat/>
    <w:uiPriority w:val="0"/>
    <w:pPr>
      <w:spacing w:line="400" w:lineRule="exact"/>
      <w:ind w:firstLine="200" w:firstLineChars="200"/>
    </w:pPr>
    <w:rPr>
      <w:rFonts w:cs="宋体"/>
      <w:sz w:val="24"/>
    </w:rPr>
  </w:style>
  <w:style w:type="paragraph" w:customStyle="1" w:styleId="107">
    <w:name w:val="纯文本1"/>
    <w:basedOn w:val="1"/>
    <w:qFormat/>
    <w:uiPriority w:val="0"/>
    <w:rPr>
      <w:rFonts w:ascii="宋体" w:hAnsi="Courier New" w:cs="Century"/>
      <w:szCs w:val="21"/>
    </w:rPr>
  </w:style>
  <w:style w:type="paragraph" w:customStyle="1" w:styleId="108">
    <w:name w:val="样式 标题 3 + (中文) 黑体 小四 非加粗 段前: 7.8 磅 段后: 0 磅 行距: 固定值 20 磅"/>
    <w:basedOn w:val="4"/>
    <w:qFormat/>
    <w:uiPriority w:val="0"/>
    <w:pPr>
      <w:spacing w:before="0" w:after="0" w:line="400" w:lineRule="exact"/>
    </w:pPr>
    <w:rPr>
      <w:rFonts w:eastAsia="黑体" w:cs="宋体"/>
      <w:b w:val="0"/>
      <w:bCs w:val="0"/>
      <w:sz w:val="24"/>
      <w:szCs w:val="20"/>
    </w:rPr>
  </w:style>
  <w:style w:type="paragraph" w:styleId="109">
    <w:name w:val="List Paragraph"/>
    <w:basedOn w:val="1"/>
    <w:qFormat/>
    <w:uiPriority w:val="34"/>
    <w:pPr>
      <w:ind w:firstLine="420" w:firstLineChars="200"/>
    </w:pPr>
  </w:style>
  <w:style w:type="table" w:customStyle="1" w:styleId="110">
    <w:name w:val="Table Normal"/>
    <w:semiHidden/>
    <w:qFormat/>
    <w:uiPriority w:val="2"/>
    <w:pPr>
      <w:widowControl w:val="0"/>
    </w:pPr>
    <w:rPr>
      <w:rFonts w:ascii="Calibri" w:hAnsi="Calibri" w:eastAsia="Times New Roman"/>
      <w:sz w:val="22"/>
      <w:szCs w:val="22"/>
      <w:lang w:eastAsia="en-US"/>
    </w:rPr>
    <w:tblPr>
      <w:tblCellMar>
        <w:top w:w="0" w:type="dxa"/>
        <w:left w:w="0" w:type="dxa"/>
        <w:bottom w:w="0" w:type="dxa"/>
        <w:right w:w="0" w:type="dxa"/>
      </w:tblCellMar>
    </w:tblPr>
  </w:style>
  <w:style w:type="character" w:customStyle="1" w:styleId="111">
    <w:name w:val="纯文本 Char1"/>
    <w:qFormat/>
    <w:uiPriority w:val="0"/>
    <w:rPr>
      <w:rFonts w:ascii="宋体" w:hAnsi="Courier New" w:eastAsia="宋体" w:cs="Courier New"/>
      <w:szCs w:val="21"/>
    </w:rPr>
  </w:style>
  <w:style w:type="character" w:customStyle="1" w:styleId="112">
    <w:name w:val="标题 5 Char1"/>
    <w:qFormat/>
    <w:uiPriority w:val="0"/>
    <w:rPr>
      <w:b/>
      <w:kern w:val="2"/>
      <w:sz w:val="28"/>
      <w:szCs w:val="24"/>
    </w:rPr>
  </w:style>
  <w:style w:type="character" w:customStyle="1" w:styleId="113">
    <w:name w:val="批注文字 字符2"/>
    <w:qFormat/>
    <w:uiPriority w:val="0"/>
    <w:rPr>
      <w:rFonts w:ascii="Times New Roman" w:hAnsi="Times New Roman"/>
      <w:kern w:val="2"/>
      <w:sz w:val="21"/>
      <w:szCs w:val="24"/>
    </w:rPr>
  </w:style>
  <w:style w:type="character" w:customStyle="1" w:styleId="114">
    <w:name w:val="纯文本 Char"/>
    <w:qFormat/>
    <w:uiPriority w:val="0"/>
    <w:rPr>
      <w:rFonts w:ascii="宋体" w:hAnsi="Courier New" w:eastAsia="宋体" w:cs="Courier New"/>
      <w:szCs w:val="21"/>
    </w:rPr>
  </w:style>
  <w:style w:type="paragraph" w:customStyle="1" w:styleId="115">
    <w:name w:val="正文2"/>
    <w:basedOn w:val="1"/>
    <w:qFormat/>
    <w:uiPriority w:val="0"/>
    <w:pPr>
      <w:adjustRightInd w:val="0"/>
      <w:spacing w:before="156" w:line="360" w:lineRule="auto"/>
      <w:ind w:firstLine="510" w:firstLineChars="200"/>
    </w:pPr>
    <w:rPr>
      <w:sz w:val="24"/>
      <w:szCs w:val="20"/>
    </w:rPr>
  </w:style>
  <w:style w:type="character" w:customStyle="1" w:styleId="116">
    <w:name w:val="fontstyle01"/>
    <w:qFormat/>
    <w:uiPriority w:val="0"/>
    <w:rPr>
      <w:rFonts w:hint="eastAsia" w:ascii="宋体" w:hAnsi="宋体" w:eastAsia="宋体" w:cs="Times New Roman"/>
      <w:color w:val="000000"/>
      <w:sz w:val="22"/>
      <w:szCs w:val="22"/>
    </w:rPr>
  </w:style>
  <w:style w:type="paragraph" w:customStyle="1" w:styleId="117">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118">
    <w:name w:val="表格文字"/>
    <w:basedOn w:val="1"/>
    <w:qFormat/>
    <w:uiPriority w:val="99"/>
    <w:pPr>
      <w:spacing w:before="25" w:after="25"/>
    </w:pPr>
    <w:rPr>
      <w:bCs/>
      <w:spacing w:val="10"/>
      <w:sz w:val="24"/>
    </w:rPr>
  </w:style>
  <w:style w:type="paragraph" w:styleId="119">
    <w:name w:val="No Spacing"/>
    <w:qFormat/>
    <w:uiPriority w:val="1"/>
    <w:rPr>
      <w:rFonts w:ascii="Calibri" w:hAnsi="Calibri" w:eastAsia="宋体" w:cs="Times New Roman"/>
      <w:sz w:val="22"/>
      <w:szCs w:val="22"/>
      <w:lang w:val="en-US" w:eastAsia="en-US" w:bidi="en-US"/>
    </w:rPr>
  </w:style>
  <w:style w:type="paragraph" w:customStyle="1" w:styleId="120">
    <w:name w:val="无间隔1"/>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121">
    <w:name w:val="纯文本11"/>
    <w:basedOn w:val="1"/>
    <w:qFormat/>
    <w:uiPriority w:val="0"/>
    <w:rPr>
      <w:rFonts w:ascii="宋体" w:hAnsi="Courier New"/>
      <w:szCs w:val="20"/>
    </w:rPr>
  </w:style>
  <w:style w:type="paragraph" w:customStyle="1" w:styleId="122">
    <w:name w:val="null3"/>
    <w:qFormat/>
    <w:uiPriority w:val="0"/>
    <w:rPr>
      <w:rFonts w:ascii="Times New Roman" w:hAnsi="Times New Roman" w:eastAsia="宋体" w:cs="Times New Roman"/>
      <w:lang w:val="en-US" w:eastAsia="zh-CN" w:bidi="ar-SA"/>
    </w:rPr>
  </w:style>
  <w:style w:type="character" w:customStyle="1" w:styleId="123">
    <w:name w:val="bookmark-item"/>
    <w:basedOn w:val="49"/>
    <w:qFormat/>
    <w:uiPriority w:val="0"/>
  </w:style>
  <w:style w:type="paragraph" w:customStyle="1" w:styleId="124">
    <w:name w:val="正文文本1"/>
    <w:basedOn w:val="1"/>
    <w:qFormat/>
    <w:uiPriority w:val="0"/>
    <w:pPr>
      <w:shd w:val="clear" w:color="auto" w:fill="FFFFFF"/>
      <w:spacing w:line="302" w:lineRule="exact"/>
      <w:ind w:firstLine="460"/>
      <w:jc w:val="left"/>
    </w:pPr>
    <w:rPr>
      <w:rFonts w:ascii="MingLiU" w:hAnsi="MingLiU" w:eastAsia="MingLiU"/>
      <w:spacing w:val="9"/>
      <w:kern w:val="0"/>
      <w:sz w:val="19"/>
      <w:szCs w:val="19"/>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1.jpeg"/><Relationship Id="rId18" Type="http://schemas.openxmlformats.org/officeDocument/2006/relationships/theme" Target="theme/theme1.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header" Target="header4.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76</Pages>
  <Words>21542</Words>
  <Characters>23061</Characters>
  <Lines>46</Lines>
  <Paragraphs>95</Paragraphs>
  <TotalTime>56</TotalTime>
  <ScaleCrop>false</ScaleCrop>
  <LinksUpToDate>false</LinksUpToDate>
  <CharactersWithSpaces>23399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2024-11-27T11:56:00Z</dcterms:created>
  <dc:creator>番茄花园</dc:creator>
  <cp:lastModifiedBy>Administrator</cp:lastModifiedBy>
  <cp:lastPrinted>2024-12-04T02:08:00Z</cp:lastPrinted>
  <dcterms:modified xsi:type="dcterms:W3CDTF">2025-03-28T10:48:27Z</dcterms:modified>
  <dc:title>公开招标采购文件范本</dc:title>
  <cp:revision>158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4115EDB55B8C4E7DBA448C478BEB7F87_13</vt:lpwstr>
  </property>
  <property fmtid="{D5CDD505-2E9C-101B-9397-08002B2CF9AE}" pid="4" name="KSOTemplateDocerSaveRecord">
    <vt:lpwstr>eyJoZGlkIjoiYmYwOWI1ODAxMDFmYWI5ODdmNDI1MThjMWFjZDkxOTMifQ==</vt:lpwstr>
  </property>
</Properties>
</file>