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74DA">
      <w:pPr>
        <w:spacing w:line="360" w:lineRule="auto"/>
        <w:ind w:firstLine="0" w:firstLineChars="0"/>
        <w:jc w:val="left"/>
        <w:rPr>
          <w:rFonts w:hint="eastAsia" w:ascii="宋体" w:hAnsi="宋体"/>
          <w:b/>
          <w:color w:val="000000"/>
          <w:sz w:val="32"/>
          <w:szCs w:val="32"/>
        </w:rPr>
      </w:pPr>
      <w:r>
        <w:rPr>
          <w:rFonts w:hint="eastAsia" w:ascii="宋体" w:hAnsi="宋体"/>
          <w:b/>
          <w:color w:val="000000"/>
          <w:sz w:val="32"/>
          <w:szCs w:val="32"/>
        </w:rPr>
        <w:t>附件</w:t>
      </w:r>
      <w:r>
        <w:rPr>
          <w:rFonts w:hint="eastAsia" w:ascii="宋体" w:hAnsi="宋体"/>
          <w:b/>
          <w:color w:val="000000"/>
          <w:sz w:val="32"/>
          <w:szCs w:val="32"/>
          <w:lang w:val="en-US" w:eastAsia="zh-CN"/>
        </w:rPr>
        <w:t>2</w:t>
      </w:r>
      <w:r>
        <w:rPr>
          <w:rFonts w:hint="eastAsia" w:ascii="宋体" w:hAnsi="宋体"/>
          <w:b/>
          <w:color w:val="000000"/>
          <w:sz w:val="32"/>
          <w:szCs w:val="32"/>
        </w:rPr>
        <w:t>：</w:t>
      </w:r>
      <w:bookmarkStart w:id="0" w:name="_GoBack"/>
      <w:bookmarkEnd w:id="0"/>
    </w:p>
    <w:p w14:paraId="2B508D5F">
      <w:pPr>
        <w:spacing w:line="360" w:lineRule="auto"/>
        <w:ind w:firstLine="0" w:firstLineChars="0"/>
        <w:jc w:val="center"/>
        <w:rPr>
          <w:rFonts w:hint="eastAsia" w:ascii="宋体" w:hAnsi="宋体"/>
          <w:b/>
          <w:color w:val="000000"/>
          <w:sz w:val="32"/>
          <w:szCs w:val="32"/>
        </w:rPr>
      </w:pPr>
      <w:r>
        <w:rPr>
          <w:rFonts w:hint="eastAsia" w:ascii="宋体" w:hAnsi="宋体"/>
          <w:b/>
          <w:color w:val="000000"/>
          <w:sz w:val="32"/>
          <w:szCs w:val="32"/>
        </w:rPr>
        <w:t>二、评审标准</w:t>
      </w:r>
    </w:p>
    <w:p w14:paraId="62721B72">
      <w:pPr>
        <w:spacing w:line="360" w:lineRule="auto"/>
        <w:ind w:firstLine="420"/>
        <w:rPr>
          <w:rFonts w:hint="eastAsia" w:ascii="宋体" w:hAnsi="宋体"/>
          <w:bCs/>
          <w:color w:val="000000"/>
          <w:szCs w:val="21"/>
        </w:rPr>
      </w:pPr>
      <w:r>
        <w:rPr>
          <w:rFonts w:hint="eastAsia" w:ascii="宋体" w:hAnsi="宋体"/>
          <w:bCs/>
          <w:color w:val="000000"/>
          <w:szCs w:val="21"/>
        </w:rPr>
        <w:t>6.评审依据：磋商小组将以竞争性磋商文件为评审依据，对供应商的响应文件按百分制打分。（计分方法按四舍五入取至百分位）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01"/>
        <w:gridCol w:w="7230"/>
      </w:tblGrid>
      <w:tr w14:paraId="456C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4B1DA4C5">
            <w:pPr>
              <w:adjustRightInd w:val="0"/>
              <w:spacing w:line="360" w:lineRule="auto"/>
              <w:ind w:firstLine="0" w:firstLineChars="0"/>
              <w:jc w:val="center"/>
              <w:textAlignment w:val="baseline"/>
              <w:rPr>
                <w:rFonts w:ascii="宋体" w:hAnsi="宋体" w:cs="宋体"/>
                <w:color w:val="000000"/>
                <w:szCs w:val="21"/>
              </w:rPr>
            </w:pPr>
            <w:r>
              <w:rPr>
                <w:rFonts w:hint="eastAsia" w:ascii="宋体" w:hAnsi="宋体" w:cs="宋体"/>
                <w:b/>
                <w:color w:val="000000"/>
                <w:szCs w:val="21"/>
              </w:rPr>
              <w:t>序号</w:t>
            </w:r>
          </w:p>
        </w:tc>
        <w:tc>
          <w:tcPr>
            <w:tcW w:w="1701" w:type="dxa"/>
            <w:noWrap w:val="0"/>
            <w:vAlign w:val="center"/>
          </w:tcPr>
          <w:p w14:paraId="34E3B461">
            <w:pPr>
              <w:adjustRightInd w:val="0"/>
              <w:spacing w:line="360" w:lineRule="auto"/>
              <w:ind w:firstLine="0" w:firstLineChars="0"/>
              <w:jc w:val="center"/>
              <w:textAlignment w:val="baseline"/>
              <w:rPr>
                <w:rFonts w:ascii="宋体" w:hAnsi="宋体" w:cs="宋体"/>
                <w:color w:val="000000"/>
                <w:szCs w:val="21"/>
              </w:rPr>
            </w:pPr>
            <w:r>
              <w:rPr>
                <w:rFonts w:hint="eastAsia" w:ascii="宋体" w:hAnsi="宋体" w:cs="宋体"/>
                <w:b/>
                <w:color w:val="000000"/>
                <w:szCs w:val="21"/>
              </w:rPr>
              <w:t>评</w:t>
            </w:r>
            <w:r>
              <w:rPr>
                <w:rFonts w:hint="eastAsia" w:ascii="宋体" w:hAnsi="宋体" w:cs="Tahoma"/>
                <w:b/>
                <w:bCs/>
                <w:color w:val="000000"/>
                <w:kern w:val="0"/>
                <w:szCs w:val="21"/>
              </w:rPr>
              <w:t>审</w:t>
            </w:r>
            <w:r>
              <w:rPr>
                <w:rFonts w:hint="eastAsia" w:ascii="宋体" w:hAnsi="宋体" w:cs="宋体"/>
                <w:b/>
                <w:color w:val="000000"/>
                <w:szCs w:val="21"/>
              </w:rPr>
              <w:t>因素</w:t>
            </w:r>
          </w:p>
        </w:tc>
        <w:tc>
          <w:tcPr>
            <w:tcW w:w="7230" w:type="dxa"/>
            <w:noWrap w:val="0"/>
            <w:vAlign w:val="center"/>
          </w:tcPr>
          <w:p w14:paraId="4816713B">
            <w:pPr>
              <w:adjustRightInd w:val="0"/>
              <w:spacing w:line="360" w:lineRule="auto"/>
              <w:ind w:firstLine="0" w:firstLineChars="0"/>
              <w:jc w:val="center"/>
              <w:textAlignment w:val="baseline"/>
              <w:rPr>
                <w:rFonts w:ascii="宋体" w:hAnsi="宋体" w:cs="宋体"/>
                <w:color w:val="000000"/>
                <w:szCs w:val="21"/>
              </w:rPr>
            </w:pPr>
            <w:r>
              <w:rPr>
                <w:rFonts w:hint="eastAsia" w:ascii="宋体" w:hAnsi="宋体" w:cs="Tahoma"/>
                <w:b/>
                <w:bCs/>
                <w:color w:val="000000"/>
                <w:kern w:val="0"/>
                <w:szCs w:val="21"/>
              </w:rPr>
              <w:t>评审因素具体内容</w:t>
            </w:r>
          </w:p>
        </w:tc>
      </w:tr>
      <w:tr w14:paraId="390F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7F7612FA">
            <w:pPr>
              <w:adjustRightInd w:val="0"/>
              <w:spacing w:line="360" w:lineRule="auto"/>
              <w:ind w:firstLine="0" w:firstLineChars="0"/>
              <w:jc w:val="center"/>
              <w:textAlignment w:val="baseline"/>
              <w:rPr>
                <w:rFonts w:ascii="宋体" w:hAnsi="宋体" w:cs="宋体"/>
                <w:color w:val="000000"/>
                <w:szCs w:val="21"/>
              </w:rPr>
            </w:pPr>
            <w:r>
              <w:rPr>
                <w:rFonts w:hint="eastAsia" w:ascii="宋体" w:hAnsi="宋体" w:cs="宋体"/>
                <w:color w:val="000000"/>
                <w:szCs w:val="21"/>
              </w:rPr>
              <w:t>1</w:t>
            </w:r>
          </w:p>
        </w:tc>
        <w:tc>
          <w:tcPr>
            <w:tcW w:w="1701" w:type="dxa"/>
            <w:noWrap w:val="0"/>
            <w:vAlign w:val="center"/>
          </w:tcPr>
          <w:p w14:paraId="4F6D40A7">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价格分</w:t>
            </w:r>
          </w:p>
          <w:p w14:paraId="4837D58A">
            <w:pPr>
              <w:adjustRightInd w:val="0"/>
              <w:spacing w:line="360" w:lineRule="auto"/>
              <w:ind w:firstLine="0" w:firstLineChars="0"/>
              <w:jc w:val="center"/>
              <w:textAlignment w:val="baseline"/>
              <w:rPr>
                <w:rFonts w:ascii="宋体" w:hAnsi="宋体" w:cs="宋体"/>
                <w:color w:val="000000"/>
                <w:szCs w:val="21"/>
              </w:rPr>
            </w:pPr>
            <w:r>
              <w:rPr>
                <w:rFonts w:hint="eastAsia" w:ascii="宋体" w:hAnsi="宋体" w:cs="宋体"/>
                <w:color w:val="000000"/>
                <w:szCs w:val="21"/>
              </w:rPr>
              <w:t>（满分</w:t>
            </w:r>
            <w:r>
              <w:rPr>
                <w:rFonts w:ascii="宋体" w:hAnsi="宋体" w:cs="宋体"/>
                <w:color w:val="000000"/>
                <w:szCs w:val="21"/>
              </w:rPr>
              <w:t>10</w:t>
            </w:r>
            <w:r>
              <w:rPr>
                <w:rFonts w:hint="eastAsia" w:ascii="宋体" w:hAnsi="宋体" w:cs="宋体"/>
                <w:color w:val="000000"/>
                <w:szCs w:val="21"/>
              </w:rPr>
              <w:t>分）</w:t>
            </w:r>
          </w:p>
        </w:tc>
        <w:tc>
          <w:tcPr>
            <w:tcW w:w="7230" w:type="dxa"/>
            <w:noWrap w:val="0"/>
            <w:vAlign w:val="center"/>
          </w:tcPr>
          <w:p w14:paraId="674586D1">
            <w:pPr>
              <w:spacing w:line="360" w:lineRule="auto"/>
              <w:ind w:firstLine="420"/>
              <w:rPr>
                <w:rFonts w:hint="eastAsia" w:ascii="宋体" w:hAnsi="宋体" w:cs="Courier New"/>
                <w:color w:val="000000"/>
                <w:szCs w:val="21"/>
              </w:rPr>
            </w:pPr>
            <w:r>
              <w:rPr>
                <w:rFonts w:hint="eastAsia" w:ascii="宋体" w:hAnsi="宋体" w:cs="Courier New"/>
                <w:color w:val="000000"/>
                <w:szCs w:val="21"/>
              </w:rPr>
              <w:t>（1）以有效的最低的最后报价为基准价，基准价报价得分为</w:t>
            </w:r>
            <w:r>
              <w:rPr>
                <w:rFonts w:ascii="宋体" w:hAnsi="宋体" w:cs="Courier New"/>
                <w:color w:val="000000"/>
                <w:szCs w:val="21"/>
              </w:rPr>
              <w:t>10</w:t>
            </w:r>
            <w:r>
              <w:rPr>
                <w:rFonts w:hint="eastAsia" w:ascii="宋体" w:hAnsi="宋体" w:cs="Courier New"/>
                <w:color w:val="000000"/>
                <w:szCs w:val="21"/>
              </w:rPr>
              <w:t>分。</w:t>
            </w:r>
          </w:p>
          <w:p w14:paraId="425624C2">
            <w:pPr>
              <w:spacing w:line="360" w:lineRule="auto"/>
              <w:ind w:firstLine="420"/>
              <w:rPr>
                <w:rFonts w:hint="eastAsia" w:ascii="宋体" w:hAnsi="宋体" w:cs="Courier New"/>
                <w:color w:val="000000"/>
                <w:szCs w:val="21"/>
              </w:rPr>
            </w:pPr>
            <w:r>
              <w:rPr>
                <w:rFonts w:hint="eastAsia" w:ascii="宋体" w:hAnsi="宋体" w:cs="Courier New"/>
                <w:color w:val="000000"/>
                <w:szCs w:val="21"/>
              </w:rPr>
              <w:t>（2）价格分计算公式：</w:t>
            </w:r>
          </w:p>
          <w:p w14:paraId="51F8B862">
            <w:pPr>
              <w:spacing w:line="360" w:lineRule="auto"/>
              <w:ind w:firstLine="420"/>
              <w:rPr>
                <w:rFonts w:ascii="宋体" w:hAnsi="宋体" w:cs="Courier New"/>
                <w:color w:val="000000"/>
                <w:szCs w:val="21"/>
              </w:rPr>
            </w:pPr>
            <w:r>
              <w:rPr>
                <w:rFonts w:hint="eastAsia" w:ascii="宋体" w:hAnsi="宋体" w:cs="Courier New"/>
                <w:color w:val="000000"/>
                <w:szCs w:val="21"/>
              </w:rPr>
              <w:t>某供应商价格分=基准价/某供应商最后报价×</w:t>
            </w:r>
            <w:r>
              <w:rPr>
                <w:rFonts w:ascii="宋体" w:hAnsi="宋体" w:cs="Courier New"/>
                <w:color w:val="000000"/>
                <w:szCs w:val="21"/>
              </w:rPr>
              <w:t>10</w:t>
            </w:r>
            <w:r>
              <w:rPr>
                <w:rFonts w:hint="eastAsia" w:ascii="宋体" w:hAnsi="宋体" w:cs="Courier New"/>
                <w:color w:val="000000"/>
                <w:szCs w:val="21"/>
              </w:rPr>
              <w:t>分。</w:t>
            </w:r>
          </w:p>
        </w:tc>
      </w:tr>
      <w:tr w14:paraId="685D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43482E71">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2</w:t>
            </w:r>
          </w:p>
        </w:tc>
        <w:tc>
          <w:tcPr>
            <w:tcW w:w="1701" w:type="dxa"/>
            <w:noWrap w:val="0"/>
            <w:vAlign w:val="center"/>
          </w:tcPr>
          <w:p w14:paraId="4A17B9BE">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技术分</w:t>
            </w:r>
          </w:p>
          <w:p w14:paraId="3C440B3B">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（满分76分）</w:t>
            </w:r>
          </w:p>
        </w:tc>
        <w:tc>
          <w:tcPr>
            <w:tcW w:w="7230" w:type="dxa"/>
            <w:noWrap w:val="0"/>
            <w:vAlign w:val="center"/>
          </w:tcPr>
          <w:p w14:paraId="051C26AC">
            <w:pPr>
              <w:adjustRightInd w:val="0"/>
              <w:spacing w:line="360" w:lineRule="auto"/>
              <w:ind w:firstLine="33" w:firstLineChars="16"/>
              <w:jc w:val="center"/>
              <w:rPr>
                <w:rFonts w:hint="eastAsia" w:ascii="宋体" w:hAnsi="宋体" w:cs="宋体"/>
                <w:bCs/>
                <w:color w:val="000000"/>
                <w:szCs w:val="21"/>
              </w:rPr>
            </w:pPr>
            <w:r>
              <w:rPr>
                <w:rFonts w:hint="eastAsia" w:ascii="宋体" w:hAnsi="宋体" w:cs="宋体"/>
                <w:bCs/>
                <w:color w:val="000000"/>
                <w:szCs w:val="21"/>
              </w:rPr>
              <w:t>评审因素</w:t>
            </w:r>
          </w:p>
        </w:tc>
      </w:tr>
      <w:tr w14:paraId="7D61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9FE8142">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1701" w:type="dxa"/>
            <w:noWrap w:val="0"/>
            <w:vAlign w:val="center"/>
          </w:tcPr>
          <w:p w14:paraId="2E83B0CC">
            <w:pPr>
              <w:spacing w:line="360" w:lineRule="auto"/>
              <w:ind w:left="-107" w:leftChars="-51" w:firstLine="31" w:firstLineChars="15"/>
              <w:jc w:val="center"/>
              <w:rPr>
                <w:rFonts w:hint="eastAsia" w:ascii="宋体" w:hAnsi="宋体" w:cs="宋体"/>
                <w:color w:val="000000"/>
                <w:szCs w:val="21"/>
              </w:rPr>
            </w:pPr>
            <w:r>
              <w:rPr>
                <w:rFonts w:hint="eastAsia" w:ascii="宋体" w:hAnsi="宋体" w:cs="宋体"/>
                <w:color w:val="000000"/>
                <w:szCs w:val="21"/>
              </w:rPr>
              <w:t>服务方案分</w:t>
            </w:r>
          </w:p>
          <w:p w14:paraId="3D69FB23">
            <w:pPr>
              <w:spacing w:line="360" w:lineRule="auto"/>
              <w:ind w:left="-107" w:leftChars="-51" w:firstLine="31" w:firstLineChars="15"/>
              <w:jc w:val="center"/>
              <w:rPr>
                <w:rFonts w:hint="eastAsia" w:ascii="宋体" w:hAnsi="宋体"/>
                <w:color w:val="000000"/>
              </w:rPr>
            </w:pPr>
            <w:r>
              <w:rPr>
                <w:rFonts w:hint="eastAsia" w:ascii="宋体" w:hAnsi="宋体" w:cs="宋体"/>
                <w:color w:val="000000"/>
                <w:szCs w:val="21"/>
              </w:rPr>
              <w:t>（满分</w:t>
            </w:r>
            <w:r>
              <w:rPr>
                <w:rFonts w:ascii="宋体" w:hAnsi="宋体" w:cs="宋体"/>
                <w:color w:val="000000"/>
                <w:szCs w:val="21"/>
              </w:rPr>
              <w:t>17</w:t>
            </w:r>
            <w:r>
              <w:rPr>
                <w:rFonts w:hint="eastAsia" w:ascii="宋体" w:hAnsi="宋体" w:cs="宋体"/>
                <w:color w:val="000000"/>
                <w:szCs w:val="21"/>
              </w:rPr>
              <w:t>分）</w:t>
            </w:r>
          </w:p>
        </w:tc>
        <w:tc>
          <w:tcPr>
            <w:tcW w:w="7230" w:type="dxa"/>
            <w:noWrap w:val="0"/>
            <w:vAlign w:val="center"/>
          </w:tcPr>
          <w:p w14:paraId="2DE64430">
            <w:pPr>
              <w:pStyle w:val="5"/>
              <w:spacing w:line="360" w:lineRule="auto"/>
              <w:ind w:firstLine="420"/>
              <w:rPr>
                <w:rFonts w:cs="宋体"/>
                <w:bCs/>
                <w:color w:val="000000"/>
                <w:sz w:val="21"/>
              </w:rPr>
            </w:pPr>
            <w:r>
              <w:rPr>
                <w:rFonts w:hint="eastAsia" w:cs="宋体"/>
                <w:bCs/>
                <w:color w:val="000000"/>
                <w:sz w:val="21"/>
              </w:rPr>
              <w:t>由评委根据各</w:t>
            </w:r>
            <w:r>
              <w:rPr>
                <w:rFonts w:hint="eastAsia"/>
                <w:bCs/>
                <w:color w:val="000000"/>
                <w:kern w:val="2"/>
                <w:sz w:val="21"/>
                <w:szCs w:val="20"/>
              </w:rPr>
              <w:t>供应商提供的针对</w:t>
            </w:r>
            <w:r>
              <w:rPr>
                <w:rFonts w:hint="eastAsia" w:cs="宋体"/>
                <w:bCs/>
                <w:color w:val="000000"/>
                <w:sz w:val="21"/>
              </w:rPr>
              <w:t>本项目的服务要求、实施目标和具体特点作出的服务方案进行评分，内容包括但不限于：服务流程和服务计划、服务能力、项目重点难点分析与应对措施、质量保障与应急措施、安全保障。</w:t>
            </w:r>
          </w:p>
          <w:p w14:paraId="1762A83C">
            <w:pPr>
              <w:pStyle w:val="5"/>
              <w:spacing w:line="360" w:lineRule="auto"/>
              <w:ind w:firstLine="420"/>
              <w:rPr>
                <w:rFonts w:hint="eastAsia"/>
                <w:bCs/>
                <w:color w:val="000000"/>
                <w:kern w:val="2"/>
                <w:sz w:val="21"/>
                <w:szCs w:val="20"/>
              </w:rPr>
            </w:pPr>
            <w:r>
              <w:rPr>
                <w:rFonts w:hint="eastAsia"/>
                <w:bCs/>
                <w:color w:val="000000"/>
                <w:kern w:val="2"/>
                <w:sz w:val="21"/>
                <w:szCs w:val="20"/>
              </w:rPr>
              <w:t>一档（0分）：未提供方案或方案不可行，对流程计划、服务能力、质量保障</w:t>
            </w:r>
            <w:r>
              <w:rPr>
                <w:rFonts w:hint="eastAsia" w:cs="宋体"/>
                <w:bCs/>
                <w:color w:val="000000"/>
                <w:sz w:val="21"/>
              </w:rPr>
              <w:t>与应急措施</w:t>
            </w:r>
            <w:r>
              <w:rPr>
                <w:rFonts w:hint="eastAsia"/>
                <w:bCs/>
                <w:color w:val="000000"/>
                <w:kern w:val="2"/>
                <w:sz w:val="21"/>
                <w:szCs w:val="20"/>
              </w:rPr>
              <w:t>、安全保障响应较差。</w:t>
            </w:r>
          </w:p>
          <w:p w14:paraId="51AA738D">
            <w:pPr>
              <w:pStyle w:val="5"/>
              <w:spacing w:line="360" w:lineRule="auto"/>
              <w:ind w:firstLine="420"/>
              <w:rPr>
                <w:rFonts w:hint="eastAsia"/>
                <w:bCs/>
                <w:color w:val="000000"/>
                <w:kern w:val="2"/>
                <w:sz w:val="21"/>
                <w:szCs w:val="20"/>
              </w:rPr>
            </w:pPr>
            <w:r>
              <w:rPr>
                <w:rFonts w:hint="eastAsia"/>
                <w:bCs/>
                <w:color w:val="000000"/>
                <w:kern w:val="2"/>
                <w:sz w:val="21"/>
                <w:szCs w:val="20"/>
              </w:rPr>
              <w:t>二档（5分）：提供的方案简略，项目理解、服务定位、管理理念存在偏差，或对服务特点、难点问题没有具体分析，对流程计划、服务能力、质量保障</w:t>
            </w:r>
            <w:r>
              <w:rPr>
                <w:rFonts w:hint="eastAsia" w:cs="宋体"/>
                <w:bCs/>
                <w:color w:val="000000"/>
                <w:sz w:val="21"/>
              </w:rPr>
              <w:t>与应急措施</w:t>
            </w:r>
            <w:r>
              <w:rPr>
                <w:rFonts w:hint="eastAsia"/>
                <w:bCs/>
                <w:color w:val="000000"/>
                <w:kern w:val="2"/>
                <w:sz w:val="21"/>
                <w:szCs w:val="20"/>
              </w:rPr>
              <w:t>、安全保障仅部分响应。</w:t>
            </w:r>
          </w:p>
          <w:p w14:paraId="61F33B4B">
            <w:pPr>
              <w:pStyle w:val="5"/>
              <w:spacing w:line="360" w:lineRule="auto"/>
              <w:ind w:firstLine="420"/>
              <w:rPr>
                <w:rFonts w:hint="eastAsia"/>
                <w:bCs/>
                <w:color w:val="000000"/>
                <w:kern w:val="2"/>
                <w:sz w:val="21"/>
                <w:szCs w:val="20"/>
              </w:rPr>
            </w:pPr>
            <w:r>
              <w:rPr>
                <w:rFonts w:hint="eastAsia"/>
                <w:bCs/>
                <w:color w:val="000000"/>
                <w:kern w:val="2"/>
                <w:sz w:val="21"/>
                <w:szCs w:val="20"/>
              </w:rPr>
              <w:t>三档（</w:t>
            </w:r>
            <w:r>
              <w:rPr>
                <w:bCs/>
                <w:color w:val="000000"/>
                <w:kern w:val="2"/>
                <w:sz w:val="21"/>
                <w:szCs w:val="20"/>
              </w:rPr>
              <w:t>9</w:t>
            </w:r>
            <w:r>
              <w:rPr>
                <w:rFonts w:hint="eastAsia"/>
                <w:bCs/>
                <w:color w:val="000000"/>
                <w:kern w:val="2"/>
                <w:sz w:val="21"/>
                <w:szCs w:val="20"/>
              </w:rPr>
              <w:t>分）：提供的方案较</w:t>
            </w:r>
            <w:r>
              <w:rPr>
                <w:rFonts w:hint="eastAsia" w:cs="宋体"/>
                <w:bCs/>
                <w:color w:val="000000"/>
                <w:sz w:val="21"/>
              </w:rPr>
              <w:t>详细，项目理解、服务定位、管理理念基本正确，对服务特点、难点问题有简单分析，对流程计划、服务能力、质量保障与应急措施、安全保</w:t>
            </w:r>
            <w:r>
              <w:rPr>
                <w:rFonts w:hint="eastAsia"/>
                <w:bCs/>
                <w:color w:val="000000"/>
                <w:kern w:val="2"/>
                <w:sz w:val="21"/>
                <w:szCs w:val="20"/>
              </w:rPr>
              <w:t>障基本</w:t>
            </w:r>
            <w:r>
              <w:rPr>
                <w:rFonts w:hint="eastAsia" w:cs="宋体"/>
                <w:bCs/>
                <w:color w:val="000000"/>
                <w:sz w:val="21"/>
              </w:rPr>
              <w:t>响应</w:t>
            </w:r>
            <w:r>
              <w:rPr>
                <w:rFonts w:hint="eastAsia"/>
                <w:bCs/>
                <w:color w:val="000000"/>
                <w:kern w:val="2"/>
                <w:sz w:val="21"/>
                <w:szCs w:val="20"/>
              </w:rPr>
              <w:t>。</w:t>
            </w:r>
          </w:p>
          <w:p w14:paraId="1956E22C">
            <w:pPr>
              <w:pStyle w:val="5"/>
              <w:spacing w:line="360" w:lineRule="auto"/>
              <w:ind w:firstLine="420"/>
              <w:rPr>
                <w:rFonts w:hint="eastAsia"/>
                <w:bCs/>
                <w:color w:val="000000"/>
                <w:kern w:val="2"/>
                <w:sz w:val="21"/>
                <w:szCs w:val="20"/>
              </w:rPr>
            </w:pPr>
            <w:r>
              <w:rPr>
                <w:rFonts w:hint="eastAsia"/>
                <w:bCs/>
                <w:color w:val="000000"/>
                <w:kern w:val="2"/>
                <w:sz w:val="21"/>
                <w:szCs w:val="20"/>
              </w:rPr>
              <w:t>四档（</w:t>
            </w:r>
            <w:r>
              <w:rPr>
                <w:bCs/>
                <w:color w:val="000000"/>
                <w:kern w:val="2"/>
                <w:sz w:val="21"/>
                <w:szCs w:val="20"/>
              </w:rPr>
              <w:t>13</w:t>
            </w:r>
            <w:r>
              <w:rPr>
                <w:rFonts w:hint="eastAsia"/>
                <w:bCs/>
                <w:color w:val="000000"/>
                <w:kern w:val="2"/>
                <w:sz w:val="21"/>
                <w:szCs w:val="20"/>
              </w:rPr>
              <w:t>分）：提供的方案</w:t>
            </w:r>
            <w:r>
              <w:rPr>
                <w:rFonts w:hint="eastAsia" w:cs="宋体"/>
                <w:bCs/>
                <w:color w:val="000000"/>
                <w:sz w:val="21"/>
              </w:rPr>
              <w:t>详细，项目理解、服务定位、管理理念正确，对服务特点、难点问题有分析且具备可操作性，能对流程计划、服务能力、质量保障与应急措施、安全保</w:t>
            </w:r>
            <w:r>
              <w:rPr>
                <w:rFonts w:hint="eastAsia"/>
                <w:bCs/>
                <w:color w:val="000000"/>
                <w:kern w:val="2"/>
                <w:sz w:val="21"/>
                <w:szCs w:val="20"/>
              </w:rPr>
              <w:t>障作</w:t>
            </w:r>
            <w:r>
              <w:rPr>
                <w:rFonts w:hint="eastAsia" w:cs="宋体"/>
                <w:bCs/>
                <w:color w:val="000000"/>
                <w:sz w:val="21"/>
              </w:rPr>
              <w:t>较好响应</w:t>
            </w:r>
            <w:r>
              <w:rPr>
                <w:rFonts w:hint="eastAsia"/>
                <w:bCs/>
                <w:color w:val="000000"/>
                <w:kern w:val="2"/>
                <w:sz w:val="21"/>
                <w:szCs w:val="20"/>
              </w:rPr>
              <w:t>。</w:t>
            </w:r>
          </w:p>
          <w:p w14:paraId="5DCDC676">
            <w:pPr>
              <w:pStyle w:val="5"/>
              <w:spacing w:line="360" w:lineRule="auto"/>
              <w:ind w:firstLine="420"/>
              <w:rPr>
                <w:rFonts w:hint="eastAsia"/>
                <w:bCs/>
                <w:color w:val="000000"/>
                <w:kern w:val="2"/>
                <w:sz w:val="21"/>
                <w:szCs w:val="20"/>
              </w:rPr>
            </w:pPr>
            <w:r>
              <w:rPr>
                <w:rFonts w:hint="eastAsia"/>
                <w:bCs/>
                <w:color w:val="000000"/>
                <w:kern w:val="2"/>
                <w:sz w:val="21"/>
                <w:szCs w:val="20"/>
              </w:rPr>
              <w:t>五档（</w:t>
            </w:r>
            <w:r>
              <w:rPr>
                <w:bCs/>
                <w:color w:val="000000"/>
                <w:kern w:val="2"/>
                <w:sz w:val="21"/>
                <w:szCs w:val="20"/>
              </w:rPr>
              <w:t>17</w:t>
            </w:r>
            <w:r>
              <w:rPr>
                <w:rFonts w:hint="eastAsia"/>
                <w:bCs/>
                <w:color w:val="000000"/>
                <w:kern w:val="2"/>
                <w:sz w:val="21"/>
                <w:szCs w:val="20"/>
              </w:rPr>
              <w:t>分）：提供的方案</w:t>
            </w:r>
            <w:r>
              <w:rPr>
                <w:rFonts w:hint="eastAsia" w:cs="宋体"/>
                <w:bCs/>
                <w:color w:val="000000"/>
                <w:sz w:val="21"/>
              </w:rPr>
              <w:t>全面详实，对项目理解深刻、服务定位准确、管理理念先进，对服务特点、难点问题有全面性、针对性分析，可操作性很强，对流程计划、服务能力、质量保障与应急措施、安全保</w:t>
            </w:r>
            <w:r>
              <w:rPr>
                <w:rFonts w:hint="eastAsia"/>
                <w:bCs/>
                <w:color w:val="000000"/>
                <w:kern w:val="2"/>
                <w:sz w:val="21"/>
                <w:szCs w:val="20"/>
              </w:rPr>
              <w:t>障</w:t>
            </w:r>
            <w:r>
              <w:rPr>
                <w:rFonts w:hint="eastAsia" w:cs="宋体"/>
                <w:bCs/>
                <w:color w:val="000000"/>
                <w:sz w:val="21"/>
              </w:rPr>
              <w:t>能完全响应，能体现较快到达现场服务的能力，服务保障优</w:t>
            </w:r>
            <w:r>
              <w:rPr>
                <w:rFonts w:hint="eastAsia"/>
                <w:bCs/>
                <w:color w:val="000000"/>
                <w:kern w:val="2"/>
                <w:sz w:val="21"/>
                <w:szCs w:val="20"/>
              </w:rPr>
              <w:t>。</w:t>
            </w:r>
          </w:p>
        </w:tc>
      </w:tr>
      <w:tr w14:paraId="5FB2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46E2DAD9">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1701" w:type="dxa"/>
            <w:noWrap w:val="0"/>
            <w:vAlign w:val="center"/>
          </w:tcPr>
          <w:p w14:paraId="27AEBC89">
            <w:pPr>
              <w:spacing w:line="360" w:lineRule="auto"/>
              <w:ind w:left="-107" w:leftChars="-51" w:firstLine="31" w:firstLineChars="15"/>
              <w:jc w:val="center"/>
              <w:rPr>
                <w:rFonts w:hint="eastAsia" w:ascii="宋体" w:hAnsi="宋体" w:cs="宋体"/>
                <w:color w:val="000000"/>
                <w:szCs w:val="21"/>
              </w:rPr>
            </w:pPr>
            <w:r>
              <w:rPr>
                <w:rFonts w:hint="eastAsia" w:ascii="宋体" w:hAnsi="宋体" w:cs="宋体"/>
                <w:color w:val="000000"/>
                <w:szCs w:val="21"/>
              </w:rPr>
              <w:t>服务承诺分</w:t>
            </w:r>
          </w:p>
          <w:p w14:paraId="493A8FBC">
            <w:pPr>
              <w:spacing w:line="360" w:lineRule="auto"/>
              <w:ind w:left="-107" w:leftChars="-51" w:firstLine="31" w:firstLineChars="15"/>
              <w:jc w:val="center"/>
              <w:rPr>
                <w:rFonts w:hint="eastAsia" w:hAnsi="宋体" w:cs="仿宋"/>
                <w:color w:val="000000"/>
                <w:kern w:val="0"/>
              </w:rPr>
            </w:pPr>
            <w:r>
              <w:rPr>
                <w:rFonts w:hint="eastAsia" w:ascii="宋体" w:hAnsi="宋体" w:cs="宋体"/>
                <w:color w:val="000000"/>
                <w:szCs w:val="21"/>
              </w:rPr>
              <w:t>（满分1</w:t>
            </w:r>
            <w:r>
              <w:rPr>
                <w:rFonts w:ascii="宋体" w:hAnsi="宋体" w:cs="宋体"/>
                <w:color w:val="000000"/>
                <w:szCs w:val="21"/>
              </w:rPr>
              <w:t>2</w:t>
            </w:r>
            <w:r>
              <w:rPr>
                <w:rFonts w:hint="eastAsia" w:ascii="宋体" w:hAnsi="宋体" w:cs="宋体"/>
                <w:color w:val="000000"/>
                <w:szCs w:val="21"/>
              </w:rPr>
              <w:t>分）</w:t>
            </w:r>
          </w:p>
        </w:tc>
        <w:tc>
          <w:tcPr>
            <w:tcW w:w="7230" w:type="dxa"/>
            <w:noWrap w:val="0"/>
            <w:vAlign w:val="center"/>
          </w:tcPr>
          <w:p w14:paraId="4C32FDFE">
            <w:pPr>
              <w:spacing w:line="360" w:lineRule="auto"/>
              <w:ind w:firstLine="420" w:firstLineChars="0"/>
              <w:rPr>
                <w:rFonts w:hint="eastAsia" w:ascii="宋体" w:hAnsi="宋体" w:cs="宋体"/>
                <w:bCs/>
                <w:color w:val="000000"/>
                <w:szCs w:val="20"/>
              </w:rPr>
            </w:pPr>
            <w:r>
              <w:rPr>
                <w:rFonts w:hint="eastAsia" w:ascii="宋体" w:hAnsi="宋体" w:cs="宋体"/>
                <w:bCs/>
                <w:color w:val="000000"/>
                <w:szCs w:val="20"/>
              </w:rPr>
              <w:t>由评委根据各供应商提供的服务承诺书，就①按国家法律法规开展各项服务及经营的承诺②服务态度、服务效率（</w:t>
            </w:r>
            <w:r>
              <w:rPr>
                <w:rFonts w:hint="eastAsia" w:ascii="宋体" w:hAnsi="宋体"/>
                <w:color w:val="000000"/>
                <w:szCs w:val="20"/>
              </w:rPr>
              <w:t>承诺的解决故障时限、</w:t>
            </w:r>
            <w:r>
              <w:rPr>
                <w:rFonts w:hint="eastAsia" w:ascii="宋体" w:hAnsi="宋体"/>
                <w:color w:val="000000"/>
                <w:szCs w:val="21"/>
              </w:rPr>
              <w:t>到达故障现场维修时限</w:t>
            </w:r>
            <w:r>
              <w:rPr>
                <w:rFonts w:hint="eastAsia" w:ascii="宋体" w:hAnsi="宋体" w:cs="宋体"/>
                <w:bCs/>
                <w:color w:val="000000"/>
                <w:szCs w:val="20"/>
              </w:rPr>
              <w:t>）、服务质量承诺③对责任事故的处理承诺④其他服务承诺等内容</w:t>
            </w:r>
            <w:r>
              <w:rPr>
                <w:rFonts w:hint="eastAsia" w:ascii="宋体" w:hAnsi="宋体"/>
                <w:bCs/>
                <w:color w:val="000000"/>
                <w:szCs w:val="20"/>
              </w:rPr>
              <w:t>进行评审，</w:t>
            </w:r>
            <w:r>
              <w:rPr>
                <w:rFonts w:hint="eastAsia" w:ascii="宋体" w:hAnsi="宋体" w:cs="宋体"/>
                <w:bCs/>
                <w:color w:val="000000"/>
                <w:szCs w:val="20"/>
              </w:rPr>
              <w:t>独立打分。</w:t>
            </w:r>
          </w:p>
          <w:p w14:paraId="702E1E32">
            <w:pPr>
              <w:spacing w:line="360" w:lineRule="auto"/>
              <w:ind w:firstLine="420" w:firstLineChars="0"/>
              <w:rPr>
                <w:rFonts w:hint="eastAsia" w:ascii="宋体" w:hAnsi="宋体" w:cs="宋体"/>
                <w:bCs/>
                <w:color w:val="000000"/>
                <w:szCs w:val="20"/>
              </w:rPr>
            </w:pPr>
            <w:r>
              <w:rPr>
                <w:rFonts w:hint="eastAsia" w:ascii="宋体" w:hAnsi="宋体" w:cs="宋体"/>
                <w:bCs/>
                <w:color w:val="000000"/>
                <w:szCs w:val="20"/>
              </w:rPr>
              <w:t>一档（0分）：未提供服务承诺书。</w:t>
            </w:r>
          </w:p>
          <w:p w14:paraId="0ABFA8FC">
            <w:pPr>
              <w:spacing w:line="360" w:lineRule="auto"/>
              <w:ind w:firstLine="420" w:firstLineChars="0"/>
              <w:rPr>
                <w:rFonts w:hint="eastAsia" w:ascii="宋体" w:hAnsi="宋体" w:cs="宋体"/>
                <w:color w:val="000000"/>
                <w:szCs w:val="20"/>
              </w:rPr>
            </w:pPr>
            <w:r>
              <w:rPr>
                <w:rFonts w:hint="eastAsia" w:ascii="宋体" w:hAnsi="宋体" w:cs="宋体"/>
                <w:bCs/>
                <w:color w:val="000000"/>
                <w:szCs w:val="20"/>
              </w:rPr>
              <w:t>二档（</w:t>
            </w:r>
            <w:r>
              <w:rPr>
                <w:rFonts w:ascii="宋体" w:hAnsi="宋体" w:cs="宋体"/>
                <w:bCs/>
                <w:color w:val="000000"/>
                <w:szCs w:val="20"/>
              </w:rPr>
              <w:t>4</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olor w:val="000000"/>
                <w:szCs w:val="20"/>
              </w:rPr>
              <w:t>服务承诺书内容有缺项，陈述简单，承诺基本可行。</w:t>
            </w:r>
          </w:p>
          <w:p w14:paraId="499F3E51">
            <w:pPr>
              <w:spacing w:line="360" w:lineRule="auto"/>
              <w:ind w:firstLine="420" w:firstLineChars="0"/>
              <w:rPr>
                <w:rFonts w:hint="eastAsia" w:ascii="宋体" w:hAnsi="宋体" w:cs="宋体"/>
                <w:color w:val="000000"/>
                <w:szCs w:val="20"/>
              </w:rPr>
            </w:pPr>
            <w:r>
              <w:rPr>
                <w:rFonts w:hint="eastAsia" w:ascii="宋体" w:hAnsi="宋体" w:cs="宋体"/>
                <w:bCs/>
                <w:color w:val="000000"/>
                <w:szCs w:val="20"/>
              </w:rPr>
              <w:t>三档（</w:t>
            </w:r>
            <w:r>
              <w:rPr>
                <w:rFonts w:ascii="宋体" w:hAnsi="宋体" w:cs="宋体"/>
                <w:bCs/>
                <w:color w:val="000000"/>
                <w:szCs w:val="20"/>
              </w:rPr>
              <w:t>8</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olor w:val="000000"/>
                <w:szCs w:val="20"/>
              </w:rPr>
              <w:t>服务承诺书各项目内容齐全，陈述较详细，操作性较强</w:t>
            </w:r>
            <w:r>
              <w:rPr>
                <w:rFonts w:hint="eastAsia" w:ascii="宋体" w:hAnsi="宋体" w:cs="宋体"/>
                <w:color w:val="000000"/>
                <w:szCs w:val="20"/>
              </w:rPr>
              <w:t>。</w:t>
            </w:r>
          </w:p>
          <w:p w14:paraId="48BD5A15">
            <w:pPr>
              <w:spacing w:line="360" w:lineRule="auto"/>
              <w:ind w:firstLine="420" w:firstLineChars="0"/>
              <w:rPr>
                <w:rFonts w:hint="eastAsia" w:ascii="宋体" w:hAnsi="宋体" w:cs="宋体"/>
                <w:color w:val="000000"/>
                <w:szCs w:val="20"/>
              </w:rPr>
            </w:pPr>
            <w:r>
              <w:rPr>
                <w:rFonts w:hint="eastAsia" w:ascii="宋体" w:hAnsi="宋体" w:cs="宋体"/>
                <w:bCs/>
                <w:color w:val="000000"/>
                <w:szCs w:val="20"/>
              </w:rPr>
              <w:t>四档（</w:t>
            </w:r>
            <w:r>
              <w:rPr>
                <w:rFonts w:ascii="宋体" w:hAnsi="宋体" w:cs="宋体"/>
                <w:bCs/>
                <w:color w:val="000000"/>
                <w:szCs w:val="20"/>
              </w:rPr>
              <w:t>12</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olor w:val="000000"/>
                <w:szCs w:val="20"/>
              </w:rPr>
              <w:t>服务承诺书各项目内容齐全，陈述详细，承诺具体明确，解决故障时限、</w:t>
            </w:r>
            <w:r>
              <w:rPr>
                <w:rFonts w:hint="eastAsia" w:ascii="宋体" w:hAnsi="宋体"/>
                <w:color w:val="000000"/>
                <w:szCs w:val="21"/>
              </w:rPr>
              <w:t>到达故障现场维修时限、配件提供承诺</w:t>
            </w:r>
            <w:r>
              <w:rPr>
                <w:rFonts w:hint="eastAsia" w:ascii="宋体" w:hAnsi="宋体"/>
                <w:b/>
                <w:bCs/>
                <w:color w:val="000000"/>
                <w:szCs w:val="20"/>
              </w:rPr>
              <w:t>优于</w:t>
            </w:r>
            <w:r>
              <w:rPr>
                <w:rFonts w:hint="eastAsia" w:ascii="宋体" w:hAnsi="宋体"/>
                <w:bCs/>
                <w:color w:val="000000"/>
                <w:szCs w:val="20"/>
              </w:rPr>
              <w:t>采购</w:t>
            </w:r>
            <w:r>
              <w:rPr>
                <w:rFonts w:hint="eastAsia" w:ascii="宋体" w:hAnsi="宋体"/>
                <w:color w:val="000000"/>
                <w:szCs w:val="20"/>
              </w:rPr>
              <w:t>文件要求，有针对性，可操作性强</w:t>
            </w:r>
            <w:r>
              <w:rPr>
                <w:rFonts w:hint="eastAsia" w:ascii="宋体" w:hAnsi="宋体" w:cs="宋体"/>
                <w:color w:val="000000"/>
                <w:szCs w:val="20"/>
              </w:rPr>
              <w:t>。</w:t>
            </w:r>
          </w:p>
        </w:tc>
      </w:tr>
      <w:tr w14:paraId="53B4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5B9B4F23">
            <w:pPr>
              <w:adjustRightInd w:val="0"/>
              <w:spacing w:line="360" w:lineRule="auto"/>
              <w:ind w:firstLine="0" w:firstLineChars="0"/>
              <w:jc w:val="center"/>
              <w:textAlignment w:val="baseline"/>
              <w:rPr>
                <w:rFonts w:ascii="宋体" w:hAnsi="宋体" w:cs="宋体"/>
                <w:color w:val="000000"/>
                <w:szCs w:val="21"/>
              </w:rPr>
            </w:pPr>
            <w:r>
              <w:rPr>
                <w:rFonts w:hint="eastAsia" w:ascii="宋体" w:hAnsi="宋体" w:cs="宋体"/>
                <w:color w:val="000000"/>
                <w:szCs w:val="21"/>
              </w:rPr>
              <w:t>2.3</w:t>
            </w:r>
          </w:p>
        </w:tc>
        <w:tc>
          <w:tcPr>
            <w:tcW w:w="1701" w:type="dxa"/>
            <w:noWrap w:val="0"/>
            <w:vAlign w:val="center"/>
          </w:tcPr>
          <w:p w14:paraId="141F2C56">
            <w:pPr>
              <w:spacing w:line="360" w:lineRule="auto"/>
              <w:ind w:left="-107" w:leftChars="-51" w:firstLine="31" w:firstLineChars="15"/>
              <w:jc w:val="center"/>
              <w:rPr>
                <w:rFonts w:hint="eastAsia"/>
                <w:bCs/>
                <w:color w:val="000000"/>
                <w:szCs w:val="20"/>
              </w:rPr>
            </w:pPr>
            <w:r>
              <w:rPr>
                <w:rFonts w:hint="eastAsia" w:ascii="宋体" w:hAnsi="宋体" w:cs="宋体"/>
                <w:bCs/>
                <w:color w:val="000000"/>
                <w:szCs w:val="20"/>
              </w:rPr>
              <w:t>备品</w:t>
            </w:r>
            <w:r>
              <w:rPr>
                <w:rFonts w:hint="eastAsia"/>
                <w:bCs/>
                <w:color w:val="000000"/>
                <w:szCs w:val="20"/>
              </w:rPr>
              <w:t>备件方案分</w:t>
            </w:r>
          </w:p>
          <w:p w14:paraId="605B05BA">
            <w:pPr>
              <w:spacing w:line="360" w:lineRule="auto"/>
              <w:ind w:left="-107" w:leftChars="-51" w:firstLine="31" w:firstLineChars="15"/>
              <w:jc w:val="center"/>
              <w:rPr>
                <w:rFonts w:hint="eastAsia"/>
                <w:bCs/>
                <w:color w:val="000000"/>
                <w:szCs w:val="20"/>
              </w:rPr>
            </w:pPr>
            <w:r>
              <w:rPr>
                <w:rFonts w:hint="eastAsia"/>
                <w:bCs/>
                <w:color w:val="000000"/>
                <w:szCs w:val="20"/>
              </w:rPr>
              <w:t>（满分</w:t>
            </w:r>
            <w:r>
              <w:rPr>
                <w:bCs/>
                <w:color w:val="000000"/>
                <w:szCs w:val="20"/>
              </w:rPr>
              <w:t>27</w:t>
            </w:r>
            <w:r>
              <w:rPr>
                <w:rFonts w:hint="eastAsia"/>
                <w:bCs/>
                <w:color w:val="000000"/>
                <w:szCs w:val="20"/>
              </w:rPr>
              <w:t>分）</w:t>
            </w:r>
          </w:p>
        </w:tc>
        <w:tc>
          <w:tcPr>
            <w:tcW w:w="7230" w:type="dxa"/>
            <w:noWrap w:val="0"/>
            <w:vAlign w:val="center"/>
          </w:tcPr>
          <w:p w14:paraId="39FCAC47">
            <w:pPr>
              <w:spacing w:line="360" w:lineRule="auto"/>
              <w:ind w:firstLine="420"/>
              <w:rPr>
                <w:rFonts w:hint="eastAsia" w:ascii="宋体" w:hAnsi="宋体" w:cs="宋体"/>
                <w:bCs/>
                <w:color w:val="000000"/>
                <w:szCs w:val="20"/>
              </w:rPr>
            </w:pPr>
            <w:r>
              <w:rPr>
                <w:rFonts w:hint="eastAsia" w:ascii="宋体" w:hAnsi="宋体" w:cs="宋体"/>
                <w:bCs/>
                <w:color w:val="000000"/>
                <w:szCs w:val="20"/>
              </w:rPr>
              <w:t>由评委根据供应商响应文件提供的的备件仓储能力和零配件仓库相应证明材料进行评审。</w:t>
            </w:r>
          </w:p>
          <w:p w14:paraId="3BC7E146">
            <w:pPr>
              <w:spacing w:line="360" w:lineRule="auto"/>
              <w:ind w:firstLine="420"/>
              <w:rPr>
                <w:rFonts w:ascii="宋体" w:hAnsi="宋体" w:cs="宋体"/>
                <w:bCs/>
                <w:color w:val="000000"/>
                <w:szCs w:val="20"/>
              </w:rPr>
            </w:pPr>
            <w:r>
              <w:rPr>
                <w:rFonts w:hint="eastAsia" w:ascii="宋体" w:hAnsi="宋体" w:cs="宋体"/>
                <w:bCs/>
                <w:color w:val="000000"/>
                <w:szCs w:val="20"/>
              </w:rPr>
              <w:t>一档（0分）：不提供或资料不齐。</w:t>
            </w:r>
          </w:p>
          <w:p w14:paraId="68B44839">
            <w:pPr>
              <w:spacing w:line="360" w:lineRule="auto"/>
              <w:ind w:firstLine="420"/>
              <w:rPr>
                <w:rFonts w:ascii="宋体" w:hAnsi="宋体" w:cs="宋体"/>
                <w:bCs/>
                <w:color w:val="000000"/>
                <w:szCs w:val="20"/>
              </w:rPr>
            </w:pPr>
            <w:r>
              <w:rPr>
                <w:rFonts w:hint="eastAsia" w:ascii="宋体" w:hAnsi="宋体" w:cs="宋体"/>
                <w:bCs/>
                <w:color w:val="000000"/>
                <w:szCs w:val="20"/>
              </w:rPr>
              <w:t>二档（</w:t>
            </w:r>
            <w:r>
              <w:rPr>
                <w:rFonts w:ascii="宋体" w:hAnsi="宋体" w:cs="宋体"/>
                <w:bCs/>
                <w:color w:val="000000"/>
                <w:szCs w:val="20"/>
              </w:rPr>
              <w:t>7</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s="宋体"/>
                <w:bCs/>
                <w:color w:val="000000"/>
                <w:szCs w:val="20"/>
              </w:rPr>
              <w:t>在国内有1个（或以上）零配件仓库，有配件清单，种类、数量难以保障本项目备件供应需要。</w:t>
            </w:r>
          </w:p>
          <w:p w14:paraId="612C9BD1">
            <w:pPr>
              <w:spacing w:line="360" w:lineRule="auto"/>
              <w:ind w:firstLine="420"/>
              <w:rPr>
                <w:rFonts w:hint="eastAsia" w:ascii="宋体" w:hAnsi="宋体" w:cs="宋体"/>
                <w:bCs/>
                <w:color w:val="000000"/>
                <w:szCs w:val="20"/>
              </w:rPr>
            </w:pPr>
            <w:r>
              <w:rPr>
                <w:rFonts w:hint="eastAsia" w:ascii="宋体" w:hAnsi="宋体" w:cs="宋体"/>
                <w:bCs/>
                <w:color w:val="000000"/>
                <w:szCs w:val="20"/>
              </w:rPr>
              <w:t>三档（1</w:t>
            </w:r>
            <w:r>
              <w:rPr>
                <w:rFonts w:ascii="宋体" w:hAnsi="宋体" w:cs="宋体"/>
                <w:bCs/>
                <w:color w:val="000000"/>
                <w:szCs w:val="20"/>
              </w:rPr>
              <w:t>2</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s="宋体"/>
                <w:bCs/>
                <w:color w:val="000000"/>
                <w:szCs w:val="20"/>
              </w:rPr>
              <w:t>在国内有</w:t>
            </w:r>
            <w:r>
              <w:rPr>
                <w:rFonts w:ascii="宋体" w:hAnsi="宋体" w:cs="宋体"/>
                <w:bCs/>
                <w:color w:val="000000"/>
                <w:szCs w:val="20"/>
              </w:rPr>
              <w:t>2</w:t>
            </w:r>
            <w:r>
              <w:rPr>
                <w:rFonts w:hint="eastAsia" w:ascii="宋体" w:hAnsi="宋体" w:cs="宋体"/>
                <w:bCs/>
                <w:color w:val="000000"/>
                <w:szCs w:val="20"/>
              </w:rPr>
              <w:t>个（或以上）零配件仓库，有配件清单，种类、数量基本满足本项目备件供应需要。</w:t>
            </w:r>
          </w:p>
          <w:p w14:paraId="436B3ABD">
            <w:pPr>
              <w:spacing w:line="360" w:lineRule="auto"/>
              <w:ind w:firstLine="420"/>
              <w:rPr>
                <w:rFonts w:ascii="宋体" w:hAnsi="宋体" w:cs="宋体"/>
                <w:bCs/>
                <w:color w:val="000000"/>
                <w:szCs w:val="20"/>
              </w:rPr>
            </w:pPr>
            <w:r>
              <w:rPr>
                <w:rFonts w:hint="eastAsia" w:ascii="宋体" w:hAnsi="宋体" w:cs="宋体"/>
                <w:bCs/>
                <w:color w:val="000000"/>
                <w:szCs w:val="20"/>
              </w:rPr>
              <w:t>四档（1</w:t>
            </w:r>
            <w:r>
              <w:rPr>
                <w:rFonts w:ascii="宋体" w:hAnsi="宋体" w:cs="宋体"/>
                <w:bCs/>
                <w:color w:val="000000"/>
                <w:szCs w:val="20"/>
              </w:rPr>
              <w:t>7</w:t>
            </w:r>
            <w:r>
              <w:rPr>
                <w:rFonts w:hint="eastAsia" w:ascii="宋体" w:hAnsi="宋体" w:cs="宋体"/>
                <w:bCs/>
                <w:color w:val="000000"/>
                <w:szCs w:val="20"/>
              </w:rPr>
              <w:t>分）在国内有</w:t>
            </w:r>
            <w:r>
              <w:rPr>
                <w:rFonts w:ascii="宋体" w:hAnsi="宋体" w:cs="宋体"/>
                <w:bCs/>
                <w:color w:val="000000"/>
                <w:szCs w:val="20"/>
              </w:rPr>
              <w:t>2</w:t>
            </w:r>
            <w:r>
              <w:rPr>
                <w:rFonts w:hint="eastAsia" w:ascii="宋体" w:hAnsi="宋体" w:cs="宋体"/>
                <w:bCs/>
                <w:color w:val="000000"/>
                <w:szCs w:val="20"/>
              </w:rPr>
              <w:t>个（或以上）零配件仓库，仓库内存储有速调管、加速管、偏转磁铁、电子枪、靶、KV平板、MV平板等原厂生产的核心备件存货，有零配件清单，种类、数量基本满足本项目备件供应需要。</w:t>
            </w:r>
          </w:p>
          <w:p w14:paraId="39BAC95B">
            <w:pPr>
              <w:spacing w:line="360" w:lineRule="auto"/>
              <w:ind w:firstLine="420"/>
              <w:rPr>
                <w:rFonts w:hint="eastAsia" w:ascii="宋体" w:hAnsi="宋体" w:cs="宋体"/>
                <w:bCs/>
                <w:color w:val="000000"/>
                <w:szCs w:val="20"/>
              </w:rPr>
            </w:pPr>
            <w:r>
              <w:rPr>
                <w:rFonts w:hint="eastAsia" w:ascii="宋体" w:hAnsi="宋体" w:cs="宋体"/>
                <w:bCs/>
                <w:color w:val="000000"/>
                <w:szCs w:val="20"/>
              </w:rPr>
              <w:t>五档（</w:t>
            </w:r>
            <w:r>
              <w:rPr>
                <w:rFonts w:ascii="宋体" w:hAnsi="宋体" w:cs="宋体"/>
                <w:bCs/>
                <w:color w:val="000000"/>
                <w:szCs w:val="20"/>
              </w:rPr>
              <w:t>22</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s="宋体"/>
                <w:bCs/>
                <w:color w:val="000000"/>
                <w:szCs w:val="20"/>
              </w:rPr>
              <w:t>在国内有3个（或以上）零配件仓库，仓库内存储有速调管、加速管、偏转磁铁、电子枪、靶、KV平板、MV平板等原厂生产的核心备件存货，提供的零配件清单种类较齐全，数量满足本项目备件供应需要。</w:t>
            </w:r>
          </w:p>
          <w:p w14:paraId="093FC3C6">
            <w:pPr>
              <w:spacing w:line="360" w:lineRule="auto"/>
              <w:ind w:firstLine="420"/>
              <w:rPr>
                <w:rFonts w:hint="eastAsia" w:ascii="宋体" w:hAnsi="宋体" w:cs="宋体"/>
                <w:bCs/>
                <w:color w:val="000000"/>
                <w:szCs w:val="20"/>
              </w:rPr>
            </w:pPr>
            <w:r>
              <w:rPr>
                <w:rFonts w:hint="eastAsia" w:ascii="宋体" w:hAnsi="宋体" w:cs="宋体"/>
                <w:bCs/>
                <w:color w:val="000000"/>
                <w:szCs w:val="20"/>
              </w:rPr>
              <w:t>六档（</w:t>
            </w:r>
            <w:r>
              <w:rPr>
                <w:rFonts w:ascii="宋体" w:hAnsi="宋体" w:cs="宋体"/>
                <w:bCs/>
                <w:color w:val="000000"/>
                <w:szCs w:val="20"/>
              </w:rPr>
              <w:t>27</w:t>
            </w:r>
            <w:r>
              <w:rPr>
                <w:rFonts w:hint="eastAsia" w:ascii="宋体" w:hAnsi="宋体" w:cs="宋体"/>
                <w:bCs/>
                <w:color w:val="000000"/>
                <w:szCs w:val="20"/>
              </w:rPr>
              <w:t>分）</w:t>
            </w:r>
            <w:r>
              <w:rPr>
                <w:rFonts w:hint="eastAsia" w:ascii="宋体" w:hAnsi="宋体" w:cs="宋体"/>
                <w:color w:val="000000"/>
                <w:szCs w:val="20"/>
              </w:rPr>
              <w:t>：</w:t>
            </w:r>
            <w:r>
              <w:rPr>
                <w:rFonts w:hint="eastAsia" w:ascii="宋体" w:hAnsi="宋体" w:cs="宋体"/>
                <w:bCs/>
                <w:color w:val="000000"/>
                <w:szCs w:val="20"/>
              </w:rPr>
              <w:t>在国内有3个（或以上）零配件仓库，且华南地区设立有1个（或以上）零配件仓库，仓库内存储有速调管、加速管、偏转磁铁、电子枪、靶、KV平板、MV平板等原厂生产的核心备件存货，提供的零配件清单种类齐全，数量充足，完全满足本项目备件供应需要。</w:t>
            </w:r>
          </w:p>
          <w:p w14:paraId="1CB5C594">
            <w:pPr>
              <w:spacing w:line="360" w:lineRule="auto"/>
              <w:ind w:firstLine="420"/>
              <w:rPr>
                <w:rFonts w:hint="eastAsia" w:ascii="宋体" w:hAnsi="宋体" w:cs="宋体"/>
                <w:bCs/>
                <w:color w:val="000000"/>
                <w:szCs w:val="20"/>
              </w:rPr>
            </w:pPr>
            <w:r>
              <w:rPr>
                <w:rFonts w:hint="eastAsia" w:ascii="宋体" w:hAnsi="宋体" w:cs="宋体"/>
                <w:bCs/>
                <w:color w:val="000000"/>
                <w:szCs w:val="20"/>
              </w:rPr>
              <w:t>注：响应文件提供零配件仓库相应证明材料，包括：零备件仓库详细地址、电话、联系人、现场照片，租赁协议或合同复或产权证明</w:t>
            </w:r>
            <w:r>
              <w:rPr>
                <w:rFonts w:hint="eastAsia" w:ascii="宋体" w:hAnsi="宋体" w:cs="宋体"/>
                <w:b/>
                <w:color w:val="000000"/>
                <w:szCs w:val="20"/>
              </w:rPr>
              <w:t>原件扫描件</w:t>
            </w:r>
            <w:r>
              <w:rPr>
                <w:rFonts w:hint="eastAsia" w:ascii="宋体" w:hAnsi="宋体" w:cs="宋体"/>
                <w:bCs/>
                <w:color w:val="000000"/>
                <w:szCs w:val="20"/>
              </w:rPr>
              <w:t>，零配件清单及存放照片等作为评审依据，否则不予认可计分。</w:t>
            </w:r>
          </w:p>
        </w:tc>
      </w:tr>
      <w:tr w14:paraId="32A0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1" w:type="dxa"/>
            <w:noWrap w:val="0"/>
            <w:vAlign w:val="center"/>
          </w:tcPr>
          <w:p w14:paraId="5C75041F">
            <w:pPr>
              <w:ind w:firstLine="0" w:firstLineChars="0"/>
              <w:jc w:val="center"/>
              <w:rPr>
                <w:rFonts w:hint="eastAsia" w:ascii="宋体" w:hAnsi="宋体"/>
                <w:color w:val="000000"/>
                <w:szCs w:val="21"/>
              </w:rPr>
            </w:pPr>
            <w:r>
              <w:rPr>
                <w:rFonts w:hint="eastAsia" w:ascii="宋体" w:hAnsi="宋体"/>
                <w:bCs/>
                <w:color w:val="000000"/>
                <w:kern w:val="0"/>
              </w:rPr>
              <w:t>2.4</w:t>
            </w:r>
          </w:p>
        </w:tc>
        <w:tc>
          <w:tcPr>
            <w:tcW w:w="1701" w:type="dxa"/>
            <w:noWrap w:val="0"/>
            <w:vAlign w:val="center"/>
          </w:tcPr>
          <w:p w14:paraId="38026F3F">
            <w:pPr>
              <w:adjustRightInd w:val="0"/>
              <w:spacing w:line="360" w:lineRule="auto"/>
              <w:ind w:firstLine="0" w:firstLineChars="0"/>
              <w:jc w:val="center"/>
              <w:textAlignment w:val="baseline"/>
              <w:rPr>
                <w:rFonts w:hint="eastAsia" w:ascii="宋体" w:hAnsi="宋体"/>
                <w:color w:val="000000"/>
              </w:rPr>
            </w:pPr>
            <w:r>
              <w:rPr>
                <w:rFonts w:hint="eastAsia" w:ascii="宋体" w:hAnsi="宋体"/>
                <w:color w:val="000000"/>
              </w:rPr>
              <w:t>拟投入技术力量配置分</w:t>
            </w:r>
          </w:p>
          <w:p w14:paraId="471C3116">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olor w:val="000000"/>
              </w:rPr>
              <w:t>（满分20分）</w:t>
            </w:r>
          </w:p>
        </w:tc>
        <w:tc>
          <w:tcPr>
            <w:tcW w:w="7230" w:type="dxa"/>
            <w:noWrap w:val="0"/>
            <w:vAlign w:val="center"/>
          </w:tcPr>
          <w:p w14:paraId="02A76325">
            <w:pPr>
              <w:spacing w:line="360" w:lineRule="auto"/>
              <w:ind w:firstLine="420"/>
              <w:rPr>
                <w:rFonts w:hint="eastAsia" w:ascii="宋体" w:hAnsi="宋体" w:cs="宋体"/>
                <w:bCs/>
                <w:color w:val="000000"/>
                <w:szCs w:val="20"/>
              </w:rPr>
            </w:pPr>
            <w:r>
              <w:rPr>
                <w:rFonts w:hint="eastAsia" w:ascii="宋体" w:hAnsi="宋体" w:cs="宋体"/>
                <w:bCs/>
                <w:color w:val="000000"/>
                <w:szCs w:val="20"/>
              </w:rPr>
              <w:t>每投入1名维修工程师（持有医用直线加速器维修相关证书）得</w:t>
            </w:r>
            <w:r>
              <w:rPr>
                <w:rFonts w:ascii="宋体" w:hAnsi="宋体" w:cs="宋体"/>
                <w:bCs/>
                <w:color w:val="000000"/>
                <w:szCs w:val="20"/>
              </w:rPr>
              <w:t>4</w:t>
            </w:r>
            <w:r>
              <w:rPr>
                <w:rFonts w:hint="eastAsia" w:ascii="宋体" w:hAnsi="宋体" w:cs="宋体"/>
                <w:bCs/>
                <w:color w:val="000000"/>
                <w:szCs w:val="20"/>
              </w:rPr>
              <w:t>分，满分</w:t>
            </w:r>
            <w:r>
              <w:rPr>
                <w:rFonts w:ascii="宋体" w:hAnsi="宋体" w:cs="宋体"/>
                <w:bCs/>
                <w:color w:val="000000"/>
                <w:szCs w:val="20"/>
              </w:rPr>
              <w:t>20</w:t>
            </w:r>
            <w:r>
              <w:rPr>
                <w:rFonts w:hint="eastAsia" w:ascii="宋体" w:hAnsi="宋体" w:cs="宋体"/>
                <w:bCs/>
                <w:color w:val="000000"/>
                <w:szCs w:val="20"/>
              </w:rPr>
              <w:t>分。</w:t>
            </w:r>
          </w:p>
          <w:p w14:paraId="06655281">
            <w:pPr>
              <w:spacing w:line="360" w:lineRule="auto"/>
              <w:ind w:firstLine="422"/>
              <w:rPr>
                <w:rFonts w:hint="eastAsia" w:ascii="宋体" w:hAnsi="宋体" w:cs="宋体"/>
                <w:bCs/>
                <w:color w:val="000000"/>
                <w:szCs w:val="20"/>
              </w:rPr>
            </w:pPr>
            <w:r>
              <w:rPr>
                <w:rFonts w:hint="eastAsia" w:hAnsi="宋体"/>
                <w:b/>
                <w:color w:val="000000"/>
                <w:szCs w:val="21"/>
              </w:rPr>
              <w:t>注：</w:t>
            </w:r>
            <w:r>
              <w:rPr>
                <w:rFonts w:hint="eastAsia"/>
                <w:b/>
                <w:color w:val="000000"/>
              </w:rPr>
              <w:t>响应文件中提供相应人员有效的培训证书原件扫描件并加盖供应商公章，否则不予认可计分</w:t>
            </w:r>
            <w:r>
              <w:rPr>
                <w:rFonts w:hint="eastAsia" w:hAnsi="宋体"/>
                <w:b/>
                <w:color w:val="000000"/>
                <w:szCs w:val="21"/>
              </w:rPr>
              <w:t>）</w:t>
            </w:r>
            <w:r>
              <w:rPr>
                <w:rFonts w:hint="eastAsia" w:ascii="宋体" w:hAnsi="宋体" w:cs="宋体"/>
                <w:bCs/>
                <w:color w:val="000000"/>
                <w:szCs w:val="20"/>
              </w:rPr>
              <w:t>。</w:t>
            </w:r>
          </w:p>
        </w:tc>
      </w:tr>
      <w:tr w14:paraId="3E1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noWrap w:val="0"/>
            <w:vAlign w:val="center"/>
          </w:tcPr>
          <w:p w14:paraId="1C079FEC">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3</w:t>
            </w:r>
          </w:p>
        </w:tc>
        <w:tc>
          <w:tcPr>
            <w:tcW w:w="1701" w:type="dxa"/>
            <w:noWrap w:val="0"/>
            <w:vAlign w:val="center"/>
          </w:tcPr>
          <w:p w14:paraId="14E7CE82">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商务分</w:t>
            </w:r>
          </w:p>
          <w:p w14:paraId="17101DE3">
            <w:pPr>
              <w:adjustRightInd w:val="0"/>
              <w:spacing w:line="360" w:lineRule="auto"/>
              <w:ind w:firstLine="0" w:firstLineChars="0"/>
              <w:jc w:val="center"/>
              <w:textAlignment w:val="baseline"/>
              <w:rPr>
                <w:rFonts w:hint="eastAsia" w:ascii="宋体" w:hAnsi="宋体" w:cs="宋体"/>
                <w:color w:val="000000"/>
                <w:szCs w:val="21"/>
              </w:rPr>
            </w:pPr>
            <w:r>
              <w:rPr>
                <w:rFonts w:hint="eastAsia" w:ascii="宋体" w:hAnsi="宋体" w:cs="宋体"/>
                <w:color w:val="000000"/>
                <w:szCs w:val="21"/>
              </w:rPr>
              <w:t>（满分</w:t>
            </w:r>
            <w:r>
              <w:rPr>
                <w:rFonts w:ascii="宋体" w:hAnsi="宋体" w:cs="宋体"/>
                <w:color w:val="000000"/>
                <w:szCs w:val="21"/>
              </w:rPr>
              <w:t>1</w:t>
            </w:r>
            <w:r>
              <w:rPr>
                <w:rFonts w:hint="eastAsia" w:ascii="宋体" w:hAnsi="宋体" w:cs="宋体"/>
                <w:color w:val="000000"/>
                <w:szCs w:val="21"/>
              </w:rPr>
              <w:t>4分）</w:t>
            </w:r>
          </w:p>
        </w:tc>
        <w:tc>
          <w:tcPr>
            <w:tcW w:w="7230" w:type="dxa"/>
            <w:noWrap w:val="0"/>
            <w:vAlign w:val="center"/>
          </w:tcPr>
          <w:p w14:paraId="34F7CDB1">
            <w:pPr>
              <w:snapToGrid w:val="0"/>
              <w:spacing w:line="360" w:lineRule="auto"/>
              <w:ind w:firstLine="33" w:firstLineChars="16"/>
              <w:jc w:val="center"/>
              <w:rPr>
                <w:rFonts w:hint="eastAsia" w:ascii="宋体" w:hAnsi="宋体" w:cs="宋体"/>
                <w:bCs/>
                <w:color w:val="000000"/>
                <w:szCs w:val="21"/>
              </w:rPr>
            </w:pPr>
            <w:r>
              <w:rPr>
                <w:rFonts w:hint="eastAsia" w:ascii="宋体" w:hAnsi="宋体" w:cs="宋体"/>
                <w:bCs/>
                <w:color w:val="000000"/>
                <w:szCs w:val="21"/>
              </w:rPr>
              <w:t>评审因素</w:t>
            </w:r>
          </w:p>
        </w:tc>
      </w:tr>
      <w:tr w14:paraId="286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51" w:type="dxa"/>
            <w:noWrap w:val="0"/>
            <w:vAlign w:val="center"/>
          </w:tcPr>
          <w:p w14:paraId="1BB161BC">
            <w:pPr>
              <w:tabs>
                <w:tab w:val="left" w:pos="0"/>
              </w:tabs>
              <w:adjustRightInd w:val="0"/>
              <w:spacing w:line="360" w:lineRule="auto"/>
              <w:ind w:firstLine="0" w:firstLineChars="0"/>
              <w:jc w:val="center"/>
              <w:rPr>
                <w:rFonts w:hint="eastAsia" w:ascii="宋体" w:hAnsi="宋体"/>
                <w:color w:val="000000"/>
                <w:szCs w:val="21"/>
              </w:rPr>
            </w:pPr>
            <w:r>
              <w:rPr>
                <w:rFonts w:hint="eastAsia" w:ascii="宋体" w:hAnsi="宋体"/>
                <w:color w:val="000000"/>
                <w:szCs w:val="21"/>
              </w:rPr>
              <w:t>3.1</w:t>
            </w:r>
          </w:p>
        </w:tc>
        <w:tc>
          <w:tcPr>
            <w:tcW w:w="1701" w:type="dxa"/>
            <w:noWrap w:val="0"/>
            <w:vAlign w:val="center"/>
          </w:tcPr>
          <w:p w14:paraId="296FF548">
            <w:pPr>
              <w:spacing w:line="360" w:lineRule="auto"/>
              <w:ind w:firstLine="0" w:firstLineChars="0"/>
              <w:jc w:val="center"/>
              <w:rPr>
                <w:rFonts w:hint="eastAsia" w:ascii="宋体" w:hAnsi="宋体" w:cs="Arial"/>
                <w:color w:val="000000"/>
              </w:rPr>
            </w:pPr>
            <w:r>
              <w:rPr>
                <w:rFonts w:ascii="宋体" w:hAnsi="宋体" w:cs="Arial"/>
                <w:color w:val="000000"/>
              </w:rPr>
              <w:t>业绩</w:t>
            </w:r>
          </w:p>
          <w:p w14:paraId="3433E419">
            <w:pPr>
              <w:spacing w:line="360" w:lineRule="auto"/>
              <w:ind w:firstLine="0" w:firstLineChars="0"/>
              <w:jc w:val="center"/>
              <w:rPr>
                <w:rFonts w:hint="eastAsia" w:ascii="宋体" w:hAnsi="宋体" w:cs="Arial"/>
                <w:color w:val="000000"/>
              </w:rPr>
            </w:pPr>
            <w:r>
              <w:rPr>
                <w:rFonts w:ascii="宋体" w:hAnsi="宋体" w:cs="Arial"/>
                <w:color w:val="000000"/>
              </w:rPr>
              <w:t>（</w:t>
            </w:r>
            <w:r>
              <w:rPr>
                <w:rFonts w:hint="eastAsia" w:ascii="宋体" w:hAnsi="宋体" w:cs="Arial"/>
                <w:color w:val="000000"/>
              </w:rPr>
              <w:t>满分14</w:t>
            </w:r>
            <w:r>
              <w:rPr>
                <w:rFonts w:ascii="宋体" w:hAnsi="宋体" w:cs="Arial"/>
                <w:color w:val="000000"/>
              </w:rPr>
              <w:t>分）</w:t>
            </w:r>
          </w:p>
        </w:tc>
        <w:tc>
          <w:tcPr>
            <w:tcW w:w="7230" w:type="dxa"/>
            <w:noWrap w:val="0"/>
            <w:vAlign w:val="center"/>
          </w:tcPr>
          <w:p w14:paraId="6AE16A97">
            <w:pPr>
              <w:spacing w:line="360" w:lineRule="auto"/>
              <w:ind w:firstLine="420"/>
              <w:rPr>
                <w:rFonts w:hint="eastAsia" w:ascii="宋体" w:hAnsi="宋体" w:cs="Arial"/>
                <w:color w:val="000000"/>
              </w:rPr>
            </w:pPr>
            <w:r>
              <w:rPr>
                <w:rFonts w:hint="eastAsia" w:ascii="宋体" w:hAnsi="宋体" w:cs="Arial"/>
                <w:color w:val="000000"/>
              </w:rPr>
              <w:t>根据供应商提供的自2023年1月1日以来在国内具有同类医用直线加速器维保的全保合同（单次维修、移机服务、人工合同除外）进行评分，每提供1份合同得2分，满分14分。</w:t>
            </w:r>
          </w:p>
          <w:p w14:paraId="2383B911">
            <w:pPr>
              <w:spacing w:line="360" w:lineRule="auto"/>
              <w:ind w:firstLine="422"/>
              <w:rPr>
                <w:rFonts w:hint="eastAsia" w:ascii="宋体" w:hAnsi="宋体" w:cs="Arial"/>
                <w:color w:val="000000"/>
              </w:rPr>
            </w:pPr>
            <w:r>
              <w:rPr>
                <w:rFonts w:hint="eastAsia" w:ascii="宋体" w:hAnsi="宋体" w:cs="Arial"/>
                <w:b/>
                <w:bCs/>
                <w:color w:val="000000"/>
              </w:rPr>
              <w:t>注：1</w:t>
            </w:r>
            <w:r>
              <w:rPr>
                <w:rFonts w:ascii="宋体" w:hAnsi="宋体" w:cs="Arial"/>
                <w:b/>
                <w:bCs/>
                <w:color w:val="000000"/>
              </w:rPr>
              <w:t>.</w:t>
            </w:r>
            <w:r>
              <w:rPr>
                <w:rFonts w:hint="eastAsia" w:ascii="宋体" w:hAnsi="宋体" w:cs="Arial"/>
                <w:b/>
                <w:color w:val="000000"/>
              </w:rPr>
              <w:t>以响应文件中提供的合同书原件扫描件为准，合同须能清晰反映同类项目名称及内容，否则视为无效不予计分。</w:t>
            </w:r>
            <w:r>
              <w:rPr>
                <w:rFonts w:hAnsi="宋体" w:cs="Courier New"/>
                <w:b/>
                <w:color w:val="000000"/>
                <w:szCs w:val="21"/>
              </w:rPr>
              <w:t>2.</w:t>
            </w:r>
            <w:r>
              <w:rPr>
                <w:rFonts w:hint="eastAsia" w:hAnsi="宋体" w:cs="Courier New"/>
                <w:b/>
                <w:color w:val="000000"/>
                <w:szCs w:val="21"/>
              </w:rPr>
              <w:t>合同期包含2023年1月1日及之后的业绩均认可。</w:t>
            </w:r>
          </w:p>
        </w:tc>
      </w:tr>
      <w:tr w14:paraId="1A27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2" w:type="dxa"/>
            <w:gridSpan w:val="3"/>
            <w:noWrap w:val="0"/>
            <w:vAlign w:val="center"/>
          </w:tcPr>
          <w:p w14:paraId="14A0107A">
            <w:pPr>
              <w:pStyle w:val="2"/>
              <w:spacing w:line="360" w:lineRule="auto"/>
              <w:ind w:firstLine="0" w:firstLineChars="0"/>
              <w:rPr>
                <w:rFonts w:hAnsi="宋体" w:cs="宋体"/>
                <w:bCs/>
                <w:color w:val="000000"/>
                <w:sz w:val="21"/>
              </w:rPr>
            </w:pPr>
            <w:r>
              <w:rPr>
                <w:rFonts w:hint="eastAsia" w:hAnsi="宋体" w:cs="宋体"/>
                <w:b/>
                <w:bCs/>
                <w:color w:val="000000"/>
                <w:sz w:val="21"/>
              </w:rPr>
              <w:t>总得分=1+2+3</w:t>
            </w:r>
          </w:p>
        </w:tc>
      </w:tr>
    </w:tbl>
    <w:p w14:paraId="5189301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bCs/>
          <w:color w:val="000000"/>
          <w:szCs w:val="21"/>
        </w:rPr>
        <w:t>7</w:t>
      </w:r>
      <w:r>
        <w:rPr>
          <w:rFonts w:ascii="宋体" w:hAnsi="宋体"/>
          <w:bCs/>
          <w:color w:val="000000"/>
          <w:szCs w:val="21"/>
        </w:rPr>
        <w:t>.</w:t>
      </w:r>
      <w:r>
        <w:rPr>
          <w:rFonts w:hint="eastAsia" w:ascii="宋体" w:hAnsi="宋体"/>
          <w:bCs/>
          <w:color w:val="000000"/>
          <w:szCs w:val="21"/>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21A5"/>
    <w:rsid w:val="0858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customStyle="1" w:styleId="5">
    <w:name w:val="*正文"/>
    <w:basedOn w:val="1"/>
    <w:qFormat/>
    <w:uiPriority w:val="0"/>
    <w:pPr>
      <w:spacing w:line="300" w:lineRule="auto"/>
      <w:ind w:firstLine="480" w:firstLineChars="0"/>
    </w:pPr>
    <w:rPr>
      <w:rFonts w:ascii="宋体" w:hAnsi="宋体" w:cs="仿宋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1979</Words>
  <Characters>2031</Characters>
  <Lines>0</Lines>
  <Paragraphs>0</Paragraphs>
  <TotalTime>0</TotalTime>
  <ScaleCrop>false</ScaleCrop>
  <LinksUpToDate>false</LinksUpToDate>
  <CharactersWithSpaces>2031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2025-04-18T08:17:00Z</dcterms:created>
  <dc:creator>Administrator</dc:creator>
  <cp:lastModifiedBy>五星好市民</cp:lastModifiedBy>
  <dcterms:modified xsi:type="dcterms:W3CDTF">2025-04-18T08:20:54Z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eyJoZGlkIjoiODA3ZDhmODk2NDRkYjI4ZDhlNmZkZDJiZmIzMjViOTYiLCJ1c2VySWQiOiIxNTk2NDc0MTE2In0=</vt:lpwstr>
  </property>
  <property fmtid="{D5CDD505-2E9C-101B-9397-08002B2CF9AE}" pid="4" name="ICV">
    <vt:lpwstr>728AD428330C4DEBBF5A2CB59B27979C_12</vt:lpwstr>
  </property>
</Properties>
</file>