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DA378">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eastAsia="方正小标宋简体"/>
          <w:sz w:val="36"/>
          <w:szCs w:val="36"/>
        </w:rPr>
      </w:pPr>
      <w:r>
        <w:rPr>
          <w:rFonts w:hint="eastAsia" w:ascii="方正小标宋简体" w:eastAsia="方正小标宋简体"/>
          <w:sz w:val="36"/>
          <w:szCs w:val="36"/>
          <w:u w:val="single"/>
        </w:rPr>
        <w:t>（</w:t>
      </w:r>
      <w:r>
        <w:rPr>
          <w:rFonts w:hint="eastAsia" w:ascii="方正小标宋简体" w:eastAsia="方正小标宋简体"/>
          <w:sz w:val="36"/>
          <w:szCs w:val="36"/>
          <w:u w:val="single"/>
          <w:lang w:eastAsia="zh-CN"/>
        </w:rPr>
        <w:t>横州市</w:t>
      </w:r>
      <w:r>
        <w:rPr>
          <w:rFonts w:hint="eastAsia" w:ascii="方正小标宋简体" w:eastAsia="方正小标宋简体"/>
          <w:sz w:val="36"/>
          <w:szCs w:val="36"/>
          <w:u w:val="single"/>
          <w:lang w:val="en-US" w:eastAsia="zh-CN"/>
        </w:rPr>
        <w:t>横州镇茉莉小学</w:t>
      </w:r>
      <w:r>
        <w:rPr>
          <w:rFonts w:hint="eastAsia" w:ascii="方正小标宋简体" w:eastAsia="方正小标宋简体"/>
          <w:sz w:val="36"/>
          <w:szCs w:val="36"/>
          <w:u w:val="single"/>
        </w:rPr>
        <w:t>）</w:t>
      </w:r>
      <w:r>
        <w:rPr>
          <w:rFonts w:hint="eastAsia" w:ascii="方正小标宋简体" w:eastAsia="方正小标宋简体"/>
          <w:sz w:val="36"/>
          <w:szCs w:val="36"/>
          <w:lang w:val="zh-CN" w:eastAsia="zh-CN" w:bidi="zh-CN"/>
        </w:rPr>
        <w:t>202</w:t>
      </w:r>
      <w:r>
        <w:rPr>
          <w:rFonts w:hint="eastAsia" w:ascii="方正小标宋简体" w:eastAsia="方正小标宋简体"/>
          <w:sz w:val="36"/>
          <w:szCs w:val="36"/>
          <w:lang w:val="en-US" w:eastAsia="zh-CN" w:bidi="zh-CN"/>
        </w:rPr>
        <w:t>5</w:t>
      </w:r>
      <w:r>
        <w:rPr>
          <w:rFonts w:hint="eastAsia" w:ascii="方正小标宋简体" w:eastAsia="方正小标宋简体"/>
          <w:sz w:val="36"/>
          <w:szCs w:val="36"/>
        </w:rPr>
        <w:t>年</w:t>
      </w:r>
      <w:r>
        <w:rPr>
          <w:rFonts w:hint="eastAsia" w:ascii="方正小标宋简体" w:eastAsia="方正小标宋简体"/>
          <w:sz w:val="36"/>
          <w:szCs w:val="36"/>
          <w:u w:val="single"/>
          <w:lang w:eastAsia="zh-CN"/>
        </w:rPr>
        <w:t xml:space="preserve"> </w:t>
      </w:r>
      <w:r>
        <w:rPr>
          <w:rFonts w:hint="eastAsia" w:ascii="方正小标宋简体" w:eastAsia="方正小标宋简体"/>
          <w:sz w:val="36"/>
          <w:szCs w:val="36"/>
          <w:u w:val="single"/>
          <w:lang w:val="en-US" w:eastAsia="zh-CN"/>
        </w:rPr>
        <w:t>1</w:t>
      </w:r>
      <w:r>
        <w:rPr>
          <w:rFonts w:hint="eastAsia" w:ascii="方正小标宋简体" w:eastAsia="方正小标宋简体"/>
          <w:sz w:val="36"/>
          <w:szCs w:val="36"/>
        </w:rPr>
        <w:t>（至）</w:t>
      </w:r>
      <w:r>
        <w:rPr>
          <w:rFonts w:hint="eastAsia" w:ascii="方正小标宋简体" w:eastAsia="方正小标宋简体"/>
          <w:sz w:val="36"/>
          <w:szCs w:val="36"/>
          <w:u w:val="single"/>
          <w:lang w:val="en-US" w:eastAsia="zh-CN"/>
        </w:rPr>
        <w:t>2</w:t>
      </w:r>
      <w:r>
        <w:rPr>
          <w:rFonts w:hint="eastAsia" w:ascii="方正小标宋简体" w:eastAsia="方正小标宋简体"/>
          <w:sz w:val="36"/>
          <w:szCs w:val="36"/>
        </w:rPr>
        <w:t>月</w:t>
      </w:r>
    </w:p>
    <w:p w14:paraId="5412F64D">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ascii="方正小标宋简体" w:eastAsia="方正小标宋简体"/>
          <w:sz w:val="36"/>
          <w:szCs w:val="36"/>
        </w:rPr>
      </w:pPr>
      <w:r>
        <w:rPr>
          <w:rFonts w:hint="eastAsia" w:ascii="方正小标宋简体" w:eastAsia="方正小标宋简体"/>
          <w:sz w:val="36"/>
          <w:szCs w:val="36"/>
        </w:rPr>
        <w:t>政府采购意向</w:t>
      </w:r>
    </w:p>
    <w:p w14:paraId="2DDDC730">
      <w:pPr>
        <w:pStyle w:val="5"/>
        <w:spacing w:line="575" w:lineRule="exact"/>
        <w:ind w:firstLine="700"/>
        <w:jc w:val="both"/>
        <w:rPr>
          <w:rFonts w:hint="eastAsia" w:ascii="仿宋_GB2312" w:eastAsia="仿宋_GB2312"/>
          <w:sz w:val="32"/>
          <w:szCs w:val="32"/>
        </w:rPr>
      </w:pPr>
      <w:r>
        <w:rPr>
          <w:rFonts w:hint="eastAsia" w:ascii="仿宋_GB2312" w:eastAsia="仿宋_GB2312"/>
          <w:sz w:val="32"/>
          <w:szCs w:val="32"/>
        </w:rPr>
        <w:t>为便于供应商及时了解政府采购信息，根据《财政部关于开展政府采购意向公开工作的通知》（财库〔</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号）和《广西壮族自治区财政厅关于进一步规范政府采购意向公开工作的通知》（桂财采〔</w:t>
      </w:r>
      <w:r>
        <w:rPr>
          <w:rFonts w:ascii="仿宋_GB2312" w:eastAsia="仿宋_GB2312"/>
          <w:sz w:val="32"/>
          <w:szCs w:val="32"/>
        </w:rPr>
        <w:t>2022</w:t>
      </w:r>
      <w:r>
        <w:rPr>
          <w:rFonts w:hint="eastAsia" w:ascii="仿宋_GB2312" w:eastAsia="仿宋_GB2312"/>
          <w:sz w:val="32"/>
          <w:szCs w:val="32"/>
        </w:rPr>
        <w:t>〕</w:t>
      </w:r>
      <w:r>
        <w:rPr>
          <w:rFonts w:ascii="仿宋_GB2312" w:eastAsia="仿宋_GB2312"/>
          <w:sz w:val="32"/>
          <w:szCs w:val="32"/>
        </w:rPr>
        <w:t>84</w:t>
      </w:r>
      <w:r>
        <w:rPr>
          <w:rFonts w:hint="eastAsia" w:ascii="仿宋_GB2312" w:eastAsia="仿宋_GB2312"/>
          <w:sz w:val="32"/>
          <w:szCs w:val="32"/>
        </w:rPr>
        <w:t>号）等有关规定，现将</w:t>
      </w:r>
      <w:r>
        <w:rPr>
          <w:rFonts w:hint="eastAsia" w:ascii="仿宋_GB2312" w:eastAsia="仿宋_GB2312"/>
          <w:sz w:val="32"/>
          <w:szCs w:val="32"/>
          <w:u w:val="single"/>
        </w:rPr>
        <w:t>（横州市横州镇茉莉小学）</w:t>
      </w:r>
      <w:r>
        <w:rPr>
          <w:rFonts w:hint="eastAsia" w:ascii="仿宋_GB2312" w:eastAsia="仿宋_GB2312"/>
          <w:sz w:val="32"/>
          <w:szCs w:val="32"/>
          <w:lang w:val="zh-CN" w:eastAsia="zh-CN" w:bidi="zh-CN"/>
        </w:rPr>
        <w:t>202</w:t>
      </w:r>
      <w:r>
        <w:rPr>
          <w:rFonts w:hint="eastAsia" w:ascii="仿宋_GB2312" w:eastAsia="仿宋_GB2312"/>
          <w:sz w:val="32"/>
          <w:szCs w:val="32"/>
          <w:lang w:val="en-US" w:eastAsia="zh-CN" w:bidi="zh-CN"/>
        </w:rPr>
        <w:t>5</w:t>
      </w:r>
      <w:r>
        <w:rPr>
          <w:rFonts w:hint="eastAsia" w:ascii="仿宋_GB2312" w:eastAsia="仿宋_GB2312"/>
          <w:sz w:val="32"/>
          <w:szCs w:val="32"/>
        </w:rPr>
        <w:t>年</w:t>
      </w:r>
      <w:r>
        <w:rPr>
          <w:rFonts w:hint="eastAsia" w:ascii="仿宋_GB2312" w:eastAsia="仿宋_GB2312"/>
          <w:sz w:val="32"/>
          <w:szCs w:val="32"/>
          <w:u w:val="single"/>
          <w:lang w:eastAsia="zh-CN"/>
        </w:rPr>
        <w:t xml:space="preserve"> </w:t>
      </w:r>
      <w:r>
        <w:rPr>
          <w:rFonts w:hint="eastAsia" w:ascii="仿宋_GB2312" w:eastAsia="仿宋_GB2312"/>
          <w:sz w:val="32"/>
          <w:szCs w:val="32"/>
          <w:u w:val="single"/>
          <w:lang w:val="en-US" w:eastAsia="zh-CN"/>
        </w:rPr>
        <w:t>1</w:t>
      </w:r>
      <w:r>
        <w:rPr>
          <w:rFonts w:hint="eastAsia" w:ascii="仿宋_GB2312" w:eastAsia="仿宋_GB2312"/>
          <w:sz w:val="32"/>
          <w:szCs w:val="32"/>
          <w:u w:val="single"/>
        </w:rPr>
        <w:t>月</w:t>
      </w:r>
      <w:r>
        <w:rPr>
          <w:rFonts w:hint="eastAsia" w:ascii="仿宋_GB2312" w:eastAsia="仿宋_GB2312"/>
          <w:sz w:val="32"/>
          <w:szCs w:val="32"/>
        </w:rPr>
        <w:t>（至）</w:t>
      </w:r>
      <w:r>
        <w:rPr>
          <w:rFonts w:hint="eastAsia" w:ascii="仿宋_GB2312" w:eastAsia="仿宋_GB2312"/>
          <w:sz w:val="32"/>
          <w:szCs w:val="32"/>
          <w:u w:val="single"/>
          <w:lang w:val="en-US" w:eastAsia="zh-CN"/>
        </w:rPr>
        <w:t>2</w:t>
      </w:r>
      <w:r>
        <w:rPr>
          <w:rFonts w:hint="eastAsia" w:ascii="仿宋_GB2312" w:eastAsia="仿宋_GB2312"/>
          <w:sz w:val="32"/>
          <w:szCs w:val="32"/>
        </w:rPr>
        <w:t>月政府采购意向公开如下：</w:t>
      </w:r>
    </w:p>
    <w:tbl>
      <w:tblPr>
        <w:tblStyle w:val="2"/>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03"/>
        <w:gridCol w:w="1922"/>
        <w:gridCol w:w="3064"/>
        <w:gridCol w:w="1468"/>
        <w:gridCol w:w="1357"/>
        <w:gridCol w:w="1375"/>
        <w:gridCol w:w="439"/>
      </w:tblGrid>
      <w:tr w14:paraId="42C7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1" w:hRule="exact"/>
          <w:jc w:val="center"/>
        </w:trPr>
        <w:tc>
          <w:tcPr>
            <w:tcW w:w="603" w:type="dxa"/>
            <w:tcBorders>
              <w:tl2br w:val="nil"/>
              <w:tr2bl w:val="nil"/>
            </w:tcBorders>
            <w:shd w:val="clear" w:color="auto" w:fill="FFFFFF"/>
            <w:vAlign w:val="center"/>
          </w:tcPr>
          <w:p w14:paraId="7F236733">
            <w:pPr>
              <w:pStyle w:val="6"/>
              <w:jc w:val="center"/>
            </w:pPr>
            <w:r>
              <w:t>序 号</w:t>
            </w:r>
          </w:p>
        </w:tc>
        <w:tc>
          <w:tcPr>
            <w:tcW w:w="1922" w:type="dxa"/>
            <w:tcBorders>
              <w:tl2br w:val="nil"/>
              <w:tr2bl w:val="nil"/>
            </w:tcBorders>
            <w:shd w:val="clear" w:color="auto" w:fill="FFFFFF"/>
            <w:vAlign w:val="center"/>
          </w:tcPr>
          <w:p w14:paraId="500AD887">
            <w:pPr>
              <w:pStyle w:val="6"/>
              <w:jc w:val="center"/>
            </w:pPr>
            <w:r>
              <w:t>采购项目名称</w:t>
            </w:r>
          </w:p>
        </w:tc>
        <w:tc>
          <w:tcPr>
            <w:tcW w:w="3064" w:type="dxa"/>
            <w:tcBorders>
              <w:tl2br w:val="nil"/>
              <w:tr2bl w:val="nil"/>
            </w:tcBorders>
            <w:shd w:val="clear" w:color="auto" w:fill="FFFFFF"/>
            <w:vAlign w:val="center"/>
          </w:tcPr>
          <w:p w14:paraId="2F6985DA">
            <w:pPr>
              <w:pStyle w:val="6"/>
              <w:spacing w:line="240" w:lineRule="auto"/>
              <w:jc w:val="center"/>
            </w:pPr>
            <w:r>
              <w:t>采购需求概况</w:t>
            </w:r>
          </w:p>
        </w:tc>
        <w:tc>
          <w:tcPr>
            <w:tcW w:w="1468" w:type="dxa"/>
            <w:tcBorders>
              <w:tl2br w:val="nil"/>
              <w:tr2bl w:val="nil"/>
            </w:tcBorders>
            <w:shd w:val="clear" w:color="auto" w:fill="FFFFFF"/>
            <w:vAlign w:val="center"/>
          </w:tcPr>
          <w:p w14:paraId="75678B8D">
            <w:pPr>
              <w:pStyle w:val="6"/>
              <w:jc w:val="center"/>
            </w:pPr>
            <w:r>
              <w:rPr>
                <w:rFonts w:hint="eastAsia"/>
                <w:lang w:eastAsia="zh-CN"/>
              </w:rPr>
              <w:t>预</w:t>
            </w:r>
            <w:r>
              <w:t>算金</w:t>
            </w:r>
            <w:r>
              <w:rPr>
                <w:rFonts w:hint="eastAsia"/>
                <w:lang w:eastAsia="zh-CN"/>
              </w:rPr>
              <w:t>额</w:t>
            </w:r>
            <w:r>
              <w:t>（万元）</w:t>
            </w:r>
          </w:p>
        </w:tc>
        <w:tc>
          <w:tcPr>
            <w:tcW w:w="1357" w:type="dxa"/>
            <w:tcBorders>
              <w:tl2br w:val="nil"/>
              <w:tr2bl w:val="nil"/>
            </w:tcBorders>
            <w:shd w:val="clear" w:color="auto" w:fill="FFFFFF"/>
            <w:vAlign w:val="center"/>
          </w:tcPr>
          <w:p w14:paraId="7CCF69C8">
            <w:pPr>
              <w:pStyle w:val="6"/>
              <w:spacing w:line="285" w:lineRule="exact"/>
            </w:pPr>
            <w:r>
              <w:t>预</w:t>
            </w:r>
            <w:r>
              <w:rPr>
                <w:rFonts w:hint="eastAsia"/>
                <w:lang w:eastAsia="zh-CN"/>
              </w:rPr>
              <w:t>计</w:t>
            </w:r>
            <w:r>
              <w:t>采购时间 （</w:t>
            </w:r>
            <w:r>
              <w:rPr>
                <w:rFonts w:hint="eastAsia"/>
                <w:lang w:eastAsia="zh-CN"/>
              </w:rPr>
              <w:t>填写到月</w:t>
            </w:r>
            <w:r>
              <w:t>）</w:t>
            </w:r>
          </w:p>
        </w:tc>
        <w:tc>
          <w:tcPr>
            <w:tcW w:w="1375" w:type="dxa"/>
            <w:tcBorders>
              <w:tl2br w:val="nil"/>
              <w:tr2bl w:val="nil"/>
            </w:tcBorders>
            <w:shd w:val="clear" w:color="auto" w:fill="FFFFFF"/>
            <w:vAlign w:val="center"/>
          </w:tcPr>
          <w:p w14:paraId="17E0AF6C">
            <w:pPr>
              <w:pStyle w:val="6"/>
              <w:spacing w:line="240" w:lineRule="auto"/>
              <w:jc w:val="center"/>
              <w:rPr>
                <w:rFonts w:hint="default" w:eastAsia="宋体"/>
                <w:lang w:val="en-US" w:eastAsia="zh-CN"/>
              </w:rPr>
            </w:pPr>
            <w:r>
              <w:rPr>
                <w:rFonts w:hint="eastAsia"/>
                <w:lang w:val="en-US" w:eastAsia="zh-CN"/>
              </w:rPr>
              <w:t>落实政府采购政策功能情况</w:t>
            </w:r>
          </w:p>
        </w:tc>
        <w:tc>
          <w:tcPr>
            <w:tcW w:w="439" w:type="dxa"/>
            <w:tcBorders>
              <w:tl2br w:val="nil"/>
              <w:tr2bl w:val="nil"/>
            </w:tcBorders>
            <w:shd w:val="clear" w:color="auto" w:fill="FFFFFF"/>
            <w:vAlign w:val="center"/>
          </w:tcPr>
          <w:p w14:paraId="37BF22F3">
            <w:pPr>
              <w:pStyle w:val="6"/>
              <w:spacing w:line="240" w:lineRule="auto"/>
              <w:jc w:val="center"/>
              <w:rPr>
                <w:rFonts w:hint="eastAsia"/>
                <w:lang w:eastAsia="zh-CN"/>
              </w:rPr>
            </w:pPr>
            <w:r>
              <w:rPr>
                <w:rFonts w:hint="eastAsia"/>
                <w:lang w:eastAsia="zh-CN"/>
              </w:rPr>
              <w:t>备</w:t>
            </w:r>
            <w:r>
              <w:t>注</w:t>
            </w:r>
          </w:p>
        </w:tc>
      </w:tr>
      <w:tr w14:paraId="3190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7" w:hRule="exact"/>
          <w:jc w:val="center"/>
        </w:trPr>
        <w:tc>
          <w:tcPr>
            <w:tcW w:w="603" w:type="dxa"/>
            <w:tcBorders>
              <w:tl2br w:val="nil"/>
              <w:tr2bl w:val="nil"/>
            </w:tcBorders>
            <w:shd w:val="clear" w:color="auto" w:fill="FFFFFF"/>
            <w:vAlign w:val="center"/>
          </w:tcPr>
          <w:p w14:paraId="60BB5479">
            <w:pPr>
              <w:jc w:val="center"/>
              <w:rPr>
                <w:rFonts w:hint="default" w:ascii="Times New Roman" w:hAnsi="Times New Roman" w:cs="Times New Roman" w:eastAsiaTheme="minorEastAsia"/>
                <w:b w:val="0"/>
                <w:bCs w:val="0"/>
                <w:color w:val="000000"/>
                <w:kern w:val="0"/>
                <w:sz w:val="30"/>
                <w:szCs w:val="30"/>
                <w:lang w:val="en-US" w:eastAsia="zh-CN" w:bidi="en-US"/>
              </w:rPr>
            </w:pPr>
            <w:r>
              <w:rPr>
                <w:rFonts w:hint="eastAsia" w:cs="Times New Roman" w:eastAsiaTheme="minorEastAsia"/>
                <w:b w:val="0"/>
                <w:bCs w:val="0"/>
                <w:color w:val="000000"/>
                <w:kern w:val="0"/>
                <w:sz w:val="30"/>
                <w:szCs w:val="30"/>
                <w:lang w:val="en-US" w:eastAsia="zh-CN" w:bidi="en-US"/>
              </w:rPr>
              <w:t>1</w:t>
            </w:r>
          </w:p>
        </w:tc>
        <w:tc>
          <w:tcPr>
            <w:tcW w:w="1922" w:type="dxa"/>
            <w:tcBorders>
              <w:tl2br w:val="nil"/>
              <w:tr2bl w:val="nil"/>
            </w:tcBorders>
            <w:shd w:val="clear" w:color="auto" w:fill="FFFFFF"/>
            <w:vAlign w:val="center"/>
          </w:tcPr>
          <w:p w14:paraId="1B4FFA6A">
            <w:pPr>
              <w:pStyle w:val="6"/>
              <w:spacing w:line="387" w:lineRule="exact"/>
              <w:rPr>
                <w:rFonts w:hint="eastAsia" w:ascii="仿宋_GB2312" w:hAnsi="宋体" w:eastAsia="仿宋_GB2312" w:cs="宋体"/>
                <w:color w:val="auto"/>
                <w:kern w:val="2"/>
                <w:sz w:val="21"/>
                <w:szCs w:val="21"/>
                <w:lang w:val="en-US" w:eastAsia="zh-CN" w:bidi="zh-TW"/>
              </w:rPr>
            </w:pPr>
            <w:r>
              <w:rPr>
                <w:rFonts w:hint="eastAsia" w:ascii="仿宋_GB2312" w:hAnsi="宋体" w:eastAsia="仿宋_GB2312" w:cs="宋体"/>
                <w:color w:val="auto"/>
                <w:kern w:val="2"/>
                <w:sz w:val="21"/>
                <w:szCs w:val="21"/>
                <w:lang w:val="en-US" w:eastAsia="zh-CN" w:bidi="zh-TW"/>
              </w:rPr>
              <w:t>横州市横州镇茉莉小学新建教学楼项目</w:t>
            </w:r>
            <w:bookmarkStart w:id="0" w:name="_GoBack"/>
            <w:bookmarkEnd w:id="0"/>
          </w:p>
        </w:tc>
        <w:tc>
          <w:tcPr>
            <w:tcW w:w="3064" w:type="dxa"/>
            <w:tcBorders>
              <w:tl2br w:val="nil"/>
              <w:tr2bl w:val="nil"/>
            </w:tcBorders>
            <w:shd w:val="clear" w:color="auto" w:fill="FFFFFF"/>
            <w:vAlign w:val="center"/>
          </w:tcPr>
          <w:p w14:paraId="5999C516">
            <w:pPr>
              <w:pStyle w:val="6"/>
              <w:spacing w:line="440" w:lineRule="exact"/>
              <w:jc w:val="both"/>
              <w:rPr>
                <w:rFonts w:hint="eastAsia" w:ascii="仿宋_GB2312" w:eastAsia="仿宋_GB2312"/>
                <w:sz w:val="21"/>
                <w:szCs w:val="21"/>
                <w:lang w:val="en-US" w:eastAsia="zh-CN"/>
              </w:rPr>
            </w:pPr>
            <w:r>
              <w:rPr>
                <w:rFonts w:hint="eastAsia" w:ascii="仿宋_GB2312" w:eastAsia="仿宋_GB2312"/>
                <w:sz w:val="21"/>
                <w:szCs w:val="21"/>
                <w:lang w:val="en-US" w:eastAsia="zh-CN"/>
              </w:rPr>
              <w:t>建设内容主要包含</w:t>
            </w:r>
            <w:r>
              <w:rPr>
                <w:rFonts w:hint="default" w:ascii="仿宋_GB2312" w:eastAsia="仿宋_GB2312"/>
                <w:sz w:val="21"/>
                <w:szCs w:val="21"/>
                <w:lang w:val="en-US" w:eastAsia="zh-CN"/>
              </w:rPr>
              <w:t>教学楼</w:t>
            </w:r>
            <w:r>
              <w:rPr>
                <w:rFonts w:hint="eastAsia" w:ascii="仿宋_GB2312" w:eastAsia="仿宋_GB2312"/>
                <w:sz w:val="21"/>
                <w:szCs w:val="21"/>
                <w:lang w:val="en-US" w:eastAsia="zh-CN"/>
              </w:rPr>
              <w:t>1栋</w:t>
            </w:r>
            <w:r>
              <w:rPr>
                <w:rFonts w:hint="default" w:ascii="仿宋_GB2312" w:eastAsia="仿宋_GB2312"/>
                <w:sz w:val="21"/>
                <w:szCs w:val="21"/>
                <w:lang w:val="en-US" w:eastAsia="zh-CN"/>
              </w:rPr>
              <w:t>，建筑面积</w:t>
            </w:r>
            <w:r>
              <w:rPr>
                <w:rFonts w:hint="eastAsia" w:ascii="仿宋_GB2312" w:eastAsia="仿宋_GB2312"/>
                <w:sz w:val="21"/>
                <w:szCs w:val="21"/>
                <w:lang w:val="en-US" w:eastAsia="zh-CN"/>
              </w:rPr>
              <w:t>42</w:t>
            </w:r>
            <w:r>
              <w:rPr>
                <w:rFonts w:hint="default" w:ascii="仿宋_GB2312" w:eastAsia="仿宋_GB2312"/>
                <w:sz w:val="21"/>
                <w:szCs w:val="21"/>
                <w:lang w:val="en-US" w:eastAsia="zh-CN"/>
              </w:rPr>
              <w:t>00平方米</w:t>
            </w:r>
            <w:r>
              <w:rPr>
                <w:rFonts w:hint="eastAsia" w:ascii="仿宋_GB2312" w:eastAsia="仿宋_GB2312"/>
                <w:sz w:val="21"/>
                <w:szCs w:val="21"/>
                <w:lang w:val="en-US" w:eastAsia="zh-CN"/>
              </w:rPr>
              <w:t>。</w:t>
            </w:r>
          </w:p>
          <w:p w14:paraId="10AACF9C">
            <w:pPr>
              <w:pStyle w:val="6"/>
              <w:spacing w:line="440" w:lineRule="exact"/>
              <w:jc w:val="both"/>
              <w:rPr>
                <w:rFonts w:hint="default" w:ascii="仿宋_GB2312" w:hAnsi="宋体" w:eastAsia="仿宋_GB2312" w:cs="宋体"/>
                <w:color w:val="auto"/>
                <w:kern w:val="2"/>
                <w:sz w:val="21"/>
                <w:szCs w:val="21"/>
                <w:lang w:val="en-US" w:eastAsia="zh-CN" w:bidi="zh-TW"/>
              </w:rPr>
            </w:pPr>
            <w:r>
              <w:rPr>
                <w:rFonts w:hint="eastAsia" w:ascii="仿宋_GB2312" w:eastAsia="仿宋_GB2312"/>
                <w:sz w:val="21"/>
                <w:szCs w:val="21"/>
                <w:lang w:val="en-US" w:eastAsia="zh-CN"/>
              </w:rPr>
              <w:t>采购项目需满足规范要求和保证质量安全。</w:t>
            </w:r>
          </w:p>
        </w:tc>
        <w:tc>
          <w:tcPr>
            <w:tcW w:w="1468" w:type="dxa"/>
            <w:tcBorders>
              <w:tl2br w:val="nil"/>
              <w:tr2bl w:val="nil"/>
            </w:tcBorders>
            <w:shd w:val="clear" w:color="auto" w:fill="FFFFFF"/>
            <w:vAlign w:val="center"/>
          </w:tcPr>
          <w:p w14:paraId="269FE7CE">
            <w:pPr>
              <w:pStyle w:val="6"/>
              <w:spacing w:line="440" w:lineRule="exact"/>
              <w:ind w:firstLine="210" w:firstLineChars="100"/>
              <w:jc w:val="both"/>
              <w:rPr>
                <w:rFonts w:hint="eastAsia" w:ascii="仿宋_GB2312" w:hAnsi="宋体" w:eastAsia="仿宋_GB2312" w:cs="宋体"/>
                <w:color w:val="auto"/>
                <w:kern w:val="2"/>
                <w:sz w:val="21"/>
                <w:szCs w:val="21"/>
                <w:lang w:val="en-US" w:eastAsia="zh-CN" w:bidi="zh-TW"/>
              </w:rPr>
            </w:pPr>
            <w:r>
              <w:rPr>
                <w:rFonts w:hint="eastAsia" w:ascii="仿宋_GB2312" w:eastAsia="仿宋_GB2312"/>
                <w:sz w:val="21"/>
                <w:szCs w:val="21"/>
                <w:lang w:val="en-US" w:eastAsia="zh-CN"/>
              </w:rPr>
              <w:t>1185万元</w:t>
            </w:r>
          </w:p>
        </w:tc>
        <w:tc>
          <w:tcPr>
            <w:tcW w:w="1357" w:type="dxa"/>
            <w:tcBorders>
              <w:tl2br w:val="nil"/>
              <w:tr2bl w:val="nil"/>
            </w:tcBorders>
            <w:shd w:val="clear" w:color="auto" w:fill="FFFFFF"/>
            <w:vAlign w:val="center"/>
          </w:tcPr>
          <w:p w14:paraId="7753BFE6">
            <w:pPr>
              <w:pStyle w:val="6"/>
              <w:spacing w:line="440" w:lineRule="exact"/>
              <w:jc w:val="both"/>
              <w:rPr>
                <w:rFonts w:hint="eastAsia" w:ascii="仿宋_GB2312" w:hAnsi="宋体" w:eastAsia="仿宋_GB2312" w:cs="宋体"/>
                <w:color w:val="auto"/>
                <w:kern w:val="2"/>
                <w:sz w:val="21"/>
                <w:szCs w:val="21"/>
                <w:lang w:val="en-US" w:eastAsia="zh-CN" w:bidi="zh-TW"/>
              </w:rPr>
            </w:pPr>
            <w:r>
              <w:rPr>
                <w:rFonts w:hint="eastAsia" w:ascii="仿宋_GB2312" w:eastAsia="仿宋_GB2312"/>
                <w:sz w:val="21"/>
                <w:szCs w:val="21"/>
                <w:lang w:eastAsia="zh-CN"/>
              </w:rPr>
              <w:t>202</w:t>
            </w:r>
            <w:r>
              <w:rPr>
                <w:rFonts w:hint="eastAsia" w:ascii="仿宋_GB2312" w:eastAsia="仿宋_GB2312"/>
                <w:sz w:val="21"/>
                <w:szCs w:val="21"/>
                <w:lang w:val="en-US" w:eastAsia="zh-CN"/>
              </w:rPr>
              <w:t>5</w:t>
            </w:r>
            <w:r>
              <w:rPr>
                <w:rFonts w:hint="eastAsia" w:ascii="仿宋_GB2312" w:eastAsia="仿宋_GB2312"/>
                <w:sz w:val="21"/>
                <w:szCs w:val="21"/>
                <w:lang w:eastAsia="zh-CN"/>
              </w:rPr>
              <w:t>年</w:t>
            </w:r>
            <w:r>
              <w:rPr>
                <w:rFonts w:hint="eastAsia" w:ascii="仿宋_GB2312" w:eastAsia="仿宋_GB2312"/>
                <w:sz w:val="21"/>
                <w:szCs w:val="21"/>
                <w:lang w:val="en-US" w:eastAsia="zh-CN"/>
              </w:rPr>
              <w:t>3</w:t>
            </w:r>
            <w:r>
              <w:rPr>
                <w:rFonts w:hint="eastAsia" w:ascii="仿宋_GB2312" w:eastAsia="仿宋_GB2312"/>
                <w:sz w:val="21"/>
                <w:szCs w:val="21"/>
                <w:lang w:eastAsia="zh-CN"/>
              </w:rPr>
              <w:t>月</w:t>
            </w:r>
          </w:p>
        </w:tc>
        <w:tc>
          <w:tcPr>
            <w:tcW w:w="1375" w:type="dxa"/>
            <w:tcBorders>
              <w:tl2br w:val="nil"/>
              <w:tr2bl w:val="nil"/>
            </w:tcBorders>
            <w:shd w:val="clear" w:color="auto" w:fill="FFFFFF"/>
            <w:vAlign w:val="center"/>
          </w:tcPr>
          <w:p w14:paraId="31DDB48F">
            <w:pPr>
              <w:pStyle w:val="6"/>
              <w:spacing w:line="240" w:lineRule="auto"/>
              <w:jc w:val="center"/>
              <w:rPr>
                <w:rFonts w:hint="eastAsia" w:ascii="宋体" w:hAnsi="宋体" w:eastAsia="宋体" w:cs="宋体"/>
                <w:color w:val="auto"/>
                <w:kern w:val="2"/>
                <w:sz w:val="22"/>
                <w:szCs w:val="22"/>
                <w:lang w:val="en-US" w:eastAsia="zh-CN" w:bidi="zh-TW"/>
              </w:rPr>
            </w:pPr>
            <w:r>
              <w:rPr>
                <w:rFonts w:hint="eastAsia"/>
                <w:lang w:val="en-US" w:eastAsia="zh-CN"/>
              </w:rPr>
              <w:t>按政策要求落实政府采购</w:t>
            </w:r>
          </w:p>
        </w:tc>
        <w:tc>
          <w:tcPr>
            <w:tcW w:w="439" w:type="dxa"/>
            <w:tcBorders>
              <w:tl2br w:val="nil"/>
              <w:tr2bl w:val="nil"/>
            </w:tcBorders>
            <w:shd w:val="clear" w:color="auto" w:fill="FFFFFF"/>
            <w:vAlign w:val="center"/>
          </w:tcPr>
          <w:p w14:paraId="2BD1B14F">
            <w:pPr>
              <w:pStyle w:val="6"/>
              <w:spacing w:line="240" w:lineRule="auto"/>
              <w:jc w:val="center"/>
              <w:rPr>
                <w:rFonts w:hint="eastAsia" w:ascii="宋体" w:hAnsi="宋体" w:eastAsia="宋体" w:cs="宋体"/>
                <w:color w:val="auto"/>
                <w:kern w:val="2"/>
                <w:sz w:val="22"/>
                <w:szCs w:val="22"/>
                <w:lang w:val="zh-TW" w:eastAsia="zh-CN" w:bidi="zh-TW"/>
              </w:rPr>
            </w:pPr>
          </w:p>
        </w:tc>
      </w:tr>
    </w:tbl>
    <w:p w14:paraId="6DE79342">
      <w:pPr>
        <w:pStyle w:val="5"/>
        <w:spacing w:line="575" w:lineRule="exact"/>
        <w:jc w:val="both"/>
        <w:rPr>
          <w:rFonts w:ascii="仿宋_GB2312" w:eastAsia="仿宋_GB2312"/>
          <w:sz w:val="32"/>
          <w:szCs w:val="32"/>
        </w:rPr>
      </w:pPr>
      <w:r>
        <w:rPr>
          <w:rFonts w:ascii="仿宋_GB2312" w:eastAsia="仿宋_GB2312"/>
          <w:sz w:val="32"/>
          <w:szCs w:val="32"/>
        </w:rPr>
        <w:t>本次公开的政府采购意向是本单位政府采购工作的初步安排，具体采购项目情况以相关采购公告和采购文件为准。</w:t>
      </w:r>
    </w:p>
    <w:p w14:paraId="2E3C9946">
      <w:pPr>
        <w:pStyle w:val="5"/>
        <w:spacing w:line="575" w:lineRule="exact"/>
        <w:ind w:firstLine="700"/>
        <w:jc w:val="both"/>
        <w:rPr>
          <w:rFonts w:ascii="仿宋_GB2312" w:eastAsia="仿宋_GB2312"/>
          <w:sz w:val="32"/>
          <w:szCs w:val="32"/>
        </w:rPr>
      </w:pPr>
    </w:p>
    <w:p w14:paraId="6054EB12">
      <w:pPr>
        <w:pStyle w:val="5"/>
        <w:spacing w:line="575" w:lineRule="exact"/>
        <w:ind w:firstLine="700"/>
        <w:jc w:val="both"/>
        <w:rPr>
          <w:rFonts w:ascii="仿宋_GB2312" w:eastAsia="仿宋_GB2312"/>
          <w:sz w:val="32"/>
          <w:szCs w:val="32"/>
        </w:rPr>
      </w:pPr>
    </w:p>
    <w:p w14:paraId="19D5AE57">
      <w:pPr>
        <w:pStyle w:val="5"/>
        <w:spacing w:line="575" w:lineRule="exact"/>
        <w:ind w:left="5457" w:leftChars="399" w:hanging="4499" w:hangingChars="1406"/>
        <w:jc w:val="both"/>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横州市横州镇茉莉小学</w:t>
      </w:r>
      <w:r>
        <w:rPr>
          <w:rFonts w:hint="eastAsia" w:ascii="仿宋_GB2312" w:eastAsia="仿宋_GB2312"/>
          <w:sz w:val="32"/>
          <w:szCs w:val="32"/>
        </w:rPr>
        <w:t xml:space="preserve">      </w:t>
      </w: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5</w:t>
      </w:r>
      <w:r>
        <w:rPr>
          <w:rFonts w:ascii="仿宋_GB2312" w:eastAsia="仿宋_GB2312"/>
          <w:sz w:val="32"/>
          <w:szCs w:val="32"/>
        </w:rPr>
        <w:t>年</w:t>
      </w:r>
      <w:r>
        <w:rPr>
          <w:rFonts w:hint="eastAsia" w:ascii="仿宋_GB2312" w:eastAsia="仿宋_GB2312"/>
          <w:sz w:val="32"/>
          <w:szCs w:val="32"/>
          <w:lang w:val="en-US" w:eastAsia="zh-CN"/>
        </w:rPr>
        <w:t>1</w:t>
      </w:r>
      <w:r>
        <w:rPr>
          <w:rFonts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14:paraId="36C104FE">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1492F"/>
    <w:rsid w:val="2AF1492F"/>
    <w:rsid w:val="6BAB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spacing w:after="540" w:line="571" w:lineRule="exact"/>
      <w:jc w:val="center"/>
    </w:pPr>
    <w:rPr>
      <w:rFonts w:ascii="宋体" w:hAnsi="宋体" w:eastAsia="宋体" w:cs="宋体"/>
      <w:color w:val="auto"/>
      <w:kern w:val="2"/>
      <w:sz w:val="42"/>
      <w:szCs w:val="42"/>
      <w:lang w:val="zh-TW" w:eastAsia="zh-TW" w:bidi="zh-TW"/>
    </w:rPr>
  </w:style>
  <w:style w:type="paragraph" w:customStyle="1" w:styleId="5">
    <w:name w:val="Body text|1"/>
    <w:basedOn w:val="1"/>
    <w:qFormat/>
    <w:uiPriority w:val="0"/>
    <w:pPr>
      <w:spacing w:line="427" w:lineRule="auto"/>
      <w:ind w:firstLine="400"/>
    </w:pPr>
    <w:rPr>
      <w:rFonts w:ascii="宋体" w:hAnsi="宋体" w:eastAsia="宋体" w:cs="宋体"/>
      <w:color w:val="auto"/>
      <w:kern w:val="2"/>
      <w:sz w:val="28"/>
      <w:szCs w:val="28"/>
      <w:lang w:val="zh-TW" w:eastAsia="zh-TW" w:bidi="zh-TW"/>
    </w:rPr>
  </w:style>
  <w:style w:type="paragraph" w:customStyle="1" w:styleId="6">
    <w:name w:val="Other|1"/>
    <w:basedOn w:val="1"/>
    <w:qFormat/>
    <w:uiPriority w:val="0"/>
    <w:pPr>
      <w:spacing w:line="299" w:lineRule="exact"/>
    </w:pPr>
    <w:rPr>
      <w:rFonts w:ascii="宋体" w:hAnsi="宋体" w:eastAsia="宋体" w:cs="宋体"/>
      <w:color w:val="auto"/>
      <w:kern w:val="2"/>
      <w:sz w:val="22"/>
      <w:szCs w:val="22"/>
      <w:lang w:val="zh-TW" w:eastAsia="zh-TW" w:bidi="zh-TW"/>
    </w:rPr>
  </w:style>
  <w:style w:type="paragraph" w:customStyle="1" w:styleId="7">
    <w:name w:val="Header or footer|2"/>
    <w:basedOn w:val="1"/>
    <w:qFormat/>
    <w:uiPriority w:val="0"/>
    <w:rPr>
      <w:rFonts w:asciiTheme="minorHAnsi" w:hAnsiTheme="minorHAnsi" w:eastAsiaTheme="minorEastAsia" w:cstheme="minorBidi"/>
      <w:color w:val="auto"/>
      <w:kern w:val="2"/>
      <w:sz w:val="20"/>
      <w:szCs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374</Characters>
  <Lines>0</Lines>
  <Paragraphs>0</Paragraphs>
  <TotalTime>7</TotalTime>
  <ScaleCrop>false</ScaleCrop>
  <LinksUpToDate>false</LinksUpToDate>
  <CharactersWithSpaces>407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2025-01-22T09:38:00Z</dcterms:created>
  <dc:creator>遇见是缘</dc:creator>
  <cp:lastModifiedBy>桔梗</cp:lastModifiedBy>
  <dcterms:modified xsi:type="dcterms:W3CDTF">2025-01-25T05:40:15Z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F6DE4CC1F49949C88D63E3A575BCBAE7_11</vt:lpwstr>
  </property>
  <property fmtid="{D5CDD505-2E9C-101B-9397-08002B2CF9AE}" pid="4" name="KSOTemplateDocerSaveRecord">
    <vt:lpwstr>eyJoZGlkIjoiNmFiOTE2NjQxZWVmYTJjODhiMTI4YTA5ZWNlNWU4NWQiLCJ1c2VySWQiOiIxMDAxNDE3NjEwIn0=</vt:lpwstr>
  </property>
</Properties>
</file>