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500" w:lineRule="exact"/>
        <w:jc w:val="center"/>
        <w:rPr>
          <w:rFonts w:ascii="宋体" w:hAnsi="Courier New"/>
          <w:bCs/>
          <w:color w:val="000000"/>
          <w:kern w:val="2"/>
          <w:sz w:val="36"/>
          <w:szCs w:val="36"/>
        </w:rPr>
      </w:pPr>
      <w:bookmarkStart w:id="0" w:name="_Toc28359001"/>
      <w:bookmarkStart w:id="1" w:name="_Toc35393789"/>
      <w:r>
        <w:rPr>
          <w:rFonts w:hint="eastAsia"/>
          <w:bCs/>
          <w:color w:val="000000"/>
          <w:kern w:val="2"/>
          <w:sz w:val="30"/>
          <w:szCs w:val="30"/>
          <w:lang w:eastAsia="zh-CN"/>
        </w:rPr>
        <w:t>广西南宁市科文招标咨询有限公司关于宾阳县辖区国省道与农村道路平交路口交通安全隐患整改工程</w:t>
      </w:r>
      <w:r>
        <w:rPr>
          <w:rFonts w:hint="eastAsia" w:ascii="宋体" w:hAnsi="Courier New"/>
          <w:bCs/>
          <w:color w:val="000000"/>
          <w:kern w:val="2"/>
          <w:sz w:val="30"/>
          <w:szCs w:val="30"/>
          <w:lang w:eastAsia="zh-CN"/>
        </w:rPr>
        <w:t>（</w:t>
      </w:r>
      <w:r>
        <w:rPr>
          <w:rFonts w:hint="eastAsia"/>
          <w:bCs/>
          <w:color w:val="000000"/>
          <w:kern w:val="2"/>
          <w:sz w:val="30"/>
          <w:szCs w:val="30"/>
          <w:lang w:eastAsia="zh-CN"/>
        </w:rPr>
        <w:t>NNZC2025-J1-260032-GXNN</w:t>
      </w:r>
      <w:r>
        <w:rPr>
          <w:rFonts w:hint="eastAsia" w:ascii="宋体" w:hAnsi="Courier New"/>
          <w:bCs/>
          <w:color w:val="000000"/>
          <w:kern w:val="2"/>
          <w:sz w:val="30"/>
          <w:szCs w:val="30"/>
          <w:lang w:eastAsia="zh-CN"/>
        </w:rPr>
        <w:t>）</w:t>
      </w:r>
      <w:bookmarkEnd w:id="0"/>
      <w:bookmarkEnd w:id="1"/>
      <w:bookmarkStart w:id="2" w:name="_Toc35393813"/>
      <w:r>
        <w:rPr>
          <w:rFonts w:hint="eastAsia" w:ascii="宋体" w:hAnsi="Courier New"/>
          <w:bCs/>
          <w:color w:val="000000"/>
          <w:kern w:val="2"/>
          <w:sz w:val="30"/>
          <w:szCs w:val="30"/>
          <w:lang w:eastAsia="zh-CN"/>
        </w:rPr>
        <w:t>更正公告</w:t>
      </w:r>
      <w:bookmarkEnd w:id="2"/>
      <w:r>
        <w:rPr>
          <w:rFonts w:hint="eastAsia" w:ascii="宋体" w:hAnsi="Courier New"/>
          <w:bCs/>
          <w:color w:val="000000"/>
          <w:kern w:val="2"/>
          <w:sz w:val="30"/>
          <w:szCs w:val="30"/>
          <w:lang w:eastAsia="zh-CN"/>
        </w:rPr>
        <w:t>（</w:t>
      </w:r>
      <w:r>
        <w:rPr>
          <w:rFonts w:hint="eastAsia"/>
          <w:bCs/>
          <w:color w:val="000000"/>
          <w:kern w:val="2"/>
          <w:sz w:val="30"/>
          <w:szCs w:val="30"/>
          <w:lang w:val="en-US" w:eastAsia="zh-CN"/>
        </w:rPr>
        <w:t>二</w:t>
      </w:r>
      <w:r>
        <w:rPr>
          <w:rFonts w:hint="eastAsia" w:ascii="宋体" w:hAnsi="Courier New"/>
          <w:bCs/>
          <w:color w:val="000000"/>
          <w:kern w:val="2"/>
          <w:sz w:val="30"/>
          <w:szCs w:val="30"/>
          <w:lang w:eastAsia="zh-CN"/>
        </w:rPr>
        <w:t>）</w:t>
      </w:r>
    </w:p>
    <w:p>
      <w:pPr>
        <w:spacing w:line="400" w:lineRule="exact"/>
        <w:ind w:firstLine="422" w:firstLineChars="200"/>
        <w:rPr>
          <w:rFonts w:hint="eastAsia" w:ascii="宋体" w:hAnsi="宋体" w:cs="Arial"/>
          <w:b/>
          <w:color w:val="000000"/>
        </w:rPr>
      </w:pPr>
      <w:bookmarkStart w:id="3" w:name="_Toc35393814"/>
      <w:bookmarkStart w:id="4" w:name="_Toc28359104"/>
      <w:bookmarkStart w:id="5" w:name="_Toc35393645"/>
      <w:bookmarkStart w:id="6" w:name="_Toc28359027"/>
    </w:p>
    <w:p>
      <w:pPr>
        <w:spacing w:line="400" w:lineRule="exact"/>
        <w:ind w:firstLine="422" w:firstLineChars="200"/>
        <w:rPr>
          <w:rFonts w:ascii="宋体" w:hAnsi="宋体" w:cs="Arial"/>
          <w:b/>
          <w:color w:val="000000"/>
        </w:rPr>
      </w:pPr>
      <w:r>
        <w:rPr>
          <w:rFonts w:hint="eastAsia" w:ascii="宋体" w:hAnsi="宋体" w:cs="Arial"/>
          <w:b/>
          <w:color w:val="000000"/>
        </w:rPr>
        <w:t>一、项目基本情况</w:t>
      </w:r>
      <w:bookmarkEnd w:id="3"/>
      <w:bookmarkEnd w:id="4"/>
      <w:bookmarkEnd w:id="5"/>
      <w:bookmarkEnd w:id="6"/>
    </w:p>
    <w:p>
      <w:pPr>
        <w:spacing w:line="400" w:lineRule="exact"/>
        <w:ind w:firstLine="422" w:firstLineChars="200"/>
        <w:rPr>
          <w:rFonts w:hint="eastAsia" w:ascii="宋体" w:hAnsi="宋体" w:eastAsia="宋体" w:cs="Arial"/>
          <w:color w:val="000000"/>
          <w:lang w:eastAsia="zh-CN"/>
        </w:rPr>
      </w:pPr>
      <w:r>
        <w:rPr>
          <w:rFonts w:hint="eastAsia" w:ascii="宋体" w:hAnsi="宋体" w:cs="Arial"/>
          <w:b/>
          <w:color w:val="000000"/>
        </w:rPr>
        <w:t>原公告的采购项目编号：</w:t>
      </w:r>
      <w:r>
        <w:rPr>
          <w:rFonts w:hint="eastAsia" w:ascii="宋体" w:hAnsi="宋体"/>
          <w:color w:val="auto"/>
          <w:szCs w:val="21"/>
          <w:highlight w:val="none"/>
          <w:lang w:eastAsia="zh-CN"/>
        </w:rPr>
        <w:t>NNZC2025-J1-260032-GXNN</w:t>
      </w:r>
    </w:p>
    <w:p>
      <w:pPr>
        <w:spacing w:line="400" w:lineRule="exact"/>
        <w:ind w:firstLine="422" w:firstLineChars="200"/>
        <w:rPr>
          <w:rFonts w:ascii="宋体" w:hAnsi="宋体" w:cs="Arial"/>
          <w:color w:val="000000"/>
        </w:rPr>
      </w:pPr>
      <w:r>
        <w:rPr>
          <w:rFonts w:hint="eastAsia" w:ascii="宋体" w:hAnsi="宋体" w:cs="Arial"/>
          <w:b/>
          <w:color w:val="000000"/>
        </w:rPr>
        <w:t>原公告的采购项目名称：</w:t>
      </w:r>
      <w:r>
        <w:rPr>
          <w:rFonts w:hint="eastAsia" w:ascii="宋体" w:hAnsi="宋体" w:cs="Arial"/>
          <w:color w:val="000000"/>
          <w:lang w:eastAsia="zh-CN"/>
        </w:rPr>
        <w:t>宾阳县辖区国省道与农村道路平交路口交通安全隐患整改工程</w:t>
      </w:r>
      <w:r>
        <w:rPr>
          <w:rFonts w:hint="eastAsia" w:ascii="宋体" w:hAnsi="宋体" w:cs="Arial"/>
          <w:color w:val="000000"/>
        </w:rPr>
        <w:t>　　　　　　</w:t>
      </w:r>
    </w:p>
    <w:p>
      <w:pPr>
        <w:spacing w:line="400" w:lineRule="exact"/>
        <w:ind w:firstLine="422" w:firstLineChars="200"/>
        <w:rPr>
          <w:rFonts w:ascii="宋体" w:hAnsi="宋体" w:cs="Arial"/>
          <w:color w:val="000000"/>
        </w:rPr>
      </w:pPr>
      <w:r>
        <w:rPr>
          <w:rFonts w:hint="eastAsia" w:ascii="宋体" w:hAnsi="宋体" w:cs="Arial"/>
          <w:b/>
          <w:color w:val="000000"/>
        </w:rPr>
        <w:t>首次公告日期：</w:t>
      </w:r>
      <w:r>
        <w:rPr>
          <w:rFonts w:hint="eastAsia" w:ascii="宋体" w:hAnsi="宋体" w:cs="Arial"/>
          <w:color w:val="000000"/>
          <w:lang w:eastAsia="zh-CN"/>
        </w:rPr>
        <w:t>2025年</w:t>
      </w:r>
      <w:r>
        <w:rPr>
          <w:rFonts w:hint="eastAsia" w:ascii="宋体" w:hAnsi="宋体" w:cs="Arial"/>
          <w:color w:val="000000"/>
          <w:lang w:val="en-US" w:eastAsia="zh-CN"/>
        </w:rPr>
        <w:t>2</w:t>
      </w:r>
      <w:r>
        <w:rPr>
          <w:rFonts w:hint="eastAsia" w:ascii="宋体" w:hAnsi="宋体" w:cs="Arial"/>
          <w:color w:val="000000"/>
          <w:lang w:eastAsia="zh-CN"/>
        </w:rPr>
        <w:t>月</w:t>
      </w:r>
      <w:r>
        <w:rPr>
          <w:rFonts w:hint="eastAsia" w:ascii="宋体" w:hAnsi="宋体" w:cs="Arial"/>
          <w:color w:val="000000"/>
          <w:lang w:val="en-US" w:eastAsia="zh-CN"/>
        </w:rPr>
        <w:t>24</w:t>
      </w:r>
      <w:r>
        <w:rPr>
          <w:rFonts w:hint="eastAsia" w:ascii="宋体" w:hAnsi="宋体" w:cs="Arial"/>
          <w:color w:val="000000"/>
          <w:lang w:eastAsia="zh-CN"/>
        </w:rPr>
        <w:t>日</w:t>
      </w:r>
      <w:r>
        <w:rPr>
          <w:rFonts w:hint="eastAsia" w:ascii="宋体" w:hAnsi="宋体" w:cs="Arial"/>
          <w:color w:val="000000"/>
        </w:rPr>
        <w:t>　　</w:t>
      </w:r>
    </w:p>
    <w:p>
      <w:pPr>
        <w:spacing w:line="400" w:lineRule="exact"/>
        <w:ind w:firstLine="422" w:firstLineChars="200"/>
        <w:rPr>
          <w:rFonts w:ascii="宋体" w:hAnsi="宋体" w:cs="Arial"/>
          <w:b/>
          <w:color w:val="000000"/>
        </w:rPr>
      </w:pPr>
      <w:bookmarkStart w:id="7" w:name="_Toc28359028"/>
      <w:bookmarkStart w:id="8" w:name="_Toc35393646"/>
      <w:bookmarkStart w:id="9" w:name="_Toc28359105"/>
      <w:bookmarkStart w:id="10" w:name="_Toc35393815"/>
      <w:r>
        <w:rPr>
          <w:rFonts w:hint="eastAsia" w:ascii="宋体" w:hAnsi="宋体" w:cs="Arial"/>
          <w:b/>
          <w:color w:val="000000"/>
        </w:rPr>
        <w:t>二、更正信息</w:t>
      </w:r>
      <w:bookmarkEnd w:id="7"/>
      <w:bookmarkEnd w:id="8"/>
      <w:bookmarkEnd w:id="9"/>
      <w:bookmarkEnd w:id="10"/>
    </w:p>
    <w:p>
      <w:pPr>
        <w:spacing w:line="400" w:lineRule="exact"/>
        <w:ind w:firstLine="422" w:firstLineChars="200"/>
        <w:rPr>
          <w:rFonts w:hint="default" w:ascii="宋体" w:hAnsi="宋体" w:eastAsia="宋体" w:cs="Arial"/>
          <w:color w:val="000000"/>
          <w:lang w:val="en-US" w:eastAsia="zh-CN"/>
        </w:rPr>
      </w:pPr>
      <w:r>
        <w:rPr>
          <w:rFonts w:hint="eastAsia" w:ascii="宋体" w:hAnsi="宋体" w:cs="Arial"/>
          <w:b/>
          <w:color w:val="000000"/>
        </w:rPr>
        <w:t>更正事项：</w:t>
      </w:r>
      <w:r>
        <w:rPr>
          <w:rFonts w:hint="eastAsia" w:ascii="宋体" w:hAnsi="宋体" w:cs="Arial"/>
          <w:b w:val="0"/>
          <w:bCs/>
          <w:color w:val="000000"/>
        </w:rPr>
        <w:t>采购公告</w:t>
      </w:r>
      <w:r>
        <w:rPr>
          <w:rFonts w:hint="eastAsia" w:ascii="宋体" w:hAnsi="宋体" w:cs="Arial"/>
          <w:b w:val="0"/>
          <w:bCs/>
          <w:color w:val="000000"/>
          <w:lang w:eastAsia="zh-CN"/>
        </w:rPr>
        <w:t>，</w:t>
      </w:r>
      <w:r>
        <w:rPr>
          <w:rFonts w:hint="eastAsia" w:ascii="宋体" w:hAnsi="宋体" w:cs="Arial"/>
          <w:b w:val="0"/>
          <w:bCs/>
          <w:color w:val="000000"/>
          <w:lang w:val="en-US" w:eastAsia="zh-CN"/>
        </w:rPr>
        <w:t xml:space="preserve">谈判文件 </w:t>
      </w:r>
    </w:p>
    <w:p>
      <w:pPr>
        <w:spacing w:line="400" w:lineRule="exact"/>
        <w:ind w:firstLine="422" w:firstLineChars="200"/>
        <w:rPr>
          <w:rFonts w:hint="eastAsia" w:ascii="宋体" w:hAnsi="宋体" w:cs="Arial"/>
          <w:color w:val="000000"/>
        </w:rPr>
      </w:pPr>
      <w:r>
        <w:rPr>
          <w:rFonts w:hint="eastAsia" w:ascii="宋体" w:hAnsi="宋体" w:cs="Arial"/>
          <w:b/>
          <w:color w:val="000000"/>
        </w:rPr>
        <w:t>更正内容：</w:t>
      </w:r>
    </w:p>
    <w:tbl>
      <w:tblPr>
        <w:tblStyle w:val="12"/>
        <w:tblW w:w="93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878"/>
        <w:gridCol w:w="3150"/>
        <w:gridCol w:w="3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7" w:hRule="atLeast"/>
        </w:trPr>
        <w:tc>
          <w:tcPr>
            <w:tcW w:w="747"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序号</w:t>
            </w:r>
          </w:p>
        </w:tc>
        <w:tc>
          <w:tcPr>
            <w:tcW w:w="1878"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更正项</w:t>
            </w:r>
          </w:p>
        </w:tc>
        <w:tc>
          <w:tcPr>
            <w:tcW w:w="3150"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更正前内容</w:t>
            </w:r>
          </w:p>
        </w:tc>
        <w:tc>
          <w:tcPr>
            <w:tcW w:w="3578"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更正后内容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47"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1</w:t>
            </w:r>
          </w:p>
        </w:tc>
        <w:tc>
          <w:tcPr>
            <w:tcW w:w="1878"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left"/>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一、项目基本情况</w:t>
            </w:r>
          </w:p>
        </w:tc>
        <w:tc>
          <w:tcPr>
            <w:tcW w:w="3150" w:type="dxa"/>
            <w:vAlign w:val="center"/>
          </w:tcPr>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最高限价（如有）：150万元</w:t>
            </w:r>
          </w:p>
        </w:tc>
        <w:tc>
          <w:tcPr>
            <w:tcW w:w="3578"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szCs w:val="21"/>
              </w:rPr>
              <w:t>最高限价（如有）：</w:t>
            </w:r>
            <w:r>
              <w:rPr>
                <w:rFonts w:hint="eastAsia" w:ascii="宋体" w:hAnsi="宋体"/>
                <w:szCs w:val="21"/>
                <w:lang w:val="en-US" w:eastAsia="zh-CN"/>
              </w:rPr>
              <w:t>148.9995</w:t>
            </w:r>
            <w:r>
              <w:rPr>
                <w:rFonts w:hint="eastAsia" w:ascii="宋体" w:hAnsi="宋体"/>
                <w:szCs w:val="21"/>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47"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2</w:t>
            </w:r>
          </w:p>
        </w:tc>
        <w:tc>
          <w:tcPr>
            <w:tcW w:w="1878"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left"/>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第二章 采购需求</w:t>
            </w:r>
            <w:r>
              <w:rPr>
                <w:rFonts w:hint="eastAsia" w:ascii="宋体" w:hAnsi="宋体"/>
                <w:color w:val="auto"/>
                <w:szCs w:val="21"/>
                <w:highlight w:val="none"/>
                <w:lang w:val="en-US" w:eastAsia="zh-CN"/>
              </w:rPr>
              <w:t>中的序号2《</w:t>
            </w:r>
            <w:r>
              <w:rPr>
                <w:rFonts w:hint="eastAsia"/>
              </w:rPr>
              <w:t>安装一组太阳能路灯</w:t>
            </w:r>
            <w:r>
              <w:rPr>
                <w:rFonts w:hint="eastAsia" w:ascii="宋体" w:hAnsi="宋体"/>
                <w:color w:val="auto"/>
                <w:szCs w:val="21"/>
                <w:highlight w:val="none"/>
                <w:lang w:val="en-US" w:eastAsia="zh-CN"/>
              </w:rPr>
              <w:t>》</w:t>
            </w:r>
          </w:p>
        </w:tc>
        <w:tc>
          <w:tcPr>
            <w:tcW w:w="3150" w:type="dxa"/>
            <w:vAlign w:val="center"/>
          </w:tcPr>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1.灯杆材质：灯杆镀锌板卷杆，表面烤油防腐处理； </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2.高度规格：H=6m，灯杆上下口径60/130mm,灯杆壁厚2.0mm，支臂长1米；</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3.法兰：250*250*8mm；</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4.地笼：4-M16*500mm；</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5.灯杆颜色：蓝+白；</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6.灯具及光源：压铸铝灯体，芯片LED60W，色温：6500K PC透镜 IES配光 固定件不锈钢螺丝；</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7.控制器：太阳能路灯专用控制器，（恒流调功率），有过充、过放、过压保护功能，脉冲式充电；</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8.太阳能电池板：100W/6V 转化率在20%以上，使用寿命不低于10年；</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9.电池：80AH/3.2V磷酸铁锂电池 （电池盒外置）；</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10.备注：正常光照下保证每天12小时，持续阴雨天能保证10天内正常工作，全年365天亮灯，灯具防护等级不低于IP65。一个路口根据情况1-2盏。</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11.样式：</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default" w:ascii="宋体" w:hAnsi="宋体" w:cs="宋体"/>
                <w:color w:val="auto"/>
                <w:kern w:val="0"/>
                <w:szCs w:val="21"/>
                <w:highlight w:val="none"/>
                <w:lang w:val="en-US" w:eastAsia="zh-CN"/>
              </w:rPr>
              <w:drawing>
                <wp:inline distT="0" distB="0" distL="114300" distR="114300">
                  <wp:extent cx="1788160" cy="3098165"/>
                  <wp:effectExtent l="0" t="0" r="2540" b="6985"/>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4"/>
                          <a:stretch>
                            <a:fillRect/>
                          </a:stretch>
                        </pic:blipFill>
                        <pic:spPr>
                          <a:xfrm>
                            <a:off x="0" y="0"/>
                            <a:ext cx="1788160" cy="3098165"/>
                          </a:xfrm>
                          <a:prstGeom prst="rect">
                            <a:avLst/>
                          </a:prstGeom>
                          <a:noFill/>
                          <a:ln>
                            <a:noFill/>
                          </a:ln>
                        </pic:spPr>
                      </pic:pic>
                    </a:graphicData>
                  </a:graphic>
                </wp:inline>
              </w:drawing>
            </w:r>
          </w:p>
        </w:tc>
        <w:tc>
          <w:tcPr>
            <w:tcW w:w="3578" w:type="dxa"/>
            <w:vAlign w:val="center"/>
          </w:tcPr>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default" w:ascii="宋体" w:hAnsi="宋体" w:eastAsia="宋体" w:cs="宋体"/>
                <w:b w:val="0"/>
                <w:bCs/>
                <w:sz w:val="21"/>
                <w:szCs w:val="21"/>
                <w:lang w:val="en-US" w:eastAsia="zh-CN"/>
              </w:rPr>
              <w:t>1.</w:t>
            </w:r>
            <w:r>
              <w:rPr>
                <w:rFonts w:hint="eastAsia" w:ascii="宋体" w:hAnsi="宋体" w:eastAsia="宋体" w:cs="宋体"/>
                <w:b w:val="0"/>
                <w:bCs/>
                <w:sz w:val="21"/>
                <w:szCs w:val="21"/>
                <w:lang w:val="en-US" w:eastAsia="zh-CN"/>
              </w:rPr>
              <w:t>灯杆材质：灯杆热镀锌板卷杆，整体热镀锌，表面烤油防腐处理；</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r>
              <w:rPr>
                <w:rFonts w:hint="default" w:ascii="宋体" w:hAnsi="宋体" w:eastAsia="宋体" w:cs="宋体"/>
                <w:b w:val="0"/>
                <w:bCs/>
                <w:sz w:val="21"/>
                <w:szCs w:val="21"/>
                <w:lang w:val="en-US" w:eastAsia="zh-CN"/>
              </w:rPr>
              <w:t>2.</w:t>
            </w:r>
            <w:r>
              <w:rPr>
                <w:rFonts w:hint="eastAsia" w:ascii="宋体" w:hAnsi="宋体" w:eastAsia="宋体" w:cs="宋体"/>
                <w:b w:val="0"/>
                <w:bCs/>
                <w:sz w:val="21"/>
                <w:szCs w:val="21"/>
                <w:lang w:val="en-US" w:eastAsia="zh-CN"/>
              </w:rPr>
              <w:t>高度规格：H=6m±0.5mm，灯杆上下口径70/140mm±0.5mm,灯杆壁厚4.0mm±0.5mm，支臂长1米；</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default" w:ascii="宋体" w:hAnsi="宋体" w:eastAsia="宋体" w:cs="宋体"/>
                <w:b w:val="0"/>
                <w:bCs/>
                <w:sz w:val="21"/>
                <w:szCs w:val="21"/>
                <w:lang w:val="en-US" w:eastAsia="zh-CN"/>
              </w:rPr>
              <w:t>3.</w:t>
            </w:r>
            <w:r>
              <w:rPr>
                <w:rFonts w:hint="eastAsia" w:ascii="宋体" w:hAnsi="宋体" w:eastAsia="宋体" w:cs="宋体"/>
                <w:b w:val="0"/>
                <w:bCs/>
                <w:sz w:val="21"/>
                <w:szCs w:val="21"/>
                <w:lang w:val="en-US" w:eastAsia="zh-CN"/>
              </w:rPr>
              <w:t>法兰：250*250*20mm，允许偏离值±0.5mm；</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4.地笼：4-M16*500mm；</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5.灯杆颜色：蓝+白；</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6.灯具及光源：压铸铝灯体，芯片LED60W，色温：6500K PC透镜 IES配光 固定件不锈钢螺丝；</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7.控制器：太阳能路灯专用控制器，（恒流调功率），有过充、过放、过压保护功能，脉冲式充电； </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r>
              <w:rPr>
                <w:rFonts w:hint="default" w:ascii="宋体" w:hAnsi="宋体" w:eastAsia="宋体" w:cs="宋体"/>
                <w:b w:val="0"/>
                <w:bCs/>
                <w:sz w:val="21"/>
                <w:szCs w:val="21"/>
                <w:lang w:val="en-US" w:eastAsia="zh-CN"/>
              </w:rPr>
              <w:t>8.</w:t>
            </w:r>
            <w:r>
              <w:rPr>
                <w:rFonts w:hint="eastAsia" w:ascii="宋体" w:hAnsi="宋体" w:eastAsia="宋体" w:cs="宋体"/>
                <w:b w:val="0"/>
                <w:bCs/>
                <w:sz w:val="21"/>
                <w:szCs w:val="21"/>
                <w:lang w:val="en-US" w:eastAsia="zh-CN"/>
              </w:rPr>
              <w:t xml:space="preserve">太阳能电池板：150W/6V 转化率在20%以上，使用寿命不低于10年； </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w:t>
            </w:r>
            <w:r>
              <w:rPr>
                <w:rFonts w:hint="default" w:ascii="宋体" w:hAnsi="宋体" w:eastAsia="宋体" w:cs="宋体"/>
                <w:b w:val="0"/>
                <w:bCs/>
                <w:sz w:val="21"/>
                <w:szCs w:val="21"/>
                <w:lang w:val="en-US" w:eastAsia="zh-CN"/>
              </w:rPr>
              <w:t>9.</w:t>
            </w:r>
            <w:r>
              <w:rPr>
                <w:rFonts w:hint="eastAsia" w:ascii="宋体" w:hAnsi="宋体" w:eastAsia="宋体" w:cs="宋体"/>
                <w:b w:val="0"/>
                <w:bCs/>
                <w:sz w:val="21"/>
                <w:szCs w:val="21"/>
                <w:lang w:val="en-US" w:eastAsia="zh-CN"/>
              </w:rPr>
              <w:t>电池：100AH/3.2V磷酸铁锂电池 （电池盒外置）；</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10.备注：正常光照下保证每天12小时，持续阴雨天能保证10天内正常工作，全年365天亮灯，灯具防护等级不低于IP65。一个路口根据情况1-2盏。</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11.样式：</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default" w:ascii="宋体" w:hAnsi="宋体" w:cs="宋体"/>
                <w:color w:val="auto"/>
                <w:kern w:val="0"/>
                <w:szCs w:val="21"/>
                <w:highlight w:val="none"/>
                <w:lang w:val="en-US" w:eastAsia="zh-CN"/>
              </w:rPr>
              <w:drawing>
                <wp:inline distT="0" distB="0" distL="114300" distR="114300">
                  <wp:extent cx="1788160" cy="3098165"/>
                  <wp:effectExtent l="0" t="0" r="2540" b="698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4"/>
                          <a:stretch>
                            <a:fillRect/>
                          </a:stretch>
                        </pic:blipFill>
                        <pic:spPr>
                          <a:xfrm>
                            <a:off x="0" y="0"/>
                            <a:ext cx="1788160" cy="30981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47"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3</w:t>
            </w:r>
          </w:p>
        </w:tc>
        <w:tc>
          <w:tcPr>
            <w:tcW w:w="1878"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left"/>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第二章 采购需求</w:t>
            </w:r>
            <w:r>
              <w:rPr>
                <w:rFonts w:hint="eastAsia" w:ascii="宋体" w:hAnsi="宋体"/>
                <w:color w:val="auto"/>
                <w:szCs w:val="21"/>
                <w:highlight w:val="none"/>
                <w:lang w:val="en-US" w:eastAsia="zh-CN"/>
              </w:rPr>
              <w:t>中的序号3《设置一块“路口危险，停车观望”提示牌》</w:t>
            </w:r>
          </w:p>
        </w:tc>
        <w:tc>
          <w:tcPr>
            <w:tcW w:w="3150" w:type="dxa"/>
            <w:vAlign w:val="center"/>
          </w:tcPr>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1.立杆：4米</w:t>
            </w:r>
            <w:r>
              <w:rPr>
                <w:rFonts w:hint="eastAsia" w:ascii="宋体" w:hAnsi="宋体" w:cs="宋体"/>
                <w:b w:val="0"/>
                <w:bCs/>
                <w:sz w:val="21"/>
                <w:szCs w:val="21"/>
                <w:lang w:val="en-US" w:eastAsia="zh-CN"/>
              </w:rPr>
              <w:t>、</w:t>
            </w:r>
            <w:r>
              <w:rPr>
                <w:rFonts w:hint="eastAsia" w:ascii="宋体" w:hAnsi="宋体" w:eastAsia="宋体" w:cs="宋体"/>
                <w:b w:val="0"/>
                <w:bCs/>
                <w:sz w:val="21"/>
                <w:szCs w:val="21"/>
                <w:lang w:val="en-US" w:eastAsia="zh-CN"/>
              </w:rPr>
              <w:t>标牌：60*80cm，铝板反光 材质，挖50*50cm水泥基础。</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2.样式：</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cs="宋体"/>
                <w:color w:val="auto"/>
                <w:kern w:val="0"/>
                <w:szCs w:val="21"/>
                <w:highlight w:val="none"/>
                <w:lang w:val="en-US" w:eastAsia="zh-CN"/>
              </w:rPr>
              <w:drawing>
                <wp:inline distT="0" distB="0" distL="114300" distR="114300">
                  <wp:extent cx="1791970" cy="1831975"/>
                  <wp:effectExtent l="0" t="0" r="17780" b="15875"/>
                  <wp:docPr id="3"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3"/>
                          <pic:cNvPicPr>
                            <a:picLocks noChangeAspect="1"/>
                          </pic:cNvPicPr>
                        </pic:nvPicPr>
                        <pic:blipFill>
                          <a:blip r:embed="rId5"/>
                          <a:stretch>
                            <a:fillRect/>
                          </a:stretch>
                        </pic:blipFill>
                        <pic:spPr>
                          <a:xfrm>
                            <a:off x="0" y="0"/>
                            <a:ext cx="1791970" cy="1831975"/>
                          </a:xfrm>
                          <a:prstGeom prst="rect">
                            <a:avLst/>
                          </a:prstGeom>
                          <a:noFill/>
                          <a:ln>
                            <a:noFill/>
                          </a:ln>
                        </pic:spPr>
                      </pic:pic>
                    </a:graphicData>
                  </a:graphic>
                </wp:inline>
              </w:drawing>
            </w:r>
          </w:p>
        </w:tc>
        <w:tc>
          <w:tcPr>
            <w:tcW w:w="3578" w:type="dxa"/>
            <w:vAlign w:val="center"/>
          </w:tcPr>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▲1.立杆：4米</w:t>
            </w:r>
            <w:r>
              <w:rPr>
                <w:rFonts w:hint="eastAsia" w:ascii="宋体" w:hAnsi="宋体" w:cs="宋体"/>
                <w:b w:val="0"/>
                <w:bCs/>
                <w:sz w:val="21"/>
                <w:szCs w:val="21"/>
                <w:lang w:val="en-US" w:eastAsia="zh-CN"/>
              </w:rPr>
              <w:t>、89热镀锌管，</w:t>
            </w:r>
            <w:bookmarkStart w:id="17" w:name="_GoBack"/>
            <w:bookmarkEnd w:id="17"/>
            <w:r>
              <w:rPr>
                <w:rFonts w:hint="eastAsia" w:ascii="宋体" w:hAnsi="宋体" w:eastAsia="宋体" w:cs="宋体"/>
                <w:b w:val="0"/>
                <w:bCs/>
                <w:sz w:val="21"/>
                <w:szCs w:val="21"/>
                <w:lang w:val="en-US" w:eastAsia="zh-CN"/>
              </w:rPr>
              <w:t>标牌：60*80cm±0.5mm，铝板2.0mm±0.5mm厚超工反光模材质，挖长宽深约60*60*80cm水泥基础。</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2.样式：</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cs="宋体"/>
                <w:color w:val="auto"/>
                <w:kern w:val="0"/>
                <w:szCs w:val="21"/>
                <w:highlight w:val="none"/>
                <w:lang w:val="en-US" w:eastAsia="zh-CN"/>
              </w:rPr>
              <w:drawing>
                <wp:inline distT="0" distB="0" distL="114300" distR="114300">
                  <wp:extent cx="2025015" cy="2070100"/>
                  <wp:effectExtent l="0" t="0" r="13335" b="6350"/>
                  <wp:docPr id="4"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3"/>
                          <pic:cNvPicPr>
                            <a:picLocks noChangeAspect="1"/>
                          </pic:cNvPicPr>
                        </pic:nvPicPr>
                        <pic:blipFill>
                          <a:blip r:embed="rId5"/>
                          <a:stretch>
                            <a:fillRect/>
                          </a:stretch>
                        </pic:blipFill>
                        <pic:spPr>
                          <a:xfrm>
                            <a:off x="0" y="0"/>
                            <a:ext cx="2025015" cy="2070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47"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4</w:t>
            </w:r>
          </w:p>
        </w:tc>
        <w:tc>
          <w:tcPr>
            <w:tcW w:w="1878"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left"/>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第二章 采购需求</w:t>
            </w:r>
            <w:r>
              <w:rPr>
                <w:rFonts w:hint="eastAsia" w:ascii="宋体" w:hAnsi="宋体"/>
                <w:color w:val="auto"/>
                <w:szCs w:val="21"/>
                <w:highlight w:val="none"/>
                <w:lang w:val="en-US" w:eastAsia="zh-CN"/>
              </w:rPr>
              <w:t>中的序号4《</w:t>
            </w:r>
            <w:r>
              <w:rPr>
                <w:rFonts w:hint="eastAsia" w:ascii="宋体" w:hAnsi="宋体" w:cs="宋体"/>
                <w:color w:val="auto"/>
                <w:szCs w:val="21"/>
                <w:highlight w:val="none"/>
              </w:rPr>
              <w:t>设置一组减速带和停车观望</w:t>
            </w:r>
            <w:r>
              <w:rPr>
                <w:rFonts w:hint="eastAsia" w:ascii="宋体" w:hAnsi="宋体"/>
                <w:color w:val="auto"/>
                <w:szCs w:val="21"/>
                <w:highlight w:val="none"/>
                <w:lang w:val="en-US" w:eastAsia="zh-CN"/>
              </w:rPr>
              <w:t>》</w:t>
            </w:r>
          </w:p>
        </w:tc>
        <w:tc>
          <w:tcPr>
            <w:tcW w:w="3150" w:type="dxa"/>
            <w:vAlign w:val="center"/>
          </w:tcPr>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1.橡胶减速带（规格:50×35×5cm）:104元/米，一个路口2条，每条约2米，共约400元。</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2.“停车观望区”，热熔型涂料，大小约2X3米，约550元。</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3.样式：</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cs="宋体"/>
                <w:color w:val="auto"/>
                <w:kern w:val="0"/>
                <w:szCs w:val="21"/>
                <w:highlight w:val="none"/>
                <w:lang w:val="en-US" w:eastAsia="zh-CN"/>
              </w:rPr>
              <w:drawing>
                <wp:inline distT="0" distB="0" distL="114300" distR="114300">
                  <wp:extent cx="1851025" cy="1177290"/>
                  <wp:effectExtent l="0" t="0" r="15875" b="3810"/>
                  <wp:docPr id="5"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片4"/>
                          <pic:cNvPicPr>
                            <a:picLocks noChangeAspect="1"/>
                          </pic:cNvPicPr>
                        </pic:nvPicPr>
                        <pic:blipFill>
                          <a:blip r:embed="rId6"/>
                          <a:stretch>
                            <a:fillRect/>
                          </a:stretch>
                        </pic:blipFill>
                        <pic:spPr>
                          <a:xfrm>
                            <a:off x="0" y="0"/>
                            <a:ext cx="1851025" cy="1177290"/>
                          </a:xfrm>
                          <a:prstGeom prst="rect">
                            <a:avLst/>
                          </a:prstGeom>
                          <a:noFill/>
                          <a:ln>
                            <a:noFill/>
                          </a:ln>
                        </pic:spPr>
                      </pic:pic>
                    </a:graphicData>
                  </a:graphic>
                </wp:inline>
              </w:drawing>
            </w:r>
          </w:p>
        </w:tc>
        <w:tc>
          <w:tcPr>
            <w:tcW w:w="3578" w:type="dxa"/>
            <w:vAlign w:val="center"/>
          </w:tcPr>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1.橡胶减速带（规格:50×35×5cm±0.5mm），一个路口2条，每条约2米。</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▲2.施画</w:t>
            </w:r>
            <w:r>
              <w:rPr>
                <w:rFonts w:hint="eastAsia" w:ascii="宋体" w:hAnsi="宋体" w:cs="宋体"/>
                <w:b w:val="0"/>
                <w:bCs/>
                <w:sz w:val="21"/>
                <w:szCs w:val="21"/>
                <w:lang w:val="en-US" w:eastAsia="zh-CN"/>
              </w:rPr>
              <w:t>内容包括</w:t>
            </w:r>
            <w:r>
              <w:rPr>
                <w:rFonts w:hint="eastAsia" w:ascii="宋体" w:hAnsi="宋体" w:eastAsia="宋体" w:cs="宋体"/>
                <w:b w:val="0"/>
                <w:bCs/>
                <w:sz w:val="21"/>
                <w:szCs w:val="21"/>
                <w:lang w:val="en-US" w:eastAsia="zh-CN"/>
              </w:rPr>
              <w:t>“停车观望区”，热熔型（反光型、突起型）涂料一次性施画，涂料的技术要求应符合JT/T280-2022、GN47、GN48规定，大小约2×3米。</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cs="宋体"/>
                <w:color w:val="auto"/>
                <w:kern w:val="0"/>
                <w:szCs w:val="21"/>
                <w:highlight w:val="none"/>
                <w:lang w:val="en-US" w:eastAsia="zh-CN"/>
              </w:rPr>
            </w:pPr>
            <w:r>
              <w:rPr>
                <w:rFonts w:hint="eastAsia" w:ascii="宋体" w:hAnsi="宋体" w:eastAsia="宋体" w:cs="宋体"/>
                <w:b w:val="0"/>
                <w:bCs/>
                <w:sz w:val="21"/>
                <w:szCs w:val="21"/>
                <w:lang w:val="en-US" w:eastAsia="zh-CN"/>
              </w:rPr>
              <w:t>3.样式：</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cs="宋体"/>
                <w:color w:val="auto"/>
                <w:kern w:val="0"/>
                <w:szCs w:val="21"/>
                <w:highlight w:val="none"/>
                <w:lang w:val="en-US" w:eastAsia="zh-CN"/>
              </w:rPr>
              <w:drawing>
                <wp:inline distT="0" distB="0" distL="114300" distR="114300">
                  <wp:extent cx="1851025" cy="1177290"/>
                  <wp:effectExtent l="0" t="0" r="15875" b="3810"/>
                  <wp:docPr id="6"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图片4"/>
                          <pic:cNvPicPr>
                            <a:picLocks noChangeAspect="1"/>
                          </pic:cNvPicPr>
                        </pic:nvPicPr>
                        <pic:blipFill>
                          <a:blip r:embed="rId6"/>
                          <a:stretch>
                            <a:fillRect/>
                          </a:stretch>
                        </pic:blipFill>
                        <pic:spPr>
                          <a:xfrm>
                            <a:off x="0" y="0"/>
                            <a:ext cx="1851025" cy="11772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747"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center"/>
              <w:textAlignment w:val="auto"/>
              <w:rPr>
                <w:rFonts w:hint="default" w:ascii="宋体" w:hAnsi="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cs="宋体"/>
                <w:b w:val="0"/>
                <w:bCs w:val="0"/>
                <w:color w:val="000000" w:themeColor="text1"/>
                <w:sz w:val="21"/>
                <w:szCs w:val="21"/>
                <w:highlight w:val="none"/>
                <w:lang w:val="en-US" w:eastAsia="zh-CN"/>
                <w14:textFill>
                  <w14:solidFill>
                    <w14:schemeClr w14:val="tx1"/>
                  </w14:solidFill>
                </w14:textFill>
              </w:rPr>
              <w:t>5</w:t>
            </w:r>
          </w:p>
        </w:tc>
        <w:tc>
          <w:tcPr>
            <w:tcW w:w="1878"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left"/>
              <w:textAlignment w:val="auto"/>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第二章 采购需求</w:t>
            </w:r>
            <w:r>
              <w:rPr>
                <w:rFonts w:hint="eastAsia" w:ascii="宋体" w:hAnsi="宋体"/>
                <w:color w:val="auto"/>
                <w:szCs w:val="21"/>
                <w:highlight w:val="none"/>
                <w:lang w:val="en-US" w:eastAsia="zh-CN"/>
              </w:rPr>
              <w:t>中的</w:t>
            </w:r>
            <w:r>
              <w:rPr>
                <w:rFonts w:hint="eastAsia" w:ascii="宋体" w:hAnsi="宋体" w:cs="宋体"/>
                <w:color w:val="auto"/>
                <w:szCs w:val="21"/>
                <w:highlight w:val="none"/>
              </w:rPr>
              <w:t>商务条款</w:t>
            </w:r>
          </w:p>
        </w:tc>
        <w:tc>
          <w:tcPr>
            <w:tcW w:w="3150" w:type="dxa"/>
            <w:vAlign w:val="center"/>
          </w:tcPr>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▲一、合同签订期：自成交通知书发出之日起25日内。</w:t>
            </w:r>
          </w:p>
          <w:p>
            <w:pPr>
              <w:pStyle w:val="16"/>
              <w:keepNext w:val="0"/>
              <w:keepLines w:val="0"/>
              <w:pageBreakBefore w:val="0"/>
              <w:widowControl w:val="0"/>
              <w:kinsoku/>
              <w:wordWrap w:val="0"/>
              <w:overflowPunct/>
              <w:topLinePunct w:val="0"/>
              <w:autoSpaceDE/>
              <w:autoSpaceDN/>
              <w:bidi w:val="0"/>
              <w:adjustRightInd/>
              <w:snapToGrid/>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▲二、交付使用时间：自合同签订之日起30日内安装调试完毕并交付使用。</w:t>
            </w:r>
          </w:p>
        </w:tc>
        <w:tc>
          <w:tcPr>
            <w:tcW w:w="3578" w:type="dxa"/>
            <w:vAlign w:val="center"/>
          </w:tcPr>
          <w:p>
            <w:pPr>
              <w:keepNext w:val="0"/>
              <w:keepLines w:val="0"/>
              <w:pageBreakBefore w:val="0"/>
              <w:widowControl w:val="0"/>
              <w:kinsoku/>
              <w:wordWrap w:val="0"/>
              <w:overflowPunct/>
              <w:topLinePunct w:val="0"/>
              <w:autoSpaceDE/>
              <w:autoSpaceDN/>
              <w:bidi w:val="0"/>
              <w:adjustRightInd/>
              <w:snapToGrid/>
              <w:spacing w:line="360" w:lineRule="exact"/>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▲一、合同签订期：自成交通知书发出之日起</w:t>
            </w:r>
            <w:r>
              <w:rPr>
                <w:rFonts w:hint="eastAsia" w:ascii="宋体" w:hAnsi="宋体" w:cs="宋体"/>
                <w:b w:val="0"/>
                <w:bCs/>
                <w:sz w:val="21"/>
                <w:szCs w:val="21"/>
                <w:lang w:val="en-US" w:eastAsia="zh-CN"/>
              </w:rPr>
              <w:t>3</w:t>
            </w:r>
            <w:r>
              <w:rPr>
                <w:rFonts w:hint="eastAsia" w:ascii="宋体" w:hAnsi="宋体" w:eastAsia="宋体" w:cs="宋体"/>
                <w:b w:val="0"/>
                <w:bCs/>
                <w:sz w:val="21"/>
                <w:szCs w:val="21"/>
                <w:lang w:val="en-US" w:eastAsia="zh-CN"/>
              </w:rPr>
              <w:t>日内。</w:t>
            </w:r>
          </w:p>
          <w:p>
            <w:pPr>
              <w:keepNext w:val="0"/>
              <w:keepLines w:val="0"/>
              <w:pageBreakBefore w:val="0"/>
              <w:widowControl w:val="0"/>
              <w:kinsoku/>
              <w:wordWrap w:val="0"/>
              <w:overflowPunct/>
              <w:topLinePunct w:val="0"/>
              <w:autoSpaceDE/>
              <w:autoSpaceDN/>
              <w:bidi w:val="0"/>
              <w:adjustRightInd/>
              <w:snapToGrid/>
              <w:spacing w:line="360" w:lineRule="exact"/>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▲二、交付使用时间：自合同签订之日起</w:t>
            </w:r>
            <w:r>
              <w:rPr>
                <w:rFonts w:hint="eastAsia" w:ascii="宋体" w:hAnsi="宋体" w:cs="宋体"/>
                <w:b w:val="0"/>
                <w:bCs/>
                <w:sz w:val="21"/>
                <w:szCs w:val="21"/>
                <w:lang w:val="en-US" w:eastAsia="zh-CN"/>
              </w:rPr>
              <w:t>25</w:t>
            </w:r>
            <w:r>
              <w:rPr>
                <w:rFonts w:hint="eastAsia" w:ascii="宋体" w:hAnsi="宋体" w:eastAsia="宋体" w:cs="宋体"/>
                <w:b w:val="0"/>
                <w:bCs/>
                <w:sz w:val="21"/>
                <w:szCs w:val="21"/>
                <w:lang w:val="en-US" w:eastAsia="zh-CN"/>
              </w:rPr>
              <w:t>日内安装调试完毕并交付使用。</w:t>
            </w:r>
          </w:p>
        </w:tc>
      </w:tr>
    </w:tbl>
    <w:p>
      <w:pPr>
        <w:spacing w:line="400" w:lineRule="exact"/>
        <w:ind w:firstLine="422" w:firstLineChars="200"/>
        <w:rPr>
          <w:rFonts w:ascii="宋体" w:hAnsi="宋体" w:cs="Arial"/>
          <w:color w:val="000000"/>
        </w:rPr>
      </w:pPr>
      <w:r>
        <w:rPr>
          <w:rFonts w:hint="eastAsia" w:ascii="宋体" w:hAnsi="宋体" w:cs="Arial"/>
          <w:b/>
          <w:color w:val="000000"/>
        </w:rPr>
        <w:t>更正日期：</w:t>
      </w:r>
      <w:r>
        <w:rPr>
          <w:rFonts w:ascii="宋体" w:hAnsi="宋体" w:cs="Arial"/>
          <w:color w:val="000000"/>
        </w:rPr>
        <w:t>202</w:t>
      </w:r>
      <w:r>
        <w:rPr>
          <w:rFonts w:hint="eastAsia" w:ascii="宋体" w:hAnsi="宋体" w:cs="Arial"/>
          <w:color w:val="000000"/>
          <w:lang w:val="en-US" w:eastAsia="zh-CN"/>
        </w:rPr>
        <w:t>5</w:t>
      </w:r>
      <w:r>
        <w:rPr>
          <w:rFonts w:ascii="宋体" w:hAnsi="宋体" w:cs="Arial"/>
          <w:color w:val="000000"/>
        </w:rPr>
        <w:t>年</w:t>
      </w:r>
      <w:r>
        <w:rPr>
          <w:rFonts w:hint="eastAsia" w:ascii="宋体" w:hAnsi="宋体" w:cs="Arial"/>
          <w:color w:val="000000"/>
          <w:lang w:val="en-US" w:eastAsia="zh-CN"/>
        </w:rPr>
        <w:t>3</w:t>
      </w:r>
      <w:r>
        <w:rPr>
          <w:rFonts w:ascii="宋体" w:hAnsi="宋体" w:cs="Arial"/>
          <w:color w:val="000000"/>
        </w:rPr>
        <w:t>月</w:t>
      </w:r>
      <w:r>
        <w:rPr>
          <w:rFonts w:hint="eastAsia" w:ascii="宋体" w:hAnsi="宋体" w:cs="Arial"/>
          <w:color w:val="000000"/>
          <w:lang w:val="en-US" w:eastAsia="zh-CN"/>
        </w:rPr>
        <w:t>3</w:t>
      </w:r>
      <w:r>
        <w:rPr>
          <w:rFonts w:ascii="宋体" w:hAnsi="宋体" w:cs="Arial"/>
          <w:color w:val="000000"/>
        </w:rPr>
        <w:t>日</w:t>
      </w:r>
    </w:p>
    <w:p>
      <w:pPr>
        <w:spacing w:line="400" w:lineRule="exact"/>
        <w:ind w:firstLine="422" w:firstLineChars="200"/>
        <w:rPr>
          <w:rFonts w:hint="eastAsia" w:ascii="宋体" w:hAnsi="宋体" w:cs="Arial"/>
          <w:b/>
          <w:color w:val="000000"/>
        </w:rPr>
      </w:pPr>
      <w:bookmarkStart w:id="11" w:name="_Toc35393648"/>
      <w:bookmarkStart w:id="12" w:name="_Toc28359029"/>
      <w:bookmarkStart w:id="13" w:name="_Toc28359106"/>
      <w:bookmarkStart w:id="14" w:name="_Toc35393817"/>
      <w:r>
        <w:rPr>
          <w:rFonts w:hint="eastAsia" w:ascii="宋体" w:hAnsi="宋体" w:cs="Arial"/>
          <w:b/>
          <w:color w:val="000000"/>
        </w:rPr>
        <w:t>三、其他补充事宜</w:t>
      </w:r>
    </w:p>
    <w:p>
      <w:pPr>
        <w:spacing w:line="400" w:lineRule="exact"/>
        <w:ind w:firstLine="420" w:firstLineChars="200"/>
        <w:rPr>
          <w:rFonts w:hint="eastAsia" w:ascii="宋体" w:hAnsi="宋体" w:cs="Arial"/>
          <w:color w:val="000000"/>
        </w:rPr>
      </w:pPr>
      <w:r>
        <w:rPr>
          <w:rFonts w:hint="eastAsia" w:ascii="宋体" w:hAnsi="宋体"/>
          <w:color w:val="000000"/>
        </w:rPr>
        <w:t>请按以上更正内容执行，其它内容不变。</w:t>
      </w:r>
    </w:p>
    <w:p>
      <w:pPr>
        <w:spacing w:line="400" w:lineRule="exact"/>
        <w:ind w:firstLine="422" w:firstLineChars="200"/>
        <w:rPr>
          <w:rFonts w:ascii="宋体" w:hAnsi="宋体" w:cs="Arial"/>
          <w:b/>
          <w:color w:val="000000"/>
        </w:rPr>
      </w:pPr>
      <w:r>
        <w:rPr>
          <w:rFonts w:hint="eastAsia" w:ascii="宋体" w:hAnsi="宋体" w:cs="Arial"/>
          <w:b/>
          <w:color w:val="000000"/>
        </w:rPr>
        <w:t>四、凡对本次公告内容提出询问，请按以下方式联系</w:t>
      </w:r>
      <w:bookmarkEnd w:id="11"/>
      <w:bookmarkEnd w:id="12"/>
      <w:bookmarkEnd w:id="13"/>
      <w:bookmarkEnd w:id="14"/>
      <w:r>
        <w:rPr>
          <w:rFonts w:hint="eastAsia" w:ascii="宋体" w:hAnsi="宋体" w:cs="Arial"/>
          <w:b/>
          <w:color w:val="000000"/>
        </w:rPr>
        <w:t>：</w:t>
      </w:r>
    </w:p>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bookmarkStart w:id="15" w:name="_Toc35393821"/>
      <w:bookmarkStart w:id="16" w:name="_Toc35393652"/>
      <w:r>
        <w:rPr>
          <w:rFonts w:hint="eastAsia" w:ascii="宋体" w:hAnsi="宋体" w:cs="宋体"/>
          <w:color w:val="000000"/>
          <w:kern w:val="0"/>
          <w:szCs w:val="21"/>
          <w:highlight w:val="none"/>
          <w:lang w:val="en-US" w:eastAsia="zh-CN" w:bidi="ar"/>
        </w:rPr>
        <w:t>1.采购人信息</w:t>
      </w:r>
    </w:p>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名 称：宾阳县公安局交通管理大队</w:t>
      </w:r>
    </w:p>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 xml:space="preserve">地址：广西宾阳县宾州镇西环路宋村路口宾阳县公安局交通管理综合服务基地 </w:t>
      </w:r>
    </w:p>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联系方式：林工，</w:t>
      </w:r>
      <w:r>
        <w:rPr>
          <w:rFonts w:hint="eastAsia" w:ascii="宋体" w:hAnsi="宋体" w:cs="宋体"/>
          <w:szCs w:val="21"/>
        </w:rPr>
        <w:t>0771-8251059</w:t>
      </w:r>
      <w:r>
        <w:rPr>
          <w:rFonts w:hint="eastAsia" w:ascii="宋体" w:hAnsi="宋体" w:cs="宋体"/>
          <w:color w:val="000000"/>
          <w:kern w:val="0"/>
          <w:szCs w:val="21"/>
          <w:highlight w:val="none"/>
          <w:lang w:val="en-US" w:eastAsia="zh-CN" w:bidi="ar"/>
        </w:rPr>
        <w:t xml:space="preserve"> </w:t>
      </w:r>
    </w:p>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2.采购代理机构信息</w:t>
      </w:r>
    </w:p>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名 称：广西南宁市科文招标咨询有限公司</w:t>
      </w:r>
    </w:p>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地　址：宾阳县宾州镇广场南路西段北排27号</w:t>
      </w:r>
    </w:p>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联系方式：植一峻，0771-8232208</w:t>
      </w:r>
    </w:p>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3.项目联系方式</w:t>
      </w:r>
    </w:p>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项目联系人：植一峻</w:t>
      </w:r>
    </w:p>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r>
        <w:rPr>
          <w:rFonts w:hint="eastAsia" w:ascii="宋体" w:hAnsi="宋体" w:cs="宋体"/>
          <w:color w:val="000000"/>
          <w:kern w:val="0"/>
          <w:szCs w:val="21"/>
          <w:highlight w:val="none"/>
          <w:lang w:val="en-US" w:eastAsia="zh-CN" w:bidi="ar"/>
        </w:rPr>
        <w:t>电　话：0771-8232208</w:t>
      </w:r>
    </w:p>
    <w:bookmarkEnd w:id="15"/>
    <w:bookmarkEnd w:id="16"/>
    <w:p>
      <w:pPr>
        <w:shd w:val="clear" w:color="auto" w:fill="FFFFFF"/>
        <w:wordWrap w:val="0"/>
        <w:spacing w:line="400" w:lineRule="exact"/>
        <w:ind w:firstLine="420" w:firstLineChars="200"/>
        <w:rPr>
          <w:rFonts w:hint="eastAsia" w:ascii="宋体" w:hAnsi="宋体" w:cs="宋体"/>
          <w:color w:val="000000"/>
          <w:kern w:val="0"/>
          <w:szCs w:val="21"/>
          <w:highlight w:val="none"/>
          <w:lang w:val="en-US" w:eastAsia="zh-CN" w:bidi="ar"/>
        </w:rPr>
      </w:pPr>
    </w:p>
    <w:p>
      <w:pPr>
        <w:spacing w:line="400" w:lineRule="exact"/>
        <w:ind w:firstLine="6405" w:firstLineChars="3050"/>
        <w:rPr>
          <w:rFonts w:hint="eastAsia" w:ascii="宋体" w:hAnsi="宋体" w:eastAsia="宋体"/>
          <w:color w:val="000000"/>
          <w:lang w:eastAsia="zh-CN"/>
        </w:rPr>
      </w:pPr>
      <w:r>
        <w:rPr>
          <w:rFonts w:hint="eastAsia" w:ascii="宋体" w:hAnsi="宋体" w:cs="Arial"/>
          <w:color w:val="000000"/>
          <w:lang w:eastAsia="zh-CN"/>
        </w:rPr>
        <w:t>广西南宁市科文招标咨询有限公司</w:t>
      </w:r>
    </w:p>
    <w:p>
      <w:pPr>
        <w:snapToGrid w:val="0"/>
        <w:spacing w:line="400" w:lineRule="exact"/>
        <w:ind w:left="238"/>
        <w:rPr>
          <w:rFonts w:ascii="宋体" w:hAnsi="宋体" w:cs="Arial"/>
          <w:color w:val="000000"/>
        </w:rPr>
      </w:pPr>
      <w:r>
        <w:rPr>
          <w:rFonts w:hint="eastAsia"/>
          <w:color w:val="000000"/>
        </w:rPr>
        <w:t xml:space="preserve">                                                           </w:t>
      </w:r>
      <w:r>
        <w:rPr>
          <w:rFonts w:hint="eastAsia" w:ascii="宋体" w:hAnsi="宋体"/>
          <w:color w:val="000000"/>
        </w:rPr>
        <w:t xml:space="preserve">   202</w:t>
      </w:r>
      <w:r>
        <w:rPr>
          <w:rFonts w:hint="eastAsia" w:ascii="宋体" w:hAnsi="宋体"/>
          <w:color w:val="000000"/>
          <w:lang w:val="en-US" w:eastAsia="zh-CN"/>
        </w:rPr>
        <w:t>5</w:t>
      </w:r>
      <w:r>
        <w:rPr>
          <w:rFonts w:hint="eastAsia" w:ascii="宋体" w:hAnsi="宋体"/>
          <w:color w:val="000000"/>
        </w:rPr>
        <w:t>年</w:t>
      </w:r>
      <w:r>
        <w:rPr>
          <w:rFonts w:hint="eastAsia" w:ascii="宋体" w:hAnsi="宋体"/>
          <w:color w:val="000000"/>
          <w:lang w:val="en-US" w:eastAsia="zh-CN"/>
        </w:rPr>
        <w:t>3</w:t>
      </w:r>
      <w:r>
        <w:rPr>
          <w:rFonts w:hint="eastAsia" w:ascii="宋体" w:hAnsi="宋体"/>
          <w:color w:val="000000"/>
        </w:rPr>
        <w:t>月</w:t>
      </w:r>
      <w:r>
        <w:rPr>
          <w:rFonts w:hint="eastAsia" w:ascii="宋体" w:hAnsi="宋体"/>
          <w:color w:val="000000"/>
          <w:lang w:val="en-US" w:eastAsia="zh-CN"/>
        </w:rPr>
        <w:t>3</w:t>
      </w:r>
      <w:r>
        <w:rPr>
          <w:rFonts w:hint="eastAsia" w:ascii="宋体" w:hAnsi="宋体"/>
          <w:color w:val="000000"/>
        </w:rPr>
        <w:t>日</w:t>
      </w:r>
    </w:p>
    <w:sectPr>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0000000000000000000"/>
    <w:charset w:val="86"/>
    <w:family w:val="roman"/>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wOTRlNWNhZjI4NWQ3NTBmYTE1ZDkxZjVhNmFjZWYifQ=="/>
  </w:docVars>
  <w:rsids>
    <w:rsidRoot w:val="48247EE5"/>
    <w:rsid w:val="020442FF"/>
    <w:rsid w:val="02FA45F2"/>
    <w:rsid w:val="03073A99"/>
    <w:rsid w:val="053731DE"/>
    <w:rsid w:val="05620A68"/>
    <w:rsid w:val="059F1D1F"/>
    <w:rsid w:val="06E67100"/>
    <w:rsid w:val="07286762"/>
    <w:rsid w:val="0814526C"/>
    <w:rsid w:val="08CC2E71"/>
    <w:rsid w:val="0BB978C9"/>
    <w:rsid w:val="0C4C20FB"/>
    <w:rsid w:val="0D35493D"/>
    <w:rsid w:val="0D5D6A74"/>
    <w:rsid w:val="0E5F4085"/>
    <w:rsid w:val="10550DDB"/>
    <w:rsid w:val="113D0264"/>
    <w:rsid w:val="11EE155E"/>
    <w:rsid w:val="136A013D"/>
    <w:rsid w:val="13DC4C4D"/>
    <w:rsid w:val="145C6C53"/>
    <w:rsid w:val="15284D87"/>
    <w:rsid w:val="15C24100"/>
    <w:rsid w:val="16511203"/>
    <w:rsid w:val="17C74238"/>
    <w:rsid w:val="19483C4A"/>
    <w:rsid w:val="19D87354"/>
    <w:rsid w:val="1BF80445"/>
    <w:rsid w:val="1C031C2C"/>
    <w:rsid w:val="1C111666"/>
    <w:rsid w:val="1CF158BF"/>
    <w:rsid w:val="1D2F4414"/>
    <w:rsid w:val="1DB961F1"/>
    <w:rsid w:val="1F890E75"/>
    <w:rsid w:val="1FE50445"/>
    <w:rsid w:val="20746D5D"/>
    <w:rsid w:val="23E35AF9"/>
    <w:rsid w:val="241E2177"/>
    <w:rsid w:val="24270801"/>
    <w:rsid w:val="25E769EF"/>
    <w:rsid w:val="26C012C4"/>
    <w:rsid w:val="27113EB5"/>
    <w:rsid w:val="27453615"/>
    <w:rsid w:val="27BA4DBF"/>
    <w:rsid w:val="29115E06"/>
    <w:rsid w:val="2A211288"/>
    <w:rsid w:val="2A302699"/>
    <w:rsid w:val="2A933C0B"/>
    <w:rsid w:val="2AB63D62"/>
    <w:rsid w:val="2CC0474F"/>
    <w:rsid w:val="2E2B796A"/>
    <w:rsid w:val="33C2512E"/>
    <w:rsid w:val="350C3263"/>
    <w:rsid w:val="36EA7C97"/>
    <w:rsid w:val="379A16BD"/>
    <w:rsid w:val="39155B04"/>
    <w:rsid w:val="39FF7504"/>
    <w:rsid w:val="3A184F0D"/>
    <w:rsid w:val="3AA834F8"/>
    <w:rsid w:val="3B822B94"/>
    <w:rsid w:val="3B8D1ED6"/>
    <w:rsid w:val="3BF7435D"/>
    <w:rsid w:val="3CAB7EC8"/>
    <w:rsid w:val="40D23C76"/>
    <w:rsid w:val="40F02269"/>
    <w:rsid w:val="40F8373D"/>
    <w:rsid w:val="41AC0EDD"/>
    <w:rsid w:val="41B33AA7"/>
    <w:rsid w:val="41E866B0"/>
    <w:rsid w:val="42892D41"/>
    <w:rsid w:val="459F2A47"/>
    <w:rsid w:val="45C33178"/>
    <w:rsid w:val="48247EE5"/>
    <w:rsid w:val="4920576D"/>
    <w:rsid w:val="4AC26B09"/>
    <w:rsid w:val="4AF764A2"/>
    <w:rsid w:val="4B124B31"/>
    <w:rsid w:val="4D8E6ECD"/>
    <w:rsid w:val="4E7919E9"/>
    <w:rsid w:val="4F964102"/>
    <w:rsid w:val="51DD6F84"/>
    <w:rsid w:val="5243609A"/>
    <w:rsid w:val="533B37EB"/>
    <w:rsid w:val="545F411A"/>
    <w:rsid w:val="55127748"/>
    <w:rsid w:val="565E77B8"/>
    <w:rsid w:val="56640F73"/>
    <w:rsid w:val="570B7A8A"/>
    <w:rsid w:val="57B71086"/>
    <w:rsid w:val="582B4E00"/>
    <w:rsid w:val="588A17E4"/>
    <w:rsid w:val="59D86349"/>
    <w:rsid w:val="59E05ECD"/>
    <w:rsid w:val="59EE791A"/>
    <w:rsid w:val="5B525C87"/>
    <w:rsid w:val="5B740561"/>
    <w:rsid w:val="5BA610A7"/>
    <w:rsid w:val="5CD67FD6"/>
    <w:rsid w:val="5CEB5407"/>
    <w:rsid w:val="5D2067DE"/>
    <w:rsid w:val="5D2920A0"/>
    <w:rsid w:val="5D780F40"/>
    <w:rsid w:val="5D973E25"/>
    <w:rsid w:val="5DCD5A99"/>
    <w:rsid w:val="5DE85D16"/>
    <w:rsid w:val="5E28182F"/>
    <w:rsid w:val="5ED30E8D"/>
    <w:rsid w:val="5FA12743"/>
    <w:rsid w:val="606049A2"/>
    <w:rsid w:val="60CB5EC9"/>
    <w:rsid w:val="61F653A9"/>
    <w:rsid w:val="62C03E1E"/>
    <w:rsid w:val="64AA6B34"/>
    <w:rsid w:val="670E32EB"/>
    <w:rsid w:val="67D809AD"/>
    <w:rsid w:val="680D3662"/>
    <w:rsid w:val="68AB4C21"/>
    <w:rsid w:val="69591DF9"/>
    <w:rsid w:val="69847953"/>
    <w:rsid w:val="698D0CAF"/>
    <w:rsid w:val="6A7B3421"/>
    <w:rsid w:val="6CE8561C"/>
    <w:rsid w:val="6E1103DC"/>
    <w:rsid w:val="6E5374A3"/>
    <w:rsid w:val="6EFF5CCE"/>
    <w:rsid w:val="71E73175"/>
    <w:rsid w:val="725F5851"/>
    <w:rsid w:val="72DE6901"/>
    <w:rsid w:val="73C628FA"/>
    <w:rsid w:val="755143C4"/>
    <w:rsid w:val="75B01AD0"/>
    <w:rsid w:val="75C833F5"/>
    <w:rsid w:val="76E65C9B"/>
    <w:rsid w:val="783E33C3"/>
    <w:rsid w:val="789D31DE"/>
    <w:rsid w:val="7B213D07"/>
    <w:rsid w:val="7BB90DE8"/>
    <w:rsid w:val="7C235250"/>
    <w:rsid w:val="7ED65528"/>
    <w:rsid w:val="7FE7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9"/>
    <w:qFormat/>
    <w:uiPriority w:val="0"/>
    <w:pPr>
      <w:keepNext/>
      <w:spacing w:line="360" w:lineRule="auto"/>
      <w:jc w:val="center"/>
      <w:outlineLvl w:val="0"/>
    </w:pPr>
    <w:rPr>
      <w:rFonts w:ascii="Times New Roman" w:hAnsi="Times New Roman"/>
      <w:b/>
      <w:bCs/>
      <w:kern w:val="0"/>
      <w:sz w:val="36"/>
      <w:szCs w:val="20"/>
    </w:rPr>
  </w:style>
  <w:style w:type="paragraph" w:styleId="3">
    <w:name w:val="heading 4"/>
    <w:basedOn w:val="1"/>
    <w:next w:val="1"/>
    <w:qFormat/>
    <w:uiPriority w:val="0"/>
    <w:pPr>
      <w:outlineLvl w:val="3"/>
    </w:pPr>
    <w:rPr>
      <w:rFonts w:hAnsi="Times New Roman"/>
      <w:color w:val="auto"/>
      <w:kern w:val="2"/>
      <w:sz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annotation text"/>
    <w:basedOn w:val="1"/>
    <w:unhideWhenUsed/>
    <w:qFormat/>
    <w:uiPriority w:val="0"/>
    <w:pPr>
      <w:jc w:val="left"/>
    </w:pPr>
  </w:style>
  <w:style w:type="paragraph" w:styleId="5">
    <w:name w:val="Body Text"/>
    <w:basedOn w:val="1"/>
    <w:next w:val="6"/>
    <w:qFormat/>
    <w:uiPriority w:val="0"/>
    <w:pPr>
      <w:spacing w:after="120"/>
    </w:pPr>
    <w:rPr>
      <w:rFonts w:ascii="Times New Roman" w:hAnsi="Times New Roman"/>
    </w:rPr>
  </w:style>
  <w:style w:type="paragraph" w:styleId="6">
    <w:name w:val="Body Text First Indent"/>
    <w:basedOn w:val="5"/>
    <w:qFormat/>
    <w:uiPriority w:val="99"/>
    <w:pPr>
      <w:widowControl w:val="0"/>
      <w:ind w:firstLine="420" w:firstLineChars="100"/>
      <w:jc w:val="both"/>
    </w:pPr>
    <w:rPr>
      <w:rFonts w:ascii="宋体"/>
      <w:sz w:val="34"/>
      <w:szCs w:val="22"/>
    </w:rPr>
  </w:style>
  <w:style w:type="paragraph" w:styleId="7">
    <w:name w:val="Plain Text"/>
    <w:basedOn w:val="1"/>
    <w:qFormat/>
    <w:uiPriority w:val="0"/>
    <w:rPr>
      <w:rFonts w:ascii="宋体" w:hAnsi="Courier New" w:eastAsia="宋体" w:cs="Times New Roman"/>
      <w:szCs w:val="22"/>
    </w:rPr>
  </w:style>
  <w:style w:type="paragraph" w:styleId="8">
    <w:name w:val="Body Text Indent 2"/>
    <w:basedOn w:val="1"/>
    <w:qFormat/>
    <w:uiPriority w:val="0"/>
    <w:pPr>
      <w:spacing w:after="120" w:line="480" w:lineRule="auto"/>
      <w:ind w:left="420" w:leftChars="200"/>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Title"/>
    <w:basedOn w:val="1"/>
    <w:next w:val="1"/>
    <w:qFormat/>
    <w:uiPriority w:val="10"/>
    <w:pPr>
      <w:spacing w:before="240" w:after="60"/>
      <w:jc w:val="center"/>
      <w:outlineLvl w:val="0"/>
    </w:pPr>
    <w:rPr>
      <w:rFonts w:ascii="Cambria" w:hAnsi="Cambria"/>
      <w:b/>
      <w:bCs/>
      <w:sz w:val="32"/>
      <w:szCs w:val="32"/>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paragraph" w:customStyle="1" w:styleId="15">
    <w:name w:val="Default"/>
    <w:basedOn w:val="10"/>
    <w:next w:val="2"/>
    <w:qFormat/>
    <w:uiPriority w:val="0"/>
    <w:pPr>
      <w:widowControl w:val="0"/>
      <w:autoSpaceDE w:val="0"/>
      <w:autoSpaceDN w:val="0"/>
      <w:adjustRightInd w:val="0"/>
    </w:pPr>
    <w:rPr>
      <w:rFonts w:ascii="华文中宋." w:eastAsia="华文中宋." w:cs="华文中宋."/>
      <w:color w:val="000000"/>
      <w:sz w:val="24"/>
      <w:szCs w:val="24"/>
      <w:lang w:val="en-US" w:eastAsia="zh-CN" w:bidi="ar-SA"/>
    </w:rPr>
  </w:style>
  <w:style w:type="paragraph" w:customStyle="1" w:styleId="16">
    <w:name w:val="表格文字"/>
    <w:basedOn w:val="1"/>
    <w:qFormat/>
    <w:uiPriority w:val="99"/>
    <w:pPr>
      <w:spacing w:before="25" w:after="25"/>
      <w:jc w:val="left"/>
    </w:pPr>
    <w:rPr>
      <w:bCs/>
      <w:spacing w:val="10"/>
      <w:kern w:val="0"/>
      <w:sz w:val="24"/>
    </w:rPr>
  </w:style>
  <w:style w:type="character" w:customStyle="1" w:styleId="17">
    <w:name w:val="NormalCharacter"/>
    <w:link w:val="1"/>
    <w:qFormat/>
    <w:uiPriority w:val="0"/>
    <w:rPr>
      <w:rFonts w:ascii="Times New Roman" w:hAnsi="Times New Roman" w:eastAsia="宋体" w:cs="Times New Roman"/>
      <w:kern w:val="2"/>
      <w:sz w:val="21"/>
      <w:szCs w:val="21"/>
      <w:lang w:val="en-US" w:eastAsia="zh-CN" w:bidi="ar-SA"/>
    </w:rPr>
  </w:style>
  <w:style w:type="paragraph" w:customStyle="1" w:styleId="18">
    <w:name w:val="PlainText"/>
    <w:basedOn w:val="1"/>
    <w:qFormat/>
    <w:uiPriority w:val="0"/>
    <w:pPr>
      <w:jc w:val="both"/>
      <w:textAlignment w:val="baseline"/>
    </w:pPr>
    <w:rPr>
      <w:rFonts w:ascii="宋体" w:hAnsi="Courier New"/>
      <w:kern w:val="2"/>
      <w:sz w:val="21"/>
      <w:szCs w:val="20"/>
      <w:lang w:val="en-US" w:eastAsia="zh-CN" w:bidi="ar-SA"/>
    </w:rPr>
  </w:style>
  <w:style w:type="character" w:customStyle="1" w:styleId="19">
    <w:name w:val="标题 1 字符"/>
    <w:link w:val="2"/>
    <w:qFormat/>
    <w:uiPriority w:val="0"/>
    <w:rPr>
      <w:rFonts w:ascii="Times New Roman" w:hAnsi="Times New Roman"/>
      <w:b/>
      <w:bCs/>
      <w:kern w:val="0"/>
      <w:sz w:val="36"/>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1428</Words>
  <Characters>1811</Characters>
  <Lines>0</Lines>
  <Paragraphs>0</Paragraphs>
  <TotalTime>0</TotalTime>
  <ScaleCrop>false</ScaleCrop>
  <LinksUpToDate>false</LinksUpToDate>
  <CharactersWithSpaces>1906</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2021-07-29T04:00:00Z</dcterms:created>
  <dc:creator>wyx</dc:creator>
  <cp:lastModifiedBy>Administrator</cp:lastModifiedBy>
  <dcterms:modified xsi:type="dcterms:W3CDTF">2025-03-03T12:24:02Z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A1A351CFE7D04644A8129B88BD96A56A</vt:lpwstr>
  </property>
  <property fmtid="{D5CDD505-2E9C-101B-9397-08002B2CF9AE}" pid="4" name="KSOTemplateDocerSaveRecord">
    <vt:lpwstr>eyJoZGlkIjoiYzI2NDFhMmEwOGFlZDUwNTAyM2E4ZGVhMGRmY2FhM2IiLCJ1c2VySWQiOiIyNjA2MTE0MjcifQ==</vt:lpwstr>
  </property>
</Properties>
</file>