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245B6">
      <w:pPr>
        <w:keepNext w:val="0"/>
        <w:keepLines w:val="0"/>
        <w:pageBreakBefore w:val="0"/>
        <w:kinsoku/>
        <w:wordWrap/>
        <w:overflowPunct/>
        <w:topLinePunct w:val="0"/>
        <w:autoSpaceDE/>
        <w:autoSpaceDN/>
        <w:bidi w:val="0"/>
        <w:spacing w:line="264" w:lineRule="auto"/>
        <w:jc w:val="center"/>
        <w:textAlignment w:val="auto"/>
        <w:rPr>
          <w:rFonts w:hint="eastAsia" w:ascii="宋体" w:hAnsi="宋体" w:eastAsia="宋体" w:cs="宋体"/>
          <w:color w:val="auto"/>
          <w:sz w:val="22"/>
          <w:szCs w:val="22"/>
        </w:rPr>
      </w:pPr>
      <w:r>
        <w:rPr>
          <w:rFonts w:hint="eastAsia" w:ascii="宋体" w:hAnsi="宋体" w:eastAsia="宋体" w:cs="宋体"/>
          <w:b/>
          <w:bCs/>
          <w:color w:val="auto"/>
          <w:sz w:val="28"/>
          <w:szCs w:val="28"/>
        </w:rPr>
        <w:t>广西机电设备招标有限公司关于</w:t>
      </w:r>
      <w:r>
        <w:rPr>
          <w:rFonts w:hint="eastAsia" w:ascii="宋体" w:hAnsi="宋体" w:eastAsia="宋体" w:cs="宋体"/>
          <w:b/>
          <w:bCs/>
          <w:color w:val="auto"/>
          <w:sz w:val="28"/>
          <w:szCs w:val="28"/>
          <w:lang w:eastAsia="zh-CN"/>
        </w:rPr>
        <w:t>靖西市妇幼保健院网络安全等级保护二级建设项目</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BSZC2024-C3-250505-JDZB</w:t>
      </w:r>
      <w:r>
        <w:rPr>
          <w:rFonts w:hint="eastAsia" w:ascii="宋体" w:hAnsi="宋体" w:eastAsia="宋体" w:cs="宋体"/>
          <w:b/>
          <w:bCs/>
          <w:color w:val="auto"/>
          <w:sz w:val="28"/>
          <w:szCs w:val="28"/>
        </w:rPr>
        <w:t>）的</w:t>
      </w:r>
      <w:r>
        <w:rPr>
          <w:rFonts w:hint="eastAsia" w:ascii="宋体" w:hAnsi="宋体" w:eastAsia="宋体" w:cs="宋体"/>
          <w:b/>
          <w:bCs/>
          <w:color w:val="auto"/>
          <w:sz w:val="28"/>
          <w:szCs w:val="28"/>
          <w:lang w:val="en-US" w:eastAsia="zh-CN"/>
        </w:rPr>
        <w:t>更正</w:t>
      </w:r>
      <w:r>
        <w:rPr>
          <w:rFonts w:hint="eastAsia" w:ascii="宋体" w:hAnsi="宋体" w:eastAsia="宋体" w:cs="宋体"/>
          <w:b/>
          <w:bCs/>
          <w:color w:val="auto"/>
          <w:sz w:val="28"/>
          <w:szCs w:val="28"/>
        </w:rPr>
        <w:t>公告</w:t>
      </w:r>
    </w:p>
    <w:p w14:paraId="45DC431D">
      <w:pPr>
        <w:keepNext w:val="0"/>
        <w:keepLines w:val="0"/>
        <w:pageBreakBefore w:val="0"/>
        <w:numPr>
          <w:ilvl w:val="0"/>
          <w:numId w:val="1"/>
        </w:numPr>
        <w:kinsoku/>
        <w:wordWrap/>
        <w:overflowPunct/>
        <w:topLinePunct w:val="0"/>
        <w:autoSpaceDE/>
        <w:autoSpaceDN/>
        <w:bidi w:val="0"/>
        <w:adjustRightInd/>
        <w:snapToGrid/>
        <w:spacing w:beforeAutospacing="0" w:afterAutospacing="0" w:line="264" w:lineRule="auto"/>
        <w:textAlignment w:val="auto"/>
        <w:rPr>
          <w:rStyle w:val="8"/>
          <w:rFonts w:hint="eastAsia" w:ascii="宋体" w:hAnsi="宋体" w:eastAsia="宋体" w:cs="宋体"/>
          <w:i w:val="0"/>
          <w:iCs w:val="0"/>
          <w:caps w:val="0"/>
          <w:color w:val="auto"/>
          <w:spacing w:val="0"/>
          <w:sz w:val="21"/>
          <w:szCs w:val="21"/>
        </w:rPr>
      </w:pPr>
      <w:r>
        <w:rPr>
          <w:rStyle w:val="8"/>
          <w:rFonts w:hint="eastAsia" w:ascii="宋体" w:hAnsi="宋体" w:eastAsia="宋体" w:cs="宋体"/>
          <w:i w:val="0"/>
          <w:iCs w:val="0"/>
          <w:caps w:val="0"/>
          <w:color w:val="auto"/>
          <w:spacing w:val="0"/>
          <w:sz w:val="21"/>
          <w:szCs w:val="21"/>
        </w:rPr>
        <w:t>项目基本情况</w:t>
      </w:r>
    </w:p>
    <w:p w14:paraId="754AEB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64" w:lineRule="auto"/>
        <w:ind w:left="0" w:leftChars="0" w:firstLine="420" w:firstLineChars="200"/>
        <w:textAlignment w:val="auto"/>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rPr>
        <w:t>原公告的采购项目编号：</w:t>
      </w:r>
      <w:r>
        <w:rPr>
          <w:rFonts w:hint="eastAsia" w:ascii="宋体" w:hAnsi="宋体" w:eastAsia="宋体" w:cs="宋体"/>
          <w:i w:val="0"/>
          <w:iCs w:val="0"/>
          <w:caps w:val="0"/>
          <w:color w:val="auto"/>
          <w:spacing w:val="0"/>
          <w:sz w:val="21"/>
          <w:szCs w:val="21"/>
          <w:lang w:eastAsia="zh-CN"/>
        </w:rPr>
        <w:t>BSZC2024-C3-250505-JDZB</w:t>
      </w:r>
    </w:p>
    <w:p w14:paraId="418AC8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64" w:lineRule="auto"/>
        <w:ind w:left="0" w:leftChars="0" w:firstLine="218" w:firstLineChars="104"/>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原公告的采购项目名称：</w:t>
      </w:r>
      <w:r>
        <w:rPr>
          <w:rFonts w:hint="eastAsia" w:ascii="宋体" w:hAnsi="宋体" w:eastAsia="宋体" w:cs="宋体"/>
          <w:i w:val="0"/>
          <w:iCs w:val="0"/>
          <w:caps w:val="0"/>
          <w:color w:val="auto"/>
          <w:spacing w:val="0"/>
          <w:sz w:val="21"/>
          <w:szCs w:val="21"/>
          <w:u w:val="none"/>
          <w:lang w:eastAsia="zh-CN"/>
        </w:rPr>
        <w:t>靖西市妇幼保健院网络安全等级保护二级建设项目</w:t>
      </w:r>
      <w:r>
        <w:rPr>
          <w:rFonts w:hint="eastAsia" w:ascii="宋体" w:hAnsi="宋体" w:eastAsia="宋体" w:cs="宋体"/>
          <w:i w:val="0"/>
          <w:iCs w:val="0"/>
          <w:caps w:val="0"/>
          <w:color w:val="auto"/>
          <w:spacing w:val="0"/>
          <w:sz w:val="21"/>
          <w:szCs w:val="21"/>
          <w:u w:val="none"/>
        </w:rPr>
        <w:t> </w:t>
      </w:r>
    </w:p>
    <w:p w14:paraId="00F2CD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64" w:lineRule="auto"/>
        <w:ind w:left="0" w:leftChars="0" w:firstLine="420" w:firstLineChars="200"/>
        <w:textAlignment w:val="auto"/>
        <w:rPr>
          <w:rFonts w:hint="eastAsia" w:ascii="宋体" w:hAnsi="宋体" w:eastAsia="宋体" w:cs="宋体"/>
          <w:i w:val="0"/>
          <w:iCs w:val="0"/>
          <w:caps w:val="0"/>
          <w:color w:val="auto"/>
          <w:spacing w:val="0"/>
          <w:sz w:val="21"/>
          <w:szCs w:val="21"/>
          <w:u w:val="none"/>
        </w:rPr>
      </w:pPr>
      <w:r>
        <w:rPr>
          <w:rFonts w:hint="eastAsia" w:ascii="宋体" w:hAnsi="宋体" w:eastAsia="宋体" w:cs="宋体"/>
          <w:i w:val="0"/>
          <w:iCs w:val="0"/>
          <w:caps w:val="0"/>
          <w:color w:val="auto"/>
          <w:spacing w:val="0"/>
          <w:sz w:val="21"/>
          <w:szCs w:val="21"/>
        </w:rPr>
        <w:t>首次公告日期：</w:t>
      </w:r>
      <w:r>
        <w:rPr>
          <w:rFonts w:hint="eastAsia" w:ascii="宋体" w:hAnsi="宋体" w:eastAsia="宋体" w:cs="宋体"/>
          <w:i w:val="0"/>
          <w:iCs w:val="0"/>
          <w:caps w:val="0"/>
          <w:color w:val="auto"/>
          <w:spacing w:val="0"/>
          <w:sz w:val="21"/>
          <w:szCs w:val="21"/>
          <w:u w:val="none"/>
        </w:rPr>
        <w:t>2024年1</w:t>
      </w:r>
      <w:r>
        <w:rPr>
          <w:rFonts w:hint="eastAsia" w:ascii="宋体" w:hAnsi="宋体" w:eastAsia="宋体" w:cs="宋体"/>
          <w:i w:val="0"/>
          <w:iCs w:val="0"/>
          <w:caps w:val="0"/>
          <w:color w:val="auto"/>
          <w:spacing w:val="0"/>
          <w:sz w:val="21"/>
          <w:szCs w:val="21"/>
          <w:u w:val="none"/>
          <w:lang w:val="en-US" w:eastAsia="zh-CN"/>
        </w:rPr>
        <w:t>2</w:t>
      </w:r>
      <w:r>
        <w:rPr>
          <w:rFonts w:hint="eastAsia" w:ascii="宋体" w:hAnsi="宋体" w:eastAsia="宋体" w:cs="宋体"/>
          <w:i w:val="0"/>
          <w:iCs w:val="0"/>
          <w:caps w:val="0"/>
          <w:color w:val="auto"/>
          <w:spacing w:val="0"/>
          <w:sz w:val="21"/>
          <w:szCs w:val="21"/>
          <w:u w:val="none"/>
        </w:rPr>
        <w:t>月</w:t>
      </w:r>
      <w:r>
        <w:rPr>
          <w:rFonts w:hint="eastAsia" w:ascii="宋体" w:hAnsi="宋体" w:eastAsia="宋体" w:cs="宋体"/>
          <w:i w:val="0"/>
          <w:iCs w:val="0"/>
          <w:caps w:val="0"/>
          <w:color w:val="auto"/>
          <w:spacing w:val="0"/>
          <w:sz w:val="21"/>
          <w:szCs w:val="21"/>
          <w:u w:val="none"/>
          <w:lang w:val="en-US" w:eastAsia="zh-CN"/>
        </w:rPr>
        <w:t>17</w:t>
      </w:r>
      <w:r>
        <w:rPr>
          <w:rFonts w:hint="eastAsia" w:ascii="宋体" w:hAnsi="宋体" w:eastAsia="宋体" w:cs="宋体"/>
          <w:i w:val="0"/>
          <w:iCs w:val="0"/>
          <w:caps w:val="0"/>
          <w:color w:val="auto"/>
          <w:spacing w:val="0"/>
          <w:sz w:val="21"/>
          <w:szCs w:val="21"/>
          <w:u w:val="none"/>
        </w:rPr>
        <w:t>日 </w:t>
      </w:r>
    </w:p>
    <w:p w14:paraId="661BC1EB">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64" w:lineRule="auto"/>
        <w:ind w:left="0" w:leftChars="0" w:firstLine="0" w:firstLineChars="0"/>
        <w:textAlignment w:val="auto"/>
        <w:rPr>
          <w:rStyle w:val="8"/>
          <w:rFonts w:hint="eastAsia" w:ascii="宋体" w:hAnsi="宋体" w:eastAsia="宋体" w:cs="宋体"/>
          <w:i w:val="0"/>
          <w:iCs w:val="0"/>
          <w:caps w:val="0"/>
          <w:color w:val="auto"/>
          <w:spacing w:val="0"/>
          <w:kern w:val="2"/>
          <w:sz w:val="21"/>
          <w:szCs w:val="21"/>
          <w:lang w:val="en-US" w:eastAsia="zh-CN" w:bidi="ar-SA"/>
        </w:rPr>
      </w:pPr>
      <w:r>
        <w:rPr>
          <w:rStyle w:val="8"/>
          <w:rFonts w:hint="eastAsia" w:ascii="宋体" w:hAnsi="宋体" w:eastAsia="宋体" w:cs="宋体"/>
          <w:i w:val="0"/>
          <w:iCs w:val="0"/>
          <w:caps w:val="0"/>
          <w:color w:val="auto"/>
          <w:spacing w:val="0"/>
          <w:kern w:val="2"/>
          <w:sz w:val="21"/>
          <w:szCs w:val="21"/>
          <w:lang w:val="en-US" w:eastAsia="zh-CN" w:bidi="ar-SA"/>
        </w:rPr>
        <w:t>更正信息</w:t>
      </w:r>
    </w:p>
    <w:p w14:paraId="49F4980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64" w:lineRule="auto"/>
        <w:ind w:leftChars="0" w:right="0" w:rightChars="0" w:firstLine="422" w:firstLineChars="200"/>
        <w:textAlignment w:val="auto"/>
        <w:rPr>
          <w:rStyle w:val="8"/>
          <w:rFonts w:hint="default" w:ascii="宋体" w:hAnsi="宋体" w:eastAsia="宋体" w:cs="宋体"/>
          <w:b/>
          <w:bCs w:val="0"/>
          <w:i w:val="0"/>
          <w:iCs w:val="0"/>
          <w:caps w:val="0"/>
          <w:color w:val="auto"/>
          <w:spacing w:val="0"/>
          <w:kern w:val="2"/>
          <w:sz w:val="21"/>
          <w:szCs w:val="21"/>
          <w:lang w:val="en-US" w:eastAsia="zh-CN" w:bidi="ar-SA"/>
        </w:rPr>
      </w:pPr>
      <w:r>
        <w:rPr>
          <w:rStyle w:val="8"/>
          <w:rFonts w:hint="eastAsia" w:ascii="宋体" w:hAnsi="宋体" w:eastAsia="宋体" w:cs="宋体"/>
          <w:b/>
          <w:bCs w:val="0"/>
          <w:i w:val="0"/>
          <w:iCs w:val="0"/>
          <w:caps w:val="0"/>
          <w:color w:val="auto"/>
          <w:spacing w:val="0"/>
          <w:kern w:val="2"/>
          <w:sz w:val="21"/>
          <w:szCs w:val="21"/>
          <w:lang w:val="en-US" w:eastAsia="zh-CN" w:bidi="ar-SA"/>
        </w:rPr>
        <w:t>更正事项：采购文件</w:t>
      </w:r>
    </w:p>
    <w:p w14:paraId="502B9EC8">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64" w:lineRule="auto"/>
        <w:ind w:leftChars="0" w:right="0" w:rightChars="0" w:firstLine="420" w:firstLineChars="200"/>
        <w:textAlignment w:val="auto"/>
        <w:rPr>
          <w:rStyle w:val="8"/>
          <w:rFonts w:hint="eastAsia" w:ascii="宋体" w:hAnsi="宋体" w:eastAsia="宋体" w:cs="宋体"/>
          <w:b w:val="0"/>
          <w:bCs/>
          <w:i w:val="0"/>
          <w:iCs w:val="0"/>
          <w:caps w:val="0"/>
          <w:color w:val="auto"/>
          <w:spacing w:val="0"/>
          <w:kern w:val="2"/>
          <w:sz w:val="21"/>
          <w:szCs w:val="21"/>
          <w:lang w:val="en-US" w:eastAsia="zh-CN" w:bidi="ar-SA"/>
        </w:rPr>
      </w:pPr>
      <w:r>
        <w:rPr>
          <w:rStyle w:val="8"/>
          <w:rFonts w:hint="eastAsia" w:ascii="宋体" w:hAnsi="宋体" w:eastAsia="宋体" w:cs="宋体"/>
          <w:b w:val="0"/>
          <w:bCs/>
          <w:i w:val="0"/>
          <w:iCs w:val="0"/>
          <w:caps w:val="0"/>
          <w:color w:val="auto"/>
          <w:spacing w:val="0"/>
          <w:kern w:val="2"/>
          <w:sz w:val="21"/>
          <w:szCs w:val="21"/>
          <w:lang w:val="en-US" w:eastAsia="zh-CN" w:bidi="ar-SA"/>
        </w:rPr>
        <w:t>更正前内容：</w:t>
      </w:r>
    </w:p>
    <w:tbl>
      <w:tblPr>
        <w:tblStyle w:val="6"/>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113"/>
        <w:gridCol w:w="3075"/>
        <w:gridCol w:w="3700"/>
      </w:tblGrid>
      <w:tr w14:paraId="3FC2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14:paraId="0C85CD35">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序号</w:t>
            </w:r>
          </w:p>
        </w:tc>
        <w:tc>
          <w:tcPr>
            <w:tcW w:w="2113" w:type="dxa"/>
          </w:tcPr>
          <w:p w14:paraId="3C7C9508">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更正项</w:t>
            </w:r>
          </w:p>
        </w:tc>
        <w:tc>
          <w:tcPr>
            <w:tcW w:w="3075" w:type="dxa"/>
          </w:tcPr>
          <w:p w14:paraId="14B05DCA">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更正前内容</w:t>
            </w:r>
          </w:p>
        </w:tc>
        <w:tc>
          <w:tcPr>
            <w:tcW w:w="3700" w:type="dxa"/>
          </w:tcPr>
          <w:p w14:paraId="10A41549">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更正后内容</w:t>
            </w:r>
          </w:p>
        </w:tc>
      </w:tr>
      <w:tr w14:paraId="61A3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Merge w:val="restart"/>
            <w:vAlign w:val="center"/>
          </w:tcPr>
          <w:p w14:paraId="0CFD20FD">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1</w:t>
            </w:r>
          </w:p>
        </w:tc>
        <w:tc>
          <w:tcPr>
            <w:tcW w:w="2113" w:type="dxa"/>
            <w:vAlign w:val="center"/>
          </w:tcPr>
          <w:p w14:paraId="32EEE762">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bookmarkStart w:id="0" w:name="_Toc13891"/>
            <w:r>
              <w:rPr>
                <w:rStyle w:val="8"/>
                <w:rFonts w:hint="default" w:ascii="宋体" w:hAnsi="宋体" w:eastAsia="宋体" w:cs="宋体"/>
                <w:b w:val="0"/>
                <w:bCs/>
                <w:i w:val="0"/>
                <w:iCs w:val="0"/>
                <w:caps w:val="0"/>
                <w:color w:val="auto"/>
                <w:spacing w:val="0"/>
                <w:kern w:val="2"/>
                <w:sz w:val="21"/>
                <w:szCs w:val="21"/>
                <w:vertAlign w:val="baseline"/>
                <w:lang w:val="en-US" w:eastAsia="zh-CN" w:bidi="ar-SA"/>
              </w:rPr>
              <w:t xml:space="preserve">第四章评审方法及标准 </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评审标准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bookmarkEnd w:id="0"/>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技术分</w:t>
            </w:r>
          </w:p>
        </w:tc>
        <w:tc>
          <w:tcPr>
            <w:tcW w:w="3075" w:type="dxa"/>
          </w:tcPr>
          <w:p w14:paraId="2BB845E9">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项目实施方案分（满分3</w:t>
            </w:r>
            <w:r>
              <w:rPr>
                <w:rFonts w:hint="eastAsia"/>
                <w:color w:val="auto"/>
                <w:szCs w:val="21"/>
                <w:lang w:val="en-US" w:eastAsia="zh-CN"/>
              </w:rPr>
              <w:t>0</w:t>
            </w:r>
            <w:r>
              <w:rPr>
                <w:rFonts w:hint="eastAsia"/>
                <w:color w:val="auto"/>
                <w:szCs w:val="21"/>
              </w:rPr>
              <w:t>分）</w:t>
            </w:r>
          </w:p>
          <w:p w14:paraId="4DD99B88">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 xml:space="preserve">一档（10分）：方案一般；投标人所提供的项目实施方案基本完整，实施计划基本可行，项目管理组织机 构及实施人员职能仅能满足基本要求。 </w:t>
            </w:r>
          </w:p>
          <w:p w14:paraId="2AD04726">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二档（20分）：在一档的基础上；技术方案非常详细可行，投标人所提供的项目实施方  案完整，实施计划可行，项目管理组织机构及实施人员职能满足要求。</w:t>
            </w:r>
          </w:p>
          <w:p w14:paraId="533346EA">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Fonts w:hint="eastAsia"/>
                <w:color w:val="auto"/>
                <w:szCs w:val="21"/>
              </w:rPr>
              <w:t>三档（3</w:t>
            </w:r>
            <w:r>
              <w:rPr>
                <w:rFonts w:hint="eastAsia"/>
                <w:color w:val="auto"/>
                <w:szCs w:val="21"/>
                <w:lang w:val="en-US" w:eastAsia="zh-CN"/>
              </w:rPr>
              <w:t>0</w:t>
            </w:r>
            <w:r>
              <w:rPr>
                <w:rFonts w:hint="eastAsia"/>
                <w:color w:val="auto"/>
                <w:szCs w:val="21"/>
              </w:rPr>
              <w:t xml:space="preserve">分）：在二档的基础上；投标人所提供的项目实施方案完整清晰，实施计划明晰可行，项目管理组织机构满足要求，实施人员数量多水平高，职责分明，实施进度清晰可控。 </w:t>
            </w:r>
          </w:p>
        </w:tc>
        <w:tc>
          <w:tcPr>
            <w:tcW w:w="3700" w:type="dxa"/>
            <w:vAlign w:val="top"/>
          </w:tcPr>
          <w:p w14:paraId="2D63C3FB">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项目实施方案分（满分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35</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 xml:space="preserve">分） </w:t>
            </w:r>
          </w:p>
          <w:p w14:paraId="74159F02">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 xml:space="preserve">一档（15分）：实施方案有实施前准备、实施进度工作计划安排；测评方案、测评方法、质量控制手段等有简要描述；有组织管理机构，实施人员分工、职责明确； </w:t>
            </w:r>
          </w:p>
          <w:p w14:paraId="250541B9">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二档（25分）：在满足一档的基础上，实施方案围绕项目需求，制定详细的实施前准备工作（包括与采购人的沟通、了解现有系统运行情况）方案、拟定细化的项目工作任务和目标，确保项目顺利推进，进度工作计划中各阶段工作、流程安排明确；针对项目需求制订了详细的测评方案、测评方法且符合国家相关标准。项目实施人员至少有6人以上且分工明确，基本满足本项目测评工作要求（供应商应在响应文件中提供项目实施人员一览表）；</w:t>
            </w:r>
          </w:p>
          <w:p w14:paraId="788EAE28">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三档（35分）：在满足二档的基础上，针对项目需求制订了严格的过程质量控制措施及质量审核制度确保测评的范围和内容全面完整，避免出现遗漏而造成安全隐患；详细列明各测评阶段工作输出的成果文档（时间、文档名称、文档样本）；项目实施人员中至少8人以上且分工明确，完全满足本项目测评工作要求。</w:t>
            </w:r>
          </w:p>
        </w:tc>
      </w:tr>
      <w:tr w14:paraId="29D7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Merge w:val="continue"/>
            <w:vAlign w:val="center"/>
          </w:tcPr>
          <w:p w14:paraId="6788E217">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eastAsia" w:ascii="宋体" w:hAnsi="宋体" w:eastAsia="宋体" w:cs="宋体"/>
                <w:b w:val="0"/>
                <w:bCs/>
                <w:i w:val="0"/>
                <w:iCs w:val="0"/>
                <w:caps w:val="0"/>
                <w:color w:val="auto"/>
                <w:spacing w:val="0"/>
                <w:kern w:val="2"/>
                <w:sz w:val="21"/>
                <w:szCs w:val="21"/>
                <w:vertAlign w:val="baseline"/>
                <w:lang w:val="en-US" w:eastAsia="zh-CN" w:bidi="ar-SA"/>
              </w:rPr>
            </w:pPr>
            <w:bookmarkStart w:id="2" w:name="_GoBack" w:colFirst="1" w:colLast="1"/>
          </w:p>
        </w:tc>
        <w:tc>
          <w:tcPr>
            <w:tcW w:w="2113" w:type="dxa"/>
            <w:vAlign w:val="center"/>
          </w:tcPr>
          <w:p w14:paraId="278C9F46">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left"/>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第四章评审方法及标准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评审标准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”技术分</w:t>
            </w:r>
          </w:p>
        </w:tc>
        <w:tc>
          <w:tcPr>
            <w:tcW w:w="3075" w:type="dxa"/>
          </w:tcPr>
          <w:p w14:paraId="3F65D474">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运维售后服务方案分（满分3</w:t>
            </w:r>
            <w:r>
              <w:rPr>
                <w:rFonts w:hint="eastAsia"/>
                <w:color w:val="auto"/>
                <w:szCs w:val="21"/>
                <w:lang w:val="en-US" w:eastAsia="zh-CN"/>
              </w:rPr>
              <w:t>0</w:t>
            </w:r>
            <w:r>
              <w:rPr>
                <w:rFonts w:hint="eastAsia"/>
                <w:color w:val="auto"/>
                <w:szCs w:val="21"/>
              </w:rPr>
              <w:t>分）</w:t>
            </w:r>
          </w:p>
          <w:p w14:paraId="6587A19E">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 xml:space="preserve">评委根据服务保障内容的完整性、可行性、质保期、到达故障 现场时间、故障出现解决方案、定期维护、技术培训方案、质保期维护方案、其他优惠措施等进行独立打分。   </w:t>
            </w:r>
          </w:p>
          <w:p w14:paraId="7519332A">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一档（1</w:t>
            </w:r>
            <w:r>
              <w:rPr>
                <w:rFonts w:hint="eastAsia"/>
                <w:color w:val="auto"/>
                <w:szCs w:val="21"/>
                <w:lang w:val="en-US" w:eastAsia="zh-CN"/>
              </w:rPr>
              <w:t>0</w:t>
            </w:r>
            <w:r>
              <w:rPr>
                <w:rFonts w:hint="eastAsia"/>
                <w:color w:val="auto"/>
                <w:szCs w:val="21"/>
              </w:rPr>
              <w:t xml:space="preserve">分）：服务质量保障方案简单，服务方案论述基本准确，对故障处理流程、维护保障流程、服务响应体系、技术培训技术等有所描述，整体方案简单一般。 </w:t>
            </w:r>
          </w:p>
          <w:p w14:paraId="3CF5CDB0">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二档（2</w:t>
            </w:r>
            <w:r>
              <w:rPr>
                <w:rFonts w:hint="eastAsia"/>
                <w:color w:val="auto"/>
                <w:szCs w:val="21"/>
                <w:lang w:val="en-US" w:eastAsia="zh-CN"/>
              </w:rPr>
              <w:t>0</w:t>
            </w:r>
            <w:r>
              <w:rPr>
                <w:rFonts w:hint="eastAsia"/>
                <w:color w:val="auto"/>
                <w:szCs w:val="21"/>
              </w:rPr>
              <w:t>分）：在一档的基础上。服务质量保障方案较为合理、可行，服务方案论述较准确，对故障处理流程、维护保障流程、服务响应体系、技术培训技术等描述较详细，投标人售后服务综合实 力良好。</w:t>
            </w:r>
          </w:p>
          <w:p w14:paraId="3957F625">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三档（3</w:t>
            </w:r>
            <w:r>
              <w:rPr>
                <w:rFonts w:hint="eastAsia"/>
                <w:color w:val="auto"/>
                <w:szCs w:val="21"/>
                <w:lang w:val="en-US" w:eastAsia="zh-CN"/>
              </w:rPr>
              <w:t>0</w:t>
            </w:r>
            <w:r>
              <w:rPr>
                <w:rFonts w:hint="eastAsia"/>
                <w:color w:val="auto"/>
                <w:szCs w:val="21"/>
              </w:rPr>
              <w:t>分）：在二档的基础上。提供售后服务承诺书，服务质量保障方案全面、详细，服务方案论述准确；提供专业的维护团队，对故障处理流程、维护保障流程、服务响应体系、巡检服务、 技术培训技术、备品备件等描述详细，具有良好的应急预案、故障解决措施和完善的免费技术培训计划和定期回访计划，有针对性的服务流程，投标人售后服务综合实力较强。</w:t>
            </w:r>
          </w:p>
        </w:tc>
        <w:tc>
          <w:tcPr>
            <w:tcW w:w="3700" w:type="dxa"/>
            <w:vAlign w:val="top"/>
          </w:tcPr>
          <w:p w14:paraId="2402B271">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运维售后服务方案分（满分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35</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分）</w:t>
            </w:r>
          </w:p>
          <w:p w14:paraId="6C8691E6">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 xml:space="preserve">评委根据服务保障内容的完整性、可行性、质保期、到达故障 现场时间、故障出现解决方案、定期维护、技术培训方案、质保期维护方案、其他优惠措施等进行独立打分。   </w:t>
            </w:r>
          </w:p>
          <w:p w14:paraId="49EB6A89">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 xml:space="preserve">一档（15分）：服务质量保障方案简单，服务方案论述基本准确，对故障处理流程、维护保障流程、服务响应体系、技术培训技术等有所描述，整体方案简单一般。 </w:t>
            </w:r>
          </w:p>
          <w:p w14:paraId="4EFB0DD0">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二档（25分）：在一档的基础上。服务质量保障方案较为合理、可行，服务方案论述较准确，对故障处理流程、维护保障流程、服务响应体系、技术培训技术等描述较详细，投标人售后服务综合实力良好。</w:t>
            </w:r>
          </w:p>
          <w:p w14:paraId="497DCE1A">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三档（35分）：在二档的基础上。提供售后服务承诺书，服务质量保障方案全面、详细，服务方案论述准确；提供专业的维护团队，对故障处理流程、维护保障流程、服务响应体系、巡检服务、 技术培训技术、备品备件等描述详细，具有良好的应急预案、故障解决措施和完善的免费技术培训计划和定期回访计划，有针对性的服务流程，投标人售后服务综合实力较强。</w:t>
            </w:r>
          </w:p>
        </w:tc>
      </w:tr>
      <w:bookmarkEnd w:id="2"/>
      <w:tr w14:paraId="77B3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Align w:val="center"/>
          </w:tcPr>
          <w:p w14:paraId="417B9943">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2</w:t>
            </w:r>
          </w:p>
        </w:tc>
        <w:tc>
          <w:tcPr>
            <w:tcW w:w="2113" w:type="dxa"/>
            <w:vAlign w:val="center"/>
          </w:tcPr>
          <w:p w14:paraId="7B79595F">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第四章评审方法及标准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评审标准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设备性能及配置分</w:t>
            </w:r>
          </w:p>
        </w:tc>
        <w:tc>
          <w:tcPr>
            <w:tcW w:w="3075" w:type="dxa"/>
          </w:tcPr>
          <w:p w14:paraId="28E04289">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设备性能及配置分（满分</w:t>
            </w:r>
            <w:r>
              <w:rPr>
                <w:rFonts w:hint="eastAsia"/>
                <w:color w:val="auto"/>
                <w:szCs w:val="21"/>
                <w:lang w:val="en-US" w:eastAsia="zh-CN"/>
              </w:rPr>
              <w:t>16</w:t>
            </w:r>
            <w:r>
              <w:rPr>
                <w:rFonts w:hint="eastAsia"/>
                <w:color w:val="auto"/>
                <w:szCs w:val="21"/>
              </w:rPr>
              <w:t>分）</w:t>
            </w:r>
          </w:p>
          <w:p w14:paraId="6E829E8E">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①设备技术参数及性能配置完全符合招标文件（无负偏离）的得基本分10分；</w:t>
            </w:r>
          </w:p>
          <w:p w14:paraId="424FE88C">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②非关键性指标参数（未标注“▲”号的参数）有负偏离的，每有1项扣</w:t>
            </w:r>
            <w:r>
              <w:rPr>
                <w:rFonts w:hint="eastAsia"/>
                <w:color w:val="auto"/>
                <w:szCs w:val="21"/>
                <w:lang w:val="en-US" w:eastAsia="zh-CN"/>
              </w:rPr>
              <w:t>1</w:t>
            </w:r>
            <w:r>
              <w:rPr>
                <w:rFonts w:hint="eastAsia"/>
                <w:color w:val="auto"/>
                <w:szCs w:val="21"/>
              </w:rPr>
              <w:t>分，</w:t>
            </w:r>
            <w:r>
              <w:rPr>
                <w:rFonts w:hint="eastAsia"/>
                <w:color w:val="auto"/>
                <w:szCs w:val="21"/>
                <w:lang w:val="en-US" w:eastAsia="zh-CN"/>
              </w:rPr>
              <w:t>最高扣6分</w:t>
            </w:r>
            <w:r>
              <w:rPr>
                <w:rFonts w:hint="eastAsia"/>
                <w:color w:val="auto"/>
                <w:szCs w:val="21"/>
              </w:rPr>
              <w:t>。</w:t>
            </w:r>
          </w:p>
        </w:tc>
        <w:tc>
          <w:tcPr>
            <w:tcW w:w="3700" w:type="dxa"/>
            <w:vAlign w:val="center"/>
          </w:tcPr>
          <w:p w14:paraId="1EE22CB3">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删除</w:t>
            </w:r>
          </w:p>
        </w:tc>
      </w:tr>
      <w:tr w14:paraId="713E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Align w:val="center"/>
          </w:tcPr>
          <w:p w14:paraId="15FAD95B">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3</w:t>
            </w:r>
          </w:p>
        </w:tc>
        <w:tc>
          <w:tcPr>
            <w:tcW w:w="2113" w:type="dxa"/>
            <w:vAlign w:val="center"/>
          </w:tcPr>
          <w:p w14:paraId="23F077BA">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第四章评审方法及标准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评审标准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”商务分</w:t>
            </w:r>
          </w:p>
        </w:tc>
        <w:tc>
          <w:tcPr>
            <w:tcW w:w="3075" w:type="dxa"/>
          </w:tcPr>
          <w:p w14:paraId="633074E2">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color w:val="auto"/>
                <w:szCs w:val="21"/>
              </w:rPr>
            </w:pPr>
            <w:r>
              <w:rPr>
                <w:color w:val="auto"/>
                <w:szCs w:val="21"/>
              </w:rPr>
              <w:t>商务分（满分14分）</w:t>
            </w:r>
          </w:p>
          <w:p w14:paraId="4DCFB954">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1、供应商具有ISO20000信息技术服务管理体系认证</w:t>
            </w:r>
            <w:r>
              <w:rPr>
                <w:rFonts w:hint="eastAsia"/>
                <w:color w:val="auto"/>
                <w:szCs w:val="21"/>
                <w:lang w:eastAsia="zh-CN"/>
              </w:rPr>
              <w:t>、</w:t>
            </w:r>
            <w:r>
              <w:rPr>
                <w:rFonts w:hint="eastAsia"/>
                <w:color w:val="auto"/>
                <w:szCs w:val="21"/>
              </w:rPr>
              <w:t>ISO27001信息安全管理体系认证</w:t>
            </w:r>
            <w:r>
              <w:rPr>
                <w:rFonts w:hint="eastAsia"/>
                <w:color w:val="auto"/>
                <w:szCs w:val="21"/>
                <w:lang w:eastAsia="zh-CN"/>
              </w:rPr>
              <w:t>、</w:t>
            </w:r>
            <w:r>
              <w:rPr>
                <w:rFonts w:hint="eastAsia"/>
                <w:color w:val="auto"/>
                <w:szCs w:val="21"/>
              </w:rPr>
              <w:t>ISO9001质量管理体系认证</w:t>
            </w:r>
            <w:r>
              <w:rPr>
                <w:rFonts w:hint="eastAsia"/>
                <w:color w:val="auto"/>
                <w:szCs w:val="21"/>
                <w:lang w:eastAsia="zh-CN"/>
              </w:rPr>
              <w:t>、</w:t>
            </w:r>
            <w:r>
              <w:rPr>
                <w:rFonts w:hint="eastAsia"/>
                <w:color w:val="auto"/>
                <w:szCs w:val="21"/>
              </w:rPr>
              <w:t>ISO14001环境管理体系认证，每个得2分，满分8分。</w:t>
            </w:r>
          </w:p>
          <w:p w14:paraId="58C22EFB">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4、投标人为本项目配备的专业技术人员大于8人（不含8人），专业技术人员具备信息系统项目管理师证书、系统集成项目管理工程师、数据库系统工程师之一的，每人得1.5分（每人仅计算一次证书），满分6分。</w:t>
            </w:r>
          </w:p>
        </w:tc>
        <w:tc>
          <w:tcPr>
            <w:tcW w:w="3700" w:type="dxa"/>
            <w:vAlign w:val="center"/>
          </w:tcPr>
          <w:p w14:paraId="756AB6DE">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删除</w:t>
            </w:r>
          </w:p>
        </w:tc>
      </w:tr>
      <w:tr w14:paraId="618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Align w:val="center"/>
          </w:tcPr>
          <w:p w14:paraId="500F4DF2">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4</w:t>
            </w:r>
          </w:p>
        </w:tc>
        <w:tc>
          <w:tcPr>
            <w:tcW w:w="2113" w:type="dxa"/>
            <w:vAlign w:val="center"/>
          </w:tcPr>
          <w:p w14:paraId="6601A5C7">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eastAsia"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第四章评审方法及标准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评审标准</w:t>
            </w: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w:t>
            </w:r>
          </w:p>
          <w:p w14:paraId="073FDCAD">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投标报价分</w:t>
            </w:r>
          </w:p>
        </w:tc>
        <w:tc>
          <w:tcPr>
            <w:tcW w:w="3075" w:type="dxa"/>
          </w:tcPr>
          <w:p w14:paraId="40F06056">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投标报价分（10分）</w:t>
            </w:r>
          </w:p>
          <w:p w14:paraId="5C6A83CB">
            <w:pPr>
              <w:keepNext w:val="0"/>
              <w:keepLines w:val="0"/>
              <w:pageBreakBefore w:val="0"/>
              <w:kinsoku/>
              <w:wordWrap/>
              <w:overflowPunct/>
              <w:topLinePunct w:val="0"/>
              <w:autoSpaceDE/>
              <w:autoSpaceDN/>
              <w:bidi w:val="0"/>
              <w:adjustRightInd w:val="0"/>
              <w:snapToGrid w:val="0"/>
              <w:spacing w:beforeAutospacing="0" w:afterAutospacing="0" w:line="264" w:lineRule="auto"/>
              <w:jc w:val="left"/>
              <w:textAlignment w:val="auto"/>
              <w:rPr>
                <w:rFonts w:hint="eastAsia"/>
                <w:color w:val="auto"/>
                <w:szCs w:val="21"/>
              </w:rPr>
            </w:pPr>
            <w:r>
              <w:rPr>
                <w:rFonts w:hint="eastAsia"/>
                <w:color w:val="auto"/>
                <w:szCs w:val="21"/>
              </w:rPr>
              <w:t>以满足招标文件要求且响应价格最低的响应报价为评标基准价，其价格分为10分。其他供应商的价格分统一按照下列公式计算：投标报价得分=（评标基准价/最后报价）×10。</w:t>
            </w:r>
          </w:p>
        </w:tc>
        <w:tc>
          <w:tcPr>
            <w:tcW w:w="3700" w:type="dxa"/>
            <w:vAlign w:val="top"/>
          </w:tcPr>
          <w:p w14:paraId="599B4E8E">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投标报价分（30分）</w:t>
            </w:r>
          </w:p>
          <w:p w14:paraId="47909033">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both"/>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default" w:ascii="宋体" w:hAnsi="宋体" w:eastAsia="宋体" w:cs="宋体"/>
                <w:b w:val="0"/>
                <w:bCs/>
                <w:i w:val="0"/>
                <w:iCs w:val="0"/>
                <w:caps w:val="0"/>
                <w:color w:val="auto"/>
                <w:spacing w:val="0"/>
                <w:kern w:val="2"/>
                <w:sz w:val="21"/>
                <w:szCs w:val="21"/>
                <w:vertAlign w:val="baseline"/>
                <w:lang w:val="en-US" w:eastAsia="zh-CN" w:bidi="ar-SA"/>
              </w:rPr>
              <w:t>以满足招标文件要求且响应价格最低的响应报价为评标基准价，其价格分为30分。其他供应商的价格分统一按照下列公式计算：投标报价得分=（评标基准价/最后报价）×30。</w:t>
            </w:r>
          </w:p>
        </w:tc>
      </w:tr>
      <w:tr w14:paraId="3DCF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vAlign w:val="center"/>
          </w:tcPr>
          <w:p w14:paraId="1DFDBF4F">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Style w:val="8"/>
                <w:rFonts w:hint="eastAsia" w:ascii="宋体" w:hAnsi="宋体" w:eastAsia="宋体" w:cs="宋体"/>
                <w:b w:val="0"/>
                <w:bCs/>
                <w:i w:val="0"/>
                <w:iCs w:val="0"/>
                <w:caps w:val="0"/>
                <w:color w:val="auto"/>
                <w:spacing w:val="0"/>
                <w:kern w:val="2"/>
                <w:sz w:val="21"/>
                <w:szCs w:val="21"/>
                <w:vertAlign w:val="baseline"/>
                <w:lang w:val="en-US" w:eastAsia="zh-CN" w:bidi="ar-SA"/>
              </w:rPr>
              <w:t>5</w:t>
            </w:r>
          </w:p>
        </w:tc>
        <w:tc>
          <w:tcPr>
            <w:tcW w:w="2113" w:type="dxa"/>
            <w:vAlign w:val="center"/>
          </w:tcPr>
          <w:p w14:paraId="3251984E">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right="0" w:rightChars="0"/>
              <w:jc w:val="center"/>
              <w:textAlignment w:val="auto"/>
              <w:rPr>
                <w:rFonts w:hint="eastAsia" w:ascii="宋体" w:hAnsi="宋体" w:eastAsia="宋体" w:cs="宋体"/>
                <w:color w:val="auto"/>
                <w:sz w:val="21"/>
                <w:szCs w:val="21"/>
                <w:lang w:val="en-US" w:eastAsia="zh-CN"/>
              </w:rPr>
            </w:pPr>
            <w:r>
              <w:rPr>
                <w:rFonts w:ascii="Arial" w:hAnsi="Arial" w:cs="Arial"/>
                <w:color w:val="auto"/>
                <w:kern w:val="0"/>
                <w:sz w:val="21"/>
                <w:szCs w:val="21"/>
              </w:rPr>
              <w:t>响应文件提交时间/响应文件开启时间</w:t>
            </w:r>
          </w:p>
        </w:tc>
        <w:tc>
          <w:tcPr>
            <w:tcW w:w="3075" w:type="dxa"/>
            <w:vAlign w:val="center"/>
          </w:tcPr>
          <w:p w14:paraId="210BF97E">
            <w:pPr>
              <w:keepNext w:val="0"/>
              <w:keepLines w:val="0"/>
              <w:pageBreakBefore w:val="0"/>
              <w:kinsoku/>
              <w:wordWrap/>
              <w:overflowPunct/>
              <w:topLinePunct w:val="0"/>
              <w:autoSpaceDE/>
              <w:autoSpaceDN/>
              <w:bidi w:val="0"/>
              <w:adjustRightInd w:val="0"/>
              <w:snapToGrid w:val="0"/>
              <w:spacing w:beforeAutospacing="0" w:afterAutospacing="0" w:line="264" w:lineRule="auto"/>
              <w:jc w:val="center"/>
              <w:textAlignment w:val="auto"/>
              <w:rPr>
                <w:rFonts w:ascii="Arial" w:hAnsi="Arial" w:cs="Arial"/>
                <w:color w:val="auto"/>
                <w:kern w:val="0"/>
                <w:sz w:val="21"/>
                <w:szCs w:val="21"/>
              </w:rPr>
            </w:pPr>
            <w:r>
              <w:rPr>
                <w:rFonts w:ascii="Arial" w:hAnsi="Arial" w:cs="Arial"/>
                <w:color w:val="auto"/>
                <w:kern w:val="0"/>
                <w:sz w:val="21"/>
                <w:szCs w:val="21"/>
              </w:rPr>
              <w:t>20</w:t>
            </w:r>
            <w:r>
              <w:rPr>
                <w:rFonts w:hint="eastAsia" w:ascii="Arial" w:hAnsi="Arial" w:cs="Arial"/>
                <w:color w:val="auto"/>
                <w:kern w:val="0"/>
                <w:sz w:val="21"/>
                <w:szCs w:val="21"/>
              </w:rPr>
              <w:t>2</w:t>
            </w:r>
            <w:r>
              <w:rPr>
                <w:rFonts w:hint="eastAsia" w:ascii="Arial" w:hAnsi="Arial" w:cs="Arial"/>
                <w:color w:val="auto"/>
                <w:kern w:val="0"/>
                <w:sz w:val="21"/>
                <w:szCs w:val="21"/>
                <w:lang w:val="en-US" w:eastAsia="zh-CN"/>
              </w:rPr>
              <w:t>5</w:t>
            </w:r>
            <w:r>
              <w:rPr>
                <w:rFonts w:ascii="Arial" w:hAnsi="Arial" w:cs="Arial"/>
                <w:color w:val="auto"/>
                <w:kern w:val="0"/>
                <w:sz w:val="21"/>
                <w:szCs w:val="21"/>
              </w:rPr>
              <w:t>年</w:t>
            </w:r>
            <w:r>
              <w:rPr>
                <w:rFonts w:hint="eastAsia" w:ascii="Arial" w:hAnsi="Arial" w:cs="Arial"/>
                <w:color w:val="auto"/>
                <w:kern w:val="0"/>
                <w:sz w:val="21"/>
                <w:szCs w:val="21"/>
                <w:lang w:val="en-US" w:eastAsia="zh-CN"/>
              </w:rPr>
              <w:t xml:space="preserve"> 1 </w:t>
            </w:r>
            <w:r>
              <w:rPr>
                <w:rFonts w:ascii="Arial" w:hAnsi="Arial" w:cs="Arial"/>
                <w:color w:val="auto"/>
                <w:kern w:val="0"/>
                <w:sz w:val="21"/>
                <w:szCs w:val="21"/>
              </w:rPr>
              <w:t>月</w:t>
            </w:r>
            <w:r>
              <w:rPr>
                <w:rFonts w:hint="eastAsia" w:ascii="Arial" w:hAnsi="Arial" w:cs="Arial"/>
                <w:color w:val="auto"/>
                <w:kern w:val="0"/>
                <w:sz w:val="21"/>
                <w:szCs w:val="21"/>
                <w:lang w:val="en-US" w:eastAsia="zh-CN"/>
              </w:rPr>
              <w:t xml:space="preserve"> 3 </w:t>
            </w:r>
            <w:r>
              <w:rPr>
                <w:rFonts w:ascii="Arial" w:hAnsi="Arial" w:cs="Arial"/>
                <w:color w:val="auto"/>
                <w:kern w:val="0"/>
                <w:sz w:val="21"/>
                <w:szCs w:val="21"/>
              </w:rPr>
              <w:t>日</w:t>
            </w:r>
            <w:r>
              <w:rPr>
                <w:rFonts w:hint="eastAsia" w:ascii="Arial" w:hAnsi="Arial" w:cs="Arial"/>
                <w:color w:val="auto"/>
                <w:kern w:val="0"/>
                <w:sz w:val="21"/>
                <w:szCs w:val="21"/>
                <w:lang w:val="en-US" w:eastAsia="zh-CN"/>
              </w:rPr>
              <w:t>9</w:t>
            </w:r>
            <w:r>
              <w:rPr>
                <w:rFonts w:hint="eastAsia" w:ascii="Arial" w:hAnsi="Arial" w:cs="Arial"/>
                <w:color w:val="auto"/>
                <w:kern w:val="0"/>
                <w:sz w:val="21"/>
                <w:szCs w:val="21"/>
              </w:rPr>
              <w:t>时</w:t>
            </w:r>
            <w:r>
              <w:rPr>
                <w:rFonts w:hint="eastAsia" w:ascii="Arial" w:hAnsi="Arial" w:cs="Arial"/>
                <w:color w:val="auto"/>
                <w:kern w:val="0"/>
                <w:sz w:val="21"/>
                <w:szCs w:val="21"/>
                <w:lang w:val="en-US" w:eastAsia="zh-CN"/>
              </w:rPr>
              <w:t>00</w:t>
            </w:r>
            <w:r>
              <w:rPr>
                <w:rFonts w:hint="eastAsia" w:ascii="Arial" w:hAnsi="Arial" w:cs="Arial"/>
                <w:color w:val="auto"/>
                <w:kern w:val="0"/>
                <w:sz w:val="21"/>
                <w:szCs w:val="21"/>
              </w:rPr>
              <w:t>分</w:t>
            </w:r>
          </w:p>
        </w:tc>
        <w:tc>
          <w:tcPr>
            <w:tcW w:w="3700" w:type="dxa"/>
            <w:vAlign w:val="center"/>
          </w:tcPr>
          <w:p w14:paraId="0255713D">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264" w:lineRule="auto"/>
              <w:ind w:left="0" w:leftChars="0" w:right="0" w:rightChars="0" w:firstLine="0" w:firstLineChars="0"/>
              <w:jc w:val="center"/>
              <w:textAlignment w:val="auto"/>
              <w:rPr>
                <w:rStyle w:val="8"/>
                <w:rFonts w:hint="default" w:ascii="宋体" w:hAnsi="宋体" w:eastAsia="宋体" w:cs="宋体"/>
                <w:b w:val="0"/>
                <w:bCs/>
                <w:i w:val="0"/>
                <w:iCs w:val="0"/>
                <w:caps w:val="0"/>
                <w:color w:val="auto"/>
                <w:spacing w:val="0"/>
                <w:kern w:val="2"/>
                <w:sz w:val="21"/>
                <w:szCs w:val="21"/>
                <w:vertAlign w:val="baseline"/>
                <w:lang w:val="en-US" w:eastAsia="zh-CN" w:bidi="ar-SA"/>
              </w:rPr>
            </w:pPr>
            <w:r>
              <w:rPr>
                <w:rFonts w:hint="eastAsia" w:ascii="Arial" w:hAnsi="Arial" w:cs="Arial" w:eastAsiaTheme="minorEastAsia"/>
                <w:color w:val="auto"/>
                <w:kern w:val="0"/>
                <w:sz w:val="21"/>
                <w:szCs w:val="21"/>
                <w:lang w:val="en-US" w:eastAsia="zh-CN" w:bidi="ar-SA"/>
              </w:rPr>
              <w:t>2025年1月</w:t>
            </w:r>
            <w:r>
              <w:rPr>
                <w:rFonts w:hint="eastAsia" w:ascii="Arial" w:hAnsi="Arial" w:cs="Arial"/>
                <w:color w:val="auto"/>
                <w:kern w:val="0"/>
                <w:sz w:val="21"/>
                <w:szCs w:val="21"/>
                <w:lang w:val="en-US" w:eastAsia="zh-CN" w:bidi="ar-SA"/>
              </w:rPr>
              <w:t>9</w:t>
            </w:r>
            <w:r>
              <w:rPr>
                <w:rFonts w:hint="eastAsia" w:ascii="Arial" w:hAnsi="Arial" w:cs="Arial" w:eastAsiaTheme="minorEastAsia"/>
                <w:color w:val="auto"/>
                <w:kern w:val="0"/>
                <w:sz w:val="21"/>
                <w:szCs w:val="21"/>
                <w:lang w:val="en-US" w:eastAsia="zh-CN" w:bidi="ar-SA"/>
              </w:rPr>
              <w:t>日</w:t>
            </w:r>
            <w:r>
              <w:rPr>
                <w:rFonts w:hint="eastAsia" w:ascii="Arial" w:hAnsi="Arial" w:cs="Arial"/>
                <w:color w:val="auto"/>
                <w:kern w:val="0"/>
                <w:sz w:val="21"/>
                <w:szCs w:val="21"/>
                <w:lang w:val="en-US" w:eastAsia="zh-CN"/>
              </w:rPr>
              <w:t>9</w:t>
            </w:r>
            <w:r>
              <w:rPr>
                <w:rFonts w:hint="eastAsia" w:ascii="Arial" w:hAnsi="Arial" w:cs="Arial"/>
                <w:color w:val="auto"/>
                <w:kern w:val="0"/>
                <w:sz w:val="21"/>
                <w:szCs w:val="21"/>
              </w:rPr>
              <w:t>时</w:t>
            </w:r>
            <w:r>
              <w:rPr>
                <w:rFonts w:hint="eastAsia" w:ascii="Arial" w:hAnsi="Arial" w:cs="Arial"/>
                <w:color w:val="auto"/>
                <w:kern w:val="0"/>
                <w:sz w:val="21"/>
                <w:szCs w:val="21"/>
                <w:lang w:val="en-US" w:eastAsia="zh-CN"/>
              </w:rPr>
              <w:t>00</w:t>
            </w:r>
            <w:r>
              <w:rPr>
                <w:rFonts w:hint="eastAsia" w:ascii="Arial" w:hAnsi="Arial" w:cs="Arial"/>
                <w:color w:val="auto"/>
                <w:kern w:val="0"/>
                <w:sz w:val="21"/>
                <w:szCs w:val="21"/>
              </w:rPr>
              <w:t>分</w:t>
            </w:r>
          </w:p>
        </w:tc>
      </w:tr>
    </w:tbl>
    <w:p w14:paraId="65C86B42">
      <w:pPr>
        <w:pStyle w:val="4"/>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264" w:lineRule="auto"/>
        <w:ind w:left="0" w:leftChars="0" w:firstLine="0" w:firstLineChars="0"/>
        <w:jc w:val="left"/>
        <w:textAlignment w:val="auto"/>
        <w:rPr>
          <w:rStyle w:val="8"/>
          <w:rFonts w:hint="default" w:ascii="宋体" w:hAnsi="宋体" w:eastAsia="宋体" w:cs="宋体"/>
          <w:b w:val="0"/>
          <w:bCs/>
          <w:i w:val="0"/>
          <w:iCs w:val="0"/>
          <w:caps w:val="0"/>
          <w:color w:val="auto"/>
          <w:spacing w:val="0"/>
          <w:kern w:val="2"/>
          <w:sz w:val="21"/>
          <w:szCs w:val="21"/>
          <w:lang w:val="en-US" w:eastAsia="zh-CN" w:bidi="ar-SA"/>
        </w:rPr>
      </w:pPr>
      <w:r>
        <w:rPr>
          <w:rStyle w:val="8"/>
          <w:rFonts w:hint="eastAsia" w:ascii="宋体" w:hAnsi="宋体" w:eastAsia="宋体" w:cs="宋体"/>
          <w:i w:val="0"/>
          <w:iCs w:val="0"/>
          <w:caps w:val="0"/>
          <w:color w:val="auto"/>
          <w:spacing w:val="0"/>
          <w:kern w:val="2"/>
          <w:sz w:val="21"/>
          <w:szCs w:val="21"/>
          <w:lang w:val="en-US" w:eastAsia="zh-CN" w:bidi="ar-SA"/>
        </w:rPr>
        <w:t>其他补充事宜</w:t>
      </w:r>
    </w:p>
    <w:p w14:paraId="0B71CF26">
      <w:pPr>
        <w:pStyle w:val="4"/>
        <w:keepNext w:val="0"/>
        <w:keepLines w:val="0"/>
        <w:pageBreakBefore w:val="0"/>
        <w:widowControl/>
        <w:numPr>
          <w:ilvl w:val="0"/>
          <w:numId w:val="3"/>
        </w:numPr>
        <w:suppressLineNumbers w:val="0"/>
        <w:kinsoku/>
        <w:wordWrap/>
        <w:overflowPunct/>
        <w:topLinePunct w:val="0"/>
        <w:autoSpaceDE/>
        <w:autoSpaceDN/>
        <w:bidi w:val="0"/>
        <w:spacing w:beforeAutospacing="0" w:afterAutospacing="0" w:line="264" w:lineRule="auto"/>
        <w:ind w:leftChars="0" w:right="0" w:rightChars="0" w:firstLine="420" w:firstLineChars="200"/>
        <w:jc w:val="left"/>
        <w:textAlignment w:val="auto"/>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公告发布媒体：广西壮族自治区政府采购网、中国政府采购网。</w:t>
      </w:r>
    </w:p>
    <w:p w14:paraId="7341A3F3">
      <w:pPr>
        <w:pStyle w:val="4"/>
        <w:keepNext w:val="0"/>
        <w:keepLines w:val="0"/>
        <w:pageBreakBefore w:val="0"/>
        <w:widowControl/>
        <w:numPr>
          <w:ilvl w:val="0"/>
          <w:numId w:val="3"/>
        </w:numPr>
        <w:suppressLineNumbers w:val="0"/>
        <w:kinsoku/>
        <w:wordWrap/>
        <w:overflowPunct/>
        <w:topLinePunct w:val="0"/>
        <w:autoSpaceDE/>
        <w:autoSpaceDN/>
        <w:bidi w:val="0"/>
        <w:spacing w:beforeAutospacing="0" w:afterAutospacing="0" w:line="264" w:lineRule="auto"/>
        <w:ind w:leftChars="0" w:right="0" w:rightChars="0" w:firstLine="420" w:firstLineChars="200"/>
        <w:jc w:val="left"/>
        <w:textAlignment w:val="auto"/>
        <w:rPr>
          <w:rFonts w:hint="default" w:asciiTheme="minorHAnsi" w:hAnsiTheme="minorHAnsi" w:eastAsiaTheme="minorEastAsia" w:cstheme="minorBidi"/>
          <w:color w:val="auto"/>
          <w:kern w:val="0"/>
          <w:sz w:val="21"/>
          <w:szCs w:val="21"/>
          <w:lang w:val="en-US" w:eastAsia="zh-CN" w:bidi="ar-SA"/>
        </w:rPr>
      </w:pPr>
      <w:r>
        <w:rPr>
          <w:rFonts w:hint="default" w:asciiTheme="minorHAnsi" w:hAnsiTheme="minorHAnsi" w:eastAsiaTheme="minorEastAsia" w:cstheme="minorBidi"/>
          <w:color w:val="auto"/>
          <w:kern w:val="0"/>
          <w:sz w:val="21"/>
          <w:szCs w:val="21"/>
          <w:lang w:val="en-US" w:eastAsia="zh-CN" w:bidi="ar-SA"/>
        </w:rPr>
        <w:t>采购文件中涉及以上内容请按以上更正执行，其他事项不变。</w:t>
      </w:r>
    </w:p>
    <w:p w14:paraId="5BD194E9">
      <w:pPr>
        <w:pStyle w:val="4"/>
        <w:keepNext w:val="0"/>
        <w:keepLines w:val="0"/>
        <w:pageBreakBefore w:val="0"/>
        <w:widowControl/>
        <w:suppressLineNumbers w:val="0"/>
        <w:kinsoku/>
        <w:wordWrap/>
        <w:overflowPunct/>
        <w:topLinePunct w:val="0"/>
        <w:autoSpaceDE/>
        <w:autoSpaceDN/>
        <w:bidi w:val="0"/>
        <w:spacing w:beforeAutospacing="0" w:afterAutospacing="0" w:line="264" w:lineRule="auto"/>
        <w:jc w:val="left"/>
        <w:textAlignment w:val="auto"/>
        <w:rPr>
          <w:rFonts w:hint="eastAsia" w:ascii="宋体" w:hAnsi="宋体" w:eastAsia="宋体" w:cs="宋体"/>
          <w:color w:val="auto"/>
          <w:sz w:val="21"/>
          <w:szCs w:val="21"/>
        </w:rPr>
      </w:pPr>
      <w:r>
        <w:rPr>
          <w:rFonts w:hint="eastAsia" w:ascii="宋体" w:hAnsi="宋体" w:eastAsia="宋体" w:cs="宋体"/>
          <w:b/>
          <w:bCs/>
          <w:i w:val="0"/>
          <w:iCs w:val="0"/>
          <w:caps w:val="0"/>
          <w:color w:val="auto"/>
          <w:spacing w:val="0"/>
          <w:sz w:val="21"/>
          <w:szCs w:val="21"/>
          <w:u w:val="none"/>
          <w:lang w:val="en-US" w:eastAsia="zh-CN"/>
        </w:rPr>
        <w:t>四、</w:t>
      </w:r>
      <w:r>
        <w:rPr>
          <w:rStyle w:val="8"/>
          <w:rFonts w:hint="eastAsia" w:ascii="宋体" w:hAnsi="宋体" w:eastAsia="宋体" w:cs="宋体"/>
          <w:b/>
          <w:bCs/>
          <w:i w:val="0"/>
          <w:iCs w:val="0"/>
          <w:caps w:val="0"/>
          <w:color w:val="auto"/>
          <w:spacing w:val="0"/>
          <w:kern w:val="2"/>
          <w:sz w:val="21"/>
          <w:szCs w:val="21"/>
          <w:lang w:val="en-US" w:eastAsia="zh-CN" w:bidi="ar-SA"/>
        </w:rPr>
        <w:t>对本次公告内容提出询问，请按以下方式联系　</w:t>
      </w:r>
      <w:r>
        <w:rPr>
          <w:rFonts w:hint="eastAsia" w:ascii="宋体" w:hAnsi="宋体" w:eastAsia="宋体" w:cs="宋体"/>
          <w:b/>
          <w:bCs/>
          <w:color w:val="auto"/>
          <w:sz w:val="21"/>
          <w:szCs w:val="21"/>
        </w:rPr>
        <w:t>　</w:t>
      </w:r>
      <w:r>
        <w:rPr>
          <w:rFonts w:hint="eastAsia" w:ascii="宋体" w:hAnsi="宋体" w:eastAsia="宋体" w:cs="宋体"/>
          <w:color w:val="auto"/>
          <w:sz w:val="21"/>
          <w:szCs w:val="21"/>
        </w:rPr>
        <w:t>　           </w:t>
      </w:r>
    </w:p>
    <w:p w14:paraId="124B073B">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1.采购人信息</w:t>
      </w:r>
    </w:p>
    <w:p w14:paraId="4EB54A39">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bookmarkStart w:id="1" w:name="_Hlk19048373"/>
      <w:r>
        <w:rPr>
          <w:rFonts w:hint="eastAsia" w:asciiTheme="minorHAnsi" w:hAnsiTheme="minorHAnsi" w:eastAsiaTheme="minorEastAsia" w:cstheme="minorBidi"/>
          <w:color w:val="auto"/>
          <w:kern w:val="0"/>
          <w:sz w:val="21"/>
          <w:szCs w:val="21"/>
          <w:lang w:val="en-US" w:eastAsia="zh-CN" w:bidi="ar-SA"/>
        </w:rPr>
        <w:t>名称：靖西市妇幼保健院</w:t>
      </w:r>
    </w:p>
    <w:p w14:paraId="4A14D6E3">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地址：靖西市新靖镇绣球大道861号</w:t>
      </w:r>
    </w:p>
    <w:p w14:paraId="3069B706">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项目联系人：许萍萍</w:t>
      </w:r>
    </w:p>
    <w:p w14:paraId="6F023BE4">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项目联系方式：0776-6235673</w:t>
      </w:r>
    </w:p>
    <w:p w14:paraId="219BD992">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2.采购代理机构信息</w:t>
      </w:r>
    </w:p>
    <w:p w14:paraId="449F67B6">
      <w:pPr>
        <w:spacing w:line="312" w:lineRule="auto"/>
        <w:ind w:firstLine="420" w:firstLineChars="200"/>
        <w:jc w:val="left"/>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名称：广西机电设备招标有限公司</w:t>
      </w:r>
    </w:p>
    <w:bookmarkEnd w:id="1"/>
    <w:p w14:paraId="4B0E1D96">
      <w:pPr>
        <w:spacing w:line="324" w:lineRule="auto"/>
        <w:ind w:right="420" w:firstLine="420" w:firstLineChars="200"/>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地址：广西百色市右江区那毕大道12号环球大厦左塔楼15层1527室（百色分公司）</w:t>
      </w:r>
    </w:p>
    <w:p w14:paraId="68D49765">
      <w:pPr>
        <w:spacing w:line="324" w:lineRule="auto"/>
        <w:ind w:right="420" w:firstLine="420" w:firstLineChars="200"/>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项目联系人（询问）：韦江迎、黄俏玲、黄小娟</w:t>
      </w:r>
    </w:p>
    <w:p w14:paraId="6AF492B1">
      <w:pPr>
        <w:spacing w:line="324" w:lineRule="auto"/>
        <w:ind w:right="420" w:firstLine="420" w:firstLineChars="200"/>
        <w:rPr>
          <w:rFonts w:hint="eastAsia" w:asciiTheme="minorHAnsi" w:hAnsiTheme="minorHAnsi" w:eastAsiaTheme="minorEastAsia" w:cstheme="minorBidi"/>
          <w:color w:val="auto"/>
          <w:kern w:val="0"/>
          <w:sz w:val="21"/>
          <w:szCs w:val="21"/>
          <w:lang w:val="en-US" w:eastAsia="zh-CN" w:bidi="ar-SA"/>
        </w:rPr>
      </w:pPr>
      <w:r>
        <w:rPr>
          <w:rFonts w:hint="eastAsia" w:asciiTheme="minorHAnsi" w:hAnsiTheme="minorHAnsi" w:eastAsiaTheme="minorEastAsia" w:cstheme="minorBidi"/>
          <w:color w:val="auto"/>
          <w:kern w:val="0"/>
          <w:sz w:val="21"/>
          <w:szCs w:val="21"/>
          <w:lang w:val="en-US" w:eastAsia="zh-CN" w:bidi="ar-SA"/>
        </w:rPr>
        <w:t>项目联系方式（询问）：0776-2222600</w:t>
      </w:r>
    </w:p>
    <w:p w14:paraId="34A0EF9D">
      <w:pPr>
        <w:keepNext w:val="0"/>
        <w:keepLines w:val="0"/>
        <w:pageBreakBefore w:val="0"/>
        <w:numPr>
          <w:ilvl w:val="0"/>
          <w:numId w:val="0"/>
        </w:numPr>
        <w:kinsoku/>
        <w:wordWrap/>
        <w:overflowPunct/>
        <w:topLinePunct w:val="0"/>
        <w:autoSpaceDE/>
        <w:autoSpaceDN/>
        <w:bidi w:val="0"/>
        <w:spacing w:line="264" w:lineRule="auto"/>
        <w:ind w:firstLine="6600" w:firstLineChars="3300"/>
        <w:textAlignment w:val="auto"/>
        <w:rPr>
          <w:color w:val="auto"/>
          <w:sz w:val="20"/>
          <w:szCs w:val="22"/>
        </w:rPr>
      </w:pPr>
    </w:p>
    <w:sectPr>
      <w:pgSz w:w="11906" w:h="16838"/>
      <w:pgMar w:top="930" w:right="1230" w:bottom="104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D89AD"/>
    <w:multiLevelType w:val="singleLevel"/>
    <w:tmpl w:val="8D0D89AD"/>
    <w:lvl w:ilvl="0" w:tentative="0">
      <w:start w:val="1"/>
      <w:numFmt w:val="chineseCounting"/>
      <w:suff w:val="nothing"/>
      <w:lvlText w:val="%1、"/>
      <w:lvlJc w:val="left"/>
      <w:rPr>
        <w:rFonts w:hint="eastAsia"/>
      </w:rPr>
    </w:lvl>
  </w:abstractNum>
  <w:abstractNum w:abstractNumId="1">
    <w:nsid w:val="E94DA78D"/>
    <w:multiLevelType w:val="singleLevel"/>
    <w:tmpl w:val="E94DA78D"/>
    <w:lvl w:ilvl="0" w:tentative="0">
      <w:start w:val="1"/>
      <w:numFmt w:val="decimal"/>
      <w:suff w:val="nothing"/>
      <w:lvlText w:val="%1、"/>
      <w:lvlJc w:val="left"/>
    </w:lvl>
  </w:abstractNum>
  <w:abstractNum w:abstractNumId="2">
    <w:nsid w:val="77BE65C4"/>
    <w:multiLevelType w:val="singleLevel"/>
    <w:tmpl w:val="77BE65C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63F9D"/>
    <w:rsid w:val="2386683C"/>
    <w:rsid w:val="253955B9"/>
    <w:rsid w:val="2DC1698E"/>
    <w:rsid w:val="3C915024"/>
    <w:rsid w:val="3D0826B8"/>
    <w:rsid w:val="3EEC0D81"/>
    <w:rsid w:val="409B6EA7"/>
    <w:rsid w:val="47026ABB"/>
    <w:rsid w:val="4AC17CBA"/>
    <w:rsid w:val="550A2F7E"/>
    <w:rsid w:val="56FB4610"/>
    <w:rsid w:val="648D138E"/>
    <w:rsid w:val="689E250C"/>
    <w:rsid w:val="69B74F33"/>
    <w:rsid w:val="6F027EFD"/>
    <w:rsid w:val="77DA4CE0"/>
    <w:rsid w:val="79064B1C"/>
    <w:rsid w:val="7C413D5F"/>
    <w:rsid w:val="7D32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2476</Words>
  <Characters>2647</Characters>
  <Lines>0</Lines>
  <Paragraphs>0</Paragraphs>
  <TotalTime>0</TotalTime>
  <ScaleCrop>false</ScaleCrop>
  <LinksUpToDate>false</LinksUpToDate>
  <CharactersWithSpaces>2693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2024-12-23T03:15:00Z</dcterms:created>
  <dc:creator>abc</dc:creator>
  <cp:lastModifiedBy>NTKO</cp:lastModifiedBy>
  <dcterms:modified xsi:type="dcterms:W3CDTF">2024-12-30T09:34:18Z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28CDE7945C1E40C6B62F961E292DF280_12</vt:lpwstr>
  </property>
  <property fmtid="{D5CDD505-2E9C-101B-9397-08002B2CF9AE}" pid="4" name="KSOTemplateDocerSaveRecord">
    <vt:lpwstr>eyJoZGlkIjoiODVjZDZmNDk5MmM2M2UzZDJiOWZkMmJkZDk4OTkxOWUiLCJ1c2VySWQiOiIyNzExMjU2NzAifQ==</vt:lpwstr>
  </property>
</Properties>
</file>