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9F242">
      <w:pPr>
        <w:pStyle w:val="4"/>
        <w:ind w:left="0"/>
        <w:jc w:val="center"/>
        <w:rPr>
          <w:rFonts w:hint="default" w:ascii="宋体" w:hAnsi="宋体" w:eastAsia="宋体" w:cs="宋体"/>
          <w:bCs w:val="0"/>
          <w:color w:val="auto"/>
          <w:sz w:val="28"/>
          <w:szCs w:val="28"/>
          <w:lang w:val="en-US" w:eastAsia="zh-CN"/>
        </w:rPr>
      </w:pPr>
      <w:bookmarkStart w:id="0" w:name="_Toc28359002"/>
      <w:bookmarkStart w:id="1" w:name="_Toc35393621"/>
      <w:bookmarkStart w:id="2" w:name="_Toc28359079"/>
      <w:bookmarkStart w:id="3" w:name="_Toc35393790"/>
      <w:bookmarkStart w:id="4" w:name="_Hlk24379207"/>
      <w:r>
        <w:rPr>
          <w:rFonts w:hint="eastAsia" w:ascii="宋体" w:hAnsi="宋体" w:cs="宋体"/>
          <w:bCs w:val="0"/>
          <w:color w:val="auto"/>
          <w:sz w:val="28"/>
          <w:szCs w:val="28"/>
          <w:lang w:eastAsia="zh-CN"/>
        </w:rPr>
        <w:t>广西爱才通工程咨询有限公司</w:t>
      </w:r>
      <w:r>
        <w:rPr>
          <w:rFonts w:hint="eastAsia" w:ascii="宋体" w:hAnsi="宋体" w:cs="宋体"/>
          <w:bCs w:val="0"/>
          <w:color w:val="auto"/>
          <w:sz w:val="28"/>
          <w:szCs w:val="28"/>
          <w:lang w:val="en-US" w:eastAsia="zh-CN"/>
        </w:rPr>
        <w:t>关于全州县困境儿童关爱服务试点项目</w:t>
      </w:r>
      <w:r>
        <w:rPr>
          <w:rFonts w:hint="eastAsia" w:ascii="宋体" w:hAnsi="宋体" w:cs="宋体"/>
          <w:bCs w:val="0"/>
          <w:color w:val="auto"/>
          <w:sz w:val="28"/>
          <w:szCs w:val="28"/>
          <w:lang w:eastAsia="zh-CN"/>
        </w:rPr>
        <w:t>（GLZC2025-C3-240016-GXAC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）更正公告</w:t>
      </w:r>
    </w:p>
    <w:p w14:paraId="6D412E80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一、项目基本情况</w:t>
      </w:r>
      <w:bookmarkEnd w:id="0"/>
      <w:bookmarkEnd w:id="1"/>
      <w:bookmarkEnd w:id="2"/>
      <w:bookmarkEnd w:id="3"/>
    </w:p>
    <w:p w14:paraId="07D0BED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原公告的项目编号：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GLZC2025-C3-240016-GXAC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</w:t>
      </w:r>
    </w:p>
    <w:p w14:paraId="1018502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原公告的项目名称：</w:t>
      </w:r>
      <w:bookmarkEnd w:id="4"/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全州县困境儿童关爱服务试点项目</w:t>
      </w:r>
    </w:p>
    <w:p w14:paraId="709F630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首次公告日期：202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    </w:t>
      </w:r>
    </w:p>
    <w:p w14:paraId="10FC1105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二、更正信息 </w:t>
      </w:r>
    </w:p>
    <w:p w14:paraId="7E0E2BD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更正事项：竞争性磋商文件                    </w:t>
      </w:r>
    </w:p>
    <w:p w14:paraId="127AA4B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更正内容：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 xml:space="preserve">  </w:t>
      </w:r>
    </w:p>
    <w:tbl>
      <w:tblPr>
        <w:tblStyle w:val="12"/>
        <w:tblW w:w="5381" w:type="pct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1894"/>
        <w:gridCol w:w="4045"/>
        <w:gridCol w:w="4061"/>
      </w:tblGrid>
      <w:tr w14:paraId="11A5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34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5A591B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序号</w:t>
            </w:r>
          </w:p>
        </w:tc>
        <w:tc>
          <w:tcPr>
            <w:tcW w:w="88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E7FACD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更正项</w:t>
            </w:r>
          </w:p>
        </w:tc>
        <w:tc>
          <w:tcPr>
            <w:tcW w:w="188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3A806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更正前内容</w:t>
            </w:r>
          </w:p>
        </w:tc>
        <w:tc>
          <w:tcPr>
            <w:tcW w:w="188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AFE35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更正后内容</w:t>
            </w:r>
          </w:p>
        </w:tc>
      </w:tr>
      <w:tr w14:paraId="3D4A3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34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02728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88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0C70A2">
            <w:pPr>
              <w:rPr>
                <w:rFonts w:hint="eastAsia" w:ascii="宋体" w:hAnsi="宋体"/>
                <w:color w:val="auto"/>
                <w:szCs w:val="21"/>
              </w:rPr>
            </w:pPr>
            <w:bookmarkStart w:id="5" w:name="_Toc15152"/>
            <w:bookmarkStart w:id="6" w:name="_Toc29649"/>
            <w:r>
              <w:rPr>
                <w:rFonts w:hint="eastAsia" w:ascii="宋体" w:hAnsi="宋体"/>
                <w:color w:val="auto"/>
                <w:szCs w:val="21"/>
              </w:rPr>
              <w:t xml:space="preserve">第三章 </w:t>
            </w:r>
            <w:bookmarkStart w:id="7" w:name="_Toc22353"/>
            <w:bookmarkStart w:id="8" w:name="_Toc24601"/>
            <w:r>
              <w:rPr>
                <w:rFonts w:hint="eastAsia" w:ascii="宋体" w:hAnsi="宋体"/>
                <w:color w:val="auto"/>
                <w:szCs w:val="21"/>
              </w:rPr>
              <w:t>采购需求</w:t>
            </w:r>
            <w:bookmarkEnd w:id="5"/>
            <w:bookmarkEnd w:id="6"/>
            <w:bookmarkEnd w:id="7"/>
            <w:bookmarkEnd w:id="8"/>
          </w:p>
          <w:p w14:paraId="731EB3C6">
            <w:pPr>
              <w:rPr>
                <w:rFonts w:hint="eastAsia"/>
                <w:color w:val="auto"/>
              </w:rPr>
            </w:pPr>
          </w:p>
        </w:tc>
        <w:tc>
          <w:tcPr>
            <w:tcW w:w="188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DD90C8"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1分标：全州镇等9个乡镇困境儿童关爱服务试点项目</w:t>
            </w:r>
          </w:p>
          <w:p w14:paraId="05C26D8E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第2项 困境儿童个性化服务与社区融合发展：3.小组活动：依据风险评估结果将困境儿童群体分成9个小组提供针对性关爱服务活动。每个小组需要形成小组评估报告1份、小组活动计划书1份、服务记录1份、总结1份，且每个小组至少开展1次以上活动。 </w:t>
            </w:r>
          </w:p>
          <w:p w14:paraId="0DF722B7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第5项 加强队伍建设，引导和推动社会力量参与农村留守儿童和困境儿童保护工作：2.赋能培训：项目专职人员接受专业督导和培训不少于12次（不含国家和自治区安排的督导团队项目督导）；项目专职人员接受专业督导、培训时长不低于80个学时。为辖区所有儿童督导员和儿童主任提供业务培训4次以上（对辖区儿童主任和儿童督导员进行线下全覆盖培训致少1次以上），参加培训人次≥1000人次，培训要有具体方案、计划和记录。开展至少1次针对爱心家长及爱心妈妈的培训，明确其职责并提供相关知识。</w:t>
            </w:r>
          </w:p>
        </w:tc>
        <w:tc>
          <w:tcPr>
            <w:tcW w:w="188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460C0C"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1分标：全州镇等9个乡镇困境儿童关爱服务试点项目</w:t>
            </w:r>
          </w:p>
          <w:p w14:paraId="13B297F0">
            <w:pPr>
              <w:keepNext w:val="0"/>
              <w:keepLines w:val="0"/>
              <w:widowControl/>
              <w:suppressLineNumbers w:val="0"/>
              <w:jc w:val="left"/>
              <w:rPr>
                <w:rStyle w:val="19"/>
                <w:rFonts w:hint="eastAsia"/>
                <w:color w:val="FF0000"/>
                <w:sz w:val="24"/>
                <w:szCs w:val="24"/>
                <w:highlight w:val="none"/>
                <w:u w:val="single"/>
                <w:lang w:val="en-US" w:eastAsia="zh-CN" w:bidi="ar"/>
              </w:rPr>
            </w:pPr>
            <w:r>
              <w:rPr>
                <w:rFonts w:hint="eastAsia"/>
                <w:color w:val="auto"/>
                <w:lang w:val="en-US" w:eastAsia="zh-CN"/>
              </w:rPr>
              <w:t>第2项 困境儿童个性化服务与社区融合发展：</w:t>
            </w:r>
            <w:r>
              <w:rPr>
                <w:rStyle w:val="19"/>
                <w:rFonts w:hint="eastAsia"/>
                <w:color w:val="FF0000"/>
                <w:sz w:val="24"/>
                <w:szCs w:val="24"/>
                <w:highlight w:val="none"/>
                <w:u w:val="single"/>
                <w:lang w:val="en-US" w:eastAsia="zh-CN" w:bidi="ar"/>
              </w:rPr>
              <w:t>3.小组活动： 9 个。每个小组需要形成小组评估报告 1份、小组活动计划书 1 份、服务记录 1 份、总结 1 份，且每个小组至少开展 3 次活动。</w:t>
            </w:r>
          </w:p>
          <w:p w14:paraId="578088F1">
            <w:pPr>
              <w:pStyle w:val="2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第5项 加强队伍建设，引导和推动社会力量参与农村留守儿童和困境儿童保护工作：2.赋能培训：项目专职人员接受专业督导和培训不少于12次（不含国家和自治区安排的督导团队项目督导）；项目专职人员接受专业督导、培训时长不低于80个学时。为辖区所有儿童督导员和儿童主任提供业务培训4次以上</w:t>
            </w:r>
            <w:r>
              <w:rPr>
                <w:rStyle w:val="19"/>
                <w:rFonts w:hint="eastAsia" w:ascii="宋体" w:hAnsi="宋体" w:eastAsia="宋体" w:cs="宋体"/>
                <w:bCs w:val="0"/>
                <w:color w:val="FF0000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 w:bidi="ar"/>
              </w:rPr>
              <w:t>（对辖区儿童主任和儿童督导员进行线下全覆盖培训至少开展1次）</w:t>
            </w: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，参加培训人次≥1000人次，培训要有具体方案、计划和记录。开展至少1次针对爱心家长及爱心妈妈的培训，明确其职责并提供相关知识。</w:t>
            </w:r>
          </w:p>
        </w:tc>
      </w:tr>
      <w:tr w14:paraId="04CF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4" w:hRule="atLeast"/>
        </w:trPr>
        <w:tc>
          <w:tcPr>
            <w:tcW w:w="34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4D07BE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88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E20DA8">
            <w:pPr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第三章 采购需求</w:t>
            </w:r>
          </w:p>
        </w:tc>
        <w:tc>
          <w:tcPr>
            <w:tcW w:w="188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EC6369">
            <w:pPr>
              <w:spacing w:line="400" w:lineRule="exact"/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lang w:val="en-US" w:eastAsia="zh-CN"/>
              </w:rPr>
              <w:t>2分标：石塘镇等9个乡镇困境儿童关爱服务试点项目</w:t>
            </w:r>
          </w:p>
          <w:p w14:paraId="11005C88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第2项 困境儿童个性化服务与社区融合发展：</w:t>
            </w:r>
            <w:r>
              <w:rPr>
                <w:rFonts w:hint="eastAsia"/>
                <w:color w:val="auto"/>
                <w:lang w:val="en-US" w:eastAsia="zh-CN"/>
              </w:rPr>
              <w:t xml:space="preserve">3.小组活动：依据风险评估结果将困境儿童群体分成9个小组提供针对性关爱服务活动。每个小组需要形成小组评估报告1份、小组活动计划书1份、服务记录1份、总结1份，且每个小组至少开展1次以上活动。 </w:t>
            </w:r>
          </w:p>
          <w:p w14:paraId="05ECD4E0"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第5</w:t>
            </w:r>
            <w:r>
              <w:rPr>
                <w:rFonts w:hint="eastAsia" w:cs="Times New Roman"/>
                <w:b/>
                <w:bCs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 xml:space="preserve"> 加强队伍建设，引导和推动社会力量参与农村留守儿童和困境儿童保护工作：</w:t>
            </w: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2.赋能培训：项目专职人员接受专业督导和培训不少于12次（不含国家和自治区安排的督导团队项目督导）；项目专职人员接受专业督导、培训时长不低于80个学时。为辖区所有儿童督导员和儿童主任提供业务培训4次以上（对辖区儿童主任和儿童督导员进行线下全覆盖培训致少1次以上），参加培训人次≥1000人次，培训要有具体方案、计划和记录。开展至少1次针对爱心家长及爱心妈妈的培训，明确其职责并提供相关知识。</w:t>
            </w:r>
          </w:p>
        </w:tc>
        <w:tc>
          <w:tcPr>
            <w:tcW w:w="188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71D33F">
            <w:pPr>
              <w:spacing w:line="400" w:lineRule="exact"/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lang w:val="en-US" w:eastAsia="zh-CN"/>
              </w:rPr>
              <w:t>2分标：石塘镇等9个乡镇困境儿童关爱服务试点项目</w:t>
            </w:r>
          </w:p>
          <w:p w14:paraId="077EB91D">
            <w:pPr>
              <w:keepNext w:val="0"/>
              <w:keepLines w:val="0"/>
              <w:widowControl/>
              <w:suppressLineNumbers w:val="0"/>
              <w:jc w:val="left"/>
              <w:rPr>
                <w:rStyle w:val="19"/>
                <w:rFonts w:hint="eastAsia"/>
                <w:color w:val="FF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第2项 困境儿童个性化服务与社区融合发展：</w:t>
            </w:r>
            <w:r>
              <w:rPr>
                <w:rStyle w:val="19"/>
                <w:rFonts w:hint="eastAsia"/>
                <w:color w:val="FF0000"/>
                <w:sz w:val="24"/>
                <w:szCs w:val="24"/>
                <w:highlight w:val="none"/>
                <w:u w:val="single"/>
                <w:lang w:val="en-US" w:eastAsia="zh-CN" w:bidi="ar"/>
              </w:rPr>
              <w:t>3.小组活动： 9 个。每个小组需要形成小组评估报告 1份、小组活动计划书 1 份、服务记录 1 份、总结 1 份，且每个小组至少开展 3 次活动。</w:t>
            </w:r>
          </w:p>
          <w:p w14:paraId="687C823E"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第5</w:t>
            </w:r>
            <w:r>
              <w:rPr>
                <w:rFonts w:hint="eastAsia" w:cs="Times New Roman"/>
                <w:b/>
                <w:bCs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 xml:space="preserve"> 加强队伍建设，引导和推动社会力量参与农村留守儿童和困境儿童保护工作：</w:t>
            </w: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2.赋能培训：项目专职人员接受专业督导和培训不少于12次（不含国家和自治区安排的督导团队项目督导）；项目专职人员接受专业督导、培训时长不低于80个学时。为辖区所有儿童督导员和儿童主任提供业务培训4次以上</w:t>
            </w:r>
            <w:r>
              <w:rPr>
                <w:rStyle w:val="19"/>
                <w:rFonts w:hint="eastAsia" w:ascii="宋体" w:hAnsi="宋体" w:eastAsia="宋体" w:cs="宋体"/>
                <w:bCs w:val="0"/>
                <w:color w:val="FF0000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 w:bidi="ar"/>
              </w:rPr>
              <w:t>（对辖区儿童主任和儿童督导员进行线下全覆盖培训至少开展1次）</w:t>
            </w:r>
            <w:r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，参加培训人次≥1000人次，培训要有具体方案、计划和记录。开展至少1次针对爱心家长及爱心妈妈的培训，明确其职责并提供相关知识。</w:t>
            </w:r>
          </w:p>
        </w:tc>
      </w:tr>
      <w:tr w14:paraId="55B1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</w:trPr>
        <w:tc>
          <w:tcPr>
            <w:tcW w:w="34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DB5762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88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231612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第四章 评审办法</w:t>
            </w:r>
          </w:p>
        </w:tc>
        <w:tc>
          <w:tcPr>
            <w:tcW w:w="188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51D5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Style w:val="19"/>
                <w:rFonts w:hint="eastAsia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/>
                <w:b/>
                <w:bCs/>
                <w:color w:val="auto"/>
                <w:sz w:val="24"/>
                <w:szCs w:val="24"/>
                <w:lang w:val="en-US" w:eastAsia="zh-CN" w:bidi="ar"/>
              </w:rPr>
              <w:t>第2项 项目实施方案</w:t>
            </w:r>
          </w:p>
          <w:p w14:paraId="465202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Style w:val="19"/>
                <w:rFonts w:hint="eastAsia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/>
                <w:b/>
                <w:bCs/>
                <w:color w:val="auto"/>
                <w:sz w:val="24"/>
                <w:szCs w:val="24"/>
                <w:lang w:val="en-US" w:eastAsia="zh-CN" w:bidi="ar"/>
              </w:rPr>
              <w:t>12.制定困境儿童关爱服务工作流程6分</w:t>
            </w:r>
          </w:p>
          <w:p w14:paraId="7F8AEB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  <w:t>包括入户探访流程、个案服务和个案转介流程、心理关爱帮扶流程、监护缺失困境儿童应急处置流程、社会服务组织链接资源流程等，确保关爱服务工作规范有序开展。</w:t>
            </w:r>
          </w:p>
          <w:p w14:paraId="6B1FDF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  <w:t>12.1项目宣传方案</w:t>
            </w:r>
            <w:r>
              <w:rPr>
                <w:rStyle w:val="19"/>
                <w:rFonts w:hint="default"/>
                <w:color w:val="auto"/>
                <w:sz w:val="24"/>
                <w:szCs w:val="24"/>
                <w:lang w:val="en-US" w:eastAsia="zh-CN" w:bidi="ar"/>
              </w:rPr>
              <w:t>全面、清晰、要点突出、完整详实，实用性、针对性强，有利于</w:t>
            </w:r>
            <w:r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  <w:t>提高</w:t>
            </w:r>
            <w:r>
              <w:rPr>
                <w:rStyle w:val="19"/>
                <w:rFonts w:hint="default"/>
                <w:color w:val="auto"/>
                <w:sz w:val="24"/>
                <w:szCs w:val="24"/>
                <w:lang w:val="en-US" w:eastAsia="zh-CN" w:bidi="ar"/>
              </w:rPr>
              <w:t>本项目</w:t>
            </w:r>
            <w:r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  <w:t>影响力，得6分；</w:t>
            </w:r>
          </w:p>
          <w:p w14:paraId="21B1A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  <w:t>12.2项目宣传方案</w:t>
            </w:r>
            <w:r>
              <w:rPr>
                <w:rStyle w:val="19"/>
                <w:rFonts w:hint="default"/>
                <w:color w:val="auto"/>
                <w:sz w:val="24"/>
                <w:szCs w:val="24"/>
                <w:lang w:val="en-US" w:eastAsia="zh-CN" w:bidi="ar"/>
              </w:rPr>
              <w:t>内容</w:t>
            </w:r>
            <w:r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  <w:t>基本合理、可行的，得3分；</w:t>
            </w:r>
          </w:p>
          <w:p w14:paraId="6CCEC1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  <w:t>12.3项目宣传方案</w:t>
            </w:r>
            <w:r>
              <w:rPr>
                <w:rStyle w:val="19"/>
                <w:rFonts w:hint="default"/>
                <w:color w:val="auto"/>
                <w:sz w:val="24"/>
                <w:szCs w:val="24"/>
                <w:lang w:val="en-US" w:eastAsia="zh-CN" w:bidi="ar"/>
              </w:rPr>
              <w:t>内容</w:t>
            </w:r>
            <w:r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  <w:t>欠合理、可操作性不高的，得1分。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6FE2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Style w:val="19"/>
                <w:rFonts w:hint="eastAsia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/>
                <w:b/>
                <w:bCs/>
                <w:color w:val="auto"/>
                <w:sz w:val="24"/>
                <w:szCs w:val="24"/>
                <w:lang w:val="en-US" w:eastAsia="zh-CN" w:bidi="ar"/>
              </w:rPr>
              <w:t>第2项 项目实施方案 ：</w:t>
            </w:r>
          </w:p>
          <w:p w14:paraId="46BEB6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Style w:val="19"/>
                <w:rFonts w:hint="eastAsia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/>
                <w:b/>
                <w:bCs/>
                <w:color w:val="auto"/>
                <w:sz w:val="24"/>
                <w:szCs w:val="24"/>
                <w:lang w:val="en-US" w:eastAsia="zh-CN" w:bidi="ar"/>
              </w:rPr>
              <w:t>12.制定困境儿童关爱服务工作流程6分</w:t>
            </w:r>
          </w:p>
          <w:p w14:paraId="7DF7C3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  <w:t>包括入户探访流程、个案服务和个案转介流程、心理关爱帮扶流程、监护缺失困境儿童应急处置流程、社会服务组织链接资源流程等，确保关爱服务工作规范有序开展。</w:t>
            </w:r>
          </w:p>
          <w:p w14:paraId="27CB5B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  <w:t>12.1</w:t>
            </w:r>
            <w:r>
              <w:rPr>
                <w:rStyle w:val="19"/>
                <w:rFonts w:hint="eastAsia"/>
                <w:color w:val="FF0000"/>
                <w:sz w:val="24"/>
                <w:szCs w:val="24"/>
                <w:u w:val="single"/>
                <w:lang w:val="en-US" w:eastAsia="zh-CN" w:bidi="ar"/>
              </w:rPr>
              <w:t>相关流程</w:t>
            </w:r>
            <w:r>
              <w:rPr>
                <w:rStyle w:val="19"/>
                <w:rFonts w:hint="default"/>
                <w:color w:val="auto"/>
                <w:sz w:val="24"/>
                <w:szCs w:val="24"/>
                <w:lang w:val="en-US" w:eastAsia="zh-CN" w:bidi="ar"/>
              </w:rPr>
              <w:t>全面、清晰、要点突出、完整详实，实用性、针对性强，有利于</w:t>
            </w:r>
            <w:r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  <w:t>提高</w:t>
            </w:r>
            <w:r>
              <w:rPr>
                <w:rStyle w:val="19"/>
                <w:rFonts w:hint="default"/>
                <w:color w:val="auto"/>
                <w:sz w:val="24"/>
                <w:szCs w:val="24"/>
                <w:lang w:val="en-US" w:eastAsia="zh-CN" w:bidi="ar"/>
              </w:rPr>
              <w:t>本项目</w:t>
            </w:r>
            <w:r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  <w:t>影响力，得6分；</w:t>
            </w:r>
          </w:p>
          <w:p w14:paraId="2E292A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  <w:t>12.2</w:t>
            </w:r>
            <w:r>
              <w:rPr>
                <w:rStyle w:val="19"/>
                <w:rFonts w:hint="eastAsia"/>
                <w:color w:val="FF0000"/>
                <w:sz w:val="24"/>
                <w:szCs w:val="24"/>
                <w:u w:val="single"/>
                <w:lang w:val="en-US" w:eastAsia="zh-CN" w:bidi="ar"/>
              </w:rPr>
              <w:t>相关流程</w:t>
            </w:r>
            <w:r>
              <w:rPr>
                <w:rStyle w:val="19"/>
                <w:rFonts w:hint="default"/>
                <w:color w:val="auto"/>
                <w:sz w:val="24"/>
                <w:szCs w:val="24"/>
                <w:lang w:val="en-US" w:eastAsia="zh-CN" w:bidi="ar"/>
              </w:rPr>
              <w:t>内容</w:t>
            </w:r>
            <w:r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  <w:t>基本合理、可行的，得3分；</w:t>
            </w:r>
          </w:p>
          <w:p w14:paraId="1C7701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  <w:t>12.3</w:t>
            </w:r>
            <w:r>
              <w:rPr>
                <w:rStyle w:val="19"/>
                <w:rFonts w:hint="eastAsia"/>
                <w:color w:val="FF0000"/>
                <w:sz w:val="24"/>
                <w:szCs w:val="24"/>
                <w:u w:val="single"/>
                <w:lang w:val="en-US" w:eastAsia="zh-CN" w:bidi="ar"/>
              </w:rPr>
              <w:t>相关流程</w:t>
            </w:r>
            <w:r>
              <w:rPr>
                <w:rStyle w:val="19"/>
                <w:rFonts w:hint="default"/>
                <w:color w:val="auto"/>
                <w:sz w:val="24"/>
                <w:szCs w:val="24"/>
                <w:lang w:val="en-US" w:eastAsia="zh-CN" w:bidi="ar"/>
              </w:rPr>
              <w:t>内容</w:t>
            </w:r>
            <w:r>
              <w:rPr>
                <w:rStyle w:val="19"/>
                <w:rFonts w:hint="eastAsia"/>
                <w:color w:val="auto"/>
                <w:sz w:val="24"/>
                <w:szCs w:val="24"/>
                <w:lang w:val="en-US" w:eastAsia="zh-CN" w:bidi="ar"/>
              </w:rPr>
              <w:t>欠合理、可操作性不高的，得1分。</w:t>
            </w:r>
          </w:p>
        </w:tc>
      </w:tr>
    </w:tbl>
    <w:p w14:paraId="4751F9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 xml:space="preserve"> 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更正日期：202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月1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日　          </w:t>
      </w:r>
    </w:p>
    <w:p w14:paraId="1404C5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三、其他补充事宜      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         </w:t>
      </w:r>
    </w:p>
    <w:p w14:paraId="5182D9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bookmarkStart w:id="9" w:name="_GoBack"/>
      <w:bookmarkEnd w:id="9"/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竞争性磋商文件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中相应内容均做相应更正，其他内容不变。                </w:t>
      </w:r>
    </w:p>
    <w:p w14:paraId="557968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四、对本次公告提出询问，请按以下方式联系。</w:t>
      </w:r>
    </w:p>
    <w:p w14:paraId="45DBCD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1.采购人信息</w:t>
      </w:r>
    </w:p>
    <w:p w14:paraId="7AA6DE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名称：全州县民政局 </w:t>
      </w:r>
    </w:p>
    <w:p w14:paraId="2C4C8C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地址：全州县全州镇路西堤路2号  </w:t>
      </w:r>
    </w:p>
    <w:p w14:paraId="3E57BB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项目联系人：肖女士   </w:t>
      </w:r>
    </w:p>
    <w:p w14:paraId="517514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项目联系方式：0773-4821636</w:t>
      </w:r>
    </w:p>
    <w:p w14:paraId="2D4A0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2.采购代理机构信息</w:t>
      </w:r>
    </w:p>
    <w:p w14:paraId="7E9ABC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名    称：广西爱才通工程咨询有限公司　</w:t>
      </w:r>
    </w:p>
    <w:p w14:paraId="09BBD3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地　　址：桂林市临桂区临桂镇西城北路碧园.印象桂林21幢3单元11层5号房</w:t>
      </w:r>
    </w:p>
    <w:p w14:paraId="5AB547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联系方式：杨工 0773-8282779</w:t>
      </w:r>
    </w:p>
    <w:p w14:paraId="68F671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广西爱才通工程咨询有限公司</w:t>
      </w:r>
    </w:p>
    <w:p w14:paraId="15D86D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2025年03月19日</w:t>
      </w:r>
    </w:p>
    <w:p w14:paraId="39EC3B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eastAsia="zh-CN"/>
        </w:rPr>
      </w:pPr>
    </w:p>
    <w:sectPr>
      <w:footerReference r:id="rId3" w:type="default"/>
      <w:pgSz w:w="11906" w:h="16838"/>
      <w:pgMar w:top="850" w:right="1080" w:bottom="68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8F3AE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9EB36B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9EB36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A884819"/>
    <w:rsid w:val="0B547C49"/>
    <w:rsid w:val="10594DE6"/>
    <w:rsid w:val="13FD3CDB"/>
    <w:rsid w:val="17A34B99"/>
    <w:rsid w:val="20BD316F"/>
    <w:rsid w:val="22837AA1"/>
    <w:rsid w:val="284877C3"/>
    <w:rsid w:val="28EB069A"/>
    <w:rsid w:val="2AD215C5"/>
    <w:rsid w:val="2CC94B7E"/>
    <w:rsid w:val="2D0D4B37"/>
    <w:rsid w:val="2DBD030B"/>
    <w:rsid w:val="36C34C82"/>
    <w:rsid w:val="39657AA9"/>
    <w:rsid w:val="3DF338D5"/>
    <w:rsid w:val="3F4A1C1A"/>
    <w:rsid w:val="40A50BC6"/>
    <w:rsid w:val="41BA2894"/>
    <w:rsid w:val="433E55F2"/>
    <w:rsid w:val="452E1696"/>
    <w:rsid w:val="45A32084"/>
    <w:rsid w:val="482C010F"/>
    <w:rsid w:val="4A836C3D"/>
    <w:rsid w:val="4AFC1855"/>
    <w:rsid w:val="50292141"/>
    <w:rsid w:val="50795EBC"/>
    <w:rsid w:val="570A5ABF"/>
    <w:rsid w:val="593B1C20"/>
    <w:rsid w:val="6065645C"/>
    <w:rsid w:val="6B4623C8"/>
    <w:rsid w:val="6DDE33AA"/>
    <w:rsid w:val="78485FF0"/>
    <w:rsid w:val="793E0867"/>
    <w:rsid w:val="799423B6"/>
    <w:rsid w:val="7C792C1C"/>
    <w:rsid w:val="7EFE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jc w:val="left"/>
    </w:pPr>
    <w:rPr>
      <w:rFonts w:ascii="Calibri" w:hAnsi="Calibri" w:eastAsia="宋体" w:cs="Times New Roman"/>
      <w:bCs/>
      <w:spacing w:val="10"/>
      <w:kern w:val="0"/>
      <w:sz w:val="24"/>
    </w:rPr>
  </w:style>
  <w:style w:type="paragraph" w:styleId="5">
    <w:name w:val="Body Text"/>
    <w:basedOn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6">
    <w:name w:val="Block Text"/>
    <w:basedOn w:val="1"/>
    <w:qFormat/>
    <w:uiPriority w:val="0"/>
    <w:pPr>
      <w:ind w:left="-718" w:leftChars="-342" w:right="-512" w:rightChars="-244" w:firstLine="560" w:firstLineChars="200"/>
    </w:pPr>
    <w:rPr>
      <w:sz w:val="28"/>
      <w:szCs w:val="24"/>
    </w:rPr>
  </w:style>
  <w:style w:type="paragraph" w:styleId="7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TML Sample"/>
    <w:basedOn w:val="14"/>
    <w:qFormat/>
    <w:uiPriority w:val="0"/>
    <w:rPr>
      <w:rFonts w:ascii="Courier New" w:hAnsi="Courier New"/>
    </w:rPr>
  </w:style>
  <w:style w:type="paragraph" w:customStyle="1" w:styleId="17">
    <w:name w:val="_Style 5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8">
    <w:name w:val="标题 Char"/>
    <w:autoRedefine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19">
    <w:name w:val="fontstyle01"/>
    <w:basedOn w:val="14"/>
    <w:qFormat/>
    <w:uiPriority w:val="0"/>
    <w:rPr>
      <w:rFonts w:ascii="宋体" w:hAnsi="宋体" w:eastAsia="宋体" w:cs="宋体"/>
      <w:color w:val="00000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2123</Words>
  <Characters>2256</Characters>
  <Lines>0</Lines>
  <Paragraphs>0</Paragraphs>
  <TotalTime>28</TotalTime>
  <ScaleCrop>false</ScaleCrop>
  <LinksUpToDate>false</LinksUpToDate>
  <CharactersWithSpaces>2389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2024-08-03T08:47:00Z</dcterms:created>
  <dc:creator>WIN10</dc:creator>
  <cp:lastModifiedBy>T^_^T</cp:lastModifiedBy>
  <dcterms:modified xsi:type="dcterms:W3CDTF">2025-03-19T07:24:22Z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F1D83786FB7940599EA8A31CAC60425C_12</vt:lpwstr>
  </property>
  <property fmtid="{D5CDD505-2E9C-101B-9397-08002B2CF9AE}" pid="4" name="KSOTemplateDocerSaveRecord">
    <vt:lpwstr>eyJoZGlkIjoiN2YzNjBkOTgyNWQ1YTMxYzM3MzMwNWFiODNmOWIzYWMiLCJ1c2VySWQiOiIzMzQ0Njk3NzMifQ==</vt:lpwstr>
  </property>
</Properties>
</file>