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6CFA9">
      <w:pPr>
        <w:pStyle w:val="11"/>
        <w:ind w:firstLine="1368"/>
        <w:jc w:val="right"/>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bdr w:val="single" w:color="auto" w:sz="4" w:space="0"/>
        </w:rPr>
        <w:t>电子版</w:t>
      </w:r>
    </w:p>
    <w:p w14:paraId="4D1AE71B">
      <w:pPr>
        <w:pStyle w:val="11"/>
        <w:tabs>
          <w:tab w:val="left" w:pos="1260"/>
        </w:tabs>
        <w:rPr>
          <w:rFonts w:hint="eastAsia" w:ascii="宋体" w:hAnsi="宋体" w:eastAsia="宋体" w:cs="宋体"/>
          <w:b/>
          <w:color w:val="auto"/>
          <w:spacing w:val="100"/>
          <w:w w:val="110"/>
          <w:kern w:val="0"/>
          <w:sz w:val="52"/>
          <w:szCs w:val="44"/>
          <w:highlight w:val="none"/>
        </w:rPr>
      </w:pPr>
    </w:p>
    <w:p w14:paraId="35E257B8">
      <w:pPr>
        <w:pStyle w:val="11"/>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2CF2441">
      <w:pPr>
        <w:pStyle w:val="11"/>
        <w:jc w:val="center"/>
        <w:rPr>
          <w:rFonts w:hint="eastAsia" w:ascii="宋体" w:hAnsi="宋体" w:eastAsia="宋体" w:cs="宋体"/>
          <w:b/>
          <w:color w:val="auto"/>
          <w:sz w:val="56"/>
          <w:szCs w:val="56"/>
          <w:highlight w:val="none"/>
        </w:rPr>
      </w:pPr>
    </w:p>
    <w:p w14:paraId="1F93F842">
      <w:pPr>
        <w:pStyle w:val="11"/>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采购需求问卷调查响应文件</w:t>
      </w:r>
    </w:p>
    <w:p w14:paraId="3E746C0A">
      <w:pPr>
        <w:pStyle w:val="11"/>
        <w:jc w:val="center"/>
        <w:rPr>
          <w:rFonts w:hint="eastAsia" w:ascii="宋体" w:hAnsi="宋体" w:eastAsia="宋体" w:cs="宋体"/>
          <w:b/>
          <w:color w:val="auto"/>
          <w:sz w:val="52"/>
          <w:szCs w:val="52"/>
          <w:highlight w:val="none"/>
        </w:rPr>
      </w:pPr>
    </w:p>
    <w:p w14:paraId="552B2683">
      <w:pPr>
        <w:pStyle w:val="11"/>
        <w:jc w:val="center"/>
        <w:rPr>
          <w:rFonts w:hint="eastAsia" w:ascii="宋体" w:hAnsi="宋体" w:eastAsia="宋体" w:cs="宋体"/>
          <w:b/>
          <w:color w:val="auto"/>
          <w:sz w:val="44"/>
          <w:szCs w:val="44"/>
          <w:highlight w:val="none"/>
        </w:rPr>
      </w:pPr>
    </w:p>
    <w:p w14:paraId="23ED232E">
      <w:pPr>
        <w:pStyle w:val="11"/>
        <w:jc w:val="center"/>
        <w:rPr>
          <w:rFonts w:hint="eastAsia" w:ascii="宋体" w:hAnsi="宋体" w:eastAsia="宋体" w:cs="宋体"/>
          <w:b/>
          <w:color w:val="auto"/>
          <w:sz w:val="44"/>
          <w:szCs w:val="44"/>
          <w:highlight w:val="none"/>
        </w:rPr>
      </w:pPr>
    </w:p>
    <w:p w14:paraId="1223DB3C">
      <w:pPr>
        <w:pStyle w:val="11"/>
        <w:jc w:val="center"/>
        <w:rPr>
          <w:rFonts w:hint="eastAsia" w:ascii="宋体" w:hAnsi="宋体" w:eastAsia="宋体" w:cs="宋体"/>
          <w:b/>
          <w:color w:val="auto"/>
          <w:sz w:val="44"/>
          <w:szCs w:val="44"/>
          <w:highlight w:val="none"/>
        </w:rPr>
      </w:pPr>
    </w:p>
    <w:p w14:paraId="18045BF4">
      <w:pPr>
        <w:pStyle w:val="11"/>
        <w:jc w:val="center"/>
        <w:rPr>
          <w:rFonts w:hint="eastAsia" w:ascii="宋体" w:hAnsi="宋体" w:eastAsia="宋体" w:cs="宋体"/>
          <w:b/>
          <w:color w:val="auto"/>
          <w:sz w:val="44"/>
          <w:szCs w:val="44"/>
          <w:highlight w:val="none"/>
        </w:rPr>
      </w:pPr>
    </w:p>
    <w:p w14:paraId="7788B321">
      <w:pPr>
        <w:pStyle w:val="11"/>
        <w:spacing w:line="360" w:lineRule="auto"/>
        <w:ind w:firstLine="1687" w:firstLineChars="600"/>
        <w:jc w:val="both"/>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sz w:val="28"/>
          <w:szCs w:val="28"/>
          <w:highlight w:val="none"/>
        </w:rPr>
        <w:t>项目名称：</w:t>
      </w:r>
    </w:p>
    <w:p w14:paraId="20A0941A">
      <w:pPr>
        <w:pStyle w:val="11"/>
        <w:spacing w:line="360" w:lineRule="auto"/>
        <w:ind w:firstLine="1439" w:firstLineChars="512"/>
        <w:rPr>
          <w:rFonts w:hint="eastAsia" w:ascii="宋体" w:hAnsi="宋体" w:eastAsia="宋体" w:cs="宋体"/>
          <w:b/>
          <w:color w:val="auto"/>
          <w:sz w:val="28"/>
          <w:szCs w:val="28"/>
          <w:highlight w:val="none"/>
        </w:rPr>
      </w:pPr>
    </w:p>
    <w:p w14:paraId="4F023FA1">
      <w:pPr>
        <w:pStyle w:val="11"/>
        <w:spacing w:line="360" w:lineRule="auto"/>
        <w:ind w:firstLine="1439" w:firstLineChars="512"/>
        <w:rPr>
          <w:rFonts w:hint="eastAsia" w:ascii="宋体" w:hAnsi="宋体" w:eastAsia="宋体" w:cs="宋体"/>
          <w:b/>
          <w:color w:val="auto"/>
          <w:sz w:val="28"/>
          <w:szCs w:val="28"/>
          <w:highlight w:val="none"/>
        </w:rPr>
      </w:pPr>
    </w:p>
    <w:p w14:paraId="51109EAB">
      <w:pPr>
        <w:pStyle w:val="4"/>
        <w:numPr>
          <w:ilvl w:val="3"/>
          <w:numId w:val="0"/>
        </w:numPr>
        <w:ind w:leftChars="0"/>
        <w:rPr>
          <w:rFonts w:hint="eastAsia"/>
        </w:rPr>
      </w:pPr>
    </w:p>
    <w:p w14:paraId="73B77395">
      <w:pPr>
        <w:pStyle w:val="11"/>
        <w:spacing w:line="360" w:lineRule="auto"/>
        <w:rPr>
          <w:rFonts w:hint="eastAsia" w:ascii="宋体" w:hAnsi="宋体" w:eastAsia="宋体" w:cs="宋体"/>
          <w:b/>
          <w:color w:val="auto"/>
          <w:sz w:val="28"/>
          <w:szCs w:val="28"/>
          <w:highlight w:val="none"/>
          <w:u w:val="single"/>
        </w:rPr>
      </w:pPr>
      <w:r>
        <w:rPr>
          <w:rFonts w:hint="eastAsia" w:hAnsi="宋体" w:cs="宋体"/>
          <w:b/>
          <w:color w:val="auto"/>
          <w:sz w:val="28"/>
          <w:szCs w:val="28"/>
          <w:highlight w:val="none"/>
          <w:lang w:val="en-US" w:eastAsia="zh-CN"/>
        </w:rPr>
        <w:t>供应商/采购人单位</w:t>
      </w:r>
      <w:r>
        <w:rPr>
          <w:rFonts w:hint="eastAsia" w:ascii="宋体" w:hAnsi="宋体" w:eastAsia="宋体" w:cs="宋体"/>
          <w:b/>
          <w:color w:val="auto"/>
          <w:sz w:val="28"/>
          <w:szCs w:val="28"/>
          <w:highlight w:val="none"/>
        </w:rPr>
        <w:t>名称：</w:t>
      </w:r>
      <w:r>
        <w:rPr>
          <w:rFonts w:hint="eastAsia" w:ascii="宋体" w:hAnsi="宋体" w:eastAsia="宋体" w:cs="宋体"/>
          <w:b/>
          <w:color w:val="auto"/>
          <w:sz w:val="28"/>
          <w:szCs w:val="28"/>
          <w:highlight w:val="none"/>
          <w:u w:val="single"/>
        </w:rPr>
        <w:t xml:space="preserve">                      （加盖公章）</w:t>
      </w:r>
    </w:p>
    <w:p w14:paraId="7CD9D37E">
      <w:pPr>
        <w:autoSpaceDE w:val="0"/>
        <w:autoSpaceDN w:val="0"/>
        <w:spacing w:line="240" w:lineRule="atLeast"/>
        <w:ind w:firstLine="1439" w:firstLineChars="512"/>
        <w:rPr>
          <w:rFonts w:hint="eastAsia" w:ascii="宋体" w:hAnsi="宋体" w:eastAsia="宋体" w:cs="宋体"/>
          <w:color w:val="auto"/>
          <w:sz w:val="44"/>
          <w:szCs w:val="44"/>
          <w:highlight w:val="non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202</w:t>
      </w:r>
      <w:r>
        <w:rPr>
          <w:rFonts w:hint="eastAsia" w:ascii="宋体" w:hAnsi="宋体" w:cs="宋体"/>
          <w:b/>
          <w:color w:val="auto"/>
          <w:sz w:val="28"/>
          <w:szCs w:val="28"/>
          <w:highlight w:val="none"/>
          <w:u w:val="single"/>
          <w:lang w:val="en-US" w:eastAsia="zh-CN"/>
        </w:rPr>
        <w:t xml:space="preserve">5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14:paraId="653C07EC">
      <w:pPr>
        <w:jc w:val="center"/>
        <w:rPr>
          <w:rFonts w:hint="eastAsia" w:ascii="宋体" w:hAnsi="宋体" w:eastAsia="宋体" w:cs="宋体"/>
          <w:b/>
          <w:bCs/>
          <w:color w:val="auto"/>
          <w:sz w:val="44"/>
          <w:szCs w:val="44"/>
          <w:highlight w:val="none"/>
        </w:rPr>
        <w:sectPr>
          <w:pgSz w:w="11906" w:h="16838"/>
          <w:pgMar w:top="1440" w:right="1800" w:bottom="1440" w:left="1800" w:header="851" w:footer="992" w:gutter="0"/>
          <w:cols w:space="720" w:num="1"/>
          <w:docGrid w:type="lines" w:linePitch="312" w:charSpace="0"/>
        </w:sectPr>
      </w:pPr>
    </w:p>
    <w:p w14:paraId="123B74F9">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3C8CDC17">
      <w:pPr>
        <w:pStyle w:val="28"/>
        <w:rPr>
          <w:rFonts w:hint="eastAsia" w:ascii="宋体" w:hAnsi="宋体" w:eastAsia="宋体" w:cs="宋体"/>
          <w:b/>
          <w:color w:val="auto"/>
          <w:sz w:val="44"/>
          <w:szCs w:val="44"/>
          <w:highlight w:val="none"/>
        </w:rPr>
      </w:pPr>
    </w:p>
    <w:p w14:paraId="301C9C87">
      <w:pPr>
        <w:pStyle w:val="16"/>
        <w:tabs>
          <w:tab w:val="right" w:leader="dot" w:pos="8306"/>
        </w:tabs>
        <w:spacing w:line="480" w:lineRule="auto"/>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48"/>
          <w:highlight w:val="none"/>
        </w:rPr>
        <w:t>一、</w:t>
      </w:r>
      <w:r>
        <w:rPr>
          <w:rFonts w:hint="eastAsia" w:ascii="宋体" w:hAnsi="宋体" w:cs="宋体"/>
          <w:b/>
          <w:bCs/>
          <w:color w:val="auto"/>
          <w:sz w:val="28"/>
          <w:szCs w:val="48"/>
          <w:highlight w:val="none"/>
          <w:lang w:val="en-US" w:eastAsia="zh-CN"/>
        </w:rPr>
        <w:t>单位</w:t>
      </w:r>
      <w:r>
        <w:rPr>
          <w:rFonts w:hint="eastAsia" w:ascii="宋体" w:hAnsi="宋体" w:eastAsia="宋体" w:cs="宋体"/>
          <w:b/>
          <w:bCs/>
          <w:color w:val="auto"/>
          <w:sz w:val="28"/>
          <w:szCs w:val="48"/>
          <w:highlight w:val="none"/>
        </w:rPr>
        <w:t>简介</w:t>
      </w:r>
      <w:r>
        <w:rPr>
          <w:rFonts w:hint="eastAsia" w:ascii="宋体" w:hAnsi="宋体" w:eastAsia="宋体" w:cs="宋体"/>
          <w:b/>
          <w:bCs/>
          <w:color w:val="auto"/>
          <w:sz w:val="28"/>
          <w:szCs w:val="32"/>
          <w:highlight w:val="none"/>
        </w:rPr>
        <w:tab/>
      </w:r>
    </w:p>
    <w:p w14:paraId="06D5AFC9">
      <w:pPr>
        <w:pStyle w:val="16"/>
        <w:tabs>
          <w:tab w:val="right" w:leader="dot" w:pos="8306"/>
        </w:tabs>
        <w:spacing w:line="480" w:lineRule="auto"/>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48"/>
          <w:highlight w:val="none"/>
        </w:rPr>
        <w:t>二、营业执照</w:t>
      </w:r>
      <w:r>
        <w:rPr>
          <w:rFonts w:hint="eastAsia" w:ascii="宋体" w:hAnsi="宋体" w:eastAsia="宋体" w:cs="宋体"/>
          <w:b/>
          <w:bCs/>
          <w:color w:val="auto"/>
          <w:sz w:val="28"/>
          <w:szCs w:val="32"/>
          <w:highlight w:val="none"/>
        </w:rPr>
        <w:tab/>
      </w:r>
    </w:p>
    <w:p w14:paraId="420D26FC">
      <w:pPr>
        <w:pStyle w:val="16"/>
        <w:tabs>
          <w:tab w:val="right" w:leader="dot" w:pos="8306"/>
        </w:tabs>
        <w:spacing w:line="480" w:lineRule="auto"/>
        <w:ind w:leftChars="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48"/>
          <w:highlight w:val="none"/>
        </w:rPr>
        <w:t>三、</w:t>
      </w:r>
      <w:r>
        <w:rPr>
          <w:rFonts w:hint="eastAsia" w:ascii="宋体" w:hAnsi="宋体" w:eastAsia="宋体" w:cs="宋体"/>
          <w:b/>
          <w:color w:val="auto"/>
          <w:sz w:val="28"/>
          <w:szCs w:val="28"/>
          <w:highlight w:val="none"/>
        </w:rPr>
        <w:t>服务响应内容</w:t>
      </w:r>
      <w:r>
        <w:rPr>
          <w:rFonts w:hint="eastAsia" w:ascii="宋体" w:hAnsi="宋体" w:eastAsia="宋体" w:cs="宋体"/>
          <w:b/>
          <w:bCs/>
          <w:color w:val="auto"/>
          <w:sz w:val="28"/>
          <w:szCs w:val="32"/>
          <w:highlight w:val="none"/>
        </w:rPr>
        <w:tab/>
      </w:r>
    </w:p>
    <w:p w14:paraId="3F4B22CB">
      <w:pPr>
        <w:spacing w:line="480" w:lineRule="auto"/>
        <w:jc w:val="center"/>
        <w:outlineLvl w:val="1"/>
        <w:rPr>
          <w:rFonts w:hint="eastAsia" w:ascii="宋体" w:hAnsi="宋体" w:eastAsia="宋体" w:cs="宋体"/>
          <w:b/>
          <w:bCs/>
          <w:color w:val="auto"/>
          <w:sz w:val="24"/>
          <w:szCs w:val="24"/>
          <w:highlight w:val="none"/>
        </w:rPr>
      </w:pPr>
    </w:p>
    <w:p w14:paraId="3C778D73">
      <w:pPr>
        <w:jc w:val="center"/>
        <w:outlineLvl w:val="1"/>
        <w:rPr>
          <w:rFonts w:hint="eastAsia" w:ascii="宋体" w:hAnsi="宋体" w:eastAsia="宋体" w:cs="宋体"/>
          <w:b/>
          <w:color w:val="auto"/>
          <w:sz w:val="36"/>
          <w:szCs w:val="36"/>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33E78E27">
      <w:pPr>
        <w:outlineLvl w:val="1"/>
        <w:rPr>
          <w:rFonts w:hint="eastAsia" w:ascii="宋体" w:hAnsi="宋体" w:eastAsia="宋体" w:cs="宋体"/>
          <w:b/>
          <w:color w:val="auto"/>
          <w:sz w:val="28"/>
          <w:szCs w:val="28"/>
          <w:highlight w:val="none"/>
        </w:rPr>
      </w:pPr>
      <w:bookmarkStart w:id="0" w:name="_Toc3224"/>
      <w:r>
        <w:rPr>
          <w:rFonts w:hint="eastAsia" w:ascii="宋体" w:hAnsi="宋体" w:eastAsia="宋体" w:cs="宋体"/>
          <w:b/>
          <w:color w:val="auto"/>
          <w:sz w:val="28"/>
          <w:szCs w:val="28"/>
          <w:highlight w:val="none"/>
        </w:rPr>
        <w:t>一、</w:t>
      </w:r>
      <w:r>
        <w:rPr>
          <w:rFonts w:hint="eastAsia" w:ascii="宋体" w:hAnsi="宋体" w:cs="宋体"/>
          <w:b/>
          <w:color w:val="auto"/>
          <w:sz w:val="28"/>
          <w:szCs w:val="28"/>
          <w:highlight w:val="none"/>
          <w:lang w:val="en-US" w:eastAsia="zh-CN"/>
        </w:rPr>
        <w:t>单位</w:t>
      </w:r>
      <w:r>
        <w:rPr>
          <w:rFonts w:hint="eastAsia" w:ascii="宋体" w:hAnsi="宋体" w:eastAsia="宋体" w:cs="宋体"/>
          <w:b/>
          <w:color w:val="auto"/>
          <w:sz w:val="28"/>
          <w:szCs w:val="28"/>
          <w:highlight w:val="none"/>
        </w:rPr>
        <w:t>简介</w:t>
      </w:r>
      <w:bookmarkEnd w:id="0"/>
    </w:p>
    <w:p w14:paraId="027D1848">
      <w:pPr>
        <w:pStyle w:val="28"/>
        <w:rPr>
          <w:rFonts w:hint="eastAsia" w:ascii="宋体" w:hAnsi="宋体" w:eastAsia="宋体" w:cs="宋体"/>
          <w:color w:val="auto"/>
          <w:highlight w:val="none"/>
        </w:rPr>
      </w:pPr>
    </w:p>
    <w:tbl>
      <w:tblPr>
        <w:tblStyle w:val="18"/>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3042"/>
        <w:gridCol w:w="1699"/>
        <w:gridCol w:w="2550"/>
      </w:tblGrid>
      <w:tr w14:paraId="459B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355AB99D">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单位名称</w:t>
            </w:r>
          </w:p>
          <w:p w14:paraId="60E78585">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（加盖公章）</w:t>
            </w:r>
          </w:p>
        </w:tc>
        <w:tc>
          <w:tcPr>
            <w:tcW w:w="7291" w:type="dxa"/>
            <w:gridSpan w:val="3"/>
            <w:tcBorders>
              <w:top w:val="single" w:color="auto" w:sz="4" w:space="0"/>
              <w:left w:val="single" w:color="auto" w:sz="4" w:space="0"/>
              <w:bottom w:val="single" w:color="auto" w:sz="4" w:space="0"/>
              <w:right w:val="single" w:color="auto" w:sz="4" w:space="0"/>
            </w:tcBorders>
            <w:vAlign w:val="center"/>
          </w:tcPr>
          <w:p w14:paraId="4405CCBE">
            <w:pPr>
              <w:ind w:left="-62"/>
              <w:jc w:val="center"/>
              <w:rPr>
                <w:rFonts w:hint="eastAsia" w:ascii="宋体" w:hAnsi="宋体" w:eastAsia="宋体" w:cs="宋体"/>
                <w:color w:val="auto"/>
                <w:sz w:val="22"/>
                <w:szCs w:val="20"/>
                <w:highlight w:val="none"/>
              </w:rPr>
            </w:pPr>
          </w:p>
        </w:tc>
      </w:tr>
      <w:tr w14:paraId="7403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700A5765">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单位简介</w:t>
            </w:r>
          </w:p>
        </w:tc>
        <w:tc>
          <w:tcPr>
            <w:tcW w:w="7291" w:type="dxa"/>
            <w:gridSpan w:val="3"/>
            <w:tcBorders>
              <w:top w:val="single" w:color="auto" w:sz="4" w:space="0"/>
              <w:left w:val="single" w:color="auto" w:sz="4" w:space="0"/>
              <w:bottom w:val="single" w:color="auto" w:sz="4" w:space="0"/>
              <w:right w:val="single" w:color="auto" w:sz="4" w:space="0"/>
            </w:tcBorders>
            <w:vAlign w:val="center"/>
          </w:tcPr>
          <w:p w14:paraId="3433693D">
            <w:pPr>
              <w:ind w:left="-62"/>
              <w:rPr>
                <w:rFonts w:hint="eastAsia" w:ascii="宋体" w:hAnsi="宋体" w:eastAsia="宋体" w:cs="宋体"/>
                <w:color w:val="auto"/>
                <w:sz w:val="22"/>
                <w:szCs w:val="20"/>
                <w:highlight w:val="none"/>
              </w:rPr>
            </w:pPr>
          </w:p>
        </w:tc>
      </w:tr>
      <w:tr w14:paraId="7BD3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59DA0F07">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单位地址</w:t>
            </w:r>
          </w:p>
        </w:tc>
        <w:tc>
          <w:tcPr>
            <w:tcW w:w="7291" w:type="dxa"/>
            <w:gridSpan w:val="3"/>
            <w:tcBorders>
              <w:top w:val="single" w:color="auto" w:sz="4" w:space="0"/>
              <w:left w:val="single" w:color="auto" w:sz="4" w:space="0"/>
              <w:bottom w:val="single" w:color="auto" w:sz="4" w:space="0"/>
              <w:right w:val="single" w:color="auto" w:sz="4" w:space="0"/>
            </w:tcBorders>
            <w:vAlign w:val="center"/>
          </w:tcPr>
          <w:p w14:paraId="6D9FFB1D">
            <w:pPr>
              <w:ind w:left="-62"/>
              <w:rPr>
                <w:rFonts w:hint="eastAsia" w:ascii="宋体" w:hAnsi="宋体" w:eastAsia="宋体" w:cs="宋体"/>
                <w:color w:val="auto"/>
                <w:sz w:val="22"/>
                <w:szCs w:val="20"/>
                <w:highlight w:val="none"/>
              </w:rPr>
            </w:pPr>
          </w:p>
        </w:tc>
      </w:tr>
      <w:tr w14:paraId="3BCF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19A7B615">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联系人员</w:t>
            </w:r>
          </w:p>
        </w:tc>
        <w:tc>
          <w:tcPr>
            <w:tcW w:w="3042" w:type="dxa"/>
            <w:tcBorders>
              <w:top w:val="single" w:color="auto" w:sz="4" w:space="0"/>
              <w:left w:val="single" w:color="auto" w:sz="4" w:space="0"/>
              <w:bottom w:val="single" w:color="auto" w:sz="4" w:space="0"/>
              <w:right w:val="single" w:color="auto" w:sz="4" w:space="0"/>
            </w:tcBorders>
            <w:vAlign w:val="center"/>
          </w:tcPr>
          <w:p w14:paraId="010B0E06">
            <w:pPr>
              <w:ind w:left="-62"/>
              <w:rPr>
                <w:rFonts w:hint="eastAsia" w:ascii="宋体" w:hAnsi="宋体" w:eastAsia="宋体" w:cs="宋体"/>
                <w:color w:val="auto"/>
                <w:sz w:val="22"/>
                <w:szCs w:val="20"/>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4CA46BA9">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手机号码</w:t>
            </w:r>
          </w:p>
        </w:tc>
        <w:tc>
          <w:tcPr>
            <w:tcW w:w="2550" w:type="dxa"/>
            <w:tcBorders>
              <w:top w:val="single" w:color="auto" w:sz="4" w:space="0"/>
              <w:left w:val="single" w:color="auto" w:sz="4" w:space="0"/>
              <w:bottom w:val="single" w:color="auto" w:sz="4" w:space="0"/>
              <w:right w:val="single" w:color="auto" w:sz="4" w:space="0"/>
            </w:tcBorders>
            <w:vAlign w:val="center"/>
          </w:tcPr>
          <w:p w14:paraId="38470CC6">
            <w:pPr>
              <w:ind w:left="-62"/>
              <w:rPr>
                <w:rFonts w:hint="eastAsia" w:ascii="宋体" w:hAnsi="宋体" w:eastAsia="宋体" w:cs="宋体"/>
                <w:color w:val="auto"/>
                <w:sz w:val="22"/>
                <w:szCs w:val="20"/>
                <w:highlight w:val="none"/>
              </w:rPr>
            </w:pPr>
          </w:p>
        </w:tc>
      </w:tr>
      <w:tr w14:paraId="68AC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3E8966FC">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电子邮箱</w:t>
            </w:r>
          </w:p>
        </w:tc>
        <w:tc>
          <w:tcPr>
            <w:tcW w:w="3042" w:type="dxa"/>
            <w:tcBorders>
              <w:top w:val="single" w:color="auto" w:sz="4" w:space="0"/>
              <w:left w:val="single" w:color="auto" w:sz="4" w:space="0"/>
              <w:bottom w:val="single" w:color="auto" w:sz="4" w:space="0"/>
              <w:right w:val="single" w:color="auto" w:sz="4" w:space="0"/>
            </w:tcBorders>
            <w:vAlign w:val="center"/>
          </w:tcPr>
          <w:p w14:paraId="1FFC236D">
            <w:pPr>
              <w:ind w:left="-62"/>
              <w:rPr>
                <w:rFonts w:hint="eastAsia" w:ascii="宋体" w:hAnsi="宋体" w:eastAsia="宋体" w:cs="宋体"/>
                <w:color w:val="auto"/>
                <w:sz w:val="22"/>
                <w:szCs w:val="20"/>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6DB45EA8">
            <w:pPr>
              <w:ind w:left="-62"/>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公司座机</w:t>
            </w:r>
          </w:p>
        </w:tc>
        <w:tc>
          <w:tcPr>
            <w:tcW w:w="2550" w:type="dxa"/>
            <w:tcBorders>
              <w:top w:val="single" w:color="auto" w:sz="4" w:space="0"/>
              <w:left w:val="single" w:color="auto" w:sz="4" w:space="0"/>
              <w:bottom w:val="single" w:color="auto" w:sz="4" w:space="0"/>
              <w:right w:val="single" w:color="auto" w:sz="4" w:space="0"/>
            </w:tcBorders>
            <w:vAlign w:val="center"/>
          </w:tcPr>
          <w:p w14:paraId="0F02D815">
            <w:pPr>
              <w:ind w:left="-62"/>
              <w:rPr>
                <w:rFonts w:hint="eastAsia" w:ascii="宋体" w:hAnsi="宋体" w:eastAsia="宋体" w:cs="宋体"/>
                <w:color w:val="auto"/>
                <w:sz w:val="22"/>
                <w:szCs w:val="20"/>
                <w:highlight w:val="none"/>
              </w:rPr>
            </w:pPr>
          </w:p>
        </w:tc>
      </w:tr>
      <w:tr w14:paraId="22C1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778" w:type="dxa"/>
            <w:tcBorders>
              <w:top w:val="single" w:color="auto" w:sz="4" w:space="0"/>
              <w:left w:val="single" w:color="auto" w:sz="4" w:space="0"/>
              <w:bottom w:val="single" w:color="auto" w:sz="4" w:space="0"/>
              <w:right w:val="single" w:color="auto" w:sz="4" w:space="0"/>
            </w:tcBorders>
            <w:vAlign w:val="center"/>
          </w:tcPr>
          <w:p w14:paraId="0C578963">
            <w:pPr>
              <w:spacing w:line="360" w:lineRule="auto"/>
              <w:ind w:left="-60"/>
              <w:jc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备注</w:t>
            </w:r>
          </w:p>
        </w:tc>
        <w:tc>
          <w:tcPr>
            <w:tcW w:w="7291" w:type="dxa"/>
            <w:gridSpan w:val="3"/>
            <w:tcBorders>
              <w:top w:val="single" w:color="auto" w:sz="4" w:space="0"/>
              <w:left w:val="single" w:color="auto" w:sz="4" w:space="0"/>
              <w:bottom w:val="single" w:color="auto" w:sz="4" w:space="0"/>
              <w:right w:val="single" w:color="auto" w:sz="4" w:space="0"/>
            </w:tcBorders>
            <w:vAlign w:val="center"/>
          </w:tcPr>
          <w:p w14:paraId="1357C079">
            <w:pPr>
              <w:widowControl/>
              <w:numPr>
                <w:ilvl w:val="0"/>
                <w:numId w:val="3"/>
              </w:numPr>
              <w:snapToGrid w:val="0"/>
              <w:jc w:val="left"/>
              <w:textAlignment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报名表电子版须在报名截止时间前发至指定邮箱。</w:t>
            </w:r>
          </w:p>
          <w:p w14:paraId="781E4DC2">
            <w:pPr>
              <w:widowControl/>
              <w:snapToGrid w:val="0"/>
              <w:jc w:val="left"/>
              <w:textAlignment w:val="center"/>
              <w:rPr>
                <w:rFonts w:hint="eastAsia" w:ascii="宋体" w:hAnsi="宋体" w:eastAsia="宋体" w:cs="宋体"/>
                <w:b/>
                <w:color w:val="auto"/>
                <w:sz w:val="22"/>
                <w:szCs w:val="20"/>
                <w:highlight w:val="none"/>
              </w:rPr>
            </w:pPr>
          </w:p>
          <w:p w14:paraId="6ED11CC4">
            <w:pPr>
              <w:widowControl/>
              <w:snapToGrid w:val="0"/>
              <w:jc w:val="left"/>
              <w:textAlignment w:val="center"/>
              <w:rPr>
                <w:rFonts w:hint="eastAsia" w:ascii="宋体" w:hAnsi="宋体" w:eastAsia="宋体" w:cs="宋体"/>
                <w:b/>
                <w:color w:val="auto"/>
                <w:sz w:val="22"/>
                <w:szCs w:val="20"/>
                <w:highlight w:val="none"/>
              </w:rPr>
            </w:pPr>
            <w:r>
              <w:rPr>
                <w:rFonts w:hint="eastAsia" w:ascii="宋体" w:hAnsi="宋体" w:eastAsia="宋体" w:cs="宋体"/>
                <w:b/>
                <w:color w:val="auto"/>
                <w:sz w:val="22"/>
                <w:szCs w:val="20"/>
                <w:highlight w:val="none"/>
              </w:rPr>
              <w:t>2、供应商需在各自规定时间内将资料电子版发送至指定邮箱，邮箱地址详见需求调查公告。</w:t>
            </w:r>
          </w:p>
        </w:tc>
      </w:tr>
    </w:tbl>
    <w:p w14:paraId="3ED0AA44">
      <w:pPr>
        <w:pStyle w:val="28"/>
        <w:rPr>
          <w:rFonts w:hint="eastAsia" w:ascii="宋体" w:hAnsi="宋体" w:eastAsia="宋体" w:cs="宋体"/>
          <w:color w:val="auto"/>
          <w:highlight w:val="none"/>
        </w:rPr>
      </w:pPr>
    </w:p>
    <w:p w14:paraId="0E341DC6">
      <w:pPr>
        <w:outlineLvl w:val="1"/>
        <w:rPr>
          <w:rFonts w:hint="eastAsia" w:ascii="宋体" w:hAnsi="宋体" w:eastAsia="宋体" w:cs="宋体"/>
          <w:b/>
          <w:color w:val="auto"/>
          <w:sz w:val="28"/>
          <w:szCs w:val="28"/>
          <w:highlight w:val="none"/>
          <w:lang w:val="en-US" w:eastAsia="zh-CN"/>
        </w:rPr>
      </w:pPr>
      <w:bookmarkStart w:id="1" w:name="_Toc8985"/>
      <w:r>
        <w:rPr>
          <w:rFonts w:hint="eastAsia" w:ascii="宋体" w:hAnsi="宋体" w:eastAsia="宋体" w:cs="宋体"/>
          <w:b/>
          <w:color w:val="auto"/>
          <w:sz w:val="28"/>
          <w:szCs w:val="28"/>
          <w:highlight w:val="none"/>
        </w:rPr>
        <w:t>二、</w:t>
      </w:r>
      <w:bookmarkEnd w:id="1"/>
      <w:r>
        <w:rPr>
          <w:rFonts w:hint="eastAsia" w:ascii="宋体" w:hAnsi="宋体" w:eastAsia="宋体" w:cs="宋体"/>
          <w:b/>
          <w:color w:val="auto"/>
          <w:sz w:val="28"/>
          <w:szCs w:val="28"/>
          <w:highlight w:val="none"/>
        </w:rPr>
        <w:t>营业执照</w:t>
      </w:r>
      <w:r>
        <w:rPr>
          <w:rFonts w:hint="eastAsia" w:ascii="宋体" w:hAnsi="宋体" w:cs="宋体"/>
          <w:b/>
          <w:color w:val="auto"/>
          <w:sz w:val="28"/>
          <w:szCs w:val="28"/>
          <w:highlight w:val="none"/>
          <w:lang w:val="en-US" w:eastAsia="zh-CN"/>
        </w:rPr>
        <w:t>/事业单位法人证书</w:t>
      </w:r>
    </w:p>
    <w:p w14:paraId="31DF77ED">
      <w:pP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三、相关产业发展（从目前有无统一的国家标准，广西是否已经制定了类似的地方标准或商业标准等方面进行说明，阐述相关产业发展情况，内容自拟）</w:t>
      </w:r>
    </w:p>
    <w:p w14:paraId="02686627">
      <w:pP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四、市场供给情况（从行业竞争情况，供应商产品及服务质量，阐述市场供给情况，内容自拟）</w:t>
      </w:r>
    </w:p>
    <w:p w14:paraId="155E4D0D">
      <w:pPr>
        <w:outlineLvl w:val="1"/>
        <w:rPr>
          <w:rFonts w:hint="eastAsia" w:ascii="宋体" w:hAnsi="宋体" w:eastAsia="宋体" w:cs="宋体"/>
          <w:color w:val="auto"/>
          <w:highlight w:val="none"/>
        </w:rPr>
      </w:pPr>
      <w:r>
        <w:rPr>
          <w:rFonts w:hint="eastAsia" w:ascii="宋体" w:hAnsi="宋体" w:eastAsia="宋体" w:cs="宋体"/>
          <w:b/>
          <w:color w:val="auto"/>
          <w:sz w:val="28"/>
          <w:szCs w:val="28"/>
          <w:highlight w:val="none"/>
        </w:rPr>
        <w:t>五、同类采购项目历史成交信息（供应商自己的业绩或者了解的其他同类项目历史成交信息）</w:t>
      </w:r>
    </w:p>
    <w:tbl>
      <w:tblPr>
        <w:tblStyle w:val="18"/>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544"/>
        <w:gridCol w:w="2029"/>
        <w:gridCol w:w="1987"/>
      </w:tblGrid>
      <w:tr w14:paraId="61B5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1631" w:type="dxa"/>
            <w:vAlign w:val="center"/>
          </w:tcPr>
          <w:p w14:paraId="5EA3FEC7">
            <w:pPr>
              <w:spacing w:line="400" w:lineRule="exact"/>
              <w:jc w:val="center"/>
              <w:textAlignment w:val="top"/>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2544" w:type="dxa"/>
            <w:vAlign w:val="center"/>
          </w:tcPr>
          <w:p w14:paraId="7840BCE7">
            <w:pPr>
              <w:spacing w:line="400" w:lineRule="exact"/>
              <w:jc w:val="center"/>
              <w:textAlignment w:val="top"/>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项目名称</w:t>
            </w:r>
          </w:p>
        </w:tc>
        <w:tc>
          <w:tcPr>
            <w:tcW w:w="2029" w:type="dxa"/>
            <w:vAlign w:val="center"/>
          </w:tcPr>
          <w:p w14:paraId="6E2EDC65">
            <w:pPr>
              <w:spacing w:line="400" w:lineRule="exact"/>
              <w:jc w:val="center"/>
              <w:textAlignment w:val="top"/>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成交价格</w:t>
            </w:r>
            <w:r>
              <w:rPr>
                <w:rFonts w:hint="eastAsia" w:ascii="宋体" w:hAnsi="宋体" w:eastAsia="宋体" w:cs="宋体"/>
                <w:bCs/>
                <w:color w:val="auto"/>
                <w:kern w:val="0"/>
                <w:sz w:val="24"/>
                <w:szCs w:val="24"/>
                <w:highlight w:val="none"/>
              </w:rPr>
              <w:t>（元</w:t>
            </w:r>
            <w:r>
              <w:rPr>
                <w:rFonts w:hint="eastAsia" w:ascii="宋体" w:hAnsi="宋体" w:cs="宋体"/>
                <w:bCs/>
                <w:color w:val="auto"/>
                <w:kern w:val="0"/>
                <w:sz w:val="24"/>
                <w:szCs w:val="24"/>
                <w:highlight w:val="none"/>
                <w:lang w:val="en-US" w:eastAsia="zh-CN"/>
              </w:rPr>
              <w:t>/优惠率%</w:t>
            </w:r>
            <w:r>
              <w:rPr>
                <w:rFonts w:hint="eastAsia" w:ascii="宋体" w:hAnsi="宋体" w:eastAsia="宋体" w:cs="宋体"/>
                <w:bCs/>
                <w:color w:val="auto"/>
                <w:kern w:val="0"/>
                <w:sz w:val="24"/>
                <w:szCs w:val="24"/>
                <w:highlight w:val="none"/>
              </w:rPr>
              <w:t>）</w:t>
            </w:r>
          </w:p>
        </w:tc>
        <w:tc>
          <w:tcPr>
            <w:tcW w:w="1987" w:type="dxa"/>
            <w:vAlign w:val="center"/>
          </w:tcPr>
          <w:p w14:paraId="39AC5486">
            <w:pPr>
              <w:spacing w:line="400" w:lineRule="exact"/>
              <w:jc w:val="center"/>
              <w:textAlignment w:val="top"/>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备注</w:t>
            </w:r>
          </w:p>
        </w:tc>
      </w:tr>
      <w:tr w14:paraId="5DC6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1631" w:type="dxa"/>
            <w:vAlign w:val="center"/>
          </w:tcPr>
          <w:p w14:paraId="0061DFAD">
            <w:pPr>
              <w:spacing w:line="400" w:lineRule="exact"/>
              <w:jc w:val="center"/>
              <w:textAlignment w:val="top"/>
              <w:rPr>
                <w:rFonts w:hint="eastAsia" w:ascii="宋体" w:hAnsi="宋体" w:eastAsia="宋体" w:cs="宋体"/>
                <w:bCs/>
                <w:color w:val="auto"/>
                <w:kern w:val="0"/>
                <w:sz w:val="24"/>
                <w:szCs w:val="24"/>
                <w:highlight w:val="none"/>
              </w:rPr>
            </w:pPr>
          </w:p>
        </w:tc>
        <w:tc>
          <w:tcPr>
            <w:tcW w:w="2544" w:type="dxa"/>
            <w:vAlign w:val="center"/>
          </w:tcPr>
          <w:p w14:paraId="1CCFDECE">
            <w:pPr>
              <w:spacing w:line="400" w:lineRule="exact"/>
              <w:jc w:val="center"/>
              <w:textAlignment w:val="top"/>
              <w:rPr>
                <w:rFonts w:hint="eastAsia" w:ascii="宋体" w:hAnsi="宋体" w:eastAsia="宋体" w:cs="宋体"/>
                <w:bCs/>
                <w:color w:val="auto"/>
                <w:kern w:val="0"/>
                <w:sz w:val="24"/>
                <w:szCs w:val="24"/>
                <w:highlight w:val="none"/>
              </w:rPr>
            </w:pPr>
          </w:p>
        </w:tc>
        <w:tc>
          <w:tcPr>
            <w:tcW w:w="2029" w:type="dxa"/>
            <w:vAlign w:val="center"/>
          </w:tcPr>
          <w:p w14:paraId="45F7EA4E">
            <w:pPr>
              <w:spacing w:line="400" w:lineRule="exact"/>
              <w:jc w:val="center"/>
              <w:textAlignment w:val="top"/>
              <w:rPr>
                <w:rFonts w:hint="eastAsia" w:ascii="宋体" w:hAnsi="宋体" w:eastAsia="宋体" w:cs="宋体"/>
                <w:bCs/>
                <w:color w:val="auto"/>
                <w:kern w:val="0"/>
                <w:sz w:val="24"/>
                <w:szCs w:val="24"/>
                <w:highlight w:val="none"/>
              </w:rPr>
            </w:pPr>
          </w:p>
        </w:tc>
        <w:tc>
          <w:tcPr>
            <w:tcW w:w="1987" w:type="dxa"/>
            <w:vAlign w:val="center"/>
          </w:tcPr>
          <w:p w14:paraId="7653DC30">
            <w:pPr>
              <w:spacing w:line="400" w:lineRule="exact"/>
              <w:jc w:val="center"/>
              <w:textAlignment w:val="top"/>
              <w:rPr>
                <w:rFonts w:hint="eastAsia" w:ascii="宋体" w:hAnsi="宋体" w:eastAsia="宋体" w:cs="宋体"/>
                <w:bCs/>
                <w:color w:val="auto"/>
                <w:kern w:val="0"/>
                <w:sz w:val="24"/>
                <w:szCs w:val="24"/>
                <w:highlight w:val="none"/>
              </w:rPr>
            </w:pPr>
          </w:p>
        </w:tc>
      </w:tr>
      <w:tr w14:paraId="13DE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1631" w:type="dxa"/>
            <w:vAlign w:val="center"/>
          </w:tcPr>
          <w:p w14:paraId="750B5BF2">
            <w:pPr>
              <w:spacing w:line="400" w:lineRule="exact"/>
              <w:jc w:val="center"/>
              <w:textAlignment w:val="top"/>
              <w:rPr>
                <w:rFonts w:hint="eastAsia" w:ascii="宋体" w:hAnsi="宋体" w:eastAsia="宋体" w:cs="宋体"/>
                <w:bCs/>
                <w:color w:val="auto"/>
                <w:kern w:val="0"/>
                <w:sz w:val="24"/>
                <w:szCs w:val="24"/>
                <w:highlight w:val="none"/>
              </w:rPr>
            </w:pPr>
          </w:p>
        </w:tc>
        <w:tc>
          <w:tcPr>
            <w:tcW w:w="2544" w:type="dxa"/>
            <w:vAlign w:val="center"/>
          </w:tcPr>
          <w:p w14:paraId="2CD9DDF3">
            <w:pPr>
              <w:spacing w:line="400" w:lineRule="exact"/>
              <w:jc w:val="center"/>
              <w:textAlignment w:val="top"/>
              <w:rPr>
                <w:rFonts w:hint="eastAsia" w:ascii="宋体" w:hAnsi="宋体" w:eastAsia="宋体" w:cs="宋体"/>
                <w:bCs/>
                <w:color w:val="auto"/>
                <w:kern w:val="0"/>
                <w:sz w:val="24"/>
                <w:szCs w:val="24"/>
                <w:highlight w:val="none"/>
              </w:rPr>
            </w:pPr>
          </w:p>
        </w:tc>
        <w:tc>
          <w:tcPr>
            <w:tcW w:w="2029" w:type="dxa"/>
            <w:vAlign w:val="center"/>
          </w:tcPr>
          <w:p w14:paraId="6668AA2C">
            <w:pPr>
              <w:spacing w:line="400" w:lineRule="exact"/>
              <w:jc w:val="center"/>
              <w:textAlignment w:val="top"/>
              <w:rPr>
                <w:rFonts w:hint="eastAsia" w:ascii="宋体" w:hAnsi="宋体" w:eastAsia="宋体" w:cs="宋体"/>
                <w:bCs/>
                <w:color w:val="auto"/>
                <w:kern w:val="0"/>
                <w:sz w:val="24"/>
                <w:szCs w:val="24"/>
                <w:highlight w:val="none"/>
              </w:rPr>
            </w:pPr>
          </w:p>
        </w:tc>
        <w:tc>
          <w:tcPr>
            <w:tcW w:w="1987" w:type="dxa"/>
            <w:vAlign w:val="center"/>
          </w:tcPr>
          <w:p w14:paraId="61AFF49C">
            <w:pPr>
              <w:spacing w:line="400" w:lineRule="exact"/>
              <w:jc w:val="center"/>
              <w:textAlignment w:val="top"/>
              <w:rPr>
                <w:rFonts w:hint="eastAsia" w:ascii="宋体" w:hAnsi="宋体" w:eastAsia="宋体" w:cs="宋体"/>
                <w:bCs/>
                <w:color w:val="auto"/>
                <w:kern w:val="0"/>
                <w:sz w:val="24"/>
                <w:szCs w:val="24"/>
                <w:highlight w:val="none"/>
              </w:rPr>
            </w:pPr>
          </w:p>
        </w:tc>
      </w:tr>
      <w:tr w14:paraId="0351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1631" w:type="dxa"/>
            <w:vAlign w:val="center"/>
          </w:tcPr>
          <w:p w14:paraId="6C737852">
            <w:pPr>
              <w:spacing w:line="400" w:lineRule="exact"/>
              <w:jc w:val="center"/>
              <w:textAlignment w:val="top"/>
              <w:rPr>
                <w:rFonts w:hint="eastAsia" w:ascii="宋体" w:hAnsi="宋体" w:eastAsia="宋体" w:cs="宋体"/>
                <w:bCs/>
                <w:color w:val="auto"/>
                <w:kern w:val="0"/>
                <w:sz w:val="24"/>
                <w:szCs w:val="24"/>
                <w:highlight w:val="none"/>
              </w:rPr>
            </w:pPr>
          </w:p>
        </w:tc>
        <w:tc>
          <w:tcPr>
            <w:tcW w:w="2544" w:type="dxa"/>
            <w:vAlign w:val="center"/>
          </w:tcPr>
          <w:p w14:paraId="17E21286">
            <w:pPr>
              <w:spacing w:line="400" w:lineRule="exact"/>
              <w:jc w:val="center"/>
              <w:textAlignment w:val="top"/>
              <w:rPr>
                <w:rFonts w:hint="eastAsia" w:ascii="宋体" w:hAnsi="宋体" w:eastAsia="宋体" w:cs="宋体"/>
                <w:bCs/>
                <w:color w:val="auto"/>
                <w:kern w:val="0"/>
                <w:sz w:val="24"/>
                <w:szCs w:val="24"/>
                <w:highlight w:val="none"/>
              </w:rPr>
            </w:pPr>
          </w:p>
        </w:tc>
        <w:tc>
          <w:tcPr>
            <w:tcW w:w="2029" w:type="dxa"/>
            <w:vAlign w:val="center"/>
          </w:tcPr>
          <w:p w14:paraId="311BA55A">
            <w:pPr>
              <w:spacing w:line="400" w:lineRule="exact"/>
              <w:jc w:val="center"/>
              <w:textAlignment w:val="top"/>
              <w:rPr>
                <w:rFonts w:hint="eastAsia" w:ascii="宋体" w:hAnsi="宋体" w:eastAsia="宋体" w:cs="宋体"/>
                <w:bCs/>
                <w:color w:val="auto"/>
                <w:kern w:val="0"/>
                <w:sz w:val="24"/>
                <w:szCs w:val="24"/>
                <w:highlight w:val="none"/>
              </w:rPr>
            </w:pPr>
          </w:p>
        </w:tc>
        <w:tc>
          <w:tcPr>
            <w:tcW w:w="1987" w:type="dxa"/>
            <w:vAlign w:val="center"/>
          </w:tcPr>
          <w:p w14:paraId="72B9EAE5">
            <w:pPr>
              <w:spacing w:line="400" w:lineRule="exact"/>
              <w:jc w:val="center"/>
              <w:textAlignment w:val="top"/>
              <w:rPr>
                <w:rFonts w:hint="eastAsia" w:ascii="宋体" w:hAnsi="宋体" w:eastAsia="宋体" w:cs="宋体"/>
                <w:bCs/>
                <w:color w:val="auto"/>
                <w:kern w:val="0"/>
                <w:sz w:val="24"/>
                <w:szCs w:val="24"/>
                <w:highlight w:val="none"/>
              </w:rPr>
            </w:pPr>
          </w:p>
        </w:tc>
      </w:tr>
    </w:tbl>
    <w:p w14:paraId="05EC4B49">
      <w:pP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六、可能涉及的运行维护、升级更新、备品备件、耗材等后续采购（内容自拟）</w:t>
      </w:r>
    </w:p>
    <w:p w14:paraId="06DD2B76">
      <w:pPr>
        <w:spacing w:line="560" w:lineRule="exact"/>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七</w:t>
      </w:r>
      <w:r>
        <w:rPr>
          <w:rFonts w:hint="eastAsia" w:ascii="宋体" w:hAnsi="宋体" w:eastAsia="宋体" w:cs="宋体"/>
          <w:b/>
          <w:color w:val="auto"/>
          <w:sz w:val="28"/>
          <w:szCs w:val="28"/>
          <w:highlight w:val="none"/>
        </w:rPr>
        <w:t>、其他相关情况（</w:t>
      </w:r>
      <w:r>
        <w:rPr>
          <w:rFonts w:hint="eastAsia" w:ascii="宋体" w:hAnsi="宋体" w:cs="宋体"/>
          <w:b/>
          <w:color w:val="auto"/>
          <w:sz w:val="28"/>
          <w:szCs w:val="28"/>
          <w:highlight w:val="none"/>
          <w:lang w:val="en-US" w:eastAsia="zh-CN"/>
        </w:rPr>
        <w:t>如：对本项目采购需求及商务条款修改意见等，</w:t>
      </w:r>
      <w:r>
        <w:rPr>
          <w:rFonts w:hint="eastAsia" w:ascii="宋体" w:hAnsi="宋体" w:eastAsia="宋体" w:cs="宋体"/>
          <w:b/>
          <w:color w:val="auto"/>
          <w:sz w:val="28"/>
          <w:szCs w:val="28"/>
          <w:highlight w:val="none"/>
        </w:rPr>
        <w:t>如有</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请提供</w:t>
      </w:r>
      <w:r>
        <w:rPr>
          <w:rFonts w:hint="eastAsia" w:ascii="宋体" w:hAnsi="宋体" w:eastAsia="宋体" w:cs="宋体"/>
          <w:b/>
          <w:color w:val="auto"/>
          <w:sz w:val="28"/>
          <w:szCs w:val="28"/>
          <w:highlight w:val="none"/>
        </w:rPr>
        <w:t>）</w:t>
      </w:r>
    </w:p>
    <w:p w14:paraId="418229F6">
      <w:pPr>
        <w:pStyle w:val="15"/>
        <w:rPr>
          <w:rFonts w:hint="eastAsia"/>
        </w:rPr>
      </w:pPr>
    </w:p>
    <w:p w14:paraId="09F172FA">
      <w:pPr>
        <w:rPr>
          <w:rFonts w:hint="eastAsia" w:ascii="宋体" w:hAnsi="宋体" w:eastAsia="宋体" w:cs="宋体"/>
          <w:b/>
          <w:bCs/>
          <w:color w:val="auto"/>
          <w:spacing w:val="10"/>
          <w:kern w:val="0"/>
          <w:sz w:val="28"/>
          <w:szCs w:val="28"/>
          <w:highlight w:val="none"/>
          <w:lang w:val="en-US" w:eastAsia="zh-CN" w:bidi="ar-SA"/>
        </w:rPr>
      </w:pPr>
      <w:r>
        <w:rPr>
          <w:rFonts w:hint="eastAsia" w:ascii="宋体" w:hAnsi="宋体" w:eastAsia="宋体" w:cs="宋体"/>
          <w:b/>
          <w:bCs/>
          <w:color w:val="auto"/>
          <w:spacing w:val="10"/>
          <w:kern w:val="0"/>
          <w:sz w:val="28"/>
          <w:szCs w:val="28"/>
          <w:highlight w:val="none"/>
          <w:lang w:val="en-US" w:eastAsia="zh-CN" w:bidi="ar-SA"/>
        </w:rPr>
        <w:br w:type="page"/>
      </w:r>
    </w:p>
    <w:p w14:paraId="2A91DD5D">
      <w:pPr>
        <w:spacing w:line="360" w:lineRule="auto"/>
        <w:rPr>
          <w:rFonts w:hint="eastAsia" w:ascii="宋体" w:hAnsi="宋体" w:eastAsia="宋体" w:cs="宋体"/>
          <w:b/>
          <w:bCs/>
          <w:color w:val="auto"/>
          <w:spacing w:val="10"/>
          <w:kern w:val="0"/>
          <w:sz w:val="28"/>
          <w:szCs w:val="28"/>
          <w:highlight w:val="none"/>
          <w:lang w:val="en-US" w:eastAsia="zh-CN" w:bidi="ar-SA"/>
        </w:rPr>
      </w:pPr>
      <w:r>
        <w:rPr>
          <w:rFonts w:hint="eastAsia" w:ascii="宋体" w:hAnsi="宋体" w:cs="宋体"/>
          <w:b/>
          <w:bCs/>
          <w:color w:val="auto"/>
          <w:spacing w:val="10"/>
          <w:kern w:val="0"/>
          <w:sz w:val="28"/>
          <w:szCs w:val="28"/>
          <w:highlight w:val="none"/>
          <w:lang w:val="en-US" w:eastAsia="zh-CN" w:bidi="ar-SA"/>
        </w:rPr>
        <w:t>本项目</w:t>
      </w:r>
      <w:r>
        <w:rPr>
          <w:rFonts w:hint="eastAsia" w:ascii="宋体" w:hAnsi="宋体" w:eastAsia="宋体" w:cs="宋体"/>
          <w:b/>
          <w:bCs/>
          <w:color w:val="auto"/>
          <w:spacing w:val="10"/>
          <w:kern w:val="0"/>
          <w:sz w:val="28"/>
          <w:szCs w:val="28"/>
          <w:highlight w:val="none"/>
          <w:lang w:val="en-US" w:eastAsia="zh-CN" w:bidi="ar-SA"/>
        </w:rPr>
        <w:t>采购需求</w:t>
      </w:r>
      <w:r>
        <w:rPr>
          <w:rFonts w:hint="eastAsia" w:ascii="宋体" w:hAnsi="宋体" w:cs="宋体"/>
          <w:b/>
          <w:bCs/>
          <w:color w:val="auto"/>
          <w:spacing w:val="10"/>
          <w:kern w:val="0"/>
          <w:sz w:val="28"/>
          <w:szCs w:val="28"/>
          <w:highlight w:val="none"/>
          <w:lang w:val="en-US" w:eastAsia="zh-CN" w:bidi="ar-SA"/>
        </w:rPr>
        <w:t>及商务条款</w:t>
      </w:r>
      <w:r>
        <w:rPr>
          <w:rFonts w:hint="eastAsia" w:ascii="宋体" w:hAnsi="宋体" w:eastAsia="宋体" w:cs="宋体"/>
          <w:b/>
          <w:bCs/>
          <w:color w:val="auto"/>
          <w:spacing w:val="10"/>
          <w:kern w:val="0"/>
          <w:sz w:val="28"/>
          <w:szCs w:val="28"/>
          <w:highlight w:val="none"/>
          <w:lang w:val="en-US" w:eastAsia="zh-CN" w:bidi="ar-SA"/>
        </w:rPr>
        <w:t xml:space="preserve">： </w:t>
      </w:r>
    </w:p>
    <w:tbl>
      <w:tblPr>
        <w:tblStyle w:val="18"/>
        <w:tblpPr w:leftFromText="180" w:rightFromText="180" w:vertAnchor="text" w:horzAnchor="page" w:tblpX="999" w:tblpY="331"/>
        <w:tblOverlap w:val="never"/>
        <w:tblW w:w="9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679"/>
        <w:gridCol w:w="544"/>
        <w:gridCol w:w="6418"/>
        <w:gridCol w:w="780"/>
        <w:gridCol w:w="960"/>
      </w:tblGrid>
      <w:tr w14:paraId="4EA2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9942" w:type="dxa"/>
            <w:gridSpan w:val="6"/>
            <w:noWrap/>
            <w:vAlign w:val="center"/>
          </w:tcPr>
          <w:p w14:paraId="32DAFE7D">
            <w:pPr>
              <w:widowControl/>
              <w:tabs>
                <w:tab w:val="left" w:pos="1440"/>
              </w:tabs>
              <w:spacing w:line="360" w:lineRule="auto"/>
              <w:ind w:firstLine="3855" w:firstLineChars="1200"/>
              <w:rPr>
                <w:rFonts w:ascii="宋体" w:hAnsi="宋体" w:cs="宋体"/>
                <w:b/>
                <w:szCs w:val="21"/>
                <w:highlight w:val="none"/>
              </w:rPr>
            </w:pPr>
            <w:bookmarkStart w:id="2" w:name="PO_TDCUS_ITEM_PB_REQ_FILE_1_1"/>
            <w:r>
              <w:rPr>
                <w:rFonts w:hint="eastAsia" w:ascii="仿宋_GB2312" w:hAnsi="宋体" w:eastAsia="仿宋_GB2312" w:cs="Arial"/>
                <w:b/>
                <w:sz w:val="32"/>
                <w:szCs w:val="32"/>
                <w:highlight w:val="none"/>
              </w:rPr>
              <w:t>服务需求一览表</w:t>
            </w:r>
          </w:p>
        </w:tc>
      </w:tr>
      <w:tr w14:paraId="442F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784" w:type="dxa"/>
            <w:gridSpan w:val="3"/>
            <w:noWrap/>
            <w:vAlign w:val="center"/>
          </w:tcPr>
          <w:p w14:paraId="32659309">
            <w:pPr>
              <w:widowControl/>
              <w:tabs>
                <w:tab w:val="left" w:pos="1440"/>
              </w:tabs>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标段</w:t>
            </w:r>
          </w:p>
        </w:tc>
        <w:tc>
          <w:tcPr>
            <w:tcW w:w="6418" w:type="dxa"/>
            <w:noWrap/>
            <w:tcMar>
              <w:top w:w="0" w:type="dxa"/>
              <w:left w:w="108" w:type="dxa"/>
              <w:bottom w:w="0" w:type="dxa"/>
              <w:right w:w="108" w:type="dxa"/>
            </w:tcMar>
            <w:vAlign w:val="center"/>
          </w:tcPr>
          <w:p w14:paraId="08260F91">
            <w:pPr>
              <w:widowControl/>
              <w:tabs>
                <w:tab w:val="left" w:pos="1440"/>
              </w:tabs>
              <w:spacing w:line="360" w:lineRule="auto"/>
              <w:jc w:val="left"/>
              <w:rPr>
                <w:rFonts w:ascii="宋体" w:hAnsi="宋体" w:cs="宋体"/>
                <w:b/>
                <w:bCs/>
                <w:kern w:val="0"/>
                <w:sz w:val="24"/>
                <w:highlight w:val="none"/>
              </w:rPr>
            </w:pPr>
            <w:r>
              <w:rPr>
                <w:rFonts w:hint="eastAsia" w:ascii="宋体" w:hAnsi="宋体" w:cs="宋体"/>
                <w:b/>
                <w:bCs/>
                <w:kern w:val="0"/>
                <w:sz w:val="24"/>
                <w:highlight w:val="none"/>
              </w:rPr>
              <w:t>分标1</w:t>
            </w:r>
          </w:p>
        </w:tc>
        <w:tc>
          <w:tcPr>
            <w:tcW w:w="780" w:type="dxa"/>
            <w:noWrap/>
            <w:tcMar>
              <w:top w:w="0" w:type="dxa"/>
              <w:left w:w="108" w:type="dxa"/>
              <w:bottom w:w="0" w:type="dxa"/>
              <w:right w:w="108" w:type="dxa"/>
            </w:tcMar>
            <w:vAlign w:val="center"/>
          </w:tcPr>
          <w:p w14:paraId="6E9B5D76">
            <w:pPr>
              <w:widowControl/>
              <w:tabs>
                <w:tab w:val="left" w:pos="1440"/>
              </w:tabs>
              <w:spacing w:line="360" w:lineRule="auto"/>
              <w:jc w:val="center"/>
              <w:rPr>
                <w:rFonts w:ascii="宋体" w:hAnsi="宋体" w:cs="宋体"/>
                <w:kern w:val="0"/>
                <w:szCs w:val="21"/>
                <w:highlight w:val="none"/>
              </w:rPr>
            </w:pPr>
          </w:p>
        </w:tc>
        <w:tc>
          <w:tcPr>
            <w:tcW w:w="960" w:type="dxa"/>
            <w:noWrap/>
          </w:tcPr>
          <w:p w14:paraId="3413ED60">
            <w:pPr>
              <w:widowControl/>
              <w:tabs>
                <w:tab w:val="left" w:pos="1440"/>
              </w:tabs>
              <w:spacing w:line="360" w:lineRule="auto"/>
              <w:jc w:val="center"/>
              <w:rPr>
                <w:rFonts w:ascii="宋体" w:hAnsi="宋体" w:cs="宋体"/>
                <w:b/>
                <w:szCs w:val="21"/>
                <w:highlight w:val="none"/>
              </w:rPr>
            </w:pPr>
          </w:p>
        </w:tc>
      </w:tr>
      <w:tr w14:paraId="6E2F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561" w:type="dxa"/>
            <w:noWrap/>
            <w:vAlign w:val="center"/>
          </w:tcPr>
          <w:p w14:paraId="2C092C48">
            <w:pPr>
              <w:widowControl/>
              <w:tabs>
                <w:tab w:val="left" w:pos="1440"/>
              </w:tabs>
              <w:spacing w:line="360" w:lineRule="auto"/>
              <w:jc w:val="center"/>
              <w:rPr>
                <w:rFonts w:ascii="宋体" w:hAnsi="宋体" w:cs="宋体"/>
                <w:kern w:val="0"/>
                <w:szCs w:val="21"/>
                <w:highlight w:val="none"/>
              </w:rPr>
            </w:pPr>
            <w:r>
              <w:rPr>
                <w:rFonts w:hint="eastAsia" w:ascii="宋体" w:hAnsi="宋体" w:cs="宋体"/>
                <w:kern w:val="0"/>
                <w:szCs w:val="21"/>
                <w:highlight w:val="none"/>
              </w:rPr>
              <w:t>项号</w:t>
            </w:r>
          </w:p>
        </w:tc>
        <w:tc>
          <w:tcPr>
            <w:tcW w:w="679" w:type="dxa"/>
            <w:noWrap/>
            <w:tcMar>
              <w:top w:w="0" w:type="dxa"/>
              <w:left w:w="108" w:type="dxa"/>
              <w:bottom w:w="0" w:type="dxa"/>
              <w:right w:w="108" w:type="dxa"/>
            </w:tcMar>
            <w:vAlign w:val="center"/>
          </w:tcPr>
          <w:p w14:paraId="0710C5F0">
            <w:pPr>
              <w:widowControl/>
              <w:tabs>
                <w:tab w:val="left" w:pos="1440"/>
              </w:tabs>
              <w:spacing w:line="360" w:lineRule="auto"/>
              <w:jc w:val="center"/>
              <w:rPr>
                <w:rFonts w:ascii="宋体" w:hAnsi="宋体" w:cs="宋体"/>
                <w:kern w:val="0"/>
                <w:szCs w:val="21"/>
                <w:highlight w:val="none"/>
              </w:rPr>
            </w:pPr>
            <w:r>
              <w:rPr>
                <w:rFonts w:hint="eastAsia" w:ascii="宋体" w:hAnsi="宋体" w:cs="宋体"/>
                <w:kern w:val="0"/>
                <w:szCs w:val="21"/>
                <w:highlight w:val="none"/>
              </w:rPr>
              <w:t>服务名称</w:t>
            </w:r>
          </w:p>
        </w:tc>
        <w:tc>
          <w:tcPr>
            <w:tcW w:w="544" w:type="dxa"/>
            <w:noWrap/>
            <w:tcMar>
              <w:top w:w="0" w:type="dxa"/>
              <w:left w:w="108" w:type="dxa"/>
              <w:bottom w:w="0" w:type="dxa"/>
              <w:right w:w="108" w:type="dxa"/>
            </w:tcMar>
            <w:vAlign w:val="center"/>
          </w:tcPr>
          <w:p w14:paraId="1AE95669">
            <w:pPr>
              <w:widowControl/>
              <w:tabs>
                <w:tab w:val="left" w:pos="1440"/>
              </w:tabs>
              <w:spacing w:line="360" w:lineRule="auto"/>
              <w:jc w:val="center"/>
              <w:rPr>
                <w:rFonts w:ascii="宋体" w:hAnsi="宋体" w:cs="宋体"/>
                <w:kern w:val="0"/>
                <w:szCs w:val="21"/>
                <w:highlight w:val="none"/>
              </w:rPr>
            </w:pPr>
            <w:r>
              <w:rPr>
                <w:rFonts w:hint="eastAsia" w:ascii="宋体" w:hAnsi="宋体" w:cs="宋体"/>
                <w:kern w:val="0"/>
                <w:szCs w:val="21"/>
                <w:highlight w:val="none"/>
              </w:rPr>
              <w:t>数量</w:t>
            </w:r>
          </w:p>
        </w:tc>
        <w:tc>
          <w:tcPr>
            <w:tcW w:w="6418" w:type="dxa"/>
            <w:noWrap/>
            <w:tcMar>
              <w:top w:w="0" w:type="dxa"/>
              <w:left w:w="108" w:type="dxa"/>
              <w:bottom w:w="0" w:type="dxa"/>
              <w:right w:w="108" w:type="dxa"/>
            </w:tcMar>
            <w:vAlign w:val="center"/>
          </w:tcPr>
          <w:p w14:paraId="27033C81">
            <w:pPr>
              <w:widowControl/>
              <w:tabs>
                <w:tab w:val="left" w:pos="1440"/>
              </w:tabs>
              <w:spacing w:line="360" w:lineRule="auto"/>
              <w:jc w:val="center"/>
              <w:rPr>
                <w:rFonts w:ascii="宋体" w:hAnsi="宋体" w:cs="宋体"/>
                <w:kern w:val="0"/>
                <w:szCs w:val="21"/>
                <w:highlight w:val="none"/>
              </w:rPr>
            </w:pPr>
            <w:r>
              <w:rPr>
                <w:rFonts w:hint="eastAsia" w:ascii="宋体" w:hAnsi="宋体" w:cs="宋体"/>
                <w:kern w:val="0"/>
                <w:szCs w:val="21"/>
                <w:highlight w:val="none"/>
              </w:rPr>
              <w:t>服务内容及要求</w:t>
            </w:r>
            <w:bookmarkStart w:id="3" w:name="_GoBack"/>
            <w:bookmarkEnd w:id="3"/>
          </w:p>
        </w:tc>
        <w:tc>
          <w:tcPr>
            <w:tcW w:w="780" w:type="dxa"/>
            <w:noWrap/>
            <w:tcMar>
              <w:top w:w="0" w:type="dxa"/>
              <w:left w:w="108" w:type="dxa"/>
              <w:bottom w:w="0" w:type="dxa"/>
              <w:right w:w="108" w:type="dxa"/>
            </w:tcMar>
            <w:vAlign w:val="center"/>
          </w:tcPr>
          <w:p w14:paraId="131253ED">
            <w:pPr>
              <w:widowControl/>
              <w:tabs>
                <w:tab w:val="left" w:pos="1440"/>
              </w:tabs>
              <w:spacing w:line="360" w:lineRule="auto"/>
              <w:jc w:val="center"/>
              <w:rPr>
                <w:rFonts w:ascii="宋体" w:hAnsi="宋体" w:cs="宋体"/>
                <w:kern w:val="0"/>
                <w:szCs w:val="21"/>
                <w:highlight w:val="none"/>
              </w:rPr>
            </w:pPr>
            <w:r>
              <w:rPr>
                <w:rFonts w:hint="eastAsia" w:ascii="宋体" w:hAnsi="宋体" w:cs="宋体"/>
                <w:kern w:val="0"/>
                <w:szCs w:val="21"/>
                <w:highlight w:val="none"/>
              </w:rPr>
              <w:t>分项预算合价（万元）</w:t>
            </w:r>
          </w:p>
        </w:tc>
        <w:tc>
          <w:tcPr>
            <w:tcW w:w="960" w:type="dxa"/>
            <w:noWrap/>
          </w:tcPr>
          <w:p w14:paraId="63C19280">
            <w:pPr>
              <w:widowControl/>
              <w:tabs>
                <w:tab w:val="left" w:pos="1440"/>
              </w:tabs>
              <w:spacing w:line="360" w:lineRule="auto"/>
              <w:jc w:val="center"/>
              <w:rPr>
                <w:rFonts w:ascii="宋体" w:hAnsi="宋体" w:cs="宋体"/>
                <w:kern w:val="0"/>
                <w:szCs w:val="21"/>
                <w:highlight w:val="none"/>
              </w:rPr>
            </w:pPr>
            <w:r>
              <w:rPr>
                <w:rFonts w:hint="eastAsia" w:ascii="宋体" w:hAnsi="宋体" w:cs="宋体"/>
                <w:b/>
                <w:szCs w:val="21"/>
                <w:highlight w:val="none"/>
              </w:rPr>
              <w:t>中小企业划分标准所属行业名称（行业名称及划分见本章附件4）</w:t>
            </w:r>
          </w:p>
        </w:tc>
      </w:tr>
      <w:tr w14:paraId="4E57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1" w:type="dxa"/>
            <w:vMerge w:val="restart"/>
            <w:noWrap/>
            <w:tcMar>
              <w:top w:w="0" w:type="dxa"/>
              <w:left w:w="108" w:type="dxa"/>
              <w:bottom w:w="0" w:type="dxa"/>
              <w:right w:w="108" w:type="dxa"/>
            </w:tcMar>
            <w:vAlign w:val="center"/>
          </w:tcPr>
          <w:p w14:paraId="5B44E8F3">
            <w:pPr>
              <w:widowControl/>
              <w:tabs>
                <w:tab w:val="left" w:pos="1440"/>
              </w:tabs>
              <w:spacing w:line="360" w:lineRule="auto"/>
              <w:jc w:val="left"/>
              <w:rPr>
                <w:rFonts w:ascii="宋体" w:hAnsi="宋体" w:cs="宋体"/>
                <w:bCs/>
                <w:kern w:val="0"/>
                <w:szCs w:val="21"/>
                <w:highlight w:val="none"/>
              </w:rPr>
            </w:pPr>
            <w:r>
              <w:rPr>
                <w:rFonts w:hint="eastAsia" w:ascii="宋体" w:hAnsi="宋体" w:cs="宋体"/>
                <w:bCs/>
                <w:kern w:val="0"/>
                <w:szCs w:val="21"/>
                <w:highlight w:val="none"/>
              </w:rPr>
              <w:t>1</w:t>
            </w:r>
          </w:p>
        </w:tc>
        <w:tc>
          <w:tcPr>
            <w:tcW w:w="679" w:type="dxa"/>
            <w:vMerge w:val="restart"/>
            <w:noWrap/>
            <w:tcMar>
              <w:top w:w="0" w:type="dxa"/>
              <w:left w:w="108" w:type="dxa"/>
              <w:bottom w:w="0" w:type="dxa"/>
              <w:right w:w="108" w:type="dxa"/>
            </w:tcMar>
            <w:vAlign w:val="center"/>
          </w:tcPr>
          <w:p w14:paraId="6A4EEAEE">
            <w:pPr>
              <w:snapToGrid w:val="0"/>
              <w:spacing w:line="360" w:lineRule="auto"/>
              <w:ind w:firstLine="831" w:firstLineChars="396"/>
              <w:jc w:val="center"/>
              <w:rPr>
                <w:highlight w:val="none"/>
              </w:rPr>
            </w:pPr>
            <w:r>
              <w:rPr>
                <w:rFonts w:hint="eastAsia"/>
                <w:highlight w:val="none"/>
              </w:rPr>
              <w:t>南青秀区教育系统公办学校食材采购</w:t>
            </w:r>
          </w:p>
          <w:p w14:paraId="0CF196FA">
            <w:pPr>
              <w:spacing w:line="360" w:lineRule="auto"/>
              <w:rPr>
                <w:rFonts w:ascii="宋体" w:hAnsi="宋体" w:cs="宋体"/>
                <w:bCs/>
                <w:szCs w:val="21"/>
                <w:highlight w:val="none"/>
              </w:rPr>
            </w:pPr>
          </w:p>
        </w:tc>
        <w:tc>
          <w:tcPr>
            <w:tcW w:w="544" w:type="dxa"/>
            <w:vMerge w:val="restart"/>
            <w:noWrap/>
            <w:tcMar>
              <w:top w:w="0" w:type="dxa"/>
              <w:left w:w="108" w:type="dxa"/>
              <w:bottom w:w="0" w:type="dxa"/>
              <w:right w:w="108" w:type="dxa"/>
            </w:tcMar>
            <w:vAlign w:val="center"/>
          </w:tcPr>
          <w:p w14:paraId="79A4AC07">
            <w:pPr>
              <w:widowControl/>
              <w:tabs>
                <w:tab w:val="left" w:pos="1440"/>
              </w:tabs>
              <w:spacing w:line="360" w:lineRule="auto"/>
              <w:jc w:val="left"/>
              <w:rPr>
                <w:rFonts w:ascii="宋体" w:hAnsi="宋体" w:cs="宋体"/>
                <w:bCs/>
                <w:kern w:val="0"/>
                <w:szCs w:val="21"/>
                <w:highlight w:val="none"/>
              </w:rPr>
            </w:pPr>
            <w:r>
              <w:rPr>
                <w:rFonts w:hint="eastAsia" w:ascii="宋体" w:hAnsi="宋体" w:cs="宋体"/>
                <w:bCs/>
                <w:kern w:val="0"/>
                <w:szCs w:val="21"/>
                <w:highlight w:val="none"/>
              </w:rPr>
              <w:t>1项</w:t>
            </w:r>
          </w:p>
        </w:tc>
        <w:tc>
          <w:tcPr>
            <w:tcW w:w="6418" w:type="dxa"/>
            <w:noWrap/>
            <w:tcMar>
              <w:top w:w="0" w:type="dxa"/>
              <w:left w:w="108" w:type="dxa"/>
              <w:bottom w:w="0" w:type="dxa"/>
              <w:right w:w="108" w:type="dxa"/>
            </w:tcMar>
          </w:tcPr>
          <w:p w14:paraId="0560174D">
            <w:pPr>
              <w:spacing w:line="336" w:lineRule="auto"/>
              <w:rPr>
                <w:rFonts w:ascii="宋体" w:hAnsi="宋体" w:cs="宋体"/>
                <w:b/>
                <w:bCs/>
                <w:szCs w:val="21"/>
                <w:highlight w:val="none"/>
              </w:rPr>
            </w:pPr>
            <w:r>
              <w:rPr>
                <w:rFonts w:hint="eastAsia" w:ascii="宋体" w:hAnsi="宋体" w:cs="宋体"/>
                <w:b/>
                <w:bCs/>
                <w:szCs w:val="21"/>
                <w:highlight w:val="none"/>
              </w:rPr>
              <w:t>一、以下是本次供应服务所包含的内容</w:t>
            </w:r>
          </w:p>
          <w:p w14:paraId="021D8640">
            <w:pPr>
              <w:widowControl/>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1.食品食材集中采购和配送：市区</w:t>
            </w:r>
            <w:r>
              <w:rPr>
                <w:rFonts w:hint="eastAsia"/>
                <w:highlight w:val="none"/>
              </w:rPr>
              <w:t>教育系统公办学校</w:t>
            </w:r>
            <w:r>
              <w:rPr>
                <w:rFonts w:hint="eastAsia" w:ascii="宋体" w:hAnsi="宋体" w:cs="宋体"/>
                <w:kern w:val="0"/>
                <w:szCs w:val="21"/>
                <w:highlight w:val="none"/>
              </w:rPr>
              <w:t>集中采购食品食材，其中：</w:t>
            </w:r>
          </w:p>
          <w:p w14:paraId="0A8EB8BD">
            <w:pPr>
              <w:widowControl/>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（1）采购食品原材料类别：大米及其他粮食类、湿米粉、肉类、禽蛋类、水产品、蔬菜类、豆类及豆制品、食用油、调味品类等食品原材料。凡列入学校食堂采购的食品原材料均纳入统一采购。</w:t>
            </w:r>
          </w:p>
          <w:p w14:paraId="66A8E193">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（2）集中采购原料的品种与标准：</w:t>
            </w:r>
          </w:p>
          <w:p w14:paraId="0E6D817B">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（一）品种（共8种）1.大米、面粉、杂粮；2.肉类（纯瘦猪肉、半肥猪肉、五花肉、排骨、牛肉、羊肉等）；3.鸡、鸭肉，蛋类；</w:t>
            </w:r>
          </w:p>
          <w:p w14:paraId="22304F4E">
            <w:pPr>
              <w:spacing w:line="336" w:lineRule="auto"/>
              <w:rPr>
                <w:rFonts w:ascii="宋体" w:hAnsi="宋体" w:cs="宋体"/>
                <w:kern w:val="0"/>
                <w:szCs w:val="21"/>
                <w:highlight w:val="none"/>
              </w:rPr>
            </w:pPr>
            <w:r>
              <w:rPr>
                <w:rFonts w:hint="eastAsia" w:ascii="宋体" w:hAnsi="宋体" w:cs="宋体"/>
                <w:kern w:val="0"/>
                <w:szCs w:val="21"/>
                <w:highlight w:val="none"/>
              </w:rPr>
              <w:t>4.水产品；5.湿米粉；6.食用油（花生油、调和油）；7.蔬菜、瓜果；8.调味品。</w:t>
            </w:r>
          </w:p>
          <w:p w14:paraId="3EEA0F90">
            <w:pPr>
              <w:spacing w:line="336" w:lineRule="auto"/>
              <w:ind w:firstLine="422" w:firstLineChars="2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 xml:space="preserve">（二）标准 </w:t>
            </w:r>
          </w:p>
          <w:p w14:paraId="60A7D3E4">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1．大米、米粉、食用油配送的标准 </w:t>
            </w:r>
          </w:p>
          <w:p w14:paraId="281EA244">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（1）大米必须符合 GB/T 1354-2018 标准，符合《中华人民共和国食品安全法》要求，拥有“SC”食品生产许可认证；必须为 12 个月内优质稻碾出的大米（非转基因），不能采购陈米；</w:t>
            </w:r>
          </w:p>
          <w:p w14:paraId="79EDB389">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（2）湿米粉必须符合 DBS45/ 020-2015《鲜湿米粉》要求，符合《中华人民共和国食品安全法》要求，拥有“SC”食品生产许可认证；必须具有生产许可证的企业生产，必须当天生产当天配送当天使用；</w:t>
            </w:r>
          </w:p>
          <w:p w14:paraId="2DD4BB41">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（3）食用油必须符合GB 2716-2018标准，符合《中华人民共和国食品安全法》要求，拥有“SC”食品生产许可认证；产品原料必须为非转基因原料； </w:t>
            </w:r>
          </w:p>
          <w:p w14:paraId="1CB26E03">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（4）肉类配送的标准 </w:t>
            </w:r>
          </w:p>
          <w:p w14:paraId="58E838C7">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符合国家新的食品安全法的标准和要求，为保证优质、安全可靠，肉类须按各中小学校需求量包装，猪肉出具相应的肉品品质检验证和动物检疫合格证明，牛羊鸡鸭等肉类出具动物检疫合格证明，全部肉类必须为新鲜屠宰的鲜肉； </w:t>
            </w:r>
          </w:p>
          <w:p w14:paraId="0082F4D9">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3.水产品配送标准 </w:t>
            </w:r>
          </w:p>
          <w:p w14:paraId="4CC6E9FD">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必须符合国家相关食品安全标准，应保持较好的外观，达到相应的等级，必须是在保质期内，出具供应商资质证明； </w:t>
            </w:r>
          </w:p>
          <w:p w14:paraId="75C84C1C">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4.蔬菜类配送的标准。蔬菜必须保证新鲜蔬菜，保持较好色泽及新鲜度，每批次蔬菜必须经过农药残留检测并出具农药等残留指标检验合格证明；</w:t>
            </w:r>
          </w:p>
          <w:p w14:paraId="00D71E84">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5.糖、味精、酱油、醋、生粉等干货调味品（含面粉）必须符合国家相关食品安全卫生标准和要求，必须具有“SC”食品生产许可认证标志，出具供应商资质证明及检验合格证明；</w:t>
            </w:r>
          </w:p>
          <w:p w14:paraId="7AFB5299">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6.其他食品的配送标准</w:t>
            </w:r>
          </w:p>
          <w:p w14:paraId="48024708">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必须符合国家相关食品安全标准和要求，经过“SC”食品生产许可认证，包装完整，注明有生产厂家、生产地址、联系电话、生产日期、保质期等；</w:t>
            </w:r>
          </w:p>
          <w:p w14:paraId="6CF7397F">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7.禁止性规定：凡是《食品安全法》禁止经营的食品一律不得采购和使用，严禁配送“三无”食品、有毒、有害、过期、变质、假冒伪劣等不合格食品。学校食堂不得采购、贮存、使用亚硝酸盐(包括亚硝酸钠、亚硝酸钾)。中小学、幼儿园食堂不得制售冷荤类食品、生食类食品、裱花蛋糕，不得加工制作四季豆、鲜黄花菜、野生蘑菇、发芽土豆等高风险食品；</w:t>
            </w:r>
          </w:p>
          <w:p w14:paraId="355CAD2C">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中标单位应严格遵守相关规定，一经发现供应以下食品，除全部退货外，将取消供货单位的供货资格，由供货单位承担由此造成的经济责任和法律责任：</w:t>
            </w:r>
          </w:p>
          <w:p w14:paraId="0F33084A">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（1）腐败变质、油脂酸败、霉变、生虫、污秽不洁、混有异物或者其他感官性状异常。</w:t>
            </w:r>
          </w:p>
          <w:p w14:paraId="46B872B9">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（2）含有毒、有害物质或者被有害物质污染，对人体健康有害的。</w:t>
            </w:r>
          </w:p>
          <w:p w14:paraId="0BC58977">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（3）含有致病性寄生虫、微生物或者微生物含量超过国家限定标准的。</w:t>
            </w:r>
          </w:p>
          <w:p w14:paraId="7A99643D">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（4）未经动物检疫部门检疫、查验或者检疫、检验不合格的肉类及其制品。</w:t>
            </w:r>
          </w:p>
          <w:p w14:paraId="0C0CB735">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（5）病死、毒死或者死因不明的禽、畜、兽动物等及其制。</w:t>
            </w:r>
          </w:p>
          <w:p w14:paraId="52A0B630">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（6）掺假、掺杂，影响营养、卫生和安全的。</w:t>
            </w:r>
          </w:p>
          <w:p w14:paraId="68C5904D">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（7）用非食品原料加工的，加入非食品用化学物质或者将非食品当作食品的；添加剂超标的。</w:t>
            </w:r>
          </w:p>
          <w:p w14:paraId="6314FB74">
            <w:pPr>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（8）超过保质期限的。</w:t>
            </w:r>
          </w:p>
          <w:p w14:paraId="6712499B">
            <w:pPr>
              <w:spacing w:line="336" w:lineRule="auto"/>
              <w:ind w:firstLine="420" w:firstLineChars="200"/>
              <w:rPr>
                <w:highlight w:val="none"/>
              </w:rPr>
            </w:pPr>
            <w:r>
              <w:rPr>
                <w:rFonts w:hint="eastAsia" w:ascii="宋体" w:hAnsi="宋体" w:cs="宋体"/>
                <w:kern w:val="0"/>
                <w:szCs w:val="21"/>
                <w:highlight w:val="none"/>
              </w:rPr>
              <w:t>（9）中标单位、入围供货商按招标文件中货物清单提供商品，不得私自增加、替换货物，否则取消供货资格。</w:t>
            </w:r>
          </w:p>
        </w:tc>
        <w:tc>
          <w:tcPr>
            <w:tcW w:w="780" w:type="dxa"/>
            <w:vMerge w:val="restart"/>
            <w:noWrap/>
            <w:tcMar>
              <w:top w:w="0" w:type="dxa"/>
              <w:left w:w="108" w:type="dxa"/>
              <w:bottom w:w="0" w:type="dxa"/>
              <w:right w:w="108" w:type="dxa"/>
            </w:tcMar>
            <w:vAlign w:val="center"/>
          </w:tcPr>
          <w:p w14:paraId="67E2F517">
            <w:pPr>
              <w:spacing w:line="360" w:lineRule="auto"/>
              <w:rPr>
                <w:rFonts w:ascii="宋体" w:hAnsi="宋体" w:cs="宋体"/>
                <w:kern w:val="0"/>
                <w:szCs w:val="21"/>
                <w:highlight w:val="none"/>
              </w:rPr>
            </w:pPr>
            <w:r>
              <w:rPr>
                <w:rFonts w:ascii="宋体" w:hAnsi="宋体" w:cs="宋体"/>
                <w:kern w:val="0"/>
                <w:szCs w:val="21"/>
                <w:highlight w:val="none"/>
              </w:rPr>
              <w:t>5773</w:t>
            </w:r>
            <w:r>
              <w:rPr>
                <w:rFonts w:hint="eastAsia" w:ascii="宋体" w:hAnsi="宋体" w:cs="宋体"/>
                <w:kern w:val="0"/>
                <w:szCs w:val="21"/>
                <w:highlight w:val="none"/>
              </w:rPr>
              <w:t>.</w:t>
            </w:r>
            <w:r>
              <w:rPr>
                <w:rFonts w:ascii="宋体" w:hAnsi="宋体" w:cs="宋体"/>
                <w:kern w:val="0"/>
                <w:szCs w:val="21"/>
                <w:highlight w:val="none"/>
              </w:rPr>
              <w:t>7029</w:t>
            </w:r>
          </w:p>
        </w:tc>
        <w:tc>
          <w:tcPr>
            <w:tcW w:w="960" w:type="dxa"/>
            <w:vMerge w:val="restart"/>
            <w:noWrap/>
          </w:tcPr>
          <w:p w14:paraId="7941E099">
            <w:pPr>
              <w:spacing w:line="360" w:lineRule="auto"/>
              <w:rPr>
                <w:rFonts w:ascii="宋体" w:hAnsi="宋体" w:cs="宋体"/>
                <w:szCs w:val="21"/>
                <w:highlight w:val="none"/>
              </w:rPr>
            </w:pPr>
          </w:p>
          <w:p w14:paraId="2BA080F7">
            <w:pPr>
              <w:spacing w:line="360" w:lineRule="auto"/>
              <w:rPr>
                <w:rFonts w:ascii="宋体" w:hAnsi="宋体" w:cs="宋体"/>
                <w:szCs w:val="21"/>
                <w:highlight w:val="none"/>
              </w:rPr>
            </w:pPr>
          </w:p>
          <w:p w14:paraId="5AB9C692">
            <w:pPr>
              <w:spacing w:line="360" w:lineRule="auto"/>
              <w:rPr>
                <w:rFonts w:ascii="宋体" w:hAnsi="宋体" w:cs="宋体"/>
                <w:szCs w:val="21"/>
                <w:highlight w:val="none"/>
              </w:rPr>
            </w:pPr>
          </w:p>
          <w:p w14:paraId="7FE20DF1">
            <w:pPr>
              <w:spacing w:line="360" w:lineRule="auto"/>
              <w:rPr>
                <w:rFonts w:ascii="宋体" w:hAnsi="宋体" w:cs="宋体"/>
                <w:szCs w:val="21"/>
                <w:highlight w:val="none"/>
              </w:rPr>
            </w:pPr>
          </w:p>
          <w:p w14:paraId="52180A36">
            <w:pPr>
              <w:spacing w:line="360" w:lineRule="auto"/>
              <w:rPr>
                <w:rFonts w:ascii="宋体" w:hAnsi="宋体" w:cs="宋体"/>
                <w:szCs w:val="21"/>
                <w:highlight w:val="none"/>
              </w:rPr>
            </w:pPr>
          </w:p>
          <w:p w14:paraId="09AF9915">
            <w:pPr>
              <w:spacing w:line="360" w:lineRule="auto"/>
              <w:rPr>
                <w:rFonts w:ascii="宋体" w:hAnsi="宋体" w:cs="宋体"/>
                <w:szCs w:val="21"/>
                <w:highlight w:val="none"/>
              </w:rPr>
            </w:pPr>
          </w:p>
          <w:p w14:paraId="382FCEE8">
            <w:pPr>
              <w:spacing w:line="360" w:lineRule="auto"/>
              <w:rPr>
                <w:rFonts w:ascii="宋体" w:hAnsi="宋体" w:cs="宋体"/>
                <w:szCs w:val="21"/>
                <w:highlight w:val="none"/>
              </w:rPr>
            </w:pPr>
          </w:p>
          <w:p w14:paraId="23036272">
            <w:pPr>
              <w:spacing w:line="360" w:lineRule="auto"/>
              <w:rPr>
                <w:rFonts w:ascii="宋体" w:hAnsi="宋体" w:cs="宋体"/>
                <w:szCs w:val="21"/>
                <w:highlight w:val="none"/>
              </w:rPr>
            </w:pPr>
          </w:p>
          <w:p w14:paraId="49D4E737">
            <w:pPr>
              <w:spacing w:line="360" w:lineRule="auto"/>
              <w:rPr>
                <w:rFonts w:ascii="宋体" w:hAnsi="宋体" w:cs="宋体"/>
                <w:szCs w:val="21"/>
                <w:highlight w:val="none"/>
              </w:rPr>
            </w:pPr>
          </w:p>
          <w:p w14:paraId="20B14357">
            <w:pPr>
              <w:spacing w:line="360" w:lineRule="auto"/>
              <w:rPr>
                <w:rFonts w:ascii="宋体" w:hAnsi="宋体" w:cs="宋体"/>
                <w:szCs w:val="21"/>
                <w:highlight w:val="none"/>
              </w:rPr>
            </w:pPr>
          </w:p>
          <w:p w14:paraId="73A0C634">
            <w:pPr>
              <w:spacing w:line="360" w:lineRule="auto"/>
              <w:jc w:val="center"/>
              <w:rPr>
                <w:rFonts w:ascii="宋体" w:hAnsi="宋体" w:cs="宋体"/>
                <w:kern w:val="0"/>
                <w:szCs w:val="21"/>
                <w:highlight w:val="none"/>
              </w:rPr>
            </w:pPr>
            <w:r>
              <w:rPr>
                <w:rFonts w:hint="eastAsia" w:ascii="宋体" w:hAnsi="宋体" w:cs="宋体"/>
                <w:szCs w:val="21"/>
                <w:highlight w:val="none"/>
              </w:rPr>
              <w:t>批发业</w:t>
            </w:r>
          </w:p>
        </w:tc>
      </w:tr>
      <w:tr w14:paraId="2CF5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1" w:type="dxa"/>
            <w:vMerge w:val="continue"/>
            <w:noWrap/>
            <w:tcMar>
              <w:top w:w="0" w:type="dxa"/>
              <w:left w:w="108" w:type="dxa"/>
              <w:bottom w:w="0" w:type="dxa"/>
              <w:right w:w="108" w:type="dxa"/>
            </w:tcMar>
            <w:vAlign w:val="center"/>
          </w:tcPr>
          <w:p w14:paraId="1E074C6B">
            <w:pPr>
              <w:widowControl/>
              <w:tabs>
                <w:tab w:val="left" w:pos="1440"/>
              </w:tabs>
              <w:spacing w:line="360" w:lineRule="auto"/>
              <w:jc w:val="left"/>
              <w:rPr>
                <w:rFonts w:ascii="宋体" w:hAnsi="宋体" w:cs="宋体"/>
                <w:bCs/>
                <w:kern w:val="0"/>
                <w:szCs w:val="21"/>
                <w:highlight w:val="none"/>
              </w:rPr>
            </w:pPr>
          </w:p>
        </w:tc>
        <w:tc>
          <w:tcPr>
            <w:tcW w:w="679" w:type="dxa"/>
            <w:vMerge w:val="continue"/>
            <w:noWrap/>
            <w:tcMar>
              <w:top w:w="0" w:type="dxa"/>
              <w:left w:w="108" w:type="dxa"/>
              <w:bottom w:w="0" w:type="dxa"/>
              <w:right w:w="108" w:type="dxa"/>
            </w:tcMar>
            <w:vAlign w:val="center"/>
          </w:tcPr>
          <w:p w14:paraId="202EF765">
            <w:pPr>
              <w:spacing w:line="360" w:lineRule="auto"/>
              <w:rPr>
                <w:rFonts w:ascii="宋体" w:hAnsi="宋体" w:cs="宋体"/>
                <w:bCs/>
                <w:szCs w:val="21"/>
                <w:highlight w:val="none"/>
              </w:rPr>
            </w:pPr>
          </w:p>
        </w:tc>
        <w:tc>
          <w:tcPr>
            <w:tcW w:w="544" w:type="dxa"/>
            <w:vMerge w:val="continue"/>
            <w:noWrap/>
            <w:tcMar>
              <w:top w:w="0" w:type="dxa"/>
              <w:left w:w="108" w:type="dxa"/>
              <w:bottom w:w="0" w:type="dxa"/>
              <w:right w:w="108" w:type="dxa"/>
            </w:tcMar>
            <w:vAlign w:val="center"/>
          </w:tcPr>
          <w:p w14:paraId="7F60B26E">
            <w:pPr>
              <w:widowControl/>
              <w:tabs>
                <w:tab w:val="left" w:pos="1440"/>
              </w:tabs>
              <w:spacing w:line="360" w:lineRule="auto"/>
              <w:jc w:val="left"/>
              <w:rPr>
                <w:rFonts w:ascii="宋体" w:hAnsi="宋体" w:cs="宋体"/>
                <w:bCs/>
                <w:kern w:val="0"/>
                <w:szCs w:val="21"/>
                <w:highlight w:val="none"/>
              </w:rPr>
            </w:pPr>
          </w:p>
        </w:tc>
        <w:tc>
          <w:tcPr>
            <w:tcW w:w="6418" w:type="dxa"/>
            <w:noWrap/>
            <w:tcMar>
              <w:top w:w="0" w:type="dxa"/>
              <w:left w:w="108" w:type="dxa"/>
              <w:bottom w:w="0" w:type="dxa"/>
              <w:right w:w="108" w:type="dxa"/>
            </w:tcMar>
          </w:tcPr>
          <w:p w14:paraId="7EACB902">
            <w:pPr>
              <w:spacing w:line="336" w:lineRule="auto"/>
              <w:rPr>
                <w:rFonts w:ascii="宋体" w:hAnsi="宋体" w:cs="宋体"/>
                <w:b/>
                <w:bCs/>
                <w:szCs w:val="21"/>
                <w:highlight w:val="none"/>
              </w:rPr>
            </w:pPr>
            <w:r>
              <w:rPr>
                <w:rFonts w:hint="eastAsia" w:ascii="宋体" w:hAnsi="宋体" w:cs="宋体"/>
                <w:b/>
                <w:bCs/>
                <w:szCs w:val="21"/>
                <w:highlight w:val="none"/>
              </w:rPr>
              <w:t>二、送货要求：</w:t>
            </w:r>
          </w:p>
          <w:p w14:paraId="4F00FE31">
            <w:pPr>
              <w:spacing w:line="336" w:lineRule="auto"/>
              <w:rPr>
                <w:rFonts w:ascii="宋体" w:hAnsi="宋体" w:cs="宋体"/>
                <w:szCs w:val="21"/>
                <w:highlight w:val="none"/>
              </w:rPr>
            </w:pPr>
            <w:r>
              <w:rPr>
                <w:rFonts w:hint="eastAsia" w:ascii="宋体" w:hAnsi="宋体" w:cs="宋体"/>
                <w:szCs w:val="21"/>
                <w:highlight w:val="none"/>
              </w:rPr>
              <w:t>1.配送范围和具体地点：南宁市青秀区各公办学校</w:t>
            </w:r>
          </w:p>
          <w:p w14:paraId="09C00E5F">
            <w:pPr>
              <w:spacing w:line="404" w:lineRule="auto"/>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2.潜在供应商响应时应提供以下资格证明材料或承诺：</w:t>
            </w:r>
          </w:p>
          <w:p w14:paraId="0A8E828E">
            <w:pPr>
              <w:numPr>
                <w:ilvl w:val="0"/>
                <w:numId w:val="4"/>
              </w:numPr>
              <w:spacing w:line="404" w:lineRule="auto"/>
              <w:rPr>
                <w:rFonts w:ascii="宋体" w:hAnsi="宋体" w:cs="宋体"/>
                <w:szCs w:val="21"/>
                <w:highlight w:val="none"/>
              </w:rPr>
            </w:pPr>
            <w:r>
              <w:rPr>
                <w:rFonts w:hint="eastAsia" w:ascii="宋体" w:hAnsi="宋体" w:cs="宋体"/>
                <w:szCs w:val="21"/>
                <w:highlight w:val="none"/>
              </w:rPr>
              <w:t>企业法人营业执照、组织机构代码证、税务登记证、投标供货商员工健康合格证以及从事相应食品供应业务的资质许可证。</w:t>
            </w:r>
          </w:p>
          <w:p w14:paraId="69B8A3D7">
            <w:pPr>
              <w:numPr>
                <w:ilvl w:val="0"/>
                <w:numId w:val="4"/>
              </w:numPr>
              <w:spacing w:line="404" w:lineRule="auto"/>
              <w:rPr>
                <w:rFonts w:ascii="宋体" w:hAnsi="宋体" w:cs="宋体"/>
                <w:szCs w:val="21"/>
                <w:highlight w:val="none"/>
              </w:rPr>
            </w:pPr>
            <w:r>
              <w:rPr>
                <w:rFonts w:hint="eastAsia" w:ascii="宋体" w:hAnsi="宋体" w:cs="宋体"/>
                <w:szCs w:val="21"/>
                <w:highlight w:val="none"/>
              </w:rPr>
              <w:t>必须保证所供应食品可追溯；有能力满足本次采购食材服务的分拣中心、专门配送车辆及配送人员，配送人员须为投标企业在职员工，投标时出具劳动合同、投标截止前三个月的社保缴费记录或个税代缴记录；</w:t>
            </w:r>
          </w:p>
          <w:p w14:paraId="078D9830">
            <w:pPr>
              <w:numPr>
                <w:ilvl w:val="0"/>
                <w:numId w:val="4"/>
              </w:numPr>
              <w:spacing w:line="404" w:lineRule="auto"/>
              <w:rPr>
                <w:rFonts w:ascii="宋体" w:hAnsi="宋体" w:cs="宋体"/>
                <w:szCs w:val="21"/>
                <w:highlight w:val="none"/>
              </w:rPr>
            </w:pPr>
            <w:r>
              <w:rPr>
                <w:rFonts w:hint="eastAsia" w:ascii="宋体" w:hAnsi="宋体" w:cs="宋体"/>
                <w:szCs w:val="21"/>
                <w:highlight w:val="none"/>
              </w:rPr>
              <w:t>有完整的配送方案，管理架构、岗位人员配置合理，食材安全措施得当，应急预案完整。根据食品特点选择适宜的运输工具,必要时应配备保温、冷藏、冷冻、保鲜、保湿等设施。食品与食品用洗涤剂、消毒剂等非食品同车运输, 或者食品原料、半成品、成品同车运输时，应进行分隔。</w:t>
            </w:r>
          </w:p>
          <w:p w14:paraId="06F6C280">
            <w:pPr>
              <w:spacing w:line="404" w:lineRule="auto"/>
              <w:rPr>
                <w:rFonts w:ascii="宋体" w:hAnsi="宋体" w:cs="宋体"/>
                <w:kern w:val="0"/>
                <w:szCs w:val="21"/>
                <w:highlight w:val="none"/>
              </w:rPr>
            </w:pPr>
            <w:r>
              <w:rPr>
                <w:rFonts w:hint="eastAsia" w:ascii="宋体" w:hAnsi="宋体" w:cs="宋体"/>
                <w:szCs w:val="21"/>
                <w:highlight w:val="none"/>
              </w:rPr>
              <w:t>（四）中标后投标人须购买食品安全责任险，责任险保额不低于1000万。</w:t>
            </w:r>
          </w:p>
        </w:tc>
        <w:tc>
          <w:tcPr>
            <w:tcW w:w="780" w:type="dxa"/>
            <w:vMerge w:val="continue"/>
            <w:noWrap/>
            <w:tcMar>
              <w:top w:w="0" w:type="dxa"/>
              <w:left w:w="108" w:type="dxa"/>
              <w:bottom w:w="0" w:type="dxa"/>
              <w:right w:w="108" w:type="dxa"/>
            </w:tcMar>
            <w:vAlign w:val="center"/>
          </w:tcPr>
          <w:p w14:paraId="2210C379">
            <w:pPr>
              <w:spacing w:line="360" w:lineRule="auto"/>
              <w:rPr>
                <w:highlight w:val="none"/>
              </w:rPr>
            </w:pPr>
          </w:p>
        </w:tc>
        <w:tc>
          <w:tcPr>
            <w:tcW w:w="960" w:type="dxa"/>
            <w:vMerge w:val="continue"/>
            <w:noWrap/>
          </w:tcPr>
          <w:p w14:paraId="509B649A">
            <w:pPr>
              <w:spacing w:line="360" w:lineRule="auto"/>
              <w:rPr>
                <w:rFonts w:ascii="宋体" w:hAnsi="宋体" w:cs="宋体"/>
                <w:szCs w:val="21"/>
                <w:highlight w:val="none"/>
              </w:rPr>
            </w:pPr>
          </w:p>
        </w:tc>
      </w:tr>
      <w:tr w14:paraId="0A78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9942" w:type="dxa"/>
            <w:gridSpan w:val="6"/>
            <w:noWrap/>
            <w:tcMar>
              <w:top w:w="0" w:type="dxa"/>
              <w:left w:w="108" w:type="dxa"/>
              <w:bottom w:w="0" w:type="dxa"/>
              <w:right w:w="108" w:type="dxa"/>
            </w:tcMar>
            <w:vAlign w:val="center"/>
          </w:tcPr>
          <w:p w14:paraId="50E2638B">
            <w:pPr>
              <w:spacing w:line="360" w:lineRule="auto"/>
              <w:jc w:val="left"/>
              <w:rPr>
                <w:rFonts w:ascii="宋体" w:hAnsi="宋体" w:cs="宋体"/>
                <w:highlight w:val="none"/>
              </w:rPr>
            </w:pPr>
            <w:r>
              <w:rPr>
                <w:rFonts w:hint="eastAsia" w:ascii="宋体" w:hAnsi="宋体" w:cs="宋体"/>
                <w:b/>
                <w:kern w:val="0"/>
                <w:szCs w:val="21"/>
                <w:highlight w:val="none"/>
              </w:rPr>
              <w:t>商务条款</w:t>
            </w:r>
          </w:p>
        </w:tc>
      </w:tr>
      <w:tr w14:paraId="517F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784" w:type="dxa"/>
            <w:gridSpan w:val="3"/>
            <w:noWrap/>
            <w:tcMar>
              <w:top w:w="0" w:type="dxa"/>
              <w:left w:w="108" w:type="dxa"/>
              <w:bottom w:w="0" w:type="dxa"/>
              <w:right w:w="108" w:type="dxa"/>
            </w:tcMar>
            <w:vAlign w:val="center"/>
          </w:tcPr>
          <w:p w14:paraId="010E1CB4">
            <w:pPr>
              <w:spacing w:line="360" w:lineRule="auto"/>
              <w:jc w:val="center"/>
              <w:rPr>
                <w:rFonts w:ascii="宋体" w:hAnsi="宋体" w:cs="宋体"/>
                <w:b/>
                <w:bCs/>
                <w:highlight w:val="none"/>
              </w:rPr>
            </w:pPr>
            <w:r>
              <w:rPr>
                <w:rFonts w:hint="eastAsia" w:ascii="宋体" w:hAnsi="宋体" w:cs="宋体"/>
                <w:b/>
                <w:szCs w:val="21"/>
                <w:highlight w:val="none"/>
              </w:rPr>
              <w:t>▲</w:t>
            </w:r>
            <w:r>
              <w:rPr>
                <w:rFonts w:hint="eastAsia" w:ascii="宋体" w:hAnsi="宋体" w:cs="宋体"/>
                <w:b/>
                <w:bCs/>
                <w:spacing w:val="8"/>
                <w:highlight w:val="none"/>
              </w:rPr>
              <w:t>一、合同签订时间</w:t>
            </w:r>
          </w:p>
        </w:tc>
        <w:tc>
          <w:tcPr>
            <w:tcW w:w="8158" w:type="dxa"/>
            <w:gridSpan w:val="3"/>
            <w:noWrap/>
            <w:tcMar>
              <w:top w:w="0" w:type="dxa"/>
              <w:left w:w="108" w:type="dxa"/>
              <w:bottom w:w="0" w:type="dxa"/>
              <w:right w:w="108" w:type="dxa"/>
            </w:tcMar>
          </w:tcPr>
          <w:p w14:paraId="53BE4BFE">
            <w:pPr>
              <w:spacing w:line="360" w:lineRule="auto"/>
              <w:rPr>
                <w:rFonts w:ascii="宋体" w:hAnsi="宋体" w:cs="宋体"/>
                <w:highlight w:val="none"/>
              </w:rPr>
            </w:pPr>
            <w:r>
              <w:rPr>
                <w:rFonts w:hint="eastAsia" w:ascii="宋体" w:hAnsi="宋体" w:cs="宋体"/>
                <w:highlight w:val="none"/>
              </w:rPr>
              <w:t>自入围通知书发出之日起30日内。</w:t>
            </w:r>
          </w:p>
        </w:tc>
      </w:tr>
      <w:tr w14:paraId="094E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784" w:type="dxa"/>
            <w:gridSpan w:val="3"/>
            <w:noWrap/>
            <w:tcMar>
              <w:top w:w="0" w:type="dxa"/>
              <w:left w:w="108" w:type="dxa"/>
              <w:bottom w:w="0" w:type="dxa"/>
              <w:right w:w="108" w:type="dxa"/>
            </w:tcMar>
            <w:vAlign w:val="center"/>
          </w:tcPr>
          <w:p w14:paraId="0E219DA9">
            <w:pPr>
              <w:spacing w:line="360" w:lineRule="auto"/>
              <w:jc w:val="center"/>
              <w:rPr>
                <w:rFonts w:ascii="宋体" w:hAnsi="宋体" w:cs="宋体"/>
                <w:b/>
                <w:bCs/>
                <w:highlight w:val="none"/>
              </w:rPr>
            </w:pPr>
            <w:r>
              <w:rPr>
                <w:rFonts w:hint="eastAsia" w:ascii="宋体" w:hAnsi="宋体" w:cs="宋体"/>
                <w:b/>
                <w:szCs w:val="21"/>
                <w:highlight w:val="none"/>
              </w:rPr>
              <w:t>▲</w:t>
            </w:r>
            <w:r>
              <w:rPr>
                <w:rFonts w:hint="eastAsia" w:ascii="宋体" w:hAnsi="宋体" w:cs="宋体"/>
                <w:b/>
                <w:bCs/>
                <w:spacing w:val="8"/>
                <w:highlight w:val="none"/>
              </w:rPr>
              <w:t>二、服务期限和地点</w:t>
            </w:r>
          </w:p>
        </w:tc>
        <w:tc>
          <w:tcPr>
            <w:tcW w:w="8158" w:type="dxa"/>
            <w:gridSpan w:val="3"/>
            <w:noWrap/>
            <w:tcMar>
              <w:top w:w="0" w:type="dxa"/>
              <w:left w:w="108" w:type="dxa"/>
              <w:bottom w:w="0" w:type="dxa"/>
              <w:right w:w="108" w:type="dxa"/>
            </w:tcMar>
          </w:tcPr>
          <w:p w14:paraId="5AE5A4D9">
            <w:pPr>
              <w:spacing w:line="360" w:lineRule="auto"/>
              <w:rPr>
                <w:rFonts w:ascii="宋体" w:hAnsi="宋体" w:cs="宋体"/>
                <w:highlight w:val="none"/>
              </w:rPr>
            </w:pPr>
            <w:r>
              <w:rPr>
                <w:rFonts w:hint="eastAsia" w:ascii="宋体" w:hAnsi="宋体" w:cs="宋体"/>
                <w:highlight w:val="none"/>
              </w:rPr>
              <w:t>1.服务期限：</w:t>
            </w:r>
            <w:r>
              <w:rPr>
                <w:rFonts w:hint="eastAsia" w:ascii="宋体" w:hAnsi="宋体" w:cs="宋体"/>
                <w:bCs/>
                <w:kern w:val="0"/>
                <w:szCs w:val="21"/>
                <w:highlight w:val="none"/>
              </w:rPr>
              <w:t>自签订合同之日起至2026年秋季学期结束。</w:t>
            </w:r>
          </w:p>
          <w:p w14:paraId="21226EE8">
            <w:pPr>
              <w:spacing w:line="360" w:lineRule="auto"/>
              <w:rPr>
                <w:rFonts w:ascii="宋体" w:hAnsi="宋体" w:cs="宋体"/>
                <w:highlight w:val="none"/>
              </w:rPr>
            </w:pPr>
            <w:r>
              <w:rPr>
                <w:rFonts w:hint="eastAsia" w:ascii="宋体" w:hAnsi="宋体" w:cs="宋体"/>
                <w:highlight w:val="none"/>
              </w:rPr>
              <w:t>2.服务地点：采购人指定地点。</w:t>
            </w:r>
          </w:p>
          <w:p w14:paraId="039BE08C">
            <w:pPr>
              <w:spacing w:line="360" w:lineRule="auto"/>
              <w:rPr>
                <w:rFonts w:ascii="宋体" w:hAnsi="宋体" w:cs="宋体"/>
                <w:highlight w:val="none"/>
              </w:rPr>
            </w:pPr>
            <w:r>
              <w:rPr>
                <w:rFonts w:hint="eastAsia" w:ascii="宋体" w:hAnsi="宋体" w:cs="宋体"/>
                <w:highlight w:val="none"/>
              </w:rPr>
              <w:t>3.</w:t>
            </w:r>
            <w:r>
              <w:rPr>
                <w:rFonts w:hint="eastAsia" w:ascii="宋体" w:hAnsi="宋体" w:cs="Arial"/>
                <w:bCs/>
                <w:kern w:val="0"/>
                <w:szCs w:val="21"/>
                <w:highlight w:val="none"/>
              </w:rPr>
              <w:t>提交服务成果时间：按采购人需求提交。</w:t>
            </w:r>
          </w:p>
        </w:tc>
      </w:tr>
      <w:tr w14:paraId="716F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784" w:type="dxa"/>
            <w:gridSpan w:val="3"/>
            <w:noWrap/>
            <w:tcMar>
              <w:top w:w="0" w:type="dxa"/>
              <w:left w:w="108" w:type="dxa"/>
              <w:bottom w:w="0" w:type="dxa"/>
              <w:right w:w="108" w:type="dxa"/>
            </w:tcMar>
            <w:vAlign w:val="center"/>
          </w:tcPr>
          <w:p w14:paraId="0AD46B20">
            <w:pPr>
              <w:spacing w:line="360" w:lineRule="auto"/>
              <w:jc w:val="center"/>
              <w:rPr>
                <w:rFonts w:ascii="宋体" w:hAnsi="宋体" w:cs="宋体"/>
                <w:b/>
                <w:bCs/>
                <w:highlight w:val="none"/>
              </w:rPr>
            </w:pPr>
            <w:r>
              <w:rPr>
                <w:rFonts w:hint="eastAsia" w:ascii="宋体" w:hAnsi="宋体" w:cs="宋体"/>
                <w:b/>
                <w:szCs w:val="21"/>
                <w:highlight w:val="none"/>
              </w:rPr>
              <w:t>▲</w:t>
            </w:r>
            <w:r>
              <w:rPr>
                <w:rFonts w:hint="eastAsia" w:ascii="宋体" w:hAnsi="宋体" w:cs="宋体"/>
                <w:b/>
                <w:bCs/>
                <w:spacing w:val="7"/>
                <w:highlight w:val="none"/>
              </w:rPr>
              <w:t>三、投标报价要求</w:t>
            </w:r>
          </w:p>
        </w:tc>
        <w:tc>
          <w:tcPr>
            <w:tcW w:w="8158" w:type="dxa"/>
            <w:gridSpan w:val="3"/>
            <w:noWrap/>
            <w:tcMar>
              <w:top w:w="0" w:type="dxa"/>
              <w:left w:w="108" w:type="dxa"/>
              <w:bottom w:w="0" w:type="dxa"/>
              <w:right w:w="108" w:type="dxa"/>
            </w:tcMar>
          </w:tcPr>
          <w:p w14:paraId="77DB6D29">
            <w:pPr>
              <w:tabs>
                <w:tab w:val="left" w:pos="611"/>
              </w:tabs>
              <w:spacing w:line="360" w:lineRule="auto"/>
              <w:jc w:val="left"/>
              <w:rPr>
                <w:rFonts w:ascii="宋体" w:hAnsi="宋体" w:cs="宋体"/>
                <w:kern w:val="0"/>
                <w:szCs w:val="21"/>
                <w:highlight w:val="none"/>
              </w:rPr>
            </w:pPr>
            <w:r>
              <w:rPr>
                <w:rFonts w:hint="eastAsia" w:ascii="宋体" w:hAnsi="宋体" w:cs="宋体"/>
                <w:kern w:val="0"/>
                <w:szCs w:val="21"/>
                <w:highlight w:val="none"/>
              </w:rPr>
              <w:t>（1）</w:t>
            </w:r>
            <w:r>
              <w:rPr>
                <w:rFonts w:hint="eastAsia"/>
                <w:highlight w:val="none"/>
              </w:rPr>
              <w:t>供应商根据市场价格、成本及自身条件、市场风险考虑，以下浮系数进行报价，有效报价范围为：</w:t>
            </w:r>
            <w:r>
              <w:rPr>
                <w:highlight w:val="none"/>
              </w:rPr>
              <w:t>0</w:t>
            </w:r>
            <w:r>
              <w:rPr>
                <w:rFonts w:hint="eastAsia"/>
                <w:highlight w:val="none"/>
              </w:rPr>
              <w:t>～</w:t>
            </w:r>
            <w:r>
              <w:rPr>
                <w:highlight w:val="none"/>
              </w:rPr>
              <w:t>100%</w:t>
            </w:r>
            <w:r>
              <w:rPr>
                <w:rFonts w:hint="eastAsia" w:ascii="宋体" w:hAnsi="宋体" w:cs="宋体"/>
                <w:kern w:val="0"/>
                <w:szCs w:val="21"/>
                <w:highlight w:val="none"/>
              </w:rPr>
              <w:t>。</w:t>
            </w:r>
          </w:p>
          <w:p w14:paraId="65107588">
            <w:pPr>
              <w:tabs>
                <w:tab w:val="left" w:pos="611"/>
              </w:tabs>
              <w:spacing w:line="360" w:lineRule="auto"/>
              <w:jc w:val="left"/>
              <w:rPr>
                <w:rFonts w:ascii="宋体" w:hAnsi="宋体" w:cs="宋体"/>
                <w:kern w:val="0"/>
                <w:szCs w:val="21"/>
                <w:highlight w:val="none"/>
              </w:rPr>
            </w:pPr>
            <w:r>
              <w:rPr>
                <w:rFonts w:hint="eastAsia" w:ascii="宋体" w:hAnsi="宋体" w:cs="宋体"/>
                <w:kern w:val="0"/>
                <w:szCs w:val="21"/>
                <w:highlight w:val="none"/>
              </w:rPr>
              <w:t>（2）报价必须含以下部分，投标报价为南宁市行政区内采购人指定地点的现场交货价以及合同履约包含的所有风险、责任等各项应有费用，包括：</w:t>
            </w:r>
          </w:p>
          <w:p w14:paraId="053B6812">
            <w:pPr>
              <w:spacing w:line="360" w:lineRule="auto"/>
              <w:ind w:firstLine="315" w:firstLineChars="150"/>
              <w:rPr>
                <w:rFonts w:ascii="宋体" w:hAnsi="宋体" w:cs="宋体"/>
                <w:szCs w:val="21"/>
                <w:highlight w:val="none"/>
              </w:rPr>
            </w:pPr>
            <w:r>
              <w:rPr>
                <w:rFonts w:hint="eastAsia" w:ascii="宋体" w:hAnsi="宋体" w:cs="宋体"/>
                <w:szCs w:val="21"/>
                <w:highlight w:val="none"/>
              </w:rPr>
              <w:t>①产品及标准附件、专用工具、包装、保鲜、加工、保质期内服务价格；</w:t>
            </w:r>
          </w:p>
          <w:p w14:paraId="6BA063D6">
            <w:pPr>
              <w:spacing w:line="360" w:lineRule="auto"/>
              <w:ind w:firstLine="315" w:firstLineChars="150"/>
              <w:rPr>
                <w:rFonts w:ascii="宋体" w:hAnsi="宋体" w:cs="宋体"/>
                <w:szCs w:val="21"/>
                <w:highlight w:val="none"/>
              </w:rPr>
            </w:pPr>
            <w:r>
              <w:rPr>
                <w:rFonts w:hint="eastAsia" w:ascii="宋体" w:hAnsi="宋体" w:cs="宋体"/>
                <w:szCs w:val="21"/>
                <w:highlight w:val="none"/>
              </w:rPr>
              <w:t>②仓储、包装、运输、搬运、深加工、检验检测、售后服务等相关费用；</w:t>
            </w:r>
          </w:p>
          <w:p w14:paraId="6F3C81F3">
            <w:pPr>
              <w:spacing w:line="360" w:lineRule="auto"/>
              <w:ind w:firstLine="315" w:firstLineChars="150"/>
              <w:rPr>
                <w:rFonts w:ascii="宋体" w:hAnsi="宋体" w:cs="宋体"/>
                <w:szCs w:val="21"/>
                <w:highlight w:val="none"/>
              </w:rPr>
            </w:pPr>
            <w:r>
              <w:rPr>
                <w:rFonts w:hint="eastAsia" w:ascii="宋体" w:hAnsi="宋体" w:cs="宋体"/>
                <w:szCs w:val="21"/>
                <w:highlight w:val="none"/>
              </w:rPr>
              <w:t>③人员的工资、加班费及必要的保险费用和各种税费；</w:t>
            </w:r>
          </w:p>
          <w:p w14:paraId="286DBE5A">
            <w:pPr>
              <w:spacing w:line="360" w:lineRule="auto"/>
              <w:ind w:firstLine="315" w:firstLineChars="150"/>
              <w:rPr>
                <w:rFonts w:ascii="宋体" w:hAnsi="宋体" w:cs="宋体"/>
                <w:szCs w:val="21"/>
                <w:highlight w:val="none"/>
              </w:rPr>
            </w:pPr>
            <w:r>
              <w:rPr>
                <w:rFonts w:hint="eastAsia" w:ascii="宋体" w:hAnsi="宋体" w:cs="宋体"/>
                <w:szCs w:val="21"/>
                <w:highlight w:val="none"/>
              </w:rPr>
              <w:t>④验收过程当中所产生的一切费用均由成交供应商承担，有检测资质的机构出具检测报告的费用；</w:t>
            </w:r>
          </w:p>
          <w:p w14:paraId="47FC0D2A">
            <w:pPr>
              <w:spacing w:line="360" w:lineRule="auto"/>
              <w:ind w:firstLine="315" w:firstLineChars="150"/>
              <w:rPr>
                <w:rFonts w:ascii="宋体" w:hAnsi="宋体" w:cs="宋体"/>
                <w:highlight w:val="none"/>
              </w:rPr>
            </w:pPr>
            <w:r>
              <w:rPr>
                <w:rFonts w:hint="eastAsia" w:ascii="宋体" w:hAnsi="宋体" w:cs="宋体"/>
                <w:szCs w:val="21"/>
                <w:highlight w:val="none"/>
              </w:rPr>
              <w:t>⑤货物、服务的价格。</w:t>
            </w:r>
          </w:p>
        </w:tc>
      </w:tr>
      <w:tr w14:paraId="7F70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784" w:type="dxa"/>
            <w:gridSpan w:val="3"/>
            <w:noWrap/>
            <w:tcMar>
              <w:top w:w="0" w:type="dxa"/>
              <w:left w:w="108" w:type="dxa"/>
              <w:bottom w:w="0" w:type="dxa"/>
              <w:right w:w="108" w:type="dxa"/>
            </w:tcMar>
            <w:vAlign w:val="center"/>
          </w:tcPr>
          <w:p w14:paraId="48CF3F08">
            <w:pPr>
              <w:spacing w:line="360" w:lineRule="auto"/>
              <w:jc w:val="center"/>
              <w:rPr>
                <w:rFonts w:ascii="宋体" w:hAnsi="宋体" w:cs="宋体"/>
                <w:b/>
                <w:bCs/>
                <w:spacing w:val="7"/>
                <w:highlight w:val="none"/>
              </w:rPr>
            </w:pPr>
            <w:r>
              <w:rPr>
                <w:rFonts w:hint="eastAsia" w:ascii="宋体" w:hAnsi="宋体" w:cs="宋体"/>
                <w:b/>
                <w:szCs w:val="21"/>
                <w:highlight w:val="none"/>
              </w:rPr>
              <w:t>▲</w:t>
            </w:r>
            <w:r>
              <w:rPr>
                <w:rFonts w:hint="eastAsia" w:ascii="宋体" w:hAnsi="宋体" w:cs="宋体"/>
                <w:b/>
                <w:bCs/>
                <w:spacing w:val="7"/>
                <w:highlight w:val="none"/>
              </w:rPr>
              <w:t>四、投标定价要求</w:t>
            </w:r>
          </w:p>
        </w:tc>
        <w:tc>
          <w:tcPr>
            <w:tcW w:w="8158" w:type="dxa"/>
            <w:gridSpan w:val="3"/>
            <w:noWrap/>
            <w:tcMar>
              <w:top w:w="0" w:type="dxa"/>
              <w:left w:w="108" w:type="dxa"/>
              <w:bottom w:w="0" w:type="dxa"/>
              <w:right w:w="108" w:type="dxa"/>
            </w:tcMar>
          </w:tcPr>
          <w:p w14:paraId="523C14CD">
            <w:pPr>
              <w:spacing w:line="360" w:lineRule="auto"/>
              <w:rPr>
                <w:rFonts w:ascii="宋体" w:hAnsi="宋体" w:cs="宋体"/>
                <w:highlight w:val="none"/>
              </w:rPr>
            </w:pPr>
            <w:r>
              <w:rPr>
                <w:rFonts w:hint="eastAsia" w:ascii="宋体" w:hAnsi="宋体" w:cs="宋体"/>
                <w:highlight w:val="none"/>
              </w:rPr>
              <w:t>本项目完成采购后，由入围供应商依据学校一周食谱进行报价，列清完成一周食谱所需原材料的价格。各原材料的价格由各学校与供应商根据南宁市发展改革委公布的《南宁市农贸市场采价日报表》当期价格确定，但所有价格不能高于《南宁市农贸市场采价日报表》的当期价格，《南宁市农贸市场采价日报表》中无报价的食材或应学校要求提供的额外服务工作，由双方根据市场价格商定（但不能高于市场价格）。报价需包含食材价格、运费、税费等其他费用。最终结算按总报价*（1-下浮系数）进行结算。</w:t>
            </w:r>
          </w:p>
        </w:tc>
      </w:tr>
      <w:tr w14:paraId="0396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784" w:type="dxa"/>
            <w:gridSpan w:val="3"/>
            <w:noWrap/>
            <w:tcMar>
              <w:top w:w="0" w:type="dxa"/>
              <w:left w:w="108" w:type="dxa"/>
              <w:bottom w:w="0" w:type="dxa"/>
              <w:right w:w="108" w:type="dxa"/>
            </w:tcMar>
            <w:vAlign w:val="center"/>
          </w:tcPr>
          <w:p w14:paraId="78BF49B0">
            <w:pPr>
              <w:spacing w:line="360" w:lineRule="auto"/>
              <w:jc w:val="center"/>
              <w:rPr>
                <w:rFonts w:ascii="宋体" w:hAnsi="宋体" w:cs="宋体"/>
                <w:b/>
                <w:bCs/>
                <w:highlight w:val="none"/>
              </w:rPr>
            </w:pPr>
            <w:r>
              <w:rPr>
                <w:rFonts w:hint="eastAsia" w:ascii="宋体" w:hAnsi="宋体" w:cs="宋体"/>
                <w:b/>
                <w:szCs w:val="21"/>
                <w:highlight w:val="none"/>
              </w:rPr>
              <w:t>▲</w:t>
            </w:r>
            <w:r>
              <w:rPr>
                <w:rFonts w:hint="eastAsia" w:ascii="宋体" w:hAnsi="宋体" w:cs="宋体"/>
                <w:b/>
                <w:bCs/>
                <w:spacing w:val="8"/>
                <w:highlight w:val="none"/>
              </w:rPr>
              <w:t>五、付款条件（进度和方式）</w:t>
            </w:r>
          </w:p>
        </w:tc>
        <w:tc>
          <w:tcPr>
            <w:tcW w:w="8158" w:type="dxa"/>
            <w:gridSpan w:val="3"/>
            <w:noWrap/>
            <w:tcMar>
              <w:top w:w="0" w:type="dxa"/>
              <w:left w:w="108" w:type="dxa"/>
              <w:bottom w:w="0" w:type="dxa"/>
              <w:right w:w="108" w:type="dxa"/>
            </w:tcMar>
          </w:tcPr>
          <w:p w14:paraId="71E9A956">
            <w:pPr>
              <w:spacing w:line="360" w:lineRule="auto"/>
              <w:rPr>
                <w:rFonts w:ascii="宋体" w:hAnsi="宋体" w:cs="宋体"/>
                <w:highlight w:val="none"/>
              </w:rPr>
            </w:pPr>
            <w:r>
              <w:rPr>
                <w:rFonts w:hint="eastAsia" w:ascii="宋体" w:hAnsi="宋体" w:cs="宋体"/>
                <w:highlight w:val="none"/>
              </w:rPr>
              <w:t>本项目学校食材采购无预付款，学校按月度与供应商结算。供应商每月至少报账1次，原则上按顺序报账，不能积压。学校支付时间为次月25日之前，每笔款项必须以转账方式支付，严禁现金支付。供应商与学校结算时应提供材料：供应商开具的合法正规发票；双方签字确认的入库单（入库单上有品名、数量、单价和金额）；每周的价格报表及当期《南宁市农贸市场采价日报表》网页页面打印件。</w:t>
            </w:r>
          </w:p>
        </w:tc>
      </w:tr>
      <w:tr w14:paraId="242D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784" w:type="dxa"/>
            <w:gridSpan w:val="3"/>
            <w:noWrap/>
            <w:tcMar>
              <w:top w:w="0" w:type="dxa"/>
              <w:left w:w="108" w:type="dxa"/>
              <w:bottom w:w="0" w:type="dxa"/>
              <w:right w:w="108" w:type="dxa"/>
            </w:tcMar>
            <w:vAlign w:val="center"/>
          </w:tcPr>
          <w:p w14:paraId="044FE14B">
            <w:pPr>
              <w:spacing w:line="360" w:lineRule="auto"/>
              <w:jc w:val="center"/>
              <w:rPr>
                <w:rFonts w:ascii="宋体" w:hAnsi="宋体" w:cs="宋体"/>
                <w:b/>
                <w:bCs/>
                <w:highlight w:val="none"/>
              </w:rPr>
            </w:pPr>
            <w:r>
              <w:rPr>
                <w:rFonts w:hint="eastAsia" w:ascii="宋体" w:hAnsi="宋体" w:cs="宋体"/>
                <w:b/>
                <w:bCs/>
                <w:spacing w:val="8"/>
                <w:highlight w:val="none"/>
              </w:rPr>
              <w:t>六、车辆配送标准</w:t>
            </w:r>
          </w:p>
        </w:tc>
        <w:tc>
          <w:tcPr>
            <w:tcW w:w="8158" w:type="dxa"/>
            <w:gridSpan w:val="3"/>
            <w:noWrap/>
            <w:tcMar>
              <w:top w:w="0" w:type="dxa"/>
              <w:left w:w="108" w:type="dxa"/>
              <w:bottom w:w="0" w:type="dxa"/>
              <w:right w:w="108" w:type="dxa"/>
            </w:tcMar>
          </w:tcPr>
          <w:p w14:paraId="0AD14874">
            <w:pPr>
              <w:spacing w:line="360" w:lineRule="auto"/>
              <w:rPr>
                <w:rFonts w:ascii="宋体" w:hAnsi="宋体" w:cs="宋体"/>
                <w:highlight w:val="none"/>
              </w:rPr>
            </w:pPr>
            <w:r>
              <w:rPr>
                <w:rFonts w:hint="eastAsia" w:ascii="宋体" w:hAnsi="宋体" w:cs="宋体"/>
                <w:highlight w:val="none"/>
              </w:rPr>
              <w:t>投标人需配备有足够的冷藏或冷冻设施等封闭式专用运输车辆，冷冻食材在运输时温度要求保持在-18℃以下，冷藏食品在运输时温度保持在10℃以下。需配备至少3辆冷藏车辆。</w:t>
            </w:r>
          </w:p>
        </w:tc>
      </w:tr>
      <w:tr w14:paraId="70DD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784" w:type="dxa"/>
            <w:gridSpan w:val="3"/>
            <w:noWrap/>
            <w:tcMar>
              <w:top w:w="0" w:type="dxa"/>
              <w:left w:w="108" w:type="dxa"/>
              <w:bottom w:w="0" w:type="dxa"/>
              <w:right w:w="108" w:type="dxa"/>
            </w:tcMar>
            <w:vAlign w:val="center"/>
          </w:tcPr>
          <w:p w14:paraId="310B1EB9">
            <w:pPr>
              <w:spacing w:line="360" w:lineRule="auto"/>
              <w:jc w:val="center"/>
              <w:rPr>
                <w:rFonts w:ascii="宋体" w:hAnsi="宋体" w:cs="宋体"/>
                <w:b/>
                <w:bCs/>
                <w:highlight w:val="none"/>
              </w:rPr>
            </w:pPr>
            <w:r>
              <w:rPr>
                <w:rFonts w:hint="eastAsia" w:ascii="宋体" w:hAnsi="宋体" w:cs="宋体"/>
                <w:b/>
                <w:bCs/>
                <w:spacing w:val="8"/>
                <w:highlight w:val="none"/>
              </w:rPr>
              <w:t>七、人员配送标准</w:t>
            </w:r>
          </w:p>
        </w:tc>
        <w:tc>
          <w:tcPr>
            <w:tcW w:w="8158" w:type="dxa"/>
            <w:gridSpan w:val="3"/>
            <w:noWrap/>
            <w:tcMar>
              <w:top w:w="0" w:type="dxa"/>
              <w:left w:w="108" w:type="dxa"/>
              <w:bottom w:w="0" w:type="dxa"/>
              <w:right w:w="108" w:type="dxa"/>
            </w:tcMar>
          </w:tcPr>
          <w:p w14:paraId="449B509F">
            <w:pPr>
              <w:spacing w:line="360" w:lineRule="auto"/>
              <w:jc w:val="left"/>
              <w:rPr>
                <w:rFonts w:ascii="宋体" w:hAnsi="宋体" w:cs="宋体"/>
                <w:szCs w:val="21"/>
                <w:highlight w:val="none"/>
              </w:rPr>
            </w:pPr>
            <w:r>
              <w:rPr>
                <w:rFonts w:hint="eastAsia" w:ascii="宋体" w:hAnsi="宋体" w:cs="宋体"/>
                <w:highlight w:val="none"/>
              </w:rPr>
              <w:t>（1）</w:t>
            </w:r>
            <w:r>
              <w:rPr>
                <w:rFonts w:hint="eastAsia" w:ascii="宋体" w:hAnsi="宋体" w:cs="宋体"/>
                <w:szCs w:val="21"/>
                <w:highlight w:val="none"/>
              </w:rPr>
              <w:t>投标人必须有固定的食材原材料配送点，必须提供相关证明资料（产权证或房屋租赁合同），不能提供的作废标处理。</w:t>
            </w:r>
          </w:p>
          <w:p w14:paraId="2B1877DA">
            <w:pPr>
              <w:spacing w:line="360" w:lineRule="auto"/>
              <w:rPr>
                <w:highlight w:val="none"/>
              </w:rPr>
            </w:pPr>
            <w:r>
              <w:rPr>
                <w:rFonts w:hint="eastAsia" w:ascii="宋体" w:hAnsi="宋体" w:cs="宋体"/>
                <w:highlight w:val="none"/>
              </w:rPr>
              <w:t>（2）有专业的食品检测员1名和食品安全管理员1名。</w:t>
            </w:r>
            <w:r>
              <w:rPr>
                <w:rFonts w:hint="eastAsia" w:ascii="宋体" w:hAnsi="宋体" w:cs="宋体"/>
                <w:szCs w:val="21"/>
                <w:highlight w:val="none"/>
              </w:rPr>
              <w:t>（在供货时，中标人须提供相关证件的证明材料，采购人需对证件进行现场核验。）</w:t>
            </w:r>
          </w:p>
          <w:p w14:paraId="655D09FC">
            <w:pPr>
              <w:spacing w:line="360" w:lineRule="auto"/>
              <w:jc w:val="left"/>
              <w:rPr>
                <w:rFonts w:ascii="宋体" w:hAnsi="宋体" w:cs="宋体"/>
                <w:highlight w:val="none"/>
              </w:rPr>
            </w:pPr>
            <w:r>
              <w:rPr>
                <w:rFonts w:hint="eastAsia" w:ascii="宋体" w:hAnsi="宋体" w:cs="宋体"/>
                <w:szCs w:val="21"/>
                <w:highlight w:val="none"/>
              </w:rPr>
              <w:t>（3）</w:t>
            </w:r>
            <w:r>
              <w:rPr>
                <w:rFonts w:hint="eastAsia"/>
                <w:highlight w:val="none"/>
              </w:rPr>
              <w:t>投入本项目的配送人员≥</w:t>
            </w:r>
            <w:r>
              <w:rPr>
                <w:highlight w:val="none"/>
              </w:rPr>
              <w:t>8</w:t>
            </w:r>
            <w:r>
              <w:rPr>
                <w:rFonts w:hint="eastAsia"/>
                <w:highlight w:val="none"/>
              </w:rPr>
              <w:t>人，必须办理健康证明，投标文件中必须提供有效的身份证、健康证明原件扫描件。</w:t>
            </w:r>
          </w:p>
        </w:tc>
      </w:tr>
      <w:tr w14:paraId="6947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784" w:type="dxa"/>
            <w:gridSpan w:val="3"/>
            <w:noWrap/>
            <w:tcMar>
              <w:top w:w="0" w:type="dxa"/>
              <w:left w:w="108" w:type="dxa"/>
              <w:bottom w:w="0" w:type="dxa"/>
              <w:right w:w="108" w:type="dxa"/>
            </w:tcMar>
            <w:vAlign w:val="center"/>
          </w:tcPr>
          <w:p w14:paraId="24FFF0CA">
            <w:pPr>
              <w:spacing w:line="360" w:lineRule="auto"/>
              <w:jc w:val="center"/>
              <w:rPr>
                <w:rFonts w:ascii="宋体" w:hAnsi="宋体" w:cs="宋体"/>
                <w:b/>
                <w:bCs/>
                <w:spacing w:val="7"/>
                <w:highlight w:val="none"/>
              </w:rPr>
            </w:pPr>
            <w:r>
              <w:rPr>
                <w:rFonts w:hint="eastAsia" w:ascii="宋体" w:hAnsi="宋体" w:cs="宋体"/>
                <w:b/>
                <w:szCs w:val="21"/>
                <w:highlight w:val="none"/>
              </w:rPr>
              <w:t>▲</w:t>
            </w:r>
            <w:r>
              <w:rPr>
                <w:rFonts w:hint="eastAsia" w:ascii="宋体" w:hAnsi="宋体" w:cs="宋体"/>
                <w:b/>
                <w:bCs/>
                <w:spacing w:val="7"/>
                <w:highlight w:val="none"/>
              </w:rPr>
              <w:t>八、违约责任及处罚</w:t>
            </w:r>
          </w:p>
        </w:tc>
        <w:tc>
          <w:tcPr>
            <w:tcW w:w="8158" w:type="dxa"/>
            <w:gridSpan w:val="3"/>
            <w:noWrap/>
            <w:tcMar>
              <w:top w:w="0" w:type="dxa"/>
              <w:left w:w="108" w:type="dxa"/>
              <w:bottom w:w="0" w:type="dxa"/>
              <w:right w:w="108" w:type="dxa"/>
            </w:tcMar>
          </w:tcPr>
          <w:p w14:paraId="6A492F6C">
            <w:pPr>
              <w:spacing w:line="360" w:lineRule="auto"/>
              <w:ind w:firstLine="420" w:firstLineChars="200"/>
              <w:jc w:val="left"/>
              <w:rPr>
                <w:rFonts w:ascii="宋体" w:hAnsi="宋体" w:cs="宋体"/>
                <w:highlight w:val="none"/>
              </w:rPr>
            </w:pPr>
            <w:r>
              <w:rPr>
                <w:rFonts w:hint="eastAsia" w:ascii="宋体" w:hAnsi="宋体" w:cs="宋体"/>
                <w:highlight w:val="none"/>
              </w:rPr>
              <w:t>供货商如有以下情形之一的，由城区教育局书面通知供货商，取消供货资格，并且三年内不得参与青秀区学校食堂食品原材料采购和配送。</w:t>
            </w:r>
          </w:p>
          <w:p w14:paraId="7FDF014D">
            <w:pPr>
              <w:spacing w:line="360" w:lineRule="auto"/>
              <w:ind w:firstLine="420" w:firstLineChars="200"/>
              <w:jc w:val="left"/>
              <w:rPr>
                <w:rFonts w:ascii="宋体" w:hAnsi="宋体" w:cs="宋体"/>
                <w:highlight w:val="none"/>
              </w:rPr>
            </w:pPr>
            <w:r>
              <w:rPr>
                <w:rFonts w:hint="eastAsia" w:ascii="宋体" w:hAnsi="宋体" w:cs="宋体"/>
                <w:highlight w:val="none"/>
              </w:rPr>
              <w:t>（一）有违法违规行为，被食品安全监管部门或其他部门处罚的；</w:t>
            </w:r>
          </w:p>
          <w:p w14:paraId="20D0843A">
            <w:pPr>
              <w:spacing w:line="360" w:lineRule="auto"/>
              <w:ind w:firstLine="420" w:firstLineChars="200"/>
              <w:jc w:val="left"/>
              <w:rPr>
                <w:rFonts w:ascii="宋体" w:hAnsi="宋体" w:cs="宋体"/>
                <w:highlight w:val="none"/>
              </w:rPr>
            </w:pPr>
            <w:r>
              <w:rPr>
                <w:rFonts w:hint="eastAsia" w:ascii="宋体" w:hAnsi="宋体" w:cs="宋体"/>
                <w:highlight w:val="none"/>
              </w:rPr>
              <w:t>（二）虚开发票，套取资金，被纪委监委、审计、财政、物价、教育等有关部门查实的；</w:t>
            </w:r>
          </w:p>
          <w:p w14:paraId="4D2BE1AE">
            <w:pPr>
              <w:spacing w:line="360" w:lineRule="auto"/>
              <w:ind w:firstLine="420" w:firstLineChars="200"/>
              <w:jc w:val="left"/>
              <w:rPr>
                <w:rFonts w:ascii="宋体" w:hAnsi="宋体" w:cs="宋体"/>
                <w:highlight w:val="none"/>
              </w:rPr>
            </w:pPr>
            <w:r>
              <w:rPr>
                <w:rFonts w:hint="eastAsia" w:ascii="宋体" w:hAnsi="宋体" w:cs="宋体"/>
                <w:highlight w:val="none"/>
              </w:rPr>
              <w:t>（三）因食品原材料问题而发生学校食品安全事故，造成不良后果的；</w:t>
            </w:r>
          </w:p>
          <w:p w14:paraId="4E53A851">
            <w:pPr>
              <w:spacing w:line="360" w:lineRule="auto"/>
              <w:ind w:firstLine="420" w:firstLineChars="200"/>
              <w:jc w:val="left"/>
              <w:rPr>
                <w:rFonts w:ascii="宋体" w:hAnsi="宋体" w:cs="宋体"/>
                <w:highlight w:val="none"/>
              </w:rPr>
            </w:pPr>
            <w:r>
              <w:rPr>
                <w:rFonts w:hint="eastAsia" w:ascii="宋体" w:hAnsi="宋体" w:cs="宋体"/>
                <w:highlight w:val="none"/>
              </w:rPr>
              <w:t>（四）被市场监督管理局、农业农村局抽检食品原材料发现存在严重质量问题的；</w:t>
            </w:r>
          </w:p>
          <w:p w14:paraId="383C0A84">
            <w:pPr>
              <w:spacing w:line="360" w:lineRule="auto"/>
              <w:ind w:firstLine="420" w:firstLineChars="200"/>
              <w:jc w:val="left"/>
              <w:rPr>
                <w:rFonts w:ascii="宋体" w:hAnsi="宋体" w:cs="宋体"/>
                <w:highlight w:val="none"/>
              </w:rPr>
            </w:pPr>
            <w:r>
              <w:rPr>
                <w:rFonts w:hint="eastAsia" w:ascii="宋体" w:hAnsi="宋体" w:cs="宋体"/>
                <w:highlight w:val="none"/>
              </w:rPr>
              <w:t>（五）被吊销或注销食品生产许可证或者食品经营（或食品流通）许可证的，</w:t>
            </w:r>
          </w:p>
          <w:p w14:paraId="7F4892A2">
            <w:pPr>
              <w:spacing w:line="360" w:lineRule="auto"/>
              <w:ind w:firstLine="420" w:firstLineChars="200"/>
              <w:jc w:val="left"/>
              <w:rPr>
                <w:rFonts w:ascii="宋体" w:hAnsi="宋体" w:cs="宋体"/>
                <w:highlight w:val="none"/>
              </w:rPr>
            </w:pPr>
            <w:r>
              <w:rPr>
                <w:rFonts w:hint="eastAsia" w:ascii="宋体" w:hAnsi="宋体" w:cs="宋体"/>
                <w:highlight w:val="none"/>
              </w:rPr>
              <w:t>（六）经查实，存在严重短斤缺两行为的；</w:t>
            </w:r>
          </w:p>
          <w:p w14:paraId="23A47163">
            <w:pPr>
              <w:spacing w:line="360" w:lineRule="auto"/>
              <w:ind w:firstLine="420" w:firstLineChars="200"/>
              <w:jc w:val="left"/>
              <w:rPr>
                <w:rFonts w:ascii="宋体" w:hAnsi="宋体" w:cs="宋体"/>
                <w:highlight w:val="none"/>
              </w:rPr>
            </w:pPr>
            <w:r>
              <w:rPr>
                <w:rFonts w:hint="eastAsia" w:ascii="宋体" w:hAnsi="宋体" w:cs="宋体"/>
                <w:highlight w:val="none"/>
              </w:rPr>
              <w:t>（七）存在转包发包行为的；</w:t>
            </w:r>
          </w:p>
          <w:p w14:paraId="01E732A8">
            <w:pPr>
              <w:spacing w:line="360" w:lineRule="auto"/>
              <w:ind w:firstLine="420" w:firstLineChars="200"/>
              <w:jc w:val="left"/>
              <w:rPr>
                <w:rFonts w:ascii="宋体" w:hAnsi="宋体" w:cs="宋体"/>
                <w:highlight w:val="none"/>
              </w:rPr>
            </w:pPr>
            <w:r>
              <w:rPr>
                <w:rFonts w:hint="eastAsia" w:ascii="宋体" w:hAnsi="宋体" w:cs="宋体"/>
                <w:highlight w:val="none"/>
              </w:rPr>
              <w:t>（八）违反学校食堂食品原材料采购配送规定，上级主管部门认定应退出的；</w:t>
            </w:r>
          </w:p>
        </w:tc>
      </w:tr>
      <w:tr w14:paraId="53E5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784" w:type="dxa"/>
            <w:gridSpan w:val="3"/>
            <w:noWrap/>
            <w:tcMar>
              <w:top w:w="0" w:type="dxa"/>
              <w:left w:w="108" w:type="dxa"/>
              <w:bottom w:w="0" w:type="dxa"/>
              <w:right w:w="108" w:type="dxa"/>
            </w:tcMar>
            <w:vAlign w:val="center"/>
          </w:tcPr>
          <w:p w14:paraId="299EC36F">
            <w:pPr>
              <w:spacing w:line="360" w:lineRule="auto"/>
              <w:jc w:val="center"/>
              <w:rPr>
                <w:rFonts w:ascii="宋体" w:hAnsi="宋体" w:cs="宋体"/>
                <w:b/>
                <w:szCs w:val="21"/>
                <w:highlight w:val="none"/>
              </w:rPr>
            </w:pPr>
            <w:r>
              <w:rPr>
                <w:rFonts w:hint="eastAsia" w:ascii="宋体" w:hAnsi="宋体" w:cs="宋体"/>
                <w:b/>
                <w:szCs w:val="21"/>
                <w:highlight w:val="none"/>
              </w:rPr>
              <w:t>▲</w:t>
            </w:r>
            <w:r>
              <w:rPr>
                <w:rFonts w:hint="eastAsia" w:ascii="宋体" w:hAnsi="宋体" w:cs="宋体"/>
                <w:b/>
                <w:bCs/>
                <w:spacing w:val="7"/>
                <w:highlight w:val="none"/>
              </w:rPr>
              <w:t>九、验收标准</w:t>
            </w:r>
          </w:p>
        </w:tc>
        <w:tc>
          <w:tcPr>
            <w:tcW w:w="8158" w:type="dxa"/>
            <w:gridSpan w:val="3"/>
            <w:noWrap/>
            <w:tcMar>
              <w:top w:w="0" w:type="dxa"/>
              <w:left w:w="108" w:type="dxa"/>
              <w:bottom w:w="0" w:type="dxa"/>
              <w:right w:w="108" w:type="dxa"/>
            </w:tcMar>
          </w:tcPr>
          <w:p w14:paraId="474FC0C1">
            <w:pPr>
              <w:spacing w:line="360" w:lineRule="auto"/>
              <w:rPr>
                <w:rFonts w:ascii="宋体" w:hAnsi="宋体" w:cs="宋体"/>
                <w:highlight w:val="none"/>
              </w:rPr>
            </w:pPr>
            <w:r>
              <w:rPr>
                <w:rFonts w:hint="eastAsia" w:ascii="宋体" w:hAnsi="宋体" w:cs="宋体"/>
                <w:highlight w:val="none"/>
              </w:rPr>
              <w:t>物料的验收工作由征集人和供应商共同进行。供应商提供的产品须经过采购人指定人的感官检验、外观检验和试用检验，若产品外观、包装、形式不符合要求、感官检验不能达到食品卫生要求，当即拒收；供应商不能满足食品的质、量及售后服务要求时，采购人有权进行处罚。</w:t>
            </w:r>
          </w:p>
          <w:p w14:paraId="6B3B35AE">
            <w:pPr>
              <w:spacing w:line="360" w:lineRule="auto"/>
              <w:rPr>
                <w:rFonts w:ascii="宋体" w:hAnsi="宋体" w:cs="宋体"/>
                <w:highlight w:val="none"/>
              </w:rPr>
            </w:pPr>
            <w:r>
              <w:rPr>
                <w:rFonts w:hint="eastAsia" w:ascii="宋体" w:hAnsi="宋体" w:cs="宋体"/>
                <w:highlight w:val="none"/>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5FEBA11F">
            <w:pPr>
              <w:spacing w:line="360" w:lineRule="auto"/>
              <w:rPr>
                <w:rFonts w:ascii="宋体" w:hAnsi="宋体" w:cs="宋体"/>
                <w:highlight w:val="none"/>
              </w:rPr>
            </w:pPr>
            <w:r>
              <w:rPr>
                <w:rFonts w:hint="eastAsia" w:ascii="宋体" w:hAnsi="宋体" w:cs="宋体"/>
                <w:highlight w:val="none"/>
              </w:rPr>
              <w:t>来货量大于订货量时按订货量验收，来货量小于订货量85%，则告知供应商必须在1小时内补齐，若无法补齐数量，则在当月货款扣减缺货金额，并按缺货金额的10%在当月货款中进行扣罚。</w:t>
            </w:r>
          </w:p>
          <w:p w14:paraId="3A574905">
            <w:pPr>
              <w:spacing w:line="360" w:lineRule="auto"/>
              <w:rPr>
                <w:rFonts w:ascii="宋体" w:hAnsi="宋体" w:cs="宋体"/>
                <w:highlight w:val="none"/>
              </w:rPr>
            </w:pPr>
            <w:r>
              <w:rPr>
                <w:rFonts w:hint="eastAsia" w:ascii="宋体" w:hAnsi="宋体" w:cs="宋体"/>
                <w:highlight w:val="none"/>
              </w:rPr>
              <w:t>（一）肉类及副食品主要商品验收要求（包括但不限于以下内容）：</w:t>
            </w:r>
          </w:p>
          <w:p w14:paraId="0095730A">
            <w:pPr>
              <w:spacing w:line="360" w:lineRule="auto"/>
              <w:rPr>
                <w:rFonts w:ascii="宋体" w:hAnsi="宋体" w:cs="宋体"/>
                <w:highlight w:val="none"/>
              </w:rPr>
            </w:pPr>
            <w:r>
              <w:rPr>
                <w:rFonts w:hint="eastAsia" w:ascii="宋体" w:hAnsi="宋体" w:cs="宋体"/>
                <w:highlight w:val="none"/>
              </w:rPr>
              <w:t>①所有肉类必须符合国家有关标准，保证无异味、无霉烂变质。肉类供货时需提供当批次有效的动物产品检疫合格证。</w:t>
            </w:r>
          </w:p>
          <w:p w14:paraId="580B9DB8">
            <w:pPr>
              <w:spacing w:line="360" w:lineRule="auto"/>
              <w:rPr>
                <w:rFonts w:ascii="宋体" w:hAnsi="宋体" w:cs="宋体"/>
                <w:highlight w:val="none"/>
              </w:rPr>
            </w:pPr>
            <w:r>
              <w:rPr>
                <w:rFonts w:hint="eastAsia" w:ascii="宋体" w:hAnsi="宋体" w:cs="宋体"/>
                <w:highlight w:val="none"/>
              </w:rPr>
              <w:t>②肉类生产企业的资质证明（首次供应时提供）：《企业法人营业执照》、《动物防疫合格证》、《食品经营许可证》。</w:t>
            </w:r>
          </w:p>
          <w:p w14:paraId="40BE6140">
            <w:pPr>
              <w:spacing w:line="360" w:lineRule="auto"/>
              <w:rPr>
                <w:rFonts w:ascii="宋体" w:hAnsi="宋体" w:cs="宋体"/>
                <w:highlight w:val="none"/>
              </w:rPr>
            </w:pPr>
            <w:r>
              <w:rPr>
                <w:rFonts w:hint="eastAsia" w:ascii="宋体" w:hAnsi="宋体" w:cs="宋体"/>
                <w:highlight w:val="none"/>
              </w:rPr>
              <w:t>③色泽：肌肉有光泽,红色均匀，脂肪乳白色，肌肉有光泽，红色或稍暗，脂肪白色。</w:t>
            </w:r>
          </w:p>
          <w:p w14:paraId="33C74FC1">
            <w:pPr>
              <w:spacing w:line="360" w:lineRule="auto"/>
              <w:rPr>
                <w:rFonts w:ascii="宋体" w:hAnsi="宋体" w:cs="宋体"/>
                <w:highlight w:val="none"/>
              </w:rPr>
            </w:pPr>
            <w:r>
              <w:rPr>
                <w:rFonts w:hint="eastAsia" w:ascii="宋体" w:hAnsi="宋体" w:cs="宋体"/>
                <w:highlight w:val="none"/>
              </w:rPr>
              <w:t>④组织状态：纤维清晰，有坚韧性，指压后凹陷立即恢复，肉质紧密，有坚韧性。</w:t>
            </w:r>
          </w:p>
          <w:p w14:paraId="365C63BE">
            <w:pPr>
              <w:spacing w:line="360" w:lineRule="auto"/>
              <w:rPr>
                <w:rFonts w:ascii="宋体" w:hAnsi="宋体" w:cs="宋体"/>
                <w:highlight w:val="none"/>
              </w:rPr>
            </w:pPr>
            <w:r>
              <w:rPr>
                <w:rFonts w:hint="eastAsia" w:ascii="宋体" w:hAnsi="宋体" w:cs="宋体"/>
                <w:highlight w:val="none"/>
              </w:rPr>
              <w:t>⑤粘度：外表湿润，不粘手，外表湿润，切面有渗出液，不粘手。</w:t>
            </w:r>
          </w:p>
          <w:p w14:paraId="59D5ACF4">
            <w:pPr>
              <w:spacing w:line="360" w:lineRule="auto"/>
              <w:rPr>
                <w:rFonts w:ascii="宋体" w:hAnsi="宋体" w:cs="宋体"/>
                <w:highlight w:val="none"/>
              </w:rPr>
            </w:pPr>
            <w:r>
              <w:rPr>
                <w:rFonts w:hint="eastAsia" w:ascii="宋体" w:hAnsi="宋体" w:cs="宋体"/>
                <w:highlight w:val="none"/>
              </w:rPr>
              <w:t>⑥气味：具有鲜肉固有的气味，无异味，煮沸后肉汤，澄清透明，脂肪团聚于表面，澄清透明或稍有浑浊，脂肪团聚于表面。</w:t>
            </w:r>
          </w:p>
          <w:p w14:paraId="57A3C431">
            <w:pPr>
              <w:spacing w:line="360" w:lineRule="auto"/>
              <w:rPr>
                <w:rFonts w:ascii="宋体" w:hAnsi="宋体" w:cs="宋体"/>
                <w:highlight w:val="none"/>
              </w:rPr>
            </w:pPr>
            <w:r>
              <w:rPr>
                <w:rFonts w:hint="eastAsia" w:ascii="宋体" w:hAnsi="宋体" w:cs="宋体"/>
                <w:highlight w:val="none"/>
              </w:rPr>
              <w:t>⑦鲜肉类需是当日（24小时内）屠宰。</w:t>
            </w:r>
          </w:p>
          <w:p w14:paraId="0768769D">
            <w:pPr>
              <w:spacing w:line="360" w:lineRule="auto"/>
              <w:rPr>
                <w:rFonts w:ascii="宋体" w:hAnsi="宋体" w:cs="宋体"/>
                <w:highlight w:val="none"/>
              </w:rPr>
            </w:pPr>
            <w:r>
              <w:rPr>
                <w:rFonts w:hint="eastAsia" w:ascii="宋体" w:hAnsi="宋体" w:cs="宋体"/>
                <w:highlight w:val="none"/>
              </w:rPr>
              <w:t>（二）食用油品质要求：</w:t>
            </w:r>
          </w:p>
          <w:p w14:paraId="095356A7">
            <w:pPr>
              <w:spacing w:line="360" w:lineRule="auto"/>
              <w:rPr>
                <w:rFonts w:ascii="宋体" w:hAnsi="宋体" w:cs="宋体"/>
                <w:highlight w:val="none"/>
              </w:rPr>
            </w:pPr>
            <w:r>
              <w:rPr>
                <w:rFonts w:hint="eastAsia" w:ascii="宋体" w:hAnsi="宋体" w:cs="宋体"/>
                <w:highlight w:val="none"/>
              </w:rPr>
              <w:t>①基本要求：外包装完好，标明品名、厂名、重量、生产日期、保质期或保存期、执行标准，剩余保质期不少于70%，具有产品合格证。具有正常植物油的色泽、透明度、气味和滋味，无焦臭、酸败及其他异味。</w:t>
            </w:r>
          </w:p>
          <w:p w14:paraId="20C72CC5">
            <w:pPr>
              <w:spacing w:line="360" w:lineRule="auto"/>
              <w:rPr>
                <w:rFonts w:ascii="宋体" w:hAnsi="宋体" w:cs="宋体"/>
                <w:highlight w:val="none"/>
              </w:rPr>
            </w:pPr>
            <w:r>
              <w:rPr>
                <w:rFonts w:hint="eastAsia" w:ascii="宋体" w:hAnsi="宋体" w:cs="宋体"/>
                <w:highlight w:val="none"/>
              </w:rPr>
              <w:t>②食用油生产企业的资质证明（首次供应时提供）：《企业法人营业执照》。</w:t>
            </w:r>
          </w:p>
          <w:p w14:paraId="4CD65C45">
            <w:pPr>
              <w:spacing w:line="360" w:lineRule="auto"/>
              <w:rPr>
                <w:rFonts w:ascii="宋体" w:hAnsi="宋体" w:cs="宋体"/>
                <w:highlight w:val="none"/>
              </w:rPr>
            </w:pPr>
            <w:r>
              <w:rPr>
                <w:rFonts w:hint="eastAsia" w:ascii="宋体" w:hAnsi="宋体" w:cs="宋体"/>
                <w:highlight w:val="none"/>
              </w:rPr>
              <w:t>③气味、滋味：具有固有的气味和滋味，无异味。</w:t>
            </w:r>
          </w:p>
          <w:p w14:paraId="265DE8EE">
            <w:pPr>
              <w:spacing w:line="360" w:lineRule="auto"/>
              <w:rPr>
                <w:rFonts w:ascii="宋体" w:hAnsi="宋体" w:cs="宋体"/>
                <w:highlight w:val="none"/>
              </w:rPr>
            </w:pPr>
            <w:r>
              <w:rPr>
                <w:rFonts w:hint="eastAsia" w:ascii="宋体" w:hAnsi="宋体" w:cs="宋体"/>
                <w:highlight w:val="none"/>
              </w:rPr>
              <w:t>④加热试验（280℃)油色不得变深，无析出物。</w:t>
            </w:r>
          </w:p>
          <w:p w14:paraId="41665E3E">
            <w:pPr>
              <w:spacing w:line="360" w:lineRule="auto"/>
              <w:rPr>
                <w:rFonts w:ascii="宋体" w:hAnsi="宋体" w:cs="宋体"/>
                <w:highlight w:val="none"/>
              </w:rPr>
            </w:pPr>
            <w:r>
              <w:rPr>
                <w:rFonts w:hint="eastAsia" w:ascii="宋体" w:hAnsi="宋体" w:cs="宋体"/>
                <w:highlight w:val="none"/>
              </w:rPr>
              <w:t>⑤不得混有其他食用油或非食用油。</w:t>
            </w:r>
          </w:p>
          <w:p w14:paraId="1995B1DA">
            <w:pPr>
              <w:spacing w:line="360" w:lineRule="auto"/>
              <w:rPr>
                <w:rFonts w:ascii="宋体" w:hAnsi="宋体" w:cs="宋体"/>
                <w:highlight w:val="none"/>
              </w:rPr>
            </w:pPr>
            <w:r>
              <w:rPr>
                <w:rFonts w:hint="eastAsia" w:ascii="宋体" w:hAnsi="宋体" w:cs="宋体"/>
                <w:highlight w:val="none"/>
              </w:rPr>
              <w:t>⑥卫生标准和动植物检疫项目，按照国家有关规定执行。</w:t>
            </w:r>
          </w:p>
          <w:p w14:paraId="4A9552A7">
            <w:pPr>
              <w:spacing w:line="360" w:lineRule="auto"/>
              <w:rPr>
                <w:rFonts w:ascii="宋体" w:hAnsi="宋体" w:cs="宋体"/>
                <w:highlight w:val="none"/>
              </w:rPr>
            </w:pPr>
            <w:r>
              <w:rPr>
                <w:rFonts w:hint="eastAsia" w:ascii="宋体" w:hAnsi="宋体" w:cs="宋体"/>
                <w:highlight w:val="none"/>
              </w:rPr>
              <w:t>（三）大米质量标准和要求的：</w:t>
            </w:r>
          </w:p>
          <w:p w14:paraId="1C0D2220">
            <w:pPr>
              <w:spacing w:line="360" w:lineRule="auto"/>
              <w:rPr>
                <w:rFonts w:ascii="宋体" w:hAnsi="宋体" w:cs="宋体"/>
                <w:highlight w:val="none"/>
              </w:rPr>
            </w:pPr>
            <w:r>
              <w:rPr>
                <w:rFonts w:hint="eastAsia" w:ascii="宋体" w:hAnsi="宋体" w:cs="宋体"/>
                <w:highlight w:val="none"/>
              </w:rPr>
              <w:t>①标明加工厂名称、品名、生产日期、保持期或保存期，供货时的剩余保质期不少于70%，质量等级、产品标准号、产品合格证，质量符合大米国家标准（GB1354）与粮食卫生标准的分析方法（GB/T5009.36）。</w:t>
            </w:r>
          </w:p>
          <w:p w14:paraId="78B7FA63">
            <w:pPr>
              <w:spacing w:line="360" w:lineRule="auto"/>
              <w:rPr>
                <w:rFonts w:ascii="宋体" w:hAnsi="宋体" w:cs="宋体"/>
                <w:highlight w:val="none"/>
              </w:rPr>
            </w:pPr>
            <w:r>
              <w:rPr>
                <w:rFonts w:hint="eastAsia" w:ascii="宋体" w:hAnsi="宋体" w:cs="宋体"/>
                <w:highlight w:val="none"/>
              </w:rPr>
              <w:t>②具有固有色泽和香味，无污染、无虫害，色泽、气味、口味正常，无异味或霉味（霉变），无虫蛀结块挂丝或杂质异物等，符合国家粮食卫生标准。</w:t>
            </w:r>
          </w:p>
          <w:p w14:paraId="6386FEC6">
            <w:pPr>
              <w:spacing w:line="360" w:lineRule="auto"/>
              <w:rPr>
                <w:rFonts w:ascii="宋体" w:hAnsi="宋体" w:cs="宋体"/>
                <w:highlight w:val="none"/>
              </w:rPr>
            </w:pPr>
            <w:r>
              <w:rPr>
                <w:rFonts w:hint="eastAsia" w:ascii="宋体" w:hAnsi="宋体" w:cs="宋体"/>
                <w:highlight w:val="none"/>
              </w:rPr>
              <w:t>（四）蔬果商品验收要求（包括但不限于以下内容）：</w:t>
            </w:r>
          </w:p>
          <w:p w14:paraId="2A72A22F">
            <w:pPr>
              <w:spacing w:line="360" w:lineRule="auto"/>
              <w:rPr>
                <w:rFonts w:ascii="宋体" w:hAnsi="宋体" w:cs="宋体"/>
                <w:highlight w:val="none"/>
              </w:rPr>
            </w:pPr>
            <w:r>
              <w:rPr>
                <w:rFonts w:hint="eastAsia" w:ascii="宋体" w:hAnsi="宋体" w:cs="宋体"/>
                <w:highlight w:val="none"/>
              </w:rPr>
              <w:t>①所有蔬果必须符合国家有关标准，保证新鲜、无异味、无霉烂变质。</w:t>
            </w:r>
          </w:p>
          <w:p w14:paraId="67A73941">
            <w:pPr>
              <w:spacing w:line="360" w:lineRule="auto"/>
              <w:rPr>
                <w:rFonts w:ascii="宋体" w:hAnsi="宋体" w:cs="宋体"/>
                <w:highlight w:val="none"/>
              </w:rPr>
            </w:pPr>
            <w:r>
              <w:rPr>
                <w:rFonts w:hint="eastAsia" w:ascii="宋体" w:hAnsi="宋体" w:cs="宋体"/>
                <w:highlight w:val="none"/>
              </w:rPr>
              <w:t>②所有蔬果必须保证食用安全，绝无农药等有害物质的留存。</w:t>
            </w:r>
          </w:p>
          <w:p w14:paraId="6A2F6D7D">
            <w:pPr>
              <w:spacing w:line="360" w:lineRule="auto"/>
              <w:rPr>
                <w:rFonts w:ascii="宋体" w:hAnsi="宋体" w:cs="宋体"/>
                <w:highlight w:val="none"/>
              </w:rPr>
            </w:pPr>
            <w:r>
              <w:rPr>
                <w:rFonts w:hint="eastAsia" w:ascii="宋体" w:hAnsi="宋体" w:cs="宋体"/>
                <w:highlight w:val="none"/>
              </w:rPr>
              <w:t>③所有蔬果在交付采购人指定人前须经过前期处理，交付蔬果的使用率达到95%以上。</w:t>
            </w:r>
          </w:p>
          <w:p w14:paraId="22D801E6">
            <w:pPr>
              <w:spacing w:line="360" w:lineRule="auto"/>
              <w:rPr>
                <w:rFonts w:ascii="宋体" w:hAnsi="宋体" w:cs="宋体"/>
                <w:highlight w:val="none"/>
              </w:rPr>
            </w:pPr>
            <w:r>
              <w:rPr>
                <w:rFonts w:hint="eastAsia" w:ascii="宋体" w:hAnsi="宋体" w:cs="宋体"/>
                <w:highlight w:val="none"/>
              </w:rPr>
              <w:t>（五）牛奶、果汁等验收要求（包括但不限于以下内容）：</w:t>
            </w:r>
          </w:p>
          <w:p w14:paraId="2BE74C58">
            <w:pPr>
              <w:spacing w:line="360" w:lineRule="auto"/>
              <w:rPr>
                <w:rFonts w:ascii="宋体" w:hAnsi="宋体" w:cs="宋体"/>
                <w:highlight w:val="none"/>
              </w:rPr>
            </w:pPr>
            <w:r>
              <w:rPr>
                <w:rFonts w:hint="eastAsia" w:ascii="宋体" w:hAnsi="宋体" w:cs="宋体"/>
                <w:highlight w:val="none"/>
              </w:rPr>
              <w:t>①所有牛奶、果汁必须符合国家有关标准，保证外包装完好，标明营养成分、配料、产品标准号、保质期、生产日期，剩余保质期不少于70%。</w:t>
            </w:r>
          </w:p>
          <w:p w14:paraId="68B30F5C">
            <w:pPr>
              <w:spacing w:line="360" w:lineRule="auto"/>
              <w:rPr>
                <w:rFonts w:ascii="宋体" w:hAnsi="宋体" w:cs="宋体"/>
                <w:highlight w:val="none"/>
              </w:rPr>
            </w:pPr>
            <w:r>
              <w:rPr>
                <w:rFonts w:hint="eastAsia" w:ascii="宋体" w:hAnsi="宋体" w:cs="宋体"/>
                <w:highlight w:val="none"/>
              </w:rPr>
              <w:t>②所有牛奶质量符合食品安全国家标准灭菌乳（GB25190），果汁质量符合食品安全国家标准饮料（GB7101）。</w:t>
            </w:r>
          </w:p>
          <w:p w14:paraId="0275768C">
            <w:pPr>
              <w:spacing w:line="360" w:lineRule="auto"/>
              <w:rPr>
                <w:rFonts w:ascii="宋体" w:hAnsi="宋体" w:cs="宋体"/>
                <w:highlight w:val="none"/>
              </w:rPr>
            </w:pPr>
            <w:r>
              <w:rPr>
                <w:rFonts w:hint="eastAsia" w:ascii="宋体" w:hAnsi="宋体" w:cs="宋体"/>
                <w:highlight w:val="none"/>
              </w:rPr>
              <w:t>（六）蛋类验收要求：</w:t>
            </w:r>
          </w:p>
          <w:p w14:paraId="39CE0E68">
            <w:pPr>
              <w:spacing w:line="360" w:lineRule="auto"/>
              <w:rPr>
                <w:rFonts w:ascii="宋体" w:hAnsi="宋体" w:cs="宋体"/>
                <w:highlight w:val="none"/>
              </w:rPr>
            </w:pPr>
            <w:r>
              <w:rPr>
                <w:rFonts w:hint="eastAsia" w:ascii="宋体" w:hAnsi="宋体" w:cs="宋体"/>
                <w:highlight w:val="none"/>
              </w:rPr>
              <w:t>蛋壳颜色清爽，清洁干净，不得有过量粪便和毛。质量符合《GB/T34262》蛋与蛋制品术语和分类》《GB2749》食品安全国家标准蛋与蛋制品》《GB23200.115》食品安全国家标准鸡蛋中氟虫腈及其代谢物残留量的测定液相色谱-质谱联用法》《GB217106》食品安全国家标准蛋与蛋制品生产卫生规范》等国家标准。</w:t>
            </w:r>
          </w:p>
          <w:p w14:paraId="49D76A70">
            <w:pPr>
              <w:spacing w:line="360" w:lineRule="auto"/>
              <w:rPr>
                <w:rFonts w:ascii="宋体" w:hAnsi="宋体" w:cs="宋体"/>
                <w:highlight w:val="none"/>
              </w:rPr>
            </w:pPr>
            <w:r>
              <w:rPr>
                <w:rFonts w:hint="eastAsia" w:ascii="宋体" w:hAnsi="宋体" w:cs="宋体"/>
                <w:highlight w:val="none"/>
              </w:rPr>
              <w:t>（七）其他类（香菇、木耳、蘑菇、红枣等）验收要求：</w:t>
            </w:r>
          </w:p>
          <w:p w14:paraId="2DA2BF9B">
            <w:pPr>
              <w:spacing w:line="360" w:lineRule="auto"/>
              <w:rPr>
                <w:rFonts w:ascii="宋体" w:hAnsi="宋体" w:cs="宋体"/>
                <w:highlight w:val="none"/>
              </w:rPr>
            </w:pPr>
            <w:r>
              <w:rPr>
                <w:rFonts w:hint="eastAsia" w:ascii="宋体" w:hAnsi="宋体" w:cs="宋体"/>
                <w:highlight w:val="none"/>
              </w:rPr>
              <w:t>所有其他类必须符合国家有关标准，保证外包装完好，标明营养成分、配料、产品标准号、保质期、生产日期，剩余保质期不少于70%。</w:t>
            </w:r>
          </w:p>
          <w:p w14:paraId="03F8D8FA">
            <w:pPr>
              <w:spacing w:line="360" w:lineRule="auto"/>
              <w:rPr>
                <w:rFonts w:ascii="宋体" w:hAnsi="宋体" w:cs="宋体"/>
                <w:highlight w:val="none"/>
              </w:rPr>
            </w:pPr>
            <w:r>
              <w:rPr>
                <w:rFonts w:hint="eastAsia" w:ascii="宋体" w:hAnsi="宋体" w:cs="宋体"/>
                <w:highlight w:val="none"/>
              </w:rPr>
              <w:t>（八）上述健康指标及要求需符合国卫办食品函〔2021〕316号文，《营养与健康学校建设指南》的要求。</w:t>
            </w:r>
          </w:p>
          <w:p w14:paraId="65DFEAA0">
            <w:pPr>
              <w:spacing w:line="360" w:lineRule="auto"/>
              <w:rPr>
                <w:rFonts w:ascii="宋体" w:hAnsi="宋体" w:cs="宋体"/>
                <w:highlight w:val="none"/>
              </w:rPr>
            </w:pPr>
            <w:r>
              <w:rPr>
                <w:rFonts w:hint="eastAsia" w:ascii="宋体" w:hAnsi="宋体" w:cs="宋体"/>
                <w:highlight w:val="none"/>
              </w:rPr>
              <w:t>（九）采购文件中</w:t>
            </w:r>
            <w:r>
              <w:rPr>
                <w:rFonts w:hint="eastAsia" w:ascii="宋体" w:hAnsi="宋体" w:cs="宋体"/>
                <w:szCs w:val="21"/>
                <w:highlight w:val="none"/>
              </w:rPr>
              <w:t>所涉及国标标准代号的以最新的国标文件的标准为准。</w:t>
            </w:r>
          </w:p>
        </w:tc>
      </w:tr>
      <w:tr w14:paraId="145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784" w:type="dxa"/>
            <w:gridSpan w:val="3"/>
            <w:noWrap/>
            <w:tcMar>
              <w:top w:w="0" w:type="dxa"/>
              <w:left w:w="108" w:type="dxa"/>
              <w:bottom w:w="0" w:type="dxa"/>
              <w:right w:w="108" w:type="dxa"/>
            </w:tcMar>
            <w:vAlign w:val="center"/>
          </w:tcPr>
          <w:p w14:paraId="7EABC63E">
            <w:pPr>
              <w:spacing w:line="360" w:lineRule="auto"/>
              <w:jc w:val="center"/>
              <w:rPr>
                <w:rFonts w:ascii="宋体" w:hAnsi="宋体" w:cs="宋体"/>
                <w:b/>
                <w:bCs/>
                <w:spacing w:val="7"/>
                <w:highlight w:val="none"/>
              </w:rPr>
            </w:pPr>
            <w:r>
              <w:rPr>
                <w:rFonts w:hint="eastAsia" w:ascii="宋体" w:hAnsi="宋体" w:cs="宋体"/>
                <w:b/>
                <w:szCs w:val="21"/>
                <w:highlight w:val="none"/>
              </w:rPr>
              <w:t>▲</w:t>
            </w:r>
            <w:r>
              <w:rPr>
                <w:rFonts w:hint="eastAsia" w:ascii="宋体" w:hAnsi="宋体" w:cs="宋体"/>
                <w:b/>
                <w:bCs/>
                <w:spacing w:val="7"/>
                <w:highlight w:val="none"/>
              </w:rPr>
              <w:t>九、其他要求</w:t>
            </w:r>
          </w:p>
        </w:tc>
        <w:tc>
          <w:tcPr>
            <w:tcW w:w="8158" w:type="dxa"/>
            <w:gridSpan w:val="3"/>
            <w:noWrap/>
            <w:tcMar>
              <w:top w:w="0" w:type="dxa"/>
              <w:left w:w="108" w:type="dxa"/>
              <w:bottom w:w="0" w:type="dxa"/>
              <w:right w:w="108" w:type="dxa"/>
            </w:tcMar>
          </w:tcPr>
          <w:p w14:paraId="5D19E82F">
            <w:pPr>
              <w:spacing w:line="360" w:lineRule="auto"/>
              <w:rPr>
                <w:rFonts w:ascii="宋体" w:hAnsi="宋体" w:cs="宋体"/>
                <w:highlight w:val="none"/>
              </w:rPr>
            </w:pPr>
            <w:r>
              <w:rPr>
                <w:rFonts w:hint="eastAsia" w:ascii="宋体" w:hAnsi="宋体" w:cs="宋体"/>
                <w:highlight w:val="none"/>
              </w:rPr>
              <w:t>1、采购人指定人与供应商在响应及履行合同过程中，必须遵守《中华人民共和国食品安全法》《中华人民共和国反不正当竞争法》《中华人民共和国消费者权益保障法》、《中华人民共和国民法典》及相关的国家法律、法规。</w:t>
            </w:r>
          </w:p>
          <w:p w14:paraId="53F12601">
            <w:pPr>
              <w:spacing w:line="360" w:lineRule="auto"/>
              <w:rPr>
                <w:rFonts w:ascii="宋体" w:hAnsi="宋体" w:cs="宋体"/>
                <w:highlight w:val="none"/>
              </w:rPr>
            </w:pPr>
            <w:r>
              <w:rPr>
                <w:rFonts w:hint="eastAsia" w:ascii="宋体" w:hAnsi="宋体" w:cs="宋体"/>
                <w:highlight w:val="none"/>
              </w:rPr>
              <w:t>3、本项目所指的货物及服务提及适用标准，应符合中华人民共和国国家最新标准或行业最新标准。</w:t>
            </w:r>
          </w:p>
          <w:p w14:paraId="156696FB">
            <w:pPr>
              <w:spacing w:line="360" w:lineRule="auto"/>
              <w:rPr>
                <w:rFonts w:ascii="宋体" w:hAnsi="宋体" w:cs="宋体"/>
                <w:highlight w:val="none"/>
              </w:rPr>
            </w:pPr>
            <w:r>
              <w:rPr>
                <w:rFonts w:hint="eastAsia" w:ascii="宋体" w:hAnsi="宋体" w:cs="宋体"/>
                <w:highlight w:val="none"/>
              </w:rPr>
              <w:t>4、供应商应充分理解并认真遵循本招标文件的要求，所提供的服务必须是满足征集文件要求。保证合同货品均为正规生产的新鲜（冰鲜除外）检验合格、无毒、无辐射、无侵权货品，符合国家有关卫生、质量、包装和保质标准，要使用有效期的货品，其剩余有效期不得少于标注有效期的80%。</w:t>
            </w:r>
          </w:p>
          <w:p w14:paraId="1F966EA1">
            <w:pPr>
              <w:spacing w:line="360" w:lineRule="auto"/>
              <w:rPr>
                <w:rFonts w:ascii="宋体" w:hAnsi="宋体" w:cs="宋体"/>
                <w:highlight w:val="none"/>
              </w:rPr>
            </w:pPr>
            <w:r>
              <w:rPr>
                <w:rFonts w:hint="eastAsia" w:ascii="宋体" w:hAnsi="宋体" w:cs="宋体"/>
                <w:highlight w:val="none"/>
              </w:rPr>
              <w:t>5、货物有包装的，货物的包装必须完整清洁（无损、无污、无皱），采购人指定人有权拒收包装不整齐、已拆封的商品。</w:t>
            </w:r>
          </w:p>
          <w:p w14:paraId="597D91CA">
            <w:pPr>
              <w:spacing w:line="360" w:lineRule="auto"/>
              <w:rPr>
                <w:rFonts w:ascii="宋体" w:hAnsi="宋体" w:cs="宋体"/>
                <w:highlight w:val="none"/>
              </w:rPr>
            </w:pPr>
            <w:r>
              <w:rPr>
                <w:rFonts w:hint="eastAsia" w:ascii="宋体" w:hAnsi="宋体" w:cs="宋体"/>
                <w:highlight w:val="none"/>
              </w:rPr>
              <w:t>6、采购人指定人发现商品出现损坏（包括表面损坏），或出现水渍、串味、受潮等导致货物性质改变的，中标人必须无条件退货或更换商品。</w:t>
            </w:r>
          </w:p>
          <w:p w14:paraId="298ACECE">
            <w:pPr>
              <w:spacing w:line="360" w:lineRule="auto"/>
              <w:rPr>
                <w:rFonts w:ascii="宋体" w:hAnsi="宋体" w:cs="宋体"/>
                <w:highlight w:val="none"/>
              </w:rPr>
            </w:pPr>
            <w:r>
              <w:rPr>
                <w:rFonts w:hint="eastAsia" w:ascii="宋体" w:hAnsi="宋体" w:cs="宋体"/>
                <w:highlight w:val="none"/>
              </w:rPr>
              <w:t>7、供应商保证所提供的鲜肉类、生禽、鲜水产的多样性和季节性，以保证新鲜感，并在响应文件中列出相关品目。</w:t>
            </w:r>
          </w:p>
          <w:p w14:paraId="06E6E49E">
            <w:pPr>
              <w:spacing w:line="360" w:lineRule="auto"/>
              <w:rPr>
                <w:rFonts w:ascii="宋体" w:hAnsi="宋体" w:cs="宋体"/>
                <w:highlight w:val="none"/>
              </w:rPr>
            </w:pPr>
            <w:r>
              <w:rPr>
                <w:rFonts w:hint="eastAsia" w:ascii="宋体" w:hAnsi="宋体" w:cs="宋体"/>
                <w:highlight w:val="none"/>
              </w:rPr>
              <w:t>8、供应商保证提供的肉均为定点屠宰厂（场）经检疫和肉品品质检验合格的产品。</w:t>
            </w:r>
          </w:p>
          <w:p w14:paraId="3D0D88F5">
            <w:pPr>
              <w:spacing w:line="360" w:lineRule="auto"/>
              <w:rPr>
                <w:rFonts w:ascii="宋体" w:hAnsi="宋体" w:cs="宋体"/>
                <w:highlight w:val="none"/>
              </w:rPr>
            </w:pPr>
            <w:r>
              <w:rPr>
                <w:rFonts w:hint="eastAsia" w:ascii="宋体" w:hAnsi="宋体" w:cs="宋体"/>
                <w:highlight w:val="none"/>
              </w:rPr>
              <w:t>9、具有由定点屠宰厂（场）加盖验讫印章并出具《畜产品检验证明》或《动物检疫合格证明》。</w:t>
            </w:r>
          </w:p>
          <w:p w14:paraId="4FC70043">
            <w:pPr>
              <w:spacing w:line="360" w:lineRule="auto"/>
              <w:rPr>
                <w:rFonts w:ascii="宋体" w:hAnsi="宋体" w:cs="宋体"/>
                <w:highlight w:val="none"/>
              </w:rPr>
            </w:pPr>
            <w:r>
              <w:rPr>
                <w:rFonts w:hint="eastAsia" w:ascii="宋体" w:hAnsi="宋体" w:cs="宋体"/>
                <w:highlight w:val="none"/>
              </w:rPr>
              <w:t>10、供应商应配合采购人及时更新所提供的符合卫监部门的有效证明材料。</w:t>
            </w:r>
          </w:p>
          <w:p w14:paraId="0CFAB466">
            <w:pPr>
              <w:spacing w:line="360" w:lineRule="auto"/>
              <w:rPr>
                <w:rFonts w:ascii="宋体" w:hAnsi="宋体" w:cs="宋体"/>
                <w:highlight w:val="none"/>
              </w:rPr>
            </w:pPr>
          </w:p>
        </w:tc>
      </w:tr>
      <w:bookmarkEnd w:id="2"/>
    </w:tbl>
    <w:p w14:paraId="38ECDF8B">
      <w:pPr>
        <w:pStyle w:val="11"/>
        <w:outlineLvl w:val="0"/>
        <w:rPr>
          <w:rFonts w:hint="eastAsia" w:ascii="宋体" w:hAnsi="宋体" w:eastAsia="宋体" w:cs="宋体"/>
          <w:b w:val="0"/>
          <w:bCs w:val="0"/>
          <w:color w:val="auto"/>
          <w:spacing w:val="0"/>
          <w:kern w:val="2"/>
          <w:sz w:val="21"/>
          <w:szCs w:val="21"/>
          <w:highlight w:val="none"/>
          <w:lang w:val="en-US" w:eastAsia="zh-CN" w:bidi="ar-SA"/>
        </w:rPr>
      </w:pPr>
    </w:p>
    <w:sectPr>
      <w:footerReference r:id="rId4" w:type="default"/>
      <w:pgSz w:w="11906" w:h="16838"/>
      <w:pgMar w:top="1276" w:right="1800" w:bottom="1134"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A4CF7E3-F684-4084-BA0B-10513CCD1E6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E03A96AC-8056-4F95-9A92-9375E4F4D0C6}"/>
  </w:font>
  <w:font w:name="MingLiU">
    <w:panose1 w:val="02020509000000000000"/>
    <w:charset w:val="88"/>
    <w:family w:val="modern"/>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Arial Unicode MS">
    <w:altName w:val="Arial"/>
    <w:panose1 w:val="020B0604020202020204"/>
    <w:charset w:val="7A"/>
    <w:family w:val="roman"/>
    <w:pitch w:val="default"/>
    <w:sig w:usb0="00000000" w:usb1="00000000" w:usb2="0000003F" w:usb3="00000000" w:csb0="603F01FF" w:csb1="FFFF0000"/>
  </w:font>
  <w:font w:name="方正小标宋简体">
    <w:altName w:val="方正舒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3542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77421">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177421">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EDC99">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5077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95077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4CBF3"/>
    <w:multiLevelType w:val="singleLevel"/>
    <w:tmpl w:val="BAA4CBF3"/>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20F5E41"/>
    <w:multiLevelType w:val="multilevel"/>
    <w:tmpl w:val="620F5E41"/>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D224F68"/>
    <w:multiLevelType w:val="multilevel"/>
    <w:tmpl w:val="7D224F68"/>
    <w:lvl w:ilvl="0" w:tentative="0">
      <w:start w:val="1"/>
      <w:numFmt w:val="japaneseCounting"/>
      <w:pStyle w:val="3"/>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NDBlY2RlMWUzYjQ0NDE1OWNkYmZmNWNlNTg4OGMifQ=="/>
    <w:docVar w:name="KSO_WPS_MARK_KEY" w:val="6190c8f2-7bcf-4b34-8502-acc8bd4e3a6a"/>
  </w:docVars>
  <w:rsids>
    <w:rsidRoot w:val="001744CC"/>
    <w:rsid w:val="00013D3A"/>
    <w:rsid w:val="00025A81"/>
    <w:rsid w:val="00050B9A"/>
    <w:rsid w:val="00054EAC"/>
    <w:rsid w:val="00081EFC"/>
    <w:rsid w:val="000A096C"/>
    <w:rsid w:val="000D1F6A"/>
    <w:rsid w:val="000D377F"/>
    <w:rsid w:val="000E4C85"/>
    <w:rsid w:val="001143BE"/>
    <w:rsid w:val="00116083"/>
    <w:rsid w:val="00117895"/>
    <w:rsid w:val="001231F3"/>
    <w:rsid w:val="00131998"/>
    <w:rsid w:val="001744CC"/>
    <w:rsid w:val="001A6C89"/>
    <w:rsid w:val="001B77B6"/>
    <w:rsid w:val="001C1088"/>
    <w:rsid w:val="001D346D"/>
    <w:rsid w:val="001F26D3"/>
    <w:rsid w:val="002156D6"/>
    <w:rsid w:val="002234C3"/>
    <w:rsid w:val="002306F9"/>
    <w:rsid w:val="00255D9B"/>
    <w:rsid w:val="002A654E"/>
    <w:rsid w:val="002B357E"/>
    <w:rsid w:val="002B661A"/>
    <w:rsid w:val="00335826"/>
    <w:rsid w:val="00387320"/>
    <w:rsid w:val="003B0811"/>
    <w:rsid w:val="003D5EE3"/>
    <w:rsid w:val="003E154F"/>
    <w:rsid w:val="004436D8"/>
    <w:rsid w:val="0045231B"/>
    <w:rsid w:val="004762D0"/>
    <w:rsid w:val="00480E96"/>
    <w:rsid w:val="004B4388"/>
    <w:rsid w:val="004E1AB8"/>
    <w:rsid w:val="00506606"/>
    <w:rsid w:val="00516AC9"/>
    <w:rsid w:val="0054353E"/>
    <w:rsid w:val="00580878"/>
    <w:rsid w:val="005B1D32"/>
    <w:rsid w:val="005F6EA6"/>
    <w:rsid w:val="00663476"/>
    <w:rsid w:val="00672F28"/>
    <w:rsid w:val="006C4DF3"/>
    <w:rsid w:val="006F5221"/>
    <w:rsid w:val="007126B1"/>
    <w:rsid w:val="007524E2"/>
    <w:rsid w:val="007631DB"/>
    <w:rsid w:val="00773AE2"/>
    <w:rsid w:val="00784628"/>
    <w:rsid w:val="007C0AD6"/>
    <w:rsid w:val="007F0D10"/>
    <w:rsid w:val="007F4751"/>
    <w:rsid w:val="008179CB"/>
    <w:rsid w:val="00875E45"/>
    <w:rsid w:val="008900B4"/>
    <w:rsid w:val="008B0423"/>
    <w:rsid w:val="008B55E4"/>
    <w:rsid w:val="00902B55"/>
    <w:rsid w:val="00907D70"/>
    <w:rsid w:val="009259E5"/>
    <w:rsid w:val="00953B5E"/>
    <w:rsid w:val="0096200A"/>
    <w:rsid w:val="00965F8B"/>
    <w:rsid w:val="009764AA"/>
    <w:rsid w:val="009C4FD6"/>
    <w:rsid w:val="00A25C52"/>
    <w:rsid w:val="00A7687A"/>
    <w:rsid w:val="00AC0795"/>
    <w:rsid w:val="00B21720"/>
    <w:rsid w:val="00B64907"/>
    <w:rsid w:val="00B908D2"/>
    <w:rsid w:val="00BA31C7"/>
    <w:rsid w:val="00BB6AD9"/>
    <w:rsid w:val="00BC4087"/>
    <w:rsid w:val="00BC5615"/>
    <w:rsid w:val="00C65D22"/>
    <w:rsid w:val="00C75DB7"/>
    <w:rsid w:val="00CB1691"/>
    <w:rsid w:val="00CD288D"/>
    <w:rsid w:val="00CF519F"/>
    <w:rsid w:val="00D02B50"/>
    <w:rsid w:val="00D04AA3"/>
    <w:rsid w:val="00D61262"/>
    <w:rsid w:val="00D65E37"/>
    <w:rsid w:val="00D66791"/>
    <w:rsid w:val="00D84721"/>
    <w:rsid w:val="00DF1F4A"/>
    <w:rsid w:val="00E0393D"/>
    <w:rsid w:val="00E158FA"/>
    <w:rsid w:val="00E226D0"/>
    <w:rsid w:val="00E22C95"/>
    <w:rsid w:val="00E323BA"/>
    <w:rsid w:val="00E71C26"/>
    <w:rsid w:val="00E72167"/>
    <w:rsid w:val="00EA6B1C"/>
    <w:rsid w:val="00ED604D"/>
    <w:rsid w:val="00F247B9"/>
    <w:rsid w:val="00F35B26"/>
    <w:rsid w:val="00F363C9"/>
    <w:rsid w:val="00F765F7"/>
    <w:rsid w:val="00F83C39"/>
    <w:rsid w:val="00FA5D9B"/>
    <w:rsid w:val="00FB44B4"/>
    <w:rsid w:val="03892D22"/>
    <w:rsid w:val="042D70A0"/>
    <w:rsid w:val="04EB7974"/>
    <w:rsid w:val="05093C57"/>
    <w:rsid w:val="07EB7AEE"/>
    <w:rsid w:val="08411F5C"/>
    <w:rsid w:val="08D41387"/>
    <w:rsid w:val="091D04F8"/>
    <w:rsid w:val="09992B4F"/>
    <w:rsid w:val="0B3C78BE"/>
    <w:rsid w:val="0C9D5001"/>
    <w:rsid w:val="0D463A32"/>
    <w:rsid w:val="0DFE0EFF"/>
    <w:rsid w:val="0E2D784D"/>
    <w:rsid w:val="0EB3534A"/>
    <w:rsid w:val="0EE031B4"/>
    <w:rsid w:val="0FC53407"/>
    <w:rsid w:val="10A6037A"/>
    <w:rsid w:val="10DF72BA"/>
    <w:rsid w:val="118178B9"/>
    <w:rsid w:val="121518B5"/>
    <w:rsid w:val="133E099F"/>
    <w:rsid w:val="150710A1"/>
    <w:rsid w:val="15412F8E"/>
    <w:rsid w:val="164F59A1"/>
    <w:rsid w:val="17CD787F"/>
    <w:rsid w:val="1815059C"/>
    <w:rsid w:val="1917442A"/>
    <w:rsid w:val="19DB73C1"/>
    <w:rsid w:val="1AB94E9D"/>
    <w:rsid w:val="1D8F28B5"/>
    <w:rsid w:val="1E4F6005"/>
    <w:rsid w:val="1FDD1E8C"/>
    <w:rsid w:val="20523A8F"/>
    <w:rsid w:val="21357652"/>
    <w:rsid w:val="21C45FAF"/>
    <w:rsid w:val="22964F60"/>
    <w:rsid w:val="233212C4"/>
    <w:rsid w:val="23B9687B"/>
    <w:rsid w:val="251F7E6D"/>
    <w:rsid w:val="25733B02"/>
    <w:rsid w:val="261F1D34"/>
    <w:rsid w:val="26787CEF"/>
    <w:rsid w:val="27CF1BDE"/>
    <w:rsid w:val="29215D08"/>
    <w:rsid w:val="29330A08"/>
    <w:rsid w:val="295F4A24"/>
    <w:rsid w:val="2A183288"/>
    <w:rsid w:val="2ADA743F"/>
    <w:rsid w:val="2B8F0532"/>
    <w:rsid w:val="2D304A2B"/>
    <w:rsid w:val="311F2674"/>
    <w:rsid w:val="31E96A70"/>
    <w:rsid w:val="336A05A5"/>
    <w:rsid w:val="34356A29"/>
    <w:rsid w:val="35256E70"/>
    <w:rsid w:val="35814911"/>
    <w:rsid w:val="35A55CE3"/>
    <w:rsid w:val="36F62441"/>
    <w:rsid w:val="380B1CF5"/>
    <w:rsid w:val="380C5072"/>
    <w:rsid w:val="38883C0B"/>
    <w:rsid w:val="38965F4A"/>
    <w:rsid w:val="392B0369"/>
    <w:rsid w:val="3C515154"/>
    <w:rsid w:val="3C533ABD"/>
    <w:rsid w:val="3D1203A7"/>
    <w:rsid w:val="3D3D7A49"/>
    <w:rsid w:val="3E0A7875"/>
    <w:rsid w:val="3E170988"/>
    <w:rsid w:val="3EF04A2D"/>
    <w:rsid w:val="3F0009FD"/>
    <w:rsid w:val="3F3E34CE"/>
    <w:rsid w:val="40912C42"/>
    <w:rsid w:val="41164CB1"/>
    <w:rsid w:val="433443A7"/>
    <w:rsid w:val="44356766"/>
    <w:rsid w:val="44882A2F"/>
    <w:rsid w:val="450023EF"/>
    <w:rsid w:val="45440772"/>
    <w:rsid w:val="46262CD0"/>
    <w:rsid w:val="46CD2171"/>
    <w:rsid w:val="46D07AE2"/>
    <w:rsid w:val="46E63970"/>
    <w:rsid w:val="47EA7AF7"/>
    <w:rsid w:val="48D22137"/>
    <w:rsid w:val="48DF3F57"/>
    <w:rsid w:val="49DA611C"/>
    <w:rsid w:val="4B9A7C30"/>
    <w:rsid w:val="4BB3184A"/>
    <w:rsid w:val="4C33193A"/>
    <w:rsid w:val="4CFE4139"/>
    <w:rsid w:val="4D882E24"/>
    <w:rsid w:val="4DCE319A"/>
    <w:rsid w:val="4F5C4FE6"/>
    <w:rsid w:val="508B3674"/>
    <w:rsid w:val="50C35E53"/>
    <w:rsid w:val="51FA2DE2"/>
    <w:rsid w:val="52655E2E"/>
    <w:rsid w:val="535F60EB"/>
    <w:rsid w:val="53E3122C"/>
    <w:rsid w:val="542553EF"/>
    <w:rsid w:val="5478036A"/>
    <w:rsid w:val="55401CD8"/>
    <w:rsid w:val="55622BF9"/>
    <w:rsid w:val="5634672B"/>
    <w:rsid w:val="57140193"/>
    <w:rsid w:val="573F4444"/>
    <w:rsid w:val="58404C22"/>
    <w:rsid w:val="58836646"/>
    <w:rsid w:val="5A7E693C"/>
    <w:rsid w:val="5ABF49B8"/>
    <w:rsid w:val="5C3443E2"/>
    <w:rsid w:val="5DE44A9D"/>
    <w:rsid w:val="5F8E68E3"/>
    <w:rsid w:val="5FC34031"/>
    <w:rsid w:val="5FF14592"/>
    <w:rsid w:val="601D0E53"/>
    <w:rsid w:val="61CE7F1F"/>
    <w:rsid w:val="62724800"/>
    <w:rsid w:val="63621DC0"/>
    <w:rsid w:val="63AF5CD0"/>
    <w:rsid w:val="645C3F7B"/>
    <w:rsid w:val="65742E55"/>
    <w:rsid w:val="65AD1025"/>
    <w:rsid w:val="667B591B"/>
    <w:rsid w:val="68FE5FAF"/>
    <w:rsid w:val="69181F95"/>
    <w:rsid w:val="6B2220E7"/>
    <w:rsid w:val="6B2E09CA"/>
    <w:rsid w:val="6B354690"/>
    <w:rsid w:val="6B382332"/>
    <w:rsid w:val="6B7B5BD5"/>
    <w:rsid w:val="6B9B2B4F"/>
    <w:rsid w:val="6CE0411E"/>
    <w:rsid w:val="6D613AA9"/>
    <w:rsid w:val="6DBA5778"/>
    <w:rsid w:val="7220374A"/>
    <w:rsid w:val="72430CCA"/>
    <w:rsid w:val="72B12D31"/>
    <w:rsid w:val="73291802"/>
    <w:rsid w:val="732B73C9"/>
    <w:rsid w:val="734B6A66"/>
    <w:rsid w:val="73F658CE"/>
    <w:rsid w:val="74AE075E"/>
    <w:rsid w:val="75CB66F3"/>
    <w:rsid w:val="762A18D9"/>
    <w:rsid w:val="76F41F66"/>
    <w:rsid w:val="77852DEA"/>
    <w:rsid w:val="77EC3362"/>
    <w:rsid w:val="78496522"/>
    <w:rsid w:val="7932007E"/>
    <w:rsid w:val="79401735"/>
    <w:rsid w:val="79F53245"/>
    <w:rsid w:val="7A333B78"/>
    <w:rsid w:val="7A7B5E57"/>
    <w:rsid w:val="7A8A42D2"/>
    <w:rsid w:val="7B070CBF"/>
    <w:rsid w:val="7B58447E"/>
    <w:rsid w:val="7BDC1EC1"/>
    <w:rsid w:val="7C7C2102"/>
    <w:rsid w:val="7C9851AF"/>
    <w:rsid w:val="7CF60E7D"/>
    <w:rsid w:val="7D42326B"/>
    <w:rsid w:val="7D6E6512"/>
    <w:rsid w:val="7DCD6A21"/>
    <w:rsid w:val="7DE42296"/>
    <w:rsid w:val="7F477F75"/>
    <w:rsid w:val="7FAB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autoRedefine/>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4"/>
    <w:basedOn w:val="1"/>
    <w:next w:val="1"/>
    <w:autoRedefine/>
    <w:qFormat/>
    <w:uiPriority w:val="9"/>
    <w:pPr>
      <w:keepNext/>
      <w:keepLines/>
      <w:numPr>
        <w:ilvl w:val="3"/>
        <w:numId w:val="2"/>
      </w:numPr>
      <w:tabs>
        <w:tab w:val="left" w:pos="851"/>
        <w:tab w:val="clear" w:pos="864"/>
      </w:tabs>
      <w:spacing w:before="280" w:after="290" w:line="372" w:lineRule="auto"/>
      <w:outlineLvl w:val="3"/>
    </w:pPr>
    <w:rPr>
      <w:rFonts w:ascii="Arial" w:hAnsi="Arial" w:eastAsia="黑体"/>
      <w:b/>
      <w:bCs/>
      <w:sz w:val="28"/>
      <w:szCs w:val="28"/>
    </w:rPr>
  </w:style>
  <w:style w:type="paragraph" w:styleId="5">
    <w:name w:val="heading 6"/>
    <w:basedOn w:val="1"/>
    <w:next w:val="1"/>
    <w:autoRedefine/>
    <w:unhideWhenUsed/>
    <w:qFormat/>
    <w:uiPriority w:val="9"/>
    <w:pPr>
      <w:keepNext/>
      <w:keepLines/>
      <w:spacing w:before="240" w:after="64" w:line="320" w:lineRule="auto"/>
      <w:outlineLvl w:val="5"/>
    </w:pPr>
    <w:rPr>
      <w:rFonts w:ascii="Cambria" w:hAnsi="Cambria" w:eastAsia="宋体" w:cs="Times New Roman"/>
      <w:b/>
      <w:bCs/>
      <w:sz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styleId="6">
    <w:name w:val="Normal Indent"/>
    <w:basedOn w:val="1"/>
    <w:autoRedefine/>
    <w:qFormat/>
    <w:uiPriority w:val="0"/>
    <w:pPr>
      <w:ind w:firstLine="420"/>
    </w:pPr>
  </w:style>
  <w:style w:type="paragraph" w:styleId="7">
    <w:name w:val="caption"/>
    <w:basedOn w:val="1"/>
    <w:next w:val="1"/>
    <w:autoRedefine/>
    <w:qFormat/>
    <w:uiPriority w:val="0"/>
    <w:pPr>
      <w:spacing w:before="152" w:after="160" w:line="360" w:lineRule="auto"/>
    </w:pPr>
    <w:rPr>
      <w:rFonts w:ascii="Arial" w:hAnsi="Arial" w:eastAsia="黑体"/>
      <w:sz w:val="20"/>
    </w:rPr>
  </w:style>
  <w:style w:type="paragraph" w:styleId="8">
    <w:name w:val="index 5"/>
    <w:basedOn w:val="1"/>
    <w:next w:val="1"/>
    <w:autoRedefine/>
    <w:qFormat/>
    <w:uiPriority w:val="0"/>
    <w:pPr>
      <w:ind w:left="800" w:leftChars="800"/>
    </w:pPr>
  </w:style>
  <w:style w:type="paragraph" w:styleId="9">
    <w:name w:val="annotation text"/>
    <w:basedOn w:val="1"/>
    <w:autoRedefine/>
    <w:qFormat/>
    <w:uiPriority w:val="0"/>
    <w:pPr>
      <w:jc w:val="left"/>
    </w:pPr>
  </w:style>
  <w:style w:type="paragraph" w:styleId="10">
    <w:name w:val="Body Text"/>
    <w:basedOn w:val="1"/>
    <w:autoRedefine/>
    <w:qFormat/>
    <w:uiPriority w:val="0"/>
    <w:pPr>
      <w:spacing w:after="120"/>
    </w:pPr>
  </w:style>
  <w:style w:type="paragraph" w:styleId="11">
    <w:name w:val="Plain Text"/>
    <w:basedOn w:val="1"/>
    <w:autoRedefine/>
    <w:qFormat/>
    <w:uiPriority w:val="99"/>
    <w:rPr>
      <w:rFonts w:ascii="宋体" w:hAnsi="Courier New"/>
    </w:rPr>
  </w:style>
  <w:style w:type="paragraph" w:styleId="12">
    <w:name w:val="footer"/>
    <w:basedOn w:val="1"/>
    <w:next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next w:val="8"/>
    <w:autoRedefine/>
    <w:qFormat/>
    <w:uiPriority w:val="0"/>
    <w:pPr>
      <w:adjustRightInd w:val="0"/>
      <w:spacing w:line="312" w:lineRule="atLeast"/>
      <w:jc w:val="left"/>
      <w:textAlignment w:val="baseline"/>
    </w:pPr>
    <w:rPr>
      <w:sz w:val="18"/>
      <w:szCs w:val="22"/>
    </w:rPr>
  </w:style>
  <w:style w:type="paragraph" w:styleId="15">
    <w:name w:val="table of figures"/>
    <w:basedOn w:val="1"/>
    <w:next w:val="1"/>
    <w:autoRedefine/>
    <w:qFormat/>
    <w:uiPriority w:val="99"/>
    <w:pPr>
      <w:spacing w:line="360" w:lineRule="auto"/>
    </w:pPr>
    <w:rPr>
      <w:rFonts w:ascii="Times New Roman" w:hAnsi="Times New Roman" w:eastAsia="宋体" w:cs="Times New Roman"/>
      <w:smallCaps/>
      <w:kern w:val="2"/>
      <w:sz w:val="24"/>
      <w:lang w:val="en-US" w:eastAsia="zh-CN" w:bidi="ar-SA"/>
    </w:rPr>
  </w:style>
  <w:style w:type="paragraph" w:styleId="16">
    <w:name w:val="toc 2"/>
    <w:basedOn w:val="1"/>
    <w:next w:val="1"/>
    <w:autoRedefine/>
    <w:qFormat/>
    <w:uiPriority w:val="39"/>
    <w:pPr>
      <w:ind w:left="420" w:leftChars="200"/>
    </w:p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autoRedefine/>
    <w:qFormat/>
    <w:uiPriority w:val="0"/>
  </w:style>
  <w:style w:type="character" w:styleId="22">
    <w:name w:val="Hyperlink"/>
    <w:autoRedefine/>
    <w:unhideWhenUsed/>
    <w:qFormat/>
    <w:uiPriority w:val="99"/>
    <w:rPr>
      <w:color w:val="0000FF"/>
      <w:u w:val="single"/>
    </w:rPr>
  </w:style>
  <w:style w:type="character" w:styleId="23">
    <w:name w:val="annotation reference"/>
    <w:autoRedefine/>
    <w:qFormat/>
    <w:uiPriority w:val="0"/>
    <w:rPr>
      <w:sz w:val="21"/>
      <w:szCs w:val="21"/>
    </w:rPr>
  </w:style>
  <w:style w:type="paragraph" w:customStyle="1" w:styleId="24">
    <w:name w:val="正文-公1"/>
    <w:basedOn w:val="1"/>
    <w:autoRedefine/>
    <w:qFormat/>
    <w:uiPriority w:val="0"/>
    <w:pPr>
      <w:ind w:firstLine="200" w:firstLineChars="200"/>
      <w:jc w:val="left"/>
    </w:pPr>
    <w:rPr>
      <w:rFonts w:eastAsia="仿宋_GB2312"/>
    </w:rPr>
  </w:style>
  <w:style w:type="paragraph" w:customStyle="1" w:styleId="25">
    <w:name w:val="题注5"/>
    <w:basedOn w:val="1"/>
    <w:next w:val="7"/>
    <w:autoRedefine/>
    <w:qFormat/>
    <w:uiPriority w:val="0"/>
    <w:pPr>
      <w:jc w:val="center"/>
    </w:pPr>
    <w:rPr>
      <w:b/>
      <w:color w:val="000000"/>
      <w:sz w:val="24"/>
      <w:szCs w:val="21"/>
    </w:rPr>
  </w:style>
  <w:style w:type="paragraph" w:customStyle="1" w:styleId="26">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题注4"/>
    <w:basedOn w:val="1"/>
    <w:next w:val="7"/>
    <w:autoRedefine/>
    <w:qFormat/>
    <w:uiPriority w:val="0"/>
    <w:pPr>
      <w:ind w:left="-132" w:leftChars="-64" w:right="-50" w:rightChars="-50" w:hanging="2"/>
      <w:jc w:val="center"/>
    </w:pPr>
    <w:rPr>
      <w:b/>
      <w:color w:val="FF0000"/>
    </w:rPr>
  </w:style>
  <w:style w:type="paragraph" w:customStyle="1" w:styleId="28">
    <w:name w:val="表格文字"/>
    <w:basedOn w:val="1"/>
    <w:autoRedefine/>
    <w:qFormat/>
    <w:uiPriority w:val="0"/>
    <w:pPr>
      <w:spacing w:before="25" w:after="25"/>
      <w:jc w:val="left"/>
    </w:pPr>
    <w:rPr>
      <w:bCs/>
      <w:spacing w:val="10"/>
      <w:kern w:val="0"/>
      <w:sz w:val="24"/>
      <w:szCs w:val="20"/>
    </w:rPr>
  </w:style>
  <w:style w:type="paragraph" w:customStyle="1" w:styleId="29">
    <w:name w:val="PlainText"/>
    <w:basedOn w:val="1"/>
    <w:autoRedefine/>
    <w:qFormat/>
    <w:uiPriority w:val="0"/>
    <w:pPr>
      <w:widowControl/>
      <w:textAlignment w:val="baseline"/>
    </w:pPr>
    <w:rPr>
      <w:rFonts w:ascii="宋体" w:hAnsi="Courier New"/>
      <w:szCs w:val="20"/>
    </w:rPr>
  </w:style>
  <w:style w:type="paragraph" w:customStyle="1" w:styleId="30">
    <w:name w:val="UserStyle_1"/>
    <w:basedOn w:val="1"/>
    <w:autoRedefine/>
    <w:qFormat/>
    <w:uiPriority w:val="0"/>
    <w:pPr>
      <w:widowControl/>
      <w:textAlignment w:val="baseline"/>
    </w:pPr>
    <w:rPr>
      <w:rFonts w:ascii="宋体" w:hAnsi="Courier New"/>
      <w:szCs w:val="20"/>
    </w:rPr>
  </w:style>
  <w:style w:type="character" w:customStyle="1" w:styleId="31">
    <w:name w:val="font51"/>
    <w:basedOn w:val="20"/>
    <w:autoRedefine/>
    <w:qFormat/>
    <w:uiPriority w:val="0"/>
    <w:rPr>
      <w:rFonts w:hint="default" w:ascii="MingLiU" w:hAnsi="MingLiU" w:eastAsia="MingLiU" w:cs="MingLiU"/>
      <w:color w:val="FF0000"/>
      <w:sz w:val="20"/>
      <w:szCs w:val="20"/>
      <w:u w:val="none"/>
    </w:rPr>
  </w:style>
  <w:style w:type="character" w:customStyle="1" w:styleId="32">
    <w:name w:val="font31"/>
    <w:basedOn w:val="20"/>
    <w:autoRedefine/>
    <w:qFormat/>
    <w:uiPriority w:val="0"/>
    <w:rPr>
      <w:rFonts w:hint="default" w:ascii="Times New Roman" w:hAnsi="Times New Roman" w:cs="Times New Roman"/>
      <w:color w:val="000000"/>
      <w:sz w:val="20"/>
      <w:szCs w:val="20"/>
      <w:u w:val="none"/>
    </w:rPr>
  </w:style>
  <w:style w:type="character" w:customStyle="1" w:styleId="33">
    <w:name w:val="font21"/>
    <w:autoRedefine/>
    <w:qFormat/>
    <w:uiPriority w:val="0"/>
    <w:rPr>
      <w:rFonts w:hint="eastAsia" w:ascii="宋体" w:hAnsi="宋体" w:eastAsia="宋体" w:cs="宋体"/>
      <w:color w:val="000000"/>
      <w:sz w:val="20"/>
      <w:szCs w:val="20"/>
      <w:u w:val="none"/>
    </w:rPr>
  </w:style>
  <w:style w:type="character" w:customStyle="1" w:styleId="34">
    <w:name w:val="font41"/>
    <w:autoRedefine/>
    <w:qFormat/>
    <w:uiPriority w:val="0"/>
    <w:rPr>
      <w:rFonts w:hint="default" w:ascii="MingLiU" w:hAnsi="MingLiU" w:eastAsia="MingLiU" w:cs="MingLiU"/>
      <w:color w:val="000000"/>
      <w:sz w:val="20"/>
      <w:szCs w:val="20"/>
      <w:u w:val="none"/>
    </w:rPr>
  </w:style>
  <w:style w:type="character" w:customStyle="1" w:styleId="35">
    <w:name w:val="font71"/>
    <w:autoRedefine/>
    <w:qFormat/>
    <w:uiPriority w:val="0"/>
    <w:rPr>
      <w:rFonts w:hint="eastAsia" w:ascii="宋体" w:hAnsi="宋体" w:eastAsia="宋体" w:cs="宋体"/>
      <w:color w:val="FF0000"/>
      <w:sz w:val="20"/>
      <w:szCs w:val="20"/>
      <w:u w:val="none"/>
    </w:rPr>
  </w:style>
  <w:style w:type="character" w:customStyle="1" w:styleId="36">
    <w:name w:val="NormalCharacter"/>
    <w:autoRedefine/>
    <w:semiHidden/>
    <w:qFormat/>
    <w:uiPriority w:val="0"/>
  </w:style>
  <w:style w:type="character" w:customStyle="1" w:styleId="37">
    <w:name w:val="UserStyle_0"/>
    <w:autoRedefine/>
    <w:semiHidden/>
    <w:qFormat/>
    <w:uiPriority w:val="0"/>
  </w:style>
  <w:style w:type="paragraph" w:customStyle="1" w:styleId="38">
    <w:name w:val="Title1"/>
    <w:basedOn w:val="1"/>
    <w:next w:val="1"/>
    <w:autoRedefine/>
    <w:qFormat/>
    <w:uiPriority w:val="0"/>
    <w:pPr>
      <w:jc w:val="center"/>
      <w:outlineLvl w:val="0"/>
    </w:pPr>
    <w:rPr>
      <w:rFonts w:ascii="Calibri Light" w:hAnsi="Calibri Light" w:eastAsia="Arial Unicode MS" w:cs="Times New Roman"/>
      <w:b/>
    </w:rPr>
  </w:style>
  <w:style w:type="paragraph" w:customStyle="1" w:styleId="39">
    <w:name w:val="Table Paragraph"/>
    <w:basedOn w:val="1"/>
    <w:autoRedefine/>
    <w:qFormat/>
    <w:uiPriority w:val="1"/>
    <w:pPr>
      <w:jc w:val="left"/>
    </w:pPr>
    <w:rPr>
      <w:rFonts w:ascii="Calibri" w:hAnsi="Calibri"/>
      <w:kern w:val="0"/>
      <w:sz w:val="22"/>
      <w:szCs w:val="22"/>
      <w:lang w:eastAsia="en-US"/>
    </w:rPr>
  </w:style>
  <w:style w:type="character" w:customStyle="1" w:styleId="40">
    <w:name w:val="font91"/>
    <w:basedOn w:val="20"/>
    <w:autoRedefine/>
    <w:qFormat/>
    <w:uiPriority w:val="0"/>
    <w:rPr>
      <w:rFonts w:hint="eastAsia" w:ascii="宋体" w:hAnsi="宋体" w:eastAsia="宋体" w:cs="宋体"/>
      <w:color w:val="000000"/>
      <w:sz w:val="20"/>
      <w:szCs w:val="20"/>
      <w:u w:val="none"/>
    </w:rPr>
  </w:style>
  <w:style w:type="character" w:customStyle="1" w:styleId="41">
    <w:name w:val="font61"/>
    <w:basedOn w:val="20"/>
    <w:autoRedefine/>
    <w:qFormat/>
    <w:uiPriority w:val="0"/>
    <w:rPr>
      <w:rFonts w:hint="eastAsia" w:ascii="宋体" w:hAnsi="宋体" w:eastAsia="宋体" w:cs="宋体"/>
      <w:color w:val="FF0000"/>
      <w:sz w:val="20"/>
      <w:szCs w:val="20"/>
      <w:u w:val="none"/>
      <w:vertAlign w:val="superscript"/>
    </w:rPr>
  </w:style>
  <w:style w:type="character" w:customStyle="1" w:styleId="42">
    <w:name w:val="font12"/>
    <w:basedOn w:val="20"/>
    <w:autoRedefine/>
    <w:qFormat/>
    <w:uiPriority w:val="0"/>
    <w:rPr>
      <w:rFonts w:hint="default" w:ascii="Calibri" w:hAnsi="Calibri" w:cs="Calibri"/>
      <w:b/>
      <w:color w:val="000000"/>
      <w:sz w:val="20"/>
      <w:szCs w:val="20"/>
      <w:u w:val="none"/>
    </w:rPr>
  </w:style>
  <w:style w:type="paragraph" w:customStyle="1" w:styleId="43">
    <w:name w:val="Table Text"/>
    <w:basedOn w:val="1"/>
    <w:autoRedefine/>
    <w:semiHidden/>
    <w:qFormat/>
    <w:uiPriority w:val="0"/>
    <w:rPr>
      <w:rFonts w:ascii="宋体" w:hAnsi="宋体" w:eastAsia="宋体" w:cs="宋体"/>
      <w:sz w:val="18"/>
      <w:szCs w:val="18"/>
    </w:rPr>
  </w:style>
  <w:style w:type="table" w:customStyle="1" w:styleId="44">
    <w:name w:val="Table Normal"/>
    <w:autoRedefine/>
    <w:unhideWhenUsed/>
    <w:qFormat/>
    <w:uiPriority w:val="0"/>
    <w:tblPr>
      <w:tblCellMar>
        <w:top w:w="0" w:type="dxa"/>
        <w:left w:w="0" w:type="dxa"/>
        <w:bottom w:w="0" w:type="dxa"/>
        <w:right w:w="0" w:type="dxa"/>
      </w:tblCellMar>
    </w:tblPr>
  </w:style>
  <w:style w:type="paragraph" w:customStyle="1" w:styleId="45">
    <w:name w:val="Normal_1"/>
    <w:autoRedefine/>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12</Pages>
  <Words>918</Words>
  <Characters>976</Characters>
  <Lines>57</Lines>
  <Paragraphs>16</Paragraphs>
  <TotalTime>0</TotalTime>
  <ScaleCrop>false</ScaleCrop>
  <LinksUpToDate>false</LinksUpToDate>
  <CharactersWithSpaces>1023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中信</cp:lastModifiedBy>
  <cp:lastPrinted>2018-07-19T05:09:00Z</cp:lastPrinted>
  <dcterms:modified xsi:type="dcterms:W3CDTF">2025-03-12T07:54:30Z</dcterms:modified>
  <dc:title>电子版</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A8ABB9C5D84D49318B13D2368E207532_13</vt:lpwstr>
  </property>
  <property fmtid="{D5CDD505-2E9C-101B-9397-08002B2CF9AE}" pid="4" name="KSOTemplateDocerSaveRecord">
    <vt:lpwstr>eyJoZGlkIjoiNGNiNjZmYjJkZTE4Yjk2M2IxZjkzMWRlNzkxZjRiYTgiLCJ1c2VySWQiOiIzNTIyNzc2NDIifQ==</vt:lpwstr>
  </property>
</Properties>
</file>