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114853">
      <w:pPr>
        <w:spacing w:line="360" w:lineRule="auto"/>
        <w:jc w:val="center"/>
        <w:rPr>
          <w:rFonts w:ascii="宋体" w:hAnsi="宋体" w:cs="宋体"/>
          <w:color w:val="auto"/>
          <w:sz w:val="52"/>
          <w:szCs w:val="52"/>
          <w:highlight w:val="none"/>
        </w:rPr>
      </w:pPr>
    </w:p>
    <w:p w14:paraId="23416F8C">
      <w:pPr>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云之龙咨询集团有限公司</w:t>
      </w:r>
    </w:p>
    <w:p w14:paraId="43273AA7">
      <w:pPr>
        <w:spacing w:line="360" w:lineRule="auto"/>
        <w:jc w:val="center"/>
        <w:rPr>
          <w:rFonts w:ascii="宋体" w:hAnsi="宋体" w:cs="宋体"/>
          <w:b/>
          <w:color w:val="auto"/>
          <w:sz w:val="48"/>
          <w:szCs w:val="48"/>
          <w:highlight w:val="none"/>
        </w:rPr>
      </w:pPr>
    </w:p>
    <w:p w14:paraId="43264C67">
      <w:pPr>
        <w:snapToGrid w:val="0"/>
        <w:spacing w:before="120" w:beforeLines="50" w:line="360" w:lineRule="auto"/>
        <w:jc w:val="center"/>
        <w:rPr>
          <w:rFonts w:ascii="宋体" w:hAnsi="宋体" w:cs="宋体"/>
          <w:color w:val="auto"/>
          <w:sz w:val="120"/>
          <w:szCs w:val="120"/>
          <w:highlight w:val="none"/>
        </w:rPr>
      </w:pPr>
      <w:r>
        <w:rPr>
          <w:rFonts w:hint="eastAsia" w:ascii="宋体" w:hAnsi="宋体" w:cs="宋体"/>
          <w:color w:val="auto"/>
          <w:sz w:val="120"/>
          <w:szCs w:val="120"/>
          <w:highlight w:val="none"/>
        </w:rPr>
        <w:t>招 标 文 件</w:t>
      </w:r>
    </w:p>
    <w:p w14:paraId="17F9A0DA">
      <w:pPr>
        <w:snapToGrid w:val="0"/>
        <w:spacing w:line="360" w:lineRule="auto"/>
        <w:rPr>
          <w:rFonts w:ascii="宋体" w:hAnsi="宋体" w:cs="宋体"/>
          <w:color w:val="auto"/>
          <w:sz w:val="30"/>
          <w:szCs w:val="72"/>
          <w:highlight w:val="none"/>
        </w:rPr>
      </w:pPr>
    </w:p>
    <w:p w14:paraId="5E0A9107">
      <w:pPr>
        <w:pStyle w:val="25"/>
        <w:snapToGrid w:val="0"/>
        <w:spacing w:line="360" w:lineRule="auto"/>
        <w:ind w:left="840" w:leftChars="400" w:firstLine="286" w:firstLineChars="100"/>
        <w:rPr>
          <w:rFonts w:hAnsi="宋体" w:cs="宋体"/>
          <w:b/>
          <w:bCs/>
          <w:color w:val="auto"/>
          <w:w w:val="95"/>
          <w:sz w:val="30"/>
          <w:szCs w:val="30"/>
          <w:highlight w:val="none"/>
        </w:rPr>
      </w:pPr>
      <w:r>
        <w:rPr>
          <w:rFonts w:hint="eastAsia" w:hAnsi="宋体" w:cs="宋体"/>
          <w:b/>
          <w:bCs/>
          <w:color w:val="auto"/>
          <w:w w:val="95"/>
          <w:sz w:val="30"/>
          <w:szCs w:val="30"/>
          <w:highlight w:val="none"/>
        </w:rPr>
        <w:t>项目名称：监护仪一批</w:t>
      </w:r>
    </w:p>
    <w:p w14:paraId="69D6BAE6">
      <w:pPr>
        <w:pStyle w:val="25"/>
        <w:snapToGrid w:val="0"/>
        <w:spacing w:line="360" w:lineRule="auto"/>
        <w:ind w:left="840" w:leftChars="400" w:firstLine="286" w:firstLineChars="100"/>
        <w:rPr>
          <w:rFonts w:hAnsi="宋体" w:cs="宋体"/>
          <w:b/>
          <w:bCs/>
          <w:color w:val="auto"/>
          <w:w w:val="95"/>
          <w:sz w:val="30"/>
          <w:szCs w:val="30"/>
          <w:highlight w:val="none"/>
        </w:rPr>
      </w:pPr>
      <w:r>
        <w:rPr>
          <w:rFonts w:hint="eastAsia" w:hAnsi="宋体" w:cs="宋体"/>
          <w:b/>
          <w:bCs/>
          <w:color w:val="auto"/>
          <w:w w:val="95"/>
          <w:sz w:val="30"/>
          <w:szCs w:val="30"/>
          <w:highlight w:val="none"/>
        </w:rPr>
        <w:t>项目编号：GXZC2025-G1-001543-YZLZ</w:t>
      </w:r>
    </w:p>
    <w:p w14:paraId="52840323">
      <w:pPr>
        <w:pStyle w:val="25"/>
        <w:snapToGrid w:val="0"/>
        <w:spacing w:line="360" w:lineRule="auto"/>
        <w:ind w:firstLine="1145" w:firstLineChars="400"/>
        <w:rPr>
          <w:rFonts w:hAnsi="宋体" w:cs="宋体"/>
          <w:b/>
          <w:bCs/>
          <w:color w:val="auto"/>
          <w:w w:val="95"/>
          <w:sz w:val="30"/>
          <w:szCs w:val="30"/>
          <w:highlight w:val="none"/>
        </w:rPr>
      </w:pPr>
      <w:r>
        <w:rPr>
          <w:rFonts w:hint="eastAsia" w:hAnsi="宋体" w:cs="宋体"/>
          <w:b/>
          <w:bCs/>
          <w:color w:val="auto"/>
          <w:w w:val="95"/>
          <w:sz w:val="30"/>
          <w:szCs w:val="30"/>
          <w:highlight w:val="none"/>
        </w:rPr>
        <w:t>采 购 人：桂林医学院附属医院</w:t>
      </w:r>
    </w:p>
    <w:p w14:paraId="109369F4">
      <w:pPr>
        <w:pStyle w:val="25"/>
        <w:snapToGrid w:val="0"/>
        <w:spacing w:line="360" w:lineRule="auto"/>
        <w:ind w:firstLine="1145" w:firstLineChars="400"/>
        <w:rPr>
          <w:rFonts w:hAnsi="宋体" w:cs="宋体"/>
          <w:b/>
          <w:bCs/>
          <w:color w:val="auto"/>
          <w:w w:val="95"/>
          <w:sz w:val="30"/>
          <w:szCs w:val="30"/>
          <w:highlight w:val="none"/>
        </w:rPr>
      </w:pPr>
      <w:r>
        <w:rPr>
          <w:rFonts w:hint="eastAsia" w:hAnsi="宋体" w:cs="宋体"/>
          <w:b/>
          <w:bCs/>
          <w:color w:val="auto"/>
          <w:w w:val="95"/>
          <w:sz w:val="30"/>
          <w:szCs w:val="30"/>
          <w:highlight w:val="none"/>
        </w:rPr>
        <w:t>采购代理机构：云之龙咨询集团有限公司</w:t>
      </w:r>
    </w:p>
    <w:p w14:paraId="2F310FA0">
      <w:pPr>
        <w:pStyle w:val="25"/>
        <w:snapToGrid w:val="0"/>
        <w:spacing w:line="360" w:lineRule="auto"/>
        <w:ind w:firstLine="1125" w:firstLineChars="393"/>
        <w:rPr>
          <w:rFonts w:hAnsi="宋体" w:cs="宋体"/>
          <w:b/>
          <w:bCs/>
          <w:color w:val="auto"/>
          <w:w w:val="95"/>
          <w:sz w:val="30"/>
          <w:szCs w:val="30"/>
          <w:highlight w:val="none"/>
        </w:rPr>
      </w:pPr>
    </w:p>
    <w:p w14:paraId="56CF63B6">
      <w:pPr>
        <w:pStyle w:val="25"/>
        <w:snapToGrid w:val="0"/>
        <w:spacing w:line="360" w:lineRule="auto"/>
        <w:ind w:firstLine="1125" w:firstLineChars="393"/>
        <w:rPr>
          <w:rFonts w:hAnsi="宋体" w:cs="宋体"/>
          <w:b/>
          <w:bCs/>
          <w:color w:val="auto"/>
          <w:w w:val="95"/>
          <w:sz w:val="30"/>
          <w:szCs w:val="30"/>
          <w:highlight w:val="none"/>
        </w:rPr>
      </w:pPr>
    </w:p>
    <w:p w14:paraId="5FD17A9B">
      <w:pPr>
        <w:pStyle w:val="25"/>
        <w:snapToGrid w:val="0"/>
        <w:spacing w:line="360" w:lineRule="auto"/>
        <w:jc w:val="center"/>
        <w:rPr>
          <w:rFonts w:hAnsi="宋体" w:cs="宋体"/>
          <w:color w:val="auto"/>
          <w:szCs w:val="20"/>
          <w:highlight w:val="none"/>
        </w:rPr>
      </w:pPr>
      <w:r>
        <w:rPr>
          <w:rFonts w:hint="eastAsia" w:hAnsi="宋体" w:cs="宋体"/>
          <w:b/>
          <w:bCs/>
          <w:color w:val="auto"/>
          <w:w w:val="95"/>
          <w:sz w:val="30"/>
          <w:szCs w:val="30"/>
          <w:highlight w:val="none"/>
        </w:rPr>
        <w:t>2025年  月  日</w:t>
      </w:r>
    </w:p>
    <w:p w14:paraId="6B881171">
      <w:pPr>
        <w:pStyle w:val="17"/>
        <w:ind w:firstLine="803"/>
        <w:jc w:val="center"/>
        <w:rPr>
          <w:rFonts w:ascii="宋体" w:hAnsi="宋体" w:cs="宋体"/>
          <w:bCs/>
          <w:color w:val="auto"/>
          <w:kern w:val="0"/>
          <w:sz w:val="32"/>
          <w:szCs w:val="32"/>
          <w:highlight w:val="none"/>
        </w:rPr>
      </w:pPr>
    </w:p>
    <w:p w14:paraId="3BF903B8">
      <w:pPr>
        <w:pStyle w:val="25"/>
        <w:spacing w:before="120" w:after="120" w:line="360" w:lineRule="auto"/>
        <w:jc w:val="center"/>
        <w:rPr>
          <w:rFonts w:hAnsi="宋体" w:cs="宋体"/>
          <w:b/>
          <w:color w:val="auto"/>
          <w:sz w:val="44"/>
          <w:szCs w:val="44"/>
          <w:highlight w:val="none"/>
        </w:rPr>
      </w:pPr>
    </w:p>
    <w:p w14:paraId="2AC5D0FD">
      <w:pPr>
        <w:pStyle w:val="25"/>
        <w:spacing w:before="120" w:after="120" w:line="360" w:lineRule="auto"/>
        <w:jc w:val="center"/>
        <w:rPr>
          <w:rFonts w:hAnsi="宋体" w:cs="宋体"/>
          <w:b/>
          <w:color w:val="auto"/>
          <w:sz w:val="44"/>
          <w:szCs w:val="44"/>
          <w:highlight w:val="none"/>
        </w:rPr>
      </w:pPr>
    </w:p>
    <w:p w14:paraId="71E2610B">
      <w:pPr>
        <w:pStyle w:val="25"/>
        <w:spacing w:before="120" w:after="120" w:line="360" w:lineRule="auto"/>
        <w:jc w:val="center"/>
        <w:rPr>
          <w:rFonts w:hAnsi="宋体" w:cs="宋体"/>
          <w:b/>
          <w:color w:val="auto"/>
          <w:sz w:val="44"/>
          <w:szCs w:val="44"/>
          <w:highlight w:val="none"/>
        </w:rPr>
      </w:pPr>
    </w:p>
    <w:p w14:paraId="3DF7C2AA">
      <w:pPr>
        <w:pStyle w:val="25"/>
        <w:spacing w:before="120" w:after="120" w:line="360" w:lineRule="auto"/>
        <w:jc w:val="center"/>
        <w:rPr>
          <w:rFonts w:hAnsi="宋体" w:cs="宋体"/>
          <w:b/>
          <w:color w:val="auto"/>
          <w:sz w:val="44"/>
          <w:szCs w:val="44"/>
          <w:highlight w:val="none"/>
        </w:rPr>
      </w:pPr>
      <w:r>
        <w:rPr>
          <w:rFonts w:hint="eastAsia" w:hAnsi="宋体" w:cs="宋体"/>
          <w:b/>
          <w:color w:val="auto"/>
          <w:sz w:val="44"/>
          <w:szCs w:val="44"/>
          <w:highlight w:val="none"/>
        </w:rPr>
        <w:t>目  录</w:t>
      </w:r>
    </w:p>
    <w:p w14:paraId="1636D576">
      <w:pPr>
        <w:pStyle w:val="34"/>
        <w:rPr>
          <w:rFonts w:cs="宋体"/>
          <w:b w:val="0"/>
          <w:bCs w:val="0"/>
          <w:caps w:val="0"/>
          <w:color w:val="auto"/>
          <w:sz w:val="21"/>
          <w:szCs w:val="22"/>
          <w:highlight w:val="none"/>
        </w:rPr>
      </w:pPr>
      <w:r>
        <w:rPr>
          <w:rFonts w:hint="eastAsia" w:cs="宋体"/>
          <w:b w:val="0"/>
          <w:bCs w:val="0"/>
          <w:caps w:val="0"/>
          <w:color w:val="auto"/>
          <w:highlight w:val="none"/>
        </w:rPr>
        <w:fldChar w:fldCharType="begin"/>
      </w:r>
      <w:r>
        <w:rPr>
          <w:rFonts w:hint="eastAsia" w:cs="宋体"/>
          <w:b w:val="0"/>
          <w:bCs w:val="0"/>
          <w:caps w:val="0"/>
          <w:color w:val="auto"/>
          <w:highlight w:val="none"/>
        </w:rPr>
        <w:instrText xml:space="preserve">TOC \o "1-1" \h \z \u</w:instrText>
      </w:r>
      <w:r>
        <w:rPr>
          <w:rFonts w:hint="eastAsia" w:cs="宋体"/>
          <w:b w:val="0"/>
          <w:bCs w:val="0"/>
          <w:caps w:val="0"/>
          <w:color w:val="auto"/>
          <w:highlight w:val="none"/>
        </w:rPr>
        <w:fldChar w:fldCharType="separate"/>
      </w:r>
      <w:r>
        <w:rPr>
          <w:color w:val="auto"/>
          <w:highlight w:val="none"/>
        </w:rPr>
        <w:fldChar w:fldCharType="begin"/>
      </w:r>
      <w:r>
        <w:rPr>
          <w:color w:val="auto"/>
          <w:highlight w:val="none"/>
        </w:rPr>
        <w:instrText xml:space="preserve"> HYPERLINK \l "_Toc143259161" </w:instrText>
      </w:r>
      <w:r>
        <w:rPr>
          <w:color w:val="auto"/>
          <w:highlight w:val="none"/>
        </w:rPr>
        <w:fldChar w:fldCharType="separate"/>
      </w:r>
      <w:r>
        <w:rPr>
          <w:rStyle w:val="54"/>
          <w:rFonts w:hint="eastAsia" w:cs="宋体"/>
          <w:color w:val="auto"/>
          <w:highlight w:val="none"/>
        </w:rPr>
        <w:t>第一章 招标公告</w:t>
      </w:r>
      <w:r>
        <w:rPr>
          <w:rFonts w:hint="eastAsia" w:cs="宋体"/>
          <w:color w:val="auto"/>
          <w:highlight w:val="none"/>
        </w:rPr>
        <w:tab/>
      </w:r>
      <w:r>
        <w:rPr>
          <w:rFonts w:hint="eastAsia" w:cs="宋体"/>
          <w:color w:val="auto"/>
          <w:highlight w:val="none"/>
        </w:rPr>
        <w:t>2</w:t>
      </w:r>
      <w:r>
        <w:rPr>
          <w:rFonts w:hint="eastAsia" w:cs="宋体"/>
          <w:color w:val="auto"/>
          <w:highlight w:val="none"/>
        </w:rPr>
        <w:fldChar w:fldCharType="end"/>
      </w:r>
    </w:p>
    <w:p w14:paraId="2A1C3E5D">
      <w:pPr>
        <w:pStyle w:val="34"/>
        <w:ind w:firstLine="241"/>
        <w:rPr>
          <w:rFonts w:cs="宋体"/>
          <w:b w:val="0"/>
          <w:bCs w:val="0"/>
          <w:caps w:val="0"/>
          <w:color w:val="auto"/>
          <w:sz w:val="21"/>
          <w:szCs w:val="22"/>
          <w:highlight w:val="none"/>
        </w:rPr>
      </w:pPr>
      <w:r>
        <w:rPr>
          <w:color w:val="auto"/>
          <w:highlight w:val="none"/>
        </w:rPr>
        <w:fldChar w:fldCharType="begin"/>
      </w:r>
      <w:r>
        <w:rPr>
          <w:color w:val="auto"/>
          <w:highlight w:val="none"/>
        </w:rPr>
        <w:instrText xml:space="preserve"> HYPERLINK \l "_Toc143259162" </w:instrText>
      </w:r>
      <w:r>
        <w:rPr>
          <w:color w:val="auto"/>
          <w:highlight w:val="none"/>
        </w:rPr>
        <w:fldChar w:fldCharType="separate"/>
      </w:r>
      <w:r>
        <w:rPr>
          <w:rStyle w:val="54"/>
          <w:rFonts w:hint="eastAsia" w:cs="宋体"/>
          <w:color w:val="auto"/>
          <w:highlight w:val="none"/>
        </w:rPr>
        <w:t>第二章 采购需求</w:t>
      </w:r>
      <w:r>
        <w:rPr>
          <w:rFonts w:hint="eastAsia" w:cs="宋体"/>
          <w:color w:val="auto"/>
          <w:highlight w:val="none"/>
        </w:rPr>
        <w:tab/>
      </w:r>
      <w:r>
        <w:rPr>
          <w:rFonts w:hint="eastAsia" w:cs="宋体"/>
          <w:color w:val="auto"/>
          <w:highlight w:val="none"/>
        </w:rPr>
        <w:t>6</w:t>
      </w:r>
      <w:r>
        <w:rPr>
          <w:rFonts w:hint="eastAsia" w:cs="宋体"/>
          <w:color w:val="auto"/>
          <w:highlight w:val="none"/>
        </w:rPr>
        <w:fldChar w:fldCharType="end"/>
      </w:r>
    </w:p>
    <w:p w14:paraId="42C1115C">
      <w:pPr>
        <w:pStyle w:val="34"/>
        <w:ind w:firstLine="241"/>
        <w:rPr>
          <w:rFonts w:cs="宋体"/>
          <w:b w:val="0"/>
          <w:bCs w:val="0"/>
          <w:caps w:val="0"/>
          <w:color w:val="auto"/>
          <w:sz w:val="21"/>
          <w:szCs w:val="22"/>
          <w:highlight w:val="none"/>
        </w:rPr>
      </w:pPr>
      <w:r>
        <w:rPr>
          <w:color w:val="auto"/>
          <w:highlight w:val="none"/>
        </w:rPr>
        <w:fldChar w:fldCharType="begin"/>
      </w:r>
      <w:r>
        <w:rPr>
          <w:color w:val="auto"/>
          <w:highlight w:val="none"/>
        </w:rPr>
        <w:instrText xml:space="preserve"> HYPERLINK \l "_Toc143259163" </w:instrText>
      </w:r>
      <w:r>
        <w:rPr>
          <w:color w:val="auto"/>
          <w:highlight w:val="none"/>
        </w:rPr>
        <w:fldChar w:fldCharType="separate"/>
      </w:r>
      <w:r>
        <w:rPr>
          <w:rStyle w:val="54"/>
          <w:rFonts w:hint="eastAsia" w:cs="宋体"/>
          <w:color w:val="auto"/>
          <w:highlight w:val="none"/>
        </w:rPr>
        <w:t>第三章 投标人须知</w:t>
      </w:r>
      <w:r>
        <w:rPr>
          <w:rFonts w:hint="eastAsia" w:cs="宋体"/>
          <w:color w:val="auto"/>
          <w:highlight w:val="none"/>
        </w:rPr>
        <w:tab/>
      </w:r>
      <w:r>
        <w:rPr>
          <w:rFonts w:hint="eastAsia" w:cs="宋体"/>
          <w:color w:val="auto"/>
          <w:highlight w:val="none"/>
        </w:rPr>
        <w:fldChar w:fldCharType="end"/>
      </w:r>
      <w:r>
        <w:rPr>
          <w:rFonts w:hint="eastAsia" w:cs="宋体"/>
          <w:color w:val="auto"/>
          <w:highlight w:val="none"/>
        </w:rPr>
        <w:t>62</w:t>
      </w:r>
    </w:p>
    <w:p w14:paraId="4F631584">
      <w:pPr>
        <w:pStyle w:val="34"/>
        <w:ind w:firstLine="241"/>
        <w:rPr>
          <w:rFonts w:cs="宋体"/>
          <w:b w:val="0"/>
          <w:bCs w:val="0"/>
          <w:caps w:val="0"/>
          <w:color w:val="auto"/>
          <w:sz w:val="21"/>
          <w:szCs w:val="22"/>
          <w:highlight w:val="none"/>
        </w:rPr>
      </w:pPr>
      <w:r>
        <w:rPr>
          <w:color w:val="auto"/>
          <w:highlight w:val="none"/>
        </w:rPr>
        <w:fldChar w:fldCharType="begin"/>
      </w:r>
      <w:r>
        <w:rPr>
          <w:color w:val="auto"/>
          <w:highlight w:val="none"/>
        </w:rPr>
        <w:instrText xml:space="preserve"> HYPERLINK \l "_Toc143259164" </w:instrText>
      </w:r>
      <w:r>
        <w:rPr>
          <w:color w:val="auto"/>
          <w:highlight w:val="none"/>
        </w:rPr>
        <w:fldChar w:fldCharType="separate"/>
      </w:r>
      <w:r>
        <w:rPr>
          <w:rStyle w:val="54"/>
          <w:rFonts w:hint="eastAsia" w:cs="宋体"/>
          <w:color w:val="auto"/>
          <w:highlight w:val="none"/>
        </w:rPr>
        <w:t>第四章 评标方法及评标标准</w:t>
      </w:r>
      <w:r>
        <w:rPr>
          <w:rFonts w:hint="eastAsia" w:cs="宋体"/>
          <w:color w:val="auto"/>
          <w:highlight w:val="none"/>
        </w:rPr>
        <w:tab/>
      </w:r>
      <w:r>
        <w:rPr>
          <w:rFonts w:hint="eastAsia" w:cs="宋体"/>
          <w:color w:val="auto"/>
          <w:highlight w:val="none"/>
        </w:rPr>
        <w:fldChar w:fldCharType="end"/>
      </w:r>
      <w:r>
        <w:rPr>
          <w:rFonts w:hint="eastAsia" w:cs="宋体"/>
          <w:color w:val="auto"/>
          <w:highlight w:val="none"/>
        </w:rPr>
        <w:t>87</w:t>
      </w:r>
    </w:p>
    <w:p w14:paraId="1A101466">
      <w:pPr>
        <w:pStyle w:val="34"/>
        <w:ind w:firstLine="241"/>
        <w:rPr>
          <w:rFonts w:cs="宋体"/>
          <w:b w:val="0"/>
          <w:bCs w:val="0"/>
          <w:caps w:val="0"/>
          <w:color w:val="auto"/>
          <w:sz w:val="21"/>
          <w:szCs w:val="22"/>
          <w:highlight w:val="none"/>
        </w:rPr>
      </w:pPr>
      <w:r>
        <w:rPr>
          <w:color w:val="auto"/>
          <w:highlight w:val="none"/>
        </w:rPr>
        <w:fldChar w:fldCharType="begin"/>
      </w:r>
      <w:r>
        <w:rPr>
          <w:color w:val="auto"/>
          <w:highlight w:val="none"/>
        </w:rPr>
        <w:instrText xml:space="preserve"> HYPERLINK \l "_Toc143259165" </w:instrText>
      </w:r>
      <w:r>
        <w:rPr>
          <w:color w:val="auto"/>
          <w:highlight w:val="none"/>
        </w:rPr>
        <w:fldChar w:fldCharType="separate"/>
      </w:r>
      <w:r>
        <w:rPr>
          <w:rStyle w:val="54"/>
          <w:rFonts w:hint="eastAsia" w:cs="宋体"/>
          <w:color w:val="auto"/>
          <w:highlight w:val="none"/>
        </w:rPr>
        <w:t>第五章 拟签订的合同文本</w:t>
      </w:r>
      <w:r>
        <w:rPr>
          <w:rFonts w:hint="eastAsia" w:cs="宋体"/>
          <w:color w:val="auto"/>
          <w:highlight w:val="none"/>
        </w:rPr>
        <w:tab/>
      </w:r>
      <w:r>
        <w:rPr>
          <w:rFonts w:hint="eastAsia" w:cs="宋体"/>
          <w:color w:val="auto"/>
          <w:highlight w:val="none"/>
        </w:rPr>
        <w:fldChar w:fldCharType="end"/>
      </w:r>
      <w:r>
        <w:rPr>
          <w:rFonts w:hint="eastAsia" w:cs="宋体"/>
          <w:color w:val="auto"/>
          <w:highlight w:val="none"/>
        </w:rPr>
        <w:t>94</w:t>
      </w:r>
    </w:p>
    <w:p w14:paraId="6638A318">
      <w:pPr>
        <w:pStyle w:val="34"/>
        <w:ind w:firstLine="241"/>
        <w:rPr>
          <w:rFonts w:cs="宋体"/>
          <w:b w:val="0"/>
          <w:bCs w:val="0"/>
          <w:caps w:val="0"/>
          <w:color w:val="auto"/>
          <w:sz w:val="21"/>
          <w:szCs w:val="22"/>
          <w:highlight w:val="none"/>
        </w:rPr>
      </w:pPr>
      <w:r>
        <w:rPr>
          <w:color w:val="auto"/>
          <w:highlight w:val="none"/>
        </w:rPr>
        <w:fldChar w:fldCharType="begin"/>
      </w:r>
      <w:r>
        <w:rPr>
          <w:color w:val="auto"/>
          <w:highlight w:val="none"/>
        </w:rPr>
        <w:instrText xml:space="preserve"> HYPERLINK \l "_Toc143259166" </w:instrText>
      </w:r>
      <w:r>
        <w:rPr>
          <w:color w:val="auto"/>
          <w:highlight w:val="none"/>
        </w:rPr>
        <w:fldChar w:fldCharType="separate"/>
      </w:r>
      <w:r>
        <w:rPr>
          <w:rStyle w:val="54"/>
          <w:rFonts w:hint="eastAsia" w:cs="宋体"/>
          <w:color w:val="auto"/>
          <w:highlight w:val="none"/>
        </w:rPr>
        <w:t>第六章 投标文件格式</w:t>
      </w:r>
      <w:r>
        <w:rPr>
          <w:rFonts w:hint="eastAsia" w:cs="宋体"/>
          <w:color w:val="auto"/>
          <w:highlight w:val="none"/>
        </w:rPr>
        <w:tab/>
      </w:r>
      <w:r>
        <w:rPr>
          <w:rFonts w:hint="eastAsia" w:cs="宋体"/>
          <w:color w:val="auto"/>
          <w:highlight w:val="none"/>
        </w:rPr>
        <w:fldChar w:fldCharType="end"/>
      </w:r>
      <w:r>
        <w:rPr>
          <w:rFonts w:hint="eastAsia" w:cs="宋体"/>
          <w:color w:val="auto"/>
          <w:highlight w:val="none"/>
        </w:rPr>
        <w:t>101</w:t>
      </w:r>
    </w:p>
    <w:p w14:paraId="5029C708">
      <w:pPr>
        <w:spacing w:before="120" w:beforeLines="50" w:line="480" w:lineRule="exact"/>
        <w:rPr>
          <w:rFonts w:ascii="宋体" w:hAnsi="宋体" w:cs="宋体"/>
          <w:color w:val="auto"/>
          <w:sz w:val="24"/>
          <w:highlight w:val="none"/>
        </w:rPr>
      </w:pPr>
      <w:r>
        <w:rPr>
          <w:rFonts w:hint="eastAsia" w:ascii="宋体" w:hAnsi="宋体" w:cs="宋体"/>
          <w:b/>
          <w:bCs/>
          <w:caps/>
          <w:color w:val="auto"/>
          <w:sz w:val="24"/>
          <w:highlight w:val="none"/>
        </w:rPr>
        <w:fldChar w:fldCharType="end"/>
      </w:r>
    </w:p>
    <w:p w14:paraId="260B5505">
      <w:pPr>
        <w:spacing w:before="120" w:beforeLines="50" w:line="480" w:lineRule="exact"/>
        <w:rPr>
          <w:rFonts w:ascii="宋体" w:hAnsi="宋体" w:cs="宋体"/>
          <w:color w:val="auto"/>
          <w:sz w:val="30"/>
          <w:highlight w:val="none"/>
        </w:rPr>
      </w:pPr>
    </w:p>
    <w:p w14:paraId="65FACB38">
      <w:pPr>
        <w:rPr>
          <w:rFonts w:ascii="宋体" w:hAnsi="宋体" w:cs="宋体"/>
          <w:color w:val="auto"/>
          <w:highlight w:val="none"/>
        </w:rPr>
      </w:pPr>
    </w:p>
    <w:p w14:paraId="2C29FB12">
      <w:pPr>
        <w:spacing w:before="120" w:beforeLines="50" w:line="480" w:lineRule="exact"/>
        <w:rPr>
          <w:rFonts w:ascii="宋体" w:hAnsi="宋体" w:cs="宋体"/>
          <w:color w:val="auto"/>
          <w:sz w:val="30"/>
          <w:highlight w:val="none"/>
        </w:rPr>
      </w:pPr>
    </w:p>
    <w:p w14:paraId="60E5D339">
      <w:pPr>
        <w:spacing w:before="120" w:beforeLines="50" w:line="480" w:lineRule="exact"/>
        <w:rPr>
          <w:rFonts w:ascii="宋体" w:hAnsi="宋体" w:cs="宋体"/>
          <w:color w:val="auto"/>
          <w:sz w:val="30"/>
          <w:highlight w:val="none"/>
        </w:rPr>
      </w:pPr>
    </w:p>
    <w:p w14:paraId="36B66284">
      <w:pPr>
        <w:pStyle w:val="17"/>
        <w:rPr>
          <w:rFonts w:ascii="宋体" w:hAnsi="宋体" w:cs="宋体"/>
          <w:b/>
          <w:bCs/>
          <w:color w:val="auto"/>
          <w:highlight w:val="none"/>
        </w:rPr>
      </w:pPr>
      <w:bookmarkStart w:id="0" w:name="_Toc254970489"/>
      <w:bookmarkStart w:id="1" w:name="_Toc254970630"/>
    </w:p>
    <w:p w14:paraId="3831DA3E">
      <w:pPr>
        <w:pStyle w:val="3"/>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color w:val="auto"/>
          <w:highlight w:val="none"/>
        </w:rPr>
      </w:pPr>
      <w:r>
        <w:rPr>
          <w:rFonts w:hint="eastAsia" w:ascii="宋体" w:hAnsi="宋体" w:cs="宋体"/>
          <w:b w:val="0"/>
          <w:bCs w:val="0"/>
          <w:color w:val="auto"/>
          <w:highlight w:val="none"/>
        </w:rPr>
        <w:br w:type="page"/>
      </w:r>
      <w:bookmarkStart w:id="2" w:name="_Toc74320800"/>
      <w:bookmarkStart w:id="3" w:name="_Toc143259161"/>
      <w:r>
        <w:rPr>
          <w:rFonts w:hint="eastAsia" w:ascii="宋体" w:hAnsi="宋体" w:cs="宋体"/>
          <w:color w:val="auto"/>
          <w:highlight w:val="none"/>
        </w:rPr>
        <w:t>第一章</w:t>
      </w:r>
      <w:bookmarkEnd w:id="0"/>
      <w:bookmarkEnd w:id="1"/>
      <w:bookmarkStart w:id="4" w:name="_Toc35393789"/>
      <w:bookmarkStart w:id="5" w:name="_Toc28359001"/>
      <w:r>
        <w:rPr>
          <w:rFonts w:hint="eastAsia" w:ascii="宋体" w:hAnsi="宋体" w:cs="宋体"/>
          <w:color w:val="auto"/>
          <w:highlight w:val="none"/>
        </w:rPr>
        <w:t>招标公告</w:t>
      </w:r>
      <w:bookmarkEnd w:id="2"/>
      <w:bookmarkEnd w:id="3"/>
      <w:bookmarkEnd w:id="4"/>
      <w:bookmarkEnd w:id="5"/>
    </w:p>
    <w:p w14:paraId="5608BD10">
      <w:pPr>
        <w:spacing w:line="360" w:lineRule="auto"/>
        <w:rPr>
          <w:rFonts w:ascii="宋体" w:hAnsi="宋体" w:cs="宋体"/>
          <w:color w:val="auto"/>
          <w:szCs w:val="21"/>
          <w:highlight w:val="none"/>
        </w:rPr>
      </w:pPr>
    </w:p>
    <w:p w14:paraId="6BD18CD5">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14:paraId="63DE4273">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监护仪一批项目的潜在投标人应在“广西政府采购云平台”（</w:t>
      </w:r>
      <w:r>
        <w:rPr>
          <w:color w:val="auto"/>
          <w:highlight w:val="none"/>
        </w:rPr>
        <w:fldChar w:fldCharType="begin"/>
      </w:r>
      <w:r>
        <w:rPr>
          <w:color w:val="auto"/>
          <w:highlight w:val="none"/>
        </w:rPr>
        <w:instrText xml:space="preserve"> HYPERLINK "https://www.gcy.zfcg.gxzf.gov.cn/）获取（下载）招标文件，并于2024年" </w:instrText>
      </w:r>
      <w:r>
        <w:rPr>
          <w:color w:val="auto"/>
          <w:highlight w:val="none"/>
        </w:rPr>
        <w:fldChar w:fldCharType="separate"/>
      </w:r>
      <w:r>
        <w:rPr>
          <w:rFonts w:hint="eastAsia" w:ascii="宋体" w:hAnsi="宋体" w:cs="宋体"/>
          <w:color w:val="auto"/>
          <w:highlight w:val="none"/>
        </w:rPr>
        <w:t>https://www.gcy.zfcg.gxzf.gov.cn/）获取（下载）招标文件，并于2025年</w:t>
      </w:r>
      <w:r>
        <w:rPr>
          <w:rFonts w:hint="eastAsia" w:ascii="宋体" w:hAnsi="宋体" w:cs="宋体"/>
          <w:color w:val="auto"/>
          <w:highlight w:val="none"/>
        </w:rPr>
        <w:fldChar w:fldCharType="end"/>
      </w:r>
      <w:r>
        <w:rPr>
          <w:rFonts w:hint="eastAsia" w:ascii="宋体" w:hAnsi="宋体" w:cs="宋体"/>
          <w:color w:val="auto"/>
          <w:highlight w:val="none"/>
          <w:lang w:val="en-US" w:eastAsia="zh-CN"/>
        </w:rPr>
        <w:t xml:space="preserve">  </w:t>
      </w:r>
      <w:r>
        <w:rPr>
          <w:rFonts w:hint="eastAsia" w:ascii="宋体" w:hAnsi="宋体" w:cs="宋体"/>
          <w:color w:val="auto"/>
          <w:szCs w:val="21"/>
          <w:highlight w:val="none"/>
        </w:rPr>
        <w:t>月  日9时30分（北京时间）前按要求递交（上传）投标文件。</w:t>
      </w:r>
    </w:p>
    <w:p w14:paraId="3628976A">
      <w:pPr>
        <w:spacing w:line="380" w:lineRule="exact"/>
        <w:rPr>
          <w:rFonts w:ascii="宋体" w:hAnsi="宋体" w:cs="宋体"/>
          <w:b/>
          <w:bCs/>
          <w:color w:val="auto"/>
          <w:sz w:val="24"/>
          <w:highlight w:val="none"/>
        </w:rPr>
      </w:pPr>
      <w:bookmarkStart w:id="6" w:name="_Toc35393621"/>
      <w:bookmarkStart w:id="7" w:name="_Toc28359002"/>
      <w:bookmarkStart w:id="8" w:name="_Toc35393790"/>
      <w:bookmarkStart w:id="9" w:name="_Toc28359079"/>
      <w:bookmarkStart w:id="10" w:name="_Hlk24379207"/>
      <w:r>
        <w:rPr>
          <w:rFonts w:hint="eastAsia" w:ascii="宋体" w:hAnsi="宋体" w:cs="宋体"/>
          <w:b/>
          <w:bCs/>
          <w:color w:val="auto"/>
          <w:sz w:val="24"/>
          <w:highlight w:val="none"/>
        </w:rPr>
        <w:t>一、项目基本情况</w:t>
      </w:r>
      <w:bookmarkEnd w:id="6"/>
      <w:bookmarkEnd w:id="7"/>
      <w:bookmarkEnd w:id="8"/>
      <w:bookmarkEnd w:id="9"/>
    </w:p>
    <w:p w14:paraId="3ABC162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项目编号：GXZC2025-G1-001543-YZLZ（代理编号：YZLGL2025-G1-043-GXZC）</w:t>
      </w:r>
    </w:p>
    <w:p w14:paraId="3623A154">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项目名称：监护仪一批</w:t>
      </w:r>
    </w:p>
    <w:bookmarkEnd w:id="10"/>
    <w:p w14:paraId="060BCB3D">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预算金额：4367000.00元</w:t>
      </w:r>
    </w:p>
    <w:p w14:paraId="369E9EF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最高限价：3330680.00元</w:t>
      </w:r>
    </w:p>
    <w:p w14:paraId="6C6BED0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p>
    <w:p w14:paraId="2C2ABDDA">
      <w:pPr>
        <w:spacing w:line="360" w:lineRule="exact"/>
        <w:ind w:firstLine="422" w:firstLineChars="200"/>
        <w:rPr>
          <w:rFonts w:ascii="宋体" w:hAnsi="宋体" w:cs="宋体"/>
          <w:b/>
          <w:bCs/>
          <w:color w:val="auto"/>
          <w:szCs w:val="21"/>
          <w:highlight w:val="none"/>
        </w:rPr>
      </w:pPr>
      <w:r>
        <w:rPr>
          <w:rFonts w:hint="eastAsia" w:ascii="宋体" w:hAnsi="宋体"/>
          <w:b/>
          <w:bCs/>
          <w:color w:val="auto"/>
          <w:highlight w:val="none"/>
        </w:rPr>
        <w:t>分标1：预算金额为贰佰柒拾贰万玖仟元整（¥2729000.00），</w:t>
      </w:r>
      <w:r>
        <w:rPr>
          <w:rFonts w:hint="eastAsia" w:ascii="宋体" w:hAnsi="宋体" w:cs="宋体"/>
          <w:b/>
          <w:bCs/>
          <w:color w:val="auto"/>
          <w:highlight w:val="none"/>
        </w:rPr>
        <w:t>最高限价为壹佰玖拾柒万贰仟捌佰捌拾元整（¥1972880.00）。</w:t>
      </w:r>
    </w:p>
    <w:p w14:paraId="7D045E16">
      <w:pPr>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1.标的的名称、数量及单位：病人监护仪8台，病人监护仪5台，病人监护仪24台，病人监护仪14台，病人监护仪6台，病人监护仪4台，病人监护仪2台，病人监护仪1台，中心监护系统1套；</w:t>
      </w:r>
    </w:p>
    <w:p w14:paraId="3DECB800">
      <w:pPr>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2.简要技术需求或者服务要求：按国家有关产品“三包”规定执行“三包”；</w:t>
      </w:r>
      <w:r>
        <w:rPr>
          <w:rFonts w:hint="eastAsia"/>
          <w:color w:val="auto"/>
          <w:highlight w:val="none"/>
          <w:lang w:val="en-US" w:eastAsia="zh-CN"/>
        </w:rPr>
        <w:t>病人监护仪</w:t>
      </w:r>
      <w:r>
        <w:rPr>
          <w:rFonts w:hint="eastAsia" w:ascii="宋体" w:hAnsi="宋体" w:cs="宋体"/>
          <w:bCs/>
          <w:color w:val="auto"/>
          <w:szCs w:val="21"/>
          <w:highlight w:val="none"/>
        </w:rPr>
        <w:t>保修期不得少于5年</w:t>
      </w:r>
      <w:r>
        <w:rPr>
          <w:rFonts w:hint="eastAsia" w:ascii="宋体" w:hAnsi="宋体" w:cs="宋体"/>
          <w:bCs/>
          <w:color w:val="auto"/>
          <w:szCs w:val="21"/>
          <w:highlight w:val="none"/>
          <w:lang w:eastAsia="zh-CN"/>
        </w:rPr>
        <w:t>，</w:t>
      </w:r>
      <w:r>
        <w:rPr>
          <w:rFonts w:hint="eastAsia"/>
          <w:color w:val="auto"/>
          <w:highlight w:val="none"/>
          <w:lang w:val="en-US" w:eastAsia="zh-CN"/>
        </w:rPr>
        <w:t>中心监护系统保修期不得少于3年</w:t>
      </w:r>
      <w:r>
        <w:rPr>
          <w:rFonts w:hint="eastAsia" w:ascii="宋体" w:hAnsi="宋体" w:cs="宋体"/>
          <w:bCs/>
          <w:color w:val="auto"/>
          <w:szCs w:val="21"/>
          <w:highlight w:val="none"/>
        </w:rPr>
        <w:t>（保修期从设备验收合格之日起计算），保修期内上门维修不收取任何费用</w:t>
      </w:r>
      <w:r>
        <w:rPr>
          <w:rFonts w:hint="eastAsia" w:ascii="宋体" w:hAnsi="宋体" w:cs="宋体"/>
          <w:bCs/>
          <w:color w:val="auto"/>
          <w:highlight w:val="none"/>
        </w:rPr>
        <w:t>。</w:t>
      </w:r>
      <w:r>
        <w:rPr>
          <w:rFonts w:hint="eastAsia" w:ascii="宋体" w:hAnsi="宋体" w:cs="宋体"/>
          <w:bCs/>
          <w:color w:val="auto"/>
          <w:szCs w:val="21"/>
          <w:highlight w:val="none"/>
        </w:rPr>
        <w:t>具体详见采购需求。</w:t>
      </w:r>
    </w:p>
    <w:p w14:paraId="5257EF0A">
      <w:pPr>
        <w:spacing w:line="360" w:lineRule="exact"/>
        <w:ind w:firstLine="422" w:firstLineChars="200"/>
        <w:rPr>
          <w:rFonts w:ascii="宋体" w:hAnsi="宋体" w:cs="宋体"/>
          <w:b/>
          <w:bCs/>
          <w:color w:val="auto"/>
          <w:szCs w:val="21"/>
          <w:highlight w:val="none"/>
        </w:rPr>
      </w:pPr>
      <w:r>
        <w:rPr>
          <w:rFonts w:hint="eastAsia" w:ascii="宋体" w:hAnsi="宋体"/>
          <w:b/>
          <w:bCs/>
          <w:color w:val="auto"/>
          <w:highlight w:val="none"/>
        </w:rPr>
        <w:t>分标2：预算金额为陆拾肆万陆仟元整（¥646000.00），</w:t>
      </w:r>
      <w:r>
        <w:rPr>
          <w:rFonts w:hint="eastAsia" w:ascii="宋体" w:hAnsi="宋体" w:cs="宋体"/>
          <w:b/>
          <w:bCs/>
          <w:color w:val="auto"/>
          <w:highlight w:val="none"/>
        </w:rPr>
        <w:t>最高限价为伍拾万零肆仟元整（¥504000.00）。</w:t>
      </w:r>
    </w:p>
    <w:p w14:paraId="680D2D1D">
      <w:pPr>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1.标的的名称、数量及单位：</w:t>
      </w:r>
      <w:r>
        <w:rPr>
          <w:rFonts w:hint="eastAsia" w:ascii="宋体" w:hAnsi="宋体" w:cs="宋体"/>
          <w:color w:val="auto"/>
          <w:szCs w:val="20"/>
          <w:highlight w:val="none"/>
        </w:rPr>
        <w:t>病人监护仪</w:t>
      </w:r>
      <w:r>
        <w:rPr>
          <w:rFonts w:hint="eastAsia" w:ascii="宋体" w:hAnsi="宋体" w:cs="宋体"/>
          <w:bCs/>
          <w:color w:val="auto"/>
          <w:szCs w:val="21"/>
          <w:highlight w:val="none"/>
        </w:rPr>
        <w:t>21台，</w:t>
      </w:r>
      <w:r>
        <w:rPr>
          <w:rFonts w:hint="eastAsia" w:ascii="宋体" w:hAnsi="宋体" w:cs="宋体"/>
          <w:color w:val="auto"/>
          <w:szCs w:val="20"/>
          <w:highlight w:val="none"/>
        </w:rPr>
        <w:t>遥测监护仪</w:t>
      </w:r>
      <w:r>
        <w:rPr>
          <w:rFonts w:hint="eastAsia" w:ascii="宋体" w:hAnsi="宋体" w:cs="宋体"/>
          <w:bCs/>
          <w:color w:val="auto"/>
          <w:szCs w:val="21"/>
          <w:highlight w:val="none"/>
        </w:rPr>
        <w:t>9台；</w:t>
      </w:r>
    </w:p>
    <w:p w14:paraId="2354D5D7">
      <w:pPr>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2.简要技术需求或者服务要求：按国家有关产品“三包”规定执行“三包”；</w:t>
      </w:r>
      <w:r>
        <w:rPr>
          <w:rFonts w:hint="eastAsia" w:ascii="宋体" w:hAnsi="宋体" w:cs="宋体"/>
          <w:color w:val="auto"/>
          <w:szCs w:val="20"/>
          <w:highlight w:val="none"/>
        </w:rPr>
        <w:t>病人监护仪</w:t>
      </w:r>
      <w:r>
        <w:rPr>
          <w:rFonts w:hint="eastAsia" w:ascii="宋体" w:hAnsi="宋体" w:cs="宋体"/>
          <w:bCs/>
          <w:color w:val="auto"/>
          <w:szCs w:val="21"/>
          <w:highlight w:val="none"/>
        </w:rPr>
        <w:t>保修期不得少于 5 年,</w:t>
      </w:r>
      <w:r>
        <w:rPr>
          <w:rFonts w:hint="eastAsia" w:ascii="宋体" w:hAnsi="宋体" w:cs="宋体"/>
          <w:color w:val="auto"/>
          <w:szCs w:val="20"/>
          <w:highlight w:val="none"/>
        </w:rPr>
        <w:t xml:space="preserve"> 遥测监护仪</w:t>
      </w:r>
      <w:r>
        <w:rPr>
          <w:rFonts w:hint="eastAsia" w:ascii="宋体" w:hAnsi="宋体" w:cs="宋体"/>
          <w:bCs/>
          <w:color w:val="auto"/>
          <w:szCs w:val="21"/>
          <w:highlight w:val="none"/>
        </w:rPr>
        <w:t>保修期不得少于 3 年（保修期从设备验收合格之日起计算），保修期内上门维修不收取任何费用</w:t>
      </w:r>
      <w:r>
        <w:rPr>
          <w:rFonts w:hint="eastAsia" w:ascii="宋体" w:hAnsi="宋体" w:cs="宋体"/>
          <w:bCs/>
          <w:color w:val="auto"/>
          <w:highlight w:val="none"/>
        </w:rPr>
        <w:t>。</w:t>
      </w:r>
      <w:r>
        <w:rPr>
          <w:rFonts w:hint="eastAsia" w:ascii="宋体" w:hAnsi="宋体" w:cs="宋体"/>
          <w:bCs/>
          <w:color w:val="auto"/>
          <w:szCs w:val="21"/>
          <w:highlight w:val="none"/>
        </w:rPr>
        <w:t>具体详见采购需求。</w:t>
      </w:r>
    </w:p>
    <w:p w14:paraId="3E5599A4">
      <w:pPr>
        <w:spacing w:line="360" w:lineRule="exact"/>
        <w:ind w:firstLine="422" w:firstLineChars="200"/>
        <w:rPr>
          <w:rFonts w:ascii="宋体" w:hAnsi="宋体" w:cs="宋体"/>
          <w:b/>
          <w:bCs/>
          <w:color w:val="auto"/>
          <w:szCs w:val="21"/>
          <w:highlight w:val="none"/>
        </w:rPr>
      </w:pPr>
      <w:r>
        <w:rPr>
          <w:rFonts w:hint="eastAsia" w:ascii="宋体" w:hAnsi="宋体"/>
          <w:b/>
          <w:bCs/>
          <w:color w:val="auto"/>
          <w:highlight w:val="none"/>
        </w:rPr>
        <w:t>分标3：预算金额为玖拾玖万贰仟元整（¥992000.00），</w:t>
      </w:r>
      <w:r>
        <w:rPr>
          <w:rFonts w:hint="eastAsia" w:ascii="宋体" w:hAnsi="宋体" w:cs="宋体"/>
          <w:b/>
          <w:bCs/>
          <w:color w:val="auto"/>
          <w:highlight w:val="none"/>
        </w:rPr>
        <w:t>最高限价为捌拾伍万叁仟捌佰元整（¥853800.00）。</w:t>
      </w:r>
    </w:p>
    <w:p w14:paraId="1376C368">
      <w:pPr>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1.标的的名称、数量及单位：无线移动多参数监护仪（1拖10）2套；</w:t>
      </w:r>
    </w:p>
    <w:p w14:paraId="36F9CD03">
      <w:pPr>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2.简要技术需求或者服务要求：按国家有关产品“三包”规定执行“三包”；保修期不得少于3 年（保修期从设备验收合格之日起计算），保修期内上门维修不收取任何费用</w:t>
      </w:r>
      <w:r>
        <w:rPr>
          <w:rFonts w:hint="eastAsia" w:ascii="宋体" w:hAnsi="宋体" w:cs="宋体"/>
          <w:bCs/>
          <w:color w:val="auto"/>
          <w:highlight w:val="none"/>
        </w:rPr>
        <w:t>。</w:t>
      </w:r>
      <w:r>
        <w:rPr>
          <w:rFonts w:hint="eastAsia" w:ascii="宋体" w:hAnsi="宋体" w:cs="宋体"/>
          <w:bCs/>
          <w:color w:val="auto"/>
          <w:szCs w:val="21"/>
          <w:highlight w:val="none"/>
        </w:rPr>
        <w:t>具体详见采购需求。</w:t>
      </w:r>
    </w:p>
    <w:p w14:paraId="01D10F50">
      <w:pPr>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合同履行期限（分标1、2、3）：</w:t>
      </w:r>
      <w:r>
        <w:rPr>
          <w:rFonts w:hint="eastAsia" w:ascii="宋体" w:hAnsi="宋体" w:cs="宋体"/>
          <w:color w:val="auto"/>
          <w:highlight w:val="none"/>
        </w:rPr>
        <w:t>合同签订，</w:t>
      </w:r>
      <w:r>
        <w:rPr>
          <w:rFonts w:hint="eastAsia" w:ascii="宋体" w:hAnsi="宋体" w:cs="宋体"/>
          <w:color w:val="auto"/>
          <w:highlight w:val="none"/>
          <w:lang w:eastAsia="zh-CN"/>
        </w:rPr>
        <w:t>接到采购人供货通知</w:t>
      </w:r>
      <w:r>
        <w:rPr>
          <w:rFonts w:hint="eastAsia" w:ascii="宋体" w:hAnsi="宋体" w:cs="宋体"/>
          <w:color w:val="auto"/>
          <w:highlight w:val="none"/>
        </w:rPr>
        <w:t>后</w:t>
      </w:r>
      <w:r>
        <w:rPr>
          <w:rFonts w:hint="eastAsia" w:ascii="宋体" w:hAnsi="宋体" w:cs="宋体"/>
          <w:color w:val="auto"/>
          <w:highlight w:val="none"/>
          <w:u w:val="single"/>
        </w:rPr>
        <w:t>60</w:t>
      </w:r>
      <w:r>
        <w:rPr>
          <w:rFonts w:hint="eastAsia" w:ascii="宋体" w:hAnsi="宋体" w:cs="宋体"/>
          <w:color w:val="auto"/>
          <w:highlight w:val="none"/>
        </w:rPr>
        <w:t>个工作日内到货并安装调试完毕，达到正常使用状态</w:t>
      </w:r>
      <w:r>
        <w:rPr>
          <w:rFonts w:hint="eastAsia" w:hAnsi="宋体"/>
          <w:color w:val="auto"/>
          <w:szCs w:val="21"/>
          <w:highlight w:val="none"/>
        </w:rPr>
        <w:t>。</w:t>
      </w:r>
    </w:p>
    <w:p w14:paraId="0360DE60">
      <w:pPr>
        <w:spacing w:line="36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本项目各分标均不接受联合体投标。</w:t>
      </w:r>
    </w:p>
    <w:p w14:paraId="58B57F4E">
      <w:pPr>
        <w:spacing w:line="380" w:lineRule="exact"/>
        <w:rPr>
          <w:rFonts w:ascii="宋体" w:hAnsi="宋体" w:cs="宋体"/>
          <w:b/>
          <w:bCs/>
          <w:color w:val="auto"/>
          <w:sz w:val="24"/>
          <w:highlight w:val="none"/>
        </w:rPr>
      </w:pPr>
      <w:bookmarkStart w:id="11" w:name="_Toc35393622"/>
      <w:bookmarkStart w:id="12" w:name="_Toc28359003"/>
      <w:bookmarkStart w:id="13" w:name="_Toc28359080"/>
      <w:bookmarkStart w:id="14" w:name="_Toc35393791"/>
      <w:r>
        <w:rPr>
          <w:rFonts w:hint="eastAsia" w:ascii="宋体" w:hAnsi="宋体" w:cs="宋体"/>
          <w:b/>
          <w:bCs/>
          <w:color w:val="auto"/>
          <w:sz w:val="24"/>
          <w:highlight w:val="none"/>
        </w:rPr>
        <w:t>二、申请人的资格要求：</w:t>
      </w:r>
      <w:bookmarkEnd w:id="11"/>
      <w:bookmarkEnd w:id="12"/>
      <w:bookmarkEnd w:id="13"/>
      <w:bookmarkEnd w:id="14"/>
    </w:p>
    <w:p w14:paraId="02454CD1">
      <w:pPr>
        <w:spacing w:line="380" w:lineRule="exact"/>
        <w:ind w:firstLine="420" w:firstLineChars="200"/>
        <w:rPr>
          <w:rFonts w:ascii="宋体" w:hAnsi="宋体" w:cs="宋体"/>
          <w:color w:val="auto"/>
          <w:szCs w:val="21"/>
          <w:highlight w:val="none"/>
        </w:rPr>
      </w:pPr>
      <w:bookmarkStart w:id="15" w:name="_Hlk51746371"/>
      <w:r>
        <w:rPr>
          <w:rFonts w:hint="eastAsia" w:ascii="宋体" w:hAnsi="宋体" w:cs="宋体"/>
          <w:color w:val="auto"/>
          <w:szCs w:val="21"/>
          <w:highlight w:val="none"/>
        </w:rPr>
        <w:t>1.满足《中华人民共和国政府采购法》第二十二条规定；</w:t>
      </w:r>
    </w:p>
    <w:p w14:paraId="27DED63F">
      <w:pPr>
        <w:spacing w:line="380" w:lineRule="exact"/>
        <w:ind w:firstLine="420" w:firstLineChars="200"/>
        <w:rPr>
          <w:rFonts w:ascii="宋体" w:hAnsi="宋体" w:cs="宋体"/>
          <w:color w:val="auto"/>
          <w:szCs w:val="21"/>
          <w:highlight w:val="none"/>
        </w:rPr>
      </w:pPr>
      <w:bookmarkStart w:id="16" w:name="_Toc28359081"/>
      <w:bookmarkStart w:id="17" w:name="_Toc28359004"/>
      <w:r>
        <w:rPr>
          <w:rFonts w:hint="eastAsia" w:ascii="宋体" w:hAnsi="宋体" w:cs="宋体"/>
          <w:color w:val="auto"/>
          <w:szCs w:val="21"/>
          <w:highlight w:val="none"/>
        </w:rPr>
        <w:t>2.落实政府采购政策需满足的资格要求：无；</w:t>
      </w:r>
    </w:p>
    <w:p w14:paraId="618F03AB">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3.本项目的特定资格要求：</w:t>
      </w:r>
      <w:bookmarkEnd w:id="15"/>
      <w:bookmarkStart w:id="18" w:name="_Toc35393623"/>
      <w:bookmarkStart w:id="19" w:name="_Toc35393792"/>
      <w:r>
        <w:rPr>
          <w:rFonts w:hint="eastAsia" w:ascii="宋体" w:hAnsi="宋体" w:cs="宋体"/>
          <w:color w:val="auto"/>
          <w:szCs w:val="21"/>
          <w:highlight w:val="none"/>
        </w:rPr>
        <w:t>各分标投标人</w:t>
      </w:r>
      <w:r>
        <w:rPr>
          <w:rFonts w:hint="eastAsia" w:ascii="宋体" w:hAnsi="宋体" w:cs="宋体"/>
          <w:color w:val="auto"/>
          <w:highlight w:val="none"/>
        </w:rPr>
        <w:t>按《医疗器械监督管理条例》（国务院令第739号）医疗器械分类管理要求具备有效的医疗器械经营备案凭证或者经营许可证，且经营范围必须包含采购标的[符合《医疗器械监督管理条例》第四十一条第二款规定的除外]；或者投标人具有《医疗器械监督管理条例》第四十三条规定的注册人凭证。</w:t>
      </w:r>
    </w:p>
    <w:p w14:paraId="5FF764B2">
      <w:pPr>
        <w:spacing w:line="380" w:lineRule="exact"/>
        <w:rPr>
          <w:rFonts w:ascii="宋体" w:hAnsi="宋体" w:cs="宋体"/>
          <w:b/>
          <w:bCs/>
          <w:color w:val="auto"/>
          <w:sz w:val="24"/>
          <w:highlight w:val="none"/>
        </w:rPr>
      </w:pPr>
      <w:r>
        <w:rPr>
          <w:rFonts w:hint="eastAsia" w:ascii="宋体" w:hAnsi="宋体" w:cs="宋体"/>
          <w:b/>
          <w:bCs/>
          <w:color w:val="auto"/>
          <w:sz w:val="24"/>
          <w:highlight w:val="none"/>
        </w:rPr>
        <w:t>三、获取招标文件</w:t>
      </w:r>
      <w:bookmarkEnd w:id="16"/>
      <w:bookmarkEnd w:id="17"/>
      <w:bookmarkEnd w:id="18"/>
      <w:bookmarkEnd w:id="19"/>
    </w:p>
    <w:p w14:paraId="052B44AE">
      <w:pPr>
        <w:spacing w:line="380" w:lineRule="exact"/>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时间：2025年  月  日至2025年  月  日，每天上午00:00至11:59，下午12:00至23:59（北京时间，法定节假日除外）</w:t>
      </w:r>
    </w:p>
    <w:p w14:paraId="7ACD91A2">
      <w:pPr>
        <w:spacing w:line="380" w:lineRule="exact"/>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地点：</w:t>
      </w:r>
      <w:r>
        <w:rPr>
          <w:rFonts w:hint="eastAsia" w:ascii="宋体" w:hAnsi="宋体" w:cs="宋体"/>
          <w:color w:val="auto"/>
          <w:highlight w:val="none"/>
        </w:rPr>
        <w:t>“广西政府采购云平台”（https://www.gcy.zfcg.gxzf.gov.cn/）</w:t>
      </w:r>
    </w:p>
    <w:p w14:paraId="534C474B">
      <w:pPr>
        <w:spacing w:line="380" w:lineRule="exact"/>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方式：网上下载。本项目不提供纸质文件，潜在供应商需使用账号登录或者使用CA登录</w:t>
      </w:r>
      <w:r>
        <w:rPr>
          <w:rFonts w:hint="eastAsia" w:ascii="宋体" w:hAnsi="宋体" w:cs="宋体"/>
          <w:color w:val="auto"/>
          <w:highlight w:val="none"/>
        </w:rPr>
        <w:t>“广西政府采购云平台”（https://www.gcy.zfcg.gxzf.gov.cn/）</w:t>
      </w:r>
      <w:r>
        <w:rPr>
          <w:rFonts w:hint="eastAsia" w:ascii="宋体" w:hAnsi="宋体" w:cs="宋体"/>
          <w:bCs/>
          <w:color w:val="auto"/>
          <w:kern w:val="0"/>
          <w:szCs w:val="21"/>
          <w:highlight w:val="none"/>
        </w:rPr>
        <w:t>-进入“项目采购”应用，在获取采购文件菜单中选择项目，获取招标文件（或在“政府采购云平台电子投标客户端-获取采购文件”跳转到政府采购云平台系统获取）。电子投标文件制作需要基于“政府采购云平台”获取的招标文件编制，通过其他方式获取招标文件的，将有可能导致供应商无法在政府采购云平台编制及上传投标文件。</w:t>
      </w:r>
    </w:p>
    <w:p w14:paraId="454E94CD">
      <w:pPr>
        <w:spacing w:line="380" w:lineRule="exact"/>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售价：0元</w:t>
      </w:r>
    </w:p>
    <w:p w14:paraId="64EBA550">
      <w:pPr>
        <w:spacing w:line="380" w:lineRule="exact"/>
        <w:rPr>
          <w:rFonts w:ascii="宋体" w:hAnsi="宋体" w:cs="宋体"/>
          <w:b/>
          <w:bCs/>
          <w:color w:val="auto"/>
          <w:sz w:val="24"/>
          <w:highlight w:val="none"/>
        </w:rPr>
      </w:pPr>
      <w:bookmarkStart w:id="20" w:name="_Toc28359082"/>
      <w:bookmarkStart w:id="21" w:name="_Toc28359005"/>
      <w:bookmarkStart w:id="22" w:name="_Toc35393793"/>
      <w:bookmarkStart w:id="23" w:name="_Toc35393624"/>
      <w:r>
        <w:rPr>
          <w:rFonts w:hint="eastAsia" w:ascii="宋体" w:hAnsi="宋体" w:cs="宋体"/>
          <w:b/>
          <w:bCs/>
          <w:color w:val="auto"/>
          <w:sz w:val="24"/>
          <w:highlight w:val="none"/>
        </w:rPr>
        <w:t>四、提交投标文件</w:t>
      </w:r>
      <w:bookmarkEnd w:id="20"/>
      <w:bookmarkEnd w:id="21"/>
      <w:r>
        <w:rPr>
          <w:rFonts w:hint="eastAsia" w:ascii="宋体" w:hAnsi="宋体" w:cs="宋体"/>
          <w:b/>
          <w:bCs/>
          <w:color w:val="auto"/>
          <w:sz w:val="24"/>
          <w:highlight w:val="none"/>
        </w:rPr>
        <w:t>截止时间、开标时间和地点</w:t>
      </w:r>
      <w:bookmarkEnd w:id="22"/>
      <w:bookmarkEnd w:id="23"/>
    </w:p>
    <w:p w14:paraId="4FE94E64">
      <w:pPr>
        <w:spacing w:line="380" w:lineRule="exact"/>
        <w:ind w:firstLine="420" w:firstLineChars="200"/>
        <w:rPr>
          <w:rFonts w:ascii="宋体" w:hAnsi="宋体" w:cs="宋体"/>
          <w:color w:val="auto"/>
          <w:szCs w:val="21"/>
          <w:highlight w:val="none"/>
          <w:u w:val="single"/>
        </w:rPr>
      </w:pPr>
      <w:bookmarkStart w:id="24" w:name="_Toc28359084"/>
      <w:bookmarkStart w:id="25" w:name="_Toc28359007"/>
      <w:bookmarkStart w:id="26" w:name="_Toc35393794"/>
      <w:bookmarkStart w:id="27" w:name="_Toc35393625"/>
      <w:r>
        <w:rPr>
          <w:rFonts w:hint="eastAsia" w:ascii="宋体" w:hAnsi="宋体" w:cs="宋体"/>
          <w:bCs/>
          <w:color w:val="auto"/>
          <w:szCs w:val="21"/>
          <w:highlight w:val="none"/>
        </w:rPr>
        <w:t>提交投标文件截止时间：</w:t>
      </w:r>
      <w:r>
        <w:rPr>
          <w:rFonts w:hint="eastAsia" w:ascii="宋体" w:hAnsi="宋体" w:cs="宋体"/>
          <w:bCs/>
          <w:color w:val="auto"/>
          <w:kern w:val="0"/>
          <w:szCs w:val="21"/>
          <w:highlight w:val="none"/>
        </w:rPr>
        <w:t>2025年  月  日</w:t>
      </w:r>
      <w:r>
        <w:rPr>
          <w:rFonts w:hint="eastAsia" w:ascii="宋体" w:hAnsi="宋体" w:cs="宋体"/>
          <w:color w:val="auto"/>
          <w:szCs w:val="21"/>
          <w:highlight w:val="none"/>
        </w:rPr>
        <w:t>9时30分</w:t>
      </w:r>
      <w:r>
        <w:rPr>
          <w:rFonts w:hint="eastAsia" w:ascii="宋体" w:hAnsi="宋体" w:cs="宋体"/>
          <w:bCs/>
          <w:color w:val="auto"/>
          <w:szCs w:val="21"/>
          <w:highlight w:val="none"/>
        </w:rPr>
        <w:t>（北京时间）</w:t>
      </w:r>
    </w:p>
    <w:p w14:paraId="71BFC5CB">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投标地点（网址）：</w:t>
      </w:r>
      <w:r>
        <w:rPr>
          <w:rFonts w:hint="eastAsia" w:ascii="宋体" w:hAnsi="宋体" w:cs="宋体"/>
          <w:color w:val="auto"/>
          <w:highlight w:val="none"/>
        </w:rPr>
        <w:t>“广西政府采购云平台”（https://www.gcy.zfcg.gxzf.gov.cn/）</w:t>
      </w:r>
    </w:p>
    <w:p w14:paraId="48630909">
      <w:pPr>
        <w:spacing w:line="38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开标时间：</w:t>
      </w:r>
      <w:r>
        <w:rPr>
          <w:rFonts w:hint="eastAsia" w:ascii="宋体" w:hAnsi="宋体" w:cs="宋体"/>
          <w:bCs/>
          <w:color w:val="auto"/>
          <w:kern w:val="0"/>
          <w:szCs w:val="21"/>
          <w:highlight w:val="none"/>
        </w:rPr>
        <w:t>2025年  月  日</w:t>
      </w:r>
      <w:r>
        <w:rPr>
          <w:rFonts w:hint="eastAsia" w:ascii="宋体" w:hAnsi="宋体" w:cs="宋体"/>
          <w:color w:val="auto"/>
          <w:szCs w:val="21"/>
          <w:highlight w:val="none"/>
        </w:rPr>
        <w:t>9时30分</w:t>
      </w:r>
      <w:r>
        <w:rPr>
          <w:rFonts w:hint="eastAsia" w:ascii="宋体" w:hAnsi="宋体" w:cs="宋体"/>
          <w:bCs/>
          <w:color w:val="auto"/>
          <w:szCs w:val="21"/>
          <w:highlight w:val="none"/>
        </w:rPr>
        <w:t>（北京时间）</w:t>
      </w:r>
    </w:p>
    <w:p w14:paraId="6D7323EC">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开标地点：广西政府采购云平台电子开标大厅</w:t>
      </w:r>
    </w:p>
    <w:p w14:paraId="4B9E254F">
      <w:pPr>
        <w:spacing w:line="380" w:lineRule="exact"/>
        <w:rPr>
          <w:rFonts w:ascii="宋体" w:hAnsi="宋体" w:cs="宋体"/>
          <w:b/>
          <w:bCs/>
          <w:color w:val="auto"/>
          <w:sz w:val="24"/>
          <w:highlight w:val="none"/>
        </w:rPr>
      </w:pPr>
      <w:r>
        <w:rPr>
          <w:rFonts w:hint="eastAsia" w:ascii="宋体" w:hAnsi="宋体" w:cs="宋体"/>
          <w:b/>
          <w:bCs/>
          <w:color w:val="auto"/>
          <w:sz w:val="24"/>
          <w:highlight w:val="none"/>
        </w:rPr>
        <w:t>五、公告期限</w:t>
      </w:r>
      <w:bookmarkEnd w:id="24"/>
      <w:bookmarkEnd w:id="25"/>
      <w:bookmarkEnd w:id="26"/>
      <w:bookmarkEnd w:id="27"/>
    </w:p>
    <w:p w14:paraId="5841FEBD">
      <w:pPr>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79680E94">
      <w:pPr>
        <w:spacing w:line="380" w:lineRule="exact"/>
        <w:rPr>
          <w:rFonts w:ascii="宋体" w:hAnsi="宋体" w:cs="宋体"/>
          <w:b/>
          <w:bCs/>
          <w:color w:val="auto"/>
          <w:sz w:val="24"/>
          <w:highlight w:val="none"/>
        </w:rPr>
      </w:pPr>
      <w:bookmarkStart w:id="28" w:name="_Toc35393626"/>
      <w:bookmarkStart w:id="29" w:name="_Toc35393795"/>
      <w:r>
        <w:rPr>
          <w:rFonts w:hint="eastAsia" w:ascii="宋体" w:hAnsi="宋体" w:cs="宋体"/>
          <w:b/>
          <w:bCs/>
          <w:color w:val="auto"/>
          <w:sz w:val="24"/>
          <w:highlight w:val="none"/>
        </w:rPr>
        <w:t>六、其他补充事宜</w:t>
      </w:r>
      <w:bookmarkEnd w:id="28"/>
      <w:bookmarkEnd w:id="29"/>
    </w:p>
    <w:p w14:paraId="69DF822C">
      <w:pPr>
        <w:spacing w:line="380" w:lineRule="exact"/>
        <w:ind w:firstLine="420" w:firstLineChars="200"/>
        <w:rPr>
          <w:rFonts w:ascii="宋体" w:hAnsi="宋体" w:cs="宋体"/>
          <w:color w:val="auto"/>
          <w:kern w:val="0"/>
          <w:szCs w:val="21"/>
          <w:highlight w:val="none"/>
        </w:rPr>
      </w:pPr>
      <w:bookmarkStart w:id="30" w:name="_Hlk37429585"/>
      <w:bookmarkStart w:id="31" w:name="_Hlk37429595"/>
      <w:r>
        <w:rPr>
          <w:rFonts w:hint="eastAsia" w:ascii="宋体" w:hAnsi="宋体" w:cs="宋体"/>
          <w:color w:val="auto"/>
          <w:kern w:val="0"/>
          <w:szCs w:val="21"/>
          <w:highlight w:val="none"/>
        </w:rPr>
        <w:t>1.网上查询地址</w:t>
      </w:r>
    </w:p>
    <w:p w14:paraId="738234DF">
      <w:pPr>
        <w:spacing w:line="380" w:lineRule="exact"/>
        <w:ind w:left="210" w:leftChars="100" w:firstLine="424" w:firstLineChars="202"/>
        <w:rPr>
          <w:rFonts w:ascii="宋体" w:hAnsi="宋体" w:cs="宋体"/>
          <w:color w:val="auto"/>
          <w:kern w:val="0"/>
          <w:szCs w:val="21"/>
          <w:highlight w:val="none"/>
        </w:rPr>
      </w:pPr>
      <w:r>
        <w:rPr>
          <w:rFonts w:hint="eastAsia" w:ascii="宋体" w:hAnsi="宋体" w:cs="宋体"/>
          <w:color w:val="auto"/>
          <w:kern w:val="0"/>
          <w:szCs w:val="21"/>
          <w:highlight w:val="none"/>
        </w:rPr>
        <w:t>http://www.ccgp.gov.cn（中国政府采购网）、http://zfcg.gxzf.gov.cn（广西壮族自治区政府采购网）</w:t>
      </w:r>
      <w:bookmarkEnd w:id="30"/>
      <w:r>
        <w:rPr>
          <w:rFonts w:hint="eastAsia" w:ascii="宋体" w:hAnsi="宋体" w:cs="宋体"/>
          <w:color w:val="auto"/>
          <w:kern w:val="0"/>
          <w:szCs w:val="21"/>
          <w:highlight w:val="none"/>
        </w:rPr>
        <w:t>。</w:t>
      </w:r>
    </w:p>
    <w:bookmarkEnd w:id="31"/>
    <w:p w14:paraId="18931C88">
      <w:pPr>
        <w:spacing w:line="380" w:lineRule="exact"/>
        <w:ind w:firstLine="424" w:firstLineChars="202"/>
        <w:rPr>
          <w:rFonts w:ascii="宋体" w:hAnsi="宋体" w:cs="宋体"/>
          <w:color w:val="auto"/>
          <w:kern w:val="0"/>
          <w:szCs w:val="21"/>
          <w:highlight w:val="none"/>
        </w:rPr>
      </w:pPr>
      <w:bookmarkStart w:id="32" w:name="_Hlk37429674"/>
      <w:r>
        <w:rPr>
          <w:rFonts w:hint="eastAsia" w:ascii="宋体" w:hAnsi="宋体" w:cs="宋体"/>
          <w:color w:val="auto"/>
          <w:szCs w:val="21"/>
          <w:highlight w:val="none"/>
        </w:rPr>
        <w:t>2.</w:t>
      </w:r>
      <w:r>
        <w:rPr>
          <w:rFonts w:hint="eastAsia" w:ascii="宋体" w:hAnsi="宋体" w:cs="宋体"/>
          <w:color w:val="auto"/>
          <w:kern w:val="0"/>
          <w:szCs w:val="21"/>
          <w:highlight w:val="none"/>
        </w:rPr>
        <w:t>本项目需要落实的政府采购政策</w:t>
      </w:r>
    </w:p>
    <w:p w14:paraId="38C26534">
      <w:pPr>
        <w:spacing w:line="380" w:lineRule="exact"/>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（1）政府采购促进中小企业发展；本项目非专门面向中小企业采购。</w:t>
      </w:r>
    </w:p>
    <w:p w14:paraId="45CC9AD8">
      <w:pPr>
        <w:spacing w:line="380" w:lineRule="exact"/>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（2）政府采购支持采用本国产品的政策。</w:t>
      </w:r>
    </w:p>
    <w:p w14:paraId="58C40258">
      <w:pPr>
        <w:spacing w:line="380" w:lineRule="exact"/>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（3）本项目强制采购节能产品；优先采购节能产品、环境标志产品。</w:t>
      </w:r>
    </w:p>
    <w:p w14:paraId="516779DA">
      <w:pPr>
        <w:spacing w:line="380" w:lineRule="exact"/>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（4）政府采购促进残疾人就业政策。</w:t>
      </w:r>
    </w:p>
    <w:p w14:paraId="0A7E6A2C">
      <w:pPr>
        <w:spacing w:line="380" w:lineRule="exact"/>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（5）政府采购支持监狱企业发展。</w:t>
      </w:r>
    </w:p>
    <w:p w14:paraId="062D0054">
      <w:pPr>
        <w:widowControl/>
        <w:spacing w:line="380" w:lineRule="exact"/>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3.</w:t>
      </w:r>
      <w:bookmarkEnd w:id="32"/>
      <w:bookmarkStart w:id="33" w:name="_Toc28359008"/>
      <w:bookmarkStart w:id="34" w:name="_Toc35393796"/>
      <w:bookmarkStart w:id="35" w:name="_Toc35393627"/>
      <w:bookmarkStart w:id="36" w:name="_Toc28359085"/>
      <w:r>
        <w:rPr>
          <w:rFonts w:hint="eastAsia" w:ascii="宋体" w:hAnsi="宋体" w:cs="宋体"/>
          <w:color w:val="auto"/>
          <w:kern w:val="0"/>
          <w:szCs w:val="21"/>
          <w:highlight w:val="none"/>
        </w:rPr>
        <w:t>投标人</w:t>
      </w:r>
      <w:r>
        <w:rPr>
          <w:rFonts w:hint="eastAsia" w:ascii="宋体" w:hAnsi="宋体" w:cs="宋体"/>
          <w:color w:val="auto"/>
          <w:szCs w:val="21"/>
          <w:highlight w:val="none"/>
        </w:rPr>
        <w:t>投标注意事项</w:t>
      </w:r>
    </w:p>
    <w:p w14:paraId="0F7D1DA9">
      <w:pPr>
        <w:widowControl/>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（1）本项目为全流程电子化采购项目，通过</w:t>
      </w:r>
      <w:r>
        <w:rPr>
          <w:rFonts w:hint="eastAsia" w:ascii="宋体" w:hAnsi="宋体" w:cs="宋体"/>
          <w:color w:val="auto"/>
          <w:highlight w:val="none"/>
        </w:rPr>
        <w:t>“广西政府采购云平台”（https://www.gcy.zfcg.gxzf.gov.cn/）</w:t>
      </w:r>
      <w:r>
        <w:rPr>
          <w:rFonts w:hint="eastAsia" w:ascii="宋体" w:hAnsi="宋体" w:cs="宋体"/>
          <w:color w:val="auto"/>
          <w:szCs w:val="21"/>
          <w:highlight w:val="none"/>
        </w:rPr>
        <w:t>实行在线电子投标，投标人应先安装“</w:t>
      </w:r>
      <w:r>
        <w:rPr>
          <w:rFonts w:hint="eastAsia" w:ascii="宋体" w:hAnsi="宋体" w:cs="宋体"/>
          <w:color w:val="auto"/>
          <w:highlight w:val="none"/>
        </w:rPr>
        <w:t>广西政府采购云平台</w:t>
      </w:r>
      <w:r>
        <w:rPr>
          <w:rFonts w:hint="eastAsia" w:ascii="宋体" w:hAnsi="宋体" w:cs="宋体"/>
          <w:color w:val="auto"/>
          <w:szCs w:val="21"/>
          <w:highlight w:val="none"/>
        </w:rPr>
        <w:t>电子投标客户端”（请自行前往“</w:t>
      </w:r>
      <w:r>
        <w:rPr>
          <w:rFonts w:hint="eastAsia" w:ascii="宋体" w:hAnsi="宋体" w:cs="宋体"/>
          <w:color w:val="auto"/>
          <w:highlight w:val="none"/>
        </w:rPr>
        <w:t>广西政府采购云平台</w:t>
      </w:r>
      <w:r>
        <w:rPr>
          <w:rFonts w:hint="eastAsia" w:ascii="宋体" w:hAnsi="宋体" w:cs="宋体"/>
          <w:color w:val="auto"/>
          <w:szCs w:val="21"/>
          <w:highlight w:val="none"/>
        </w:rPr>
        <w:t>”进行下载），并按照本项目招标文件和“</w:t>
      </w:r>
      <w:r>
        <w:rPr>
          <w:rFonts w:hint="eastAsia" w:ascii="宋体" w:hAnsi="宋体" w:cs="宋体"/>
          <w:color w:val="auto"/>
          <w:highlight w:val="none"/>
        </w:rPr>
        <w:t>广西政府采购云平台</w:t>
      </w:r>
      <w:r>
        <w:rPr>
          <w:rFonts w:hint="eastAsia" w:ascii="宋体" w:hAnsi="宋体" w:cs="宋体"/>
          <w:color w:val="auto"/>
          <w:szCs w:val="21"/>
          <w:highlight w:val="none"/>
        </w:rPr>
        <w:t>”的要求编制、加密后在投标截止时间前通过网络上传至 “</w:t>
      </w:r>
      <w:r>
        <w:rPr>
          <w:rFonts w:hint="eastAsia" w:ascii="宋体" w:hAnsi="宋体" w:cs="宋体"/>
          <w:color w:val="auto"/>
          <w:highlight w:val="none"/>
        </w:rPr>
        <w:t>广西政府采购云平台</w:t>
      </w:r>
      <w:r>
        <w:rPr>
          <w:rFonts w:hint="eastAsia" w:ascii="宋体" w:hAnsi="宋体" w:cs="宋体"/>
          <w:color w:val="auto"/>
          <w:szCs w:val="21"/>
          <w:highlight w:val="none"/>
        </w:rPr>
        <w:t>”（加密的电子投标文件是指</w:t>
      </w:r>
      <w:r>
        <w:rPr>
          <w:rFonts w:hint="eastAsia" w:ascii="宋体" w:hAnsi="宋体" w:cs="宋体"/>
          <w:color w:val="auto"/>
          <w:highlight w:val="none"/>
        </w:rPr>
        <w:t>后缀名为“jmbs”的文件</w:t>
      </w:r>
      <w:r>
        <w:rPr>
          <w:rFonts w:hint="eastAsia" w:ascii="宋体" w:hAnsi="宋体" w:cs="宋体"/>
          <w:color w:val="auto"/>
          <w:szCs w:val="21"/>
          <w:highlight w:val="none"/>
        </w:rPr>
        <w:t>），</w:t>
      </w:r>
      <w:r>
        <w:rPr>
          <w:rFonts w:hint="eastAsia" w:ascii="宋体" w:hAnsi="宋体" w:cs="宋体"/>
          <w:b/>
          <w:color w:val="auto"/>
          <w:szCs w:val="21"/>
          <w:highlight w:val="none"/>
        </w:rPr>
        <w:t>投标人在</w:t>
      </w:r>
      <w:r>
        <w:rPr>
          <w:rFonts w:hint="eastAsia" w:ascii="宋体" w:hAnsi="宋体" w:cs="宋体"/>
          <w:color w:val="auto"/>
          <w:szCs w:val="21"/>
          <w:highlight w:val="none"/>
        </w:rPr>
        <w:t>“</w:t>
      </w:r>
      <w:r>
        <w:rPr>
          <w:rFonts w:hint="eastAsia" w:ascii="宋体" w:hAnsi="宋体" w:cs="宋体"/>
          <w:color w:val="auto"/>
          <w:highlight w:val="none"/>
        </w:rPr>
        <w:t>广西政府采购云平台</w:t>
      </w:r>
      <w:r>
        <w:rPr>
          <w:rFonts w:hint="eastAsia" w:ascii="宋体" w:hAnsi="宋体" w:cs="宋体"/>
          <w:color w:val="auto"/>
          <w:szCs w:val="21"/>
          <w:highlight w:val="none"/>
        </w:rPr>
        <w:t>”</w:t>
      </w:r>
      <w:r>
        <w:rPr>
          <w:rFonts w:hint="eastAsia" w:ascii="宋体" w:hAnsi="宋体" w:cs="宋体"/>
          <w:b/>
          <w:color w:val="auto"/>
          <w:szCs w:val="21"/>
          <w:highlight w:val="none"/>
        </w:rPr>
        <w:t>提交电子投标文件时，请填写参加远程开标活动经办人联系方式。</w:t>
      </w:r>
      <w:r>
        <w:rPr>
          <w:rFonts w:hint="eastAsia" w:ascii="宋体" w:hAnsi="宋体" w:cs="宋体"/>
          <w:color w:val="auto"/>
          <w:szCs w:val="21"/>
          <w:highlight w:val="none"/>
        </w:rPr>
        <w:t>投标人登录“</w:t>
      </w:r>
      <w:r>
        <w:rPr>
          <w:rFonts w:hint="eastAsia" w:ascii="宋体" w:hAnsi="宋体" w:cs="宋体"/>
          <w:color w:val="auto"/>
          <w:highlight w:val="none"/>
        </w:rPr>
        <w:t>广西政府采购云平台</w:t>
      </w:r>
      <w:r>
        <w:rPr>
          <w:rFonts w:hint="eastAsia" w:ascii="宋体" w:hAnsi="宋体" w:cs="宋体"/>
          <w:color w:val="auto"/>
          <w:szCs w:val="21"/>
          <w:highlight w:val="none"/>
        </w:rPr>
        <w:t>”，依次进入“服务中心-项目采购-操作流程-电子招投标-</w:t>
      </w:r>
      <w:r>
        <w:rPr>
          <w:rFonts w:hint="eastAsia" w:ascii="宋体" w:hAnsi="宋体" w:cs="宋体"/>
          <w:color w:val="auto"/>
          <w:highlight w:val="none"/>
        </w:rPr>
        <w:t>政府采购项目电子交易管理操作指南-供应商</w:t>
      </w:r>
      <w:r>
        <w:rPr>
          <w:rFonts w:hint="eastAsia" w:ascii="宋体" w:hAnsi="宋体" w:cs="宋体"/>
          <w:color w:val="auto"/>
          <w:szCs w:val="21"/>
          <w:highlight w:val="none"/>
        </w:rPr>
        <w:t>”查看电子投标具体操作流程。</w:t>
      </w:r>
    </w:p>
    <w:p w14:paraId="17C9B99E">
      <w:pPr>
        <w:widowControl/>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w:t>
      </w:r>
      <w:r>
        <w:rPr>
          <w:rFonts w:hint="eastAsia" w:ascii="宋体" w:hAnsi="宋体" w:cs="宋体"/>
          <w:color w:val="auto"/>
          <w:highlight w:val="none"/>
        </w:rPr>
        <w:t>广西政府采购云平台</w:t>
      </w:r>
      <w:r>
        <w:rPr>
          <w:rFonts w:hint="eastAsia" w:ascii="宋体" w:hAnsi="宋体" w:cs="宋体"/>
          <w:color w:val="auto"/>
          <w:szCs w:val="21"/>
          <w:highlight w:val="none"/>
        </w:rPr>
        <w:t>”</w:t>
      </w:r>
      <w:r>
        <w:rPr>
          <w:rFonts w:hint="eastAsia" w:ascii="宋体" w:hAnsi="宋体" w:cs="宋体"/>
          <w:color w:val="auto"/>
          <w:kern w:val="0"/>
          <w:szCs w:val="21"/>
          <w:highlight w:val="none"/>
        </w:rPr>
        <w:t>，</w:t>
      </w:r>
      <w:r>
        <w:rPr>
          <w:rFonts w:hint="eastAsia" w:ascii="宋体" w:hAnsi="宋体" w:cs="宋体"/>
          <w:color w:val="auto"/>
          <w:szCs w:val="21"/>
          <w:highlight w:val="none"/>
        </w:rPr>
        <w:t>依次进入“服务中心-入驻与配置”中查看CA数字证书办理操作流程。</w:t>
      </w:r>
      <w:r>
        <w:rPr>
          <w:rFonts w:hint="eastAsia" w:ascii="宋体" w:hAnsi="宋体" w:cs="宋体"/>
          <w:bCs/>
          <w:color w:val="auto"/>
          <w:kern w:val="0"/>
          <w:szCs w:val="21"/>
          <w:highlight w:val="none"/>
        </w:rPr>
        <w:t>如在操作过程中遇到问题或者需要技术支持，请致电</w:t>
      </w:r>
      <w:r>
        <w:rPr>
          <w:rFonts w:hint="eastAsia" w:ascii="宋体" w:hAnsi="宋体" w:cs="宋体"/>
          <w:color w:val="auto"/>
          <w:szCs w:val="21"/>
          <w:highlight w:val="none"/>
        </w:rPr>
        <w:t>“</w:t>
      </w:r>
      <w:r>
        <w:rPr>
          <w:rFonts w:hint="eastAsia" w:ascii="宋体" w:hAnsi="宋体" w:cs="宋体"/>
          <w:color w:val="auto"/>
          <w:highlight w:val="none"/>
        </w:rPr>
        <w:t>广西政府采购云平台</w:t>
      </w:r>
      <w:r>
        <w:rPr>
          <w:rFonts w:hint="eastAsia" w:ascii="宋体" w:hAnsi="宋体" w:cs="宋体"/>
          <w:color w:val="auto"/>
          <w:szCs w:val="21"/>
          <w:highlight w:val="none"/>
        </w:rPr>
        <w:t>”</w:t>
      </w:r>
      <w:r>
        <w:rPr>
          <w:rFonts w:hint="eastAsia" w:ascii="宋体" w:hAnsi="宋体" w:cs="宋体"/>
          <w:bCs/>
          <w:color w:val="auto"/>
          <w:kern w:val="0"/>
          <w:szCs w:val="21"/>
          <w:highlight w:val="none"/>
        </w:rPr>
        <w:t>客服热线：95763</w:t>
      </w:r>
      <w:r>
        <w:rPr>
          <w:rFonts w:hint="eastAsia" w:ascii="宋体" w:hAnsi="宋体"/>
          <w:bCs/>
          <w:color w:val="auto"/>
          <w:highlight w:val="none"/>
        </w:rPr>
        <w:t>或者0771-3381253</w:t>
      </w:r>
      <w:r>
        <w:rPr>
          <w:rFonts w:hint="eastAsia" w:ascii="宋体" w:hAnsi="宋体" w:cs="宋体"/>
          <w:color w:val="auto"/>
          <w:szCs w:val="21"/>
          <w:highlight w:val="none"/>
        </w:rPr>
        <w:t>）。</w:t>
      </w:r>
    </w:p>
    <w:p w14:paraId="065B6AEA">
      <w:pPr>
        <w:snapToGri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（3）CA证书在线解密：投标人投标时，需凭制作投标文件时用来加密的有效数字证书（CA认证）登录</w:t>
      </w:r>
      <w:r>
        <w:rPr>
          <w:rFonts w:hint="eastAsia" w:ascii="宋体" w:hAnsi="宋体" w:cs="宋体"/>
          <w:color w:val="auto"/>
          <w:szCs w:val="21"/>
          <w:highlight w:val="none"/>
        </w:rPr>
        <w:t>“</w:t>
      </w:r>
      <w:r>
        <w:rPr>
          <w:rFonts w:hint="eastAsia" w:ascii="宋体" w:hAnsi="宋体" w:cs="宋体"/>
          <w:color w:val="auto"/>
          <w:highlight w:val="none"/>
        </w:rPr>
        <w:t>广西政府采购云平台</w:t>
      </w:r>
      <w:r>
        <w:rPr>
          <w:rFonts w:hint="eastAsia" w:ascii="宋体" w:hAnsi="宋体" w:cs="宋体"/>
          <w:color w:val="auto"/>
          <w:szCs w:val="21"/>
          <w:highlight w:val="none"/>
        </w:rPr>
        <w:t>”</w:t>
      </w:r>
      <w:r>
        <w:rPr>
          <w:rFonts w:hint="eastAsia" w:ascii="宋体" w:hAnsi="宋体" w:cs="宋体"/>
          <w:color w:val="auto"/>
          <w:kern w:val="0"/>
          <w:szCs w:val="21"/>
          <w:highlight w:val="none"/>
        </w:rPr>
        <w:t>电子开标大厅现场按规定时间对加密的投标文件进行解密，否则后果自负。</w:t>
      </w:r>
    </w:p>
    <w:p w14:paraId="231B9AF1">
      <w:pPr>
        <w:widowControl/>
        <w:spacing w:line="380" w:lineRule="exac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注：1）为确保网上操作合法、有效和安全，请投标人确保在电子投标过程中能够对相关数据电文进行加密和使用电子签章，妥善保管CA数字证书并使用有效的CA数字证书参与整个招标活动。2）</w:t>
      </w:r>
      <w:r>
        <w:rPr>
          <w:rFonts w:hint="eastAsia" w:ascii="宋体" w:hAnsi="宋体" w:cs="宋体"/>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止未完成上传、提交的，视为撤回投标文件。投标截止时间以后上传递交的投标文件，</w:t>
      </w:r>
      <w:r>
        <w:rPr>
          <w:rFonts w:hint="eastAsia" w:ascii="宋体" w:hAnsi="宋体" w:cs="宋体"/>
          <w:color w:val="auto"/>
          <w:szCs w:val="21"/>
          <w:highlight w:val="none"/>
        </w:rPr>
        <w:t>“</w:t>
      </w:r>
      <w:r>
        <w:rPr>
          <w:rFonts w:hint="eastAsia" w:ascii="宋体" w:hAnsi="宋体" w:cs="宋体"/>
          <w:bCs/>
          <w:color w:val="auto"/>
          <w:kern w:val="0"/>
          <w:szCs w:val="21"/>
          <w:highlight w:val="none"/>
        </w:rPr>
        <w:t>政府采购云平台</w:t>
      </w:r>
      <w:r>
        <w:rPr>
          <w:rFonts w:hint="eastAsia" w:ascii="宋体" w:hAnsi="宋体" w:cs="宋体"/>
          <w:color w:val="auto"/>
          <w:szCs w:val="21"/>
          <w:highlight w:val="none"/>
        </w:rPr>
        <w:t>”</w:t>
      </w:r>
      <w:r>
        <w:rPr>
          <w:rFonts w:hint="eastAsia" w:ascii="宋体" w:hAnsi="宋体" w:cs="宋体"/>
          <w:bCs/>
          <w:color w:val="auto"/>
          <w:szCs w:val="21"/>
          <w:highlight w:val="none"/>
        </w:rPr>
        <w:t>将予以拒收。</w:t>
      </w:r>
    </w:p>
    <w:p w14:paraId="0DAD8681">
      <w:pPr>
        <w:widowControl/>
        <w:spacing w:line="38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投标人认为招标文件使自己的合法权益受到损害的，应当在本项目公告期限届满之日起七个工作日内以书面形式向采购代理机构提出质疑；投标人认为招标过程或中标结果使自己的合法权益受到损害的，应当在各采购程序环节结束之日或中标公告期限届满之日起七个工作日内，以书面形式向采购代理机构提出质疑。否则，采购代理机构有权拒收。</w:t>
      </w:r>
    </w:p>
    <w:p w14:paraId="0950EEDA">
      <w:pPr>
        <w:widowControl/>
        <w:spacing w:line="38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w:t>
      </w:r>
      <w:r>
        <w:rPr>
          <w:rFonts w:hint="eastAsia" w:ascii="宋体" w:hAnsi="宋体"/>
          <w:bCs/>
          <w:color w:val="auto"/>
          <w:highlight w:val="none"/>
        </w:rPr>
        <w:t>本项目各分标采购代理服务费按招标文件“投标人须知”第39条规定收取，由</w:t>
      </w:r>
      <w:r>
        <w:rPr>
          <w:rFonts w:hint="eastAsia" w:ascii="宋体" w:hAnsi="宋体"/>
          <w:color w:val="auto"/>
          <w:highlight w:val="none"/>
        </w:rPr>
        <w:t>中标人在获取中标通知书前向采购代理机构一次性付清</w:t>
      </w:r>
      <w:r>
        <w:rPr>
          <w:rFonts w:hint="eastAsia" w:ascii="宋体" w:hAnsi="宋体"/>
          <w:bCs/>
          <w:color w:val="auto"/>
          <w:highlight w:val="none"/>
        </w:rPr>
        <w:t>。</w:t>
      </w:r>
    </w:p>
    <w:p w14:paraId="5C9A8DA9">
      <w:pPr>
        <w:spacing w:line="38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七、对本次招标提出询问，请按以下方式联系。</w:t>
      </w:r>
      <w:bookmarkEnd w:id="33"/>
      <w:bookmarkEnd w:id="34"/>
      <w:bookmarkEnd w:id="35"/>
      <w:bookmarkEnd w:id="36"/>
    </w:p>
    <w:p w14:paraId="463634B4">
      <w:pPr>
        <w:spacing w:line="360" w:lineRule="auto"/>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1.采购人信息</w:t>
      </w:r>
    </w:p>
    <w:p w14:paraId="7D67584A">
      <w:pPr>
        <w:spacing w:line="360" w:lineRule="auto"/>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名称：桂林医学院附属医院</w:t>
      </w:r>
    </w:p>
    <w:p w14:paraId="211BC88E">
      <w:pPr>
        <w:spacing w:line="360" w:lineRule="auto"/>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地址：广西桂林市秀峰区乐群路15号　</w:t>
      </w:r>
    </w:p>
    <w:p w14:paraId="5B70D12B">
      <w:pPr>
        <w:spacing w:line="360" w:lineRule="auto"/>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联系方式：唐奕 0773-2802050</w:t>
      </w:r>
    </w:p>
    <w:p w14:paraId="42F74EBE">
      <w:pPr>
        <w:spacing w:line="360" w:lineRule="auto"/>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2.采购代理机构信息</w:t>
      </w:r>
    </w:p>
    <w:p w14:paraId="56BE4236">
      <w:pPr>
        <w:spacing w:line="360" w:lineRule="auto"/>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名称：云之龙咨询集团有限公司</w:t>
      </w:r>
    </w:p>
    <w:p w14:paraId="301AF390">
      <w:pPr>
        <w:spacing w:line="360" w:lineRule="auto"/>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地址：广西桂林市临桂区西城北路2号耀辉•美好家园2幢12层1号房</w:t>
      </w:r>
    </w:p>
    <w:p w14:paraId="17E3978B">
      <w:pPr>
        <w:spacing w:line="360" w:lineRule="auto"/>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联系方式：0773-2887388  2887399  传真：0773-2889218</w:t>
      </w:r>
    </w:p>
    <w:p w14:paraId="458E9876">
      <w:pPr>
        <w:spacing w:line="360" w:lineRule="auto"/>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3.项目联系方式</w:t>
      </w:r>
    </w:p>
    <w:p w14:paraId="605F6709">
      <w:pPr>
        <w:spacing w:line="360" w:lineRule="auto"/>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项目联系人：吕雯</w:t>
      </w:r>
    </w:p>
    <w:p w14:paraId="071D952E">
      <w:pPr>
        <w:spacing w:line="360" w:lineRule="auto"/>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电话：0773-2887388  2887399</w:t>
      </w:r>
    </w:p>
    <w:p w14:paraId="0DDAD4E2">
      <w:pPr>
        <w:spacing w:line="380" w:lineRule="exact"/>
        <w:ind w:firstLine="567" w:firstLineChars="270"/>
        <w:jc w:val="left"/>
        <w:rPr>
          <w:rFonts w:ascii="宋体" w:hAnsi="宋体" w:cs="宋体"/>
          <w:color w:val="auto"/>
          <w:szCs w:val="21"/>
          <w:highlight w:val="none"/>
        </w:rPr>
      </w:pPr>
    </w:p>
    <w:p w14:paraId="1EB55D84">
      <w:pPr>
        <w:pStyle w:val="19"/>
        <w:rPr>
          <w:rFonts w:ascii="宋体" w:hAnsi="宋体" w:cs="宋体"/>
          <w:color w:val="auto"/>
          <w:szCs w:val="21"/>
          <w:highlight w:val="none"/>
        </w:rPr>
      </w:pPr>
      <w:bookmarkStart w:id="37" w:name="_Toc74320801"/>
      <w:bookmarkStart w:id="38" w:name="_Toc143259162"/>
    </w:p>
    <w:p w14:paraId="545A154D">
      <w:pPr>
        <w:pStyle w:val="19"/>
        <w:rPr>
          <w:rFonts w:ascii="宋体" w:hAnsi="宋体" w:cs="宋体"/>
          <w:color w:val="auto"/>
          <w:szCs w:val="21"/>
          <w:highlight w:val="none"/>
        </w:rPr>
      </w:pPr>
    </w:p>
    <w:p w14:paraId="66E03FEB">
      <w:pPr>
        <w:pStyle w:val="19"/>
        <w:rPr>
          <w:rFonts w:ascii="宋体" w:hAnsi="宋体" w:cs="宋体"/>
          <w:color w:val="auto"/>
          <w:szCs w:val="21"/>
          <w:highlight w:val="none"/>
        </w:rPr>
      </w:pPr>
    </w:p>
    <w:p w14:paraId="121DFE07">
      <w:pPr>
        <w:pStyle w:val="19"/>
        <w:rPr>
          <w:rFonts w:ascii="宋体" w:hAnsi="宋体" w:cs="宋体"/>
          <w:color w:val="auto"/>
          <w:szCs w:val="21"/>
          <w:highlight w:val="none"/>
        </w:rPr>
      </w:pPr>
    </w:p>
    <w:p w14:paraId="4DAD715D">
      <w:pPr>
        <w:rPr>
          <w:rFonts w:ascii="宋体" w:hAnsi="宋体" w:cs="宋体"/>
          <w:color w:val="auto"/>
          <w:szCs w:val="21"/>
          <w:highlight w:val="none"/>
        </w:rPr>
      </w:pPr>
    </w:p>
    <w:p w14:paraId="0EA21572">
      <w:pPr>
        <w:rPr>
          <w:rFonts w:ascii="宋体" w:hAnsi="宋体" w:cs="宋体"/>
          <w:color w:val="auto"/>
          <w:szCs w:val="21"/>
          <w:highlight w:val="none"/>
        </w:rPr>
      </w:pPr>
    </w:p>
    <w:p w14:paraId="76B00741">
      <w:pPr>
        <w:rPr>
          <w:rFonts w:ascii="宋体" w:hAnsi="宋体" w:cs="宋体"/>
          <w:color w:val="auto"/>
          <w:szCs w:val="21"/>
          <w:highlight w:val="none"/>
        </w:rPr>
      </w:pPr>
    </w:p>
    <w:p w14:paraId="7088375A">
      <w:pPr>
        <w:rPr>
          <w:rFonts w:ascii="宋体" w:hAnsi="宋体" w:cs="宋体"/>
          <w:color w:val="auto"/>
          <w:szCs w:val="21"/>
          <w:highlight w:val="none"/>
        </w:rPr>
      </w:pPr>
    </w:p>
    <w:p w14:paraId="27852A78">
      <w:pPr>
        <w:rPr>
          <w:rFonts w:ascii="宋体" w:hAnsi="宋体" w:cs="宋体"/>
          <w:color w:val="auto"/>
          <w:szCs w:val="21"/>
          <w:highlight w:val="none"/>
        </w:rPr>
      </w:pPr>
    </w:p>
    <w:p w14:paraId="462FFEAB">
      <w:pPr>
        <w:rPr>
          <w:rFonts w:ascii="宋体" w:hAnsi="宋体" w:cs="宋体"/>
          <w:color w:val="auto"/>
          <w:szCs w:val="21"/>
          <w:highlight w:val="none"/>
        </w:rPr>
      </w:pPr>
    </w:p>
    <w:p w14:paraId="4AB58A2D">
      <w:pPr>
        <w:rPr>
          <w:rFonts w:ascii="宋体" w:hAnsi="宋体" w:cs="宋体"/>
          <w:color w:val="auto"/>
          <w:szCs w:val="21"/>
          <w:highlight w:val="none"/>
        </w:rPr>
      </w:pPr>
    </w:p>
    <w:p w14:paraId="097B3DDF">
      <w:pPr>
        <w:rPr>
          <w:rFonts w:ascii="宋体" w:hAnsi="宋体" w:cs="宋体"/>
          <w:color w:val="auto"/>
          <w:szCs w:val="21"/>
          <w:highlight w:val="none"/>
        </w:rPr>
      </w:pPr>
    </w:p>
    <w:p w14:paraId="668EA28B">
      <w:pPr>
        <w:rPr>
          <w:rFonts w:ascii="宋体" w:hAnsi="宋体" w:cs="宋体"/>
          <w:color w:val="auto"/>
          <w:szCs w:val="21"/>
          <w:highlight w:val="none"/>
        </w:rPr>
      </w:pPr>
    </w:p>
    <w:p w14:paraId="70C3EF5D">
      <w:pPr>
        <w:rPr>
          <w:rFonts w:ascii="宋体" w:hAnsi="宋体" w:cs="宋体"/>
          <w:color w:val="auto"/>
          <w:szCs w:val="21"/>
          <w:highlight w:val="none"/>
        </w:rPr>
      </w:pPr>
    </w:p>
    <w:p w14:paraId="491C80D7">
      <w:pPr>
        <w:rPr>
          <w:rFonts w:ascii="宋体" w:hAnsi="宋体" w:cs="宋体"/>
          <w:color w:val="auto"/>
          <w:szCs w:val="21"/>
          <w:highlight w:val="none"/>
        </w:rPr>
      </w:pPr>
    </w:p>
    <w:p w14:paraId="27C71C6D">
      <w:pPr>
        <w:rPr>
          <w:rFonts w:ascii="宋体" w:hAnsi="宋体" w:cs="宋体"/>
          <w:color w:val="auto"/>
          <w:szCs w:val="21"/>
          <w:highlight w:val="none"/>
        </w:rPr>
      </w:pPr>
    </w:p>
    <w:p w14:paraId="6E6DB1B3">
      <w:pPr>
        <w:rPr>
          <w:rFonts w:ascii="宋体" w:hAnsi="宋体" w:cs="宋体"/>
          <w:color w:val="auto"/>
          <w:szCs w:val="21"/>
          <w:highlight w:val="none"/>
        </w:rPr>
      </w:pPr>
    </w:p>
    <w:p w14:paraId="0D23158F">
      <w:pPr>
        <w:rPr>
          <w:rFonts w:ascii="宋体" w:hAnsi="宋体" w:cs="宋体"/>
          <w:color w:val="auto"/>
          <w:szCs w:val="21"/>
          <w:highlight w:val="none"/>
        </w:rPr>
      </w:pPr>
    </w:p>
    <w:p w14:paraId="01502783">
      <w:pPr>
        <w:rPr>
          <w:rFonts w:ascii="宋体" w:hAnsi="宋体" w:cs="宋体"/>
          <w:color w:val="auto"/>
          <w:szCs w:val="21"/>
          <w:highlight w:val="none"/>
        </w:rPr>
      </w:pPr>
    </w:p>
    <w:p w14:paraId="2627314F">
      <w:pPr>
        <w:rPr>
          <w:rFonts w:ascii="宋体" w:hAnsi="宋体" w:cs="宋体"/>
          <w:color w:val="auto"/>
          <w:szCs w:val="21"/>
          <w:highlight w:val="none"/>
        </w:rPr>
      </w:pPr>
    </w:p>
    <w:p w14:paraId="01A19C94">
      <w:pPr>
        <w:rPr>
          <w:rFonts w:ascii="宋体" w:hAnsi="宋体" w:cs="宋体"/>
          <w:color w:val="auto"/>
          <w:szCs w:val="21"/>
          <w:highlight w:val="none"/>
        </w:rPr>
      </w:pPr>
    </w:p>
    <w:p w14:paraId="0EBE66E6">
      <w:pPr>
        <w:rPr>
          <w:rFonts w:ascii="宋体" w:hAnsi="宋体" w:cs="宋体"/>
          <w:color w:val="auto"/>
          <w:szCs w:val="21"/>
          <w:highlight w:val="none"/>
        </w:rPr>
      </w:pPr>
    </w:p>
    <w:p w14:paraId="2B4D2176">
      <w:pPr>
        <w:rPr>
          <w:rFonts w:ascii="宋体" w:hAnsi="宋体" w:cs="宋体"/>
          <w:color w:val="auto"/>
          <w:szCs w:val="21"/>
          <w:highlight w:val="none"/>
        </w:rPr>
      </w:pPr>
    </w:p>
    <w:p w14:paraId="75F3ED73">
      <w:pPr>
        <w:rPr>
          <w:rFonts w:ascii="宋体" w:hAnsi="宋体" w:cs="宋体"/>
          <w:color w:val="auto"/>
          <w:szCs w:val="21"/>
          <w:highlight w:val="none"/>
        </w:rPr>
      </w:pPr>
    </w:p>
    <w:p w14:paraId="5C97569F">
      <w:pPr>
        <w:rPr>
          <w:rFonts w:ascii="宋体" w:hAnsi="宋体" w:cs="宋体"/>
          <w:color w:val="auto"/>
          <w:szCs w:val="21"/>
          <w:highlight w:val="none"/>
        </w:rPr>
      </w:pPr>
    </w:p>
    <w:p w14:paraId="5CBD694C">
      <w:pPr>
        <w:rPr>
          <w:rFonts w:ascii="宋体" w:hAnsi="宋体" w:cs="宋体"/>
          <w:color w:val="auto"/>
          <w:szCs w:val="21"/>
          <w:highlight w:val="none"/>
        </w:rPr>
      </w:pPr>
    </w:p>
    <w:p w14:paraId="53CF5190">
      <w:pPr>
        <w:rPr>
          <w:rFonts w:ascii="宋体" w:hAnsi="宋体" w:cs="宋体"/>
          <w:color w:val="auto"/>
          <w:szCs w:val="21"/>
          <w:highlight w:val="none"/>
        </w:rPr>
      </w:pPr>
    </w:p>
    <w:p w14:paraId="362C185F">
      <w:pPr>
        <w:rPr>
          <w:rFonts w:ascii="宋体" w:hAnsi="宋体" w:cs="宋体"/>
          <w:color w:val="auto"/>
          <w:szCs w:val="21"/>
          <w:highlight w:val="none"/>
        </w:rPr>
      </w:pPr>
    </w:p>
    <w:p w14:paraId="6F6477E6">
      <w:pPr>
        <w:rPr>
          <w:rFonts w:ascii="宋体" w:hAnsi="宋体" w:cs="宋体"/>
          <w:color w:val="auto"/>
          <w:szCs w:val="21"/>
          <w:highlight w:val="none"/>
        </w:rPr>
      </w:pPr>
    </w:p>
    <w:p w14:paraId="548AF950">
      <w:pPr>
        <w:rPr>
          <w:rFonts w:ascii="宋体" w:hAnsi="宋体" w:cs="宋体"/>
          <w:color w:val="auto"/>
          <w:szCs w:val="21"/>
          <w:highlight w:val="none"/>
        </w:rPr>
      </w:pPr>
    </w:p>
    <w:p w14:paraId="00CCA879">
      <w:pPr>
        <w:rPr>
          <w:rFonts w:ascii="宋体" w:hAnsi="宋体" w:cs="宋体"/>
          <w:color w:val="auto"/>
          <w:szCs w:val="21"/>
          <w:highlight w:val="none"/>
        </w:rPr>
      </w:pPr>
    </w:p>
    <w:p w14:paraId="2B2C9D24">
      <w:pPr>
        <w:rPr>
          <w:rFonts w:ascii="宋体" w:hAnsi="宋体" w:cs="宋体"/>
          <w:color w:val="auto"/>
          <w:szCs w:val="21"/>
          <w:highlight w:val="none"/>
        </w:rPr>
      </w:pPr>
    </w:p>
    <w:p w14:paraId="5C57B4B4">
      <w:pPr>
        <w:rPr>
          <w:rFonts w:ascii="宋体" w:hAnsi="宋体" w:cs="宋体"/>
          <w:color w:val="auto"/>
          <w:szCs w:val="21"/>
          <w:highlight w:val="none"/>
        </w:rPr>
      </w:pPr>
    </w:p>
    <w:p w14:paraId="602B7850">
      <w:pPr>
        <w:rPr>
          <w:rFonts w:ascii="宋体" w:hAnsi="宋体" w:cs="宋体"/>
          <w:color w:val="auto"/>
          <w:szCs w:val="21"/>
          <w:highlight w:val="none"/>
        </w:rPr>
      </w:pPr>
    </w:p>
    <w:p w14:paraId="60D36411">
      <w:pPr>
        <w:pStyle w:val="3"/>
        <w:spacing w:after="0" w:line="500" w:lineRule="exact"/>
        <w:jc w:val="center"/>
        <w:rPr>
          <w:rFonts w:ascii="宋体" w:hAnsi="宋体" w:cs="宋体"/>
          <w:color w:val="auto"/>
          <w:highlight w:val="none"/>
        </w:rPr>
      </w:pPr>
      <w:r>
        <w:rPr>
          <w:rFonts w:hint="eastAsia" w:ascii="宋体" w:hAnsi="宋体" w:cs="宋体"/>
          <w:color w:val="auto"/>
          <w:highlight w:val="none"/>
        </w:rPr>
        <w:t>第二章 采购需求</w:t>
      </w:r>
      <w:bookmarkEnd w:id="37"/>
      <w:bookmarkEnd w:id="38"/>
    </w:p>
    <w:p w14:paraId="3A4888E0">
      <w:pPr>
        <w:spacing w:line="460" w:lineRule="exact"/>
        <w:ind w:firstLine="422" w:firstLineChars="200"/>
        <w:jc w:val="left"/>
        <w:rPr>
          <w:rFonts w:ascii="宋体" w:hAnsi="宋体" w:cs="宋体"/>
          <w:b/>
          <w:color w:val="auto"/>
          <w:highlight w:val="none"/>
        </w:rPr>
      </w:pPr>
      <w:bookmarkStart w:id="39" w:name="_Toc254970631"/>
      <w:bookmarkStart w:id="40" w:name="_Toc254970490"/>
      <w:r>
        <w:rPr>
          <w:rFonts w:hint="eastAsia" w:ascii="宋体" w:hAnsi="宋体" w:cs="宋体"/>
          <w:b/>
          <w:color w:val="auto"/>
          <w:highlight w:val="none"/>
        </w:rPr>
        <w:t>Ⅰ.说明：</w:t>
      </w:r>
    </w:p>
    <w:p w14:paraId="10021B55">
      <w:pPr>
        <w:spacing w:line="460" w:lineRule="exact"/>
        <w:ind w:firstLine="420" w:firstLineChars="200"/>
        <w:jc w:val="left"/>
        <w:rPr>
          <w:rFonts w:ascii="宋体" w:hAnsi="宋体" w:cs="宋体"/>
          <w:color w:val="auto"/>
          <w:highlight w:val="none"/>
        </w:rPr>
      </w:pPr>
      <w:r>
        <w:rPr>
          <w:rFonts w:hint="eastAsia" w:ascii="宋体" w:hAnsi="宋体" w:cs="宋体"/>
          <w:color w:val="auto"/>
          <w:highlight w:val="none"/>
        </w:rPr>
        <w:t>1.为落实政府采购政策需满足的要求</w:t>
      </w:r>
    </w:p>
    <w:p w14:paraId="2B0C5BE0">
      <w:pPr>
        <w:spacing w:line="460" w:lineRule="exact"/>
        <w:ind w:firstLine="420" w:firstLineChars="200"/>
        <w:jc w:val="left"/>
        <w:rPr>
          <w:rFonts w:ascii="宋体" w:hAnsi="宋体" w:cs="宋体"/>
          <w:color w:val="auto"/>
          <w:highlight w:val="none"/>
        </w:rPr>
      </w:pPr>
      <w:r>
        <w:rPr>
          <w:rFonts w:hint="eastAsia" w:ascii="宋体" w:hAnsi="宋体" w:cs="宋体"/>
          <w:color w:val="auto"/>
          <w:highlight w:val="none"/>
        </w:rPr>
        <w:t>（1）本招标文件所称中小企业必须符合《政府采购促进中小企业发展管理办法》（财库〔2020〕46号）的规定，本章后附的《中小企业划型标准规定》。</w:t>
      </w:r>
    </w:p>
    <w:p w14:paraId="697E3284">
      <w:pPr>
        <w:spacing w:line="460" w:lineRule="exact"/>
        <w:ind w:firstLine="420" w:firstLineChars="200"/>
        <w:jc w:val="left"/>
        <w:rPr>
          <w:rFonts w:ascii="宋体" w:hAnsi="宋体" w:cs="宋体"/>
          <w:color w:val="auto"/>
          <w:highlight w:val="none"/>
        </w:rPr>
      </w:pPr>
      <w:r>
        <w:rPr>
          <w:rFonts w:hint="eastAsia" w:ascii="宋体" w:hAnsi="宋体" w:cs="宋体"/>
          <w:color w:val="auto"/>
          <w:highlight w:val="none"/>
        </w:rPr>
        <w:t>（2）根据财政部、司法部关于政府采购支持监狱企业发展有关问题的通知（财库[2014]68号），监狱企业视同小型、微型企业，享受预留份额、评审中价格扣除等政府采购政策。监狱企业属于小型、微型企业的，不重复享受政策。</w:t>
      </w:r>
    </w:p>
    <w:p w14:paraId="57A81086">
      <w:pPr>
        <w:spacing w:line="460" w:lineRule="exact"/>
        <w:ind w:firstLine="420" w:firstLineChars="200"/>
        <w:jc w:val="left"/>
        <w:rPr>
          <w:rFonts w:ascii="宋体" w:hAnsi="宋体" w:cs="宋体"/>
          <w:color w:val="auto"/>
          <w:highlight w:val="none"/>
        </w:rPr>
      </w:pPr>
      <w:r>
        <w:rPr>
          <w:rFonts w:hint="eastAsia" w:ascii="宋体" w:hAnsi="宋体" w:cs="宋体"/>
          <w:color w:val="auto"/>
          <w:highlight w:val="none"/>
        </w:rPr>
        <w:t>（3）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14:paraId="02EE9627">
      <w:pPr>
        <w:spacing w:line="460" w:lineRule="exact"/>
        <w:ind w:firstLine="420" w:firstLineChars="200"/>
        <w:jc w:val="left"/>
        <w:rPr>
          <w:rFonts w:ascii="宋体" w:hAnsi="宋体" w:cs="宋体"/>
          <w:color w:val="auto"/>
          <w:highlight w:val="none"/>
        </w:rPr>
      </w:pPr>
      <w:r>
        <w:rPr>
          <w:rFonts w:hint="eastAsia" w:ascii="宋体" w:hAnsi="宋体" w:cs="宋体"/>
          <w:color w:val="auto"/>
          <w:highlight w:val="none"/>
        </w:rPr>
        <w:t>（4）根据《财政部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商务及技术文件）中提供所投标产品的节能产品认证证书复印件（加盖投标人电子签章），否则按无效投标处理。如本项目包含的货物属于品目清单内非标注“★”的产品时，应优先采购，具体详见“第四章 评标方法及评标标准”。</w:t>
      </w:r>
    </w:p>
    <w:p w14:paraId="2CD3A6B5">
      <w:pPr>
        <w:spacing w:line="460" w:lineRule="exact"/>
        <w:ind w:firstLine="422" w:firstLineChars="200"/>
        <w:jc w:val="left"/>
        <w:rPr>
          <w:rFonts w:ascii="宋体" w:hAnsi="宋体" w:cs="宋体"/>
          <w:b/>
          <w:color w:val="auto"/>
          <w:highlight w:val="none"/>
        </w:rPr>
      </w:pPr>
      <w:bookmarkStart w:id="41" w:name="_Hlk65055179"/>
      <w:r>
        <w:rPr>
          <w:rFonts w:hint="eastAsia" w:ascii="宋体" w:hAnsi="宋体" w:cs="宋体"/>
          <w:b/>
          <w:color w:val="auto"/>
          <w:highlight w:val="none"/>
        </w:rPr>
        <w:t>2.“实质性要求”是指招标文件中已经指明不满足则投标无效的条款，或者不能负偏离的条款，或者采购需求中带“▲”的条款。投标人不满足实质性要求的，按投标无效处理。</w:t>
      </w:r>
    </w:p>
    <w:p w14:paraId="43263B7D">
      <w:pPr>
        <w:spacing w:line="460" w:lineRule="exact"/>
        <w:ind w:firstLine="420" w:firstLineChars="200"/>
        <w:jc w:val="left"/>
        <w:rPr>
          <w:rFonts w:ascii="宋体" w:hAnsi="宋体" w:cs="宋体"/>
          <w:color w:val="auto"/>
          <w:highlight w:val="none"/>
        </w:rPr>
      </w:pPr>
      <w:r>
        <w:rPr>
          <w:rFonts w:hint="eastAsia" w:ascii="宋体" w:hAnsi="宋体" w:cs="宋体"/>
          <w:color w:val="auto"/>
          <w:highlight w:val="none"/>
        </w:rPr>
        <w:t>3.采购需求中出现的品牌、型号或者生产厂家仅起参考作用，不属于指定品牌、型号或者生产厂家的情形。投标人可参照或者选用其他相当的品牌、型号或者生产厂家替代，但选用的投标产品参数性能必须满足实质性要求。</w:t>
      </w:r>
      <w:bookmarkEnd w:id="41"/>
    </w:p>
    <w:p w14:paraId="290BD13F">
      <w:pPr>
        <w:spacing w:line="460" w:lineRule="exact"/>
        <w:ind w:firstLine="420" w:firstLineChars="200"/>
        <w:jc w:val="left"/>
        <w:rPr>
          <w:rFonts w:ascii="宋体" w:hAnsi="宋体" w:cs="宋体"/>
          <w:color w:val="auto"/>
          <w:highlight w:val="none"/>
        </w:rPr>
      </w:pPr>
      <w:r>
        <w:rPr>
          <w:rFonts w:hint="eastAsia" w:ascii="宋体" w:hAnsi="宋体" w:cs="宋体"/>
          <w:color w:val="auto"/>
          <w:highlight w:val="none"/>
        </w:rPr>
        <w:t>4.投标人应根据自身实际情况如实响应招标文件，对招标文件提出的要求和条件作出明确响应。对于招标文件中要求技术参数应当在投标文件中提供技术支持资料的，技术支持资料以招标文件中规定的形式为准，否则将视为无效技术支持资料。</w:t>
      </w:r>
    </w:p>
    <w:p w14:paraId="35052569">
      <w:pPr>
        <w:spacing w:line="460" w:lineRule="exact"/>
        <w:ind w:firstLine="420" w:firstLineChars="200"/>
        <w:jc w:val="left"/>
        <w:rPr>
          <w:rFonts w:ascii="宋体" w:hAnsi="宋体" w:cs="宋体"/>
          <w:b/>
          <w:color w:val="auto"/>
          <w:highlight w:val="none"/>
        </w:rPr>
      </w:pPr>
      <w:r>
        <w:rPr>
          <w:rFonts w:hint="eastAsia" w:ascii="宋体" w:hAnsi="宋体" w:cs="宋体"/>
          <w:color w:val="auto"/>
          <w:highlight w:val="none"/>
        </w:rPr>
        <w:t>5.投标人必须自行为其投标产品侵犯他人的知识产权或者专利成果的行为承担相应法律责任。</w:t>
      </w:r>
    </w:p>
    <w:p w14:paraId="076F2B2E">
      <w:pPr>
        <w:spacing w:line="380" w:lineRule="exact"/>
        <w:ind w:firstLine="310" w:firstLineChars="147"/>
        <w:jc w:val="left"/>
        <w:rPr>
          <w:rFonts w:ascii="宋体" w:hAnsi="宋体" w:cs="宋体"/>
          <w:b/>
          <w:color w:val="auto"/>
          <w:highlight w:val="none"/>
        </w:rPr>
      </w:pPr>
      <w:r>
        <w:rPr>
          <w:rFonts w:hint="eastAsia" w:ascii="宋体" w:hAnsi="宋体" w:cs="宋体"/>
          <w:b/>
          <w:color w:val="auto"/>
          <w:highlight w:val="none"/>
        </w:rPr>
        <w:t>Ⅱ.采购需求一览表</w:t>
      </w:r>
    </w:p>
    <w:p w14:paraId="36F1061A">
      <w:pPr>
        <w:spacing w:line="380" w:lineRule="exact"/>
        <w:jc w:val="left"/>
        <w:rPr>
          <w:rFonts w:ascii="宋体" w:hAnsi="宋体" w:cs="宋体"/>
          <w:b/>
          <w:color w:val="auto"/>
          <w:highlight w:val="none"/>
        </w:rPr>
      </w:pPr>
      <w:r>
        <w:rPr>
          <w:rFonts w:hint="eastAsia" w:ascii="宋体" w:hAnsi="宋体" w:cs="宋体"/>
          <w:b/>
          <w:color w:val="auto"/>
          <w:highlight w:val="none"/>
        </w:rPr>
        <w:t>分标1</w:t>
      </w:r>
    </w:p>
    <w:bookmarkEnd w:id="39"/>
    <w:bookmarkEnd w:id="40"/>
    <w:tbl>
      <w:tblPr>
        <w:tblStyle w:val="47"/>
        <w:tblW w:w="527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5"/>
        <w:gridCol w:w="1305"/>
        <w:gridCol w:w="663"/>
        <w:gridCol w:w="827"/>
        <w:gridCol w:w="836"/>
        <w:gridCol w:w="963"/>
        <w:gridCol w:w="4216"/>
      </w:tblGrid>
      <w:tr w14:paraId="71333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5000" w:type="pct"/>
            <w:gridSpan w:val="7"/>
            <w:vAlign w:val="center"/>
          </w:tcPr>
          <w:p w14:paraId="08D63D9B">
            <w:pPr>
              <w:tabs>
                <w:tab w:val="left" w:pos="180"/>
                <w:tab w:val="left" w:pos="1620"/>
              </w:tabs>
              <w:adjustRightInd w:val="0"/>
              <w:snapToGrid w:val="0"/>
              <w:spacing w:line="360" w:lineRule="exact"/>
              <w:rPr>
                <w:rFonts w:ascii="宋体" w:hAnsi="宋体" w:cs="宋体"/>
                <w:color w:val="auto"/>
                <w:szCs w:val="21"/>
                <w:highlight w:val="none"/>
              </w:rPr>
            </w:pPr>
            <w:r>
              <w:rPr>
                <w:rFonts w:hint="eastAsia" w:ascii="宋体" w:hAnsi="宋体" w:cs="宋体"/>
                <w:b/>
                <w:color w:val="auto"/>
                <w:szCs w:val="21"/>
                <w:highlight w:val="none"/>
              </w:rPr>
              <w:t>一、采购标的及技术需求</w:t>
            </w:r>
          </w:p>
        </w:tc>
      </w:tr>
      <w:tr w14:paraId="7008B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215" w:type="pct"/>
            <w:tcBorders>
              <w:right w:val="single" w:color="auto" w:sz="4" w:space="0"/>
            </w:tcBorders>
            <w:vAlign w:val="center"/>
          </w:tcPr>
          <w:p w14:paraId="34625092">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709" w:type="pct"/>
            <w:tcBorders>
              <w:left w:val="single" w:color="auto" w:sz="4" w:space="0"/>
              <w:right w:val="single" w:color="auto" w:sz="4" w:space="0"/>
            </w:tcBorders>
            <w:vAlign w:val="center"/>
          </w:tcPr>
          <w:p w14:paraId="4F9B28D7">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360" w:type="pct"/>
            <w:tcBorders>
              <w:left w:val="single" w:color="auto" w:sz="4" w:space="0"/>
            </w:tcBorders>
            <w:vAlign w:val="center"/>
          </w:tcPr>
          <w:p w14:paraId="5A9783AB">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448" w:type="pct"/>
            <w:vAlign w:val="center"/>
          </w:tcPr>
          <w:p w14:paraId="50AFE159">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454" w:type="pct"/>
            <w:vAlign w:val="center"/>
          </w:tcPr>
          <w:p w14:paraId="63817C06">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所属行业</w:t>
            </w:r>
          </w:p>
        </w:tc>
        <w:tc>
          <w:tcPr>
            <w:tcW w:w="523" w:type="pct"/>
            <w:tcBorders>
              <w:right w:val="single" w:color="auto" w:sz="4" w:space="0"/>
            </w:tcBorders>
            <w:vAlign w:val="center"/>
          </w:tcPr>
          <w:p w14:paraId="03EEBCF6">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单价最高限价（万元）</w:t>
            </w:r>
          </w:p>
        </w:tc>
        <w:tc>
          <w:tcPr>
            <w:tcW w:w="2288" w:type="pct"/>
            <w:tcBorders>
              <w:left w:val="single" w:color="auto" w:sz="4" w:space="0"/>
            </w:tcBorders>
            <w:vAlign w:val="center"/>
          </w:tcPr>
          <w:p w14:paraId="3CC4B4FD">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技术要求</w:t>
            </w:r>
          </w:p>
        </w:tc>
      </w:tr>
      <w:tr w14:paraId="2F0BF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215" w:type="pct"/>
            <w:tcBorders>
              <w:bottom w:val="single" w:color="auto" w:sz="4" w:space="0"/>
              <w:right w:val="single" w:color="auto" w:sz="4" w:space="0"/>
            </w:tcBorders>
            <w:vAlign w:val="center"/>
          </w:tcPr>
          <w:p w14:paraId="27F21CBE">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709" w:type="pct"/>
            <w:tcBorders>
              <w:left w:val="single" w:color="auto" w:sz="4" w:space="0"/>
              <w:bottom w:val="single" w:color="auto" w:sz="4" w:space="0"/>
              <w:right w:val="single" w:color="auto" w:sz="4" w:space="0"/>
            </w:tcBorders>
            <w:vAlign w:val="center"/>
          </w:tcPr>
          <w:p w14:paraId="58E23225">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病人监护仪</w:t>
            </w:r>
          </w:p>
        </w:tc>
        <w:tc>
          <w:tcPr>
            <w:tcW w:w="360" w:type="pct"/>
            <w:tcBorders>
              <w:left w:val="single" w:color="auto" w:sz="4" w:space="0"/>
            </w:tcBorders>
            <w:vAlign w:val="center"/>
          </w:tcPr>
          <w:p w14:paraId="1AFF9CA1">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448" w:type="pct"/>
            <w:vAlign w:val="center"/>
          </w:tcPr>
          <w:p w14:paraId="5AD41EC0">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台</w:t>
            </w:r>
          </w:p>
        </w:tc>
        <w:tc>
          <w:tcPr>
            <w:tcW w:w="454" w:type="pct"/>
            <w:tcBorders>
              <w:bottom w:val="single" w:color="auto" w:sz="4" w:space="0"/>
            </w:tcBorders>
            <w:vAlign w:val="center"/>
          </w:tcPr>
          <w:p w14:paraId="44C62534">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23" w:type="pct"/>
            <w:tcBorders>
              <w:right w:val="single" w:color="auto" w:sz="4" w:space="0"/>
            </w:tcBorders>
            <w:vAlign w:val="center"/>
          </w:tcPr>
          <w:p w14:paraId="232F5D0F">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1.59</w:t>
            </w:r>
          </w:p>
        </w:tc>
        <w:tc>
          <w:tcPr>
            <w:tcW w:w="2288" w:type="pct"/>
            <w:tcBorders>
              <w:left w:val="single" w:color="auto" w:sz="4" w:space="0"/>
            </w:tcBorders>
          </w:tcPr>
          <w:p w14:paraId="096391D4">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1.整机要求：</w:t>
            </w:r>
          </w:p>
          <w:p w14:paraId="14D9F196">
            <w:pPr>
              <w:tabs>
                <w:tab w:val="left" w:pos="180"/>
                <w:tab w:val="left" w:pos="1620"/>
              </w:tabs>
              <w:adjustRightInd w:val="0"/>
              <w:snapToGrid w:val="0"/>
              <w:spacing w:line="360" w:lineRule="exact"/>
              <w:jc w:val="left"/>
              <w:rPr>
                <w:rFonts w:ascii="宋体" w:hAnsi="宋体" w:cs="宋体"/>
                <w:b/>
                <w:bCs/>
                <w:color w:val="auto"/>
                <w:szCs w:val="21"/>
                <w:highlight w:val="none"/>
              </w:rPr>
            </w:pPr>
            <w:r>
              <w:rPr>
                <w:rFonts w:hint="eastAsia" w:ascii="宋体" w:hAnsi="宋体" w:cs="宋体"/>
                <w:b/>
                <w:bCs/>
                <w:color w:val="auto"/>
                <w:szCs w:val="21"/>
                <w:highlight w:val="none"/>
              </w:rPr>
              <w:t>▲1.1≥10.1英寸彩色液晶触摸屏，屏幕采用电容屏非电阻屏，分辨率≥1280×800像素，≥6通道波形显示，一体化便携监护仪，整机无风扇设计，配置提手，要求方便移动。</w:t>
            </w:r>
          </w:p>
          <w:p w14:paraId="3532CB2A">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1.2显示屏可支持亮度自动调节功能，屏幕为倾斜10~15度设计。</w:t>
            </w:r>
          </w:p>
          <w:p w14:paraId="68D6667E">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1.3可支持遥控器无线远程操作监护仪。</w:t>
            </w:r>
          </w:p>
          <w:p w14:paraId="288CC1D9">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1.4内置锂电池，插槽式设计，无需螺丝刀工具支持快速拆卸和安装。</w:t>
            </w:r>
          </w:p>
          <w:p w14:paraId="1AB13D8C">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1.5安全规格：ECG， TEMP， IBP， SpO</w:t>
            </w:r>
            <w:r>
              <w:rPr>
                <w:rFonts w:hint="eastAsia" w:ascii="宋体" w:hAnsi="宋体" w:cs="宋体"/>
                <w:color w:val="auto"/>
                <w:szCs w:val="21"/>
                <w:highlight w:val="none"/>
                <w:vertAlign w:val="subscript"/>
              </w:rPr>
              <w:t>2</w:t>
            </w:r>
            <w:r>
              <w:rPr>
                <w:rFonts w:hint="eastAsia" w:ascii="宋体" w:hAnsi="宋体" w:cs="宋体"/>
                <w:color w:val="auto"/>
                <w:szCs w:val="21"/>
                <w:highlight w:val="none"/>
              </w:rPr>
              <w:t xml:space="preserve"> ， NIBP监测参数，抗电击程度为防除颤CF型。</w:t>
            </w:r>
          </w:p>
          <w:p w14:paraId="5483256C">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1.6监护仪设计使用年限≥8年。</w:t>
            </w:r>
          </w:p>
          <w:p w14:paraId="60C95EB0">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1.7监护仪清洁维护支持的清洁剂≥40种。</w:t>
            </w:r>
          </w:p>
          <w:p w14:paraId="7F838CE2">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1.8监护仪主机工作大气压环境范围：57.0~107.4kPa，监护仪主机工作温度环境范围：0~40°C，监护仪主机工作湿度环境范围：15~95%。</w:t>
            </w:r>
          </w:p>
          <w:p w14:paraId="52A528FB">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1.9防水等级≥IPX2。</w:t>
            </w:r>
          </w:p>
          <w:p w14:paraId="2010654E">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1.10整机抗跌落设计通过≥0.75米6面跌落测试。</w:t>
            </w:r>
          </w:p>
          <w:p w14:paraId="3AF6F9F6">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2.监测参数：</w:t>
            </w:r>
          </w:p>
          <w:p w14:paraId="5703C017">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2.1配置3/5导心电，呼吸，无创血压，血氧饱和度，脉搏和双通道体温参数监测。</w:t>
            </w:r>
          </w:p>
          <w:p w14:paraId="77B5DEDD">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2.2心电监护支持心率，ST段测量，心律失常分析，QT/QTc连续实时测量和对应报警功能，心电算法通过AHA/MIT-BIH数据库验证，心电波形扫描速度支持6.25mm/s、12.5 mm/s、25 mm/s和50 mm/s，提供窗口支持心脏下壁，侧壁和前壁对应多个ST片段的同屏实时显示，提供参考片段和实时片段的对比查看。</w:t>
            </w:r>
          </w:p>
          <w:p w14:paraId="2ECDAA35">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2.3支持≥20种心律失常分析，包括房颤分析。</w:t>
            </w:r>
          </w:p>
          <w:p w14:paraId="3651537B">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2.4 QT和QTc实时监测参数测量范围：200～800 ms。</w:t>
            </w:r>
          </w:p>
          <w:p w14:paraId="26EDD352">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2.5支持升级，提供过去24小时心电概览报告查看与打印，包括心率统计结果，心律失常统计结果，ST统计和QT/QTc统计结果。</w:t>
            </w:r>
          </w:p>
          <w:p w14:paraId="324A861A">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2.6 提供SpO</w:t>
            </w:r>
            <w:r>
              <w:rPr>
                <w:rFonts w:hint="eastAsia" w:ascii="宋体" w:hAnsi="宋体" w:cs="宋体"/>
                <w:color w:val="auto"/>
                <w:szCs w:val="21"/>
                <w:highlight w:val="none"/>
                <w:vertAlign w:val="subscript"/>
              </w:rPr>
              <w:t>2</w:t>
            </w:r>
            <w:r>
              <w:rPr>
                <w:rFonts w:hint="eastAsia" w:ascii="宋体" w:hAnsi="宋体" w:cs="宋体"/>
                <w:color w:val="auto"/>
                <w:szCs w:val="21"/>
                <w:highlight w:val="none"/>
              </w:rPr>
              <w:t>，PR和PI参数的实时监测，适用于成人，小儿和新生儿。</w:t>
            </w:r>
          </w:p>
          <w:p w14:paraId="321B6D88">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2.7支持指套式血氧探头，IPX7防水等级，支持液体浸泡消毒和清洁。</w:t>
            </w:r>
          </w:p>
          <w:p w14:paraId="52B997B7">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2.8配置无创血压测量，适用于成人，小儿和新生儿，提供手动，自动，连续和序列、整点≥5种测量模式，并提供24小时血压统计结果，满足临床应用，无创血压成人测量范围：收缩压25~290mmHg，舒张压10~250mmHg，平均压15~260mmHg。</w:t>
            </w:r>
          </w:p>
          <w:p w14:paraId="3A0F00AA">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2.9提供辅助静脉穿刺功能。</w:t>
            </w:r>
          </w:p>
          <w:p w14:paraId="2884D011">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2.10提供双通道体温和温差参数的监测，并可根据需要更改体温通道标名。</w:t>
            </w:r>
          </w:p>
          <w:p w14:paraId="64AF347F">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3.系统功能：</w:t>
            </w:r>
          </w:p>
          <w:p w14:paraId="57BE1EED">
            <w:pPr>
              <w:tabs>
                <w:tab w:val="left" w:pos="180"/>
                <w:tab w:val="left" w:pos="1620"/>
              </w:tabs>
              <w:adjustRightInd w:val="0"/>
              <w:snapToGrid w:val="0"/>
              <w:spacing w:line="360" w:lineRule="exact"/>
              <w:jc w:val="left"/>
              <w:rPr>
                <w:rFonts w:ascii="宋体" w:hAnsi="宋体" w:cs="宋体"/>
                <w:b/>
                <w:bCs/>
                <w:color w:val="auto"/>
                <w:szCs w:val="21"/>
                <w:highlight w:val="none"/>
              </w:rPr>
            </w:pPr>
            <w:r>
              <w:rPr>
                <w:rFonts w:hint="eastAsia" w:ascii="宋体" w:hAnsi="宋体" w:cs="宋体"/>
                <w:b/>
                <w:bCs/>
                <w:color w:val="auto"/>
                <w:szCs w:val="21"/>
                <w:highlight w:val="none"/>
              </w:rPr>
              <w:t>▲3.1支持所有监测参数报警限一键自动设置功能，满足医护团队快速管理患者报警需求，产品用户手册提供报警限自动设置规则。</w:t>
            </w:r>
          </w:p>
          <w:p w14:paraId="3BB524AC">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3.2支持肾功能计算功能。</w:t>
            </w:r>
          </w:p>
          <w:p w14:paraId="4C9CD312">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3.3具有图形化技术报警指示功能，帮助医护团队快速识别报警来源。</w:t>
            </w:r>
          </w:p>
          <w:p w14:paraId="38FA75F4">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3.4支持≥120小时趋势图和趋势表回顾，支持选择不同趋势组回顾。</w:t>
            </w:r>
          </w:p>
          <w:p w14:paraId="3C7876F4">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3.5≥1000条事件回顾，每条报警事件至少能够存储32秒三道相关波形，以及报警触发时所有测量参数值。</w:t>
            </w:r>
          </w:p>
          <w:p w14:paraId="0129687F">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3.6≥1000组NIBP测量结果。</w:t>
            </w:r>
          </w:p>
          <w:p w14:paraId="77B57EA4">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3.7≥120小时（分辨率1分钟）ST模板存储与回顾。</w:t>
            </w:r>
          </w:p>
          <w:p w14:paraId="3F1DD2C4">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3.8支持48小时全息波形的存储与回顾功能。</w:t>
            </w:r>
          </w:p>
          <w:p w14:paraId="5A066D0F">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3.9支持监护仪历史病人数据的存储和回顾，并支持通过USB接口将历史病人数据导出到U盘。</w:t>
            </w:r>
          </w:p>
          <w:p w14:paraId="7177AA70">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3.10支持RJ45接口进行有线网络通信，和除颤监护仪一起联网通信到中心监护系统。</w:t>
            </w:r>
          </w:p>
          <w:p w14:paraId="623DAE66">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3.11支持监护仪进入夜间模式，隐私模式，演示模式和待机模式。</w:t>
            </w:r>
          </w:p>
          <w:p w14:paraId="63B28086">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3.12可升级配置临床评分系统，如MEWS（改良早期预警评分）、NEWS（英国早期预警评分），可支持定时自动EWS评分功能。</w:t>
            </w:r>
          </w:p>
          <w:p w14:paraId="0FBA21F4">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3.13提供心肌缺血评估工具，可以快速查看ST值的变化。</w:t>
            </w:r>
          </w:p>
          <w:p w14:paraId="2F6B8E91">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3.14提供计时器功能，界面区提供设置≥4个计时器，每个计时器支持独立设置和计时功能，计时方向包括正计时和倒计时两种选择。</w:t>
            </w:r>
          </w:p>
          <w:p w14:paraId="1EA84F9C">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3.15支持格拉斯哥昏迷评分（GCS）功能。</w:t>
            </w:r>
          </w:p>
          <w:p w14:paraId="31CAE31A">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3.16动态趋势界面可支持统计1-24小时心律失常报警、参数超限报警信息，并对超限报警区间的波形进行高亮显示，帮助医护人员快速识别异常趋势信息。</w:t>
            </w:r>
          </w:p>
          <w:p w14:paraId="257D531D">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3.17信息互连：支持升级有线和无线（内置Wi</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Fi模块）方式直接与同品牌中央监护系统互联，把监测信息参数和波形实时显示到中央监护系统上，满足</w:t>
            </w:r>
            <w:r>
              <w:rPr>
                <w:rFonts w:hint="eastAsia"/>
                <w:color w:val="auto"/>
                <w:highlight w:val="none"/>
              </w:rPr>
              <w:t>采购人使用部门</w:t>
            </w:r>
            <w:r>
              <w:rPr>
                <w:rFonts w:hint="eastAsia" w:ascii="宋体" w:hAnsi="宋体" w:cs="宋体"/>
                <w:color w:val="auto"/>
                <w:szCs w:val="21"/>
                <w:highlight w:val="none"/>
              </w:rPr>
              <w:t>信息化的需求。</w:t>
            </w:r>
          </w:p>
          <w:p w14:paraId="55BE48BA">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3.18</w:t>
            </w:r>
            <w:r>
              <w:rPr>
                <w:rFonts w:hint="eastAsia" w:ascii="宋体" w:hAnsi="宋体" w:cs="宋体"/>
                <w:color w:val="auto"/>
                <w:szCs w:val="21"/>
                <w:highlight w:val="none"/>
              </w:rPr>
              <w:t>支持升级连接HIS系统，</w:t>
            </w:r>
            <w:r>
              <w:rPr>
                <w:rFonts w:hint="eastAsia" w:ascii="宋体" w:hAnsi="宋体" w:cs="宋体"/>
                <w:color w:val="auto"/>
                <w:szCs w:val="21"/>
                <w:highlight w:val="none"/>
                <w:lang w:eastAsia="zh-CN"/>
              </w:rPr>
              <w:t>开放端口，</w:t>
            </w:r>
            <w:r>
              <w:rPr>
                <w:rFonts w:hint="eastAsia" w:ascii="宋体" w:hAnsi="宋体" w:cs="宋体"/>
                <w:color w:val="auto"/>
                <w:szCs w:val="21"/>
                <w:highlight w:val="none"/>
              </w:rPr>
              <w:t>满足</w:t>
            </w:r>
            <w:r>
              <w:rPr>
                <w:rFonts w:hint="eastAsia"/>
                <w:color w:val="auto"/>
                <w:highlight w:val="none"/>
              </w:rPr>
              <w:t>采购人使用部门</w:t>
            </w:r>
            <w:r>
              <w:rPr>
                <w:rFonts w:hint="eastAsia" w:ascii="宋体" w:hAnsi="宋体" w:cs="宋体"/>
                <w:color w:val="auto"/>
                <w:szCs w:val="21"/>
                <w:highlight w:val="none"/>
              </w:rPr>
              <w:t>信息化的需求</w:t>
            </w:r>
            <w:r>
              <w:rPr>
                <w:rFonts w:hint="eastAsia" w:ascii="宋体" w:hAnsi="宋体" w:cs="宋体"/>
                <w:color w:val="auto"/>
                <w:szCs w:val="21"/>
                <w:highlight w:val="none"/>
                <w:lang w:eastAsia="zh-CN"/>
              </w:rPr>
              <w:t>（费用包含在投标报价中，采购人不再另行支付）</w:t>
            </w:r>
            <w:r>
              <w:rPr>
                <w:rFonts w:hint="eastAsia" w:ascii="宋体" w:hAnsi="宋体" w:cs="宋体"/>
                <w:color w:val="auto"/>
                <w:szCs w:val="21"/>
                <w:highlight w:val="none"/>
              </w:rPr>
              <w:t>。</w:t>
            </w:r>
          </w:p>
        </w:tc>
      </w:tr>
      <w:tr w14:paraId="6D5DE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215" w:type="pct"/>
            <w:tcBorders>
              <w:bottom w:val="single" w:color="auto" w:sz="4" w:space="0"/>
              <w:right w:val="single" w:color="auto" w:sz="4" w:space="0"/>
            </w:tcBorders>
            <w:vAlign w:val="center"/>
          </w:tcPr>
          <w:p w14:paraId="503F81B0">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709" w:type="pct"/>
            <w:tcBorders>
              <w:left w:val="single" w:color="auto" w:sz="4" w:space="0"/>
              <w:bottom w:val="single" w:color="auto" w:sz="4" w:space="0"/>
              <w:right w:val="single" w:color="auto" w:sz="4" w:space="0"/>
            </w:tcBorders>
            <w:vAlign w:val="center"/>
          </w:tcPr>
          <w:p w14:paraId="60AD70EC">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病人监护仪</w:t>
            </w:r>
          </w:p>
        </w:tc>
        <w:tc>
          <w:tcPr>
            <w:tcW w:w="360" w:type="pct"/>
            <w:tcBorders>
              <w:left w:val="single" w:color="auto" w:sz="4" w:space="0"/>
            </w:tcBorders>
            <w:vAlign w:val="center"/>
          </w:tcPr>
          <w:p w14:paraId="35ED367B">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448" w:type="pct"/>
            <w:vAlign w:val="center"/>
          </w:tcPr>
          <w:p w14:paraId="685888AD">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台</w:t>
            </w:r>
          </w:p>
        </w:tc>
        <w:tc>
          <w:tcPr>
            <w:tcW w:w="454" w:type="pct"/>
            <w:tcBorders>
              <w:bottom w:val="single" w:color="auto" w:sz="4" w:space="0"/>
            </w:tcBorders>
            <w:vAlign w:val="center"/>
          </w:tcPr>
          <w:p w14:paraId="13666A14">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23" w:type="pct"/>
            <w:tcBorders>
              <w:right w:val="single" w:color="auto" w:sz="4" w:space="0"/>
            </w:tcBorders>
            <w:vAlign w:val="center"/>
          </w:tcPr>
          <w:p w14:paraId="50F288C7">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3.7</w:t>
            </w:r>
          </w:p>
        </w:tc>
        <w:tc>
          <w:tcPr>
            <w:tcW w:w="2288" w:type="pct"/>
            <w:tcBorders>
              <w:left w:val="single" w:color="auto" w:sz="4" w:space="0"/>
            </w:tcBorders>
          </w:tcPr>
          <w:p w14:paraId="2785F535">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1.整机要求：</w:t>
            </w:r>
          </w:p>
          <w:p w14:paraId="7F5CF96D">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1.1模块化监护仪，主机集成内置≥2槽位插件槽，可支持IBP，CO</w:t>
            </w:r>
            <w:r>
              <w:rPr>
                <w:rFonts w:hint="eastAsia" w:ascii="宋体" w:hAnsi="宋体" w:cs="宋体"/>
                <w:color w:val="auto"/>
                <w:szCs w:val="21"/>
                <w:highlight w:val="none"/>
                <w:vertAlign w:val="subscript"/>
              </w:rPr>
              <w:t>2</w:t>
            </w:r>
            <w:r>
              <w:rPr>
                <w:rFonts w:hint="eastAsia" w:ascii="宋体" w:hAnsi="宋体" w:cs="宋体"/>
                <w:color w:val="auto"/>
                <w:szCs w:val="21"/>
                <w:highlight w:val="none"/>
              </w:rPr>
              <w:t>任意参数模块的即插即用快速扩展临床应用。</w:t>
            </w:r>
          </w:p>
          <w:p w14:paraId="710C0C03">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 xml:space="preserve">1.2整机无风扇设计，防水等级≥IPX1。 </w:t>
            </w:r>
          </w:p>
          <w:p w14:paraId="1DD9762A">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1.3≥10.1英寸彩色液晶触摸屏，分辨率≥1280×800像素，≥8通道波形显示。</w:t>
            </w:r>
          </w:p>
          <w:p w14:paraId="0A9E5CEE">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1.4屏幕采用最新电容屏非电阻屏。</w:t>
            </w:r>
          </w:p>
          <w:p w14:paraId="1DE9F805">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1.5显示屏可支持亮度自动调节功能。</w:t>
            </w:r>
          </w:p>
          <w:p w14:paraId="45E34C61">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1.6屏幕倾斜10~15度设计，符合人机工程学，便于临床团队观察和操作。</w:t>
            </w:r>
          </w:p>
          <w:p w14:paraId="4E86E8F6">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1.7监测患者类型为小儿、新生儿，不含成人，所有监测参数适用于新生儿，标配新生儿专用附件。</w:t>
            </w:r>
          </w:p>
          <w:p w14:paraId="5D381CD2">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1.8内置锂电池，插槽式设计，无需螺丝刀工具支持快速拆卸和安装。锂电池支持监护仪工作时间≥4小时。</w:t>
            </w:r>
          </w:p>
          <w:p w14:paraId="7DD1DED7">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1.9安全规格：ECG， TEMP， IBP， SpO2 ， NIBP监测参数，抗电击程度为防除颤CF型。</w:t>
            </w:r>
          </w:p>
          <w:p w14:paraId="15C4CEBB">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1.10监护仪设计使用年限≥8年。</w:t>
            </w:r>
          </w:p>
          <w:p w14:paraId="3BC15958">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1.11监护仪清洁维护支持的清洁剂≥40种。</w:t>
            </w:r>
          </w:p>
          <w:p w14:paraId="7AA91863">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1.12监护仪主机工作大气压环境范围：57.0~107.4kPa。</w:t>
            </w:r>
          </w:p>
          <w:p w14:paraId="4F8561AA">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1.13监护仪主机工作温度环境范围：0~40°C。</w:t>
            </w:r>
          </w:p>
          <w:p w14:paraId="1C25C487">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1.14监护仪主机工作湿度环境范围：15~95%。</w:t>
            </w:r>
          </w:p>
          <w:p w14:paraId="48CF7BAA">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2.监测参数：</w:t>
            </w:r>
          </w:p>
          <w:p w14:paraId="369D119A">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2.1配置3/5导心电，呼吸，无创血压，血氧饱和度，脉搏和双通道体温参数监测。</w:t>
            </w:r>
          </w:p>
          <w:p w14:paraId="73605F4D">
            <w:pPr>
              <w:tabs>
                <w:tab w:val="left" w:pos="180"/>
                <w:tab w:val="left" w:pos="1620"/>
              </w:tabs>
              <w:adjustRightInd w:val="0"/>
              <w:snapToGrid w:val="0"/>
              <w:spacing w:line="360" w:lineRule="exact"/>
              <w:jc w:val="left"/>
              <w:rPr>
                <w:rFonts w:ascii="宋体" w:hAnsi="宋体" w:cs="宋体"/>
                <w:b/>
                <w:bCs/>
                <w:color w:val="auto"/>
                <w:szCs w:val="21"/>
                <w:highlight w:val="none"/>
              </w:rPr>
            </w:pPr>
            <w:r>
              <w:rPr>
                <w:rFonts w:hint="eastAsia" w:ascii="宋体" w:hAnsi="宋体" w:cs="宋体"/>
                <w:b/>
                <w:bCs/>
                <w:color w:val="auto"/>
                <w:szCs w:val="21"/>
                <w:highlight w:val="none"/>
              </w:rPr>
              <w:t>▲2.2心电监护支持心率，ST段测量，心律失常分析，QT/QTc连续实时测量和对应报警功能，适用于新生儿。</w:t>
            </w:r>
          </w:p>
          <w:p w14:paraId="3F3636A2">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2.3提供新生儿专用心电电缆。</w:t>
            </w:r>
          </w:p>
          <w:p w14:paraId="1B9AC16D">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2.4心电算法通过AHA/MIT-BIH数据库验证。</w:t>
            </w:r>
          </w:p>
          <w:p w14:paraId="65751A07">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2.5心电波形扫描速度支持6.25mm/s、12.5 mm/s、25 mm/s和50 mm/s。</w:t>
            </w:r>
          </w:p>
          <w:p w14:paraId="65E56D4B">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2.6提供窗口支持心脏下壁，侧壁和前壁对应多个ST片段的同屏实时显示，提供参考片段和实时片段的对比查看。</w:t>
            </w:r>
          </w:p>
          <w:p w14:paraId="58D867EE">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2.7支持≥20种心律失常分析，适用于新生儿。</w:t>
            </w:r>
          </w:p>
          <w:p w14:paraId="6EAAD018">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2.8 QT和QTc实时监测参数测量范围：200～800ms。</w:t>
            </w:r>
          </w:p>
          <w:p w14:paraId="27BEBB77">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2.9支持升级提供过去24小时心电概览报告查看与打印，包括心率统计结果，心律失常统计结果，ST统计和QT/QTc统计结果。</w:t>
            </w:r>
          </w:p>
          <w:p w14:paraId="36F56CFE">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2.10提供SpO</w:t>
            </w:r>
            <w:r>
              <w:rPr>
                <w:rFonts w:hint="eastAsia" w:ascii="宋体" w:hAnsi="宋体" w:cs="宋体"/>
                <w:color w:val="auto"/>
                <w:szCs w:val="21"/>
                <w:highlight w:val="none"/>
                <w:vertAlign w:val="subscript"/>
              </w:rPr>
              <w:t>2</w:t>
            </w:r>
            <w:r>
              <w:rPr>
                <w:rFonts w:hint="eastAsia" w:ascii="宋体" w:hAnsi="宋体" w:cs="宋体"/>
                <w:color w:val="auto"/>
                <w:szCs w:val="21"/>
                <w:highlight w:val="none"/>
              </w:rPr>
              <w:t>，PR和灌注指数(PI)参数的实时监测，适用于小儿和新生儿。</w:t>
            </w:r>
          </w:p>
          <w:p w14:paraId="1C690913">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2.11提供新生儿专用可重复使用血氧探头一个，防水等级IPX7。</w:t>
            </w:r>
          </w:p>
          <w:p w14:paraId="6537B242">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2.12配置无创血压测量，适用于小儿和新生儿。</w:t>
            </w:r>
          </w:p>
          <w:p w14:paraId="3B5E6F80">
            <w:pPr>
              <w:tabs>
                <w:tab w:val="left" w:pos="180"/>
                <w:tab w:val="left" w:pos="1620"/>
              </w:tabs>
              <w:adjustRightInd w:val="0"/>
              <w:snapToGrid w:val="0"/>
              <w:spacing w:line="360" w:lineRule="exact"/>
              <w:jc w:val="left"/>
              <w:rPr>
                <w:rFonts w:ascii="宋体" w:hAnsi="宋体" w:cs="宋体"/>
                <w:b/>
                <w:bCs/>
                <w:color w:val="auto"/>
                <w:szCs w:val="21"/>
                <w:highlight w:val="none"/>
              </w:rPr>
            </w:pPr>
            <w:r>
              <w:rPr>
                <w:rFonts w:hint="eastAsia" w:ascii="宋体" w:hAnsi="宋体" w:cs="宋体"/>
                <w:b/>
                <w:bCs/>
                <w:color w:val="auto"/>
                <w:szCs w:val="21"/>
                <w:highlight w:val="none"/>
              </w:rPr>
              <w:t>▲2.13提供手动，自动，连续和序列4种测量模式，并提供24小时血压统计结果，满足临床应用。</w:t>
            </w:r>
          </w:p>
          <w:p w14:paraId="2D8C60DD">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2.14无创血压小儿测量范围：收缩压25~240mmHg，舒张压10~200mmHg，平均压15~215mmHg；无创血压新生儿测量范围：收缩压25~140mmHg，舒张压10~115mmHg，平均压15~125mmHg。</w:t>
            </w:r>
          </w:p>
          <w:p w14:paraId="54DEF4D6">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2.15提供新生儿专用血压测量袖带一套，包括≥3个尺寸不同的袖带，满足不同新生儿臂围的监测。</w:t>
            </w:r>
          </w:p>
          <w:p w14:paraId="02DFB7B3">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2.16提供双通道体温和温差参数的监测， 并可根据需要更改体温通道标名。</w:t>
            </w:r>
          </w:p>
          <w:p w14:paraId="01248918">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2.17支持升级多达4通道有创压监测，适用于小儿和新生儿。</w:t>
            </w:r>
          </w:p>
          <w:p w14:paraId="0432E880">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2.18可升级CO</w:t>
            </w:r>
            <w:r>
              <w:rPr>
                <w:rFonts w:hint="eastAsia" w:ascii="宋体" w:hAnsi="宋体" w:cs="宋体"/>
                <w:color w:val="auto"/>
                <w:szCs w:val="21"/>
                <w:highlight w:val="none"/>
                <w:vertAlign w:val="subscript"/>
              </w:rPr>
              <w:t>2</w:t>
            </w:r>
            <w:r>
              <w:rPr>
                <w:rFonts w:hint="eastAsia" w:ascii="宋体" w:hAnsi="宋体" w:cs="宋体"/>
                <w:color w:val="auto"/>
                <w:szCs w:val="21"/>
                <w:highlight w:val="none"/>
              </w:rPr>
              <w:t>模块，即插即用，支持新生儿呼末CO</w:t>
            </w:r>
            <w:r>
              <w:rPr>
                <w:rFonts w:hint="eastAsia" w:ascii="宋体" w:hAnsi="宋体" w:cs="宋体"/>
                <w:color w:val="auto"/>
                <w:szCs w:val="21"/>
                <w:highlight w:val="none"/>
                <w:vertAlign w:val="subscript"/>
              </w:rPr>
              <w:t>2</w:t>
            </w:r>
            <w:r>
              <w:rPr>
                <w:rFonts w:hint="eastAsia" w:ascii="宋体" w:hAnsi="宋体" w:cs="宋体"/>
                <w:color w:val="auto"/>
                <w:szCs w:val="21"/>
                <w:highlight w:val="none"/>
              </w:rPr>
              <w:t>监测，采用微流技术，采样速率50ml/min。</w:t>
            </w:r>
          </w:p>
          <w:p w14:paraId="5995B319">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2.19可升级12导联心电监测，支持小儿、新生儿监测。</w:t>
            </w:r>
          </w:p>
          <w:p w14:paraId="5CA4FBE7">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3.系统功能：</w:t>
            </w:r>
          </w:p>
          <w:p w14:paraId="243FC7D1">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3.1支持所有监测参数报警限一键自动设置功能，满足医护团队快速管理患者报警需求，产品用户手册提供报警限自动设置规则。</w:t>
            </w:r>
          </w:p>
          <w:p w14:paraId="39C3056E">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3.2能提供多种新生儿监护界面，包括呼吸氧合、大字体、单血氧界面。</w:t>
            </w:r>
          </w:p>
          <w:p w14:paraId="7906DED9">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3.3提供单血氧大参数界面，界面显示SpO</w:t>
            </w:r>
            <w:r>
              <w:rPr>
                <w:rFonts w:hint="eastAsia" w:ascii="宋体" w:hAnsi="宋体" w:cs="宋体"/>
                <w:color w:val="auto"/>
                <w:szCs w:val="21"/>
                <w:highlight w:val="none"/>
                <w:vertAlign w:val="subscript"/>
              </w:rPr>
              <w:t>2</w:t>
            </w:r>
            <w:r>
              <w:rPr>
                <w:rFonts w:hint="eastAsia" w:ascii="宋体" w:hAnsi="宋体" w:cs="宋体"/>
                <w:color w:val="auto"/>
                <w:szCs w:val="21"/>
                <w:highlight w:val="none"/>
              </w:rPr>
              <w:t>，PR，PI和多组SpO</w:t>
            </w:r>
            <w:r>
              <w:rPr>
                <w:rFonts w:hint="eastAsia" w:ascii="宋体" w:hAnsi="宋体" w:cs="宋体"/>
                <w:color w:val="auto"/>
                <w:szCs w:val="21"/>
                <w:highlight w:val="none"/>
                <w:vertAlign w:val="subscript"/>
              </w:rPr>
              <w:t>2</w:t>
            </w:r>
            <w:r>
              <w:rPr>
                <w:rFonts w:hint="eastAsia" w:ascii="宋体" w:hAnsi="宋体" w:cs="宋体"/>
                <w:color w:val="auto"/>
                <w:szCs w:val="21"/>
                <w:highlight w:val="none"/>
              </w:rPr>
              <w:t>监测值列表相关参数。</w:t>
            </w:r>
          </w:p>
          <w:p w14:paraId="113DA099">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3.4提供CCHD筛查工具，支持新生儿先天性心脏病通过患者血氧进行筛查。</w:t>
            </w:r>
          </w:p>
          <w:p w14:paraId="1EECC518">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3.5提供新生儿呼吸氧合专用界面，实时识别和标记ABD事件，协助临床对于新生儿的呼吸暂停的监测和管理。</w:t>
            </w:r>
          </w:p>
          <w:p w14:paraId="006B31A5">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3.6大字体界面支持6个参数区的设置和显示。</w:t>
            </w:r>
          </w:p>
          <w:p w14:paraId="69C2A60F">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3.7支持肾功能计算功能。</w:t>
            </w:r>
          </w:p>
          <w:p w14:paraId="46C1C40F">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3.8具有图形化技术报警指示功能，帮助医护团队快速识别报警来源。</w:t>
            </w:r>
          </w:p>
          <w:p w14:paraId="72767A5A">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3.9支持≥120小时趋势图和趋势表回顾，支持选择不同趋势组回顾。</w:t>
            </w:r>
          </w:p>
          <w:p w14:paraId="2D84E977">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3.10≥1000条事件回顾。每条报警事件至少能够存储32秒三道相关波形，以及报警触发时所有测量参数值。</w:t>
            </w:r>
          </w:p>
          <w:p w14:paraId="614EBD95">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3.11≥1000组NIBP测量结果。</w:t>
            </w:r>
          </w:p>
          <w:p w14:paraId="353F275F">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3.12≥120小时（分辨率1分钟）ST模板存储与回顾。</w:t>
            </w:r>
          </w:p>
          <w:p w14:paraId="460898AE">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3.13支持48小时全息波形的存储与回顾功能。</w:t>
            </w:r>
          </w:p>
          <w:p w14:paraId="4EAC4B90">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3.14支持监护仪历史病人数据的存储和回顾，并支持通过USB接口将历史病人数据导出到U盘。</w:t>
            </w:r>
          </w:p>
          <w:p w14:paraId="36325E2F">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3.15支持RJ45接口进行有线网络通信，和除颤监护仪一起联网通信到中心监护系统。</w:t>
            </w:r>
          </w:p>
          <w:p w14:paraId="17D0501C">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3.16支持监护仪进入夜间模式，隐私模式，演示模式和待机模式。</w:t>
            </w:r>
          </w:p>
          <w:p w14:paraId="6A287854">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3.17提供心肌缺血评估工具，可以快速查看ST值的变化。</w:t>
            </w:r>
          </w:p>
          <w:p w14:paraId="24B8F709">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3.18提供计时器功能，界面区提供设置≥4个计时器，每个计时器支持独立设置和计时功能，计时方向包括正计时和倒计时两种选择。</w:t>
            </w:r>
          </w:p>
          <w:p w14:paraId="7724063F">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3.19支持格拉斯哥昏迷评分（GCS）功能。</w:t>
            </w:r>
          </w:p>
          <w:p w14:paraId="45D86D92">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3.20动态趋势界面可支持统计1-24小时心律失常报警、参数超限报警信息，并对超限报警区间的波形进行高亮显示，帮助医护人员快速识别异常趋势信息。</w:t>
            </w:r>
          </w:p>
          <w:p w14:paraId="10CEEDB4">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3.21提供屏幕截图功能，将屏幕截图通过USB接口导出到U盘。</w:t>
            </w:r>
          </w:p>
        </w:tc>
      </w:tr>
      <w:tr w14:paraId="6FABD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215" w:type="pct"/>
            <w:tcBorders>
              <w:bottom w:val="single" w:color="auto" w:sz="4" w:space="0"/>
              <w:right w:val="single" w:color="auto" w:sz="4" w:space="0"/>
            </w:tcBorders>
            <w:vAlign w:val="center"/>
          </w:tcPr>
          <w:p w14:paraId="7E827FCB">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709" w:type="pct"/>
            <w:tcBorders>
              <w:left w:val="single" w:color="auto" w:sz="4" w:space="0"/>
              <w:bottom w:val="single" w:color="auto" w:sz="4" w:space="0"/>
              <w:right w:val="single" w:color="auto" w:sz="4" w:space="0"/>
            </w:tcBorders>
            <w:vAlign w:val="center"/>
          </w:tcPr>
          <w:p w14:paraId="3F375FB9">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病人监护仪</w:t>
            </w:r>
          </w:p>
        </w:tc>
        <w:tc>
          <w:tcPr>
            <w:tcW w:w="360" w:type="pct"/>
            <w:tcBorders>
              <w:left w:val="single" w:color="auto" w:sz="4" w:space="0"/>
            </w:tcBorders>
            <w:vAlign w:val="center"/>
          </w:tcPr>
          <w:p w14:paraId="095DE553">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24</w:t>
            </w:r>
          </w:p>
        </w:tc>
        <w:tc>
          <w:tcPr>
            <w:tcW w:w="448" w:type="pct"/>
            <w:vAlign w:val="center"/>
          </w:tcPr>
          <w:p w14:paraId="41FA6963">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台</w:t>
            </w:r>
          </w:p>
        </w:tc>
        <w:tc>
          <w:tcPr>
            <w:tcW w:w="454" w:type="pct"/>
            <w:tcBorders>
              <w:bottom w:val="single" w:color="auto" w:sz="4" w:space="0"/>
            </w:tcBorders>
            <w:vAlign w:val="center"/>
          </w:tcPr>
          <w:p w14:paraId="0AF721EE">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23" w:type="pct"/>
            <w:tcBorders>
              <w:right w:val="single" w:color="auto" w:sz="4" w:space="0"/>
            </w:tcBorders>
            <w:vAlign w:val="center"/>
          </w:tcPr>
          <w:p w14:paraId="02348B7B">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1.85</w:t>
            </w:r>
          </w:p>
        </w:tc>
        <w:tc>
          <w:tcPr>
            <w:tcW w:w="2288" w:type="pct"/>
            <w:tcBorders>
              <w:left w:val="single" w:color="auto" w:sz="4" w:space="0"/>
            </w:tcBorders>
          </w:tcPr>
          <w:p w14:paraId="4EF37488">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1.整机要求：</w:t>
            </w:r>
          </w:p>
          <w:p w14:paraId="50F33715">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1.1≥10.1英寸彩色液晶触摸屏，屏幕采用最新电容屏非电阻屏，分辨率≥1280×800像素，≥6通道波形显示，一体化便携监护仪，整机无风扇设计，配置提手，方便移动。显示屏可支持亮度自动调节功能，显示屏采用宽视角技术，支持170度可视范围。</w:t>
            </w:r>
          </w:p>
          <w:p w14:paraId="7598481C">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1.2可支持遥控器无线远程操作监护仪。</w:t>
            </w:r>
          </w:p>
          <w:p w14:paraId="624A2AE9">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1.3内置锂电池，插槽式设计，无需螺丝刀工具支持快速拆卸和安装。</w:t>
            </w:r>
          </w:p>
          <w:p w14:paraId="5C1C0504">
            <w:pPr>
              <w:tabs>
                <w:tab w:val="left" w:pos="180"/>
                <w:tab w:val="left" w:pos="1620"/>
              </w:tabs>
              <w:adjustRightInd w:val="0"/>
              <w:snapToGrid w:val="0"/>
              <w:spacing w:line="360" w:lineRule="exact"/>
              <w:jc w:val="left"/>
              <w:rPr>
                <w:rFonts w:ascii="宋体" w:hAnsi="宋体" w:cs="宋体"/>
                <w:b/>
                <w:bCs/>
                <w:color w:val="auto"/>
                <w:szCs w:val="21"/>
                <w:highlight w:val="none"/>
              </w:rPr>
            </w:pPr>
            <w:r>
              <w:rPr>
                <w:rFonts w:hint="eastAsia" w:ascii="宋体" w:hAnsi="宋体" w:cs="宋体"/>
                <w:b/>
                <w:bCs/>
                <w:color w:val="auto"/>
                <w:szCs w:val="21"/>
                <w:highlight w:val="none"/>
              </w:rPr>
              <w:t>▲1.4安全规格：ECG， TEMP， IBP， SpO2 ， NIBP监测参数，抗电击程度为防除颤CF型。</w:t>
            </w:r>
          </w:p>
          <w:p w14:paraId="566591E3">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1.5监护仪设计使用年限≥8年。</w:t>
            </w:r>
          </w:p>
          <w:p w14:paraId="5E67A6B4">
            <w:pPr>
              <w:tabs>
                <w:tab w:val="left" w:pos="180"/>
                <w:tab w:val="left" w:pos="1620"/>
              </w:tabs>
              <w:adjustRightInd w:val="0"/>
              <w:snapToGrid w:val="0"/>
              <w:spacing w:line="360" w:lineRule="exact"/>
              <w:jc w:val="left"/>
              <w:rPr>
                <w:rFonts w:ascii="宋体" w:hAnsi="宋体" w:cs="宋体"/>
                <w:b/>
                <w:bCs/>
                <w:color w:val="auto"/>
                <w:kern w:val="0"/>
                <w:szCs w:val="21"/>
                <w:highlight w:val="none"/>
              </w:rPr>
            </w:pPr>
            <w:r>
              <w:rPr>
                <w:rFonts w:hint="eastAsia" w:ascii="宋体" w:hAnsi="宋体" w:cs="宋体"/>
                <w:color w:val="auto"/>
                <w:szCs w:val="21"/>
                <w:highlight w:val="none"/>
              </w:rPr>
              <w:t>1.6监护仪清洁维护支持的清洁剂≥40种</w:t>
            </w:r>
            <w:r>
              <w:rPr>
                <w:rFonts w:hint="eastAsia" w:ascii="宋体" w:hAnsi="宋体" w:cs="宋体"/>
                <w:b/>
                <w:bCs/>
                <w:color w:val="auto"/>
                <w:kern w:val="0"/>
                <w:szCs w:val="21"/>
                <w:highlight w:val="none"/>
              </w:rPr>
              <w:t>【投标人于投标文件中提供所投产品符合此项技术要求的相关有效证明材料复印件（加盖投标人电子签章），可以是由国家认可的第三方出具的检测报告复印件、产品彩页或使用说明书等】。</w:t>
            </w:r>
          </w:p>
          <w:p w14:paraId="121AEB5A">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1.7防水等级≥IPX2。</w:t>
            </w:r>
          </w:p>
          <w:p w14:paraId="12AF560A">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1.8整机抗跌落设计通过≥0.75米6面跌落测试。</w:t>
            </w:r>
          </w:p>
          <w:p w14:paraId="59464267">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2.监测参数：</w:t>
            </w:r>
          </w:p>
          <w:p w14:paraId="54714F04">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2.1配置3/5导心电，呼吸，无创血压，血氧饱和度，脉搏和双通道体温参数监测。</w:t>
            </w:r>
          </w:p>
          <w:p w14:paraId="35AEE639">
            <w:pPr>
              <w:tabs>
                <w:tab w:val="left" w:pos="180"/>
                <w:tab w:val="left" w:pos="1620"/>
              </w:tabs>
              <w:adjustRightInd w:val="0"/>
              <w:snapToGrid w:val="0"/>
              <w:spacing w:line="360" w:lineRule="exact"/>
              <w:jc w:val="left"/>
              <w:rPr>
                <w:rFonts w:ascii="宋体" w:hAnsi="宋体" w:cs="宋体"/>
                <w:b/>
                <w:bCs/>
                <w:color w:val="auto"/>
                <w:szCs w:val="21"/>
                <w:highlight w:val="none"/>
              </w:rPr>
            </w:pPr>
            <w:r>
              <w:rPr>
                <w:rFonts w:hint="eastAsia" w:ascii="宋体" w:hAnsi="宋体" w:cs="宋体"/>
                <w:b/>
                <w:bCs/>
                <w:color w:val="auto"/>
                <w:szCs w:val="21"/>
                <w:highlight w:val="none"/>
              </w:rPr>
              <w:t>▲2.2心电监护支持心率，ST段测量，心律失常分析，QT/QTc连续实时测量和对应报警功能，心电算法通过AHA/MIT-BIH数据库验证，心电波形扫描速度支持6.25mm/s、12.5 mm/s、25 mm/s和50 mm/s，提供窗口支持心脏下壁，侧壁和前壁对应多个ST片段的同屏实时显示，提供参考片段和实时片段的对比查看。配置无创血压测量，适用于成人，小儿和新生儿，提供手动，自动，连续和序列、整点5种测量模式，并提供24小时血压统计结果，满足临床应用，无创血压成人测量范围：收缩压25~290mmHg，舒张压10~250mmHg，平均压15~260mmHg。</w:t>
            </w:r>
          </w:p>
          <w:p w14:paraId="54F01D37">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2.3支持≥20种心律失常分析，包括房颤分析。</w:t>
            </w:r>
          </w:p>
          <w:p w14:paraId="291437C7">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2.4QT和QTc实时监测参数测量范围：200～800 ms。</w:t>
            </w:r>
          </w:p>
          <w:p w14:paraId="03CC78DD">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2.5支持升级提供过去24小时心电概览报告查看与打印，包括心率统计结果，心律失常统计结果，ST统计和QT/QTc统计结果。</w:t>
            </w:r>
          </w:p>
          <w:p w14:paraId="3A841463">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2.6提供双通道体温和温差参数的监测， 并可根据需要更改体温通道标名。</w:t>
            </w:r>
          </w:p>
          <w:p w14:paraId="0DFBFDEA">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3系统功能：</w:t>
            </w:r>
          </w:p>
          <w:p w14:paraId="549E4758">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3.1支持所有监测参数报警限一键自动设置功能，满足医护团队快速管理患者报警需求，产品用户手册提供报警限自动设置规则。</w:t>
            </w:r>
          </w:p>
          <w:p w14:paraId="640CE06C">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3.2支持≥120小时趋势图和趋势表回顾，支持选择不同趋势组回顾。</w:t>
            </w:r>
          </w:p>
          <w:p w14:paraId="47BEBA62">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3.3≥1000条事件回顾。每条报警事件至少能够存储32秒三道相关波形，以及报警触发时所有测量参数值。</w:t>
            </w:r>
          </w:p>
          <w:p w14:paraId="7C3D77D3">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3.4≥1000组NIBP测量结果。</w:t>
            </w:r>
          </w:p>
          <w:p w14:paraId="0D0081EA">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3.5≥120小时（分辨率1分钟）ST模板存储与回顾。</w:t>
            </w:r>
          </w:p>
          <w:p w14:paraId="4B18CE1E">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3.6支持监护仪历史病人数据的存储和回顾，并支持通过USB接口将历史病人数据导出到U盘。</w:t>
            </w:r>
          </w:p>
          <w:p w14:paraId="3BBF4A3B">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3.7支持RJ45接口进行有线网络通信，和除颤监护仪一起联网通信到中心监护系统。</w:t>
            </w:r>
          </w:p>
          <w:p w14:paraId="5A6AC5DC">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3.8支持监护仪进入夜间模式，隐私模式，演示模式和待机模式。</w:t>
            </w:r>
          </w:p>
          <w:p w14:paraId="343D1CBC">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3.9可升级配置临床评分系统，如MEWS（改良早期预警评分）、NEWS（英国早期预警评分），可支持定时自动EWS评分功能。</w:t>
            </w:r>
          </w:p>
          <w:p w14:paraId="1B03E963">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3.10提供心肌缺血评估工具，可以快速查看ST值的变化。</w:t>
            </w:r>
          </w:p>
          <w:p w14:paraId="661C8AAD">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3.11提供计时器功能，界面区提供设置≥4个计时器，每个计时器支持独立设置和计时功能，计时方向包括正计时和倒计时两种选择。动态趋势界面可支持统计1-24小时心律失常报警、参数超限报警信息，并对超限报警区间的波形进行高亮显示，帮助医护人员快速识别异常趋势信息</w:t>
            </w:r>
            <w:r>
              <w:rPr>
                <w:rFonts w:hint="eastAsia" w:ascii="宋体" w:hAnsi="宋体" w:cs="宋体"/>
                <w:b/>
                <w:bCs/>
                <w:color w:val="auto"/>
                <w:kern w:val="0"/>
                <w:szCs w:val="21"/>
                <w:highlight w:val="none"/>
              </w:rPr>
              <w:t>【投标人于投标文件中提供所投产品符合此项技术要求的相关有效证明材料复印件（加盖投标人电子签章），可以是由国家认可的第三方出具的检测报告复印件、产品彩页或使用说明书等】。</w:t>
            </w:r>
          </w:p>
          <w:p w14:paraId="656B7E61">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3.12支持格拉斯哥昏迷评分（GCS）功能。</w:t>
            </w:r>
          </w:p>
          <w:p w14:paraId="048D6201">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3.13信息互连：支持升级有线方式直接与同品牌中央监护系统互联，把监测信息参数和波形实时显示到中央监护系统上，满足科室信息化的需求。配备无线（内置Wi</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Fi模块）方式直接与同品牌中央监护系统互联，把监测信息参数和波形实时显示到中央监护系统上，满足</w:t>
            </w:r>
            <w:r>
              <w:rPr>
                <w:rFonts w:hint="eastAsia"/>
                <w:color w:val="auto"/>
                <w:highlight w:val="none"/>
              </w:rPr>
              <w:t>采购人使用部门</w:t>
            </w:r>
            <w:r>
              <w:rPr>
                <w:rFonts w:hint="eastAsia" w:ascii="宋体" w:hAnsi="宋体" w:cs="宋体"/>
                <w:color w:val="auto"/>
                <w:szCs w:val="21"/>
                <w:highlight w:val="none"/>
              </w:rPr>
              <w:t>信息化的需求。</w:t>
            </w:r>
          </w:p>
          <w:p w14:paraId="17C8D760">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3.14</w:t>
            </w:r>
            <w:r>
              <w:rPr>
                <w:rFonts w:hint="eastAsia" w:ascii="宋体" w:hAnsi="宋体" w:cs="宋体"/>
                <w:color w:val="auto"/>
                <w:szCs w:val="21"/>
                <w:highlight w:val="none"/>
              </w:rPr>
              <w:t>支持升级连接HIS系统，</w:t>
            </w:r>
            <w:r>
              <w:rPr>
                <w:rFonts w:hint="eastAsia" w:ascii="宋体" w:hAnsi="宋体" w:cs="宋体"/>
                <w:color w:val="auto"/>
                <w:szCs w:val="21"/>
                <w:highlight w:val="none"/>
                <w:lang w:eastAsia="zh-CN"/>
              </w:rPr>
              <w:t>开放端口，</w:t>
            </w:r>
            <w:r>
              <w:rPr>
                <w:rFonts w:hint="eastAsia" w:ascii="宋体" w:hAnsi="宋体" w:cs="宋体"/>
                <w:color w:val="auto"/>
                <w:szCs w:val="21"/>
                <w:highlight w:val="none"/>
              </w:rPr>
              <w:t>满足</w:t>
            </w:r>
            <w:r>
              <w:rPr>
                <w:rFonts w:hint="eastAsia"/>
                <w:color w:val="auto"/>
                <w:highlight w:val="none"/>
              </w:rPr>
              <w:t>采购人使用部门</w:t>
            </w:r>
            <w:r>
              <w:rPr>
                <w:rFonts w:hint="eastAsia" w:ascii="宋体" w:hAnsi="宋体" w:cs="宋体"/>
                <w:color w:val="auto"/>
                <w:szCs w:val="21"/>
                <w:highlight w:val="none"/>
              </w:rPr>
              <w:t>信息化的需求</w:t>
            </w:r>
            <w:r>
              <w:rPr>
                <w:rFonts w:hint="eastAsia" w:ascii="宋体" w:hAnsi="宋体" w:cs="宋体"/>
                <w:color w:val="auto"/>
                <w:szCs w:val="21"/>
                <w:highlight w:val="none"/>
                <w:lang w:eastAsia="zh-CN"/>
              </w:rPr>
              <w:t>（费用包含在投标报价中，采购人不再另行支付）</w:t>
            </w:r>
            <w:r>
              <w:rPr>
                <w:rFonts w:hint="eastAsia" w:ascii="宋体" w:hAnsi="宋体" w:cs="宋体"/>
                <w:color w:val="auto"/>
                <w:szCs w:val="21"/>
                <w:highlight w:val="none"/>
              </w:rPr>
              <w:t>。</w:t>
            </w:r>
          </w:p>
        </w:tc>
      </w:tr>
      <w:tr w14:paraId="505B1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215" w:type="pct"/>
            <w:tcBorders>
              <w:bottom w:val="single" w:color="auto" w:sz="4" w:space="0"/>
              <w:right w:val="single" w:color="auto" w:sz="4" w:space="0"/>
            </w:tcBorders>
            <w:vAlign w:val="center"/>
          </w:tcPr>
          <w:p w14:paraId="57C6C2AE">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709" w:type="pct"/>
            <w:tcBorders>
              <w:left w:val="single" w:color="auto" w:sz="4" w:space="0"/>
              <w:bottom w:val="single" w:color="auto" w:sz="4" w:space="0"/>
              <w:right w:val="single" w:color="auto" w:sz="4" w:space="0"/>
            </w:tcBorders>
            <w:vAlign w:val="center"/>
          </w:tcPr>
          <w:p w14:paraId="4FF2CADE">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病人监护仪</w:t>
            </w:r>
          </w:p>
        </w:tc>
        <w:tc>
          <w:tcPr>
            <w:tcW w:w="360" w:type="pct"/>
            <w:tcBorders>
              <w:left w:val="single" w:color="auto" w:sz="4" w:space="0"/>
            </w:tcBorders>
            <w:vAlign w:val="center"/>
          </w:tcPr>
          <w:p w14:paraId="066F4C03">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14</w:t>
            </w:r>
          </w:p>
        </w:tc>
        <w:tc>
          <w:tcPr>
            <w:tcW w:w="448" w:type="pct"/>
            <w:vAlign w:val="center"/>
          </w:tcPr>
          <w:p w14:paraId="2793211B">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台</w:t>
            </w:r>
          </w:p>
        </w:tc>
        <w:tc>
          <w:tcPr>
            <w:tcW w:w="454" w:type="pct"/>
            <w:tcBorders>
              <w:bottom w:val="single" w:color="auto" w:sz="4" w:space="0"/>
            </w:tcBorders>
            <w:vAlign w:val="center"/>
          </w:tcPr>
          <w:p w14:paraId="0609CE6C">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23" w:type="pct"/>
            <w:tcBorders>
              <w:right w:val="single" w:color="auto" w:sz="4" w:space="0"/>
            </w:tcBorders>
            <w:vAlign w:val="center"/>
          </w:tcPr>
          <w:p w14:paraId="3FA83951">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2.892</w:t>
            </w:r>
          </w:p>
        </w:tc>
        <w:tc>
          <w:tcPr>
            <w:tcW w:w="2288" w:type="pct"/>
            <w:tcBorders>
              <w:left w:val="single" w:color="auto" w:sz="4" w:space="0"/>
            </w:tcBorders>
          </w:tcPr>
          <w:p w14:paraId="10C02130">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1.整机要求：</w:t>
            </w:r>
          </w:p>
          <w:p w14:paraId="39467D72">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1.1一体化便携监护仪，整机无风扇设计。</w:t>
            </w:r>
          </w:p>
          <w:p w14:paraId="7E12C532">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1.2配置提手，方便移动。</w:t>
            </w:r>
          </w:p>
          <w:p w14:paraId="6E2C174F">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1.3≥12.1英寸彩色液晶触摸屏，分辨率≥1280×800像素，≥10通道波形显示。安全规格：ECG，TEMP，IBP，SpO</w:t>
            </w:r>
            <w:r>
              <w:rPr>
                <w:rFonts w:hint="eastAsia" w:ascii="宋体" w:hAnsi="宋体" w:cs="宋体"/>
                <w:color w:val="auto"/>
                <w:szCs w:val="21"/>
                <w:highlight w:val="none"/>
                <w:vertAlign w:val="subscript"/>
              </w:rPr>
              <w:t>2</w:t>
            </w:r>
            <w:r>
              <w:rPr>
                <w:rFonts w:hint="eastAsia" w:ascii="宋体" w:hAnsi="宋体" w:cs="宋体"/>
                <w:color w:val="auto"/>
                <w:szCs w:val="21"/>
                <w:highlight w:val="none"/>
              </w:rPr>
              <w:t>，NIBP监测参数抗电击程度为防除颤CF型。</w:t>
            </w:r>
          </w:p>
          <w:p w14:paraId="6972CC74">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1.4屏幕采用最新电容屏非电阻屏。</w:t>
            </w:r>
          </w:p>
          <w:p w14:paraId="6F548C68">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1.5显示屏可支持亮度自动调节功能。</w:t>
            </w:r>
          </w:p>
          <w:p w14:paraId="35753625">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1.6屏幕倾斜10~15度设计，符合人机工程学，便于临床团队观察和操作。</w:t>
            </w:r>
          </w:p>
          <w:p w14:paraId="4DAC66BC">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1.7可支持遥控器无线远程操作监护仪。</w:t>
            </w:r>
          </w:p>
          <w:p w14:paraId="6E5519CB">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1.8内置锂电池，插槽式设计，无需螺丝刀工具支持快速拆卸和安装。</w:t>
            </w:r>
          </w:p>
          <w:p w14:paraId="395C1023">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1.9监护仪设计使用年限≥8年。</w:t>
            </w:r>
          </w:p>
          <w:p w14:paraId="4877BEBF">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1.11监护仪清洁维护支持的清洁剂≥40种。</w:t>
            </w:r>
          </w:p>
          <w:p w14:paraId="7FC14613">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1.12监护仪主机工作大气压环境范围：57.0~107.4kPa。</w:t>
            </w:r>
          </w:p>
          <w:p w14:paraId="709DE225">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1.13监护仪主机工作温度环境范围：0~40°C。</w:t>
            </w:r>
          </w:p>
          <w:p w14:paraId="697DB369">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1.14</w:t>
            </w:r>
            <w:r>
              <w:rPr>
                <w:rFonts w:hint="eastAsia" w:ascii="宋体" w:hAnsi="宋体" w:cs="宋体"/>
                <w:color w:val="auto"/>
                <w:spacing w:val="-6"/>
                <w:szCs w:val="21"/>
                <w:highlight w:val="none"/>
              </w:rPr>
              <w:t>监护仪主机工作湿度环境范围：15~95%。</w:t>
            </w:r>
          </w:p>
          <w:p w14:paraId="21431B7D">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1.15防水等级≥IPX2。</w:t>
            </w:r>
          </w:p>
          <w:p w14:paraId="18B55D69">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1.16整机抗跌落设计通过0.75米6面跌落测试</w:t>
            </w:r>
            <w:r>
              <w:rPr>
                <w:rFonts w:hint="eastAsia" w:ascii="宋体" w:hAnsi="宋体" w:cs="宋体"/>
                <w:b/>
                <w:bCs/>
                <w:color w:val="auto"/>
                <w:kern w:val="0"/>
                <w:szCs w:val="21"/>
                <w:highlight w:val="none"/>
              </w:rPr>
              <w:t>【投标人于投标文件中提供所投产品符合此项技术要求的相关有效证明材料复印件（加盖投标人电子签章），可以是由国家认可的第三方出具的检测报告复印件、产品彩页或使用说明书等】。</w:t>
            </w:r>
          </w:p>
          <w:p w14:paraId="2EBB6070">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2.监测参数：</w:t>
            </w:r>
          </w:p>
          <w:p w14:paraId="5BCBBCFC">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2.1配置3/5导心电，呼吸，无创血压，血氧饱和度，脉搏和双通道体温，有创血压参数监测。</w:t>
            </w:r>
          </w:p>
          <w:p w14:paraId="645B22E1">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2.2心电监护支持心率，ST段测量，心律失常分析，QT/QTc连续实时测量和对应报警功能。</w:t>
            </w:r>
          </w:p>
          <w:p w14:paraId="37B9715B">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2.3心电算法通过AHA/MIT-BIH数据库验证。</w:t>
            </w:r>
          </w:p>
          <w:p w14:paraId="45B93557">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2.4心电波形扫描速度支持6.25mm/s、12.5 mm/s、25 mm/s和50 mm/s。</w:t>
            </w:r>
          </w:p>
          <w:p w14:paraId="37BAB6EC">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2.5提供窗口支持心脏下壁，侧壁和前壁对应多个ST片段的同屏实时显示，提供参考片段和实时片段的对比查看。</w:t>
            </w:r>
          </w:p>
          <w:p w14:paraId="2D28B0E1">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2.6支持≥20种心律失常分析，包括房颤分析。</w:t>
            </w:r>
          </w:p>
          <w:p w14:paraId="48E1C1A4">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2.7QT和QTc实时监测参数测量范围：200～800 ms。</w:t>
            </w:r>
          </w:p>
          <w:p w14:paraId="7CAFA08C">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2.8支持升级提供过去24小时心电概览报告查看与打印，包括心率统计结果，心律失常统计结果，ST统计和QT/QTc统计结果。</w:t>
            </w:r>
          </w:p>
          <w:p w14:paraId="33AD0A87">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2.9提供SpO</w:t>
            </w:r>
            <w:r>
              <w:rPr>
                <w:rFonts w:hint="eastAsia" w:ascii="宋体" w:hAnsi="宋体" w:cs="宋体"/>
                <w:color w:val="auto"/>
                <w:szCs w:val="21"/>
                <w:highlight w:val="none"/>
                <w:vertAlign w:val="subscript"/>
              </w:rPr>
              <w:t>2</w:t>
            </w:r>
            <w:r>
              <w:rPr>
                <w:rFonts w:hint="eastAsia" w:ascii="宋体" w:hAnsi="宋体" w:cs="宋体"/>
                <w:color w:val="auto"/>
                <w:szCs w:val="21"/>
                <w:highlight w:val="none"/>
              </w:rPr>
              <w:t>，PR和PI参数的实时监测，适用于成人，小儿和新生儿。</w:t>
            </w:r>
          </w:p>
          <w:p w14:paraId="7D375FE4">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2.10支持指套式血氧探头，IPX7防水等级，支持液体浸泡消毒和清洁</w:t>
            </w:r>
            <w:r>
              <w:rPr>
                <w:rFonts w:hint="eastAsia" w:ascii="宋体" w:hAnsi="宋体" w:cs="宋体"/>
                <w:b/>
                <w:bCs/>
                <w:color w:val="auto"/>
                <w:kern w:val="0"/>
                <w:szCs w:val="21"/>
                <w:highlight w:val="none"/>
              </w:rPr>
              <w:t>【投标人于投标文件中提供所投产品符合此项技术要求的相关有效证明材料复印件（加盖投标人电子签章），可以是由国家认可的第三方出具的检测报告复印件、产品彩页或使用说明书等】。</w:t>
            </w:r>
          </w:p>
          <w:p w14:paraId="0234A5DB">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2.11配置无创血压测量，适用于成人，小儿和新生儿。</w:t>
            </w:r>
          </w:p>
          <w:p w14:paraId="09D6B531">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2.12提供手动，自动，连续、序列和整点，5种测量模式，并提供24小时血压统计结果，满足临床应用。无创血压成人测量范围：收缩压25~290mmHg，舒张压10~250mmHg，平均压15~260mmHg。</w:t>
            </w:r>
          </w:p>
          <w:p w14:paraId="11697C9D">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2.14提供辅助静脉穿刺功能。</w:t>
            </w:r>
          </w:p>
          <w:p w14:paraId="0F3F064C">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2.15提供双通道体温和温差参数的监测，并可根据需要更改体温通道标名。</w:t>
            </w:r>
          </w:p>
          <w:p w14:paraId="32D62CA7">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3.系统功能：</w:t>
            </w:r>
          </w:p>
          <w:p w14:paraId="7679F62B">
            <w:pPr>
              <w:tabs>
                <w:tab w:val="left" w:pos="180"/>
                <w:tab w:val="left" w:pos="1620"/>
              </w:tabs>
              <w:adjustRightInd w:val="0"/>
              <w:snapToGrid w:val="0"/>
              <w:spacing w:line="360" w:lineRule="exact"/>
              <w:jc w:val="left"/>
              <w:rPr>
                <w:rFonts w:ascii="宋体" w:hAnsi="宋体" w:cs="宋体"/>
                <w:b/>
                <w:bCs/>
                <w:color w:val="auto"/>
                <w:szCs w:val="21"/>
                <w:highlight w:val="none"/>
              </w:rPr>
            </w:pPr>
            <w:r>
              <w:rPr>
                <w:rFonts w:hint="eastAsia" w:ascii="宋体" w:hAnsi="宋体" w:cs="宋体"/>
                <w:b/>
                <w:bCs/>
                <w:color w:val="auto"/>
                <w:szCs w:val="21"/>
                <w:highlight w:val="none"/>
              </w:rPr>
              <w:t>▲3.1支持所有监测参数报警限一键自动设置功能，满足医护团队快速管理患者报警需求，产品用户手册提供报警限自动设置规则。信息互连：支持有线和无线（内置Wi</w:t>
            </w:r>
            <w:r>
              <w:rPr>
                <w:rFonts w:hint="eastAsia" w:ascii="宋体" w:hAnsi="宋体" w:cs="宋体"/>
                <w:b/>
                <w:bCs/>
                <w:color w:val="auto"/>
                <w:szCs w:val="21"/>
                <w:highlight w:val="none"/>
                <w:lang w:val="en-US" w:eastAsia="zh-CN"/>
              </w:rPr>
              <w:t>-</w:t>
            </w:r>
            <w:r>
              <w:rPr>
                <w:rFonts w:hint="eastAsia" w:ascii="宋体" w:hAnsi="宋体" w:cs="宋体"/>
                <w:b/>
                <w:bCs/>
                <w:color w:val="auto"/>
                <w:szCs w:val="21"/>
                <w:highlight w:val="none"/>
              </w:rPr>
              <w:t>Fi模块）方式直接与同品牌中央监护系统互联，把监测信息参数和波形实时显示到中央监护系统上，满足采购人使用部门信息化的需求。</w:t>
            </w:r>
          </w:p>
          <w:p w14:paraId="653DB9C0">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3.2支持肾功能计算功能。</w:t>
            </w:r>
          </w:p>
          <w:p w14:paraId="1382D75F">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3.3具有图形化技术报警指示功能，帮助医护团队快速识别报警来源。</w:t>
            </w:r>
          </w:p>
          <w:p w14:paraId="60F9FA0E">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3.4支持≥120小时趋势图和趋势表回顾，支持选择不同趋势组回顾。</w:t>
            </w:r>
          </w:p>
          <w:p w14:paraId="3E8DB467">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3.5≥1000条事件回顾。每条报警事件至少能够存储32秒三道相关波形，以及报警触发时所有测量参数值。</w:t>
            </w:r>
          </w:p>
          <w:p w14:paraId="51CB5BB9">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3.6≥1000组NIBP测量结果。</w:t>
            </w:r>
          </w:p>
          <w:p w14:paraId="7B4055C8">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3.7≥120小时（分辨率1分钟）ST模板存储与回顾。</w:t>
            </w:r>
          </w:p>
          <w:p w14:paraId="57E50861">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3.8支持48小时全息波形的存储与回顾功能。</w:t>
            </w:r>
          </w:p>
          <w:p w14:paraId="793B7E87">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3.9支持监护仪历史病人数据的存储和回顾，并支持通过USB接口将历史病人数据导出到U盘。</w:t>
            </w:r>
          </w:p>
          <w:p w14:paraId="4B3A077F">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3.10支持RJ45接口进行有线网络通信，和除颤监护仪一起联网通信到中心监护系统。</w:t>
            </w:r>
          </w:p>
          <w:p w14:paraId="53C1F919">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3.11支持监护仪进入夜间模式，隐私模式，演示模式和待机模式。</w:t>
            </w:r>
          </w:p>
          <w:p w14:paraId="5CF12847">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3.12可升级配置临床评分系统，如MEWS（改良早期预警评分）、NEWS（英国早期预警评分），可支持定时自动EWS评分功能。</w:t>
            </w:r>
          </w:p>
          <w:p w14:paraId="053CB88F">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3.13提供心肌缺血评估工具，可以快速查看ST值的变化。</w:t>
            </w:r>
          </w:p>
          <w:p w14:paraId="57185CBD">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3.14提供计时器功能，界面区提供设置≥4个计时器，每个计时器支持独立设置和计时功能，计时方向包括正计时和倒计时两种选择。动态趋势界面可支持统计1-24小时心律失常报警、参数超限报警信息，并对超限报警区间的波形进行高亮显示，帮助医护人员快速识别异常趋势信息。</w:t>
            </w:r>
          </w:p>
          <w:p w14:paraId="313A5178">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3.15支持格拉斯哥昏迷评分（GCS）功能。</w:t>
            </w:r>
          </w:p>
        </w:tc>
      </w:tr>
      <w:tr w14:paraId="075D5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5" w:type="pct"/>
            <w:tcBorders>
              <w:bottom w:val="single" w:color="auto" w:sz="4" w:space="0"/>
              <w:right w:val="single" w:color="auto" w:sz="4" w:space="0"/>
            </w:tcBorders>
            <w:vAlign w:val="center"/>
          </w:tcPr>
          <w:p w14:paraId="31E78271">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709" w:type="pct"/>
            <w:tcBorders>
              <w:left w:val="single" w:color="auto" w:sz="4" w:space="0"/>
              <w:bottom w:val="single" w:color="auto" w:sz="4" w:space="0"/>
              <w:right w:val="single" w:color="auto" w:sz="4" w:space="0"/>
            </w:tcBorders>
            <w:vAlign w:val="center"/>
          </w:tcPr>
          <w:p w14:paraId="614EA2E1">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病人监护仪</w:t>
            </w:r>
          </w:p>
        </w:tc>
        <w:tc>
          <w:tcPr>
            <w:tcW w:w="360" w:type="pct"/>
            <w:tcBorders>
              <w:left w:val="single" w:color="auto" w:sz="4" w:space="0"/>
            </w:tcBorders>
            <w:vAlign w:val="center"/>
          </w:tcPr>
          <w:p w14:paraId="4902A0A3">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448" w:type="pct"/>
            <w:vAlign w:val="center"/>
          </w:tcPr>
          <w:p w14:paraId="2B8BB748">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台</w:t>
            </w:r>
          </w:p>
        </w:tc>
        <w:tc>
          <w:tcPr>
            <w:tcW w:w="454" w:type="pct"/>
            <w:tcBorders>
              <w:bottom w:val="single" w:color="auto" w:sz="4" w:space="0"/>
            </w:tcBorders>
            <w:vAlign w:val="center"/>
          </w:tcPr>
          <w:p w14:paraId="0DA3C98F">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23" w:type="pct"/>
            <w:tcBorders>
              <w:right w:val="single" w:color="auto" w:sz="4" w:space="0"/>
            </w:tcBorders>
            <w:vAlign w:val="center"/>
          </w:tcPr>
          <w:p w14:paraId="22162190">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2.19</w:t>
            </w:r>
          </w:p>
        </w:tc>
        <w:tc>
          <w:tcPr>
            <w:tcW w:w="2288" w:type="pct"/>
            <w:tcBorders>
              <w:left w:val="single" w:color="auto" w:sz="4" w:space="0"/>
            </w:tcBorders>
          </w:tcPr>
          <w:p w14:paraId="2C57CD7F">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1.适用于成人、小儿、新生儿的监测。整机重量＜1</w:t>
            </w:r>
            <w:r>
              <w:rPr>
                <w:rFonts w:hint="eastAsia" w:ascii="宋体" w:hAnsi="宋体" w:cs="宋体"/>
                <w:color w:val="auto"/>
                <w:szCs w:val="21"/>
                <w:highlight w:val="none"/>
                <w:lang w:val="en-US" w:eastAsia="zh-CN"/>
              </w:rPr>
              <w:t>kg</w:t>
            </w:r>
            <w:r>
              <w:rPr>
                <w:rFonts w:hint="eastAsia" w:ascii="宋体" w:hAnsi="宋体" w:cs="宋体"/>
                <w:color w:val="auto"/>
                <w:szCs w:val="21"/>
                <w:highlight w:val="none"/>
              </w:rPr>
              <w:t>。</w:t>
            </w:r>
          </w:p>
          <w:p w14:paraId="041F1539">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2.转运监护仪，满足救护车，直升飞机和固定翼飞机，通过相关转运标准。</w:t>
            </w:r>
          </w:p>
          <w:p w14:paraId="3100BF5F">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3.≥5.5英寸彩色触摸电容显示屏，支持屏幕手势滑动操作，支持穿戴医用防护手套操作。</w:t>
            </w:r>
          </w:p>
          <w:p w14:paraId="6FBDA417">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4.IP44防尘防水，易清洁和适用医院内外不同临床救治环境。</w:t>
            </w:r>
          </w:p>
          <w:p w14:paraId="3A78FC73">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5.要求坚固耐用，抗1.2米6面跌落，满足转运过程中的复杂临床救治环境。</w:t>
            </w:r>
          </w:p>
          <w:p w14:paraId="51076815">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6.整机无风扇设计。</w:t>
            </w:r>
          </w:p>
          <w:p w14:paraId="04037382">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7.内置锂电池供电，支持≥5小时的持续监测。</w:t>
            </w:r>
          </w:p>
          <w:p w14:paraId="5DA1B500">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8.内置DC电源接口，可以进行车载充电。</w:t>
            </w:r>
          </w:p>
          <w:p w14:paraId="2532DC51">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9.具备3/5导心电，阻抗呼吸，血氧、无创血压、2通道体温。</w:t>
            </w:r>
          </w:p>
          <w:p w14:paraId="7357C57B">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10.可根据采购人后期需要增配便携插件箱，可扩展1个参数插槽，满足插入更多参数模块的监测扩展。</w:t>
            </w:r>
          </w:p>
          <w:p w14:paraId="1D1478CC">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11.可升级双通道有创血压；可选配外置2通道IBP有创血压监测模块，主机最多支持4通道IBP有创压力监测。</w:t>
            </w:r>
          </w:p>
          <w:p w14:paraId="0EF673C7">
            <w:pPr>
              <w:tabs>
                <w:tab w:val="left" w:pos="180"/>
                <w:tab w:val="left" w:pos="1620"/>
              </w:tabs>
              <w:adjustRightInd w:val="0"/>
              <w:snapToGrid w:val="0"/>
              <w:spacing w:line="360" w:lineRule="exact"/>
              <w:jc w:val="left"/>
              <w:rPr>
                <w:rFonts w:ascii="宋体" w:hAnsi="宋体" w:cs="宋体"/>
                <w:b/>
                <w:bCs/>
                <w:color w:val="auto"/>
                <w:szCs w:val="21"/>
                <w:highlight w:val="none"/>
              </w:rPr>
            </w:pPr>
            <w:r>
              <w:rPr>
                <w:rFonts w:hint="eastAsia" w:ascii="宋体" w:hAnsi="宋体" w:cs="宋体"/>
                <w:b/>
                <w:bCs/>
                <w:color w:val="auto"/>
                <w:szCs w:val="21"/>
                <w:highlight w:val="none"/>
              </w:rPr>
              <w:t>▲12.可选配内置EtCO</w:t>
            </w:r>
            <w:r>
              <w:rPr>
                <w:rFonts w:hint="eastAsia" w:ascii="宋体" w:hAnsi="宋体" w:cs="宋体"/>
                <w:b/>
                <w:bCs/>
                <w:color w:val="auto"/>
                <w:szCs w:val="21"/>
                <w:highlight w:val="none"/>
                <w:vertAlign w:val="subscript"/>
              </w:rPr>
              <w:t>2</w:t>
            </w:r>
            <w:r>
              <w:rPr>
                <w:rFonts w:hint="eastAsia" w:ascii="宋体" w:hAnsi="宋体" w:cs="宋体"/>
                <w:b/>
                <w:bCs/>
                <w:color w:val="auto"/>
                <w:szCs w:val="21"/>
                <w:highlight w:val="none"/>
              </w:rPr>
              <w:t>监测，与主机一体化设计，最小抽气流速50ml/min。可选配外置主流、旁流、微流EtCO</w:t>
            </w:r>
            <w:r>
              <w:rPr>
                <w:rFonts w:hint="eastAsia" w:ascii="宋体" w:hAnsi="宋体" w:cs="宋体"/>
                <w:b/>
                <w:bCs/>
                <w:color w:val="auto"/>
                <w:szCs w:val="21"/>
                <w:highlight w:val="none"/>
                <w:vertAlign w:val="subscript"/>
              </w:rPr>
              <w:t>2</w:t>
            </w:r>
            <w:r>
              <w:rPr>
                <w:rFonts w:hint="eastAsia" w:ascii="宋体" w:hAnsi="宋体" w:cs="宋体"/>
                <w:b/>
                <w:bCs/>
                <w:color w:val="auto"/>
                <w:szCs w:val="21"/>
                <w:highlight w:val="none"/>
              </w:rPr>
              <w:t>监测模块</w:t>
            </w:r>
            <w:r>
              <w:rPr>
                <w:rFonts w:hint="eastAsia" w:ascii="宋体" w:hAnsi="宋体" w:cs="宋体"/>
                <w:b/>
                <w:bCs/>
                <w:color w:val="auto"/>
                <w:kern w:val="0"/>
                <w:szCs w:val="21"/>
                <w:highlight w:val="none"/>
              </w:rPr>
              <w:t>【投标人于投标文件中必须提供所投产品符合此项技术要求的相关有效证明材料复印件（加盖投标人电子签章），可以是由国家认可的第三方出具的检测报告复印件、产品彩页或使用说明书等】。</w:t>
            </w:r>
          </w:p>
          <w:p w14:paraId="56DC893D">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bCs/>
                <w:color w:val="auto"/>
                <w:szCs w:val="21"/>
                <w:highlight w:val="none"/>
              </w:rPr>
              <w:t>13.可选配外置PiCCO技术监测功能模块或PiCCO技术单机产品，非漂浮导管热稀释法或无创阻抗法，可监测胸腔内血容量(ITBV)、血管外肺水(EVLW)，肺毛细血管通透性指数(PVPI)等参数，提供完整的血流动力学参数监测</w:t>
            </w:r>
            <w:r>
              <w:rPr>
                <w:rFonts w:hint="eastAsia" w:ascii="宋体" w:hAnsi="宋体" w:cs="宋体"/>
                <w:b/>
                <w:bCs/>
                <w:color w:val="auto"/>
                <w:kern w:val="0"/>
                <w:szCs w:val="21"/>
                <w:highlight w:val="none"/>
              </w:rPr>
              <w:t>【投标人于投标文件中必须提供所投产品符合此项技术要求的相关有效证明材料复印件（加盖投标人电子签章），可以是由国家认可的第三方出具的检测报告复印件、产品彩页或使用说明书等】</w:t>
            </w:r>
            <w:r>
              <w:rPr>
                <w:rFonts w:hint="eastAsia"/>
                <w:color w:val="auto"/>
                <w:highlight w:val="none"/>
              </w:rPr>
              <w:t>。</w:t>
            </w:r>
          </w:p>
          <w:p w14:paraId="701AEE1E">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14.可根据采购人后期需要</w:t>
            </w:r>
            <w:r>
              <w:rPr>
                <w:rFonts w:hint="eastAsia"/>
                <w:color w:val="auto"/>
                <w:highlight w:val="none"/>
              </w:rPr>
              <w:t>增配</w:t>
            </w:r>
            <w:r>
              <w:rPr>
                <w:rFonts w:hint="eastAsia" w:ascii="宋体" w:hAnsi="宋体" w:cs="宋体"/>
                <w:color w:val="auto"/>
                <w:szCs w:val="21"/>
                <w:highlight w:val="none"/>
              </w:rPr>
              <w:t>≥19英寸外接显示屏，将模块数据传输显示，进行大屏幕监护，满足临床护理人员在床旁的监护需要。</w:t>
            </w:r>
          </w:p>
          <w:p w14:paraId="67B907AA">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b/>
                <w:bCs/>
                <w:color w:val="auto"/>
                <w:szCs w:val="21"/>
                <w:highlight w:val="none"/>
              </w:rPr>
              <w:t>▲15.支持升级麻醉平衡软件工具，数字化指标显示病人镇静、镇痛、肌松三方面麻醉状态，自动提示病人三低状态，并予以计时，图形化显示病人脑状态，可进行Aldrete复苏评分，满足临床对病人复苏拔管的评估</w:t>
            </w:r>
            <w:r>
              <w:rPr>
                <w:rFonts w:hint="eastAsia" w:ascii="宋体" w:hAnsi="宋体" w:cs="宋体"/>
                <w:b/>
                <w:bCs/>
                <w:color w:val="auto"/>
                <w:kern w:val="0"/>
                <w:szCs w:val="21"/>
                <w:highlight w:val="none"/>
              </w:rPr>
              <w:t>【投标人于投标文件中必须提供所投产品符合此项技术要求的相关有效证明材料复印件（加盖投标人电子签章），可以是由国家认可的第三方出具的检测报告复印件、产品彩页或使用说明书等】</w:t>
            </w:r>
            <w:r>
              <w:rPr>
                <w:rFonts w:hint="eastAsia" w:ascii="宋体" w:hAnsi="宋体" w:cs="宋体"/>
                <w:b/>
                <w:bCs/>
                <w:color w:val="auto"/>
                <w:szCs w:val="21"/>
                <w:highlight w:val="none"/>
              </w:rPr>
              <w:t>。</w:t>
            </w:r>
          </w:p>
          <w:p w14:paraId="4AC1F8A2">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16.转运监护仪支持插入床旁监护仪插槽作为参数模块使用，即插即用。</w:t>
            </w:r>
          </w:p>
          <w:p w14:paraId="31379E83">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17.具有多导心电监护算法 ，同步分析≥4通道心电波形，能够良好抗干扰。</w:t>
            </w:r>
          </w:p>
          <w:p w14:paraId="1DE6FA48">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18.心率测量范围：成人15~300 bpm，小儿/新生儿15~350 bpm。</w:t>
            </w:r>
          </w:p>
          <w:p w14:paraId="40410BAE">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19.波速提供50mm/s，25 mm/s、12.5 mm/s、6.25 mm/s可选。</w:t>
            </w:r>
          </w:p>
          <w:p w14:paraId="435FC69B">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20.滤波模式提供诊断模式（0.05 -150Hz），监护模式（0.5~40Hz），ST模式（0.05~40Hz），手术模式（1~20Hz）。</w:t>
            </w:r>
          </w:p>
          <w:p w14:paraId="0E0547E6">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21.支持房颤及室上性心律失常分析功能，如：室上性心动过速，SVCs/min等，标配支持≥25种实时心律失常分析。</w:t>
            </w:r>
          </w:p>
          <w:p w14:paraId="30EFC355">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22.提供ST段分析，提供显示和存储ST值和每个ST的模板。</w:t>
            </w:r>
          </w:p>
          <w:p w14:paraId="2807CFD2">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23.具有QT/QTc测量功能，提供QT，QTc和ΔQTc参数值。</w:t>
            </w:r>
          </w:p>
          <w:p w14:paraId="3447823A">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24.可显示弱灌注指数（PI）。</w:t>
            </w:r>
          </w:p>
          <w:p w14:paraId="66F53EE5">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25.提供双通道体温测量，提供两通道体温测量差值显示。</w:t>
            </w:r>
          </w:p>
          <w:p w14:paraId="715CB68C">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26.提供手动、自动间隔、连续、序列以及整点无种无创血压测量模式。收缩压25~290mmHg，舒张压10~250mmHg，平均压15~260mmHg。</w:t>
            </w:r>
          </w:p>
          <w:p w14:paraId="56D031B4">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27.IBP测量范围：-50~360 mmHg，支持实时PPV测量。</w:t>
            </w:r>
          </w:p>
          <w:p w14:paraId="188279D2">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28.≥800条事件回顾。每条报警事件至少能够存储32秒三道相关波形，以及报警触发时所有测量参数值。</w:t>
            </w:r>
          </w:p>
          <w:p w14:paraId="75922DE8">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29.≥800条NIBP测量结果回顾。</w:t>
            </w:r>
          </w:p>
          <w:p w14:paraId="0D199F3E">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30.≥40小时全息波形回顾。</w:t>
            </w:r>
          </w:p>
          <w:p w14:paraId="583CA951">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31.≥100小时趋势数据回顾。</w:t>
            </w:r>
          </w:p>
          <w:p w14:paraId="05B96BE7">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b/>
                <w:bCs/>
                <w:color w:val="auto"/>
                <w:szCs w:val="21"/>
                <w:highlight w:val="none"/>
              </w:rPr>
              <w:t>▲32.信息互连：支持有线和无线（内置Wi</w:t>
            </w:r>
            <w:r>
              <w:rPr>
                <w:rFonts w:hint="eastAsia" w:ascii="宋体" w:hAnsi="宋体" w:cs="宋体"/>
                <w:b/>
                <w:bCs/>
                <w:color w:val="auto"/>
                <w:szCs w:val="21"/>
                <w:highlight w:val="none"/>
                <w:lang w:val="en-US" w:eastAsia="zh-CN"/>
              </w:rPr>
              <w:t>-</w:t>
            </w:r>
            <w:r>
              <w:rPr>
                <w:rFonts w:hint="eastAsia" w:ascii="宋体" w:hAnsi="宋体" w:cs="宋体"/>
                <w:b/>
                <w:bCs/>
                <w:color w:val="auto"/>
                <w:szCs w:val="21"/>
                <w:highlight w:val="none"/>
              </w:rPr>
              <w:t>Fi模块）方式直接与“病人监护仪”同品牌中央监护系统互联，把监测信息参数和波形实时显示到中央监护系统上，满足采购人使用部门信息化的需求。</w:t>
            </w:r>
          </w:p>
        </w:tc>
      </w:tr>
      <w:tr w14:paraId="62465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215" w:type="pct"/>
            <w:tcBorders>
              <w:bottom w:val="single" w:color="auto" w:sz="4" w:space="0"/>
              <w:right w:val="single" w:color="auto" w:sz="4" w:space="0"/>
            </w:tcBorders>
            <w:vAlign w:val="center"/>
          </w:tcPr>
          <w:p w14:paraId="6AB6D6B7">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709" w:type="pct"/>
            <w:tcBorders>
              <w:left w:val="single" w:color="auto" w:sz="4" w:space="0"/>
              <w:bottom w:val="single" w:color="auto" w:sz="4" w:space="0"/>
              <w:right w:val="single" w:color="auto" w:sz="4" w:space="0"/>
            </w:tcBorders>
            <w:vAlign w:val="center"/>
          </w:tcPr>
          <w:p w14:paraId="0246E1D9">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病人监护仪</w:t>
            </w:r>
          </w:p>
        </w:tc>
        <w:tc>
          <w:tcPr>
            <w:tcW w:w="360" w:type="pct"/>
            <w:tcBorders>
              <w:left w:val="single" w:color="auto" w:sz="4" w:space="0"/>
            </w:tcBorders>
            <w:vAlign w:val="center"/>
          </w:tcPr>
          <w:p w14:paraId="012090ED">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448" w:type="pct"/>
            <w:vAlign w:val="center"/>
          </w:tcPr>
          <w:p w14:paraId="602658D6">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台</w:t>
            </w:r>
          </w:p>
        </w:tc>
        <w:tc>
          <w:tcPr>
            <w:tcW w:w="454" w:type="pct"/>
            <w:tcBorders>
              <w:bottom w:val="single" w:color="auto" w:sz="4" w:space="0"/>
            </w:tcBorders>
            <w:vAlign w:val="center"/>
          </w:tcPr>
          <w:p w14:paraId="4A05387C">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23" w:type="pct"/>
            <w:tcBorders>
              <w:right w:val="single" w:color="auto" w:sz="4" w:space="0"/>
            </w:tcBorders>
            <w:vAlign w:val="center"/>
          </w:tcPr>
          <w:p w14:paraId="73B7CF92">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2.89</w:t>
            </w:r>
          </w:p>
        </w:tc>
        <w:tc>
          <w:tcPr>
            <w:tcW w:w="2288" w:type="pct"/>
            <w:tcBorders>
              <w:left w:val="single" w:color="auto" w:sz="4" w:space="0"/>
            </w:tcBorders>
          </w:tcPr>
          <w:p w14:paraId="5B95A7B0">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1.适用于成人、小儿、新生儿的监测。整机重量＜1</w:t>
            </w:r>
            <w:r>
              <w:rPr>
                <w:rFonts w:hint="eastAsia" w:ascii="宋体" w:hAnsi="宋体" w:cs="宋体"/>
                <w:color w:val="auto"/>
                <w:szCs w:val="21"/>
                <w:highlight w:val="none"/>
                <w:lang w:val="en-US" w:eastAsia="zh-CN"/>
              </w:rPr>
              <w:t>kg</w:t>
            </w:r>
            <w:r>
              <w:rPr>
                <w:rFonts w:hint="eastAsia" w:ascii="宋体" w:hAnsi="宋体" w:cs="宋体"/>
                <w:color w:val="auto"/>
                <w:szCs w:val="21"/>
                <w:highlight w:val="none"/>
              </w:rPr>
              <w:t>。</w:t>
            </w:r>
          </w:p>
          <w:p w14:paraId="7959C944">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2.转运监护仪，满足救护车，直升飞机和固定翼飞机，通过相关转运标准。</w:t>
            </w:r>
          </w:p>
          <w:p w14:paraId="5CEC1B7A">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3.≥5.5英寸彩色触摸电容显示屏，支持屏幕手势滑动操作，支持穿戴医用防护手套操作</w:t>
            </w:r>
          </w:p>
          <w:p w14:paraId="09513771">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4.IP44防尘防水，易清洁和适用医院内外不同临床救治环境。</w:t>
            </w:r>
          </w:p>
          <w:p w14:paraId="56263EA1">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5.要求坚固耐用，抗1.2米6面跌落，满足转运过程中的复杂临床救治环境。</w:t>
            </w:r>
          </w:p>
          <w:p w14:paraId="7F04C641">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6.整机无风扇设计。</w:t>
            </w:r>
          </w:p>
          <w:p w14:paraId="325E6AA7">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7.内置锂电池供电，支持≥5小时的持续监测。</w:t>
            </w:r>
          </w:p>
          <w:p w14:paraId="4973B1FC">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8.内置DC电源接口，可以进行车载充电。</w:t>
            </w:r>
          </w:p>
          <w:p w14:paraId="69474C58">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9.具备3/5导心电，阻抗呼吸，血氧、无创血压、2通道体温。</w:t>
            </w:r>
          </w:p>
          <w:p w14:paraId="12B8FF0B">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10.选配便携插件箱，可扩展1个参数插槽，满足插入更多参数模块的监测扩展。</w:t>
            </w:r>
          </w:p>
          <w:p w14:paraId="089E3D20">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11.配备内置双通道有创血压；可选配外置2通道IBP有创血压监测模块，主机最多支持4通道IBP有创压力监测。</w:t>
            </w:r>
          </w:p>
          <w:p w14:paraId="762ABFFE">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b/>
                <w:bCs/>
                <w:color w:val="auto"/>
                <w:szCs w:val="21"/>
                <w:highlight w:val="none"/>
              </w:rPr>
              <w:t>▲12.可选配内置EtCO</w:t>
            </w:r>
            <w:r>
              <w:rPr>
                <w:rFonts w:hint="eastAsia" w:ascii="宋体" w:hAnsi="宋体" w:cs="宋体"/>
                <w:b/>
                <w:bCs/>
                <w:color w:val="auto"/>
                <w:szCs w:val="21"/>
                <w:highlight w:val="none"/>
                <w:vertAlign w:val="subscript"/>
              </w:rPr>
              <w:t>2</w:t>
            </w:r>
            <w:r>
              <w:rPr>
                <w:rFonts w:hint="eastAsia" w:ascii="宋体" w:hAnsi="宋体" w:cs="宋体"/>
                <w:b/>
                <w:bCs/>
                <w:color w:val="auto"/>
                <w:szCs w:val="21"/>
                <w:highlight w:val="none"/>
              </w:rPr>
              <w:t>监测，与主机一体化设计，最小抽气流速50ml/min。可选配外置主流、旁流、微流EtCO</w:t>
            </w:r>
            <w:r>
              <w:rPr>
                <w:rFonts w:hint="eastAsia" w:ascii="宋体" w:hAnsi="宋体" w:cs="宋体"/>
                <w:b/>
                <w:bCs/>
                <w:color w:val="auto"/>
                <w:szCs w:val="21"/>
                <w:highlight w:val="none"/>
                <w:vertAlign w:val="subscript"/>
              </w:rPr>
              <w:t>2</w:t>
            </w:r>
            <w:r>
              <w:rPr>
                <w:rFonts w:hint="eastAsia" w:ascii="宋体" w:hAnsi="宋体" w:cs="宋体"/>
                <w:b/>
                <w:bCs/>
                <w:color w:val="auto"/>
                <w:szCs w:val="21"/>
                <w:highlight w:val="none"/>
              </w:rPr>
              <w:t>监测模块</w:t>
            </w:r>
            <w:r>
              <w:rPr>
                <w:rFonts w:hint="eastAsia" w:ascii="宋体" w:hAnsi="宋体" w:cs="宋体"/>
                <w:b/>
                <w:bCs/>
                <w:color w:val="auto"/>
                <w:kern w:val="0"/>
                <w:szCs w:val="21"/>
                <w:highlight w:val="none"/>
              </w:rPr>
              <w:t>【投标人于投标文件中必须提供所投产品符合此项技术要求的相关有效证明材料复印件（加盖投标人电子签章），可以是由国家认可的第三方出具的检测报告复印件、产品彩页或使用说明书等】。</w:t>
            </w:r>
          </w:p>
          <w:p w14:paraId="492B9B8C">
            <w:pPr>
              <w:tabs>
                <w:tab w:val="left" w:pos="180"/>
                <w:tab w:val="left" w:pos="1620"/>
              </w:tabs>
              <w:adjustRightInd w:val="0"/>
              <w:snapToGrid w:val="0"/>
              <w:spacing w:line="360" w:lineRule="exact"/>
              <w:jc w:val="left"/>
              <w:rPr>
                <w:rFonts w:ascii="宋体" w:hAnsi="宋体" w:cs="宋体"/>
                <w:b/>
                <w:bCs/>
                <w:color w:val="auto"/>
                <w:szCs w:val="21"/>
                <w:highlight w:val="none"/>
              </w:rPr>
            </w:pPr>
            <w:r>
              <w:rPr>
                <w:rFonts w:hint="eastAsia" w:ascii="宋体" w:hAnsi="宋体" w:cs="宋体"/>
                <w:b/>
                <w:bCs/>
                <w:color w:val="auto"/>
                <w:szCs w:val="21"/>
                <w:highlight w:val="none"/>
              </w:rPr>
              <w:t>▲13.可选配外置PiCCO技术监测功能模块或PiCCO技术单机产品，非漂浮导管热稀释法或无创阻抗法，可监测胸腔内血容量(ITBV)、血管外肺水(EVLW)，肺毛细血管通透性指数(PVPI)等参数，提供完整的血流动力学参数监测</w:t>
            </w:r>
            <w:r>
              <w:rPr>
                <w:rFonts w:hint="eastAsia" w:ascii="宋体" w:hAnsi="宋体" w:cs="宋体"/>
                <w:b/>
                <w:bCs/>
                <w:color w:val="auto"/>
                <w:kern w:val="0"/>
                <w:szCs w:val="21"/>
                <w:highlight w:val="none"/>
              </w:rPr>
              <w:t>【投标人于投标文件中必须提供所投产品符合此项技术要求的相关有效证明材料复印件（加盖投标人电子签章），可以是由国家认可的第三方出具的检测报告复印件、产品彩页或使用说明书等】。</w:t>
            </w:r>
          </w:p>
          <w:p w14:paraId="52962B0A">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14.可根据采购人后期需要</w:t>
            </w:r>
            <w:r>
              <w:rPr>
                <w:rFonts w:hint="eastAsia"/>
                <w:color w:val="auto"/>
                <w:highlight w:val="none"/>
              </w:rPr>
              <w:t>增配</w:t>
            </w:r>
            <w:r>
              <w:rPr>
                <w:rFonts w:hint="eastAsia" w:ascii="宋体" w:hAnsi="宋体" w:cs="宋体"/>
                <w:color w:val="auto"/>
                <w:szCs w:val="21"/>
                <w:highlight w:val="none"/>
              </w:rPr>
              <w:t>≥19英寸外接显示屏，将模块数据传输显示，进行大屏幕监护，满足临床护理人员在床旁的监护需要。</w:t>
            </w:r>
          </w:p>
          <w:p w14:paraId="65947F49">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15.支持升级麻醉平衡软件工具，数字化指标显示病人镇静、镇痛、肌松三方面麻醉状态，自动提示病人三低状态，并予以计时，图形化显示病人脑状态，可进行Aldrete复苏评分，满足临床对病人复苏拔管的评估</w:t>
            </w:r>
            <w:r>
              <w:rPr>
                <w:rFonts w:hint="eastAsia" w:ascii="宋体" w:hAnsi="宋体" w:cs="宋体"/>
                <w:b/>
                <w:bCs/>
                <w:color w:val="auto"/>
                <w:kern w:val="0"/>
                <w:szCs w:val="21"/>
                <w:highlight w:val="none"/>
              </w:rPr>
              <w:t>【投标人于投标文件中提供所投产品符合此项技术要求的相关有效证明材料复印件（加盖投标人电子签章），可以是由国家认可的第三方出具的检测报告复印件、产品彩页或使用说明书等】</w:t>
            </w:r>
            <w:r>
              <w:rPr>
                <w:rFonts w:hint="eastAsia" w:ascii="宋体" w:hAnsi="宋体" w:cs="宋体"/>
                <w:color w:val="auto"/>
                <w:szCs w:val="21"/>
                <w:highlight w:val="none"/>
              </w:rPr>
              <w:t>。</w:t>
            </w:r>
          </w:p>
          <w:p w14:paraId="79B0C9E9">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16.转运监护仪支持插入床旁监护仪插槽作为参数模块使用，即插即用。</w:t>
            </w:r>
          </w:p>
          <w:p w14:paraId="5E00E5D1">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17.具有多导心电监护算法，同步分析≥4通道心电波形，能够良好抗干扰。</w:t>
            </w:r>
          </w:p>
          <w:p w14:paraId="54D550D5">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18.心率测量范围：成人15~300 bpm，小儿/新生儿15~350 bpm。</w:t>
            </w:r>
          </w:p>
          <w:p w14:paraId="40ECE168">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19.波速提供50mm/s，25 mm/s、12.5 mm/s、6.25 mm/s可选。</w:t>
            </w:r>
          </w:p>
          <w:p w14:paraId="72BE0263">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20.滤波模式提供诊断模式（0.05~150Hz），监护模式（0.5~40Hz），ST模式（0.05~ 40Hz），手术模式（1~20Hz）。</w:t>
            </w:r>
          </w:p>
          <w:p w14:paraId="7CBED608">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21.支持房颤及室上性心律失常分析功能，如：室上性心动过速，SVCs/min等，标配支持≥25种实时心律失常分析。</w:t>
            </w:r>
          </w:p>
          <w:p w14:paraId="2A7BD684">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22.提供ST段分析，提供显示和存储ST值和每个ST的模板。</w:t>
            </w:r>
          </w:p>
          <w:p w14:paraId="79983606">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23.具有QT/QTc测量功能，提供QT，QTc和ΔQTc参数值。</w:t>
            </w:r>
          </w:p>
          <w:p w14:paraId="6430C993">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24.可显示弱灌注指数（PI）。</w:t>
            </w:r>
          </w:p>
          <w:p w14:paraId="31D5EDD2">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25.提供双通道体温测量，提供两通道体温测量差值显示。</w:t>
            </w:r>
          </w:p>
          <w:p w14:paraId="69EA60EC">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26.提供手动、自动间隔、连续、序列以及整点无种无创血压测量模式。收缩压25~290mmHg，舒张压10~250mmHg，平均压15~260mmHg。</w:t>
            </w:r>
          </w:p>
          <w:p w14:paraId="256AC8F0">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27.IBP测量范围：-50~360mmHg，支持实时PPV测量。</w:t>
            </w:r>
          </w:p>
          <w:p w14:paraId="44635AE6">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28.≥800条事件回顾。每条报警事件至少能够存储32秒三道相关波形，以及报警触发时所有测量参数值。</w:t>
            </w:r>
          </w:p>
          <w:p w14:paraId="13A72418">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29.≥800条NIBP测量结果回顾。</w:t>
            </w:r>
          </w:p>
          <w:p w14:paraId="6287AE4F">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30.≥40小时全息波形回顾。</w:t>
            </w:r>
          </w:p>
          <w:p w14:paraId="2CB1D44D">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31.≥100小时趋势数据回顾。</w:t>
            </w:r>
          </w:p>
          <w:p w14:paraId="46300018">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32.信息互连：支持有线和无线（内置Wi</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Fi模块）方式直接与同品牌中央监护系统互联，把监测信息参数和波形实时显示到中央监护系统上，满足</w:t>
            </w:r>
            <w:r>
              <w:rPr>
                <w:rFonts w:hint="eastAsia"/>
                <w:color w:val="auto"/>
                <w:highlight w:val="none"/>
              </w:rPr>
              <w:t>采购人使用部门</w:t>
            </w:r>
            <w:r>
              <w:rPr>
                <w:rFonts w:hint="eastAsia" w:ascii="宋体" w:hAnsi="宋体" w:cs="宋体"/>
                <w:color w:val="auto"/>
                <w:szCs w:val="21"/>
                <w:highlight w:val="none"/>
              </w:rPr>
              <w:t>信息化的需求。</w:t>
            </w:r>
          </w:p>
        </w:tc>
      </w:tr>
      <w:tr w14:paraId="2390F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215" w:type="pct"/>
            <w:tcBorders>
              <w:bottom w:val="single" w:color="auto" w:sz="4" w:space="0"/>
              <w:right w:val="single" w:color="auto" w:sz="4" w:space="0"/>
            </w:tcBorders>
            <w:vAlign w:val="center"/>
          </w:tcPr>
          <w:p w14:paraId="38DEEF15">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709" w:type="pct"/>
            <w:tcBorders>
              <w:left w:val="single" w:color="auto" w:sz="4" w:space="0"/>
              <w:bottom w:val="single" w:color="auto" w:sz="4" w:space="0"/>
              <w:right w:val="single" w:color="auto" w:sz="4" w:space="0"/>
            </w:tcBorders>
            <w:vAlign w:val="center"/>
          </w:tcPr>
          <w:p w14:paraId="71CFAD12">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病人监护仪</w:t>
            </w:r>
          </w:p>
        </w:tc>
        <w:tc>
          <w:tcPr>
            <w:tcW w:w="360" w:type="pct"/>
            <w:tcBorders>
              <w:left w:val="single" w:color="auto" w:sz="4" w:space="0"/>
            </w:tcBorders>
            <w:vAlign w:val="center"/>
          </w:tcPr>
          <w:p w14:paraId="1D26BA7A">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448" w:type="pct"/>
            <w:vAlign w:val="center"/>
          </w:tcPr>
          <w:p w14:paraId="684B4297">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台</w:t>
            </w:r>
          </w:p>
        </w:tc>
        <w:tc>
          <w:tcPr>
            <w:tcW w:w="454" w:type="pct"/>
            <w:tcBorders>
              <w:bottom w:val="single" w:color="auto" w:sz="4" w:space="0"/>
            </w:tcBorders>
            <w:vAlign w:val="center"/>
          </w:tcPr>
          <w:p w14:paraId="1BD65585">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23" w:type="pct"/>
            <w:tcBorders>
              <w:right w:val="single" w:color="auto" w:sz="4" w:space="0"/>
            </w:tcBorders>
            <w:vAlign w:val="center"/>
          </w:tcPr>
          <w:p w14:paraId="64F9C278">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5.95</w:t>
            </w:r>
          </w:p>
        </w:tc>
        <w:tc>
          <w:tcPr>
            <w:tcW w:w="2288" w:type="pct"/>
            <w:tcBorders>
              <w:left w:val="single" w:color="auto" w:sz="4" w:space="0"/>
            </w:tcBorders>
          </w:tcPr>
          <w:p w14:paraId="3521A0D1">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1.模块化插件式床边监护仪，主机、显示屏和插件槽一体化设计，主机插槽位数4个，每个槽位具备插件模块红外通讯接口和金属硬件通讯接口双接口。</w:t>
            </w:r>
          </w:p>
          <w:p w14:paraId="01E14C8C">
            <w:pPr>
              <w:tabs>
                <w:tab w:val="left" w:pos="180"/>
                <w:tab w:val="left" w:pos="1620"/>
              </w:tabs>
              <w:adjustRightInd w:val="0"/>
              <w:snapToGrid w:val="0"/>
              <w:spacing w:line="360" w:lineRule="exact"/>
              <w:jc w:val="left"/>
              <w:rPr>
                <w:rFonts w:ascii="宋体" w:hAnsi="宋体" w:cs="宋体"/>
                <w:b/>
                <w:bCs/>
                <w:color w:val="auto"/>
                <w:szCs w:val="21"/>
                <w:highlight w:val="none"/>
              </w:rPr>
            </w:pPr>
            <w:r>
              <w:rPr>
                <w:rFonts w:hint="eastAsia" w:ascii="宋体" w:hAnsi="宋体" w:cs="宋体"/>
                <w:color w:val="auto"/>
                <w:szCs w:val="21"/>
                <w:highlight w:val="none"/>
              </w:rPr>
              <w:t>▲</w:t>
            </w:r>
            <w:r>
              <w:rPr>
                <w:rFonts w:hint="eastAsia" w:ascii="宋体" w:hAnsi="宋体" w:cs="宋体"/>
                <w:b/>
                <w:bCs/>
                <w:color w:val="auto"/>
                <w:szCs w:val="21"/>
                <w:highlight w:val="none"/>
              </w:rPr>
              <w:t>2.主机显示屏≥12英寸彩色电容触摸屏、多点触摸，高分辨率≥1280×800像素，≥8通道显示，监护仪会根据环境光强度自动调节屏幕亮度。整机无风扇设计，标配内置高能锂离子电池，供电时间≥2小时。</w:t>
            </w:r>
          </w:p>
          <w:p w14:paraId="2D477C90">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3.配置≥4个USB接口，支持连接存储介质、鼠标、键盘、条码扫描枪等USB设备。</w:t>
            </w:r>
          </w:p>
          <w:p w14:paraId="2A356105">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4.支持扩展镜像显示屏，支持升级扩展独立显示屏。</w:t>
            </w:r>
          </w:p>
          <w:p w14:paraId="3B1A1088">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5.支持心电，呼吸，心率，无创血压，血氧饱和度，脉搏，双通道体温和双通道有创血压同时监测。</w:t>
            </w:r>
          </w:p>
          <w:p w14:paraId="2416EEC9">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6.支持3/5导心电监测，支持升级≥12导心电测量，并在监护仪上完成≥12导静息分析。</w:t>
            </w:r>
          </w:p>
          <w:p w14:paraId="676BA019">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7.支持≥3通道心电波形同步分析算法。支持双通道有创压IBP监测，适用于成人，小儿和新生儿，支持升级≥8通道有创压监测。</w:t>
            </w:r>
          </w:p>
          <w:p w14:paraId="557AE3CD">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8.支持房颤心律失常分析功能，支持≥27种实时心律失常分析。</w:t>
            </w:r>
          </w:p>
          <w:p w14:paraId="40E10C9E">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9.提供ST段分析功能，支持在专门的窗口中分组显示心脏前壁，下壁和侧壁的ST实时片段和参考片段。</w:t>
            </w:r>
          </w:p>
          <w:p w14:paraId="0C45C734">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10.具有QT/QTc测量功能，提供QT，QTc和ΔQTc参数值，并提供QTc和ΔQTc报警。</w:t>
            </w:r>
          </w:p>
          <w:p w14:paraId="798636F4">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11.支持RR呼吸率测量，测量范围：1～200rpm。</w:t>
            </w:r>
          </w:p>
          <w:p w14:paraId="1AD512A9">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12.无创血压，适用于成人，小儿和新生儿，提供手动、自动间隔、连续、序列和整点≥5种测量模式。无创血压成人测量范围：25~290mmHg（收缩压），10~250mmHg（舒张压），15~260mmHg（平均压）。</w:t>
            </w:r>
          </w:p>
          <w:p w14:paraId="2AD03E6A">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13.血氧监测提供灌注指数（PI）的监测，支持升级CQI心肺复苏质量指数显示。</w:t>
            </w:r>
          </w:p>
          <w:p w14:paraId="032D1EC1">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14.配置指套式血氧探头，支持浸泡清洁与消毒，防水等级≥IPx7。</w:t>
            </w:r>
          </w:p>
          <w:p w14:paraId="0E794207">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16.提供肺动脉锲压（PAWP）的监测和PPV参数监测。</w:t>
            </w:r>
          </w:p>
          <w:p w14:paraId="658BC5EF">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17.支持≥4道IBP波形叠加显示，满足临床对比查看和节约显示空间的需求。</w:t>
            </w:r>
          </w:p>
          <w:p w14:paraId="2D30362A">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18.可升级 EtCO</w:t>
            </w:r>
            <w:r>
              <w:rPr>
                <w:rFonts w:hint="eastAsia" w:ascii="宋体" w:hAnsi="宋体" w:cs="宋体"/>
                <w:color w:val="auto"/>
                <w:szCs w:val="21"/>
                <w:highlight w:val="none"/>
                <w:vertAlign w:val="subscript"/>
              </w:rPr>
              <w:t>2</w:t>
            </w:r>
            <w:r>
              <w:rPr>
                <w:rFonts w:hint="eastAsia" w:ascii="宋体" w:hAnsi="宋体" w:cs="宋体"/>
                <w:color w:val="auto"/>
                <w:szCs w:val="21"/>
                <w:highlight w:val="none"/>
              </w:rPr>
              <w:t>+顺磁氧集成监测模块，单槽位设计。</w:t>
            </w:r>
          </w:p>
          <w:p w14:paraId="44A570D3">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bCs/>
                <w:color w:val="auto"/>
                <w:szCs w:val="21"/>
                <w:highlight w:val="none"/>
              </w:rPr>
              <w:t>19.支持升级BISx4监测模块或者单机，提供不少于4通道EEG，双频指数（BIS），肌电活动（EMG），抑制比（SR），频谱边缘频率（SEF）等参数的监测</w:t>
            </w:r>
            <w:r>
              <w:rPr>
                <w:rFonts w:hint="eastAsia" w:ascii="宋体" w:hAnsi="宋体" w:cs="宋体"/>
                <w:b/>
                <w:bCs/>
                <w:color w:val="auto"/>
                <w:kern w:val="0"/>
                <w:szCs w:val="21"/>
                <w:highlight w:val="none"/>
              </w:rPr>
              <w:t>【投标人于投标文件中必须提供所投产品符合此项技术要求的相关有效证明材料复印件（加盖投标人电子签章），可以是由国家认可的第三方出具的检测报告复印件、产品彩页或使用说明书等】。</w:t>
            </w:r>
          </w:p>
          <w:p w14:paraId="31FF5ED5">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20.支持升级提供功率谱密度（DSA）显示界面，显示一段时间内的双侧功率谱分布变化的情况。</w:t>
            </w:r>
          </w:p>
          <w:p w14:paraId="1D128408">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21.可支持升级PiCCO监测模块，采用PiCCO技术股动脉和中心静脉常规穿刺实现微创CCO等血液动力学监测参数，并提供蛛网图，观察病人的变化情况</w:t>
            </w:r>
            <w:r>
              <w:rPr>
                <w:rFonts w:hint="eastAsia" w:ascii="宋体" w:hAnsi="宋体" w:cs="宋体"/>
                <w:b/>
                <w:bCs/>
                <w:color w:val="auto"/>
                <w:kern w:val="0"/>
                <w:szCs w:val="21"/>
                <w:highlight w:val="none"/>
              </w:rPr>
              <w:t>【投标人于投标文件中提供所投产品符合此项技术要求的相关有效证明材料复印件（加盖投标人电子签章），可以是由国家认可的第三方出具的检测报告复印件、产品彩页或使用说明书等】。</w:t>
            </w:r>
          </w:p>
          <w:p w14:paraId="2814CD74">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22.支持升级RM呼吸力学监测，监测参数包括FEV1.0，RSBI，WOB等≥17种参数。</w:t>
            </w:r>
          </w:p>
          <w:p w14:paraId="1247D1DB">
            <w:pPr>
              <w:tabs>
                <w:tab w:val="left" w:pos="180"/>
                <w:tab w:val="left" w:pos="1620"/>
              </w:tabs>
              <w:adjustRightInd w:val="0"/>
              <w:snapToGrid w:val="0"/>
              <w:spacing w:line="360" w:lineRule="exact"/>
              <w:jc w:val="left"/>
              <w:rPr>
                <w:rFonts w:ascii="宋体" w:hAnsi="宋体" w:cs="宋体"/>
                <w:b/>
                <w:bCs/>
                <w:color w:val="auto"/>
                <w:szCs w:val="21"/>
                <w:highlight w:val="none"/>
              </w:rPr>
            </w:pPr>
            <w:r>
              <w:rPr>
                <w:rFonts w:hint="eastAsia" w:ascii="宋体" w:hAnsi="宋体" w:cs="宋体"/>
                <w:b/>
                <w:bCs/>
                <w:color w:val="auto"/>
                <w:szCs w:val="21"/>
                <w:highlight w:val="none"/>
              </w:rPr>
              <w:t>▲23.支持升级NMT监测参数，采用三轴加速度方向识别技术，支持TOF，ST0.1，ST1.0，DBS3.2，DBS3.3，PTC测量模式。</w:t>
            </w:r>
          </w:p>
          <w:p w14:paraId="61DD3A22">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24.支持升级EEG监测参数，支持进行≥4通道脑电的监测</w:t>
            </w:r>
            <w:r>
              <w:rPr>
                <w:rFonts w:hint="eastAsia" w:ascii="宋体" w:hAnsi="宋体" w:cs="宋体"/>
                <w:b/>
                <w:bCs/>
                <w:color w:val="auto"/>
                <w:kern w:val="0"/>
                <w:szCs w:val="21"/>
                <w:highlight w:val="none"/>
              </w:rPr>
              <w:t>【投标人于投标文件中提供所投产品符合此项技术要求的相关有效证明材料复印件（加盖投标人电子签章），可以是由国家认可的第三方出具的检测报告复印件、产品彩页或使用说明书等】。</w:t>
            </w:r>
          </w:p>
          <w:p w14:paraId="27A54A39">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25.支持升级rSO2组织氧饱和度的监测，无创，连续，适用于成人，小儿和新生儿。</w:t>
            </w:r>
          </w:p>
          <w:p w14:paraId="2210A59A">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26.支持升级FloTrac监测功能模块，非漂浮导管热稀释法或无创阻抗法，可通过监测桡动脉压力提供连续心排量（CCO），每搏量变异（SVV），实时外周血管阻力（SVR）等监测参数，满足连续血流动力学监测需求。</w:t>
            </w:r>
          </w:p>
          <w:p w14:paraId="1DDD8238">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27.支持升级与呼吸机、输注泵，CRRT设备相连，实现床旁设备的信息在监护仪上显示、存储、记录、打印或者用于参与计算。</w:t>
            </w:r>
          </w:p>
          <w:p w14:paraId="2DE6FDCE">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28.大字体界面支持≥6个参数的设置和显示。</w:t>
            </w:r>
          </w:p>
          <w:p w14:paraId="6C08EF5A">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29.具有图形化报警指示功能。</w:t>
            </w:r>
          </w:p>
          <w:p w14:paraId="1BFBEF96">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30.所有参数报警限提供一键自动设置。</w:t>
            </w:r>
          </w:p>
          <w:p w14:paraId="1B9A4949">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31.能够设置护理组，一个护理组能够设置6-12个病人。</w:t>
            </w:r>
          </w:p>
          <w:p w14:paraId="2F8BB3D0">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32.标配具备血液动力学，药物计算，氧合计算，通气计算和肾功能计算功能。</w:t>
            </w:r>
          </w:p>
          <w:p w14:paraId="0FCB7203">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33.≥120小时趋势表和趋势图回顾。≥1000条事件回顾，事件回顾时能够提供报警事件列表。能够根据时间、报警优先级、报警类型和参数组对事件进行筛选。具备≥48小时全息波形的存储与回顾功能。≥120小时ST片段回顾。</w:t>
            </w:r>
          </w:p>
          <w:p w14:paraId="0336BD19">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34.具有在线帮助功能。</w:t>
            </w:r>
          </w:p>
          <w:p w14:paraId="3B4CF55E">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35.具有高级参数指导功能。</w:t>
            </w:r>
          </w:p>
          <w:p w14:paraId="41EFA36E">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36.工作模式提供：监护模式、待机模式、体外循环模式、插管模式，夜间模式、隐私模式、演示模式。</w:t>
            </w:r>
          </w:p>
          <w:p w14:paraId="4A4B3326">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37.支持升级具有血流动力学辅助应用，能够图形化显示监测参数，体现参数之间的关系，提供目标治疗决策建议，提供抬腿试验辅助工具，提供心功能图指示，提供蛛网图参数跟踪。</w:t>
            </w:r>
          </w:p>
          <w:p w14:paraId="10FB3561">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38.提供心肌缺血评估工具，可以快速查看ST值的变化。</w:t>
            </w:r>
          </w:p>
          <w:p w14:paraId="16C25870">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39.支持升级脓毒症筛查工具，以及满足最新 SSC指南和Sepsis3.0的治疗建议检查清单，并提供治疗建议。</w:t>
            </w:r>
          </w:p>
          <w:p w14:paraId="34D96662">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40.支持升级输注泵用药信息回顾工具，可同时间轴显示病人生命体征参数及用药信息回顾，呈现病人生命体征变化趋势与药物输注流速变化之间的关系。</w:t>
            </w:r>
          </w:p>
          <w:p w14:paraId="66D583CB">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41.具备趋势共存界面、呼吸氧合图界面，大字体显示界面及标准显示界面等多种显示界面。</w:t>
            </w:r>
          </w:p>
          <w:p w14:paraId="7FF31AB3">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bCs/>
                <w:color w:val="auto"/>
                <w:szCs w:val="21"/>
                <w:highlight w:val="none"/>
              </w:rPr>
              <w:t>42.支持与除颤监护仪，遥测，生命体征监测仪、呼吸机、输注泵、超声混合联通至中心监护系统，实现护士站的集中管理</w:t>
            </w:r>
            <w:r>
              <w:rPr>
                <w:rFonts w:hint="eastAsia" w:ascii="宋体" w:hAnsi="宋体" w:cs="宋体"/>
                <w:b/>
                <w:bCs/>
                <w:color w:val="auto"/>
                <w:kern w:val="0"/>
                <w:szCs w:val="21"/>
                <w:highlight w:val="none"/>
              </w:rPr>
              <w:t>【投标人于投标文件中必须提供所投产品符合此项技术要求的相关有效证明材料复印件（加盖投标人电子签章），可以是由国家认可的第三方出具的检测报告复印件、产品彩页或使用说明书等】。</w:t>
            </w:r>
          </w:p>
        </w:tc>
      </w:tr>
      <w:tr w14:paraId="6976D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215" w:type="pct"/>
            <w:tcBorders>
              <w:bottom w:val="single" w:color="auto" w:sz="4" w:space="0"/>
              <w:right w:val="single" w:color="auto" w:sz="4" w:space="0"/>
            </w:tcBorders>
            <w:vAlign w:val="center"/>
          </w:tcPr>
          <w:p w14:paraId="4A2674C7">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709" w:type="pct"/>
            <w:tcBorders>
              <w:left w:val="single" w:color="auto" w:sz="4" w:space="0"/>
              <w:bottom w:val="single" w:color="auto" w:sz="4" w:space="0"/>
              <w:right w:val="single" w:color="auto" w:sz="4" w:space="0"/>
            </w:tcBorders>
            <w:vAlign w:val="center"/>
          </w:tcPr>
          <w:p w14:paraId="541E29E8">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病人监护仪</w:t>
            </w:r>
          </w:p>
        </w:tc>
        <w:tc>
          <w:tcPr>
            <w:tcW w:w="360" w:type="pct"/>
            <w:tcBorders>
              <w:left w:val="single" w:color="auto" w:sz="4" w:space="0"/>
            </w:tcBorders>
            <w:vAlign w:val="center"/>
          </w:tcPr>
          <w:p w14:paraId="112FE098">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448" w:type="pct"/>
            <w:vAlign w:val="center"/>
          </w:tcPr>
          <w:p w14:paraId="251E54B1">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台</w:t>
            </w:r>
          </w:p>
        </w:tc>
        <w:tc>
          <w:tcPr>
            <w:tcW w:w="454" w:type="pct"/>
            <w:tcBorders>
              <w:bottom w:val="single" w:color="auto" w:sz="4" w:space="0"/>
            </w:tcBorders>
            <w:vAlign w:val="center"/>
          </w:tcPr>
          <w:p w14:paraId="1E45FD3E">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23" w:type="pct"/>
            <w:tcBorders>
              <w:right w:val="single" w:color="auto" w:sz="4" w:space="0"/>
            </w:tcBorders>
            <w:vAlign w:val="center"/>
          </w:tcPr>
          <w:p w14:paraId="4C90F6DE">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1.58</w:t>
            </w:r>
          </w:p>
        </w:tc>
        <w:tc>
          <w:tcPr>
            <w:tcW w:w="2288" w:type="pct"/>
            <w:tcBorders>
              <w:left w:val="single" w:color="auto" w:sz="4" w:space="0"/>
            </w:tcBorders>
          </w:tcPr>
          <w:p w14:paraId="24C43E82">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1.整机要求：</w:t>
            </w:r>
          </w:p>
          <w:p w14:paraId="0DD7C225">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1.1便携一体式监护仪，整机无风扇设计，降低环境噪音干扰。</w:t>
            </w:r>
          </w:p>
          <w:p w14:paraId="36C30BF2">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1.2≥12英寸彩色LED背光液晶显示屏，彩色高分辨率≥800×600，≥9通道波形显示。</w:t>
            </w:r>
          </w:p>
          <w:p w14:paraId="132D5925">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1.3标配锂电池，工作时间≥4小时，可根据采购人后期需要</w:t>
            </w:r>
            <w:r>
              <w:rPr>
                <w:rFonts w:hint="eastAsia"/>
                <w:color w:val="auto"/>
                <w:highlight w:val="none"/>
              </w:rPr>
              <w:t>增配</w:t>
            </w:r>
            <w:r>
              <w:rPr>
                <w:rFonts w:hint="eastAsia" w:ascii="宋体" w:hAnsi="宋体" w:cs="宋体"/>
                <w:color w:val="auto"/>
                <w:szCs w:val="21"/>
                <w:highlight w:val="none"/>
              </w:rPr>
              <w:t>大容量锂电池，工作时间≥8小时。</w:t>
            </w:r>
          </w:p>
          <w:p w14:paraId="0CE1B4B5">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1.4安全规格：ECG，TEMP，SpO</w:t>
            </w:r>
            <w:r>
              <w:rPr>
                <w:rFonts w:hint="eastAsia" w:ascii="宋体" w:hAnsi="宋体" w:cs="宋体"/>
                <w:color w:val="auto"/>
                <w:szCs w:val="21"/>
                <w:highlight w:val="none"/>
                <w:vertAlign w:val="subscript"/>
              </w:rPr>
              <w:t>2</w:t>
            </w:r>
            <w:r>
              <w:rPr>
                <w:rFonts w:hint="eastAsia" w:ascii="宋体" w:hAnsi="宋体" w:cs="宋体"/>
                <w:color w:val="auto"/>
                <w:szCs w:val="21"/>
                <w:highlight w:val="none"/>
              </w:rPr>
              <w:t>，NIBP监测参数抗电击程度为防除颤CF型。</w:t>
            </w:r>
          </w:p>
          <w:p w14:paraId="116706AB">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1.5监护仪设计使用年限≥10年，主机防水等级≥IPX1，支持0.75米抗跌落。</w:t>
            </w:r>
          </w:p>
          <w:p w14:paraId="2407D45C">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1.6</w:t>
            </w:r>
            <w:r>
              <w:rPr>
                <w:rFonts w:hint="eastAsia" w:ascii="宋体" w:hAnsi="宋体" w:cs="宋体"/>
                <w:color w:val="auto"/>
                <w:spacing w:val="-6"/>
                <w:szCs w:val="21"/>
                <w:highlight w:val="none"/>
              </w:rPr>
              <w:t>监护仪主机工作温度环境范围：0~40°C，</w:t>
            </w:r>
            <w:r>
              <w:rPr>
                <w:rFonts w:hint="eastAsia" w:ascii="宋体" w:hAnsi="宋体" w:cs="宋体"/>
                <w:color w:val="auto"/>
                <w:szCs w:val="21"/>
                <w:highlight w:val="none"/>
              </w:rPr>
              <w:t>监护仪主机工作湿度环境范围；15~95%。</w:t>
            </w:r>
          </w:p>
          <w:p w14:paraId="238B2280">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2.监测参数：</w:t>
            </w:r>
          </w:p>
          <w:p w14:paraId="7E4F09B4">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2.1标准配置可监测心电，呼吸，无创血压，血氧饱和度，脉搏和体温，适用于成人、小儿和新生儿。</w:t>
            </w:r>
          </w:p>
          <w:p w14:paraId="54C285C0">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2.2采用ECG多导同步分析技术，保证心电监护的优异性。提供心率变化统计界面，包括患者平均心率、夜间平均心率、白天平均心率、最快心率和最慢心率等，直观快速了解过去24小时患者的心率变化和心率分布情况。</w:t>
            </w:r>
          </w:p>
          <w:p w14:paraId="595719C1">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2.3心电波形速度支持6.25、12.5、25和50mm/s不少于4种选择。</w:t>
            </w:r>
          </w:p>
          <w:p w14:paraId="2821EE34">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2.4具备智能导联脱落监测功能，个别导联脱落的情况下仍能保持监护。</w:t>
            </w:r>
          </w:p>
          <w:p w14:paraId="3CD9370B">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2.5提供SpO</w:t>
            </w:r>
            <w:r>
              <w:rPr>
                <w:rFonts w:hint="eastAsia" w:ascii="宋体" w:hAnsi="宋体" w:cs="宋体"/>
                <w:color w:val="auto"/>
                <w:szCs w:val="21"/>
                <w:highlight w:val="none"/>
                <w:vertAlign w:val="subscript"/>
              </w:rPr>
              <w:t>2</w:t>
            </w:r>
            <w:r>
              <w:rPr>
                <w:rFonts w:hint="eastAsia" w:ascii="宋体" w:hAnsi="宋体" w:cs="宋体"/>
                <w:color w:val="auto"/>
                <w:szCs w:val="21"/>
                <w:highlight w:val="none"/>
              </w:rPr>
              <w:t>和PR的实时监测，适用于成人，小儿和新生儿。来自SpO</w:t>
            </w:r>
            <w:r>
              <w:rPr>
                <w:rFonts w:hint="eastAsia" w:ascii="宋体" w:hAnsi="宋体" w:cs="宋体"/>
                <w:color w:val="auto"/>
                <w:szCs w:val="21"/>
                <w:highlight w:val="none"/>
                <w:vertAlign w:val="subscript"/>
              </w:rPr>
              <w:t>2</w:t>
            </w:r>
            <w:r>
              <w:rPr>
                <w:rFonts w:hint="eastAsia" w:ascii="宋体" w:hAnsi="宋体" w:cs="宋体"/>
                <w:color w:val="auto"/>
                <w:szCs w:val="21"/>
                <w:highlight w:val="none"/>
              </w:rPr>
              <w:t>的PR测量范围：20~250。血氧监测时标配支持PI血氧灌注指数的监测，有效反映血氧灌注情况，PI测量范围：0.05%~20%，分辨率0.01%。</w:t>
            </w:r>
          </w:p>
          <w:p w14:paraId="44C5BD27">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2.6采用抗干扰和弱灌注血氧技术保证血氧监护的优异性。</w:t>
            </w:r>
          </w:p>
          <w:p w14:paraId="08BEA55E">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2.7无创血压支持手动、连续、自动和序列测量模式，支持整点测量。</w:t>
            </w:r>
          </w:p>
          <w:p w14:paraId="432F5EAA">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2.8配置无创血压测量，适用于成人，小儿和新生儿。无创血压成人测量范围：收缩压30~290mmH</w:t>
            </w:r>
            <w:r>
              <w:rPr>
                <w:rFonts w:hint="eastAsia" w:ascii="宋体" w:hAnsi="宋体" w:cs="宋体"/>
                <w:color w:val="auto"/>
                <w:szCs w:val="21"/>
                <w:highlight w:val="none"/>
                <w:lang w:eastAsia="zh-CN"/>
              </w:rPr>
              <w:t>；舒张压</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250</w:t>
            </w:r>
            <w:r>
              <w:rPr>
                <w:rFonts w:hint="eastAsia" w:ascii="宋体" w:hAnsi="宋体" w:cs="宋体"/>
                <w:color w:val="auto"/>
                <w:szCs w:val="21"/>
                <w:highlight w:val="none"/>
              </w:rPr>
              <w:t>mmH。</w:t>
            </w:r>
          </w:p>
          <w:p w14:paraId="572C0130">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2.9提供动态血压分析界面，包括平均血压、白天平均血压、夜间平均血压、最高血压、最低血压和正常血压比例等，能直观快速了解过去24小时患者血压变化和分布情况。</w:t>
            </w:r>
          </w:p>
          <w:p w14:paraId="5F9816F8">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3.系统功能：</w:t>
            </w:r>
          </w:p>
          <w:p w14:paraId="6921BEC3">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3.1具有三级声光报警，参数报警级别可调。</w:t>
            </w:r>
          </w:p>
          <w:p w14:paraId="7CC8DFD0">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3.2支持所有监测参数报警限一键自动设置功能，满足医护团队快速管理患者报警需求，产品用户手册提供报警限自动设置规则。</w:t>
            </w:r>
          </w:p>
          <w:p w14:paraId="71D26F7B">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3.3可升级存储卡，支持≥1200小时趋势数据的存储与回顾功能，≥1800条报警事件以及每条报警事件至少能够存储30秒三道相关波形和报警触发时所有测量参数值。</w:t>
            </w:r>
          </w:p>
          <w:p w14:paraId="3FFF1147">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3.4具备监护模式、待机模式，演示模式、隐私模式和夜间模式不少于5种工作模式。</w:t>
            </w:r>
          </w:p>
          <w:p w14:paraId="0ABA96FE">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3.5具备趋势共存界面、呼吸氧合图界面，大字体显示界面，标准显示界面等多种显示界面。</w:t>
            </w:r>
          </w:p>
          <w:p w14:paraId="7BBA33AE">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3.6支持RJ45接口进行有线网络通信，和除颤监护仪一起联网通信到中心监护系统。</w:t>
            </w:r>
          </w:p>
          <w:p w14:paraId="3C01A3E2">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3.7支持监护仪的系统日志向U盘设备的导出功能，日志包括：系统状态、异常和技术报警等，满足设备管理的日常维护需求。</w:t>
            </w:r>
          </w:p>
          <w:p w14:paraId="676823ED">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3.8主机集成附件收纳槽，支持将心电、血氧和无创血压等导联线附件进行收纳放置，方便监护仪设备的高效管理和转移。</w:t>
            </w:r>
          </w:p>
          <w:p w14:paraId="664578BE">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3.9心电、血氧、血压附件兼容同品牌其他所有在线系列监护仪。</w:t>
            </w:r>
          </w:p>
          <w:p w14:paraId="028307EC">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3.10可升级内置记录仪。</w:t>
            </w:r>
          </w:p>
          <w:p w14:paraId="17070E8C">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3.11支持它床观察，可同时监视≥10它床的报警信息。</w:t>
            </w:r>
          </w:p>
          <w:p w14:paraId="0CD90365">
            <w:pPr>
              <w:widowControl/>
              <w:jc w:val="left"/>
              <w:rPr>
                <w:color w:val="auto"/>
                <w:highlight w:val="none"/>
              </w:rPr>
            </w:pPr>
            <w:r>
              <w:rPr>
                <w:rFonts w:hint="eastAsia" w:ascii="宋体" w:hAnsi="宋体" w:cs="宋体"/>
                <w:color w:val="auto"/>
                <w:szCs w:val="21"/>
                <w:highlight w:val="none"/>
              </w:rPr>
              <w:t>3.12信息互连：支持升级有线和配备无线（内置Wi</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Fi模块及无线安装）直接与同品牌中央监护系统互联，把监测信息参数和波形实时显示到中央监护系统上，满足</w:t>
            </w:r>
            <w:r>
              <w:rPr>
                <w:rFonts w:hint="eastAsia"/>
                <w:color w:val="auto"/>
                <w:highlight w:val="none"/>
              </w:rPr>
              <w:t>采购人使</w:t>
            </w:r>
            <w:r>
              <w:rPr>
                <w:rFonts w:ascii="宋体" w:hAnsi="宋体" w:cs="宋体"/>
                <w:color w:val="auto"/>
                <w:kern w:val="0"/>
                <w:sz w:val="24"/>
                <w:highlight w:val="none"/>
              </w:rPr>
              <w:drawing>
                <wp:inline distT="0" distB="0" distL="114300" distR="114300">
                  <wp:extent cx="457200" cy="114300"/>
                  <wp:effectExtent l="0" t="0" r="0" b="0"/>
                  <wp:docPr id="10"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IMG_256"/>
                          <pic:cNvPicPr>
                            <a:picLocks noChangeAspect="1"/>
                          </pic:cNvPicPr>
                        </pic:nvPicPr>
                        <pic:blipFill>
                          <a:blip r:embed="rId16"/>
                          <a:stretch>
                            <a:fillRect/>
                          </a:stretch>
                        </pic:blipFill>
                        <pic:spPr>
                          <a:xfrm>
                            <a:off x="0" y="0"/>
                            <a:ext cx="457200" cy="114300"/>
                          </a:xfrm>
                          <a:prstGeom prst="rect">
                            <a:avLst/>
                          </a:prstGeom>
                          <a:noFill/>
                          <a:ln w="9525">
                            <a:noFill/>
                          </a:ln>
                        </pic:spPr>
                      </pic:pic>
                    </a:graphicData>
                  </a:graphic>
                </wp:inline>
              </w:drawing>
            </w:r>
          </w:p>
          <w:p w14:paraId="0E98E8DA">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color w:val="auto"/>
                <w:highlight w:val="none"/>
              </w:rPr>
              <w:t>用部门</w:t>
            </w:r>
            <w:r>
              <w:rPr>
                <w:rFonts w:hint="eastAsia" w:ascii="宋体" w:hAnsi="宋体" w:cs="宋体"/>
                <w:color w:val="auto"/>
                <w:szCs w:val="21"/>
                <w:highlight w:val="none"/>
              </w:rPr>
              <w:t>信息化的需求。</w:t>
            </w:r>
          </w:p>
          <w:p w14:paraId="2B0A7A2C">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3.13支持升级连接HIS系统，满足</w:t>
            </w:r>
            <w:r>
              <w:rPr>
                <w:rFonts w:hint="eastAsia"/>
                <w:color w:val="auto"/>
                <w:highlight w:val="none"/>
              </w:rPr>
              <w:t>采购人使用部门</w:t>
            </w:r>
            <w:r>
              <w:rPr>
                <w:rFonts w:hint="eastAsia" w:ascii="宋体" w:hAnsi="宋体" w:cs="宋体"/>
                <w:color w:val="auto"/>
                <w:szCs w:val="21"/>
                <w:highlight w:val="none"/>
              </w:rPr>
              <w:t>信息化的需求。</w:t>
            </w:r>
          </w:p>
        </w:tc>
      </w:tr>
      <w:tr w14:paraId="7410C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2" w:hRule="atLeast"/>
          <w:jc w:val="center"/>
        </w:trPr>
        <w:tc>
          <w:tcPr>
            <w:tcW w:w="215" w:type="pct"/>
            <w:tcBorders>
              <w:bottom w:val="single" w:color="auto" w:sz="4" w:space="0"/>
              <w:right w:val="single" w:color="auto" w:sz="4" w:space="0"/>
            </w:tcBorders>
            <w:vAlign w:val="center"/>
          </w:tcPr>
          <w:p w14:paraId="3854C98E">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709" w:type="pct"/>
            <w:tcBorders>
              <w:left w:val="single" w:color="auto" w:sz="4" w:space="0"/>
              <w:bottom w:val="single" w:color="auto" w:sz="4" w:space="0"/>
              <w:right w:val="single" w:color="auto" w:sz="4" w:space="0"/>
            </w:tcBorders>
            <w:vAlign w:val="center"/>
          </w:tcPr>
          <w:p w14:paraId="0305C36A">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中心监护系统</w:t>
            </w:r>
          </w:p>
        </w:tc>
        <w:tc>
          <w:tcPr>
            <w:tcW w:w="360" w:type="pct"/>
            <w:tcBorders>
              <w:left w:val="single" w:color="auto" w:sz="4" w:space="0"/>
            </w:tcBorders>
            <w:vAlign w:val="center"/>
          </w:tcPr>
          <w:p w14:paraId="203246B6">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448" w:type="pct"/>
            <w:vAlign w:val="center"/>
          </w:tcPr>
          <w:p w14:paraId="60392E46">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套</w:t>
            </w:r>
          </w:p>
        </w:tc>
        <w:tc>
          <w:tcPr>
            <w:tcW w:w="454" w:type="pct"/>
            <w:tcBorders>
              <w:bottom w:val="single" w:color="auto" w:sz="4" w:space="0"/>
            </w:tcBorders>
            <w:vAlign w:val="center"/>
          </w:tcPr>
          <w:p w14:paraId="4CCED2BC">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23" w:type="pct"/>
            <w:tcBorders>
              <w:right w:val="single" w:color="auto" w:sz="4" w:space="0"/>
            </w:tcBorders>
            <w:vAlign w:val="center"/>
          </w:tcPr>
          <w:p w14:paraId="70F63BCF">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43</w:t>
            </w:r>
          </w:p>
        </w:tc>
        <w:tc>
          <w:tcPr>
            <w:tcW w:w="2288" w:type="pct"/>
            <w:tcBorders>
              <w:left w:val="single" w:color="auto" w:sz="4" w:space="0"/>
            </w:tcBorders>
          </w:tcPr>
          <w:p w14:paraId="70FD8CCF">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（一）中央站</w:t>
            </w:r>
          </w:p>
          <w:p w14:paraId="01323121">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1.中心监护系统支持中央站，工作站，浏览站，远程查询系统等多种产品形态互连。</w:t>
            </w:r>
          </w:p>
          <w:p w14:paraId="129FA074">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2.中央站提供其他产品形态访问中央站的权限设置，且提供单个床位是否允许外部进行访问的设置。</w:t>
            </w:r>
          </w:p>
          <w:p w14:paraId="4238C208">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3.工作站支持远程集中监护中央站上接收的病人，并提供不同控制权限的设置，满足不同临床场景下的部署要求。</w:t>
            </w:r>
          </w:p>
          <w:p w14:paraId="031B6343">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4.浏览站提供远程集中监护中央站上接收的病人。</w:t>
            </w:r>
          </w:p>
          <w:p w14:paraId="19CDE6F0">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5.远程查询支持远程浏览中央站上接收的病人。</w:t>
            </w:r>
          </w:p>
          <w:p w14:paraId="3B6ED420">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6.中心监护系统支持有线、无线、遥测多元化的组网方式，中心监护网络中支持多达1200台床旁设备互连。</w:t>
            </w:r>
          </w:p>
          <w:p w14:paraId="6F1600E3">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7.中心监护系统可支持参数监测ECG， ST， QT/QTc， RESP，SPO</w:t>
            </w:r>
            <w:r>
              <w:rPr>
                <w:rFonts w:hint="eastAsia" w:ascii="宋体" w:hAnsi="宋体" w:cs="宋体"/>
                <w:color w:val="auto"/>
                <w:szCs w:val="21"/>
                <w:highlight w:val="none"/>
                <w:vertAlign w:val="subscript"/>
              </w:rPr>
              <w:t>2</w:t>
            </w:r>
            <w:r>
              <w:rPr>
                <w:rFonts w:hint="eastAsia" w:ascii="宋体" w:hAnsi="宋体" w:cs="宋体"/>
                <w:color w:val="auto"/>
                <w:szCs w:val="21"/>
                <w:highlight w:val="none"/>
              </w:rPr>
              <w:t>， PR， TEMP，NIBP， IBP， C.O.，CCO， ScvO2，ICG，BIS，RM，CO2，AG，EEG，NMT，rSO2，TcGas</w:t>
            </w:r>
          </w:p>
          <w:p w14:paraId="7DEBB71C">
            <w:pPr>
              <w:tabs>
                <w:tab w:val="left" w:pos="180"/>
                <w:tab w:val="left" w:pos="1620"/>
              </w:tabs>
              <w:adjustRightInd w:val="0"/>
              <w:snapToGrid w:val="0"/>
              <w:spacing w:line="360" w:lineRule="exact"/>
              <w:jc w:val="left"/>
              <w:rPr>
                <w:rFonts w:ascii="宋体" w:hAnsi="宋体" w:cs="宋体"/>
                <w:b/>
                <w:bCs/>
                <w:color w:val="auto"/>
                <w:szCs w:val="21"/>
                <w:highlight w:val="none"/>
              </w:rPr>
            </w:pPr>
            <w:r>
              <w:rPr>
                <w:rFonts w:hint="eastAsia" w:ascii="宋体" w:hAnsi="宋体" w:cs="宋体"/>
                <w:b/>
                <w:bCs/>
                <w:color w:val="auto"/>
                <w:szCs w:val="21"/>
                <w:highlight w:val="none"/>
              </w:rPr>
              <w:t>▲8.支持连接输液泵、彩超、呼吸机、麻醉机、监护仪、心电图机、除颤仪等设备。</w:t>
            </w:r>
          </w:p>
          <w:p w14:paraId="48814C34">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9.中心监护系统支持Window 10中、英文操作系统。</w:t>
            </w:r>
          </w:p>
          <w:p w14:paraId="023025E8">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10.中心监护系统支持≥24英寸液晶屏幕显示，1280×1024高分辨率彩色液晶显示。</w:t>
            </w:r>
          </w:p>
          <w:p w14:paraId="68637B27">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11.可同时集中监护多达64个病人，单个屏幕可支持16个病人的同时集中监护，支持多达4个显示屏显示。</w:t>
            </w:r>
          </w:p>
          <w:p w14:paraId="674CF3D1">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12.多床观察时每床支持5个参数、4道波形的观察，支持大字体显示。</w:t>
            </w:r>
          </w:p>
          <w:p w14:paraId="77BA0B95">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13.多床支持床标识显示，可用来区分护理组、病人组等。</w:t>
            </w:r>
          </w:p>
          <w:p w14:paraId="2E1008E9">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14.支持重点观察某床病人，双屏和多屏时可支持固定一个辅助屏显示重点单床观察。</w:t>
            </w:r>
          </w:p>
          <w:p w14:paraId="7C44B4EC">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15.重点观察床支持多达11道波形显示。</w:t>
            </w:r>
          </w:p>
          <w:p w14:paraId="6AF9E6BF">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16.重点观察床支持多导心电、呼吸氧合图、动态短趋势、NIBP LIST等多种视图显示，适用不同科室的观察习惯。</w:t>
            </w:r>
          </w:p>
          <w:p w14:paraId="36407DD8">
            <w:pPr>
              <w:tabs>
                <w:tab w:val="left" w:pos="180"/>
                <w:tab w:val="left" w:pos="1620"/>
              </w:tabs>
              <w:adjustRightInd w:val="0"/>
              <w:snapToGrid w:val="0"/>
              <w:spacing w:line="360" w:lineRule="exact"/>
              <w:jc w:val="left"/>
              <w:rPr>
                <w:rFonts w:ascii="宋体" w:hAnsi="宋体" w:cs="宋体"/>
                <w:b/>
                <w:bCs/>
                <w:color w:val="auto"/>
                <w:szCs w:val="21"/>
                <w:highlight w:val="none"/>
              </w:rPr>
            </w:pPr>
            <w:r>
              <w:rPr>
                <w:rFonts w:hint="eastAsia" w:ascii="宋体" w:hAnsi="宋体" w:cs="宋体"/>
                <w:b/>
                <w:bCs/>
                <w:color w:val="auto"/>
                <w:szCs w:val="21"/>
                <w:highlight w:val="none"/>
              </w:rPr>
              <w:t>▲17.提供声、光、文字多重报警提醒功能，提供高、中、低三级报警。具有报警自动记录或打印功能。保存报警时刻前后32秒的波形</w:t>
            </w:r>
            <w:r>
              <w:rPr>
                <w:rFonts w:hint="eastAsia" w:ascii="宋体" w:hAnsi="宋体" w:cs="宋体"/>
                <w:b/>
                <w:bCs/>
                <w:color w:val="auto"/>
                <w:kern w:val="0"/>
                <w:szCs w:val="21"/>
                <w:highlight w:val="none"/>
              </w:rPr>
              <w:t>【投标人于投标文件中必须提供所投产品符合此项技术要求的相关有效证明材料复印件（加盖投标人电子签章），可以是由国家认可的第三方出具的检测报告复印件、产品彩页或使用说明书等】。</w:t>
            </w:r>
          </w:p>
          <w:p w14:paraId="629BCCA0">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18.支持系统报警声音关闭功能。</w:t>
            </w:r>
          </w:p>
          <w:p w14:paraId="53A08E5C">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19.提供全床位最近24h的报警事件浏览功能。</w:t>
            </w:r>
          </w:p>
          <w:p w14:paraId="29C19E66">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20.支持至少240小时长趋势回顾和4小时短趋势回顾，至少240小时全息波形回顾，至少720条报警事件回顾，至少720条12导分析报告回顾，至少240小时的ST片段回顾，至少720条C.O. 测量结果回顾，至少100条呼吸氧合事件回顾。</w:t>
            </w:r>
          </w:p>
          <w:p w14:paraId="5BD182EA">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21.支持至少24小时动态血压分析与回顾功能。</w:t>
            </w:r>
          </w:p>
          <w:p w14:paraId="15F65A48">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22.支持至少2万个历史病人数据存储与回顾。</w:t>
            </w:r>
          </w:p>
          <w:p w14:paraId="47BF86A5">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23.支持至少75条药物计算结果回顾，至少100条血液动力学计算结果回顾，至少100条氧合计算结果回顾，至少100条通气计算结果回顾，至少100条肾功能计算结果回顾</w:t>
            </w:r>
          </w:p>
          <w:p w14:paraId="4B4904C5">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24.支持热敏记录仪及激光打印机输出病人报告。</w:t>
            </w:r>
          </w:p>
          <w:p w14:paraId="62FFCBBF">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25.支持报警报告、波形报告、趋势报告、ARR统计报告、24h动态血压报告等。</w:t>
            </w:r>
          </w:p>
          <w:p w14:paraId="5DE3F7A2">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26.可远程控制对床旁监护仪进行病人信息设置，解除病人，进行standby。</w:t>
            </w:r>
          </w:p>
          <w:p w14:paraId="53488DCF">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27.支持远程控制床旁监护仪报警暂停、报警复位，设置报警开关、报警级别、报警上下限等。</w:t>
            </w:r>
          </w:p>
          <w:p w14:paraId="223F1B78">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28.支持远程控制床旁监护仪启动NIBP测量，设置NIBP测量模式和时间间隔，支持远程控制床旁监护仪进入隐私、夜间模式。</w:t>
            </w:r>
          </w:p>
          <w:p w14:paraId="3F9D4EED">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（二）遥测监护系统</w:t>
            </w:r>
          </w:p>
          <w:p w14:paraId="15D39DED">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1.整机要求</w:t>
            </w:r>
          </w:p>
          <w:p w14:paraId="7B92A6D2">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1.1遥测发射盒重量≤170克（含电池）。</w:t>
            </w:r>
          </w:p>
          <w:p w14:paraId="515259A7">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1.2遥测发射盒尺寸≤99×60×24mm。</w:t>
            </w:r>
          </w:p>
          <w:p w14:paraId="15876F62">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b/>
                <w:bCs/>
                <w:color w:val="auto"/>
                <w:szCs w:val="21"/>
                <w:highlight w:val="none"/>
              </w:rPr>
              <w:t>▲1.3遥测发射盒防水等级符合IPX7要求，抗跌落测试通过1.5米跌落测试，电击防护等级CF（包括ECG、SpO</w:t>
            </w:r>
            <w:r>
              <w:rPr>
                <w:rFonts w:hint="eastAsia" w:ascii="宋体" w:hAnsi="宋体" w:cs="宋体"/>
                <w:b/>
                <w:bCs/>
                <w:color w:val="auto"/>
                <w:szCs w:val="21"/>
                <w:highlight w:val="none"/>
                <w:vertAlign w:val="subscript"/>
              </w:rPr>
              <w:t>2</w:t>
            </w:r>
            <w:r>
              <w:rPr>
                <w:rFonts w:hint="eastAsia" w:ascii="宋体" w:hAnsi="宋体" w:cs="宋体"/>
                <w:b/>
                <w:bCs/>
                <w:color w:val="auto"/>
                <w:szCs w:val="21"/>
                <w:highlight w:val="none"/>
              </w:rPr>
              <w:t>）</w:t>
            </w:r>
            <w:r>
              <w:rPr>
                <w:rFonts w:hint="eastAsia" w:ascii="宋体" w:hAnsi="宋体" w:cs="宋体"/>
                <w:b/>
                <w:bCs/>
                <w:color w:val="auto"/>
                <w:kern w:val="0"/>
                <w:szCs w:val="21"/>
                <w:highlight w:val="none"/>
              </w:rPr>
              <w:t>【投标人于投标文件中必须提供所投产品符合此项技术要求的相关有效证明材料复印件（加盖投标人电子签章），可以是由国家认可的第三方出具的检测报告复印件、产品彩页或使用说明书等】。</w:t>
            </w:r>
          </w:p>
          <w:p w14:paraId="444FA529">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1.4遥测发射盒采用彩色屏，屏幕尺寸≥1.5英寸，屏幕分辨率≥240×240像素。遥测发射盒屏幕可同时显示至少2个参数和1道波形。</w:t>
            </w:r>
          </w:p>
          <w:p w14:paraId="7769352D">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2.监测参数</w:t>
            </w:r>
          </w:p>
          <w:p w14:paraId="1D978F3B">
            <w:pPr>
              <w:tabs>
                <w:tab w:val="left" w:pos="180"/>
                <w:tab w:val="left" w:pos="1620"/>
              </w:tabs>
              <w:adjustRightInd w:val="0"/>
              <w:snapToGrid w:val="0"/>
              <w:spacing w:line="360" w:lineRule="exact"/>
              <w:jc w:val="left"/>
              <w:rPr>
                <w:rFonts w:ascii="宋体" w:hAnsi="宋体" w:cs="宋体"/>
                <w:b/>
                <w:bCs/>
                <w:color w:val="auto"/>
                <w:szCs w:val="21"/>
                <w:highlight w:val="none"/>
              </w:rPr>
            </w:pPr>
            <w:r>
              <w:rPr>
                <w:rFonts w:hint="eastAsia" w:ascii="宋体" w:hAnsi="宋体" w:cs="宋体"/>
                <w:b/>
                <w:bCs/>
                <w:color w:val="auto"/>
                <w:szCs w:val="21"/>
                <w:highlight w:val="none"/>
              </w:rPr>
              <w:t>▲2.1标配心电监护，提供HR，ST，PVC测量值，血氧监测，选配NIBP，PR，测量值（ST，PVC在中央站上显示）。</w:t>
            </w:r>
          </w:p>
          <w:p w14:paraId="23F6E3A0">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2.2具有多参融合算法，良好的抗干扰性能。</w:t>
            </w:r>
          </w:p>
          <w:p w14:paraId="348F32C4">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2.3支持≥3通道心电波形同步分析，可进行多导心电分析</w:t>
            </w:r>
            <w:r>
              <w:rPr>
                <w:rFonts w:hint="eastAsia" w:ascii="宋体" w:hAnsi="宋体" w:cs="宋体"/>
                <w:b/>
                <w:bCs/>
                <w:color w:val="auto"/>
                <w:kern w:val="0"/>
                <w:szCs w:val="21"/>
                <w:highlight w:val="none"/>
              </w:rPr>
              <w:t>【投标人于投标文件中提供所投产品符合此项技术要求的相关有效证明材料复印件（加盖投标人电子签章），可以是由国家认可的第三方出具的检测报告复印件、产品彩页或使用说明书等】。</w:t>
            </w:r>
          </w:p>
          <w:p w14:paraId="2CCFAE47">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2.4具有抗运动算法，良好的抗干扰性。</w:t>
            </w:r>
          </w:p>
          <w:p w14:paraId="0E3AED04">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2.5提供3/5导心电监护，心率测量范围：成人15~300 bpm，小儿15~350 bpm。</w:t>
            </w:r>
          </w:p>
          <w:p w14:paraId="5F1E10A5">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2.6心电滤波模式提供监护模式（0.5~40Hz），ST模式（0.05~40Hz）， 运动模式（1~20 Hz）。</w:t>
            </w:r>
          </w:p>
          <w:p w14:paraId="3FD4188D">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2.7提供ST段分析，提供ST值，和每个ST的模板（中央站上显示）。</w:t>
            </w:r>
          </w:p>
          <w:p w14:paraId="73B834D7">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2.8提供ST图像化显示界面，可以快速查看ST值的变化（中央站上显示）。</w:t>
            </w:r>
          </w:p>
          <w:p w14:paraId="3B8F1D92">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2.9提供单个，多个ST值报警，并支持相对的报警限设置。</w:t>
            </w:r>
          </w:p>
          <w:p w14:paraId="5F2465BE">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2.10提供起搏分析。</w:t>
            </w:r>
          </w:p>
          <w:p w14:paraId="5A25D4A8">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2.11具有QT/QTc测量功能，提供QT，QTc和ΔQTc参数值（中央站上显示）。</w:t>
            </w:r>
          </w:p>
          <w:p w14:paraId="5796C80D">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2.12QTc计算公式提供：Bazett， Fridericia，Framingham，Hodges。</w:t>
            </w:r>
          </w:p>
          <w:p w14:paraId="463BE461">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2.13支持房颤及室上性心律失常分析功能，如：室上性心动过速，SVCs/min等，标配支持≥27种实时心律失常分析</w:t>
            </w:r>
            <w:r>
              <w:rPr>
                <w:rFonts w:hint="eastAsia" w:ascii="宋体" w:hAnsi="宋体" w:cs="宋体"/>
                <w:b/>
                <w:bCs/>
                <w:color w:val="auto"/>
                <w:kern w:val="0"/>
                <w:szCs w:val="21"/>
                <w:highlight w:val="none"/>
              </w:rPr>
              <w:t>【投标人于投标文件中提供所投产品符合此项技术要求的相关有效证明材料复印件（加盖投标人电子签章），可以是由国家认可的第三方出具的检测报告复印件、产品彩页或使用说明书等】。</w:t>
            </w:r>
          </w:p>
          <w:p w14:paraId="463FE0E6">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2.14血氧饱和度测量范围：0~100%，来自于血氧的脉率测量范围：20~300 bpm。</w:t>
            </w:r>
          </w:p>
          <w:p w14:paraId="031DA378">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2.15可显示弱灌注指数（PI）。</w:t>
            </w:r>
          </w:p>
          <w:p w14:paraId="33C3CC3B">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3.系统功能</w:t>
            </w:r>
          </w:p>
          <w:p w14:paraId="79BCB3CA">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3.1遥测发射盒有三个硬按键：开关机/关屏，护士呼叫和主界面键。</w:t>
            </w:r>
          </w:p>
          <w:p w14:paraId="00519E1E">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3.2遥测发射盒主界面上能够显示病人信息。</w:t>
            </w:r>
          </w:p>
          <w:p w14:paraId="7927EAD3">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3.3投标人所投第1-8项号产品“病人监护仪”需与本项号产品为同一生产厂家生产的产品，支持在同品牌监护仪上通过它床观察的方式查看连接到中央站的遥测监测数据和报警。</w:t>
            </w:r>
          </w:p>
          <w:p w14:paraId="253C8BEC">
            <w:pPr>
              <w:tabs>
                <w:tab w:val="left" w:pos="180"/>
                <w:tab w:val="left" w:pos="1620"/>
              </w:tabs>
              <w:adjustRightInd w:val="0"/>
              <w:snapToGrid w:val="0"/>
              <w:spacing w:line="360" w:lineRule="exact"/>
              <w:jc w:val="left"/>
              <w:rPr>
                <w:rFonts w:ascii="宋体" w:hAnsi="宋体" w:cs="宋体"/>
                <w:b/>
                <w:bCs/>
                <w:color w:val="auto"/>
                <w:szCs w:val="21"/>
                <w:highlight w:val="none"/>
              </w:rPr>
            </w:pPr>
            <w:r>
              <w:rPr>
                <w:rFonts w:hint="eastAsia" w:ascii="宋体" w:hAnsi="宋体" w:cs="宋体"/>
                <w:b/>
                <w:bCs/>
                <w:color w:val="auto"/>
                <w:szCs w:val="21"/>
                <w:highlight w:val="none"/>
              </w:rPr>
              <w:t>▲3.4支持设备实时定位和设备历史位置追踪功能。支持给患者发送消息。配备两块可充电锂电池供电，使用全新充满电的锂电池，工作时间不小于170h；可以采用3 节AA 电池供电，全新3 节AA 电池，工作时间不小于110h</w:t>
            </w:r>
            <w:r>
              <w:rPr>
                <w:rFonts w:hint="eastAsia" w:ascii="宋体" w:hAnsi="宋体" w:cs="宋体"/>
                <w:b/>
                <w:bCs/>
                <w:color w:val="auto"/>
                <w:kern w:val="0"/>
                <w:szCs w:val="21"/>
                <w:highlight w:val="none"/>
              </w:rPr>
              <w:t>【投标人于投标文件中必须提供所投产品符合此项技术要求的相关有效证明材料复印件（加盖投标人电子签章），可以是由国家认可的第三方出具的检测报告复印件、产品彩页或使用说明书等】。</w:t>
            </w:r>
          </w:p>
          <w:p w14:paraId="6AD70671">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3.5采用608M WMTS无线网络传输技术，实现遥测数据的传输。</w:t>
            </w:r>
          </w:p>
          <w:p w14:paraId="2E392518">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3.6锂电池集中充电器能够同时提供不少10块电池同时充电，每个充电位都提供电池充电状态指示灯，一块电池充电到90%的时间不大于5小时。</w:t>
            </w:r>
          </w:p>
          <w:p w14:paraId="672BEC01">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3.7投标产品适用于成人、小儿的监测。</w:t>
            </w:r>
          </w:p>
          <w:p w14:paraId="0BA336DB">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3.8除标配电池外每台增配1块电池。</w:t>
            </w:r>
          </w:p>
          <w:p w14:paraId="171A81CB">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（三）病人监护仪：</w:t>
            </w:r>
          </w:p>
          <w:p w14:paraId="0E408537">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1.整机要求：</w:t>
            </w:r>
          </w:p>
          <w:p w14:paraId="7435C3CB">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1.1≥10.1英寸彩色液晶触摸屏，屏幕采用最新电容屏非电阻屏，分辨率高达1280×800像素或更高，≤10通道波形显示，一体化便携监护仪，整机无风扇设计，配置提手，方便移动。</w:t>
            </w:r>
          </w:p>
          <w:p w14:paraId="6084790A">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1.2显示屏可支持亮度自动调节功能，屏幕倾斜10~15度设计，符合人机工程学，便于临床团队观察和操作。</w:t>
            </w:r>
          </w:p>
          <w:p w14:paraId="7FF0B9E3">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1.3可支持遥控器无线远程操作监护仪。</w:t>
            </w:r>
          </w:p>
          <w:p w14:paraId="4B0F8FA6">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1.4内置锂电池，插槽式设计，无需螺丝刀工具支持快速拆卸和安装。</w:t>
            </w:r>
          </w:p>
          <w:p w14:paraId="45CE84B4">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1.5安全规格：ECG，TEMP，IBP， SpO</w:t>
            </w:r>
            <w:r>
              <w:rPr>
                <w:rFonts w:hint="eastAsia" w:ascii="宋体" w:hAnsi="宋体" w:cs="宋体"/>
                <w:color w:val="auto"/>
                <w:szCs w:val="21"/>
                <w:highlight w:val="none"/>
                <w:vertAlign w:val="subscript"/>
              </w:rPr>
              <w:t>2</w:t>
            </w:r>
            <w:r>
              <w:rPr>
                <w:rFonts w:hint="eastAsia" w:ascii="宋体" w:hAnsi="宋体" w:cs="宋体"/>
                <w:color w:val="auto"/>
                <w:szCs w:val="21"/>
                <w:highlight w:val="none"/>
              </w:rPr>
              <w:t>，NIBP监测参数抗电击程度为防除颤CF型。</w:t>
            </w:r>
          </w:p>
          <w:p w14:paraId="752A1CF2">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1.6监护仪设计使用年限≥8年。</w:t>
            </w:r>
          </w:p>
          <w:p w14:paraId="2E358B18">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1.7监护仪清洁维护支持的清洁剂≥40种。</w:t>
            </w:r>
          </w:p>
          <w:p w14:paraId="17D1A60E">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1.8监护仪主机工作大气压环境范围：57.0~107.4kPa，监护仪主机工作温度环境范围：0~40°C，监护仪主机工作湿度环境范围；15~95%。</w:t>
            </w:r>
          </w:p>
          <w:p w14:paraId="3F0BDAB1">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1.9防水等级≥IPX2</w:t>
            </w:r>
          </w:p>
          <w:p w14:paraId="381FC09D">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1.10整机抗跌落设计通过≥0.75米6面跌落测试。</w:t>
            </w:r>
          </w:p>
          <w:p w14:paraId="72765BBE">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2.监测参数：</w:t>
            </w:r>
          </w:p>
          <w:p w14:paraId="3A34DAF9">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2.1配置3/5导心电，呼吸，无创血压，血氧饱和度，脉搏和双通道体温参数监测。</w:t>
            </w:r>
          </w:p>
          <w:p w14:paraId="5CFDB43B">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2.2心电监护支持心率，ST段测量，心律失常分析，QT/QTc连续实时测量和对应报警功能，心电算法通过AHA/MIT-BIH数据库验证，心电波形扫描速度支持6.25mm/s、12.5 mm/s、25 mm/s和50 mm/s，提供窗口支持心脏下壁，侧壁和前壁对应多个ST片段的同屏实时显示，提供参考片段和实时片段的对比查看。配置无创血压测量，适用于成人，小儿和新生儿，提供手动，自动，连续和序列、整点5种测量模式，并提供24小时血压统计结果，满足临床应用，无创血压成人测量范围：收缩压25~290mmHg，舒张压10~250mmHg，平均压15~260mmHg。</w:t>
            </w:r>
          </w:p>
          <w:p w14:paraId="3F46B503">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2.3支持≥20种心律失常分析，包括房颤分析。</w:t>
            </w:r>
          </w:p>
          <w:p w14:paraId="6D580658">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2.4 QT和QTc实时监测参数测量范围：200～800 ms。</w:t>
            </w:r>
          </w:p>
          <w:p w14:paraId="093FCBFE">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2.5支持升级提供过去24小时心电概览报告查看与打印，包括心率统计结果，心律失常统计结果，ST统计和QT/QTc统计结果。</w:t>
            </w:r>
          </w:p>
          <w:p w14:paraId="6E7C7109">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2.6提供SpO</w:t>
            </w:r>
            <w:r>
              <w:rPr>
                <w:rFonts w:hint="eastAsia" w:ascii="宋体" w:hAnsi="宋体" w:cs="宋体"/>
                <w:color w:val="auto"/>
                <w:szCs w:val="21"/>
                <w:highlight w:val="none"/>
                <w:vertAlign w:val="subscript"/>
              </w:rPr>
              <w:t>2</w:t>
            </w:r>
            <w:r>
              <w:rPr>
                <w:rFonts w:hint="eastAsia" w:ascii="宋体" w:hAnsi="宋体" w:cs="宋体"/>
                <w:color w:val="auto"/>
                <w:szCs w:val="21"/>
                <w:highlight w:val="none"/>
              </w:rPr>
              <w:t>，PR和PI参数的实时监测，适用于成人，小儿和新生儿。</w:t>
            </w:r>
          </w:p>
          <w:p w14:paraId="4C9CEDD7">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2.7支持指套式血氧探头，IPX7防水等级，支持液体浸泡消毒和清洁。</w:t>
            </w:r>
          </w:p>
          <w:p w14:paraId="067A490D">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2.8提供辅助静脉穿刺功能。</w:t>
            </w:r>
          </w:p>
          <w:p w14:paraId="76D09876">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2.9提供双通道体温和温差参数的监测， 并可根据需要更改体温通道标名。</w:t>
            </w:r>
          </w:p>
          <w:p w14:paraId="1368C7E7">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3.系统功能：</w:t>
            </w:r>
          </w:p>
          <w:p w14:paraId="6F89E369">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3.1支持所有监测参数报警限一键自动设置功能，满足医护团队快速管理患者报警需求，产品用户手册提供报警限自动设置规则。</w:t>
            </w:r>
          </w:p>
          <w:p w14:paraId="160E021E">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3.2支持肾功能计算功能。</w:t>
            </w:r>
          </w:p>
          <w:p w14:paraId="2FE0050C">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3.3具有图形化技术报警指示功能，帮助医护团队快速识别报警来源。</w:t>
            </w:r>
          </w:p>
          <w:p w14:paraId="78EDFE43">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3.4支持≥120小时趋势图和趋势表回顾，支持选择不同趋势组回顾。</w:t>
            </w:r>
          </w:p>
          <w:p w14:paraId="00673FEA">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3.5≥1000条事件回顾。每条报警事件至少能够存储32秒三道相关波形，以及报警触发时所有测量参数值。</w:t>
            </w:r>
          </w:p>
          <w:p w14:paraId="7949AE85">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3.6≥1000组NIBP测量结果。</w:t>
            </w:r>
          </w:p>
          <w:p w14:paraId="4EF4E534">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3.7≥120小时（分辨率1分钟）ST模板存储与回顾。</w:t>
            </w:r>
          </w:p>
          <w:p w14:paraId="2089D77E">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3.8支持48小时全息波形的存储与回顾功能。</w:t>
            </w:r>
          </w:p>
          <w:p w14:paraId="17BAD896">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3.9支持监护仪历史病人数据的存储和回顾，并支持通过USB接口将历史病人数据导出到U盘。</w:t>
            </w:r>
          </w:p>
          <w:p w14:paraId="1CE52F3F">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3.10支持RJ45接口进行有线网络通信，和除颤监护仪一起联网通信到中心监护系统。</w:t>
            </w:r>
          </w:p>
          <w:p w14:paraId="61536C5B">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3.11支持监护仪进入夜间模式，隐私模式，演示模式和待机模式。</w:t>
            </w:r>
          </w:p>
          <w:p w14:paraId="0A059FF8">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3.12可升级配置临床评分系统，如MEWS（改良早期预警评分）、NEWS（英国早期预警评分），可支持定时自动EWS评分功能。</w:t>
            </w:r>
          </w:p>
          <w:p w14:paraId="70E948CD">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3.13提供心肌缺血评估工具，可以快速查看ST值的变化。</w:t>
            </w:r>
          </w:p>
          <w:p w14:paraId="68DD226F">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3.14提供计时器功能，界面区提供设置≥4个计时器，每个计时器支持独立设置和计时功能，计时方向包括正计时和倒计时两种选择。动态趋势界面可支持统计1-24小时心律失常报警、参数超限报警信息，并对超限报警区间的波形进行高亮显示，帮助医护人员快速识别异常趋势信息。</w:t>
            </w:r>
          </w:p>
          <w:p w14:paraId="54930C09">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3.15支持格拉斯哥昏迷评分（GCS）功能。</w:t>
            </w:r>
          </w:p>
          <w:p w14:paraId="01285830">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3.16支持升级连接HIS系统，满足科室信息化的需求。信息互连：配备有线和无线（内置Wi</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Fi模块及无线安装）直接与同品牌中央监护系统互联，把监测信息参数和波形实时显示到中央监护系统上，满足科室信息化的需求。</w:t>
            </w:r>
          </w:p>
          <w:p w14:paraId="49488B48">
            <w:pPr>
              <w:tabs>
                <w:tab w:val="left" w:pos="180"/>
                <w:tab w:val="left" w:pos="1620"/>
              </w:tabs>
              <w:adjustRightInd w:val="0"/>
              <w:snapToGrid w:val="0"/>
              <w:spacing w:line="360" w:lineRule="exact"/>
              <w:jc w:val="left"/>
              <w:rPr>
                <w:rFonts w:ascii="宋体" w:hAnsi="宋体" w:cs="宋体"/>
                <w:b/>
                <w:bCs/>
                <w:color w:val="auto"/>
                <w:szCs w:val="21"/>
                <w:highlight w:val="none"/>
              </w:rPr>
            </w:pPr>
            <w:r>
              <w:rPr>
                <w:rFonts w:hint="eastAsia" w:ascii="宋体" w:hAnsi="宋体" w:cs="宋体"/>
                <w:b/>
                <w:bCs/>
                <w:color w:val="auto"/>
                <w:szCs w:val="21"/>
                <w:highlight w:val="none"/>
              </w:rPr>
              <w:t>▲4.配置清单</w:t>
            </w:r>
          </w:p>
          <w:tbl>
            <w:tblPr>
              <w:tblStyle w:val="152"/>
              <w:tblW w:w="37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968"/>
              <w:gridCol w:w="571"/>
              <w:gridCol w:w="514"/>
            </w:tblGrid>
            <w:tr w14:paraId="188A80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685" w:type="dxa"/>
                  <w:vAlign w:val="center"/>
                </w:tcPr>
                <w:p w14:paraId="7630BAE4">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序号</w:t>
                  </w:r>
                </w:p>
              </w:tc>
              <w:tc>
                <w:tcPr>
                  <w:tcW w:w="1968" w:type="dxa"/>
                  <w:vAlign w:val="center"/>
                </w:tcPr>
                <w:p w14:paraId="52943598">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产品名称</w:t>
                  </w:r>
                </w:p>
              </w:tc>
              <w:tc>
                <w:tcPr>
                  <w:tcW w:w="571" w:type="dxa"/>
                  <w:vAlign w:val="center"/>
                </w:tcPr>
                <w:p w14:paraId="6E56BA4C">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单位</w:t>
                  </w:r>
                </w:p>
              </w:tc>
              <w:tc>
                <w:tcPr>
                  <w:tcW w:w="514" w:type="dxa"/>
                  <w:vAlign w:val="center"/>
                </w:tcPr>
                <w:p w14:paraId="36CB7B7F">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数量</w:t>
                  </w:r>
                </w:p>
              </w:tc>
            </w:tr>
            <w:tr w14:paraId="1A98B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85" w:type="dxa"/>
                  <w:vAlign w:val="center"/>
                </w:tcPr>
                <w:p w14:paraId="51A49068">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1</w:t>
                  </w:r>
                </w:p>
              </w:tc>
              <w:tc>
                <w:tcPr>
                  <w:tcW w:w="1968" w:type="dxa"/>
                  <w:vAlign w:val="center"/>
                </w:tcPr>
                <w:p w14:paraId="5BC66FC4">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szCs w:val="21"/>
                      <w:highlight w:val="none"/>
                      <w:lang w:eastAsia="en-US"/>
                    </w:rPr>
                    <w:t>中央站</w:t>
                  </w:r>
                </w:p>
              </w:tc>
              <w:tc>
                <w:tcPr>
                  <w:tcW w:w="571" w:type="dxa"/>
                  <w:vAlign w:val="center"/>
                </w:tcPr>
                <w:p w14:paraId="234BADF3">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szCs w:val="21"/>
                      <w:highlight w:val="none"/>
                      <w:lang w:eastAsia="en-US"/>
                    </w:rPr>
                    <w:t>套</w:t>
                  </w:r>
                </w:p>
              </w:tc>
              <w:tc>
                <w:tcPr>
                  <w:tcW w:w="514" w:type="dxa"/>
                  <w:vAlign w:val="center"/>
                </w:tcPr>
                <w:p w14:paraId="78D5FF35">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szCs w:val="21"/>
                      <w:highlight w:val="none"/>
                      <w:lang w:eastAsia="en-US"/>
                    </w:rPr>
                    <w:t>1</w:t>
                  </w:r>
                </w:p>
              </w:tc>
            </w:tr>
            <w:tr w14:paraId="34226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85" w:type="dxa"/>
                  <w:vAlign w:val="center"/>
                </w:tcPr>
                <w:p w14:paraId="2DA476C1">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2</w:t>
                  </w:r>
                </w:p>
              </w:tc>
              <w:tc>
                <w:tcPr>
                  <w:tcW w:w="1968" w:type="dxa"/>
                  <w:vAlign w:val="center"/>
                </w:tcPr>
                <w:p w14:paraId="5C645F28">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szCs w:val="21"/>
                      <w:highlight w:val="none"/>
                      <w:lang w:eastAsia="en-US"/>
                    </w:rPr>
                    <w:t>遥测监护系统</w:t>
                  </w:r>
                </w:p>
              </w:tc>
              <w:tc>
                <w:tcPr>
                  <w:tcW w:w="571" w:type="dxa"/>
                  <w:vAlign w:val="center"/>
                </w:tcPr>
                <w:p w14:paraId="5EA925B0">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szCs w:val="21"/>
                      <w:highlight w:val="none"/>
                      <w:lang w:eastAsia="en-US"/>
                    </w:rPr>
                    <w:t>个</w:t>
                  </w:r>
                </w:p>
              </w:tc>
              <w:tc>
                <w:tcPr>
                  <w:tcW w:w="514" w:type="dxa"/>
                  <w:vAlign w:val="center"/>
                </w:tcPr>
                <w:p w14:paraId="702ABE37">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szCs w:val="21"/>
                      <w:highlight w:val="none"/>
                      <w:lang w:eastAsia="en-US"/>
                    </w:rPr>
                    <w:t>16</w:t>
                  </w:r>
                </w:p>
              </w:tc>
            </w:tr>
            <w:tr w14:paraId="561101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685" w:type="dxa"/>
                  <w:vAlign w:val="center"/>
                </w:tcPr>
                <w:p w14:paraId="0D02DA6C">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3</w:t>
                  </w:r>
                </w:p>
              </w:tc>
              <w:tc>
                <w:tcPr>
                  <w:tcW w:w="1968" w:type="dxa"/>
                  <w:vAlign w:val="center"/>
                </w:tcPr>
                <w:p w14:paraId="3CAAF452">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szCs w:val="21"/>
                      <w:highlight w:val="none"/>
                      <w:lang w:eastAsia="en-US"/>
                    </w:rPr>
                    <w:t>病人监护仪</w:t>
                  </w:r>
                </w:p>
              </w:tc>
              <w:tc>
                <w:tcPr>
                  <w:tcW w:w="571" w:type="dxa"/>
                  <w:vAlign w:val="center"/>
                </w:tcPr>
                <w:p w14:paraId="32C1997A">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szCs w:val="21"/>
                      <w:highlight w:val="none"/>
                      <w:lang w:eastAsia="en-US"/>
                    </w:rPr>
                    <w:t>台</w:t>
                  </w:r>
                </w:p>
              </w:tc>
              <w:tc>
                <w:tcPr>
                  <w:tcW w:w="514" w:type="dxa"/>
                  <w:vAlign w:val="center"/>
                </w:tcPr>
                <w:p w14:paraId="493E4B30">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szCs w:val="21"/>
                      <w:highlight w:val="none"/>
                      <w:lang w:eastAsia="en-US"/>
                    </w:rPr>
                    <w:t>4</w:t>
                  </w:r>
                </w:p>
              </w:tc>
            </w:tr>
          </w:tbl>
          <w:p w14:paraId="2D850AB9">
            <w:pPr>
              <w:numPr>
                <w:ilvl w:val="0"/>
                <w:numId w:val="3"/>
              </w:numPr>
              <w:tabs>
                <w:tab w:val="left" w:pos="180"/>
                <w:tab w:val="left" w:pos="1620"/>
                <w:tab w:val="clear" w:pos="312"/>
              </w:tabs>
              <w:adjustRightInd w:val="0"/>
              <w:snapToGrid w:val="0"/>
              <w:spacing w:line="360" w:lineRule="exact"/>
              <w:jc w:val="left"/>
              <w:rPr>
                <w:rFonts w:ascii="宋体" w:hAnsi="宋体" w:cs="宋体"/>
                <w:color w:val="auto"/>
                <w:szCs w:val="21"/>
                <w:highlight w:val="none"/>
              </w:rPr>
            </w:pPr>
          </w:p>
        </w:tc>
      </w:tr>
      <w:tr w14:paraId="3D01C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5000" w:type="pct"/>
            <w:gridSpan w:val="7"/>
            <w:tcBorders>
              <w:bottom w:val="single" w:color="auto" w:sz="4" w:space="0"/>
            </w:tcBorders>
            <w:vAlign w:val="center"/>
          </w:tcPr>
          <w:p w14:paraId="5E9168CF">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b/>
                <w:color w:val="auto"/>
                <w:szCs w:val="21"/>
                <w:highlight w:val="none"/>
              </w:rPr>
              <w:t>核心产品：本分标核心产品为第9项标的“中心监护系统”。</w:t>
            </w:r>
          </w:p>
        </w:tc>
      </w:tr>
      <w:tr w14:paraId="5B2B03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7"/>
            <w:tcBorders>
              <w:top w:val="single" w:color="auto" w:sz="4" w:space="0"/>
              <w:left w:val="single" w:color="auto" w:sz="4" w:space="0"/>
              <w:bottom w:val="single" w:color="auto" w:sz="4" w:space="0"/>
              <w:right w:val="single" w:color="auto" w:sz="4" w:space="0"/>
            </w:tcBorders>
          </w:tcPr>
          <w:p w14:paraId="7888C217">
            <w:pPr>
              <w:adjustRightInd w:val="0"/>
              <w:snapToGrid w:val="0"/>
              <w:spacing w:line="400" w:lineRule="exact"/>
              <w:rPr>
                <w:rFonts w:ascii="宋体" w:hAnsi="宋体" w:cs="宋体"/>
                <w:b/>
                <w:color w:val="auto"/>
                <w:szCs w:val="21"/>
                <w:highlight w:val="none"/>
              </w:rPr>
            </w:pPr>
            <w:r>
              <w:rPr>
                <w:rFonts w:hint="eastAsia" w:ascii="宋体" w:hAnsi="宋体" w:cs="宋体"/>
                <w:b/>
                <w:color w:val="auto"/>
                <w:szCs w:val="21"/>
                <w:highlight w:val="none"/>
              </w:rPr>
              <w:t>▲二、商务要求</w:t>
            </w:r>
          </w:p>
        </w:tc>
      </w:tr>
      <w:tr w14:paraId="6851C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38D31CE7">
            <w:pPr>
              <w:spacing w:line="360" w:lineRule="exact"/>
              <w:jc w:val="center"/>
              <w:rPr>
                <w:rFonts w:ascii="宋体" w:hAnsi="宋体" w:cs="宋体"/>
                <w:b/>
                <w:color w:val="auto"/>
                <w:szCs w:val="21"/>
                <w:highlight w:val="none"/>
              </w:rPr>
            </w:pPr>
            <w:r>
              <w:rPr>
                <w:rFonts w:hint="eastAsia" w:ascii="宋体" w:hAnsi="宋体" w:cs="宋体"/>
                <w:b/>
                <w:bCs/>
                <w:color w:val="auto"/>
                <w:szCs w:val="21"/>
                <w:highlight w:val="none"/>
              </w:rPr>
              <w:t>（一）售后服务基本要求</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0D13F9C4">
            <w:pPr>
              <w:spacing w:line="360" w:lineRule="exact"/>
              <w:jc w:val="left"/>
              <w:rPr>
                <w:rFonts w:ascii="宋体" w:hAnsi="宋体" w:cs="宋体"/>
                <w:color w:val="auto"/>
                <w:highlight w:val="none"/>
              </w:rPr>
            </w:pPr>
            <w:r>
              <w:rPr>
                <w:rFonts w:hint="eastAsia" w:ascii="宋体" w:hAnsi="宋体" w:cs="宋体"/>
                <w:color w:val="auto"/>
                <w:highlight w:val="none"/>
              </w:rPr>
              <w:t>投标人提供的以下售后服务产生的费用均应综合包含在投标报价中，采购人不再就此另行支付任何费用：</w:t>
            </w:r>
          </w:p>
          <w:p w14:paraId="34D21AE0">
            <w:pPr>
              <w:spacing w:line="360" w:lineRule="exact"/>
              <w:jc w:val="left"/>
              <w:rPr>
                <w:rFonts w:ascii="宋体" w:hAnsi="宋体" w:cs="宋体"/>
                <w:color w:val="auto"/>
                <w:highlight w:val="none"/>
              </w:rPr>
            </w:pPr>
            <w:r>
              <w:rPr>
                <w:rFonts w:hint="eastAsia" w:ascii="宋体" w:hAnsi="宋体" w:cs="宋体"/>
                <w:color w:val="auto"/>
                <w:highlight w:val="none"/>
              </w:rPr>
              <w:t>1.保修期：按国家有关产品“三包”规定执行“三包”</w:t>
            </w:r>
            <w:r>
              <w:rPr>
                <w:rFonts w:hint="eastAsia" w:ascii="宋体" w:hAnsi="宋体" w:cs="宋体"/>
                <w:color w:val="auto"/>
                <w:highlight w:val="none"/>
                <w:lang w:eastAsia="zh-CN"/>
              </w:rPr>
              <w:t>，</w:t>
            </w:r>
            <w:r>
              <w:rPr>
                <w:rFonts w:hint="eastAsia" w:ascii="宋体" w:hAnsi="宋体" w:cs="宋体"/>
                <w:color w:val="auto"/>
                <w:highlight w:val="none"/>
                <w:lang w:val="en-US" w:eastAsia="zh-CN"/>
              </w:rPr>
              <w:t>病人监护仪</w:t>
            </w:r>
            <w:r>
              <w:rPr>
                <w:rFonts w:hint="eastAsia" w:ascii="宋体" w:hAnsi="宋体" w:cs="宋体"/>
                <w:color w:val="auto"/>
                <w:highlight w:val="none"/>
              </w:rPr>
              <w:t>保修期不得少于5年</w:t>
            </w:r>
            <w:r>
              <w:rPr>
                <w:rFonts w:hint="eastAsia" w:ascii="宋体" w:hAnsi="宋体" w:cs="宋体"/>
                <w:color w:val="auto"/>
                <w:highlight w:val="none"/>
                <w:lang w:eastAsia="zh-CN"/>
              </w:rPr>
              <w:t>，</w:t>
            </w:r>
            <w:r>
              <w:rPr>
                <w:rFonts w:hint="eastAsia"/>
                <w:color w:val="auto"/>
                <w:highlight w:val="none"/>
                <w:lang w:val="en-US" w:eastAsia="zh-CN"/>
              </w:rPr>
              <w:t>中心监护系统</w:t>
            </w:r>
            <w:r>
              <w:rPr>
                <w:rFonts w:hint="eastAsia" w:ascii="宋体" w:hAnsi="宋体" w:cs="宋体"/>
                <w:color w:val="auto"/>
                <w:highlight w:val="none"/>
                <w:lang w:val="en-US" w:eastAsia="zh-CN"/>
              </w:rPr>
              <w:t>保修期不得少于3年</w:t>
            </w:r>
            <w:r>
              <w:rPr>
                <w:rFonts w:hint="eastAsia" w:ascii="宋体" w:hAnsi="宋体" w:cs="宋体"/>
                <w:color w:val="auto"/>
                <w:highlight w:val="none"/>
              </w:rPr>
              <w:t>（保修期从设备验收合格之日起计算），保修期内上门维修不收取任何费用。</w:t>
            </w:r>
          </w:p>
          <w:p w14:paraId="280A1530">
            <w:pPr>
              <w:spacing w:line="360" w:lineRule="exact"/>
              <w:jc w:val="left"/>
              <w:rPr>
                <w:rFonts w:ascii="宋体" w:hAnsi="宋体" w:cs="宋体"/>
                <w:color w:val="auto"/>
                <w:szCs w:val="21"/>
                <w:highlight w:val="none"/>
              </w:rPr>
            </w:pPr>
            <w:r>
              <w:rPr>
                <w:rFonts w:hint="eastAsia" w:ascii="宋体" w:hAnsi="宋体" w:cs="宋体"/>
                <w:color w:val="auto"/>
                <w:highlight w:val="none"/>
              </w:rPr>
              <w:t>2.采购范围内的货物</w:t>
            </w:r>
            <w:r>
              <w:rPr>
                <w:rFonts w:hint="eastAsia" w:ascii="宋体" w:hAnsi="宋体" w:cs="宋体"/>
                <w:color w:val="auto"/>
                <w:szCs w:val="21"/>
                <w:highlight w:val="none"/>
              </w:rPr>
              <w:t>送货上门、安装调试合格(仪器到货后1周内到采购人处安装调试)，提供技术及使用培训服务（</w:t>
            </w:r>
            <w:r>
              <w:rPr>
                <w:rFonts w:hint="eastAsia" w:ascii="宋体" w:hAnsi="宋体" w:cs="宋体"/>
                <w:color w:val="auto"/>
                <w:spacing w:val="9"/>
                <w:szCs w:val="21"/>
                <w:highlight w:val="none"/>
              </w:rPr>
              <w:t>包含医护人员及工程人员的培训计划，其中医护人员省</w:t>
            </w:r>
            <w:r>
              <w:rPr>
                <w:rFonts w:hint="eastAsia" w:ascii="宋体" w:hAnsi="宋体" w:cs="宋体"/>
                <w:color w:val="auto"/>
                <w:spacing w:val="8"/>
                <w:szCs w:val="21"/>
                <w:highlight w:val="none"/>
                <w:u w:val="single"/>
              </w:rPr>
              <w:t>区内/省区</w:t>
            </w:r>
            <w:r>
              <w:rPr>
                <w:rFonts w:hint="eastAsia" w:ascii="宋体" w:hAnsi="宋体" w:cs="宋体"/>
                <w:color w:val="auto"/>
                <w:spacing w:val="8"/>
                <w:szCs w:val="21"/>
                <w:highlight w:val="none"/>
              </w:rPr>
              <w:t>外专项操作培训至少</w:t>
            </w:r>
            <w:r>
              <w:rPr>
                <w:rFonts w:hint="eastAsia" w:ascii="宋体" w:hAnsi="宋体" w:cs="宋体"/>
                <w:color w:val="auto"/>
                <w:spacing w:val="4"/>
                <w:szCs w:val="21"/>
                <w:highlight w:val="none"/>
                <w:u w:val="single"/>
              </w:rPr>
              <w:t>2</w:t>
            </w:r>
            <w:r>
              <w:rPr>
                <w:rFonts w:hint="eastAsia" w:ascii="宋体" w:hAnsi="宋体" w:cs="宋体"/>
                <w:color w:val="auto"/>
                <w:spacing w:val="8"/>
                <w:szCs w:val="21"/>
                <w:highlight w:val="none"/>
              </w:rPr>
              <w:t>人次；工程人员</w:t>
            </w:r>
            <w:r>
              <w:rPr>
                <w:rFonts w:hint="eastAsia" w:ascii="宋体" w:hAnsi="宋体" w:cs="宋体"/>
                <w:color w:val="auto"/>
                <w:spacing w:val="8"/>
                <w:szCs w:val="21"/>
                <w:highlight w:val="none"/>
                <w:u w:val="single"/>
              </w:rPr>
              <w:t>省区内/省区外</w:t>
            </w:r>
            <w:r>
              <w:rPr>
                <w:rFonts w:hint="eastAsia" w:ascii="宋体" w:hAnsi="宋体" w:cs="宋体"/>
                <w:color w:val="auto"/>
                <w:spacing w:val="8"/>
                <w:szCs w:val="21"/>
                <w:highlight w:val="none"/>
              </w:rPr>
              <w:t>专项维保培训至少</w:t>
            </w:r>
            <w:r>
              <w:rPr>
                <w:rFonts w:hint="eastAsia" w:ascii="宋体" w:hAnsi="宋体" w:cs="宋体"/>
                <w:color w:val="auto"/>
                <w:spacing w:val="8"/>
                <w:szCs w:val="21"/>
                <w:highlight w:val="none"/>
                <w:u w:val="single"/>
              </w:rPr>
              <w:t>2</w:t>
            </w:r>
            <w:r>
              <w:rPr>
                <w:rFonts w:hint="eastAsia" w:ascii="宋体" w:hAnsi="宋体" w:cs="宋体"/>
                <w:color w:val="auto"/>
                <w:spacing w:val="8"/>
                <w:szCs w:val="21"/>
                <w:highlight w:val="none"/>
              </w:rPr>
              <w:t>人次</w:t>
            </w:r>
            <w:r>
              <w:rPr>
                <w:rFonts w:hint="eastAsia" w:ascii="宋体" w:hAnsi="宋体" w:cs="宋体"/>
                <w:color w:val="auto"/>
                <w:szCs w:val="21"/>
                <w:highlight w:val="none"/>
              </w:rPr>
              <w:t>），保证操作人员能正常操作设备的各种功能；若设备自带软件，则在保修期内提供升级服务（采购人不再另行支付费用）。</w:t>
            </w:r>
          </w:p>
          <w:p w14:paraId="1A8872E9">
            <w:pPr>
              <w:spacing w:line="360" w:lineRule="exact"/>
              <w:jc w:val="left"/>
              <w:rPr>
                <w:rFonts w:ascii="宋体" w:hAnsi="宋体" w:cs="宋体"/>
                <w:color w:val="auto"/>
                <w:highlight w:val="none"/>
              </w:rPr>
            </w:pPr>
            <w:r>
              <w:rPr>
                <w:rFonts w:hint="eastAsia" w:ascii="宋体" w:hAnsi="宋体" w:cs="宋体"/>
                <w:color w:val="auto"/>
                <w:szCs w:val="21"/>
                <w:highlight w:val="none"/>
              </w:rPr>
              <w:t>3.保修期内仪器设备出现故障，在接到</w:t>
            </w:r>
            <w:r>
              <w:rPr>
                <w:rFonts w:hint="eastAsia" w:ascii="宋体" w:hAnsi="宋体" w:cs="宋体"/>
                <w:color w:val="auto"/>
                <w:highlight w:val="none"/>
              </w:rPr>
              <w:t>电话通知后，2小时内做出响应，24小时内到达维修现场。一般问题应在48小时内解决。重大问题或</w:t>
            </w:r>
            <w:r>
              <w:rPr>
                <w:rFonts w:hint="eastAsia" w:ascii="宋体" w:hAnsi="宋体" w:cs="宋体"/>
                <w:color w:val="auto"/>
                <w:highlight w:val="none"/>
                <w:lang w:eastAsia="zh-CN"/>
              </w:rPr>
              <w:t>其他</w:t>
            </w:r>
            <w:r>
              <w:rPr>
                <w:rFonts w:hint="eastAsia" w:ascii="宋体" w:hAnsi="宋体" w:cs="宋体"/>
                <w:color w:val="auto"/>
                <w:highlight w:val="none"/>
              </w:rPr>
              <w:t>无法迅速解决的问题应在一周内解决。</w:t>
            </w:r>
          </w:p>
          <w:p w14:paraId="0122C0CB">
            <w:pPr>
              <w:spacing w:line="360" w:lineRule="exact"/>
              <w:jc w:val="left"/>
              <w:rPr>
                <w:rFonts w:ascii="宋体" w:hAnsi="宋体" w:cs="宋体"/>
                <w:color w:val="auto"/>
                <w:highlight w:val="none"/>
              </w:rPr>
            </w:pPr>
            <w:r>
              <w:rPr>
                <w:rFonts w:hint="eastAsia" w:ascii="宋体" w:hAnsi="宋体" w:cs="宋体"/>
                <w:color w:val="auto"/>
                <w:highlight w:val="none"/>
              </w:rPr>
              <w:t>4.提供每半年一次定期回访以及对设备维护服务。</w:t>
            </w:r>
          </w:p>
          <w:p w14:paraId="1F4B7F01">
            <w:pPr>
              <w:spacing w:line="360" w:lineRule="exact"/>
              <w:rPr>
                <w:rFonts w:ascii="Arial" w:hAnsi="Arial" w:cs="Arial"/>
                <w:color w:val="auto"/>
                <w:kern w:val="0"/>
                <w:szCs w:val="21"/>
                <w:highlight w:val="none"/>
              </w:rPr>
            </w:pPr>
            <w:r>
              <w:rPr>
                <w:rFonts w:hint="eastAsia" w:ascii="宋体" w:hAnsi="宋体" w:cs="宋体"/>
                <w:color w:val="auto"/>
                <w:kern w:val="0"/>
                <w:szCs w:val="21"/>
                <w:highlight w:val="none"/>
              </w:rPr>
              <w:t>5.本项目为交钥匙项目。在保修期内，投标人必须保证采购人能够合法应用该器械，并办理相关证</w:t>
            </w:r>
            <w:r>
              <w:rPr>
                <w:rFonts w:ascii="Arial" w:hAnsi="Arial" w:cs="Arial"/>
                <w:color w:val="auto"/>
                <w:kern w:val="0"/>
                <w:szCs w:val="21"/>
                <w:highlight w:val="none"/>
              </w:rPr>
              <w:t>件、手续</w:t>
            </w:r>
            <w:r>
              <w:rPr>
                <w:rFonts w:hint="eastAsia" w:ascii="Arial" w:hAnsi="Arial" w:cs="Arial"/>
                <w:color w:val="auto"/>
                <w:kern w:val="0"/>
                <w:szCs w:val="21"/>
                <w:highlight w:val="none"/>
              </w:rPr>
              <w:t>，</w:t>
            </w:r>
            <w:r>
              <w:rPr>
                <w:rFonts w:ascii="Arial" w:hAnsi="Arial" w:cs="Arial"/>
                <w:color w:val="auto"/>
                <w:kern w:val="0"/>
                <w:szCs w:val="21"/>
                <w:highlight w:val="none"/>
              </w:rPr>
              <w:t>产生的费用包含在合同/协议价格中。在此过程中</w:t>
            </w:r>
            <w:r>
              <w:rPr>
                <w:rFonts w:hint="eastAsia" w:ascii="Arial" w:hAnsi="Arial" w:cs="Arial"/>
                <w:color w:val="auto"/>
                <w:kern w:val="0"/>
                <w:szCs w:val="21"/>
                <w:highlight w:val="none"/>
              </w:rPr>
              <w:t>，采购人</w:t>
            </w:r>
            <w:r>
              <w:rPr>
                <w:rFonts w:ascii="Arial" w:hAnsi="Arial" w:cs="Arial"/>
                <w:color w:val="auto"/>
                <w:kern w:val="0"/>
                <w:szCs w:val="21"/>
                <w:highlight w:val="none"/>
              </w:rPr>
              <w:t>应当提供必要支持。若可能出现的后续证件、手续</w:t>
            </w:r>
            <w:r>
              <w:rPr>
                <w:rFonts w:hint="eastAsia" w:ascii="Arial" w:hAnsi="Arial" w:cs="Arial"/>
                <w:color w:val="auto"/>
                <w:kern w:val="0"/>
                <w:szCs w:val="21"/>
                <w:highlight w:val="none"/>
              </w:rPr>
              <w:t>，投标人</w:t>
            </w:r>
            <w:r>
              <w:rPr>
                <w:rFonts w:ascii="Arial" w:hAnsi="Arial" w:cs="Arial"/>
                <w:color w:val="auto"/>
                <w:kern w:val="0"/>
                <w:szCs w:val="21"/>
                <w:highlight w:val="none"/>
              </w:rPr>
              <w:t>必须提供办理的流程及方法。</w:t>
            </w:r>
          </w:p>
          <w:p w14:paraId="4952C660">
            <w:pPr>
              <w:spacing w:line="360" w:lineRule="exact"/>
              <w:jc w:val="left"/>
              <w:rPr>
                <w:rFonts w:ascii="宋体" w:hAnsi="宋体" w:cs="宋体"/>
                <w:color w:val="auto"/>
                <w:highlight w:val="none"/>
              </w:rPr>
            </w:pPr>
            <w:r>
              <w:rPr>
                <w:rFonts w:hint="eastAsia" w:ascii="宋体" w:hAnsi="宋体" w:cs="宋体"/>
                <w:color w:val="auto"/>
                <w:highlight w:val="none"/>
              </w:rPr>
              <w:t>6.易损零配件和专机专用试剂耗材价格表：本项目签订合同时，应附易损零配件和专机专用试剂耗材价格表。</w:t>
            </w:r>
          </w:p>
          <w:p w14:paraId="1BFC7D2B">
            <w:pPr>
              <w:spacing w:line="360" w:lineRule="exact"/>
              <w:jc w:val="left"/>
              <w:rPr>
                <w:rFonts w:ascii="宋体" w:hAnsi="宋体" w:cs="宋体"/>
                <w:color w:val="auto"/>
                <w:highlight w:val="none"/>
              </w:rPr>
            </w:pPr>
            <w:r>
              <w:rPr>
                <w:rFonts w:hint="eastAsia" w:ascii="宋体" w:hAnsi="宋体" w:cs="宋体"/>
                <w:color w:val="auto"/>
                <w:highlight w:val="none"/>
              </w:rPr>
              <w:t>7.维修技术支持：投标人一次性提供维护手册、维修手册、软件备份、故障代码表、备件清单等维护维修必需的材料和信息，否则不予验收。保修期外，提供维修密码及软件在该项目中的使用权，按合同约定价格提供零部件，以及快速响应的技术支持。保修期外，如在使用过程中发生质量问题，投标人在接到采购人通知后在24小时/天内到达采购人现场处理。以上涉及的费用均包含在投标报价中，采购人不再另行支付。</w:t>
            </w:r>
          </w:p>
          <w:p w14:paraId="001757ED">
            <w:pPr>
              <w:spacing w:line="360" w:lineRule="exact"/>
              <w:jc w:val="left"/>
              <w:rPr>
                <w:rFonts w:ascii="宋体" w:hAnsi="宋体" w:cs="宋体"/>
                <w:color w:val="auto"/>
                <w:highlight w:val="none"/>
              </w:rPr>
            </w:pPr>
            <w:r>
              <w:rPr>
                <w:rFonts w:hint="eastAsia" w:ascii="宋体" w:hAnsi="宋体" w:cs="宋体"/>
                <w:color w:val="auto"/>
                <w:highlight w:val="none"/>
              </w:rPr>
              <w:t>8.投标人应保证采购人获得合同约定范围内所有软件功能，终身单机软件使用权。不得限制硬件配件采购，并在采购人自主更换配件后，帮助采购人恢复原有的软件及系统，使采购人能够正常使用该器械/设备、项目。以上涉及的费用均包含在投标报价中，采购人不再另行支付。</w:t>
            </w:r>
          </w:p>
          <w:p w14:paraId="1EF25ED6">
            <w:pPr>
              <w:spacing w:line="360" w:lineRule="exact"/>
              <w:jc w:val="left"/>
              <w:rPr>
                <w:rFonts w:ascii="宋体" w:hAnsi="宋体" w:cs="宋体"/>
                <w:color w:val="auto"/>
                <w:highlight w:val="none"/>
              </w:rPr>
            </w:pPr>
            <w:r>
              <w:rPr>
                <w:rFonts w:hint="eastAsia" w:ascii="宋体" w:hAnsi="宋体" w:cs="宋体"/>
                <w:color w:val="auto"/>
                <w:highlight w:val="none"/>
              </w:rPr>
              <w:t>9.投标人承诺保修期内，按国家相关规定，执行保养及预防性维护，并提供报告。</w:t>
            </w:r>
          </w:p>
          <w:p w14:paraId="1AF2C3E4">
            <w:pPr>
              <w:spacing w:line="360" w:lineRule="exact"/>
              <w:jc w:val="left"/>
              <w:rPr>
                <w:rFonts w:ascii="宋体" w:hAnsi="宋体" w:cs="宋体"/>
                <w:color w:val="auto"/>
                <w:highlight w:val="none"/>
              </w:rPr>
            </w:pPr>
            <w:r>
              <w:rPr>
                <w:rFonts w:hint="eastAsia" w:ascii="宋体" w:hAnsi="宋体" w:cs="宋体"/>
                <w:color w:val="auto"/>
                <w:highlight w:val="none"/>
              </w:rPr>
              <w:t>10.在设备规定的使用期限内，投标人必须保证配件供应。并承诺过保修期后的维修及配件更换不需预付款，按照医院正常付款流程办理。</w:t>
            </w:r>
          </w:p>
          <w:p w14:paraId="7B3F0BC0">
            <w:pPr>
              <w:spacing w:line="360" w:lineRule="exact"/>
              <w:jc w:val="left"/>
              <w:rPr>
                <w:color w:val="auto"/>
                <w:highlight w:val="none"/>
              </w:rPr>
            </w:pPr>
            <w:r>
              <w:rPr>
                <w:rFonts w:hint="eastAsia" w:ascii="宋体" w:hAnsi="宋体" w:cs="宋体"/>
                <w:color w:val="auto"/>
                <w:highlight w:val="none"/>
              </w:rPr>
              <w:t>11.保修期外维修应同样提供不收取费用的咨询服务，需上门维修的不收取维修费，仅收取材料费。</w:t>
            </w:r>
          </w:p>
        </w:tc>
      </w:tr>
      <w:tr w14:paraId="3C8D99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57750CEE">
            <w:pPr>
              <w:adjustRightInd w:val="0"/>
              <w:snapToGrid w:val="0"/>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（二）合同签订时间</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5534AE3A">
            <w:pPr>
              <w:adjustRightInd w:val="0"/>
              <w:snapToGrid w:val="0"/>
              <w:spacing w:line="340" w:lineRule="exact"/>
              <w:rPr>
                <w:rFonts w:ascii="宋体" w:hAnsi="宋体" w:cs="宋体"/>
                <w:b/>
                <w:color w:val="auto"/>
                <w:szCs w:val="21"/>
                <w:highlight w:val="none"/>
              </w:rPr>
            </w:pPr>
            <w:r>
              <w:rPr>
                <w:rFonts w:hint="eastAsia" w:ascii="宋体" w:hAnsi="宋体" w:cs="宋体"/>
                <w:b/>
                <w:color w:val="auto"/>
                <w:szCs w:val="21"/>
                <w:highlight w:val="none"/>
              </w:rPr>
              <w:t>自中标通知书发出之日起 25日内签订采购合同。</w:t>
            </w:r>
          </w:p>
        </w:tc>
      </w:tr>
      <w:tr w14:paraId="6DE4B2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399BE829">
            <w:pPr>
              <w:adjustRightInd w:val="0"/>
              <w:snapToGrid w:val="0"/>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（三）交付时间和地点</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2405FC75">
            <w:pPr>
              <w:spacing w:line="340" w:lineRule="exact"/>
              <w:rPr>
                <w:rFonts w:ascii="宋体" w:hAnsi="宋体" w:cs="宋体"/>
                <w:b/>
                <w:color w:val="auto"/>
                <w:szCs w:val="21"/>
                <w:highlight w:val="none"/>
              </w:rPr>
            </w:pPr>
            <w:r>
              <w:rPr>
                <w:rFonts w:hint="eastAsia" w:ascii="宋体" w:hAnsi="宋体" w:cs="宋体"/>
                <w:b/>
                <w:color w:val="auto"/>
                <w:szCs w:val="21"/>
                <w:highlight w:val="none"/>
              </w:rPr>
              <w:t>1.交付时间：</w:t>
            </w:r>
            <w:r>
              <w:rPr>
                <w:rFonts w:hint="eastAsia" w:ascii="宋体" w:hAnsi="宋体" w:cs="宋体"/>
                <w:color w:val="auto"/>
                <w:highlight w:val="none"/>
              </w:rPr>
              <w:t>合同签订，</w:t>
            </w:r>
            <w:r>
              <w:rPr>
                <w:rFonts w:hint="eastAsia" w:ascii="宋体" w:hAnsi="宋体" w:cs="宋体"/>
                <w:color w:val="auto"/>
                <w:highlight w:val="none"/>
                <w:lang w:eastAsia="zh-CN"/>
              </w:rPr>
              <w:t>接到采购人供货通知</w:t>
            </w:r>
            <w:r>
              <w:rPr>
                <w:rFonts w:hint="eastAsia" w:ascii="宋体" w:hAnsi="宋体" w:cs="宋体"/>
                <w:color w:val="auto"/>
                <w:highlight w:val="none"/>
              </w:rPr>
              <w:t>后</w:t>
            </w:r>
            <w:r>
              <w:rPr>
                <w:rFonts w:hint="eastAsia" w:ascii="宋体" w:hAnsi="宋体" w:cs="宋体"/>
                <w:color w:val="auto"/>
                <w:highlight w:val="none"/>
                <w:u w:val="single"/>
              </w:rPr>
              <w:t>60</w:t>
            </w:r>
            <w:r>
              <w:rPr>
                <w:rFonts w:hint="eastAsia" w:ascii="宋体" w:hAnsi="宋体" w:cs="宋体"/>
                <w:color w:val="auto"/>
                <w:highlight w:val="none"/>
              </w:rPr>
              <w:t>个工作日内到货并安装调试完毕，达到正常使用状态</w:t>
            </w:r>
            <w:r>
              <w:rPr>
                <w:rFonts w:hint="eastAsia" w:hAnsi="宋体"/>
                <w:color w:val="auto"/>
                <w:szCs w:val="21"/>
                <w:highlight w:val="none"/>
              </w:rPr>
              <w:t>。</w:t>
            </w:r>
          </w:p>
          <w:p w14:paraId="07E64249">
            <w:pPr>
              <w:adjustRightInd w:val="0"/>
              <w:snapToGrid w:val="0"/>
              <w:spacing w:line="340" w:lineRule="exact"/>
              <w:rPr>
                <w:rFonts w:ascii="宋体" w:hAnsi="宋体" w:cs="宋体"/>
                <w:b/>
                <w:color w:val="auto"/>
                <w:szCs w:val="21"/>
                <w:highlight w:val="none"/>
              </w:rPr>
            </w:pPr>
            <w:r>
              <w:rPr>
                <w:rFonts w:hint="eastAsia" w:ascii="宋体" w:hAnsi="宋体" w:cs="宋体"/>
                <w:b/>
                <w:color w:val="auto"/>
                <w:szCs w:val="21"/>
                <w:highlight w:val="none"/>
              </w:rPr>
              <w:t>2.交付地点：</w:t>
            </w:r>
            <w:r>
              <w:rPr>
                <w:rFonts w:hint="eastAsia" w:ascii="宋体" w:hAnsi="宋体" w:cs="宋体"/>
                <w:bCs/>
                <w:color w:val="auto"/>
                <w:szCs w:val="21"/>
                <w:highlight w:val="none"/>
              </w:rPr>
              <w:t>广西桂林市采购人医院内指定地点。</w:t>
            </w:r>
          </w:p>
        </w:tc>
      </w:tr>
      <w:tr w14:paraId="091A79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23703566">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（四）付款方式</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7E545989">
            <w:pPr>
              <w:spacing w:line="400" w:lineRule="exact"/>
              <w:rPr>
                <w:rFonts w:ascii="宋体" w:hAnsi="宋体" w:cs="宋体"/>
                <w:color w:val="auto"/>
                <w:szCs w:val="21"/>
                <w:highlight w:val="none"/>
              </w:rPr>
            </w:pPr>
            <w:r>
              <w:rPr>
                <w:rFonts w:hint="eastAsia" w:ascii="宋体" w:hAnsi="宋体" w:cs="宋体"/>
                <w:color w:val="auto"/>
                <w:szCs w:val="21"/>
                <w:highlight w:val="none"/>
              </w:rPr>
              <w:t>1.本仪器设备验收合格后，中标人开具全额税务发票，采购人在收到发票后转账支付合同款的95%（无息），可采用汇票、云信、供应链、信用证等付款方式。合同款的5%在设备验收合格满1年后的三个月内转账支付（无息）。采购人付款前，中标人未按上述要求开具符合采购人要求的正规财务票据的，采购人有权暂缓或拒付款项且不构成违约。</w:t>
            </w:r>
          </w:p>
          <w:p w14:paraId="7D928737">
            <w:pPr>
              <w:spacing w:line="340" w:lineRule="exact"/>
              <w:rPr>
                <w:rFonts w:ascii="宋体" w:hAnsi="宋体" w:cs="宋体"/>
                <w:color w:val="auto"/>
                <w:szCs w:val="21"/>
                <w:highlight w:val="none"/>
              </w:rPr>
            </w:pPr>
            <w:r>
              <w:rPr>
                <w:rFonts w:hint="eastAsia" w:ascii="宋体" w:hAnsi="宋体" w:cs="宋体"/>
                <w:color w:val="auto"/>
                <w:szCs w:val="21"/>
                <w:highlight w:val="none"/>
              </w:rPr>
              <w:t>2.票据要求：中标人必须按照采购人要求提供真实、有效、合法的正式税务发票。一旦发现中标人提供虚假税务发票，除须向采购人补开合法的税务发票外，须赔偿采购人发票票面金额一倍的违约金，且采购人有权终止合同，中标人不得提出异议，因终止合同而产生的一切损失均由中标人承担。</w:t>
            </w:r>
          </w:p>
        </w:tc>
      </w:tr>
      <w:tr w14:paraId="1BCCDB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4600E7C1">
            <w:pPr>
              <w:adjustRightInd w:val="0"/>
              <w:snapToGrid w:val="0"/>
              <w:spacing w:line="360" w:lineRule="exact"/>
              <w:jc w:val="center"/>
              <w:rPr>
                <w:rFonts w:ascii="宋体" w:hAnsi="宋体" w:cs="宋体"/>
                <w:b/>
                <w:bCs/>
                <w:color w:val="auto"/>
                <w:kern w:val="0"/>
                <w:szCs w:val="21"/>
                <w:highlight w:val="none"/>
              </w:rPr>
            </w:pPr>
            <w:r>
              <w:rPr>
                <w:rFonts w:hint="eastAsia" w:ascii="宋体" w:hAnsi="宋体" w:cs="宋体"/>
                <w:b/>
                <w:color w:val="auto"/>
                <w:szCs w:val="21"/>
                <w:highlight w:val="none"/>
              </w:rPr>
              <w:t>（五）包装和运输</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751F3B34">
            <w:pPr>
              <w:adjustRightInd w:val="0"/>
              <w:snapToGrid w:val="0"/>
              <w:spacing w:line="34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1.中标人应在货物发运前对其进行满足于运输距离、防潮、防震、防锈和防破损装卸要求的包装，以保证货物安全无损的运输到达采购人指定地点。</w:t>
            </w:r>
          </w:p>
          <w:p w14:paraId="0C1F2D8D">
            <w:pPr>
              <w:adjustRightInd w:val="0"/>
              <w:snapToGrid w:val="0"/>
              <w:spacing w:line="34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2.使用说明书、质量检验证明书、随配附件和工具以及配置清单等一并附于货物内交付采购人。</w:t>
            </w:r>
          </w:p>
          <w:p w14:paraId="06022B67">
            <w:pPr>
              <w:adjustRightInd w:val="0"/>
              <w:snapToGrid w:val="0"/>
              <w:spacing w:line="34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3.中标人负责将货物安全运送到采购人指定地点，并负责清理回收采购人抛弃的相关大件包装， 不另收任何费用。货到采购人前48小时，由中标人通知采购人，但在验收前采购人原则上不负责接收货物。</w:t>
            </w:r>
          </w:p>
        </w:tc>
      </w:tr>
      <w:tr w14:paraId="464DD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3355E2DB">
            <w:pPr>
              <w:adjustRightInd w:val="0"/>
              <w:snapToGrid w:val="0"/>
              <w:spacing w:line="360" w:lineRule="exact"/>
              <w:jc w:val="center"/>
              <w:rPr>
                <w:rFonts w:ascii="宋体" w:hAnsi="宋体" w:cs="宋体"/>
                <w:b/>
                <w:bCs/>
                <w:color w:val="auto"/>
                <w:kern w:val="0"/>
                <w:szCs w:val="21"/>
                <w:highlight w:val="none"/>
              </w:rPr>
            </w:pPr>
            <w:r>
              <w:rPr>
                <w:rFonts w:hint="eastAsia" w:ascii="宋体" w:hAnsi="宋体" w:cs="宋体"/>
                <w:b/>
                <w:color w:val="auto"/>
                <w:szCs w:val="21"/>
                <w:highlight w:val="none"/>
              </w:rPr>
              <w:t>（六）保险</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4D7E6094">
            <w:pPr>
              <w:adjustRightInd w:val="0"/>
              <w:snapToGrid w:val="0"/>
              <w:spacing w:line="340" w:lineRule="exact"/>
              <w:rPr>
                <w:rFonts w:ascii="宋体" w:hAnsi="宋体" w:cs="宋体"/>
                <w:b/>
                <w:color w:val="auto"/>
                <w:szCs w:val="21"/>
                <w:highlight w:val="none"/>
              </w:rPr>
            </w:pPr>
            <w:r>
              <w:rPr>
                <w:rFonts w:hint="eastAsia" w:ascii="宋体" w:hAnsi="宋体" w:cs="宋体"/>
                <w:b/>
                <w:bCs/>
                <w:color w:val="auto"/>
                <w:kern w:val="0"/>
                <w:szCs w:val="21"/>
                <w:highlight w:val="none"/>
              </w:rPr>
              <w:t>若投标人为本项目标的及标的涉及的相关材料、设备、人员、运输等购买保险的，相关费用由投标人自行承担。</w:t>
            </w:r>
          </w:p>
        </w:tc>
      </w:tr>
      <w:tr w14:paraId="52A243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5107C090">
            <w:pPr>
              <w:widowControl/>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（七）验收标准</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5E4244A1">
            <w:pPr>
              <w:spacing w:line="340" w:lineRule="exact"/>
              <w:jc w:val="left"/>
              <w:rPr>
                <w:rFonts w:ascii="宋体" w:hAnsi="宋体" w:cs="宋体"/>
                <w:b/>
                <w:color w:val="auto"/>
                <w:szCs w:val="21"/>
                <w:highlight w:val="none"/>
              </w:rPr>
            </w:pPr>
            <w:r>
              <w:rPr>
                <w:rFonts w:hint="eastAsia" w:ascii="宋体" w:hAnsi="宋体" w:cs="宋体"/>
                <w:b/>
                <w:color w:val="auto"/>
                <w:szCs w:val="21"/>
                <w:highlight w:val="none"/>
              </w:rPr>
              <w:t>1.中标人交货前应对产品作出全面检查和对验收文件进行整理列出清单，作为采购人收货验收和使用的技术条件依据，检验的结果应随货物交采购人。</w:t>
            </w:r>
          </w:p>
          <w:p w14:paraId="0B2D9EEC">
            <w:pPr>
              <w:spacing w:line="340" w:lineRule="exact"/>
              <w:jc w:val="left"/>
              <w:rPr>
                <w:rFonts w:ascii="宋体" w:hAnsi="宋体" w:cs="宋体"/>
                <w:b/>
                <w:color w:val="auto"/>
                <w:szCs w:val="21"/>
                <w:highlight w:val="none"/>
              </w:rPr>
            </w:pPr>
            <w:r>
              <w:rPr>
                <w:rFonts w:hint="eastAsia" w:ascii="宋体" w:hAnsi="宋体" w:cs="宋体"/>
                <w:b/>
                <w:color w:val="auto"/>
                <w:szCs w:val="21"/>
                <w:highlight w:val="none"/>
              </w:rPr>
              <w:t>2.采购人对中标人所交货物依照国家有关标准，进行现场验收，性能达到技术要求的给予签收，验收不合格不予签收，后果由中标人负责。</w:t>
            </w:r>
          </w:p>
          <w:p w14:paraId="7D6335A8">
            <w:pPr>
              <w:adjustRightInd w:val="0"/>
              <w:snapToGrid w:val="0"/>
              <w:spacing w:line="340" w:lineRule="exact"/>
              <w:rPr>
                <w:rFonts w:ascii="宋体" w:hAnsi="宋体" w:cs="宋体"/>
                <w:color w:val="auto"/>
                <w:szCs w:val="21"/>
                <w:highlight w:val="none"/>
              </w:rPr>
            </w:pPr>
            <w:r>
              <w:rPr>
                <w:rFonts w:hint="eastAsia" w:ascii="宋体" w:hAnsi="宋体" w:cs="宋体"/>
                <w:b/>
                <w:color w:val="auto"/>
                <w:szCs w:val="21"/>
                <w:highlight w:val="none"/>
              </w:rPr>
              <w:t>3.中标人应在货到指定地点安装、调试完毕，确保正常使用，并及时配合采购人验收。</w:t>
            </w:r>
          </w:p>
        </w:tc>
      </w:tr>
      <w:tr w14:paraId="2AA873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692CD3E5">
            <w:pPr>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（八）知识产权</w:t>
            </w:r>
          </w:p>
        </w:tc>
        <w:tc>
          <w:tcPr>
            <w:tcW w:w="3266" w:type="pct"/>
            <w:gridSpan w:val="3"/>
            <w:tcBorders>
              <w:top w:val="single" w:color="auto" w:sz="4" w:space="0"/>
              <w:left w:val="single" w:color="auto" w:sz="4" w:space="0"/>
              <w:bottom w:val="single" w:color="auto" w:sz="4" w:space="0"/>
              <w:right w:val="single" w:color="auto" w:sz="4" w:space="0"/>
            </w:tcBorders>
          </w:tcPr>
          <w:p w14:paraId="5C34B11A">
            <w:pPr>
              <w:snapToGrid w:val="0"/>
              <w:spacing w:line="340" w:lineRule="exact"/>
              <w:rPr>
                <w:rFonts w:ascii="宋体" w:hAnsi="宋体" w:cs="宋体"/>
                <w:b/>
                <w:color w:val="auto"/>
                <w:szCs w:val="21"/>
                <w:highlight w:val="none"/>
              </w:rPr>
            </w:pPr>
            <w:r>
              <w:rPr>
                <w:rFonts w:hint="eastAsia" w:ascii="宋体" w:hAnsi="宋体" w:cs="宋体"/>
                <w:b/>
                <w:color w:val="auto"/>
                <w:szCs w:val="21"/>
                <w:highlight w:val="none"/>
              </w:rPr>
              <w:t>1.采购人在履行合同过程中提供给中标人的全部文件和其他含有数据和信息的资料，其知识产权属于采购人。</w:t>
            </w:r>
          </w:p>
          <w:p w14:paraId="2848818C">
            <w:pPr>
              <w:snapToGrid w:val="0"/>
              <w:spacing w:line="340" w:lineRule="exact"/>
              <w:rPr>
                <w:rFonts w:ascii="宋体" w:hAnsi="宋体" w:cs="宋体"/>
                <w:b/>
                <w:color w:val="auto"/>
                <w:szCs w:val="21"/>
                <w:highlight w:val="none"/>
              </w:rPr>
            </w:pPr>
            <w:r>
              <w:rPr>
                <w:rFonts w:hint="eastAsia" w:ascii="宋体" w:hAnsi="宋体" w:cs="宋体"/>
                <w:b/>
                <w:color w:val="auto"/>
                <w:szCs w:val="21"/>
                <w:highlight w:val="none"/>
              </w:rPr>
              <w:t>2.除招标文件采购需求另有约定外，采购人不因签署和履行合同而享有中标人在履行合同过程中提供给采购人的文件、配套软件、电子辅助程序和其他含有数据和信息的资料的知识产权。</w:t>
            </w:r>
          </w:p>
          <w:p w14:paraId="488DF5FC">
            <w:pPr>
              <w:spacing w:line="340" w:lineRule="exact"/>
              <w:jc w:val="left"/>
              <w:rPr>
                <w:rFonts w:ascii="宋体" w:hAnsi="宋体" w:cs="宋体"/>
                <w:color w:val="auto"/>
                <w:szCs w:val="21"/>
                <w:highlight w:val="none"/>
              </w:rPr>
            </w:pPr>
            <w:r>
              <w:rPr>
                <w:rFonts w:hint="eastAsia" w:ascii="宋体" w:hAnsi="宋体" w:cs="宋体"/>
                <w:b/>
                <w:color w:val="auto"/>
                <w:szCs w:val="21"/>
                <w:highlight w:val="none"/>
              </w:rPr>
              <w:t>3.中标人应保证所提供货物在使用时不会侵犯任何第三方的知识产权或者其他权利。如合同货物涉及知识产权，则中标人保证采购人在使用合同货物过程中免于受到第三方提出的有关知识产权侵权的主张、索赔或诉讼的伤害。</w:t>
            </w:r>
          </w:p>
        </w:tc>
      </w:tr>
      <w:tr w14:paraId="7E12CF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01249C3B">
            <w:pPr>
              <w:keepNext w:val="0"/>
              <w:keepLines w:val="0"/>
              <w:pageBreakBefore w:val="0"/>
              <w:widowControl w:val="0"/>
              <w:kinsoku/>
              <w:wordWrap/>
              <w:overflowPunct/>
              <w:topLinePunct w:val="0"/>
              <w:autoSpaceDE/>
              <w:autoSpaceDN/>
              <w:bidi w:val="0"/>
              <w:spacing w:line="320" w:lineRule="exact"/>
              <w:jc w:val="center"/>
              <w:textAlignment w:val="auto"/>
              <w:rPr>
                <w:rFonts w:ascii="宋体" w:hAnsi="宋体" w:cs="宋体"/>
                <w:b/>
                <w:color w:val="auto"/>
                <w:szCs w:val="21"/>
                <w:highlight w:val="none"/>
              </w:rPr>
            </w:pPr>
            <w:r>
              <w:rPr>
                <w:rFonts w:hint="eastAsia" w:ascii="宋体" w:hAnsi="宋体" w:cs="宋体"/>
                <w:b/>
                <w:color w:val="auto"/>
                <w:szCs w:val="21"/>
                <w:highlight w:val="none"/>
              </w:rPr>
              <w:t>（九）违约责任</w:t>
            </w:r>
          </w:p>
        </w:tc>
        <w:tc>
          <w:tcPr>
            <w:tcW w:w="3266" w:type="pct"/>
            <w:gridSpan w:val="3"/>
            <w:tcBorders>
              <w:top w:val="single" w:color="auto" w:sz="4" w:space="0"/>
              <w:left w:val="single" w:color="auto" w:sz="4" w:space="0"/>
              <w:bottom w:val="single" w:color="auto" w:sz="4" w:space="0"/>
              <w:right w:val="single" w:color="auto" w:sz="4" w:space="0"/>
            </w:tcBorders>
          </w:tcPr>
          <w:p w14:paraId="29CC7E73">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宋体"/>
                <w:b/>
                <w:color w:val="auto"/>
                <w:szCs w:val="21"/>
                <w:highlight w:val="none"/>
              </w:rPr>
            </w:pPr>
            <w:r>
              <w:rPr>
                <w:rFonts w:hint="eastAsia" w:ascii="宋体" w:hAnsi="宋体" w:cs="宋体"/>
                <w:b/>
                <w:color w:val="auto"/>
                <w:szCs w:val="21"/>
                <w:highlight w:val="none"/>
              </w:rPr>
              <w:t>1.保修期内，如在使用过程中发生质量问题，中标人在接到采购人通知后按承诺的时间内到达采购人现场处理。中标人未在承诺时间内到达处理，每次需按照该设备中标金额的1%支付违约金，违约金总金额不超过该设备总金额的5%，扣款直接以留存的5%合同价款抵扣，不足抵扣的，中标人须承担补足责任。否则中标人需按合同总金额的30%向采购人支付违约金并承担相应的法律责任。</w:t>
            </w:r>
          </w:p>
          <w:p w14:paraId="1C97B88A">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宋体"/>
                <w:b/>
                <w:color w:val="auto"/>
                <w:szCs w:val="21"/>
                <w:highlight w:val="none"/>
              </w:rPr>
            </w:pPr>
            <w:r>
              <w:rPr>
                <w:rFonts w:hint="eastAsia" w:ascii="宋体" w:hAnsi="宋体" w:cs="宋体"/>
                <w:b/>
                <w:color w:val="auto"/>
                <w:szCs w:val="21"/>
                <w:highlight w:val="none"/>
              </w:rPr>
              <w:t>2.中标人无正当理由拒收的，违约方每天按合同标的0.3%支付违约金。</w:t>
            </w:r>
          </w:p>
          <w:p w14:paraId="60281EB1">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宋体"/>
                <w:b/>
                <w:color w:val="auto"/>
                <w:szCs w:val="21"/>
                <w:highlight w:val="none"/>
              </w:rPr>
            </w:pPr>
            <w:r>
              <w:rPr>
                <w:rFonts w:hint="eastAsia" w:ascii="宋体" w:hAnsi="宋体" w:cs="宋体"/>
                <w:b/>
                <w:color w:val="auto"/>
                <w:szCs w:val="21"/>
                <w:highlight w:val="none"/>
              </w:rPr>
              <w:t>3.中标人逾期交付货物的，每逾期一日应支付违约金1000元，中标人逾期超过7天仍不能交货的,采购人有权单方面终止合同，中标人应按合同总金额的30%向采购人支付违约金，造成采购人损失的，由中标人负责赔偿，赔偿范围包括但不限于直接损失、逾期损失、以及维权产生的相关费用。</w:t>
            </w:r>
          </w:p>
          <w:p w14:paraId="5B341F19">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宋体"/>
                <w:b/>
                <w:color w:val="auto"/>
                <w:szCs w:val="21"/>
                <w:highlight w:val="none"/>
              </w:rPr>
            </w:pPr>
            <w:r>
              <w:rPr>
                <w:rFonts w:hint="eastAsia" w:ascii="宋体" w:hAnsi="宋体" w:cs="宋体"/>
                <w:b/>
                <w:color w:val="auto"/>
                <w:szCs w:val="21"/>
                <w:highlight w:val="none"/>
              </w:rPr>
              <w:t>4.中标人货物不符合约定及采购人要求的，须无条件免费予以更换或弥补，由此导致的逾期交付责任由中标人承担；中标人拒绝更换或弥补，更换三次仍不能达到采购人要求的，采购人有权解除合同，中标人应按合同总金额的30%向采购人支付违约金并赔偿采购人全部损失</w:t>
            </w:r>
          </w:p>
          <w:p w14:paraId="0C07A144">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宋体"/>
                <w:b/>
                <w:color w:val="auto"/>
                <w:szCs w:val="21"/>
                <w:highlight w:val="none"/>
              </w:rPr>
            </w:pPr>
            <w:r>
              <w:rPr>
                <w:rFonts w:hint="eastAsia" w:ascii="宋体" w:hAnsi="宋体" w:cs="宋体"/>
                <w:b/>
                <w:color w:val="auto"/>
                <w:szCs w:val="21"/>
                <w:highlight w:val="none"/>
              </w:rPr>
              <w:t>5.中标人未按约定履行售后服务或维保责任的，每发生一次应向采购人支付违约金1000元，采购人有权自行或委托第三方进行维保，由此产生的全部费用由中标人承担。</w:t>
            </w:r>
          </w:p>
          <w:p w14:paraId="0BEF5DDF">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b/>
                <w:color w:val="auto"/>
                <w:szCs w:val="21"/>
                <w:highlight w:val="none"/>
              </w:rPr>
            </w:pPr>
            <w:r>
              <w:rPr>
                <w:rFonts w:hint="eastAsia" w:ascii="宋体" w:hAnsi="宋体" w:cs="宋体"/>
                <w:b/>
                <w:color w:val="auto"/>
                <w:szCs w:val="21"/>
                <w:highlight w:val="none"/>
              </w:rPr>
              <w:t>6.中标人提供的投标文件如有虚假，视为中标人根本性违约，采购人有权单方面解除合同，并追究中标人相关法律责任。</w:t>
            </w:r>
          </w:p>
        </w:tc>
      </w:tr>
      <w:tr w14:paraId="36F104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114524D9">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cs="宋体"/>
                <w:b/>
                <w:color w:val="auto"/>
                <w:szCs w:val="21"/>
                <w:highlight w:val="none"/>
              </w:rPr>
            </w:pPr>
            <w:r>
              <w:rPr>
                <w:rFonts w:hint="eastAsia" w:ascii="宋体" w:hAnsi="宋体" w:cs="宋体"/>
                <w:b/>
                <w:color w:val="auto"/>
                <w:kern w:val="0"/>
                <w:szCs w:val="21"/>
                <w:highlight w:val="none"/>
              </w:rPr>
              <w:t>（十）医疗器械管理相应有效证明材料</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03E51AEA">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ascii="宋体" w:hAnsi="宋体" w:cs="宋体"/>
                <w:b/>
                <w:color w:val="auto"/>
                <w:szCs w:val="21"/>
                <w:highlight w:val="none"/>
              </w:rPr>
            </w:pPr>
            <w:r>
              <w:rPr>
                <w:rFonts w:hint="eastAsia" w:ascii="宋体" w:hAnsi="宋体" w:cs="宋体"/>
                <w:b/>
                <w:color w:val="auto"/>
                <w:szCs w:val="21"/>
                <w:highlight w:val="none"/>
              </w:rPr>
              <w:t>投标人所投本分标产品如属第二类或第三类医疗器械管理的，必须具有相应有效的“医疗器械注册证”（投标人于投标文件中必须提供相应有效的医疗器械注册证复印件，加盖投标人电子签章）。</w:t>
            </w:r>
          </w:p>
        </w:tc>
      </w:tr>
      <w:tr w14:paraId="3EE408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648F9DFD">
            <w:pPr>
              <w:pStyle w:val="19"/>
              <w:keepNext w:val="0"/>
              <w:keepLines w:val="0"/>
              <w:pageBreakBefore w:val="0"/>
              <w:widowControl w:val="0"/>
              <w:kinsoku/>
              <w:wordWrap/>
              <w:overflowPunct/>
              <w:topLinePunct w:val="0"/>
              <w:autoSpaceDE/>
              <w:autoSpaceDN/>
              <w:bidi w:val="0"/>
              <w:spacing w:line="300" w:lineRule="exact"/>
              <w:jc w:val="center"/>
              <w:textAlignment w:val="auto"/>
              <w:rPr>
                <w:rFonts w:ascii="宋体" w:hAnsi="宋体" w:cs="宋体"/>
                <w:b/>
                <w:color w:val="auto"/>
                <w:kern w:val="2"/>
                <w:sz w:val="21"/>
                <w:szCs w:val="21"/>
                <w:highlight w:val="none"/>
              </w:rPr>
            </w:pPr>
            <w:r>
              <w:rPr>
                <w:rFonts w:hint="eastAsia" w:ascii="宋体" w:hAnsi="宋体" w:cs="宋体"/>
                <w:b/>
                <w:color w:val="auto"/>
                <w:sz w:val="21"/>
                <w:szCs w:val="21"/>
                <w:highlight w:val="none"/>
              </w:rPr>
              <w:t>（十一）进口产品说明</w:t>
            </w:r>
          </w:p>
        </w:tc>
        <w:tc>
          <w:tcPr>
            <w:tcW w:w="3266" w:type="pct"/>
            <w:gridSpan w:val="3"/>
            <w:tcBorders>
              <w:top w:val="single" w:color="auto" w:sz="4" w:space="0"/>
              <w:left w:val="single" w:color="auto" w:sz="4" w:space="0"/>
              <w:bottom w:val="single" w:color="auto" w:sz="4" w:space="0"/>
              <w:right w:val="single" w:color="auto" w:sz="4" w:space="0"/>
            </w:tcBorders>
          </w:tcPr>
          <w:p w14:paraId="720B7629">
            <w:pPr>
              <w:keepNext w:val="0"/>
              <w:keepLines w:val="0"/>
              <w:pageBreakBefore w:val="0"/>
              <w:widowControl w:val="0"/>
              <w:kinsoku/>
              <w:wordWrap/>
              <w:overflowPunct/>
              <w:topLinePunct w:val="0"/>
              <w:autoSpaceDE/>
              <w:autoSpaceDN/>
              <w:bidi w:val="0"/>
              <w:spacing w:line="300" w:lineRule="exact"/>
              <w:textAlignment w:val="auto"/>
              <w:rPr>
                <w:rFonts w:ascii="宋体" w:hAnsi="宋体" w:cs="宋体"/>
                <w:b/>
                <w:color w:val="auto"/>
                <w:szCs w:val="21"/>
                <w:highlight w:val="none"/>
              </w:rPr>
            </w:pPr>
            <w:r>
              <w:rPr>
                <w:rFonts w:hint="eastAsia" w:ascii="宋体" w:hAnsi="宋体" w:cs="宋体"/>
                <w:b/>
                <w:color w:val="auto"/>
                <w:szCs w:val="21"/>
                <w:highlight w:val="none"/>
              </w:rPr>
              <w:t>本分标货物不接受进口产品（即通过中国海关报关验放进入中国境内且产自关境外的产品）参与投标，如有进口产品参与投标的作无效标处理。</w:t>
            </w:r>
          </w:p>
        </w:tc>
      </w:tr>
      <w:tr w14:paraId="74ACF8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41C60A1B">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cs="宋体"/>
                <w:b/>
                <w:color w:val="auto"/>
                <w:szCs w:val="21"/>
                <w:highlight w:val="none"/>
              </w:rPr>
            </w:pPr>
            <w:r>
              <w:rPr>
                <w:rFonts w:hint="eastAsia" w:ascii="宋体" w:hAnsi="宋体" w:cs="宋体"/>
                <w:b/>
                <w:color w:val="auto"/>
                <w:szCs w:val="21"/>
                <w:highlight w:val="none"/>
              </w:rPr>
              <w:t>（十二）采购预算及最高限价</w:t>
            </w:r>
          </w:p>
        </w:tc>
        <w:tc>
          <w:tcPr>
            <w:tcW w:w="3266" w:type="pct"/>
            <w:gridSpan w:val="3"/>
            <w:tcBorders>
              <w:top w:val="single" w:color="auto" w:sz="4" w:space="0"/>
              <w:left w:val="single" w:color="auto" w:sz="4" w:space="0"/>
              <w:bottom w:val="single" w:color="auto" w:sz="4" w:space="0"/>
              <w:right w:val="single" w:color="auto" w:sz="4" w:space="0"/>
            </w:tcBorders>
          </w:tcPr>
          <w:p w14:paraId="1A48C6E6">
            <w:pPr>
              <w:keepNext w:val="0"/>
              <w:keepLines w:val="0"/>
              <w:pageBreakBefore w:val="0"/>
              <w:widowControl w:val="0"/>
              <w:kinsoku/>
              <w:wordWrap/>
              <w:overflowPunct/>
              <w:topLinePunct w:val="0"/>
              <w:autoSpaceDE/>
              <w:autoSpaceDN/>
              <w:bidi w:val="0"/>
              <w:spacing w:line="300" w:lineRule="exact"/>
              <w:textAlignment w:val="auto"/>
              <w:rPr>
                <w:rFonts w:ascii="宋体" w:hAnsi="宋体" w:cs="宋体"/>
                <w:b/>
                <w:color w:val="auto"/>
                <w:szCs w:val="21"/>
                <w:highlight w:val="none"/>
              </w:rPr>
            </w:pPr>
            <w:r>
              <w:rPr>
                <w:rFonts w:hint="eastAsia" w:ascii="宋体" w:hAnsi="宋体" w:cs="宋体"/>
                <w:b/>
                <w:bCs/>
                <w:color w:val="auto"/>
                <w:highlight w:val="none"/>
              </w:rPr>
              <w:t>本</w:t>
            </w:r>
            <w:r>
              <w:rPr>
                <w:rFonts w:hint="eastAsia" w:ascii="宋体" w:hAnsi="宋体" w:cs="宋体"/>
                <w:b/>
                <w:color w:val="auto"/>
                <w:szCs w:val="21"/>
                <w:highlight w:val="none"/>
              </w:rPr>
              <w:t>分标</w:t>
            </w:r>
            <w:r>
              <w:rPr>
                <w:rFonts w:hint="eastAsia" w:ascii="宋体" w:hAnsi="宋体" w:cs="宋体"/>
                <w:b/>
                <w:bCs/>
                <w:color w:val="auto"/>
                <w:highlight w:val="none"/>
              </w:rPr>
              <w:t>采购预算为</w:t>
            </w:r>
            <w:r>
              <w:rPr>
                <w:rFonts w:hint="eastAsia" w:ascii="宋体" w:hAnsi="宋体"/>
                <w:b/>
                <w:bCs/>
                <w:color w:val="auto"/>
                <w:highlight w:val="none"/>
              </w:rPr>
              <w:t>贰佰柒拾贰万玖仟元整（¥2729000.00）</w:t>
            </w:r>
            <w:r>
              <w:rPr>
                <w:rFonts w:hint="eastAsia" w:ascii="宋体" w:hAnsi="宋体" w:cs="宋体"/>
                <w:b/>
                <w:bCs/>
                <w:color w:val="auto"/>
                <w:highlight w:val="none"/>
              </w:rPr>
              <w:t>，最高限价为壹佰玖拾柒万贰仟捌佰捌拾元整（¥1972880.00），</w:t>
            </w:r>
            <w:r>
              <w:rPr>
                <w:rFonts w:hint="eastAsia" w:ascii="宋体" w:hAnsi="宋体" w:cs="宋体"/>
                <w:b/>
                <w:bCs/>
                <w:color w:val="auto"/>
                <w:szCs w:val="21"/>
                <w:highlight w:val="none"/>
              </w:rPr>
              <w:t>投标人投标报价超最高限价的或</w:t>
            </w:r>
            <w:r>
              <w:rPr>
                <w:rFonts w:hint="eastAsia" w:ascii="宋体" w:hAnsi="宋体"/>
                <w:b/>
                <w:color w:val="auto"/>
                <w:szCs w:val="21"/>
                <w:highlight w:val="none"/>
              </w:rPr>
              <w:t>投标人所投分标各分项的单价报价超相应标的的单价最高限价的</w:t>
            </w:r>
            <w:r>
              <w:rPr>
                <w:rFonts w:hint="eastAsia" w:ascii="宋体" w:hAnsi="宋体" w:cs="宋体"/>
                <w:b/>
                <w:bCs/>
                <w:color w:val="auto"/>
                <w:szCs w:val="21"/>
                <w:highlight w:val="none"/>
              </w:rPr>
              <w:t>，投标文件均按无效处理。</w:t>
            </w:r>
          </w:p>
        </w:tc>
      </w:tr>
      <w:tr w14:paraId="422465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7"/>
            <w:tcBorders>
              <w:top w:val="single" w:color="auto" w:sz="4" w:space="0"/>
              <w:left w:val="single" w:color="auto" w:sz="4" w:space="0"/>
              <w:bottom w:val="single" w:color="auto" w:sz="4" w:space="0"/>
              <w:right w:val="single" w:color="auto" w:sz="4" w:space="0"/>
            </w:tcBorders>
          </w:tcPr>
          <w:p w14:paraId="4E24EB78">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cs="宋体"/>
                <w:b/>
                <w:color w:val="auto"/>
                <w:szCs w:val="21"/>
                <w:highlight w:val="none"/>
              </w:rPr>
            </w:pPr>
            <w:r>
              <w:rPr>
                <w:rFonts w:hint="eastAsia" w:ascii="宋体" w:hAnsi="宋体" w:cs="宋体"/>
                <w:b/>
                <w:bCs/>
                <w:color w:val="auto"/>
                <w:szCs w:val="21"/>
                <w:highlight w:val="none"/>
              </w:rPr>
              <w:t>五、与实现项目目标相关的其他要求</w:t>
            </w:r>
          </w:p>
        </w:tc>
      </w:tr>
      <w:tr w14:paraId="267C40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1C8EE18B">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（一）安装实施方案</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736593B9">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cs="宋体"/>
                <w:bCs/>
                <w:color w:val="auto"/>
                <w:szCs w:val="21"/>
                <w:highlight w:val="none"/>
              </w:rPr>
            </w:pPr>
            <w:r>
              <w:rPr>
                <w:rFonts w:hint="eastAsia" w:ascii="宋体" w:hAnsi="宋体" w:cs="宋体"/>
                <w:color w:val="auto"/>
                <w:szCs w:val="21"/>
                <w:highlight w:val="none"/>
              </w:rPr>
              <w:t>投标人根据项目要求和自身情况，可于投标文件中提供</w:t>
            </w:r>
            <w:r>
              <w:rPr>
                <w:rFonts w:hint="eastAsia" w:ascii="宋体" w:hAnsi="宋体" w:cs="宋体"/>
                <w:bCs/>
                <w:color w:val="auto"/>
                <w:szCs w:val="21"/>
                <w:highlight w:val="none"/>
              </w:rPr>
              <w:t>安装实施方案</w:t>
            </w:r>
            <w:r>
              <w:rPr>
                <w:rFonts w:hint="eastAsia" w:ascii="宋体" w:hAnsi="宋体" w:cs="宋体"/>
                <w:color w:val="auto"/>
                <w:szCs w:val="21"/>
                <w:highlight w:val="none"/>
              </w:rPr>
              <w:t>，包含但不限于：①安装方案；②设备调试方案；③设备试运行方案等</w:t>
            </w:r>
            <w:r>
              <w:rPr>
                <w:rFonts w:hint="eastAsia" w:ascii="宋体" w:hAnsi="宋体" w:cs="宋体"/>
                <w:bCs/>
                <w:color w:val="auto"/>
                <w:szCs w:val="21"/>
                <w:highlight w:val="none"/>
              </w:rPr>
              <w:t>。</w:t>
            </w:r>
          </w:p>
          <w:p w14:paraId="57BBC577">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cs="宋体"/>
                <w:b/>
                <w:i/>
                <w:color w:val="auto"/>
                <w:szCs w:val="21"/>
                <w:highlight w:val="none"/>
              </w:rPr>
            </w:pPr>
            <w:r>
              <w:rPr>
                <w:rFonts w:hint="eastAsia" w:ascii="宋体" w:hAnsi="宋体" w:cs="宋体"/>
                <w:b/>
                <w:bCs/>
                <w:color w:val="auto"/>
                <w:highlight w:val="none"/>
              </w:rPr>
              <w:t>注：</w:t>
            </w:r>
            <w:r>
              <w:rPr>
                <w:rFonts w:hint="eastAsia" w:ascii="宋体" w:hAnsi="宋体" w:cs="宋体"/>
                <w:b/>
                <w:color w:val="auto"/>
                <w:spacing w:val="-4"/>
                <w:szCs w:val="21"/>
                <w:highlight w:val="none"/>
              </w:rPr>
              <w:t>具体详见“第四章  评标方法及评标标准”。</w:t>
            </w:r>
          </w:p>
        </w:tc>
      </w:tr>
      <w:tr w14:paraId="163083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4D43E514">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（二）增值售后服务方案</w:t>
            </w:r>
          </w:p>
        </w:tc>
        <w:tc>
          <w:tcPr>
            <w:tcW w:w="326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1C1D0C9">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cs="宋体"/>
                <w:bCs/>
                <w:color w:val="auto"/>
                <w:szCs w:val="21"/>
                <w:highlight w:val="none"/>
              </w:rPr>
            </w:pPr>
            <w:r>
              <w:rPr>
                <w:rFonts w:hint="eastAsia" w:ascii="宋体" w:hAnsi="宋体" w:cs="宋体"/>
                <w:color w:val="auto"/>
                <w:szCs w:val="21"/>
                <w:highlight w:val="none"/>
              </w:rPr>
              <w:t>投标人根据项目要求和自身情况，可于投标文件中提供</w:t>
            </w:r>
            <w:r>
              <w:rPr>
                <w:rFonts w:hint="eastAsia" w:ascii="宋体" w:hAnsi="宋体" w:cs="宋体"/>
                <w:bCs/>
                <w:color w:val="auto"/>
                <w:szCs w:val="21"/>
                <w:highlight w:val="none"/>
              </w:rPr>
              <w:t>增值售后服务方案</w:t>
            </w:r>
            <w:r>
              <w:rPr>
                <w:rFonts w:hint="eastAsia" w:ascii="宋体" w:hAnsi="宋体" w:cs="宋体"/>
                <w:color w:val="auto"/>
                <w:szCs w:val="21"/>
                <w:highlight w:val="none"/>
              </w:rPr>
              <w:t>，包含但不限于：①</w:t>
            </w:r>
            <w:r>
              <w:rPr>
                <w:rFonts w:hint="eastAsia" w:ascii="宋体" w:hAnsi="宋体" w:cs="宋体"/>
                <w:color w:val="auto"/>
                <w:highlight w:val="none"/>
              </w:rPr>
              <w:t>服务人员的配备</w:t>
            </w:r>
            <w:r>
              <w:rPr>
                <w:rFonts w:hint="eastAsia" w:ascii="宋体" w:hAnsi="宋体" w:cs="宋体"/>
                <w:color w:val="auto"/>
                <w:szCs w:val="21"/>
                <w:highlight w:val="none"/>
              </w:rPr>
              <w:t>、故障出现解决方案，②定期维护 (注明时间)，③技术培训方案，④保修期外维修方案，⑤售后服务措施及其他优惠措施等</w:t>
            </w:r>
            <w:r>
              <w:rPr>
                <w:rFonts w:hint="eastAsia" w:ascii="宋体" w:hAnsi="宋体" w:cs="宋体"/>
                <w:bCs/>
                <w:color w:val="auto"/>
                <w:szCs w:val="21"/>
                <w:highlight w:val="none"/>
              </w:rPr>
              <w:t>。</w:t>
            </w:r>
          </w:p>
          <w:p w14:paraId="41322A41">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cs="宋体"/>
                <w:b/>
                <w:i/>
                <w:color w:val="auto"/>
                <w:szCs w:val="21"/>
                <w:highlight w:val="none"/>
              </w:rPr>
            </w:pPr>
            <w:r>
              <w:rPr>
                <w:rFonts w:hint="eastAsia" w:ascii="宋体" w:hAnsi="宋体" w:cs="宋体"/>
                <w:b/>
                <w:bCs/>
                <w:color w:val="auto"/>
                <w:highlight w:val="none"/>
              </w:rPr>
              <w:t>注：</w:t>
            </w:r>
            <w:r>
              <w:rPr>
                <w:rFonts w:hint="eastAsia" w:ascii="宋体" w:hAnsi="宋体" w:cs="宋体"/>
                <w:b/>
                <w:color w:val="auto"/>
                <w:spacing w:val="-4"/>
                <w:szCs w:val="21"/>
                <w:highlight w:val="none"/>
              </w:rPr>
              <w:t>具体详见“第四章  评标方法及评标标准”。</w:t>
            </w:r>
          </w:p>
        </w:tc>
      </w:tr>
      <w:tr w14:paraId="3BB2DD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1522B285">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cs="宋体"/>
                <w:i/>
                <w:color w:val="auto"/>
                <w:szCs w:val="21"/>
                <w:highlight w:val="none"/>
              </w:rPr>
            </w:pPr>
            <w:r>
              <w:rPr>
                <w:rFonts w:hint="eastAsia" w:ascii="宋体" w:hAnsi="宋体" w:cs="宋体"/>
                <w:color w:val="auto"/>
                <w:szCs w:val="21"/>
                <w:highlight w:val="none"/>
              </w:rPr>
              <w:t>（三）履约能力要求</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3F1950A3">
            <w:pPr>
              <w:keepNext w:val="0"/>
              <w:keepLines w:val="0"/>
              <w:pageBreakBefore w:val="0"/>
              <w:widowControl w:val="0"/>
              <w:kinsoku/>
              <w:wordWrap/>
              <w:overflowPunct/>
              <w:topLinePunct w:val="0"/>
              <w:autoSpaceDE/>
              <w:autoSpaceDN/>
              <w:bidi w:val="0"/>
              <w:spacing w:line="300" w:lineRule="exact"/>
              <w:textAlignment w:val="auto"/>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szCs w:val="21"/>
                <w:highlight w:val="none"/>
              </w:rPr>
              <w:t>投标人或所投核心产品生产厂家通过ISO13485</w:t>
            </w:r>
            <w:r>
              <w:rPr>
                <w:rFonts w:hint="eastAsia" w:ascii="宋体" w:hAnsi="宋体" w:cs="宋体"/>
                <w:color w:val="auto"/>
                <w:highlight w:val="none"/>
              </w:rPr>
              <w:t>医疗器械质量管理体系认证</w:t>
            </w:r>
            <w:r>
              <w:rPr>
                <w:rFonts w:hint="eastAsia" w:ascii="宋体" w:hAnsi="宋体" w:cs="宋体"/>
                <w:color w:val="auto"/>
                <w:szCs w:val="21"/>
                <w:highlight w:val="none"/>
              </w:rPr>
              <w:t>、ISO9001质量管理体系认证且有效的。</w:t>
            </w:r>
          </w:p>
          <w:p w14:paraId="43F60050">
            <w:pPr>
              <w:keepNext w:val="0"/>
              <w:keepLines w:val="0"/>
              <w:pageBreakBefore w:val="0"/>
              <w:widowControl w:val="0"/>
              <w:kinsoku/>
              <w:wordWrap/>
              <w:overflowPunct/>
              <w:topLinePunct w:val="0"/>
              <w:autoSpaceDE/>
              <w:autoSpaceDN/>
              <w:bidi w:val="0"/>
              <w:spacing w:line="300" w:lineRule="exact"/>
              <w:textAlignment w:val="auto"/>
              <w:rPr>
                <w:rFonts w:ascii="宋体" w:hAnsi="宋体" w:cs="宋体"/>
                <w:color w:val="auto"/>
                <w:highlight w:val="none"/>
              </w:rPr>
            </w:pPr>
            <w:r>
              <w:rPr>
                <w:rFonts w:hint="eastAsia" w:ascii="宋体" w:hAnsi="宋体" w:cs="宋体"/>
                <w:bCs/>
                <w:color w:val="auto"/>
                <w:highlight w:val="none"/>
              </w:rPr>
              <w:t>2.</w:t>
            </w:r>
            <w:r>
              <w:rPr>
                <w:rFonts w:hint="eastAsia" w:ascii="宋体" w:hAnsi="宋体" w:cs="宋体"/>
                <w:color w:val="auto"/>
                <w:highlight w:val="none"/>
              </w:rPr>
              <w:t>投标人或所投核心产品生产厂家2021年以来具有同类产品的销售业绩的。</w:t>
            </w:r>
          </w:p>
          <w:p w14:paraId="138D33DB">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cs="宋体"/>
                <w:b/>
                <w:i/>
                <w:color w:val="auto"/>
                <w:szCs w:val="21"/>
                <w:highlight w:val="none"/>
              </w:rPr>
            </w:pPr>
            <w:r>
              <w:rPr>
                <w:rFonts w:hint="eastAsia" w:ascii="宋体" w:hAnsi="宋体" w:cs="宋体"/>
                <w:b/>
                <w:bCs/>
                <w:color w:val="auto"/>
                <w:highlight w:val="none"/>
              </w:rPr>
              <w:t>注：上述履约能力加分详见“第四章 评标办法及评标标准”。</w:t>
            </w:r>
          </w:p>
        </w:tc>
      </w:tr>
      <w:tr w14:paraId="691426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360E31F8">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cs="宋体"/>
                <w:i/>
                <w:color w:val="auto"/>
                <w:szCs w:val="21"/>
                <w:highlight w:val="none"/>
              </w:rPr>
            </w:pPr>
            <w:r>
              <w:rPr>
                <w:rFonts w:hint="eastAsia" w:ascii="宋体" w:hAnsi="宋体" w:cs="宋体"/>
                <w:color w:val="auto"/>
                <w:szCs w:val="21"/>
                <w:highlight w:val="none"/>
              </w:rPr>
              <w:t>（四）政策性加分条件</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6B52557A">
            <w:pPr>
              <w:keepNext w:val="0"/>
              <w:keepLines w:val="0"/>
              <w:pageBreakBefore w:val="0"/>
              <w:widowControl w:val="0"/>
              <w:kinsoku/>
              <w:wordWrap/>
              <w:overflowPunct/>
              <w:topLinePunct w:val="0"/>
              <w:autoSpaceDE/>
              <w:autoSpaceDN/>
              <w:bidi w:val="0"/>
              <w:spacing w:line="300" w:lineRule="exact"/>
              <w:textAlignment w:val="auto"/>
              <w:rPr>
                <w:rFonts w:ascii="宋体" w:hAnsi="宋体" w:cs="宋体"/>
                <w:color w:val="auto"/>
                <w:highlight w:val="none"/>
              </w:rPr>
            </w:pPr>
            <w:r>
              <w:rPr>
                <w:rFonts w:hint="eastAsia" w:ascii="宋体" w:hAnsi="宋体" w:cs="宋体"/>
                <w:color w:val="auto"/>
                <w:highlight w:val="none"/>
              </w:rPr>
              <w:t>1.节能产品：属于财政部《节能产品政府采购品目清单》内优先采购（清单内未标注“★”的品目）的产品（投标文件中提供有效的认证证书复印件，并加盖投标人电子签章）。</w:t>
            </w:r>
          </w:p>
          <w:p w14:paraId="1CDA232B">
            <w:pPr>
              <w:keepNext w:val="0"/>
              <w:keepLines w:val="0"/>
              <w:pageBreakBefore w:val="0"/>
              <w:widowControl w:val="0"/>
              <w:kinsoku/>
              <w:wordWrap/>
              <w:overflowPunct/>
              <w:topLinePunct w:val="0"/>
              <w:autoSpaceDE/>
              <w:autoSpaceDN/>
              <w:bidi w:val="0"/>
              <w:spacing w:line="300" w:lineRule="exact"/>
              <w:textAlignment w:val="auto"/>
              <w:rPr>
                <w:rFonts w:ascii="宋体" w:hAnsi="宋体" w:cs="宋体"/>
                <w:color w:val="auto"/>
                <w:highlight w:val="none"/>
              </w:rPr>
            </w:pPr>
            <w:r>
              <w:rPr>
                <w:rFonts w:hint="eastAsia" w:ascii="宋体" w:hAnsi="宋体" w:cs="宋体"/>
                <w:color w:val="auto"/>
                <w:highlight w:val="none"/>
              </w:rPr>
              <w:t>2.环境标志产品：属于财政部《环境标志产品政府采购品目清单》内的产品（投标文件中提供有效的认证证书复印件，并加盖投标人电子签章）。</w:t>
            </w:r>
          </w:p>
          <w:p w14:paraId="55C54893">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cs="宋体"/>
                <w:b/>
                <w:color w:val="auto"/>
                <w:szCs w:val="21"/>
                <w:highlight w:val="none"/>
              </w:rPr>
            </w:pPr>
            <w:r>
              <w:rPr>
                <w:rFonts w:hint="eastAsia" w:ascii="宋体" w:hAnsi="宋体" w:cs="宋体"/>
                <w:b/>
                <w:color w:val="auto"/>
                <w:highlight w:val="none"/>
              </w:rPr>
              <w:t>注：上述政策性加分详见“第四章 评标办法及评标标准”。</w:t>
            </w:r>
          </w:p>
        </w:tc>
      </w:tr>
    </w:tbl>
    <w:p w14:paraId="528874BC">
      <w:pPr>
        <w:spacing w:line="380" w:lineRule="exact"/>
        <w:jc w:val="left"/>
        <w:rPr>
          <w:rFonts w:hint="eastAsia" w:ascii="宋体" w:hAnsi="宋体" w:cs="宋体"/>
          <w:b/>
          <w:color w:val="auto"/>
          <w:highlight w:val="none"/>
        </w:rPr>
      </w:pPr>
    </w:p>
    <w:p w14:paraId="57823654">
      <w:pPr>
        <w:spacing w:line="380" w:lineRule="exact"/>
        <w:jc w:val="left"/>
        <w:rPr>
          <w:rFonts w:ascii="宋体" w:hAnsi="宋体" w:cs="宋体"/>
          <w:b/>
          <w:color w:val="auto"/>
          <w:highlight w:val="none"/>
        </w:rPr>
      </w:pPr>
      <w:r>
        <w:rPr>
          <w:rFonts w:hint="eastAsia" w:ascii="宋体" w:hAnsi="宋体" w:cs="宋体"/>
          <w:b/>
          <w:color w:val="auto"/>
          <w:highlight w:val="none"/>
        </w:rPr>
        <w:t>分标2</w:t>
      </w:r>
    </w:p>
    <w:tbl>
      <w:tblPr>
        <w:tblStyle w:val="47"/>
        <w:tblW w:w="527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5"/>
        <w:gridCol w:w="1305"/>
        <w:gridCol w:w="663"/>
        <w:gridCol w:w="827"/>
        <w:gridCol w:w="836"/>
        <w:gridCol w:w="963"/>
        <w:gridCol w:w="4216"/>
      </w:tblGrid>
      <w:tr w14:paraId="397E6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5000" w:type="pct"/>
            <w:gridSpan w:val="7"/>
            <w:vAlign w:val="center"/>
          </w:tcPr>
          <w:p w14:paraId="7F3C983B">
            <w:pPr>
              <w:tabs>
                <w:tab w:val="left" w:pos="180"/>
                <w:tab w:val="left" w:pos="1620"/>
              </w:tabs>
              <w:adjustRightInd w:val="0"/>
              <w:snapToGrid w:val="0"/>
              <w:spacing w:line="360" w:lineRule="exact"/>
              <w:rPr>
                <w:rFonts w:ascii="宋体" w:hAnsi="宋体" w:cs="宋体"/>
                <w:color w:val="auto"/>
                <w:szCs w:val="21"/>
                <w:highlight w:val="none"/>
              </w:rPr>
            </w:pPr>
            <w:r>
              <w:rPr>
                <w:rFonts w:hint="eastAsia" w:ascii="宋体" w:hAnsi="宋体" w:cs="宋体"/>
                <w:b/>
                <w:color w:val="auto"/>
                <w:szCs w:val="21"/>
                <w:highlight w:val="none"/>
              </w:rPr>
              <w:t>一、采购标的及技术需求</w:t>
            </w:r>
          </w:p>
        </w:tc>
      </w:tr>
      <w:tr w14:paraId="4BF68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215" w:type="pct"/>
            <w:tcBorders>
              <w:right w:val="single" w:color="auto" w:sz="4" w:space="0"/>
            </w:tcBorders>
            <w:vAlign w:val="center"/>
          </w:tcPr>
          <w:p w14:paraId="58F39ABF">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709" w:type="pct"/>
            <w:tcBorders>
              <w:left w:val="single" w:color="auto" w:sz="4" w:space="0"/>
              <w:right w:val="single" w:color="auto" w:sz="4" w:space="0"/>
            </w:tcBorders>
            <w:vAlign w:val="center"/>
          </w:tcPr>
          <w:p w14:paraId="7E7BBA30">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360" w:type="pct"/>
            <w:tcBorders>
              <w:left w:val="single" w:color="auto" w:sz="4" w:space="0"/>
            </w:tcBorders>
            <w:vAlign w:val="center"/>
          </w:tcPr>
          <w:p w14:paraId="0172DE63">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448" w:type="pct"/>
            <w:vAlign w:val="center"/>
          </w:tcPr>
          <w:p w14:paraId="29D0A300">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454" w:type="pct"/>
            <w:vAlign w:val="center"/>
          </w:tcPr>
          <w:p w14:paraId="419AA576">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所属行业</w:t>
            </w:r>
          </w:p>
        </w:tc>
        <w:tc>
          <w:tcPr>
            <w:tcW w:w="523" w:type="pct"/>
            <w:tcBorders>
              <w:right w:val="single" w:color="auto" w:sz="4" w:space="0"/>
            </w:tcBorders>
            <w:vAlign w:val="center"/>
          </w:tcPr>
          <w:p w14:paraId="52D58F69">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单价最高限价（万元）</w:t>
            </w:r>
          </w:p>
        </w:tc>
        <w:tc>
          <w:tcPr>
            <w:tcW w:w="2288" w:type="pct"/>
            <w:tcBorders>
              <w:left w:val="single" w:color="auto" w:sz="4" w:space="0"/>
            </w:tcBorders>
            <w:vAlign w:val="center"/>
          </w:tcPr>
          <w:p w14:paraId="1B1760A3">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技术要求</w:t>
            </w:r>
          </w:p>
        </w:tc>
      </w:tr>
      <w:tr w14:paraId="62124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215" w:type="pct"/>
            <w:tcBorders>
              <w:bottom w:val="single" w:color="auto" w:sz="4" w:space="0"/>
              <w:right w:val="single" w:color="auto" w:sz="4" w:space="0"/>
            </w:tcBorders>
            <w:vAlign w:val="center"/>
          </w:tcPr>
          <w:p w14:paraId="62DDA98D">
            <w:pPr>
              <w:adjustRightInd w:val="0"/>
              <w:snapToGrid w:val="0"/>
              <w:spacing w:line="3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709" w:type="pct"/>
            <w:tcBorders>
              <w:left w:val="single" w:color="auto" w:sz="4" w:space="0"/>
              <w:bottom w:val="single" w:color="auto" w:sz="4" w:space="0"/>
              <w:right w:val="single" w:color="auto" w:sz="4" w:space="0"/>
            </w:tcBorders>
            <w:vAlign w:val="center"/>
          </w:tcPr>
          <w:p w14:paraId="1C9B6BC4">
            <w:pPr>
              <w:adjustRightInd w:val="0"/>
              <w:snapToGrid w:val="0"/>
              <w:spacing w:line="340" w:lineRule="exact"/>
              <w:jc w:val="center"/>
              <w:rPr>
                <w:rFonts w:ascii="宋体" w:hAnsi="宋体" w:cs="宋体"/>
                <w:color w:val="auto"/>
                <w:szCs w:val="21"/>
                <w:highlight w:val="none"/>
              </w:rPr>
            </w:pPr>
            <w:r>
              <w:rPr>
                <w:rFonts w:hint="eastAsia" w:ascii="宋体" w:hAnsi="宋体" w:cs="宋体"/>
                <w:color w:val="auto"/>
                <w:szCs w:val="21"/>
                <w:highlight w:val="none"/>
              </w:rPr>
              <w:t>病人监护仪</w:t>
            </w:r>
          </w:p>
        </w:tc>
        <w:tc>
          <w:tcPr>
            <w:tcW w:w="360" w:type="pct"/>
            <w:tcBorders>
              <w:left w:val="single" w:color="auto" w:sz="4" w:space="0"/>
            </w:tcBorders>
            <w:vAlign w:val="center"/>
          </w:tcPr>
          <w:p w14:paraId="4B722931">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21</w:t>
            </w:r>
          </w:p>
        </w:tc>
        <w:tc>
          <w:tcPr>
            <w:tcW w:w="448" w:type="pct"/>
            <w:vAlign w:val="center"/>
          </w:tcPr>
          <w:p w14:paraId="381B2E71">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台</w:t>
            </w:r>
          </w:p>
        </w:tc>
        <w:tc>
          <w:tcPr>
            <w:tcW w:w="454" w:type="pct"/>
            <w:tcBorders>
              <w:bottom w:val="single" w:color="auto" w:sz="4" w:space="0"/>
            </w:tcBorders>
            <w:vAlign w:val="center"/>
          </w:tcPr>
          <w:p w14:paraId="156E55C2">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23" w:type="pct"/>
            <w:tcBorders>
              <w:right w:val="single" w:color="auto" w:sz="4" w:space="0"/>
            </w:tcBorders>
            <w:vAlign w:val="center"/>
          </w:tcPr>
          <w:p w14:paraId="4153EE02">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1.5</w:t>
            </w:r>
          </w:p>
        </w:tc>
        <w:tc>
          <w:tcPr>
            <w:tcW w:w="2288" w:type="pct"/>
            <w:tcBorders>
              <w:left w:val="single" w:color="auto" w:sz="4" w:space="0"/>
            </w:tcBorders>
          </w:tcPr>
          <w:p w14:paraId="6CA447C3">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1.整机要求</w:t>
            </w:r>
          </w:p>
          <w:p w14:paraId="79D18843">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投标产品适用于成人、小儿、新生儿的监测。</w:t>
            </w:r>
          </w:p>
          <w:p w14:paraId="1959F244">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2.物理指标  </w:t>
            </w:r>
          </w:p>
          <w:p w14:paraId="4780073C">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2.1一体化多参数监护仪，彩色显示屏＞10英寸，分辨率不低于1280×800，支持同屏显示8道波形以同时观察信息。</w:t>
            </w:r>
          </w:p>
          <w:p w14:paraId="0A4DC37B">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2.2正面纯平设计，不易积累灰尘，易清洁。</w:t>
            </w:r>
          </w:p>
          <w:p w14:paraId="710BED83">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2.3电容触摸屏设计，显示屏可视角≥170 度。</w:t>
            </w:r>
          </w:p>
          <w:p w14:paraId="5E2BAAAD">
            <w:pPr>
              <w:spacing w:line="360" w:lineRule="exact"/>
              <w:rPr>
                <w:rFonts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2.4 具备心电、呼吸、无创血压、血氧饱和度、脉率和体温监测功能。可升级双血氧、6/12电极心电监测。支持升级心电信号进行诊断分析，诊断算法通过欧洲CSE数据库测试。</w:t>
            </w:r>
          </w:p>
          <w:p w14:paraId="4F0C6346">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2.5支持选配同品牌呼末二氧化碳（EtCO</w:t>
            </w:r>
            <w:r>
              <w:rPr>
                <w:rFonts w:hint="eastAsia" w:ascii="宋体" w:hAnsi="宋体" w:cs="宋体"/>
                <w:color w:val="auto"/>
                <w:kern w:val="0"/>
                <w:szCs w:val="21"/>
                <w:highlight w:val="none"/>
                <w:vertAlign w:val="subscript"/>
              </w:rPr>
              <w:t>2</w:t>
            </w:r>
            <w:r>
              <w:rPr>
                <w:rFonts w:hint="eastAsia" w:ascii="宋体" w:hAnsi="宋体" w:cs="宋体"/>
                <w:color w:val="auto"/>
                <w:kern w:val="0"/>
                <w:szCs w:val="21"/>
                <w:highlight w:val="none"/>
              </w:rPr>
              <w:t>）。</w:t>
            </w:r>
          </w:p>
          <w:p w14:paraId="19BFDF59">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2.6支持升级IBP、C.O.等高级参数。</w:t>
            </w:r>
          </w:p>
          <w:p w14:paraId="7163EB45">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2.7主机不少于2个USB口，可用于外接条码枪扫描枪、键盘、U盘储存等设备，支持选配HDMI视频输出接口。</w:t>
            </w:r>
          </w:p>
          <w:p w14:paraId="2D0CE79D">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2.8支持待机模式、夜间模式、演示模式、插管模式、隐私模式。</w:t>
            </w:r>
          </w:p>
          <w:p w14:paraId="2840515B">
            <w:pPr>
              <w:spacing w:line="360" w:lineRule="exact"/>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3.性能</w:t>
            </w:r>
            <w:r>
              <w:rPr>
                <w:rFonts w:hint="eastAsia" w:ascii="宋体" w:hAnsi="宋体" w:cs="宋体"/>
                <w:color w:val="auto"/>
                <w:kern w:val="0"/>
                <w:szCs w:val="21"/>
                <w:highlight w:val="none"/>
                <w:lang w:val="en-US" w:eastAsia="zh-CN"/>
              </w:rPr>
              <w:t>特点</w:t>
            </w:r>
          </w:p>
          <w:p w14:paraId="045E5548">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3.1主机重量＜3.5kg。</w:t>
            </w:r>
          </w:p>
          <w:p w14:paraId="1C5250CF">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3.2界面显示能根据用户选择的参数数量和波形数量调节布局，最大程度的合理利用界面空间。</w:t>
            </w:r>
          </w:p>
          <w:p w14:paraId="61F553C0">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3.3显示屏亮度支持自动、手动调节。</w:t>
            </w:r>
          </w:p>
          <w:p w14:paraId="7523C4A8">
            <w:pPr>
              <w:spacing w:line="360" w:lineRule="exact"/>
              <w:rPr>
                <w:rFonts w:ascii="宋体" w:hAnsi="宋体" w:cs="宋体"/>
                <w:b/>
                <w:bCs/>
                <w:color w:val="auto"/>
                <w:kern w:val="0"/>
                <w:szCs w:val="21"/>
                <w:highlight w:val="none"/>
              </w:rPr>
            </w:pPr>
            <w:r>
              <w:rPr>
                <w:rFonts w:hint="eastAsia" w:ascii="宋体" w:hAnsi="宋体"/>
                <w:b/>
                <w:bCs/>
                <w:color w:val="auto"/>
                <w:szCs w:val="21"/>
                <w:highlight w:val="none"/>
              </w:rPr>
              <w:t>▲</w:t>
            </w:r>
            <w:r>
              <w:rPr>
                <w:rFonts w:hint="eastAsia" w:ascii="宋体" w:hAnsi="宋体" w:cs="宋体"/>
                <w:b/>
                <w:bCs/>
                <w:color w:val="auto"/>
                <w:kern w:val="0"/>
                <w:szCs w:val="21"/>
                <w:highlight w:val="none"/>
              </w:rPr>
              <w:t>3.4配有锁屏键，避免在某些使用中误操作。用户通过点击进入锁屏状态。</w:t>
            </w:r>
          </w:p>
          <w:p w14:paraId="091B485A">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3.5具有多导心电监护算法，同步分析至少 2 通道心电波形，能够良好抗干扰。</w:t>
            </w:r>
          </w:p>
          <w:p w14:paraId="4018E0C7">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3.6可设置智能导联脱落功能，如果当前所选导联无法检测心电信号，监护仪自动切换相应的导联作为计算导联。</w:t>
            </w:r>
          </w:p>
          <w:p w14:paraId="21CFABA9">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3.7支持不少于27种实时心律失常分析。</w:t>
            </w:r>
          </w:p>
          <w:p w14:paraId="2A17C580">
            <w:pPr>
              <w:spacing w:line="360" w:lineRule="exact"/>
              <w:rPr>
                <w:rFonts w:ascii="宋体" w:hAnsi="宋体" w:cs="宋体"/>
                <w:b/>
                <w:bCs/>
                <w:color w:val="auto"/>
                <w:kern w:val="0"/>
                <w:szCs w:val="21"/>
                <w:highlight w:val="none"/>
              </w:rPr>
            </w:pPr>
            <w:r>
              <w:rPr>
                <w:rFonts w:hint="eastAsia" w:ascii="宋体" w:hAnsi="宋体" w:cs="宋体"/>
                <w:b w:val="0"/>
                <w:bCs w:val="0"/>
                <w:color w:val="auto"/>
                <w:kern w:val="0"/>
                <w:szCs w:val="21"/>
                <w:highlight w:val="none"/>
              </w:rPr>
              <w:t>3.8支持0.67Hz高通滤波，确保波形有更好的稳定性。</w:t>
            </w:r>
          </w:p>
          <w:p w14:paraId="372874CA">
            <w:pPr>
              <w:spacing w:line="360" w:lineRule="exact"/>
              <w:rPr>
                <w:rFonts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3.9支持显示ECG信号质量指数，指示10个不同级别的心率信号强度。</w:t>
            </w:r>
          </w:p>
          <w:p w14:paraId="012460C0">
            <w:pPr>
              <w:spacing w:line="36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▲3.10支持≥2种NIBP测量算法，最快测量时间不超过20秒。</w:t>
            </w:r>
          </w:p>
          <w:p w14:paraId="21EE1E15">
            <w:pPr>
              <w:spacing w:line="360" w:lineRule="exact"/>
              <w:rPr>
                <w:rFonts w:ascii="宋体" w:hAnsi="宋体" w:cs="宋体"/>
                <w:b w:val="0"/>
                <w:bCs w:val="0"/>
                <w:color w:val="auto"/>
                <w:kern w:val="0"/>
                <w:szCs w:val="21"/>
                <w:highlight w:val="none"/>
              </w:rPr>
            </w:pPr>
            <w:r>
              <w:rPr>
                <w:rFonts w:hint="eastAsia" w:ascii="宋体" w:hAnsi="宋体" w:cs="宋体"/>
                <w:b/>
                <w:bCs/>
                <w:color w:val="auto"/>
                <w:kern w:val="0"/>
                <w:szCs w:val="21"/>
                <w:highlight w:val="none"/>
              </w:rPr>
              <w:t>▲3.11支持连续无创血压功能，实时无创监测病人血压，而非NIBP的连续测量模式。</w:t>
            </w:r>
          </w:p>
          <w:p w14:paraId="415B2D18">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3.12 RR测量范围0</w:t>
            </w:r>
            <w:r>
              <w:rPr>
                <w:rFonts w:hint="eastAsia" w:ascii="宋体" w:hAnsi="宋体" w:cs="宋体"/>
                <w:color w:val="auto"/>
                <w:szCs w:val="21"/>
                <w:highlight w:val="none"/>
              </w:rPr>
              <w:t>~</w:t>
            </w:r>
            <w:r>
              <w:rPr>
                <w:rFonts w:hint="eastAsia" w:ascii="宋体" w:hAnsi="宋体" w:cs="宋体"/>
                <w:color w:val="auto"/>
                <w:kern w:val="0"/>
                <w:szCs w:val="21"/>
                <w:highlight w:val="none"/>
              </w:rPr>
              <w:t>200 rpm，精度6rpm~200rpm：±2rpm，0rpm~5rpm：不定义。</w:t>
            </w:r>
          </w:p>
          <w:p w14:paraId="7B54C3D5">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3.13无创血压成人测量范围：收缩压25~290mmHg，舒张压10~250 mmHg。</w:t>
            </w:r>
          </w:p>
          <w:p w14:paraId="4085A8B6">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3.14无创血压成人测量范围：收缩压25~290mmHg，舒张压10~250 mmHg。无创血压提供手动、自动、连续、序列四种测量模式。自动模式支持自定义设置血压测量间隔，间隔时间支持从1</w:t>
            </w:r>
            <w:r>
              <w:rPr>
                <w:rFonts w:hint="eastAsia" w:ascii="宋体" w:hAnsi="宋体" w:cs="宋体"/>
                <w:color w:val="auto"/>
                <w:szCs w:val="21"/>
                <w:highlight w:val="none"/>
              </w:rPr>
              <w:t>~</w:t>
            </w:r>
            <w:r>
              <w:rPr>
                <w:rFonts w:hint="eastAsia" w:ascii="宋体" w:hAnsi="宋体" w:cs="宋体"/>
                <w:color w:val="auto"/>
                <w:kern w:val="0"/>
                <w:szCs w:val="21"/>
                <w:highlight w:val="none"/>
              </w:rPr>
              <w:t>460分钟内的任意整数数值。</w:t>
            </w:r>
          </w:p>
          <w:p w14:paraId="1FCEBF9D">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3.15 支持在同一肢体上同时测量血氧和血压。</w:t>
            </w:r>
          </w:p>
          <w:p w14:paraId="1A4D2811">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3.16 实时监测弱灌注指数（PI），测量范围0</w:t>
            </w:r>
            <w:r>
              <w:rPr>
                <w:rFonts w:hint="eastAsia" w:ascii="宋体" w:hAnsi="宋体" w:cs="宋体"/>
                <w:color w:val="auto"/>
                <w:szCs w:val="21"/>
                <w:highlight w:val="none"/>
              </w:rPr>
              <w:t>~</w:t>
            </w:r>
            <w:r>
              <w:rPr>
                <w:rFonts w:hint="eastAsia" w:ascii="宋体" w:hAnsi="宋体" w:cs="宋体"/>
                <w:color w:val="auto"/>
                <w:kern w:val="0"/>
                <w:szCs w:val="21"/>
                <w:highlight w:val="none"/>
              </w:rPr>
              <w:t>20%。</w:t>
            </w:r>
          </w:p>
          <w:p w14:paraId="68051D2C">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3.17 IBP测量范围-50 mmHg ~ +400 mmHg。</w:t>
            </w:r>
          </w:p>
          <w:p w14:paraId="0845EE7F">
            <w:pPr>
              <w:spacing w:line="360" w:lineRule="exact"/>
              <w:rPr>
                <w:rFonts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3.18血氧探头光强五级别显示，可帮助临床快速判断探头光衰程度。</w:t>
            </w:r>
          </w:p>
          <w:p w14:paraId="53CEFE2B">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3.19在新生儿模式下支持CCHD新生儿先心病筛查。</w:t>
            </w:r>
          </w:p>
          <w:p w14:paraId="259BF928">
            <w:pPr>
              <w:spacing w:line="360" w:lineRule="exact"/>
              <w:rPr>
                <w:rFonts w:ascii="宋体" w:hAnsi="宋体" w:cs="宋体"/>
                <w:color w:val="auto"/>
                <w:kern w:val="0"/>
                <w:szCs w:val="21"/>
                <w:highlight w:val="none"/>
              </w:rPr>
            </w:pPr>
            <w:r>
              <w:rPr>
                <w:rFonts w:hint="eastAsia" w:ascii="宋体" w:hAnsi="宋体" w:cs="宋体"/>
                <w:b w:val="0"/>
                <w:bCs w:val="0"/>
                <w:color w:val="auto"/>
                <w:kern w:val="0"/>
                <w:szCs w:val="21"/>
                <w:highlight w:val="none"/>
              </w:rPr>
              <w:t>3.20支持心率变异性分析、ST分析、QT分析、24小时心电概览、24小时血压概览、早期预警评分等临床辅助功能。</w:t>
            </w:r>
          </w:p>
          <w:p w14:paraId="1C648C73">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3.21监护仪设计使用年限≥9年。</w:t>
            </w:r>
          </w:p>
        </w:tc>
      </w:tr>
      <w:tr w14:paraId="7A5D2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215" w:type="pct"/>
            <w:tcBorders>
              <w:bottom w:val="single" w:color="auto" w:sz="4" w:space="0"/>
              <w:right w:val="single" w:color="auto" w:sz="4" w:space="0"/>
            </w:tcBorders>
            <w:vAlign w:val="center"/>
          </w:tcPr>
          <w:p w14:paraId="101D47D1">
            <w:pPr>
              <w:adjustRightInd w:val="0"/>
              <w:snapToGrid w:val="0"/>
              <w:spacing w:line="34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709" w:type="pct"/>
            <w:tcBorders>
              <w:left w:val="single" w:color="auto" w:sz="4" w:space="0"/>
              <w:bottom w:val="single" w:color="auto" w:sz="4" w:space="0"/>
              <w:right w:val="single" w:color="auto" w:sz="4" w:space="0"/>
            </w:tcBorders>
            <w:vAlign w:val="center"/>
          </w:tcPr>
          <w:p w14:paraId="1DC7FE96">
            <w:pPr>
              <w:adjustRightInd w:val="0"/>
              <w:snapToGrid w:val="0"/>
              <w:spacing w:line="340" w:lineRule="exact"/>
              <w:jc w:val="center"/>
              <w:rPr>
                <w:rFonts w:ascii="宋体" w:hAnsi="宋体" w:cs="宋体"/>
                <w:color w:val="auto"/>
                <w:szCs w:val="21"/>
                <w:highlight w:val="none"/>
              </w:rPr>
            </w:pPr>
            <w:r>
              <w:rPr>
                <w:rFonts w:hint="eastAsia" w:ascii="宋体" w:hAnsi="宋体" w:cs="宋体"/>
                <w:color w:val="auto"/>
                <w:szCs w:val="21"/>
                <w:highlight w:val="none"/>
              </w:rPr>
              <w:t>遥测监护仪</w:t>
            </w:r>
          </w:p>
        </w:tc>
        <w:tc>
          <w:tcPr>
            <w:tcW w:w="360" w:type="pct"/>
            <w:tcBorders>
              <w:left w:val="single" w:color="auto" w:sz="4" w:space="0"/>
            </w:tcBorders>
            <w:vAlign w:val="center"/>
          </w:tcPr>
          <w:p w14:paraId="29529BB8">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448" w:type="pct"/>
            <w:vAlign w:val="center"/>
          </w:tcPr>
          <w:p w14:paraId="53388B94">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台</w:t>
            </w:r>
          </w:p>
        </w:tc>
        <w:tc>
          <w:tcPr>
            <w:tcW w:w="454" w:type="pct"/>
            <w:tcBorders>
              <w:bottom w:val="single" w:color="auto" w:sz="4" w:space="0"/>
            </w:tcBorders>
            <w:vAlign w:val="center"/>
          </w:tcPr>
          <w:p w14:paraId="75398DB7">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23" w:type="pct"/>
            <w:tcBorders>
              <w:right w:val="single" w:color="auto" w:sz="4" w:space="0"/>
            </w:tcBorders>
            <w:vAlign w:val="center"/>
          </w:tcPr>
          <w:p w14:paraId="41F0E73E">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2.1</w:t>
            </w:r>
          </w:p>
        </w:tc>
        <w:tc>
          <w:tcPr>
            <w:tcW w:w="2288" w:type="pct"/>
            <w:tcBorders>
              <w:left w:val="single" w:color="auto" w:sz="4" w:space="0"/>
            </w:tcBorders>
          </w:tcPr>
          <w:p w14:paraId="3C8DDC40">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1.遥测设备</w:t>
            </w:r>
          </w:p>
          <w:p w14:paraId="71F26D6E">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1.1适用于成人、小儿的监测。</w:t>
            </w:r>
          </w:p>
          <w:p w14:paraId="2205494A">
            <w:pPr>
              <w:spacing w:line="360" w:lineRule="exact"/>
              <w:rPr>
                <w:rFonts w:ascii="宋体" w:hAnsi="宋体" w:cs="宋体"/>
                <w:b w:val="0"/>
                <w:bCs w:val="0"/>
                <w:color w:val="auto"/>
                <w:kern w:val="0"/>
                <w:szCs w:val="21"/>
                <w:highlight w:val="none"/>
              </w:rPr>
            </w:pPr>
            <w:r>
              <w:rPr>
                <w:rFonts w:hint="eastAsia" w:ascii="宋体" w:hAnsi="宋体" w:cs="宋体"/>
                <w:b/>
                <w:bCs/>
                <w:color w:val="auto"/>
                <w:kern w:val="0"/>
                <w:szCs w:val="21"/>
                <w:highlight w:val="none"/>
              </w:rPr>
              <w:t>▲1.2 一体式主机支持心电、呼吸、血氧、脉率、血压的监测，整体尺寸不超过76×136×30mm，重量＜360g，标配挂包，便于病人随身携带。</w:t>
            </w:r>
          </w:p>
          <w:p w14:paraId="2BB8B439">
            <w:pPr>
              <w:spacing w:line="36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▲1.3 防水防尘等级符合IP44要求。</w:t>
            </w:r>
          </w:p>
          <w:p w14:paraId="4649F1BA">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1.4 满足1.5米跌落测试要求。</w:t>
            </w:r>
          </w:p>
          <w:p w14:paraId="5720AA43">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1.5 显示屏幕尺寸＞3.5英寸，分辨率不小于480×320，且支持触摸屏。</w:t>
            </w:r>
          </w:p>
          <w:p w14:paraId="670E1496">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1.6 具有自动息屏功能，支持用户自定义时间，在无操作时进入低功耗模式。</w:t>
            </w:r>
          </w:p>
          <w:p w14:paraId="4A2E6424">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1.7 提供3/5导心电监护，支持升级6/12导心电监护。</w:t>
            </w:r>
          </w:p>
          <w:p w14:paraId="45C13CCC">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1.8 具有多导心电监护算法，具有抗干扰性能。</w:t>
            </w:r>
          </w:p>
          <w:p w14:paraId="196E995F">
            <w:pPr>
              <w:spacing w:line="360" w:lineRule="exact"/>
              <w:rPr>
                <w:rFonts w:ascii="宋体" w:hAnsi="宋体" w:cs="宋体"/>
                <w:b/>
                <w:bCs/>
                <w:color w:val="auto"/>
                <w:kern w:val="0"/>
                <w:szCs w:val="21"/>
                <w:highlight w:val="none"/>
              </w:rPr>
            </w:pPr>
            <w:r>
              <w:rPr>
                <w:rFonts w:hint="eastAsia" w:ascii="宋体" w:hAnsi="宋体" w:cs="宋体"/>
                <w:b w:val="0"/>
                <w:bCs w:val="0"/>
                <w:color w:val="auto"/>
                <w:kern w:val="0"/>
                <w:szCs w:val="21"/>
                <w:highlight w:val="none"/>
              </w:rPr>
              <w:t>1.9 主机支持袖带血压测量，典型测量时间≤20秒。</w:t>
            </w:r>
          </w:p>
          <w:p w14:paraId="403D2246">
            <w:pPr>
              <w:spacing w:line="36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▲1.10 支持升级连续无创血压测量，可以实现无创血压的每搏监测。</w:t>
            </w:r>
          </w:p>
          <w:p w14:paraId="30A80E45">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1.11 具备电池充电站，方便临床进行统一的电池管理。</w:t>
            </w:r>
          </w:p>
          <w:p w14:paraId="77D2009C">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1.12具有一键实现呼叫护士功能，支持对病人远程监护，并具</w:t>
            </w:r>
            <w:r>
              <w:rPr>
                <w:rStyle w:val="55"/>
                <w:rFonts w:hint="eastAsia"/>
                <w:color w:val="auto"/>
                <w:highlight w:val="none"/>
              </w:rPr>
              <w:t>有</w:t>
            </w:r>
            <w:r>
              <w:rPr>
                <w:rFonts w:hint="eastAsia" w:ascii="宋体" w:hAnsi="宋体" w:cs="宋体"/>
                <w:color w:val="auto"/>
                <w:kern w:val="0"/>
                <w:szCs w:val="21"/>
                <w:highlight w:val="none"/>
              </w:rPr>
              <w:t>呼叫病人功能，保证监护安全。</w:t>
            </w:r>
          </w:p>
          <w:p w14:paraId="0935F7D8">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2.遥测中央工作站系统</w:t>
            </w:r>
          </w:p>
          <w:p w14:paraId="04500122">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2.1中央监护系统支持对监护设备心电（ECG）、ST段、QT\QTc、心率(HR)、呼吸(RESP)，血压(NIBP)，血氧(SpO</w:t>
            </w:r>
            <w:r>
              <w:rPr>
                <w:rFonts w:hint="eastAsia" w:ascii="宋体" w:hAnsi="宋体" w:cs="宋体"/>
                <w:color w:val="auto"/>
                <w:kern w:val="0"/>
                <w:szCs w:val="21"/>
                <w:highlight w:val="none"/>
                <w:vertAlign w:val="subscript"/>
              </w:rPr>
              <w:t>2</w:t>
            </w:r>
            <w:r>
              <w:rPr>
                <w:rFonts w:hint="eastAsia" w:ascii="宋体" w:hAnsi="宋体" w:cs="宋体"/>
                <w:color w:val="auto"/>
                <w:kern w:val="0"/>
                <w:szCs w:val="21"/>
                <w:highlight w:val="none"/>
              </w:rPr>
              <w:t>)，脉率(PR)，体温(TEMP)，双有创血压(IBP)，呼气末二氧化碳（EtCO2）、心排（C.O.）、麻醉（AG）等参数值及波形的显示。</w:t>
            </w:r>
          </w:p>
          <w:p w14:paraId="2B6F98DF">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2.2可支持显示双血氧、CNBP无创连续血压参数监测。</w:t>
            </w:r>
          </w:p>
          <w:p w14:paraId="12C74005">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2.3软件界面显示适应19英寸、22英寸液晶屏显示,包括宽屏和标准屏，方便根据科室需求进行灵活配置。 </w:t>
            </w:r>
          </w:p>
          <w:p w14:paraId="4574688B">
            <w:pPr>
              <w:spacing w:line="360" w:lineRule="exact"/>
              <w:rPr>
                <w:rFonts w:ascii="宋体" w:hAnsi="宋体" w:cs="宋体"/>
                <w:b w:val="0"/>
                <w:bCs w:val="0"/>
                <w:color w:val="auto"/>
                <w:kern w:val="0"/>
                <w:szCs w:val="21"/>
                <w:highlight w:val="none"/>
              </w:rPr>
            </w:pPr>
            <w:r>
              <w:rPr>
                <w:rFonts w:hint="eastAsia" w:ascii="宋体" w:hAnsi="宋体" w:cs="宋体"/>
                <w:b/>
                <w:bCs/>
                <w:color w:val="auto"/>
                <w:kern w:val="0"/>
                <w:szCs w:val="21"/>
                <w:highlight w:val="none"/>
              </w:rPr>
              <w:t>▲2.4支持全院各科室的同品牌中央站信息可以相互访问，可以实现全院多参数监护仪的统一管理，支持数据在院内各科室之间流通。</w:t>
            </w:r>
          </w:p>
          <w:p w14:paraId="3A7BBC2F">
            <w:pPr>
              <w:spacing w:line="360" w:lineRule="exact"/>
              <w:rPr>
                <w:rFonts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2.5在护士站，中央监护系统软件支持扩展≥2个屏幕显示，同时接入的监护设备数量不少于120床。</w:t>
            </w:r>
          </w:p>
          <w:p w14:paraId="5070AA32">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2.6支持在移动端（包括安卓或IOS系统）显示系统界面，实时查看多个患者和单个患者的体征数据，且可以进行接收病人并进行病人列表管理。</w:t>
            </w:r>
          </w:p>
          <w:p w14:paraId="71A6E218">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2.7采用无线、有线等方式联网通讯，支持床边监护仪和遥测设备共用一套网络联网通讯，同时接入的监护设备台数最大不低于1200台。</w:t>
            </w:r>
          </w:p>
          <w:p w14:paraId="3F545C7A">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2.8为充分保证数据安全性、完整性，系统需要提供基于用户名、密码的用户身份认证和基于角色、基于观察设备的用户权限管理功能。</w:t>
            </w:r>
          </w:p>
          <w:p w14:paraId="46442763">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2.9支持双向控制，且中央站可以远程控制监护仪进行报警暂停/关闭、报警复位和血压测量。</w:t>
            </w:r>
          </w:p>
          <w:p w14:paraId="7EF0BC2A">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2.10支持双向呼叫，具备护士呼叫和呼叫病人功能，可以最大程度保障患者生命安全。</w:t>
            </w:r>
          </w:p>
          <w:p w14:paraId="02AFCB8C">
            <w:pPr>
              <w:spacing w:line="36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▲2.11具备护理管理功能，支持病人列表管理、护理记录单管理、体温记录单管理，实现护理记录的快捷录入与保存。</w:t>
            </w:r>
          </w:p>
          <w:p w14:paraId="2F840020">
            <w:pPr>
              <w:spacing w:line="360" w:lineRule="exact"/>
              <w:rPr>
                <w:rFonts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2.12中央监护系统可以接入HIS系统，在HIS系统可以自动获取中央站的监测数据。</w:t>
            </w:r>
          </w:p>
          <w:p w14:paraId="760B6AEE">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2.13中央站软件可接收、储存和打印血气分析仪测试报告，内容包括：PH、PO2、PCO2、Na＋、K＋、CL-、Ca++、 Hct、Glu、Lac, 10项参数。</w:t>
            </w:r>
          </w:p>
          <w:p w14:paraId="29A65367">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2.14中央站软件可导出数据进行动态心电、动态血压分析。</w:t>
            </w:r>
          </w:p>
        </w:tc>
      </w:tr>
      <w:tr w14:paraId="0F582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5000" w:type="pct"/>
            <w:gridSpan w:val="7"/>
            <w:tcBorders>
              <w:bottom w:val="single" w:color="auto" w:sz="4" w:space="0"/>
            </w:tcBorders>
            <w:vAlign w:val="center"/>
          </w:tcPr>
          <w:p w14:paraId="6E6598B5">
            <w:pPr>
              <w:spacing w:line="360" w:lineRule="exact"/>
              <w:rPr>
                <w:rFonts w:ascii="宋体" w:hAnsi="宋体" w:cs="宋体"/>
                <w:color w:val="auto"/>
                <w:kern w:val="0"/>
                <w:szCs w:val="21"/>
                <w:highlight w:val="none"/>
              </w:rPr>
            </w:pPr>
            <w:r>
              <w:rPr>
                <w:rFonts w:hint="eastAsia" w:ascii="宋体" w:hAnsi="宋体" w:cs="宋体"/>
                <w:b/>
                <w:color w:val="auto"/>
                <w:szCs w:val="21"/>
                <w:highlight w:val="none"/>
              </w:rPr>
              <w:t>核心产品：本分标核心产品为第1项标的“病人监护仪”。</w:t>
            </w:r>
          </w:p>
        </w:tc>
      </w:tr>
      <w:tr w14:paraId="2EE63D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7"/>
            <w:tcBorders>
              <w:top w:val="single" w:color="auto" w:sz="4" w:space="0"/>
              <w:left w:val="single" w:color="auto" w:sz="4" w:space="0"/>
              <w:bottom w:val="single" w:color="auto" w:sz="4" w:space="0"/>
              <w:right w:val="single" w:color="auto" w:sz="4" w:space="0"/>
            </w:tcBorders>
          </w:tcPr>
          <w:p w14:paraId="10C0B832">
            <w:pPr>
              <w:adjustRightInd w:val="0"/>
              <w:snapToGrid w:val="0"/>
              <w:spacing w:line="400" w:lineRule="exact"/>
              <w:rPr>
                <w:rFonts w:ascii="宋体" w:hAnsi="宋体" w:cs="宋体"/>
                <w:b/>
                <w:color w:val="auto"/>
                <w:szCs w:val="21"/>
                <w:highlight w:val="none"/>
              </w:rPr>
            </w:pPr>
            <w:r>
              <w:rPr>
                <w:rFonts w:hint="eastAsia" w:ascii="宋体" w:hAnsi="宋体" w:cs="宋体"/>
                <w:b/>
                <w:color w:val="auto"/>
                <w:szCs w:val="21"/>
                <w:highlight w:val="none"/>
              </w:rPr>
              <w:t>▲二、商务要求</w:t>
            </w:r>
          </w:p>
        </w:tc>
      </w:tr>
      <w:tr w14:paraId="079A52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5EEACC06">
            <w:pPr>
              <w:spacing w:line="360" w:lineRule="exact"/>
              <w:jc w:val="center"/>
              <w:rPr>
                <w:rFonts w:ascii="宋体" w:hAnsi="宋体" w:cs="宋体"/>
                <w:b/>
                <w:color w:val="auto"/>
                <w:szCs w:val="21"/>
                <w:highlight w:val="none"/>
              </w:rPr>
            </w:pPr>
            <w:r>
              <w:rPr>
                <w:rFonts w:hint="eastAsia" w:ascii="宋体" w:hAnsi="宋体" w:cs="宋体"/>
                <w:b/>
                <w:bCs/>
                <w:color w:val="auto"/>
                <w:szCs w:val="21"/>
                <w:highlight w:val="none"/>
              </w:rPr>
              <w:t>（一）售后服务基本要求</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11FB0DE6">
            <w:pPr>
              <w:spacing w:line="360" w:lineRule="exact"/>
              <w:jc w:val="left"/>
              <w:rPr>
                <w:rFonts w:ascii="宋体" w:hAnsi="宋体" w:cs="宋体"/>
                <w:color w:val="auto"/>
                <w:highlight w:val="none"/>
              </w:rPr>
            </w:pPr>
            <w:r>
              <w:rPr>
                <w:rFonts w:hint="eastAsia" w:ascii="宋体" w:hAnsi="宋体" w:cs="宋体"/>
                <w:color w:val="auto"/>
                <w:highlight w:val="none"/>
              </w:rPr>
              <w:t>投标人提供的以下售后服务产生的费用均应综合包含在投标报价中，采购人不再就此另行支付任何费用：</w:t>
            </w:r>
          </w:p>
          <w:p w14:paraId="7C06F7F7">
            <w:pPr>
              <w:spacing w:line="360" w:lineRule="exact"/>
              <w:jc w:val="left"/>
              <w:rPr>
                <w:rFonts w:ascii="宋体" w:hAnsi="宋体" w:cs="宋体"/>
                <w:color w:val="auto"/>
                <w:szCs w:val="21"/>
                <w:highlight w:val="none"/>
              </w:rPr>
            </w:pPr>
            <w:r>
              <w:rPr>
                <w:rFonts w:hint="eastAsia" w:ascii="宋体" w:hAnsi="宋体" w:cs="宋体"/>
                <w:color w:val="auto"/>
                <w:highlight w:val="none"/>
              </w:rPr>
              <w:t>1.保修期：</w:t>
            </w:r>
            <w:r>
              <w:rPr>
                <w:rFonts w:hint="eastAsia" w:ascii="宋体" w:hAnsi="宋体" w:cs="宋体"/>
                <w:bCs/>
                <w:color w:val="auto"/>
                <w:szCs w:val="21"/>
                <w:highlight w:val="none"/>
              </w:rPr>
              <w:t>按国家有关产品“三包”规定执行“三包”；</w:t>
            </w:r>
            <w:r>
              <w:rPr>
                <w:rFonts w:hint="eastAsia" w:ascii="宋体" w:hAnsi="宋体" w:cs="宋体"/>
                <w:color w:val="auto"/>
                <w:szCs w:val="20"/>
                <w:highlight w:val="none"/>
              </w:rPr>
              <w:t>病人监护仪</w:t>
            </w:r>
            <w:r>
              <w:rPr>
                <w:rFonts w:hint="eastAsia" w:ascii="宋体" w:hAnsi="宋体" w:cs="宋体"/>
                <w:bCs/>
                <w:color w:val="auto"/>
                <w:szCs w:val="21"/>
                <w:highlight w:val="none"/>
              </w:rPr>
              <w:t>保修期不得少于5年,</w:t>
            </w:r>
            <w:r>
              <w:rPr>
                <w:rFonts w:hint="eastAsia" w:ascii="宋体" w:hAnsi="宋体" w:cs="宋体"/>
                <w:color w:val="auto"/>
                <w:szCs w:val="21"/>
                <w:highlight w:val="none"/>
              </w:rPr>
              <w:t xml:space="preserve"> 遥测监护仪</w:t>
            </w:r>
            <w:r>
              <w:rPr>
                <w:rFonts w:hint="eastAsia" w:ascii="宋体" w:hAnsi="宋体" w:cs="宋体"/>
                <w:bCs/>
                <w:color w:val="auto"/>
                <w:szCs w:val="21"/>
                <w:highlight w:val="none"/>
              </w:rPr>
              <w:t>保修期不得少于3年</w:t>
            </w:r>
            <w:r>
              <w:rPr>
                <w:rFonts w:hint="eastAsia" w:ascii="宋体" w:hAnsi="宋体" w:cs="宋体"/>
                <w:color w:val="auto"/>
                <w:szCs w:val="21"/>
                <w:highlight w:val="none"/>
              </w:rPr>
              <w:t>（保修期从设备验收合格之日起计算），保修期内上门维修不收取任何费用。</w:t>
            </w:r>
          </w:p>
          <w:p w14:paraId="304CF88A">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2.采购范围内的货物送货上门、安装调试合格(仪器到货后1周内到采购人处安装调试)，提供技术及使用培训服务（</w:t>
            </w:r>
            <w:r>
              <w:rPr>
                <w:rFonts w:hint="eastAsia" w:ascii="宋体" w:hAnsi="宋体" w:cs="宋体"/>
                <w:color w:val="auto"/>
                <w:spacing w:val="9"/>
                <w:szCs w:val="21"/>
                <w:highlight w:val="none"/>
              </w:rPr>
              <w:t>包含医护人员及工程人员的培训计划，其中医护人员省</w:t>
            </w:r>
            <w:r>
              <w:rPr>
                <w:rFonts w:hint="eastAsia" w:ascii="宋体" w:hAnsi="宋体" w:cs="宋体"/>
                <w:color w:val="auto"/>
                <w:spacing w:val="8"/>
                <w:szCs w:val="21"/>
                <w:highlight w:val="none"/>
                <w:u w:val="single"/>
              </w:rPr>
              <w:t>区内/省区</w:t>
            </w:r>
            <w:r>
              <w:rPr>
                <w:rFonts w:hint="eastAsia" w:ascii="宋体" w:hAnsi="宋体" w:cs="宋体"/>
                <w:color w:val="auto"/>
                <w:spacing w:val="8"/>
                <w:szCs w:val="21"/>
                <w:highlight w:val="none"/>
              </w:rPr>
              <w:t>外专项操作培训至少</w:t>
            </w:r>
            <w:r>
              <w:rPr>
                <w:rFonts w:hint="eastAsia" w:ascii="宋体" w:hAnsi="宋体" w:cs="宋体"/>
                <w:color w:val="auto"/>
                <w:spacing w:val="4"/>
                <w:szCs w:val="21"/>
                <w:highlight w:val="none"/>
                <w:u w:val="single"/>
              </w:rPr>
              <w:t>2</w:t>
            </w:r>
            <w:r>
              <w:rPr>
                <w:rFonts w:hint="eastAsia" w:ascii="宋体" w:hAnsi="宋体" w:cs="宋体"/>
                <w:color w:val="auto"/>
                <w:spacing w:val="8"/>
                <w:szCs w:val="21"/>
                <w:highlight w:val="none"/>
              </w:rPr>
              <w:t>人次；工程人员</w:t>
            </w:r>
            <w:r>
              <w:rPr>
                <w:rFonts w:hint="eastAsia" w:ascii="宋体" w:hAnsi="宋体" w:cs="宋体"/>
                <w:color w:val="auto"/>
                <w:spacing w:val="8"/>
                <w:szCs w:val="21"/>
                <w:highlight w:val="none"/>
                <w:u w:val="single"/>
              </w:rPr>
              <w:t>省区内/省区外</w:t>
            </w:r>
            <w:r>
              <w:rPr>
                <w:rFonts w:hint="eastAsia" w:ascii="宋体" w:hAnsi="宋体" w:cs="宋体"/>
                <w:color w:val="auto"/>
                <w:spacing w:val="8"/>
                <w:szCs w:val="21"/>
                <w:highlight w:val="none"/>
              </w:rPr>
              <w:t>专项维保培训至少</w:t>
            </w:r>
            <w:r>
              <w:rPr>
                <w:rFonts w:hint="eastAsia" w:ascii="宋体" w:hAnsi="宋体" w:cs="宋体"/>
                <w:color w:val="auto"/>
                <w:spacing w:val="8"/>
                <w:szCs w:val="21"/>
                <w:highlight w:val="none"/>
                <w:u w:val="single"/>
              </w:rPr>
              <w:t>2</w:t>
            </w:r>
            <w:r>
              <w:rPr>
                <w:rFonts w:hint="eastAsia" w:ascii="宋体" w:hAnsi="宋体" w:cs="宋体"/>
                <w:color w:val="auto"/>
                <w:spacing w:val="8"/>
                <w:szCs w:val="21"/>
                <w:highlight w:val="none"/>
              </w:rPr>
              <w:t>人次</w:t>
            </w:r>
            <w:r>
              <w:rPr>
                <w:rFonts w:hint="eastAsia" w:ascii="宋体" w:hAnsi="宋体" w:cs="宋体"/>
                <w:color w:val="auto"/>
                <w:szCs w:val="21"/>
                <w:highlight w:val="none"/>
              </w:rPr>
              <w:t>），保证操作人员能正常操作设备的各种功能；若设备自带软件，则在保修期内提供升级服务（采购人不再另行支付费用）。</w:t>
            </w:r>
          </w:p>
          <w:p w14:paraId="0955870C">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3.保修期内仪器设备出现故障，在接到电话通知后，2小时内做出响应，24小时内到达维修现场。一般问题应在48小时内解决。重大问题或</w:t>
            </w:r>
            <w:r>
              <w:rPr>
                <w:rFonts w:hint="eastAsia" w:ascii="宋体" w:hAnsi="宋体" w:cs="宋体"/>
                <w:color w:val="auto"/>
                <w:szCs w:val="21"/>
                <w:highlight w:val="none"/>
                <w:lang w:eastAsia="zh-CN"/>
              </w:rPr>
              <w:t>其他</w:t>
            </w:r>
            <w:r>
              <w:rPr>
                <w:rFonts w:hint="eastAsia" w:ascii="宋体" w:hAnsi="宋体" w:cs="宋体"/>
                <w:color w:val="auto"/>
                <w:szCs w:val="21"/>
                <w:highlight w:val="none"/>
              </w:rPr>
              <w:t>无法迅速解决的问题应在一周内解决。</w:t>
            </w:r>
          </w:p>
          <w:p w14:paraId="38685022">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4.提供每半年一次定期回访以及对设备维护服务。</w:t>
            </w:r>
          </w:p>
          <w:p w14:paraId="11D91971">
            <w:pPr>
              <w:spacing w:line="360" w:lineRule="exact"/>
              <w:rPr>
                <w:rFonts w:ascii="Arial" w:hAnsi="Arial" w:cs="Arial"/>
                <w:color w:val="auto"/>
                <w:kern w:val="0"/>
                <w:szCs w:val="21"/>
                <w:highlight w:val="none"/>
              </w:rPr>
            </w:pPr>
            <w:r>
              <w:rPr>
                <w:rFonts w:hint="eastAsia" w:ascii="宋体" w:hAnsi="宋体" w:cs="宋体"/>
                <w:color w:val="auto"/>
                <w:kern w:val="0"/>
                <w:szCs w:val="21"/>
                <w:highlight w:val="none"/>
              </w:rPr>
              <w:t>5.本项目为交钥匙项目。在保修期内，投标人必须保证采购人能够合法应用该器械，并办理相关证</w:t>
            </w:r>
            <w:r>
              <w:rPr>
                <w:rFonts w:ascii="Arial" w:hAnsi="Arial" w:cs="Arial"/>
                <w:color w:val="auto"/>
                <w:kern w:val="0"/>
                <w:szCs w:val="21"/>
                <w:highlight w:val="none"/>
              </w:rPr>
              <w:t>件、手续</w:t>
            </w:r>
            <w:r>
              <w:rPr>
                <w:rFonts w:hint="eastAsia" w:ascii="Arial" w:hAnsi="Arial" w:cs="Arial"/>
                <w:color w:val="auto"/>
                <w:kern w:val="0"/>
                <w:szCs w:val="21"/>
                <w:highlight w:val="none"/>
              </w:rPr>
              <w:t>，</w:t>
            </w:r>
            <w:r>
              <w:rPr>
                <w:rFonts w:ascii="Arial" w:hAnsi="Arial" w:cs="Arial"/>
                <w:color w:val="auto"/>
                <w:kern w:val="0"/>
                <w:szCs w:val="21"/>
                <w:highlight w:val="none"/>
              </w:rPr>
              <w:t>产生的费用包含在合同/协议价格中。在此过程中</w:t>
            </w:r>
            <w:r>
              <w:rPr>
                <w:rFonts w:hint="eastAsia" w:ascii="Arial" w:hAnsi="Arial" w:cs="Arial"/>
                <w:color w:val="auto"/>
                <w:kern w:val="0"/>
                <w:szCs w:val="21"/>
                <w:highlight w:val="none"/>
              </w:rPr>
              <w:t>，采购人</w:t>
            </w:r>
            <w:r>
              <w:rPr>
                <w:rFonts w:ascii="Arial" w:hAnsi="Arial" w:cs="Arial"/>
                <w:color w:val="auto"/>
                <w:kern w:val="0"/>
                <w:szCs w:val="21"/>
                <w:highlight w:val="none"/>
              </w:rPr>
              <w:t>应当提供必要支持。若可能出现的后续证件、手续</w:t>
            </w:r>
            <w:r>
              <w:rPr>
                <w:rFonts w:hint="eastAsia" w:ascii="Arial" w:hAnsi="Arial" w:cs="Arial"/>
                <w:color w:val="auto"/>
                <w:kern w:val="0"/>
                <w:szCs w:val="21"/>
                <w:highlight w:val="none"/>
              </w:rPr>
              <w:t>，投标人</w:t>
            </w:r>
            <w:r>
              <w:rPr>
                <w:rFonts w:ascii="Arial" w:hAnsi="Arial" w:cs="Arial"/>
                <w:color w:val="auto"/>
                <w:kern w:val="0"/>
                <w:szCs w:val="21"/>
                <w:highlight w:val="none"/>
              </w:rPr>
              <w:t>必须提供办理的流程及方法。</w:t>
            </w:r>
          </w:p>
          <w:p w14:paraId="004AF58E">
            <w:pPr>
              <w:spacing w:line="360" w:lineRule="exact"/>
              <w:jc w:val="left"/>
              <w:rPr>
                <w:rFonts w:ascii="宋体" w:hAnsi="宋体" w:cs="宋体"/>
                <w:color w:val="auto"/>
                <w:highlight w:val="none"/>
              </w:rPr>
            </w:pPr>
            <w:r>
              <w:rPr>
                <w:rFonts w:hint="eastAsia" w:ascii="宋体" w:hAnsi="宋体" w:cs="宋体"/>
                <w:color w:val="auto"/>
                <w:highlight w:val="none"/>
              </w:rPr>
              <w:t>6.易损零配件和专机专用试剂耗材价格表：本项目签订合同时，应附易损零配件和专机专用试剂耗材价格表。</w:t>
            </w:r>
          </w:p>
          <w:p w14:paraId="50137817">
            <w:pPr>
              <w:spacing w:line="360" w:lineRule="exact"/>
              <w:jc w:val="left"/>
              <w:rPr>
                <w:rFonts w:ascii="宋体" w:hAnsi="宋体" w:cs="宋体"/>
                <w:color w:val="auto"/>
                <w:highlight w:val="none"/>
              </w:rPr>
            </w:pPr>
            <w:r>
              <w:rPr>
                <w:rFonts w:hint="eastAsia" w:ascii="宋体" w:hAnsi="宋体" w:cs="宋体"/>
                <w:color w:val="auto"/>
                <w:highlight w:val="none"/>
              </w:rPr>
              <w:t>7.维修技术支持：投标人一次性提供维护手册、维修手册、软件备份、故障代码表、备件清单等维护维修必需的材料和信息，否则不予验收。保修期外，提供维修密码及软件在该项目中的使用权，按合同约定价格提供零部件，以及快速响应的技术支持。保修期外，如在使用过程中发生质量问题，投标人在接到采购人通知后在24小时/天内到达采购人现场处理。以上涉及的费用均包含在投标报价中，采购人不再另行支付。</w:t>
            </w:r>
          </w:p>
          <w:p w14:paraId="5DCC58F0">
            <w:pPr>
              <w:spacing w:line="360" w:lineRule="exact"/>
              <w:jc w:val="left"/>
              <w:rPr>
                <w:rFonts w:ascii="宋体" w:hAnsi="宋体" w:cs="宋体"/>
                <w:color w:val="auto"/>
                <w:highlight w:val="none"/>
              </w:rPr>
            </w:pPr>
            <w:r>
              <w:rPr>
                <w:rFonts w:hint="eastAsia" w:ascii="宋体" w:hAnsi="宋体" w:cs="宋体"/>
                <w:color w:val="auto"/>
                <w:highlight w:val="none"/>
              </w:rPr>
              <w:t>8.投标人应保证采购人获得合同约定范围内所有软件功能，终身单机软件使用权。不得限制硬件配件采购，并在采购人自主更换配件后，帮助采购人恢复原有的软件及系统，使采购人能够正常使用该器械/设备、项目。以上涉及的费用均包含在投标报价中，采购人不再另行支付。</w:t>
            </w:r>
          </w:p>
          <w:p w14:paraId="79EC5CAA">
            <w:pPr>
              <w:spacing w:line="360" w:lineRule="exact"/>
              <w:jc w:val="left"/>
              <w:rPr>
                <w:rFonts w:ascii="宋体" w:hAnsi="宋体" w:cs="宋体"/>
                <w:color w:val="auto"/>
                <w:highlight w:val="none"/>
              </w:rPr>
            </w:pPr>
            <w:r>
              <w:rPr>
                <w:rFonts w:hint="eastAsia" w:ascii="宋体" w:hAnsi="宋体" w:cs="宋体"/>
                <w:color w:val="auto"/>
                <w:highlight w:val="none"/>
              </w:rPr>
              <w:t>9.投标人承诺保修期内，按国家相关规定，执行保养及预防性维护，并提供报告。</w:t>
            </w:r>
          </w:p>
          <w:p w14:paraId="0D140435">
            <w:pPr>
              <w:spacing w:line="360" w:lineRule="exact"/>
              <w:jc w:val="left"/>
              <w:rPr>
                <w:rFonts w:ascii="宋体" w:hAnsi="宋体" w:cs="宋体"/>
                <w:color w:val="auto"/>
                <w:highlight w:val="none"/>
              </w:rPr>
            </w:pPr>
            <w:r>
              <w:rPr>
                <w:rFonts w:hint="eastAsia" w:ascii="宋体" w:hAnsi="宋体" w:cs="宋体"/>
                <w:color w:val="auto"/>
                <w:highlight w:val="none"/>
              </w:rPr>
              <w:t>10.在设备规定的使用期限内，投标人必须保证配件供应。并承诺过保修期后的维修及配件更换不需预付款，按照医院正常付款流程办理。</w:t>
            </w:r>
          </w:p>
          <w:p w14:paraId="0291FC8A">
            <w:pPr>
              <w:spacing w:line="360" w:lineRule="exact"/>
              <w:jc w:val="left"/>
              <w:rPr>
                <w:color w:val="auto"/>
                <w:highlight w:val="none"/>
              </w:rPr>
            </w:pPr>
            <w:r>
              <w:rPr>
                <w:rFonts w:hint="eastAsia" w:ascii="宋体" w:hAnsi="宋体" w:cs="宋体"/>
                <w:color w:val="auto"/>
                <w:highlight w:val="none"/>
              </w:rPr>
              <w:t>11.保修期外维修应同样提供不收取费用的咨询服务，需上门维修的不收取维修费，仅收取材料费。</w:t>
            </w:r>
          </w:p>
        </w:tc>
      </w:tr>
      <w:tr w14:paraId="4B3A72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4D4BA790">
            <w:pPr>
              <w:adjustRightInd w:val="0"/>
              <w:snapToGrid w:val="0"/>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（二）合同签订时间</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0AFC6947">
            <w:pPr>
              <w:adjustRightInd w:val="0"/>
              <w:snapToGrid w:val="0"/>
              <w:spacing w:line="340" w:lineRule="exact"/>
              <w:rPr>
                <w:rFonts w:ascii="宋体" w:hAnsi="宋体" w:cs="宋体"/>
                <w:b/>
                <w:color w:val="auto"/>
                <w:szCs w:val="21"/>
                <w:highlight w:val="none"/>
              </w:rPr>
            </w:pPr>
            <w:r>
              <w:rPr>
                <w:rFonts w:hint="eastAsia" w:ascii="宋体" w:hAnsi="宋体" w:cs="宋体"/>
                <w:b/>
                <w:color w:val="auto"/>
                <w:szCs w:val="21"/>
                <w:highlight w:val="none"/>
              </w:rPr>
              <w:t>自中标通知书发出之日起 25日内签订采购合同。</w:t>
            </w:r>
          </w:p>
        </w:tc>
      </w:tr>
      <w:tr w14:paraId="36151F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0B99EF8D">
            <w:pPr>
              <w:adjustRightInd w:val="0"/>
              <w:snapToGrid w:val="0"/>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（三）交付时间和地点</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2370E6F4">
            <w:pPr>
              <w:spacing w:line="340" w:lineRule="exact"/>
              <w:rPr>
                <w:rFonts w:ascii="宋体" w:hAnsi="宋体" w:cs="宋体"/>
                <w:b/>
                <w:color w:val="auto"/>
                <w:szCs w:val="21"/>
                <w:highlight w:val="none"/>
              </w:rPr>
            </w:pPr>
            <w:r>
              <w:rPr>
                <w:rFonts w:hint="eastAsia" w:ascii="宋体" w:hAnsi="宋体" w:cs="宋体"/>
                <w:b/>
                <w:color w:val="auto"/>
                <w:szCs w:val="21"/>
                <w:highlight w:val="none"/>
              </w:rPr>
              <w:t>1.交付时间：</w:t>
            </w:r>
            <w:r>
              <w:rPr>
                <w:rFonts w:hint="eastAsia" w:ascii="宋体" w:hAnsi="宋体" w:cs="宋体"/>
                <w:color w:val="auto"/>
                <w:highlight w:val="none"/>
              </w:rPr>
              <w:t>合同签订，</w:t>
            </w:r>
            <w:r>
              <w:rPr>
                <w:rFonts w:hint="eastAsia" w:ascii="宋体" w:hAnsi="宋体" w:cs="宋体"/>
                <w:color w:val="auto"/>
                <w:highlight w:val="none"/>
                <w:lang w:eastAsia="zh-CN"/>
              </w:rPr>
              <w:t>接到采购人供货通知</w:t>
            </w:r>
            <w:r>
              <w:rPr>
                <w:rFonts w:hint="eastAsia" w:ascii="宋体" w:hAnsi="宋体" w:cs="宋体"/>
                <w:color w:val="auto"/>
                <w:highlight w:val="none"/>
              </w:rPr>
              <w:t>后</w:t>
            </w:r>
            <w:r>
              <w:rPr>
                <w:rFonts w:hint="eastAsia" w:ascii="宋体" w:hAnsi="宋体" w:cs="宋体"/>
                <w:color w:val="auto"/>
                <w:highlight w:val="none"/>
                <w:u w:val="single"/>
              </w:rPr>
              <w:t>60</w:t>
            </w:r>
            <w:r>
              <w:rPr>
                <w:rFonts w:hint="eastAsia" w:ascii="宋体" w:hAnsi="宋体" w:cs="宋体"/>
                <w:color w:val="auto"/>
                <w:highlight w:val="none"/>
              </w:rPr>
              <w:t>个工作日内到货并安装调试完毕，达到正常使用状态</w:t>
            </w:r>
            <w:r>
              <w:rPr>
                <w:rFonts w:hint="eastAsia" w:hAnsi="宋体"/>
                <w:color w:val="auto"/>
                <w:szCs w:val="21"/>
                <w:highlight w:val="none"/>
              </w:rPr>
              <w:t>。</w:t>
            </w:r>
          </w:p>
          <w:p w14:paraId="7B2D2822">
            <w:pPr>
              <w:adjustRightInd w:val="0"/>
              <w:snapToGrid w:val="0"/>
              <w:spacing w:line="340" w:lineRule="exact"/>
              <w:rPr>
                <w:rFonts w:ascii="宋体" w:hAnsi="宋体" w:cs="宋体"/>
                <w:b/>
                <w:color w:val="auto"/>
                <w:szCs w:val="21"/>
                <w:highlight w:val="none"/>
              </w:rPr>
            </w:pPr>
            <w:r>
              <w:rPr>
                <w:rFonts w:hint="eastAsia" w:ascii="宋体" w:hAnsi="宋体" w:cs="宋体"/>
                <w:b/>
                <w:color w:val="auto"/>
                <w:szCs w:val="21"/>
                <w:highlight w:val="none"/>
              </w:rPr>
              <w:t>2.交付地点：广西桂林市采购人医院内指定地点。</w:t>
            </w:r>
          </w:p>
        </w:tc>
      </w:tr>
      <w:tr w14:paraId="63F5ED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7A0C10A3">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（四）付款方式</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3685AFAE">
            <w:pPr>
              <w:spacing w:line="400" w:lineRule="exact"/>
              <w:rPr>
                <w:rFonts w:ascii="宋体" w:hAnsi="宋体" w:cs="宋体"/>
                <w:color w:val="auto"/>
                <w:szCs w:val="21"/>
                <w:highlight w:val="none"/>
              </w:rPr>
            </w:pPr>
            <w:r>
              <w:rPr>
                <w:rFonts w:hint="eastAsia" w:ascii="宋体" w:hAnsi="宋体" w:cs="宋体"/>
                <w:color w:val="auto"/>
                <w:szCs w:val="21"/>
                <w:highlight w:val="none"/>
              </w:rPr>
              <w:t>1.本仪器设备验收合格后，中标人开具全额税务发票，采购人在收到发票后转账支付合同款的95%（无息），可采用汇票、云信、供应链、信用证等付款方式。合同款的5%在设备验收合格满1年后的三个月内转账支付（无息）。采购人付款前，中标人未按上述要求开具符合采购人要求的正规财务票据的，采购人有权暂缓或拒付款项且不构成违约。</w:t>
            </w:r>
          </w:p>
          <w:p w14:paraId="1634115B">
            <w:pPr>
              <w:spacing w:line="340" w:lineRule="exact"/>
              <w:rPr>
                <w:rFonts w:ascii="宋体" w:hAnsi="宋体" w:cs="宋体"/>
                <w:color w:val="auto"/>
                <w:szCs w:val="21"/>
                <w:highlight w:val="none"/>
              </w:rPr>
            </w:pPr>
            <w:r>
              <w:rPr>
                <w:rFonts w:hint="eastAsia" w:ascii="宋体" w:hAnsi="宋体" w:cs="宋体"/>
                <w:color w:val="auto"/>
                <w:szCs w:val="21"/>
                <w:highlight w:val="none"/>
              </w:rPr>
              <w:t>2.票据要求：中标人必须按照采购人要求提供真实、有效、合法的正式税务发票。一旦发现中标人提供虚假税务发票，除须向采购人补开合法的税务发票外，须赔偿采购人发票票面金额一倍的违约金，且采购人有权终止合同，中标人不得提出异议，因终止合同而产生的一切损失均由中标人承担。</w:t>
            </w:r>
          </w:p>
        </w:tc>
      </w:tr>
      <w:tr w14:paraId="2C80BC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11CF702E">
            <w:pPr>
              <w:adjustRightInd w:val="0"/>
              <w:snapToGrid w:val="0"/>
              <w:spacing w:line="360" w:lineRule="exact"/>
              <w:jc w:val="center"/>
              <w:rPr>
                <w:rFonts w:ascii="宋体" w:hAnsi="宋体" w:cs="宋体"/>
                <w:b/>
                <w:bCs/>
                <w:color w:val="auto"/>
                <w:kern w:val="0"/>
                <w:szCs w:val="21"/>
                <w:highlight w:val="none"/>
              </w:rPr>
            </w:pPr>
            <w:r>
              <w:rPr>
                <w:rFonts w:hint="eastAsia" w:ascii="宋体" w:hAnsi="宋体" w:cs="宋体"/>
                <w:b/>
                <w:color w:val="auto"/>
                <w:szCs w:val="21"/>
                <w:highlight w:val="none"/>
              </w:rPr>
              <w:t>（五）包装和运输</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1D87EE9B">
            <w:pPr>
              <w:adjustRightInd w:val="0"/>
              <w:snapToGrid w:val="0"/>
              <w:spacing w:line="34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1.中标人应在货物发运前对其进行满足于运输距离、防潮、防震、防锈和防破损装卸要求的包装，以保证货物安全无损的运输到达采购人指定地点。</w:t>
            </w:r>
          </w:p>
          <w:p w14:paraId="1F424BB3">
            <w:pPr>
              <w:adjustRightInd w:val="0"/>
              <w:snapToGrid w:val="0"/>
              <w:spacing w:line="34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2.使用说明书、质量检验证明书、随配附件和工具以及配置清单等一并附于货物内交付采购人。</w:t>
            </w:r>
          </w:p>
          <w:p w14:paraId="413990B6">
            <w:pPr>
              <w:adjustRightInd w:val="0"/>
              <w:snapToGrid w:val="0"/>
              <w:spacing w:line="34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3.中标人负责将货物安全运送到采购人指定地点，并负责清理回收采购人抛弃的相关大件包装， 不另收任何费用。货到采购人前48小时，由中标人通知采购人，但在验收前采购人原则上不负责接收货物。</w:t>
            </w:r>
          </w:p>
        </w:tc>
      </w:tr>
      <w:tr w14:paraId="3B29C2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476F42A6">
            <w:pPr>
              <w:adjustRightInd w:val="0"/>
              <w:snapToGrid w:val="0"/>
              <w:spacing w:line="360" w:lineRule="exact"/>
              <w:jc w:val="center"/>
              <w:rPr>
                <w:rFonts w:ascii="宋体" w:hAnsi="宋体" w:cs="宋体"/>
                <w:b/>
                <w:bCs/>
                <w:color w:val="auto"/>
                <w:kern w:val="0"/>
                <w:szCs w:val="21"/>
                <w:highlight w:val="none"/>
              </w:rPr>
            </w:pPr>
            <w:r>
              <w:rPr>
                <w:rFonts w:hint="eastAsia" w:ascii="宋体" w:hAnsi="宋体" w:cs="宋体"/>
                <w:b/>
                <w:color w:val="auto"/>
                <w:szCs w:val="21"/>
                <w:highlight w:val="none"/>
              </w:rPr>
              <w:t>（六）保险</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6FFED3D4">
            <w:pPr>
              <w:adjustRightInd w:val="0"/>
              <w:snapToGrid w:val="0"/>
              <w:spacing w:line="340" w:lineRule="exact"/>
              <w:rPr>
                <w:rFonts w:ascii="宋体" w:hAnsi="宋体" w:cs="宋体"/>
                <w:b/>
                <w:color w:val="auto"/>
                <w:szCs w:val="21"/>
                <w:highlight w:val="none"/>
              </w:rPr>
            </w:pPr>
            <w:r>
              <w:rPr>
                <w:rFonts w:hint="eastAsia" w:ascii="宋体" w:hAnsi="宋体" w:cs="宋体"/>
                <w:b/>
                <w:bCs/>
                <w:color w:val="auto"/>
                <w:kern w:val="0"/>
                <w:szCs w:val="21"/>
                <w:highlight w:val="none"/>
              </w:rPr>
              <w:t>若投标人为本项目标的及标的涉及的相关材料、设备、人员、运输等购买保险的，相关费用由投标人自行承担。</w:t>
            </w:r>
          </w:p>
        </w:tc>
      </w:tr>
      <w:tr w14:paraId="43D5E3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184AFCC7">
            <w:pPr>
              <w:widowControl/>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（七）验收标准</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1B2F473C">
            <w:pPr>
              <w:spacing w:line="340" w:lineRule="exact"/>
              <w:jc w:val="left"/>
              <w:rPr>
                <w:rFonts w:ascii="宋体" w:hAnsi="宋体" w:cs="宋体"/>
                <w:b/>
                <w:color w:val="auto"/>
                <w:szCs w:val="21"/>
                <w:highlight w:val="none"/>
              </w:rPr>
            </w:pPr>
            <w:r>
              <w:rPr>
                <w:rFonts w:hint="eastAsia" w:ascii="宋体" w:hAnsi="宋体" w:cs="宋体"/>
                <w:b/>
                <w:color w:val="auto"/>
                <w:szCs w:val="21"/>
                <w:highlight w:val="none"/>
              </w:rPr>
              <w:t>1.中标人交货前应对产品作出全面检查和对验收文件进行整理列出清单，作为采购人收货验收和使用的技术条件依据，检验的结果应随货物交采购人。</w:t>
            </w:r>
          </w:p>
          <w:p w14:paraId="30441FD5">
            <w:pPr>
              <w:spacing w:line="340" w:lineRule="exact"/>
              <w:jc w:val="left"/>
              <w:rPr>
                <w:rFonts w:ascii="宋体" w:hAnsi="宋体" w:cs="宋体"/>
                <w:b/>
                <w:color w:val="auto"/>
                <w:szCs w:val="21"/>
                <w:highlight w:val="none"/>
              </w:rPr>
            </w:pPr>
            <w:r>
              <w:rPr>
                <w:rFonts w:hint="eastAsia" w:ascii="宋体" w:hAnsi="宋体" w:cs="宋体"/>
                <w:b/>
                <w:color w:val="auto"/>
                <w:szCs w:val="21"/>
                <w:highlight w:val="none"/>
              </w:rPr>
              <w:t>2.采购人对中标人所交货物依照国家有关标准，进行现场验收，性能达到技术要求的给予签收，验收不合格不予签收，后果由中标人负责。</w:t>
            </w:r>
          </w:p>
          <w:p w14:paraId="268BC793">
            <w:pPr>
              <w:adjustRightInd w:val="0"/>
              <w:snapToGrid w:val="0"/>
              <w:spacing w:line="340" w:lineRule="exact"/>
              <w:rPr>
                <w:rFonts w:ascii="宋体" w:hAnsi="宋体" w:cs="宋体"/>
                <w:color w:val="auto"/>
                <w:szCs w:val="21"/>
                <w:highlight w:val="none"/>
              </w:rPr>
            </w:pPr>
            <w:r>
              <w:rPr>
                <w:rFonts w:hint="eastAsia" w:ascii="宋体" w:hAnsi="宋体" w:cs="宋体"/>
                <w:b/>
                <w:color w:val="auto"/>
                <w:szCs w:val="21"/>
                <w:highlight w:val="none"/>
              </w:rPr>
              <w:t>3.中标人应在货到指定地点安装、调试完毕，确保正常使用，并及时配合采购人验收。</w:t>
            </w:r>
          </w:p>
        </w:tc>
      </w:tr>
      <w:tr w14:paraId="5543B5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7FCE7F86">
            <w:pPr>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（八）知识产权</w:t>
            </w:r>
          </w:p>
        </w:tc>
        <w:tc>
          <w:tcPr>
            <w:tcW w:w="3266" w:type="pct"/>
            <w:gridSpan w:val="3"/>
            <w:tcBorders>
              <w:top w:val="single" w:color="auto" w:sz="4" w:space="0"/>
              <w:left w:val="single" w:color="auto" w:sz="4" w:space="0"/>
              <w:bottom w:val="single" w:color="auto" w:sz="4" w:space="0"/>
              <w:right w:val="single" w:color="auto" w:sz="4" w:space="0"/>
            </w:tcBorders>
          </w:tcPr>
          <w:p w14:paraId="5E063C16">
            <w:pPr>
              <w:snapToGrid w:val="0"/>
              <w:spacing w:line="340" w:lineRule="exact"/>
              <w:rPr>
                <w:rFonts w:ascii="宋体" w:hAnsi="宋体" w:cs="宋体"/>
                <w:b/>
                <w:color w:val="auto"/>
                <w:szCs w:val="21"/>
                <w:highlight w:val="none"/>
              </w:rPr>
            </w:pPr>
            <w:r>
              <w:rPr>
                <w:rFonts w:hint="eastAsia" w:ascii="宋体" w:hAnsi="宋体" w:cs="宋体"/>
                <w:b/>
                <w:color w:val="auto"/>
                <w:szCs w:val="21"/>
                <w:highlight w:val="none"/>
              </w:rPr>
              <w:t>1.采购人在履行合同过程中提供给中标人的全部文件和其他含有数据和信息的资料，其知识产权属于采购人。</w:t>
            </w:r>
          </w:p>
          <w:p w14:paraId="164AD0E1">
            <w:pPr>
              <w:snapToGrid w:val="0"/>
              <w:spacing w:line="340" w:lineRule="exact"/>
              <w:rPr>
                <w:rFonts w:ascii="宋体" w:hAnsi="宋体" w:cs="宋体"/>
                <w:b/>
                <w:color w:val="auto"/>
                <w:szCs w:val="21"/>
                <w:highlight w:val="none"/>
              </w:rPr>
            </w:pPr>
            <w:r>
              <w:rPr>
                <w:rFonts w:hint="eastAsia" w:ascii="宋体" w:hAnsi="宋体" w:cs="宋体"/>
                <w:b/>
                <w:color w:val="auto"/>
                <w:szCs w:val="21"/>
                <w:highlight w:val="none"/>
              </w:rPr>
              <w:t>2.除招标文件采购需求另有约定外，采购人不因签署和履行合同而享有中标人在履行合同过程中提供给采购人的文件、配套软件、电子辅助程序和其他含有数据和信息的资料的知识产权。</w:t>
            </w:r>
          </w:p>
          <w:p w14:paraId="3A741C98">
            <w:pPr>
              <w:spacing w:line="340" w:lineRule="exact"/>
              <w:jc w:val="left"/>
              <w:rPr>
                <w:rFonts w:ascii="宋体" w:hAnsi="宋体" w:cs="宋体"/>
                <w:color w:val="auto"/>
                <w:szCs w:val="21"/>
                <w:highlight w:val="none"/>
              </w:rPr>
            </w:pPr>
            <w:r>
              <w:rPr>
                <w:rFonts w:hint="eastAsia" w:ascii="宋体" w:hAnsi="宋体" w:cs="宋体"/>
                <w:b/>
                <w:color w:val="auto"/>
                <w:szCs w:val="21"/>
                <w:highlight w:val="none"/>
              </w:rPr>
              <w:t>3.中标人应保证所提供货物在使用时不会侵犯任何第三方的知识产权或者其他权利。如合同货物涉及知识产权，则中标人保证采购人在使用合同货物过程中免于受到第三方提出的有关知识产权侵权的主张、索赔或诉讼的伤害。</w:t>
            </w:r>
          </w:p>
        </w:tc>
      </w:tr>
      <w:tr w14:paraId="1B9F01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729C67EF">
            <w:pPr>
              <w:spacing w:line="340" w:lineRule="exact"/>
              <w:jc w:val="center"/>
              <w:rPr>
                <w:rFonts w:ascii="宋体" w:hAnsi="宋体" w:cs="宋体"/>
                <w:b/>
                <w:color w:val="auto"/>
                <w:szCs w:val="21"/>
                <w:highlight w:val="none"/>
              </w:rPr>
            </w:pPr>
            <w:r>
              <w:rPr>
                <w:rFonts w:hint="eastAsia" w:ascii="宋体" w:hAnsi="宋体" w:cs="宋体"/>
                <w:b/>
                <w:color w:val="auto"/>
                <w:szCs w:val="21"/>
                <w:highlight w:val="none"/>
              </w:rPr>
              <w:t>（九）违约责任</w:t>
            </w:r>
          </w:p>
        </w:tc>
        <w:tc>
          <w:tcPr>
            <w:tcW w:w="3266" w:type="pct"/>
            <w:gridSpan w:val="3"/>
            <w:tcBorders>
              <w:top w:val="single" w:color="auto" w:sz="4" w:space="0"/>
              <w:left w:val="single" w:color="auto" w:sz="4" w:space="0"/>
              <w:bottom w:val="single" w:color="auto" w:sz="4" w:space="0"/>
              <w:right w:val="single" w:color="auto" w:sz="4" w:space="0"/>
            </w:tcBorders>
          </w:tcPr>
          <w:p w14:paraId="0C9C14B8">
            <w:pPr>
              <w:adjustRightInd w:val="0"/>
              <w:snapToGrid w:val="0"/>
              <w:spacing w:line="340" w:lineRule="exact"/>
              <w:jc w:val="left"/>
              <w:rPr>
                <w:rFonts w:ascii="宋体" w:hAnsi="宋体" w:cs="宋体"/>
                <w:b/>
                <w:color w:val="auto"/>
                <w:szCs w:val="21"/>
                <w:highlight w:val="none"/>
              </w:rPr>
            </w:pPr>
            <w:r>
              <w:rPr>
                <w:rFonts w:hint="eastAsia" w:ascii="宋体" w:hAnsi="宋体" w:cs="宋体"/>
                <w:b/>
                <w:color w:val="auto"/>
                <w:szCs w:val="21"/>
                <w:highlight w:val="none"/>
              </w:rPr>
              <w:t>1.保修期内，如在使用过程中发生质量问题，中标人在接到采购人通知后按承诺的时间内到达采购人现场处理。中标人未在承诺时间内到达处理，每次需按照该设备中标金额的1%支付违约金，违约金总金额不超过该设备总金额的5%，扣款直接以留存的5%合同价款抵扣，不足抵扣的，中标人须承担补足责任。否则中标人需按合同总金额的30%向采购人支付违约金并承担相应的法律责任。</w:t>
            </w:r>
          </w:p>
          <w:p w14:paraId="5D028758">
            <w:pPr>
              <w:adjustRightInd w:val="0"/>
              <w:snapToGrid w:val="0"/>
              <w:spacing w:line="340" w:lineRule="exact"/>
              <w:jc w:val="left"/>
              <w:rPr>
                <w:rFonts w:ascii="宋体" w:hAnsi="宋体" w:cs="宋体"/>
                <w:b/>
                <w:color w:val="auto"/>
                <w:szCs w:val="21"/>
                <w:highlight w:val="none"/>
              </w:rPr>
            </w:pPr>
            <w:r>
              <w:rPr>
                <w:rFonts w:hint="eastAsia" w:ascii="宋体" w:hAnsi="宋体" w:cs="宋体"/>
                <w:b/>
                <w:color w:val="auto"/>
                <w:szCs w:val="21"/>
                <w:highlight w:val="none"/>
              </w:rPr>
              <w:t>2.中标人无正当理由拒收的，违约方每天按合同标的0.3%支付违约金。</w:t>
            </w:r>
          </w:p>
          <w:p w14:paraId="784B36D9">
            <w:pPr>
              <w:adjustRightInd w:val="0"/>
              <w:snapToGrid w:val="0"/>
              <w:spacing w:line="340" w:lineRule="exact"/>
              <w:jc w:val="left"/>
              <w:rPr>
                <w:rFonts w:ascii="宋体" w:hAnsi="宋体" w:cs="宋体"/>
                <w:b/>
                <w:color w:val="auto"/>
                <w:szCs w:val="21"/>
                <w:highlight w:val="none"/>
              </w:rPr>
            </w:pPr>
            <w:r>
              <w:rPr>
                <w:rFonts w:hint="eastAsia" w:ascii="宋体" w:hAnsi="宋体" w:cs="宋体"/>
                <w:b/>
                <w:color w:val="auto"/>
                <w:szCs w:val="21"/>
                <w:highlight w:val="none"/>
              </w:rPr>
              <w:t>3.中标人逾期交付货物的，每逾期一日应支付违约金1000元，中标人逾期超过7天仍不能交货的,采购人有权单方面终止合同，中标人应按合同总金额的30%向采购人支付违约金，造成采购人损失的，由中标人负责赔偿，赔偿范围包括但不限于直接损失、逾期损失、以及维权产生的相关费用。</w:t>
            </w:r>
          </w:p>
          <w:p w14:paraId="464552F5">
            <w:pPr>
              <w:adjustRightInd w:val="0"/>
              <w:snapToGrid w:val="0"/>
              <w:spacing w:line="340" w:lineRule="exact"/>
              <w:jc w:val="left"/>
              <w:rPr>
                <w:rFonts w:ascii="宋体" w:hAnsi="宋体" w:cs="宋体"/>
                <w:b/>
                <w:color w:val="auto"/>
                <w:szCs w:val="21"/>
                <w:highlight w:val="none"/>
              </w:rPr>
            </w:pPr>
            <w:r>
              <w:rPr>
                <w:rFonts w:hint="eastAsia" w:ascii="宋体" w:hAnsi="宋体" w:cs="宋体"/>
                <w:b/>
                <w:color w:val="auto"/>
                <w:szCs w:val="21"/>
                <w:highlight w:val="none"/>
              </w:rPr>
              <w:t>4.中标人货物不符合约定及采购人要求的，须无条件免费予以更换或弥补，由此导致的逾期交付责任由中标人承担；中标人拒绝更换或弥补，更换三次仍不能达到采购人要求的，采购人有权解除合同，中标人应按合同总金额的30%向采购人支付违约金并赔偿采购人全部损失</w:t>
            </w:r>
          </w:p>
          <w:p w14:paraId="210375E2">
            <w:pPr>
              <w:adjustRightInd w:val="0"/>
              <w:snapToGrid w:val="0"/>
              <w:spacing w:line="340" w:lineRule="exact"/>
              <w:jc w:val="left"/>
              <w:rPr>
                <w:rFonts w:ascii="宋体" w:hAnsi="宋体" w:cs="宋体"/>
                <w:b/>
                <w:color w:val="auto"/>
                <w:szCs w:val="21"/>
                <w:highlight w:val="none"/>
              </w:rPr>
            </w:pPr>
            <w:r>
              <w:rPr>
                <w:rFonts w:hint="eastAsia" w:ascii="宋体" w:hAnsi="宋体" w:cs="宋体"/>
                <w:b/>
                <w:color w:val="auto"/>
                <w:szCs w:val="21"/>
                <w:highlight w:val="none"/>
              </w:rPr>
              <w:t>5.中标人未按约定履行售后服务或维保责任的，每发生一次应向采购人支付违约金1000元，采购人有权自行或委托第三方进行维保，由此产生的全部费用由中标人承担。</w:t>
            </w:r>
          </w:p>
          <w:p w14:paraId="73DD68BD">
            <w:pPr>
              <w:adjustRightInd w:val="0"/>
              <w:snapToGrid w:val="0"/>
              <w:spacing w:line="340" w:lineRule="exact"/>
              <w:rPr>
                <w:rFonts w:ascii="宋体" w:hAnsi="宋体" w:cs="宋体"/>
                <w:b/>
                <w:color w:val="auto"/>
                <w:szCs w:val="21"/>
                <w:highlight w:val="none"/>
              </w:rPr>
            </w:pPr>
            <w:r>
              <w:rPr>
                <w:rFonts w:hint="eastAsia" w:ascii="宋体" w:hAnsi="宋体" w:cs="宋体"/>
                <w:b/>
                <w:color w:val="auto"/>
                <w:szCs w:val="21"/>
                <w:highlight w:val="none"/>
              </w:rPr>
              <w:t>6.中标人提供的投标文件如有虚假，视为中标人根本性违约，采购人有权单方面解除合同，并追究中标人相关法律责任。</w:t>
            </w:r>
          </w:p>
        </w:tc>
      </w:tr>
      <w:tr w14:paraId="41406E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70BFD0A1">
            <w:pPr>
              <w:adjustRightInd w:val="0"/>
              <w:snapToGrid w:val="0"/>
              <w:spacing w:line="350" w:lineRule="exact"/>
              <w:jc w:val="center"/>
              <w:rPr>
                <w:rFonts w:ascii="宋体" w:hAnsi="宋体" w:cs="宋体"/>
                <w:b/>
                <w:color w:val="auto"/>
                <w:szCs w:val="21"/>
                <w:highlight w:val="none"/>
              </w:rPr>
            </w:pPr>
            <w:r>
              <w:rPr>
                <w:rFonts w:hint="eastAsia" w:ascii="宋体" w:hAnsi="宋体" w:cs="宋体"/>
                <w:b/>
                <w:color w:val="auto"/>
                <w:kern w:val="0"/>
                <w:szCs w:val="21"/>
                <w:highlight w:val="none"/>
              </w:rPr>
              <w:t>（十）医疗器械管理相应有效证明材料</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4D64D7D6">
            <w:pPr>
              <w:adjustRightInd w:val="0"/>
              <w:snapToGrid w:val="0"/>
              <w:spacing w:line="340" w:lineRule="exact"/>
              <w:jc w:val="left"/>
              <w:rPr>
                <w:rFonts w:ascii="宋体" w:hAnsi="宋体" w:cs="宋体"/>
                <w:b/>
                <w:color w:val="auto"/>
                <w:szCs w:val="21"/>
                <w:highlight w:val="none"/>
              </w:rPr>
            </w:pPr>
            <w:r>
              <w:rPr>
                <w:rFonts w:hint="eastAsia" w:ascii="宋体" w:hAnsi="宋体" w:cs="宋体"/>
                <w:b/>
                <w:color w:val="auto"/>
                <w:szCs w:val="21"/>
                <w:highlight w:val="none"/>
              </w:rPr>
              <w:t>投标人所投本分标产品如属第二类或第三类医疗器械管理的，必须具有相应有效的“医疗器械注册证”（投标人于投标文件中必须提供相应有效的医疗器械注册证复印件，加盖投标人电子签章）。</w:t>
            </w:r>
          </w:p>
        </w:tc>
      </w:tr>
      <w:tr w14:paraId="6F510C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72B1D880">
            <w:pPr>
              <w:pStyle w:val="19"/>
              <w:spacing w:line="360" w:lineRule="exact"/>
              <w:jc w:val="center"/>
              <w:rPr>
                <w:rFonts w:ascii="宋体" w:hAnsi="宋体" w:cs="宋体"/>
                <w:b/>
                <w:color w:val="auto"/>
                <w:kern w:val="2"/>
                <w:sz w:val="21"/>
                <w:szCs w:val="21"/>
                <w:highlight w:val="none"/>
              </w:rPr>
            </w:pPr>
            <w:r>
              <w:rPr>
                <w:rFonts w:hint="eastAsia" w:ascii="宋体" w:hAnsi="宋体" w:cs="宋体"/>
                <w:b/>
                <w:color w:val="auto"/>
                <w:sz w:val="21"/>
                <w:szCs w:val="21"/>
                <w:highlight w:val="none"/>
              </w:rPr>
              <w:t>（十一）进口产品说明</w:t>
            </w:r>
          </w:p>
        </w:tc>
        <w:tc>
          <w:tcPr>
            <w:tcW w:w="3266" w:type="pct"/>
            <w:gridSpan w:val="3"/>
            <w:tcBorders>
              <w:top w:val="single" w:color="auto" w:sz="4" w:space="0"/>
              <w:left w:val="single" w:color="auto" w:sz="4" w:space="0"/>
              <w:bottom w:val="single" w:color="auto" w:sz="4" w:space="0"/>
              <w:right w:val="single" w:color="auto" w:sz="4" w:space="0"/>
            </w:tcBorders>
          </w:tcPr>
          <w:p w14:paraId="79FFDE26">
            <w:pPr>
              <w:spacing w:line="340" w:lineRule="exact"/>
              <w:rPr>
                <w:rFonts w:ascii="宋体" w:hAnsi="宋体" w:cs="宋体"/>
                <w:b/>
                <w:color w:val="auto"/>
                <w:szCs w:val="21"/>
                <w:highlight w:val="none"/>
              </w:rPr>
            </w:pPr>
            <w:r>
              <w:rPr>
                <w:rFonts w:hint="eastAsia" w:ascii="宋体" w:hAnsi="宋体" w:cs="宋体"/>
                <w:b/>
                <w:color w:val="auto"/>
                <w:szCs w:val="21"/>
                <w:highlight w:val="none"/>
              </w:rPr>
              <w:t>本分标货物不接受进口产品（即通过中国海关报关验放进入中国境内且产自关境外的产品）参与投标，如有进口产品参与投标的作无效标处理。</w:t>
            </w:r>
          </w:p>
        </w:tc>
      </w:tr>
      <w:tr w14:paraId="5DE632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63057B81">
            <w:pPr>
              <w:adjustRightInd w:val="0"/>
              <w:snapToGrid w:val="0"/>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（十二）采购预算及最高限价</w:t>
            </w:r>
          </w:p>
        </w:tc>
        <w:tc>
          <w:tcPr>
            <w:tcW w:w="3266" w:type="pct"/>
            <w:gridSpan w:val="3"/>
            <w:tcBorders>
              <w:top w:val="single" w:color="auto" w:sz="4" w:space="0"/>
              <w:left w:val="single" w:color="auto" w:sz="4" w:space="0"/>
              <w:bottom w:val="single" w:color="auto" w:sz="4" w:space="0"/>
              <w:right w:val="single" w:color="auto" w:sz="4" w:space="0"/>
            </w:tcBorders>
          </w:tcPr>
          <w:p w14:paraId="222045D4">
            <w:pPr>
              <w:spacing w:line="340" w:lineRule="exact"/>
              <w:rPr>
                <w:rFonts w:ascii="宋体" w:hAnsi="宋体" w:cs="宋体"/>
                <w:b/>
                <w:color w:val="auto"/>
                <w:szCs w:val="21"/>
                <w:highlight w:val="none"/>
              </w:rPr>
            </w:pPr>
            <w:r>
              <w:rPr>
                <w:rFonts w:hint="eastAsia" w:ascii="宋体" w:hAnsi="宋体" w:cs="宋体"/>
                <w:b/>
                <w:bCs/>
                <w:color w:val="auto"/>
                <w:highlight w:val="none"/>
              </w:rPr>
              <w:t>本</w:t>
            </w:r>
            <w:r>
              <w:rPr>
                <w:rFonts w:hint="eastAsia" w:ascii="宋体" w:hAnsi="宋体" w:cs="宋体"/>
                <w:b/>
                <w:color w:val="auto"/>
                <w:szCs w:val="21"/>
                <w:highlight w:val="none"/>
              </w:rPr>
              <w:t>分标</w:t>
            </w:r>
            <w:r>
              <w:rPr>
                <w:rFonts w:hint="eastAsia" w:ascii="宋体" w:hAnsi="宋体" w:cs="宋体"/>
                <w:b/>
                <w:bCs/>
                <w:color w:val="auto"/>
                <w:highlight w:val="none"/>
              </w:rPr>
              <w:t>采购预算为</w:t>
            </w:r>
            <w:r>
              <w:rPr>
                <w:rFonts w:hint="eastAsia" w:ascii="宋体" w:hAnsi="宋体"/>
                <w:b/>
                <w:bCs/>
                <w:color w:val="auto"/>
                <w:highlight w:val="none"/>
              </w:rPr>
              <w:t>陆拾肆万陆仟元整（¥646000.00），</w:t>
            </w:r>
            <w:r>
              <w:rPr>
                <w:rFonts w:hint="eastAsia" w:ascii="宋体" w:hAnsi="宋体" w:cs="宋体"/>
                <w:b/>
                <w:bCs/>
                <w:color w:val="auto"/>
                <w:highlight w:val="none"/>
              </w:rPr>
              <w:t>最高限价为伍拾万零肆仟元整（¥504000.00），</w:t>
            </w:r>
            <w:r>
              <w:rPr>
                <w:rFonts w:hint="eastAsia" w:ascii="宋体" w:hAnsi="宋体" w:cs="宋体"/>
                <w:b/>
                <w:bCs/>
                <w:color w:val="auto"/>
                <w:szCs w:val="21"/>
                <w:highlight w:val="none"/>
              </w:rPr>
              <w:t>投标人投标报价超最高限价的或</w:t>
            </w:r>
            <w:r>
              <w:rPr>
                <w:rFonts w:hint="eastAsia" w:ascii="宋体" w:hAnsi="宋体"/>
                <w:b/>
                <w:color w:val="auto"/>
                <w:szCs w:val="21"/>
                <w:highlight w:val="none"/>
              </w:rPr>
              <w:t>投标人所投分标各分项的单价报价超相应标的的单价最高限价的</w:t>
            </w:r>
            <w:r>
              <w:rPr>
                <w:rFonts w:hint="eastAsia" w:ascii="宋体" w:hAnsi="宋体" w:cs="宋体"/>
                <w:b/>
                <w:bCs/>
                <w:color w:val="auto"/>
                <w:szCs w:val="21"/>
                <w:highlight w:val="none"/>
              </w:rPr>
              <w:t>，投标文件均按无效处理。</w:t>
            </w:r>
          </w:p>
        </w:tc>
      </w:tr>
      <w:tr w14:paraId="08BEB7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7"/>
            <w:tcBorders>
              <w:top w:val="single" w:color="auto" w:sz="4" w:space="0"/>
              <w:left w:val="single" w:color="auto" w:sz="4" w:space="0"/>
              <w:bottom w:val="single" w:color="auto" w:sz="4" w:space="0"/>
              <w:right w:val="single" w:color="auto" w:sz="4" w:space="0"/>
            </w:tcBorders>
          </w:tcPr>
          <w:p w14:paraId="61819C44">
            <w:pPr>
              <w:adjustRightInd w:val="0"/>
              <w:snapToGrid w:val="0"/>
              <w:spacing w:line="340" w:lineRule="exact"/>
              <w:rPr>
                <w:rFonts w:ascii="宋体" w:hAnsi="宋体" w:cs="宋体"/>
                <w:b/>
                <w:color w:val="auto"/>
                <w:szCs w:val="21"/>
                <w:highlight w:val="none"/>
              </w:rPr>
            </w:pPr>
            <w:r>
              <w:rPr>
                <w:rFonts w:hint="eastAsia" w:ascii="宋体" w:hAnsi="宋体" w:cs="宋体"/>
                <w:b/>
                <w:bCs/>
                <w:color w:val="auto"/>
                <w:szCs w:val="21"/>
                <w:highlight w:val="none"/>
              </w:rPr>
              <w:t>五、与实现项目目标相关的其他要求</w:t>
            </w:r>
          </w:p>
        </w:tc>
      </w:tr>
      <w:tr w14:paraId="35480A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36CF8522">
            <w:pPr>
              <w:adjustRightInd w:val="0"/>
              <w:snapToGrid w:val="0"/>
              <w:spacing w:line="300" w:lineRule="exact"/>
              <w:jc w:val="center"/>
              <w:rPr>
                <w:rFonts w:ascii="宋体" w:hAnsi="宋体" w:cs="宋体"/>
                <w:bCs/>
                <w:color w:val="auto"/>
                <w:szCs w:val="21"/>
                <w:highlight w:val="none"/>
              </w:rPr>
            </w:pPr>
            <w:r>
              <w:rPr>
                <w:rFonts w:hint="eastAsia" w:ascii="宋体" w:hAnsi="宋体" w:cs="宋体"/>
                <w:bCs/>
                <w:color w:val="auto"/>
                <w:szCs w:val="21"/>
                <w:highlight w:val="none"/>
              </w:rPr>
              <w:t>（一）安装实施方案</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0049B74A">
            <w:pPr>
              <w:adjustRightInd w:val="0"/>
              <w:snapToGrid w:val="0"/>
              <w:spacing w:line="340" w:lineRule="exact"/>
              <w:rPr>
                <w:rFonts w:ascii="宋体" w:hAnsi="宋体" w:cs="宋体"/>
                <w:bCs/>
                <w:color w:val="auto"/>
                <w:szCs w:val="21"/>
                <w:highlight w:val="none"/>
              </w:rPr>
            </w:pPr>
            <w:r>
              <w:rPr>
                <w:rFonts w:hint="eastAsia" w:ascii="宋体" w:hAnsi="宋体" w:cs="宋体"/>
                <w:color w:val="auto"/>
                <w:szCs w:val="21"/>
                <w:highlight w:val="none"/>
              </w:rPr>
              <w:t>投标人根据项目要求和自身情况，可于投标文件中提供</w:t>
            </w:r>
            <w:r>
              <w:rPr>
                <w:rFonts w:hint="eastAsia" w:ascii="宋体" w:hAnsi="宋体" w:cs="宋体"/>
                <w:bCs/>
                <w:color w:val="auto"/>
                <w:szCs w:val="21"/>
                <w:highlight w:val="none"/>
              </w:rPr>
              <w:t>安装实施方案</w:t>
            </w:r>
            <w:r>
              <w:rPr>
                <w:rFonts w:hint="eastAsia" w:ascii="宋体" w:hAnsi="宋体" w:cs="宋体"/>
                <w:color w:val="auto"/>
                <w:szCs w:val="21"/>
                <w:highlight w:val="none"/>
              </w:rPr>
              <w:t>，包含但不限于：①安装方案；②设备调试方案；③设备试运行方案等</w:t>
            </w:r>
            <w:r>
              <w:rPr>
                <w:rFonts w:hint="eastAsia" w:ascii="宋体" w:hAnsi="宋体" w:cs="宋体"/>
                <w:bCs/>
                <w:color w:val="auto"/>
                <w:szCs w:val="21"/>
                <w:highlight w:val="none"/>
              </w:rPr>
              <w:t>。</w:t>
            </w:r>
          </w:p>
          <w:p w14:paraId="0AEFF641">
            <w:pPr>
              <w:adjustRightInd w:val="0"/>
              <w:snapToGrid w:val="0"/>
              <w:spacing w:line="340" w:lineRule="exact"/>
              <w:rPr>
                <w:rFonts w:ascii="宋体" w:hAnsi="宋体" w:cs="宋体"/>
                <w:b/>
                <w:i/>
                <w:color w:val="auto"/>
                <w:szCs w:val="21"/>
                <w:highlight w:val="none"/>
              </w:rPr>
            </w:pPr>
            <w:r>
              <w:rPr>
                <w:rFonts w:hint="eastAsia" w:ascii="宋体" w:hAnsi="宋体" w:cs="宋体"/>
                <w:b/>
                <w:bCs/>
                <w:color w:val="auto"/>
                <w:highlight w:val="none"/>
              </w:rPr>
              <w:t>注：</w:t>
            </w:r>
            <w:r>
              <w:rPr>
                <w:rFonts w:hint="eastAsia" w:ascii="宋体" w:hAnsi="宋体" w:cs="宋体"/>
                <w:b/>
                <w:color w:val="auto"/>
                <w:spacing w:val="-4"/>
                <w:szCs w:val="21"/>
                <w:highlight w:val="none"/>
              </w:rPr>
              <w:t>具体详见“第四章  评标方法及评标标准”。</w:t>
            </w:r>
          </w:p>
        </w:tc>
      </w:tr>
      <w:tr w14:paraId="600F13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365597CA">
            <w:pPr>
              <w:adjustRightInd w:val="0"/>
              <w:snapToGrid w:val="0"/>
              <w:spacing w:line="300" w:lineRule="exact"/>
              <w:jc w:val="center"/>
              <w:rPr>
                <w:rFonts w:ascii="宋体" w:hAnsi="宋体" w:cs="宋体"/>
                <w:bCs/>
                <w:color w:val="auto"/>
                <w:szCs w:val="21"/>
                <w:highlight w:val="none"/>
              </w:rPr>
            </w:pPr>
            <w:r>
              <w:rPr>
                <w:rFonts w:hint="eastAsia" w:ascii="宋体" w:hAnsi="宋体" w:cs="宋体"/>
                <w:bCs/>
                <w:color w:val="auto"/>
                <w:szCs w:val="21"/>
                <w:highlight w:val="none"/>
              </w:rPr>
              <w:t>（二）增值售后服务方案</w:t>
            </w:r>
          </w:p>
        </w:tc>
        <w:tc>
          <w:tcPr>
            <w:tcW w:w="326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3787B54">
            <w:pPr>
              <w:adjustRightInd w:val="0"/>
              <w:snapToGrid w:val="0"/>
              <w:spacing w:line="340" w:lineRule="exact"/>
              <w:rPr>
                <w:rFonts w:ascii="宋体" w:hAnsi="宋体" w:cs="宋体"/>
                <w:bCs/>
                <w:color w:val="auto"/>
                <w:szCs w:val="21"/>
                <w:highlight w:val="none"/>
              </w:rPr>
            </w:pPr>
            <w:r>
              <w:rPr>
                <w:rFonts w:hint="eastAsia" w:ascii="宋体" w:hAnsi="宋体" w:cs="宋体"/>
                <w:color w:val="auto"/>
                <w:szCs w:val="21"/>
                <w:highlight w:val="none"/>
              </w:rPr>
              <w:t>投标人根据项目要求和自身情况，可于投标文件中提供</w:t>
            </w:r>
            <w:r>
              <w:rPr>
                <w:rFonts w:hint="eastAsia" w:ascii="宋体" w:hAnsi="宋体" w:cs="宋体"/>
                <w:bCs/>
                <w:color w:val="auto"/>
                <w:szCs w:val="21"/>
                <w:highlight w:val="none"/>
              </w:rPr>
              <w:t>增值售后服务方案</w:t>
            </w:r>
            <w:r>
              <w:rPr>
                <w:rFonts w:hint="eastAsia" w:ascii="宋体" w:hAnsi="宋体" w:cs="宋体"/>
                <w:color w:val="auto"/>
                <w:szCs w:val="21"/>
                <w:highlight w:val="none"/>
              </w:rPr>
              <w:t>，包含但不限于：①</w:t>
            </w:r>
            <w:r>
              <w:rPr>
                <w:rFonts w:hint="eastAsia" w:ascii="宋体" w:hAnsi="宋体" w:cs="宋体"/>
                <w:color w:val="auto"/>
                <w:highlight w:val="none"/>
              </w:rPr>
              <w:t>服务人员的配备</w:t>
            </w:r>
            <w:r>
              <w:rPr>
                <w:rFonts w:hint="eastAsia" w:ascii="宋体" w:hAnsi="宋体" w:cs="宋体"/>
                <w:color w:val="auto"/>
                <w:szCs w:val="21"/>
                <w:highlight w:val="none"/>
              </w:rPr>
              <w:t>、故障出现解决方案，②定期维护 (注明时间)，③技术培训方案，④保修期外维修方案，⑤售后服务措施及其他优惠措施等</w:t>
            </w:r>
            <w:r>
              <w:rPr>
                <w:rFonts w:hint="eastAsia" w:ascii="宋体" w:hAnsi="宋体" w:cs="宋体"/>
                <w:bCs/>
                <w:color w:val="auto"/>
                <w:szCs w:val="21"/>
                <w:highlight w:val="none"/>
              </w:rPr>
              <w:t>。</w:t>
            </w:r>
          </w:p>
          <w:p w14:paraId="56E1AAD5">
            <w:pPr>
              <w:adjustRightInd w:val="0"/>
              <w:snapToGrid w:val="0"/>
              <w:spacing w:line="340" w:lineRule="exact"/>
              <w:rPr>
                <w:rFonts w:ascii="宋体" w:hAnsi="宋体" w:cs="宋体"/>
                <w:b/>
                <w:i/>
                <w:color w:val="auto"/>
                <w:szCs w:val="21"/>
                <w:highlight w:val="none"/>
              </w:rPr>
            </w:pPr>
            <w:r>
              <w:rPr>
                <w:rFonts w:hint="eastAsia" w:ascii="宋体" w:hAnsi="宋体" w:cs="宋体"/>
                <w:b/>
                <w:bCs/>
                <w:color w:val="auto"/>
                <w:highlight w:val="none"/>
              </w:rPr>
              <w:t>注：</w:t>
            </w:r>
            <w:r>
              <w:rPr>
                <w:rFonts w:hint="eastAsia" w:ascii="宋体" w:hAnsi="宋体" w:cs="宋体"/>
                <w:b/>
                <w:color w:val="auto"/>
                <w:spacing w:val="-4"/>
                <w:szCs w:val="21"/>
                <w:highlight w:val="none"/>
              </w:rPr>
              <w:t>具体详见“第四章  评标方法及评标标准”。</w:t>
            </w:r>
          </w:p>
        </w:tc>
      </w:tr>
      <w:tr w14:paraId="065189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28F81E4A">
            <w:pPr>
              <w:adjustRightInd w:val="0"/>
              <w:snapToGrid w:val="0"/>
              <w:spacing w:line="360" w:lineRule="exact"/>
              <w:jc w:val="center"/>
              <w:rPr>
                <w:rFonts w:ascii="宋体" w:hAnsi="宋体" w:cs="宋体"/>
                <w:i/>
                <w:color w:val="auto"/>
                <w:szCs w:val="21"/>
                <w:highlight w:val="none"/>
              </w:rPr>
            </w:pPr>
            <w:r>
              <w:rPr>
                <w:rFonts w:hint="eastAsia" w:ascii="宋体" w:hAnsi="宋体" w:cs="宋体"/>
                <w:color w:val="auto"/>
                <w:szCs w:val="21"/>
                <w:highlight w:val="none"/>
              </w:rPr>
              <w:t>（三）履约能力要求</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6FAE534D">
            <w:pPr>
              <w:spacing w:line="340" w:lineRule="exact"/>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szCs w:val="21"/>
                <w:highlight w:val="none"/>
              </w:rPr>
              <w:t>投标人或所投核心产品生产厂家通过ISO13485</w:t>
            </w:r>
            <w:r>
              <w:rPr>
                <w:rFonts w:hint="eastAsia" w:ascii="宋体" w:hAnsi="宋体" w:cs="宋体"/>
                <w:color w:val="auto"/>
                <w:highlight w:val="none"/>
              </w:rPr>
              <w:t>医疗器械质量管理体系认证</w:t>
            </w:r>
            <w:r>
              <w:rPr>
                <w:rFonts w:hint="eastAsia" w:ascii="宋体" w:hAnsi="宋体" w:cs="宋体"/>
                <w:color w:val="auto"/>
                <w:szCs w:val="21"/>
                <w:highlight w:val="none"/>
              </w:rPr>
              <w:t>、ISO9001质量管理体系认证且有效的。</w:t>
            </w:r>
          </w:p>
          <w:p w14:paraId="6B3058C2">
            <w:pPr>
              <w:spacing w:line="340" w:lineRule="exact"/>
              <w:rPr>
                <w:rFonts w:ascii="宋体" w:hAnsi="宋体" w:cs="宋体"/>
                <w:color w:val="auto"/>
                <w:highlight w:val="none"/>
              </w:rPr>
            </w:pPr>
            <w:r>
              <w:rPr>
                <w:rFonts w:hint="eastAsia" w:ascii="宋体" w:hAnsi="宋体" w:cs="宋体"/>
                <w:bCs/>
                <w:color w:val="auto"/>
                <w:highlight w:val="none"/>
              </w:rPr>
              <w:t>2.</w:t>
            </w:r>
            <w:r>
              <w:rPr>
                <w:rFonts w:hint="eastAsia" w:ascii="宋体" w:hAnsi="宋体" w:cs="宋体"/>
                <w:color w:val="auto"/>
                <w:highlight w:val="none"/>
              </w:rPr>
              <w:t>投标人或所投核心产品生产厂家2021年以来具有同类产品的销售业绩的。</w:t>
            </w:r>
          </w:p>
          <w:p w14:paraId="0572AF5C">
            <w:pPr>
              <w:adjustRightInd w:val="0"/>
              <w:snapToGrid w:val="0"/>
              <w:spacing w:line="340" w:lineRule="exact"/>
              <w:rPr>
                <w:rFonts w:ascii="宋体" w:hAnsi="宋体" w:cs="宋体"/>
                <w:b/>
                <w:i/>
                <w:color w:val="auto"/>
                <w:szCs w:val="21"/>
                <w:highlight w:val="none"/>
              </w:rPr>
            </w:pPr>
            <w:r>
              <w:rPr>
                <w:rFonts w:hint="eastAsia" w:ascii="宋体" w:hAnsi="宋体" w:cs="宋体"/>
                <w:b/>
                <w:bCs/>
                <w:color w:val="auto"/>
                <w:highlight w:val="none"/>
              </w:rPr>
              <w:t>注：上述履约能力加分详见“第四章 评标办法及评标标准”。</w:t>
            </w:r>
          </w:p>
        </w:tc>
      </w:tr>
      <w:tr w14:paraId="2A792A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0F8E32C6">
            <w:pPr>
              <w:adjustRightInd w:val="0"/>
              <w:snapToGrid w:val="0"/>
              <w:spacing w:line="360" w:lineRule="exact"/>
              <w:jc w:val="center"/>
              <w:rPr>
                <w:rFonts w:ascii="宋体" w:hAnsi="宋体" w:cs="宋体"/>
                <w:i/>
                <w:color w:val="auto"/>
                <w:szCs w:val="21"/>
                <w:highlight w:val="none"/>
              </w:rPr>
            </w:pPr>
            <w:r>
              <w:rPr>
                <w:rFonts w:hint="eastAsia" w:ascii="宋体" w:hAnsi="宋体" w:cs="宋体"/>
                <w:color w:val="auto"/>
                <w:szCs w:val="21"/>
                <w:highlight w:val="none"/>
              </w:rPr>
              <w:t>（四）政策性加分条件</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291E035A">
            <w:pPr>
              <w:spacing w:line="340" w:lineRule="exact"/>
              <w:rPr>
                <w:rFonts w:ascii="宋体" w:hAnsi="宋体" w:cs="宋体"/>
                <w:color w:val="auto"/>
                <w:highlight w:val="none"/>
              </w:rPr>
            </w:pPr>
            <w:r>
              <w:rPr>
                <w:rFonts w:hint="eastAsia" w:ascii="宋体" w:hAnsi="宋体" w:cs="宋体"/>
                <w:color w:val="auto"/>
                <w:highlight w:val="none"/>
              </w:rPr>
              <w:t>1.节能产品：属于财政部《节能产品政府采购品目清单》内优先采购（清单内未标注“★”的品目）的产品（投标文件中提供有效的认证证书复印件，并加盖投标人电子签章）。</w:t>
            </w:r>
          </w:p>
          <w:p w14:paraId="6563FCA0">
            <w:pPr>
              <w:spacing w:line="340" w:lineRule="exact"/>
              <w:rPr>
                <w:rFonts w:ascii="宋体" w:hAnsi="宋体" w:cs="宋体"/>
                <w:color w:val="auto"/>
                <w:highlight w:val="none"/>
              </w:rPr>
            </w:pPr>
            <w:r>
              <w:rPr>
                <w:rFonts w:hint="eastAsia" w:ascii="宋体" w:hAnsi="宋体" w:cs="宋体"/>
                <w:color w:val="auto"/>
                <w:highlight w:val="none"/>
              </w:rPr>
              <w:t>2.环境标志产品：属于财政部《环境标志产品政府采购品目清单》内的产品（投标文件中提供有效的认证证书复印件，并加盖投标人电子签章）。</w:t>
            </w:r>
          </w:p>
          <w:p w14:paraId="7F185684">
            <w:pPr>
              <w:adjustRightInd w:val="0"/>
              <w:snapToGrid w:val="0"/>
              <w:spacing w:line="340" w:lineRule="exact"/>
              <w:rPr>
                <w:rFonts w:ascii="宋体" w:hAnsi="宋体" w:cs="宋体"/>
                <w:b/>
                <w:color w:val="auto"/>
                <w:szCs w:val="21"/>
                <w:highlight w:val="none"/>
              </w:rPr>
            </w:pPr>
            <w:r>
              <w:rPr>
                <w:rFonts w:hint="eastAsia" w:ascii="宋体" w:hAnsi="宋体" w:cs="宋体"/>
                <w:b/>
                <w:color w:val="auto"/>
                <w:highlight w:val="none"/>
              </w:rPr>
              <w:t>注：上述政策性加分详见“第四章 评标办法及评标标准”。</w:t>
            </w:r>
          </w:p>
        </w:tc>
      </w:tr>
    </w:tbl>
    <w:p w14:paraId="41CC8D50">
      <w:pPr>
        <w:rPr>
          <w:rFonts w:ascii="宋体" w:hAnsi="宋体" w:cs="宋体"/>
          <w:color w:val="auto"/>
          <w:highlight w:val="none"/>
        </w:rPr>
      </w:pPr>
    </w:p>
    <w:p w14:paraId="0EC03D79">
      <w:pPr>
        <w:pStyle w:val="46"/>
        <w:ind w:firstLine="640"/>
        <w:rPr>
          <w:rFonts w:ascii="宋体" w:hAnsi="宋体" w:cs="宋体"/>
          <w:color w:val="auto"/>
          <w:highlight w:val="none"/>
        </w:rPr>
      </w:pPr>
    </w:p>
    <w:p w14:paraId="1B1F5533">
      <w:pPr>
        <w:pStyle w:val="46"/>
        <w:ind w:firstLine="640"/>
        <w:rPr>
          <w:rFonts w:ascii="宋体" w:hAnsi="宋体" w:cs="宋体"/>
          <w:color w:val="auto"/>
          <w:highlight w:val="none"/>
        </w:rPr>
      </w:pPr>
    </w:p>
    <w:p w14:paraId="7A66A92A">
      <w:pPr>
        <w:pStyle w:val="46"/>
        <w:ind w:firstLine="640"/>
        <w:rPr>
          <w:rFonts w:ascii="宋体" w:hAnsi="宋体" w:cs="宋体"/>
          <w:color w:val="auto"/>
          <w:highlight w:val="none"/>
        </w:rPr>
      </w:pPr>
    </w:p>
    <w:p w14:paraId="6BB98B66">
      <w:pPr>
        <w:pStyle w:val="46"/>
        <w:ind w:firstLine="640"/>
        <w:rPr>
          <w:rFonts w:ascii="宋体" w:hAnsi="宋体" w:cs="宋体"/>
          <w:color w:val="auto"/>
          <w:highlight w:val="none"/>
        </w:rPr>
      </w:pPr>
    </w:p>
    <w:p w14:paraId="5E0B41FA">
      <w:pPr>
        <w:pStyle w:val="46"/>
        <w:ind w:firstLine="640"/>
        <w:rPr>
          <w:rFonts w:ascii="宋体" w:hAnsi="宋体" w:cs="宋体"/>
          <w:color w:val="auto"/>
          <w:highlight w:val="none"/>
        </w:rPr>
      </w:pPr>
    </w:p>
    <w:p w14:paraId="13E528AD">
      <w:pPr>
        <w:pStyle w:val="46"/>
        <w:ind w:firstLine="640"/>
        <w:rPr>
          <w:rFonts w:ascii="宋体" w:hAnsi="宋体" w:cs="宋体"/>
          <w:color w:val="auto"/>
          <w:highlight w:val="none"/>
        </w:rPr>
      </w:pPr>
    </w:p>
    <w:p w14:paraId="205FE5AD">
      <w:pPr>
        <w:pStyle w:val="46"/>
        <w:ind w:firstLine="640"/>
        <w:rPr>
          <w:rFonts w:ascii="宋体" w:hAnsi="宋体" w:cs="宋体"/>
          <w:color w:val="auto"/>
          <w:highlight w:val="none"/>
        </w:rPr>
      </w:pPr>
    </w:p>
    <w:p w14:paraId="30530CB0">
      <w:pPr>
        <w:spacing w:line="380" w:lineRule="exact"/>
        <w:jc w:val="left"/>
        <w:rPr>
          <w:rFonts w:hint="eastAsia" w:ascii="宋体" w:hAnsi="宋体" w:cs="宋体"/>
          <w:b/>
          <w:color w:val="auto"/>
          <w:highlight w:val="none"/>
        </w:rPr>
      </w:pPr>
    </w:p>
    <w:p w14:paraId="37BFBBBB">
      <w:pPr>
        <w:spacing w:line="380" w:lineRule="exact"/>
        <w:jc w:val="left"/>
        <w:rPr>
          <w:rFonts w:ascii="宋体" w:hAnsi="宋体" w:cs="宋体"/>
          <w:b/>
          <w:color w:val="auto"/>
          <w:highlight w:val="none"/>
        </w:rPr>
      </w:pPr>
      <w:r>
        <w:rPr>
          <w:rFonts w:hint="eastAsia" w:ascii="宋体" w:hAnsi="宋体" w:cs="宋体"/>
          <w:b/>
          <w:color w:val="auto"/>
          <w:highlight w:val="none"/>
        </w:rPr>
        <w:t>分标3</w:t>
      </w:r>
    </w:p>
    <w:tbl>
      <w:tblPr>
        <w:tblStyle w:val="47"/>
        <w:tblW w:w="527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5"/>
        <w:gridCol w:w="1305"/>
        <w:gridCol w:w="663"/>
        <w:gridCol w:w="827"/>
        <w:gridCol w:w="836"/>
        <w:gridCol w:w="963"/>
        <w:gridCol w:w="4216"/>
      </w:tblGrid>
      <w:tr w14:paraId="0859F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5000" w:type="pct"/>
            <w:gridSpan w:val="7"/>
            <w:vAlign w:val="center"/>
          </w:tcPr>
          <w:p w14:paraId="37486A9E">
            <w:pPr>
              <w:tabs>
                <w:tab w:val="left" w:pos="180"/>
                <w:tab w:val="left" w:pos="1620"/>
              </w:tabs>
              <w:adjustRightInd w:val="0"/>
              <w:snapToGrid w:val="0"/>
              <w:spacing w:line="360" w:lineRule="exact"/>
              <w:rPr>
                <w:rFonts w:ascii="宋体" w:hAnsi="宋体" w:cs="宋体"/>
                <w:color w:val="auto"/>
                <w:szCs w:val="21"/>
                <w:highlight w:val="none"/>
              </w:rPr>
            </w:pPr>
            <w:r>
              <w:rPr>
                <w:rFonts w:hint="eastAsia" w:ascii="宋体" w:hAnsi="宋体" w:cs="宋体"/>
                <w:b/>
                <w:color w:val="auto"/>
                <w:szCs w:val="21"/>
                <w:highlight w:val="none"/>
              </w:rPr>
              <w:t>一、采购标的及技术需求</w:t>
            </w:r>
          </w:p>
        </w:tc>
      </w:tr>
      <w:tr w14:paraId="27F60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215" w:type="pct"/>
            <w:tcBorders>
              <w:right w:val="single" w:color="auto" w:sz="4" w:space="0"/>
            </w:tcBorders>
            <w:vAlign w:val="center"/>
          </w:tcPr>
          <w:p w14:paraId="7F491DB3">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709" w:type="pct"/>
            <w:tcBorders>
              <w:left w:val="single" w:color="auto" w:sz="4" w:space="0"/>
              <w:right w:val="single" w:color="auto" w:sz="4" w:space="0"/>
            </w:tcBorders>
            <w:vAlign w:val="center"/>
          </w:tcPr>
          <w:p w14:paraId="10F65154">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360" w:type="pct"/>
            <w:tcBorders>
              <w:left w:val="single" w:color="auto" w:sz="4" w:space="0"/>
            </w:tcBorders>
            <w:vAlign w:val="center"/>
          </w:tcPr>
          <w:p w14:paraId="02603AC5">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448" w:type="pct"/>
            <w:vAlign w:val="center"/>
          </w:tcPr>
          <w:p w14:paraId="45ED3454">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454" w:type="pct"/>
            <w:vAlign w:val="center"/>
          </w:tcPr>
          <w:p w14:paraId="084D47D1">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所属行业</w:t>
            </w:r>
          </w:p>
        </w:tc>
        <w:tc>
          <w:tcPr>
            <w:tcW w:w="523" w:type="pct"/>
            <w:tcBorders>
              <w:right w:val="single" w:color="auto" w:sz="4" w:space="0"/>
            </w:tcBorders>
            <w:vAlign w:val="center"/>
          </w:tcPr>
          <w:p w14:paraId="7F0750A5">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单价最高限价（万元）</w:t>
            </w:r>
          </w:p>
        </w:tc>
        <w:tc>
          <w:tcPr>
            <w:tcW w:w="2288" w:type="pct"/>
            <w:tcBorders>
              <w:left w:val="single" w:color="auto" w:sz="4" w:space="0"/>
            </w:tcBorders>
            <w:vAlign w:val="center"/>
          </w:tcPr>
          <w:p w14:paraId="3C44F7F5">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技术要求</w:t>
            </w:r>
          </w:p>
        </w:tc>
      </w:tr>
      <w:tr w14:paraId="53860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215" w:type="pct"/>
            <w:tcBorders>
              <w:bottom w:val="single" w:color="auto" w:sz="4" w:space="0"/>
              <w:right w:val="single" w:color="auto" w:sz="4" w:space="0"/>
            </w:tcBorders>
            <w:vAlign w:val="center"/>
          </w:tcPr>
          <w:p w14:paraId="00C85647">
            <w:pPr>
              <w:adjustRightInd w:val="0"/>
              <w:snapToGrid w:val="0"/>
              <w:spacing w:line="3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709" w:type="pct"/>
            <w:tcBorders>
              <w:left w:val="single" w:color="auto" w:sz="4" w:space="0"/>
              <w:bottom w:val="single" w:color="auto" w:sz="4" w:space="0"/>
              <w:right w:val="single" w:color="auto" w:sz="4" w:space="0"/>
            </w:tcBorders>
            <w:vAlign w:val="center"/>
          </w:tcPr>
          <w:p w14:paraId="1B72EBB0">
            <w:pPr>
              <w:adjustRightInd w:val="0"/>
              <w:snapToGrid w:val="0"/>
              <w:spacing w:line="340" w:lineRule="exact"/>
              <w:jc w:val="center"/>
              <w:rPr>
                <w:rFonts w:ascii="宋体" w:hAnsi="宋体" w:cs="宋体"/>
                <w:color w:val="auto"/>
                <w:szCs w:val="21"/>
                <w:highlight w:val="none"/>
              </w:rPr>
            </w:pPr>
            <w:r>
              <w:rPr>
                <w:rFonts w:hint="eastAsia" w:ascii="宋体" w:hAnsi="宋体" w:cs="宋体"/>
                <w:bCs/>
                <w:color w:val="auto"/>
                <w:szCs w:val="21"/>
                <w:highlight w:val="none"/>
              </w:rPr>
              <w:t>无线移动多参数监护仪（1拖10）</w:t>
            </w:r>
          </w:p>
        </w:tc>
        <w:tc>
          <w:tcPr>
            <w:tcW w:w="360" w:type="pct"/>
            <w:tcBorders>
              <w:left w:val="single" w:color="auto" w:sz="4" w:space="0"/>
            </w:tcBorders>
            <w:vAlign w:val="center"/>
          </w:tcPr>
          <w:p w14:paraId="2E9E2735">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448" w:type="pct"/>
            <w:vAlign w:val="center"/>
          </w:tcPr>
          <w:p w14:paraId="239F755B">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套</w:t>
            </w:r>
          </w:p>
        </w:tc>
        <w:tc>
          <w:tcPr>
            <w:tcW w:w="454" w:type="pct"/>
            <w:tcBorders>
              <w:bottom w:val="single" w:color="auto" w:sz="4" w:space="0"/>
            </w:tcBorders>
            <w:vAlign w:val="center"/>
          </w:tcPr>
          <w:p w14:paraId="133E8CC0">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23" w:type="pct"/>
            <w:tcBorders>
              <w:right w:val="single" w:color="auto" w:sz="4" w:space="0"/>
            </w:tcBorders>
            <w:vAlign w:val="center"/>
          </w:tcPr>
          <w:p w14:paraId="2EFDA076">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42.69</w:t>
            </w:r>
          </w:p>
        </w:tc>
        <w:tc>
          <w:tcPr>
            <w:tcW w:w="2288" w:type="pct"/>
            <w:tcBorders>
              <w:left w:val="single" w:color="auto" w:sz="4" w:space="0"/>
            </w:tcBorders>
          </w:tcPr>
          <w:p w14:paraId="1CF9BE91">
            <w:pPr>
              <w:spacing w:line="340" w:lineRule="exact"/>
              <w:rPr>
                <w:rFonts w:ascii="宋体" w:hAnsi="宋体" w:cs="宋体"/>
                <w:color w:val="auto"/>
                <w:highlight w:val="none"/>
                <w:lang w:val="zh-CN"/>
              </w:rPr>
            </w:pPr>
            <w:r>
              <w:rPr>
                <w:rFonts w:hint="eastAsia" w:ascii="宋体" w:hAnsi="宋体" w:cs="宋体"/>
                <w:color w:val="auto"/>
                <w:highlight w:val="none"/>
              </w:rPr>
              <w:t>1.组成部件：</w:t>
            </w:r>
            <w:r>
              <w:rPr>
                <w:rFonts w:hint="eastAsia" w:ascii="宋体" w:hAnsi="宋体" w:cs="宋体"/>
                <w:color w:val="auto"/>
                <w:highlight w:val="none"/>
                <w:lang w:val="zh-CN"/>
              </w:rPr>
              <w:t>主要由多参数监护主机、显示终端、温度组件、脉搏血氧组件、无创血压组件和心电组件组成。</w:t>
            </w:r>
          </w:p>
          <w:p w14:paraId="0FECD366">
            <w:pPr>
              <w:spacing w:line="340" w:lineRule="exact"/>
              <w:rPr>
                <w:rFonts w:ascii="宋体" w:hAnsi="宋体" w:cs="宋体"/>
                <w:color w:val="auto"/>
                <w:highlight w:val="none"/>
              </w:rPr>
            </w:pPr>
            <w:r>
              <w:rPr>
                <w:rFonts w:hint="eastAsia" w:ascii="宋体" w:hAnsi="宋体" w:cs="宋体"/>
                <w:color w:val="auto"/>
                <w:highlight w:val="none"/>
              </w:rPr>
              <w:t>2.可移动监测：监护设备可进行穿戴式监测，随时随地监测六项生命体征，支持患者转运过程中监测生命体征。</w:t>
            </w:r>
          </w:p>
          <w:p w14:paraId="1A8009E4">
            <w:pPr>
              <w:spacing w:line="340" w:lineRule="exact"/>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zh-CN"/>
              </w:rPr>
              <w:t>工作条件：环境温度：0℃～40℃；相对湿度：≤95%</w:t>
            </w:r>
            <w:r>
              <w:rPr>
                <w:rFonts w:hint="eastAsia" w:ascii="宋体" w:hAnsi="宋体" w:cs="宋体"/>
                <w:color w:val="auto"/>
                <w:highlight w:val="none"/>
              </w:rPr>
              <w:t>。</w:t>
            </w:r>
          </w:p>
          <w:p w14:paraId="2371EA03">
            <w:pPr>
              <w:spacing w:line="340" w:lineRule="exact"/>
              <w:rPr>
                <w:rFonts w:ascii="宋体" w:hAnsi="宋体" w:cs="宋体"/>
                <w:color w:val="auto"/>
                <w:highlight w:val="none"/>
              </w:rPr>
            </w:pPr>
            <w:r>
              <w:rPr>
                <w:rFonts w:hint="eastAsia" w:ascii="宋体" w:hAnsi="宋体" w:cs="宋体"/>
                <w:color w:val="auto"/>
                <w:highlight w:val="none"/>
              </w:rPr>
              <w:t>4.监测性能</w:t>
            </w:r>
          </w:p>
          <w:p w14:paraId="20EE5A6E">
            <w:pPr>
              <w:spacing w:line="340" w:lineRule="exact"/>
              <w:rPr>
                <w:rFonts w:ascii="宋体" w:hAnsi="宋体" w:cs="宋体"/>
                <w:color w:val="auto"/>
                <w:highlight w:val="none"/>
                <w:lang w:val="zh-CN"/>
              </w:rPr>
            </w:pPr>
            <w:r>
              <w:rPr>
                <w:rFonts w:hint="eastAsia" w:ascii="宋体" w:hAnsi="宋体" w:cs="宋体"/>
                <w:color w:val="auto"/>
                <w:highlight w:val="none"/>
              </w:rPr>
              <w:t>4.1心电监测功能：具备心电监测功能，</w:t>
            </w:r>
            <w:r>
              <w:rPr>
                <w:rFonts w:hint="eastAsia" w:ascii="宋体" w:hAnsi="宋体" w:cs="宋体"/>
                <w:color w:val="auto"/>
                <w:highlight w:val="none"/>
                <w:lang w:val="zh-CN"/>
              </w:rPr>
              <w:t>导联</w:t>
            </w:r>
            <w:r>
              <w:rPr>
                <w:rFonts w:hint="eastAsia" w:ascii="宋体" w:hAnsi="宋体" w:cs="宋体"/>
                <w:color w:val="auto"/>
                <w:highlight w:val="none"/>
              </w:rPr>
              <w:t>标配</w:t>
            </w:r>
            <w:r>
              <w:rPr>
                <w:rFonts w:hint="eastAsia" w:ascii="宋体" w:hAnsi="宋体" w:cs="宋体"/>
                <w:color w:val="auto"/>
                <w:highlight w:val="none"/>
                <w:lang w:val="zh-CN"/>
              </w:rPr>
              <w:t xml:space="preserve">三导联、可选择五导联、十二导联。 </w:t>
            </w:r>
          </w:p>
          <w:p w14:paraId="124DEA2D">
            <w:pPr>
              <w:spacing w:line="340" w:lineRule="exact"/>
              <w:rPr>
                <w:rFonts w:ascii="宋体" w:hAnsi="宋体" w:cs="宋体"/>
                <w:color w:val="auto"/>
                <w:highlight w:val="none"/>
              </w:rPr>
            </w:pPr>
            <w:r>
              <w:rPr>
                <w:rFonts w:hint="eastAsia" w:ascii="宋体" w:hAnsi="宋体" w:cs="宋体"/>
                <w:color w:val="auto"/>
                <w:highlight w:val="none"/>
              </w:rPr>
              <w:t>4.2监测参数：具有心电、脉搏血氧、血压、心率、呼吸、温度测量功能一体。</w:t>
            </w:r>
          </w:p>
          <w:p w14:paraId="78901CFC">
            <w:pPr>
              <w:spacing w:line="340" w:lineRule="exact"/>
              <w:rPr>
                <w:rFonts w:ascii="宋体" w:hAnsi="宋体" w:cs="宋体"/>
                <w:color w:val="auto"/>
                <w:highlight w:val="none"/>
              </w:rPr>
            </w:pPr>
            <w:r>
              <w:rPr>
                <w:rFonts w:hint="eastAsia" w:ascii="宋体" w:hAnsi="宋体" w:cs="宋体"/>
                <w:color w:val="auto"/>
                <w:highlight w:val="none"/>
              </w:rPr>
              <w:t>4.3测量功能：</w:t>
            </w:r>
          </w:p>
          <w:p w14:paraId="1A57CC4B">
            <w:pPr>
              <w:spacing w:line="340" w:lineRule="exact"/>
              <w:rPr>
                <w:rFonts w:ascii="宋体" w:hAnsi="宋体" w:cs="宋体"/>
                <w:color w:val="auto"/>
                <w:highlight w:val="none"/>
              </w:rPr>
            </w:pPr>
            <w:r>
              <w:rPr>
                <w:rFonts w:hint="eastAsia" w:ascii="宋体" w:hAnsi="宋体" w:cs="宋体"/>
                <w:color w:val="auto"/>
                <w:highlight w:val="none"/>
              </w:rPr>
              <w:t>4.3.1静态压力测量范围0kpa(0mmHg)</w:t>
            </w:r>
            <w:r>
              <w:rPr>
                <w:rFonts w:hint="eastAsia" w:ascii="宋体" w:hAnsi="宋体" w:cs="宋体"/>
                <w:color w:val="auto"/>
                <w:highlight w:val="none"/>
                <w:lang w:val="zh-CN"/>
              </w:rPr>
              <w:t>～</w:t>
            </w:r>
            <w:r>
              <w:rPr>
                <w:rFonts w:hint="eastAsia" w:ascii="宋体" w:hAnsi="宋体" w:cs="宋体"/>
                <w:color w:val="auto"/>
                <w:highlight w:val="none"/>
              </w:rPr>
              <w:t>40kpa(300mmHg)</w:t>
            </w:r>
            <w:r>
              <w:rPr>
                <w:rFonts w:hint="eastAsia" w:ascii="宋体" w:hAnsi="宋体" w:cs="宋体"/>
                <w:color w:val="auto"/>
                <w:highlight w:val="none"/>
                <w:lang w:val="zh-CN"/>
              </w:rPr>
              <w:t>，</w:t>
            </w:r>
            <w:r>
              <w:rPr>
                <w:rFonts w:hint="eastAsia" w:ascii="宋体" w:hAnsi="宋体" w:cs="宋体"/>
                <w:color w:val="auto"/>
                <w:highlight w:val="none"/>
              </w:rPr>
              <w:t>误差应不大于±0.4kpa（3mmHg）。</w:t>
            </w:r>
          </w:p>
          <w:p w14:paraId="736A4C02">
            <w:pPr>
              <w:spacing w:line="340" w:lineRule="exact"/>
              <w:rPr>
                <w:rFonts w:ascii="宋体" w:hAnsi="宋体" w:cs="宋体"/>
                <w:color w:val="auto"/>
                <w:highlight w:val="none"/>
              </w:rPr>
            </w:pPr>
            <w:r>
              <w:rPr>
                <w:rFonts w:hint="eastAsia" w:ascii="宋体" w:hAnsi="宋体" w:cs="宋体"/>
                <w:color w:val="auto"/>
                <w:highlight w:val="none"/>
              </w:rPr>
              <w:t>4.3.2心电测量范围成人30bpm~300bpm;儿童测量范围30bpm~350bpm。误差应不大于±1%或±1bpm。</w:t>
            </w:r>
          </w:p>
          <w:p w14:paraId="2E76BF92">
            <w:pPr>
              <w:spacing w:line="340" w:lineRule="exact"/>
              <w:rPr>
                <w:rFonts w:ascii="宋体" w:hAnsi="宋体" w:cs="宋体"/>
                <w:color w:val="auto"/>
                <w:highlight w:val="none"/>
                <w:lang w:val="zh-CN"/>
              </w:rPr>
            </w:pPr>
            <w:r>
              <w:rPr>
                <w:rFonts w:hint="eastAsia" w:ascii="宋体" w:hAnsi="宋体" w:cs="宋体"/>
                <w:color w:val="auto"/>
                <w:highlight w:val="none"/>
              </w:rPr>
              <w:t>4.3.3</w:t>
            </w:r>
            <w:r>
              <w:rPr>
                <w:rFonts w:hint="eastAsia" w:ascii="宋体" w:hAnsi="宋体" w:cs="宋体"/>
                <w:color w:val="auto"/>
                <w:highlight w:val="none"/>
                <w:lang w:val="zh-CN"/>
              </w:rPr>
              <w:t>血氧测量范围</w:t>
            </w:r>
            <w:bookmarkStart w:id="42" w:name="OLE_LINK1"/>
            <w:r>
              <w:rPr>
                <w:rFonts w:hint="eastAsia" w:ascii="宋体" w:hAnsi="宋体" w:cs="宋体"/>
                <w:color w:val="auto"/>
                <w:highlight w:val="none"/>
                <w:lang w:val="zh-CN"/>
              </w:rPr>
              <w:t>70%～100%，精度70% ～100% 、±2%</w:t>
            </w:r>
            <w:bookmarkEnd w:id="42"/>
            <w:r>
              <w:rPr>
                <w:rFonts w:hint="eastAsia" w:ascii="宋体" w:hAnsi="宋体" w:cs="宋体"/>
                <w:color w:val="auto"/>
                <w:highlight w:val="none"/>
              </w:rPr>
              <w:t>。</w:t>
            </w:r>
          </w:p>
          <w:p w14:paraId="18F37019">
            <w:pPr>
              <w:spacing w:line="340" w:lineRule="exact"/>
              <w:rPr>
                <w:rFonts w:ascii="宋体" w:hAnsi="宋体" w:cs="宋体"/>
                <w:color w:val="auto"/>
                <w:highlight w:val="none"/>
              </w:rPr>
            </w:pPr>
            <w:r>
              <w:rPr>
                <w:rFonts w:hint="eastAsia" w:ascii="宋体" w:hAnsi="宋体" w:cs="宋体"/>
                <w:color w:val="auto"/>
                <w:highlight w:val="none"/>
              </w:rPr>
              <w:t>4.3.4</w:t>
            </w:r>
            <w:r>
              <w:rPr>
                <w:rFonts w:hint="eastAsia" w:ascii="宋体" w:hAnsi="宋体" w:cs="宋体"/>
                <w:color w:val="auto"/>
                <w:highlight w:val="none"/>
                <w:lang w:val="zh-CN"/>
              </w:rPr>
              <w:t>脉率测量范围30bpm～200bpm，精度±1bpm或±1%</w:t>
            </w:r>
            <w:r>
              <w:rPr>
                <w:rFonts w:hint="eastAsia" w:ascii="宋体" w:hAnsi="宋体" w:cs="宋体"/>
                <w:color w:val="auto"/>
                <w:highlight w:val="none"/>
              </w:rPr>
              <w:t>。</w:t>
            </w:r>
          </w:p>
          <w:p w14:paraId="3762885D">
            <w:pPr>
              <w:spacing w:line="340" w:lineRule="exact"/>
              <w:rPr>
                <w:rFonts w:ascii="宋体" w:hAnsi="宋体" w:cs="宋体"/>
                <w:color w:val="auto"/>
                <w:highlight w:val="none"/>
                <w:lang w:val="zh-CN"/>
              </w:rPr>
            </w:pPr>
            <w:r>
              <w:rPr>
                <w:rFonts w:hint="eastAsia" w:ascii="宋体" w:hAnsi="宋体" w:cs="宋体"/>
                <w:color w:val="auto"/>
                <w:highlight w:val="none"/>
              </w:rPr>
              <w:t>4.3.5</w:t>
            </w:r>
            <w:r>
              <w:rPr>
                <w:rFonts w:hint="eastAsia" w:ascii="宋体" w:hAnsi="宋体" w:cs="宋体"/>
                <w:color w:val="auto"/>
                <w:highlight w:val="none"/>
                <w:lang w:val="zh-CN"/>
              </w:rPr>
              <w:t>呼吸率测量范围10rpm～120rpm，精度±2rpm或±2%</w:t>
            </w:r>
            <w:r>
              <w:rPr>
                <w:rFonts w:hint="eastAsia" w:ascii="宋体" w:hAnsi="宋体" w:cs="宋体"/>
                <w:color w:val="auto"/>
                <w:highlight w:val="none"/>
              </w:rPr>
              <w:t>。</w:t>
            </w:r>
          </w:p>
          <w:p w14:paraId="48D9F883">
            <w:pPr>
              <w:spacing w:line="340" w:lineRule="exact"/>
              <w:rPr>
                <w:rFonts w:ascii="宋体" w:hAnsi="宋体" w:cs="宋体"/>
                <w:color w:val="auto"/>
                <w:highlight w:val="none"/>
                <w:lang w:val="zh-CN"/>
              </w:rPr>
            </w:pPr>
            <w:r>
              <w:rPr>
                <w:rFonts w:hint="eastAsia" w:ascii="宋体" w:hAnsi="宋体" w:cs="宋体"/>
                <w:color w:val="auto"/>
                <w:highlight w:val="none"/>
              </w:rPr>
              <w:t>4.3.6</w:t>
            </w:r>
            <w:r>
              <w:rPr>
                <w:rFonts w:hint="eastAsia" w:ascii="宋体" w:hAnsi="宋体" w:cs="宋体"/>
                <w:color w:val="auto"/>
                <w:highlight w:val="none"/>
                <w:lang w:val="zh-CN"/>
              </w:rPr>
              <w:t>温度测量范围15</w:t>
            </w:r>
            <w:r>
              <w:rPr>
                <w:rFonts w:hint="eastAsia" w:ascii="宋体" w:hAnsi="宋体" w:cs="宋体"/>
                <w:color w:val="auto"/>
                <w:szCs w:val="21"/>
                <w:highlight w:val="none"/>
              </w:rPr>
              <w:t>~</w:t>
            </w:r>
            <w:r>
              <w:rPr>
                <w:rFonts w:hint="eastAsia" w:ascii="宋体" w:hAnsi="宋体" w:cs="宋体"/>
                <w:color w:val="auto"/>
                <w:highlight w:val="none"/>
                <w:lang w:val="zh-CN"/>
              </w:rPr>
              <w:t>45℃，精度在37.0</w:t>
            </w:r>
            <w:r>
              <w:rPr>
                <w:rFonts w:hint="eastAsia" w:ascii="宋体" w:hAnsi="宋体" w:cs="宋体"/>
                <w:color w:val="auto"/>
                <w:szCs w:val="21"/>
                <w:highlight w:val="none"/>
              </w:rPr>
              <w:t>~</w:t>
            </w:r>
            <w:r>
              <w:rPr>
                <w:rFonts w:hint="eastAsia" w:ascii="宋体" w:hAnsi="宋体" w:cs="宋体"/>
                <w:color w:val="auto"/>
                <w:highlight w:val="none"/>
                <w:lang w:val="zh-CN"/>
              </w:rPr>
              <w:t>39.0℃范围内最大允许误差±0.1℃，在其他测量范围最大允许误差±0.2℃。</w:t>
            </w:r>
          </w:p>
          <w:p w14:paraId="2FDDD7DE">
            <w:pPr>
              <w:spacing w:line="340" w:lineRule="exact"/>
              <w:rPr>
                <w:rFonts w:ascii="宋体" w:hAnsi="宋体" w:cs="宋体"/>
                <w:color w:val="auto"/>
                <w:highlight w:val="none"/>
              </w:rPr>
            </w:pPr>
            <w:r>
              <w:rPr>
                <w:rFonts w:hint="eastAsia" w:ascii="宋体" w:hAnsi="宋体" w:cs="宋体"/>
                <w:color w:val="auto"/>
                <w:highlight w:val="none"/>
              </w:rPr>
              <w:t>5.交互功能</w:t>
            </w:r>
          </w:p>
          <w:p w14:paraId="1B9B0819">
            <w:pPr>
              <w:spacing w:line="340" w:lineRule="exact"/>
              <w:rPr>
                <w:rFonts w:ascii="宋体" w:hAnsi="宋体" w:cs="宋体"/>
                <w:color w:val="auto"/>
                <w:highlight w:val="none"/>
                <w:lang w:val="zh-CN"/>
              </w:rPr>
            </w:pPr>
            <w:r>
              <w:rPr>
                <w:rFonts w:hint="eastAsia" w:ascii="宋体" w:hAnsi="宋体" w:cs="宋体"/>
                <w:color w:val="auto"/>
                <w:highlight w:val="none"/>
              </w:rPr>
              <w:t>5.1智能功能：</w:t>
            </w:r>
            <w:r>
              <w:rPr>
                <w:rFonts w:hint="eastAsia" w:ascii="宋体" w:hAnsi="宋体" w:cs="宋体"/>
                <w:color w:val="auto"/>
                <w:highlight w:val="none"/>
                <w:lang w:val="zh-CN"/>
              </w:rPr>
              <w:t>拥有人机交互，医患交互功能，可实现病人与监护中央站语音/视频/对话。</w:t>
            </w:r>
          </w:p>
          <w:p w14:paraId="7BD160F6">
            <w:pPr>
              <w:spacing w:line="340" w:lineRule="exact"/>
              <w:rPr>
                <w:rFonts w:ascii="宋体" w:hAnsi="宋体" w:cs="宋体"/>
                <w:color w:val="auto"/>
                <w:highlight w:val="none"/>
              </w:rPr>
            </w:pPr>
            <w:r>
              <w:rPr>
                <w:rFonts w:hint="eastAsia" w:ascii="宋体" w:hAnsi="宋体" w:cs="宋体"/>
                <w:color w:val="auto"/>
                <w:highlight w:val="none"/>
              </w:rPr>
              <w:t>5.2语音控制功能：具备语音控制功能。</w:t>
            </w:r>
          </w:p>
          <w:p w14:paraId="474C8236">
            <w:pPr>
              <w:spacing w:line="340" w:lineRule="exact"/>
              <w:rPr>
                <w:rFonts w:ascii="宋体" w:hAnsi="宋体" w:cs="宋体"/>
                <w:color w:val="auto"/>
                <w:highlight w:val="none"/>
              </w:rPr>
            </w:pPr>
            <w:r>
              <w:rPr>
                <w:rFonts w:hint="eastAsia" w:ascii="宋体" w:hAnsi="宋体" w:cs="宋体"/>
                <w:color w:val="auto"/>
                <w:highlight w:val="none"/>
              </w:rPr>
              <w:t>5.3触摸屏功能：设备具有触摸屏功能。</w:t>
            </w:r>
          </w:p>
          <w:p w14:paraId="3B5E3735">
            <w:pPr>
              <w:spacing w:line="340" w:lineRule="exact"/>
              <w:rPr>
                <w:rFonts w:ascii="宋体" w:hAnsi="宋体" w:cs="宋体"/>
                <w:color w:val="auto"/>
                <w:highlight w:val="none"/>
              </w:rPr>
            </w:pPr>
            <w:r>
              <w:rPr>
                <w:rFonts w:hint="eastAsia" w:ascii="宋体" w:hAnsi="宋体" w:cs="宋体"/>
                <w:color w:val="auto"/>
                <w:highlight w:val="none"/>
              </w:rPr>
              <w:t>6.提示功能</w:t>
            </w:r>
          </w:p>
          <w:p w14:paraId="6F16F583">
            <w:pPr>
              <w:spacing w:line="340" w:lineRule="exact"/>
              <w:rPr>
                <w:rFonts w:ascii="宋体" w:hAnsi="宋体" w:cs="宋体"/>
                <w:color w:val="auto"/>
                <w:highlight w:val="none"/>
              </w:rPr>
            </w:pPr>
            <w:r>
              <w:rPr>
                <w:rFonts w:hint="eastAsia" w:ascii="宋体" w:hAnsi="宋体" w:cs="宋体"/>
                <w:color w:val="auto"/>
                <w:highlight w:val="none"/>
              </w:rPr>
              <w:t>6.1低电量提醒：当电压低于额定压的90%时，会在终端出现电量不足提示。</w:t>
            </w:r>
          </w:p>
          <w:p w14:paraId="402058DB">
            <w:pPr>
              <w:spacing w:line="340" w:lineRule="exact"/>
              <w:rPr>
                <w:rFonts w:ascii="宋体" w:hAnsi="宋体" w:cs="宋体"/>
                <w:color w:val="auto"/>
                <w:highlight w:val="none"/>
              </w:rPr>
            </w:pPr>
            <w:r>
              <w:rPr>
                <w:rFonts w:hint="eastAsia" w:ascii="宋体" w:hAnsi="宋体" w:cs="宋体"/>
                <w:color w:val="auto"/>
                <w:highlight w:val="none"/>
              </w:rPr>
              <w:t>6.2断开提醒：当监测终端与显示终端断开连接时会在终端出现断开连接的提示。</w:t>
            </w:r>
          </w:p>
          <w:p w14:paraId="1C1F296A">
            <w:pPr>
              <w:spacing w:line="340" w:lineRule="exact"/>
              <w:rPr>
                <w:rFonts w:ascii="宋体" w:hAnsi="宋体" w:cs="宋体"/>
                <w:color w:val="auto"/>
                <w:highlight w:val="none"/>
              </w:rPr>
            </w:pPr>
            <w:r>
              <w:rPr>
                <w:rFonts w:hint="eastAsia" w:ascii="宋体" w:hAnsi="宋体" w:cs="宋体"/>
                <w:color w:val="auto"/>
                <w:highlight w:val="none"/>
              </w:rPr>
              <w:t>7.数据管理与分析</w:t>
            </w:r>
          </w:p>
          <w:p w14:paraId="7E7F2507">
            <w:pPr>
              <w:spacing w:line="340" w:lineRule="exact"/>
              <w:rPr>
                <w:rFonts w:ascii="宋体" w:hAnsi="宋体" w:cs="宋体"/>
                <w:color w:val="auto"/>
                <w:highlight w:val="none"/>
              </w:rPr>
            </w:pPr>
            <w:r>
              <w:rPr>
                <w:rFonts w:hint="eastAsia" w:ascii="宋体" w:hAnsi="宋体" w:cs="宋体"/>
                <w:color w:val="auto"/>
                <w:highlight w:val="none"/>
              </w:rPr>
              <w:t>7.1数据和趋势存储与回顾功能：监测数据和趋势可实时存储，全参数可实时回顾，多通道可全息回放。</w:t>
            </w:r>
          </w:p>
          <w:p w14:paraId="7F613AA4">
            <w:pPr>
              <w:spacing w:line="340" w:lineRule="exact"/>
              <w:rPr>
                <w:rFonts w:ascii="宋体" w:hAnsi="宋体" w:cs="宋体"/>
                <w:color w:val="auto"/>
                <w:highlight w:val="none"/>
              </w:rPr>
            </w:pPr>
            <w:r>
              <w:rPr>
                <w:rFonts w:hint="eastAsia" w:ascii="宋体" w:hAnsi="宋体" w:cs="宋体"/>
                <w:color w:val="auto"/>
                <w:highlight w:val="none"/>
              </w:rPr>
              <w:t>7.2中央监护数据储存：10000例以上且储存空间可拓展。</w:t>
            </w:r>
          </w:p>
          <w:p w14:paraId="79043DC8">
            <w:pPr>
              <w:spacing w:line="340" w:lineRule="exact"/>
              <w:rPr>
                <w:rFonts w:ascii="宋体" w:hAnsi="宋体" w:cs="宋体"/>
                <w:color w:val="auto"/>
                <w:highlight w:val="none"/>
              </w:rPr>
            </w:pPr>
            <w:r>
              <w:rPr>
                <w:rFonts w:hint="eastAsia" w:ascii="宋体" w:hAnsi="宋体" w:cs="宋体"/>
                <w:color w:val="auto"/>
                <w:highlight w:val="none"/>
              </w:rPr>
              <w:t>7.3监护分析和报告功能软件：中央监护对各监护患者进行24小时高精度心律异常统计分析与编辑，24小时血压趋势统计分析与编辑，24小时综合参数汇总统计与分析，并可对分析或编辑后的结果进行打印或保存。</w:t>
            </w:r>
          </w:p>
          <w:p w14:paraId="0B3ED7B1">
            <w:pPr>
              <w:spacing w:line="340" w:lineRule="exact"/>
              <w:rPr>
                <w:rFonts w:ascii="宋体" w:hAnsi="宋体" w:cs="宋体"/>
                <w:color w:val="auto"/>
                <w:highlight w:val="none"/>
              </w:rPr>
            </w:pPr>
            <w:r>
              <w:rPr>
                <w:rFonts w:hint="eastAsia" w:ascii="宋体" w:hAnsi="宋体" w:cs="宋体"/>
                <w:color w:val="auto"/>
                <w:highlight w:val="none"/>
              </w:rPr>
              <w:t>8.显示功能</w:t>
            </w:r>
          </w:p>
          <w:p w14:paraId="35119161">
            <w:pPr>
              <w:spacing w:line="340" w:lineRule="exact"/>
              <w:rPr>
                <w:rFonts w:ascii="宋体" w:hAnsi="宋体" w:cs="宋体"/>
                <w:color w:val="auto"/>
                <w:highlight w:val="none"/>
              </w:rPr>
            </w:pPr>
            <w:r>
              <w:rPr>
                <w:rFonts w:hint="eastAsia" w:ascii="宋体" w:hAnsi="宋体" w:cs="宋体"/>
                <w:color w:val="auto"/>
                <w:highlight w:val="none"/>
              </w:rPr>
              <w:t>8.1监护仪显示功能：可将多参数监护仪的监测数据无线传输，数据兼容匹配</w:t>
            </w:r>
            <w:r>
              <w:rPr>
                <w:rFonts w:hint="eastAsia" w:ascii="宋体" w:hAnsi="宋体" w:cs="宋体"/>
                <w:color w:val="auto"/>
                <w:highlight w:val="none"/>
                <w:lang w:eastAsia="zh-CN"/>
              </w:rPr>
              <w:t>其他</w:t>
            </w:r>
            <w:r>
              <w:rPr>
                <w:rFonts w:hint="eastAsia" w:ascii="宋体" w:hAnsi="宋体" w:cs="宋体"/>
                <w:color w:val="auto"/>
                <w:highlight w:val="none"/>
              </w:rPr>
              <w:t>品牌监护仪实时显示。</w:t>
            </w:r>
          </w:p>
          <w:p w14:paraId="2BFB5FA7">
            <w:pPr>
              <w:spacing w:line="340" w:lineRule="exact"/>
              <w:rPr>
                <w:rFonts w:ascii="宋体" w:hAnsi="宋体" w:cs="宋体"/>
                <w:color w:val="auto"/>
                <w:highlight w:val="none"/>
                <w:lang w:val="zh-CN"/>
              </w:rPr>
            </w:pPr>
            <w:r>
              <w:rPr>
                <w:rFonts w:hint="eastAsia" w:ascii="宋体" w:hAnsi="宋体" w:cs="宋体"/>
                <w:color w:val="auto"/>
                <w:highlight w:val="none"/>
              </w:rPr>
              <w:t>8.2系统及显示：</w:t>
            </w:r>
            <w:r>
              <w:rPr>
                <w:rFonts w:hint="eastAsia" w:ascii="宋体" w:hAnsi="宋体" w:cs="宋体"/>
                <w:color w:val="auto"/>
                <w:highlight w:val="none"/>
                <w:lang w:val="zh-CN"/>
              </w:rPr>
              <w:t>采用≥4.3英寸触摸屏，智能安卓系统、软件可</w:t>
            </w:r>
            <w:r>
              <w:rPr>
                <w:rFonts w:hint="eastAsia" w:ascii="宋体" w:hAnsi="宋体" w:cs="宋体"/>
                <w:color w:val="auto"/>
                <w:highlight w:val="none"/>
              </w:rPr>
              <w:t>扩</w:t>
            </w:r>
            <w:r>
              <w:rPr>
                <w:rFonts w:hint="eastAsia" w:ascii="宋体" w:hAnsi="宋体" w:cs="宋体"/>
                <w:color w:val="auto"/>
                <w:highlight w:val="none"/>
                <w:lang w:val="zh-CN"/>
              </w:rPr>
              <w:t>展性强。</w:t>
            </w:r>
          </w:p>
          <w:p w14:paraId="7E23C491">
            <w:pPr>
              <w:spacing w:line="340" w:lineRule="exact"/>
              <w:rPr>
                <w:rFonts w:ascii="宋体" w:hAnsi="宋体" w:cs="宋体"/>
                <w:color w:val="auto"/>
                <w:highlight w:val="none"/>
              </w:rPr>
            </w:pPr>
            <w:r>
              <w:rPr>
                <w:rFonts w:hint="eastAsia" w:ascii="宋体" w:hAnsi="宋体" w:cs="宋体"/>
                <w:color w:val="auto"/>
                <w:highlight w:val="none"/>
              </w:rPr>
              <w:t>8.3中央监护支持PC/手机APP端：同时支持手机APP端和PC端中央监护显示功能。</w:t>
            </w:r>
          </w:p>
          <w:p w14:paraId="01C1EF38">
            <w:pPr>
              <w:spacing w:line="340" w:lineRule="exact"/>
              <w:rPr>
                <w:rFonts w:ascii="宋体" w:hAnsi="宋体" w:cs="宋体"/>
                <w:color w:val="auto"/>
                <w:highlight w:val="none"/>
              </w:rPr>
            </w:pPr>
            <w:r>
              <w:rPr>
                <w:rFonts w:hint="eastAsia" w:ascii="宋体" w:hAnsi="宋体" w:cs="宋体"/>
                <w:color w:val="auto"/>
                <w:highlight w:val="none"/>
              </w:rPr>
              <w:t>9.报警功能</w:t>
            </w:r>
          </w:p>
          <w:p w14:paraId="23F964F1">
            <w:pPr>
              <w:spacing w:line="340" w:lineRule="exact"/>
              <w:rPr>
                <w:rFonts w:ascii="宋体" w:hAnsi="宋体" w:cs="宋体"/>
                <w:color w:val="auto"/>
                <w:highlight w:val="none"/>
              </w:rPr>
            </w:pPr>
            <w:r>
              <w:rPr>
                <w:rFonts w:hint="eastAsia" w:ascii="宋体" w:hAnsi="宋体" w:cs="宋体"/>
                <w:color w:val="auto"/>
                <w:highlight w:val="none"/>
              </w:rPr>
              <w:t>9.1报警参数下发及远程操控功能：可以在中央监护端远程设置多参数监护终端的全参数报警上下限，并可远程控制多参监护仪进行血压监测</w:t>
            </w:r>
          </w:p>
          <w:p w14:paraId="17C96C57">
            <w:pPr>
              <w:spacing w:line="340" w:lineRule="exact"/>
              <w:rPr>
                <w:rFonts w:ascii="宋体" w:hAnsi="宋体" w:cs="宋体"/>
                <w:color w:val="auto"/>
                <w:highlight w:val="none"/>
              </w:rPr>
            </w:pPr>
            <w:r>
              <w:rPr>
                <w:rFonts w:hint="eastAsia" w:ascii="宋体" w:hAnsi="宋体" w:cs="宋体"/>
                <w:color w:val="auto"/>
                <w:highlight w:val="none"/>
              </w:rPr>
              <w:t>9.2报警功能：</w:t>
            </w:r>
            <w:r>
              <w:rPr>
                <w:rFonts w:hint="eastAsia" w:ascii="宋体" w:hAnsi="宋体" w:cs="宋体"/>
                <w:color w:val="auto"/>
                <w:highlight w:val="none"/>
                <w:lang w:val="zh-CN"/>
              </w:rPr>
              <w:t>具有动态血压、心电、</w:t>
            </w:r>
            <w:r>
              <w:rPr>
                <w:rFonts w:hint="eastAsia" w:ascii="宋体" w:hAnsi="宋体" w:cs="宋体"/>
                <w:color w:val="auto"/>
                <w:highlight w:val="none"/>
              </w:rPr>
              <w:t>血</w:t>
            </w:r>
            <w:r>
              <w:rPr>
                <w:rFonts w:hint="eastAsia" w:ascii="宋体" w:hAnsi="宋体" w:cs="宋体"/>
                <w:color w:val="auto"/>
                <w:highlight w:val="none"/>
                <w:lang w:val="zh-CN"/>
              </w:rPr>
              <w:t>氧饱和度、温度和呼吸率报警功能选择和消警功能，</w:t>
            </w:r>
            <w:r>
              <w:rPr>
                <w:rFonts w:hint="eastAsia" w:ascii="宋体" w:hAnsi="宋体" w:cs="宋体"/>
                <w:color w:val="auto"/>
                <w:highlight w:val="none"/>
              </w:rPr>
              <w:t>生理参数预警支持自定义。</w:t>
            </w:r>
          </w:p>
          <w:p w14:paraId="7DD3FEDA">
            <w:pPr>
              <w:spacing w:line="340" w:lineRule="exact"/>
              <w:rPr>
                <w:rFonts w:ascii="宋体" w:hAnsi="宋体" w:cs="宋体"/>
                <w:color w:val="auto"/>
                <w:highlight w:val="none"/>
              </w:rPr>
            </w:pPr>
            <w:r>
              <w:rPr>
                <w:rFonts w:hint="eastAsia" w:ascii="宋体" w:hAnsi="宋体" w:cs="宋体"/>
                <w:color w:val="auto"/>
                <w:highlight w:val="none"/>
              </w:rPr>
              <w:t>10.多种无线组网方式：可以通过4G/</w:t>
            </w:r>
            <w:r>
              <w:rPr>
                <w:rFonts w:hint="eastAsia" w:ascii="宋体" w:hAnsi="宋体" w:cs="宋体"/>
                <w:color w:val="auto"/>
                <w:szCs w:val="21"/>
                <w:highlight w:val="none"/>
              </w:rPr>
              <w:t>Wi</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Fi</w:t>
            </w:r>
            <w:r>
              <w:rPr>
                <w:rFonts w:hint="eastAsia" w:ascii="宋体" w:hAnsi="宋体" w:cs="宋体"/>
                <w:color w:val="auto"/>
                <w:highlight w:val="none"/>
              </w:rPr>
              <w:t>等方式进行无线组网。并可与医院有线网络扩展对接，与医院信息系统进行单向或双向信息互通。</w:t>
            </w:r>
          </w:p>
          <w:p w14:paraId="04590FF2">
            <w:pPr>
              <w:spacing w:line="340" w:lineRule="exact"/>
              <w:rPr>
                <w:rFonts w:ascii="宋体" w:hAnsi="宋体" w:cs="宋体"/>
                <w:color w:val="auto"/>
                <w:highlight w:val="none"/>
              </w:rPr>
            </w:pPr>
            <w:r>
              <w:rPr>
                <w:rFonts w:hint="eastAsia" w:ascii="宋体" w:hAnsi="宋体" w:cs="宋体"/>
                <w:color w:val="auto"/>
                <w:highlight w:val="none"/>
              </w:rPr>
              <w:t>11.无线传输功能：</w:t>
            </w:r>
            <w:r>
              <w:rPr>
                <w:rFonts w:hint="eastAsia" w:ascii="宋体" w:hAnsi="宋体" w:cs="宋体"/>
                <w:color w:val="auto"/>
                <w:highlight w:val="none"/>
                <w:lang w:val="zh-CN"/>
              </w:rPr>
              <w:t>设备具有4G/</w:t>
            </w:r>
            <w:r>
              <w:rPr>
                <w:rFonts w:hint="eastAsia" w:ascii="宋体" w:hAnsi="宋体" w:cs="宋体"/>
                <w:color w:val="auto"/>
                <w:szCs w:val="21"/>
                <w:highlight w:val="none"/>
              </w:rPr>
              <w:t>Wi</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Fi</w:t>
            </w:r>
            <w:r>
              <w:rPr>
                <w:rFonts w:hint="eastAsia" w:ascii="宋体" w:hAnsi="宋体" w:cs="宋体"/>
                <w:color w:val="auto"/>
                <w:highlight w:val="none"/>
                <w:lang w:val="zh-CN"/>
              </w:rPr>
              <w:t>等无线网络接入功能，</w:t>
            </w:r>
            <w:r>
              <w:rPr>
                <w:rFonts w:hint="eastAsia" w:ascii="宋体" w:hAnsi="宋体" w:cs="宋体"/>
                <w:color w:val="auto"/>
                <w:highlight w:val="none"/>
              </w:rPr>
              <w:t>可实现无线传输。</w:t>
            </w:r>
          </w:p>
          <w:p w14:paraId="505B16DC">
            <w:pPr>
              <w:spacing w:line="340" w:lineRule="exact"/>
              <w:rPr>
                <w:rFonts w:ascii="宋体" w:hAnsi="宋体" w:cs="宋体"/>
                <w:color w:val="auto"/>
                <w:highlight w:val="none"/>
              </w:rPr>
            </w:pPr>
            <w:r>
              <w:rPr>
                <w:rFonts w:hint="eastAsia" w:ascii="宋体" w:hAnsi="宋体" w:cs="宋体"/>
                <w:color w:val="auto"/>
                <w:highlight w:val="none"/>
              </w:rPr>
              <w:t>12.电外科干扰抑制：</w:t>
            </w:r>
            <w:r>
              <w:rPr>
                <w:rFonts w:hint="eastAsia" w:ascii="宋体" w:hAnsi="宋体" w:cs="宋体"/>
                <w:color w:val="auto"/>
                <w:highlight w:val="none"/>
                <w:lang w:val="zh-CN"/>
              </w:rPr>
              <w:t>具备电外科干扰抑制功能。</w:t>
            </w:r>
          </w:p>
          <w:p w14:paraId="1367B095">
            <w:pPr>
              <w:spacing w:line="340" w:lineRule="exact"/>
              <w:rPr>
                <w:rFonts w:ascii="宋体" w:hAnsi="宋体" w:cs="宋体"/>
                <w:color w:val="auto"/>
                <w:highlight w:val="none"/>
              </w:rPr>
            </w:pPr>
            <w:r>
              <w:rPr>
                <w:rFonts w:hint="eastAsia" w:ascii="宋体" w:hAnsi="宋体" w:cs="宋体"/>
                <w:color w:val="auto"/>
                <w:highlight w:val="none"/>
              </w:rPr>
              <w:t>13.输入阻抗：对具有心电图波形显示能力的监护仪，输入阻抗不小于10MΩ。</w:t>
            </w:r>
          </w:p>
          <w:p w14:paraId="67A3BEDF">
            <w:pPr>
              <w:spacing w:line="340" w:lineRule="exact"/>
              <w:rPr>
                <w:rFonts w:ascii="宋体" w:hAnsi="宋体" w:cs="宋体"/>
                <w:color w:val="auto"/>
                <w:highlight w:val="none"/>
              </w:rPr>
            </w:pPr>
            <w:r>
              <w:rPr>
                <w:rFonts w:hint="eastAsia" w:ascii="宋体" w:hAnsi="宋体" w:cs="宋体"/>
                <w:color w:val="auto"/>
                <w:highlight w:val="none"/>
              </w:rPr>
              <w:t xml:space="preserve">14.共模抑制：监护仪的共模信号抑制能力分别为诊断＞90dB，监护＞105dB，手术＞105dB </w:t>
            </w:r>
          </w:p>
          <w:p w14:paraId="460695C9">
            <w:pPr>
              <w:spacing w:line="340" w:lineRule="exact"/>
              <w:rPr>
                <w:rFonts w:ascii="宋体" w:hAnsi="宋体" w:cs="宋体"/>
                <w:color w:val="auto"/>
                <w:highlight w:val="none"/>
              </w:rPr>
            </w:pPr>
            <w:r>
              <w:rPr>
                <w:rFonts w:hint="eastAsia" w:ascii="宋体" w:hAnsi="宋体" w:cs="宋体"/>
                <w:color w:val="auto"/>
                <w:highlight w:val="none"/>
              </w:rPr>
              <w:t>15.防水等级：≥IPX2。</w:t>
            </w:r>
          </w:p>
          <w:p w14:paraId="2709E8B7">
            <w:pPr>
              <w:spacing w:line="340" w:lineRule="exact"/>
              <w:rPr>
                <w:rFonts w:ascii="宋体" w:hAnsi="宋体" w:cs="宋体"/>
                <w:color w:val="auto"/>
                <w:highlight w:val="none"/>
              </w:rPr>
            </w:pPr>
            <w:r>
              <w:rPr>
                <w:rFonts w:hint="eastAsia" w:ascii="宋体" w:hAnsi="宋体" w:cs="宋体"/>
                <w:color w:val="auto"/>
                <w:highlight w:val="none"/>
              </w:rPr>
              <w:t>16.显示功能：支持多屏显示、同时拥有手机 APP 端和 PC 端中央监护显示功能。</w:t>
            </w:r>
          </w:p>
          <w:p w14:paraId="0B7C3024">
            <w:pPr>
              <w:spacing w:line="340" w:lineRule="exact"/>
              <w:rPr>
                <w:rFonts w:ascii="宋体" w:hAnsi="宋体" w:cs="宋体"/>
                <w:color w:val="auto"/>
                <w:highlight w:val="none"/>
              </w:rPr>
            </w:pPr>
            <w:r>
              <w:rPr>
                <w:rFonts w:hint="eastAsia" w:ascii="宋体" w:hAnsi="宋体" w:cs="宋体"/>
                <w:color w:val="auto"/>
                <w:highlight w:val="none"/>
              </w:rPr>
              <w:t>17.中央监护系统技术要求</w:t>
            </w:r>
          </w:p>
          <w:p w14:paraId="49F831B9">
            <w:pPr>
              <w:spacing w:line="340" w:lineRule="exact"/>
              <w:rPr>
                <w:rFonts w:ascii="宋体" w:hAnsi="宋体" w:cs="宋体"/>
                <w:color w:val="auto"/>
                <w:highlight w:val="none"/>
              </w:rPr>
            </w:pPr>
            <w:r>
              <w:rPr>
                <w:rFonts w:hint="eastAsia" w:ascii="宋体" w:hAnsi="宋体" w:cs="宋体"/>
                <w:color w:val="auto"/>
                <w:highlight w:val="none"/>
              </w:rPr>
              <w:t>17.1显示功能</w:t>
            </w:r>
          </w:p>
          <w:p w14:paraId="1E9E6554">
            <w:pPr>
              <w:spacing w:line="340" w:lineRule="exact"/>
              <w:rPr>
                <w:rFonts w:ascii="宋体" w:hAnsi="宋体" w:cs="宋体"/>
                <w:color w:val="auto"/>
                <w:highlight w:val="none"/>
              </w:rPr>
            </w:pPr>
            <w:r>
              <w:rPr>
                <w:rFonts w:hint="eastAsia" w:ascii="宋体" w:hAnsi="宋体" w:cs="宋体"/>
                <w:color w:val="auto"/>
                <w:highlight w:val="none"/>
              </w:rPr>
              <w:t>17.1.1信息输入：系统支持输入患者姓名、住院号。</w:t>
            </w:r>
          </w:p>
          <w:p w14:paraId="5A270B8B">
            <w:pPr>
              <w:spacing w:line="340" w:lineRule="exact"/>
              <w:rPr>
                <w:rFonts w:ascii="宋体" w:hAnsi="宋体" w:cs="宋体"/>
                <w:color w:val="auto"/>
                <w:highlight w:val="none"/>
              </w:rPr>
            </w:pPr>
            <w:r>
              <w:rPr>
                <w:rFonts w:hint="eastAsia" w:ascii="宋体" w:hAnsi="宋体" w:cs="宋体"/>
                <w:color w:val="auto"/>
                <w:highlight w:val="none"/>
              </w:rPr>
              <w:t>17.1.2中央监护数据存储：≥10000例以上病人数据存储，且存储空间可扩展。</w:t>
            </w:r>
          </w:p>
          <w:p w14:paraId="7C35EE0C">
            <w:pPr>
              <w:spacing w:line="340" w:lineRule="exact"/>
              <w:rPr>
                <w:rFonts w:ascii="宋体" w:hAnsi="宋体" w:cs="宋体"/>
                <w:color w:val="auto"/>
                <w:highlight w:val="none"/>
              </w:rPr>
            </w:pPr>
            <w:r>
              <w:rPr>
                <w:rFonts w:hint="eastAsia" w:ascii="宋体" w:hAnsi="宋体" w:cs="宋体"/>
                <w:color w:val="auto"/>
                <w:highlight w:val="none"/>
              </w:rPr>
              <w:t>17.1.3数据和趋势存储与回顾功能：监测数据和趋势可实时存储，实时回顾，多通道可全息回放。</w:t>
            </w:r>
          </w:p>
          <w:p w14:paraId="5496750A">
            <w:pPr>
              <w:spacing w:line="340" w:lineRule="exact"/>
              <w:rPr>
                <w:rFonts w:ascii="宋体" w:hAnsi="宋体" w:cs="宋体"/>
                <w:color w:val="auto"/>
                <w:highlight w:val="none"/>
              </w:rPr>
            </w:pPr>
            <w:r>
              <w:rPr>
                <w:rFonts w:hint="eastAsia" w:ascii="宋体" w:hAnsi="宋体" w:cs="宋体"/>
                <w:color w:val="auto"/>
                <w:highlight w:val="none"/>
              </w:rPr>
              <w:t>17.1.4数据无线传输：数据可无线传输至中央监护系统。</w:t>
            </w:r>
          </w:p>
          <w:p w14:paraId="287C4AD5">
            <w:pPr>
              <w:spacing w:line="340" w:lineRule="exact"/>
              <w:rPr>
                <w:rFonts w:ascii="宋体" w:hAnsi="宋体" w:cs="宋体"/>
                <w:color w:val="auto"/>
                <w:highlight w:val="none"/>
              </w:rPr>
            </w:pPr>
            <w:r>
              <w:rPr>
                <w:rFonts w:hint="eastAsia" w:ascii="宋体" w:hAnsi="宋体" w:cs="宋体"/>
                <w:color w:val="auto"/>
                <w:highlight w:val="none"/>
              </w:rPr>
              <w:t>17.1.5数据分析与统计功能：对监护患者体温数据可进行统计分析与编辑，显示主动保温率、低体温发生率、测温人数、主动保温人数。</w:t>
            </w:r>
          </w:p>
          <w:p w14:paraId="4040DE5A">
            <w:pPr>
              <w:spacing w:line="340" w:lineRule="exact"/>
              <w:rPr>
                <w:rFonts w:ascii="宋体" w:hAnsi="宋体" w:cs="宋体"/>
                <w:color w:val="auto"/>
                <w:highlight w:val="none"/>
              </w:rPr>
            </w:pPr>
            <w:r>
              <w:rPr>
                <w:rFonts w:hint="eastAsia" w:ascii="宋体" w:hAnsi="宋体" w:cs="宋体"/>
                <w:color w:val="auto"/>
                <w:highlight w:val="none"/>
              </w:rPr>
              <w:t xml:space="preserve">17.2中央监护系统具有独立的软件著作权登记证书。      </w:t>
            </w:r>
          </w:p>
          <w:p w14:paraId="4B828E5D">
            <w:pPr>
              <w:spacing w:line="340" w:lineRule="exact"/>
              <w:rPr>
                <w:rFonts w:ascii="宋体" w:hAnsi="宋体" w:cs="宋体"/>
                <w:b/>
                <w:bCs/>
                <w:color w:val="auto"/>
                <w:highlight w:val="none"/>
              </w:rPr>
            </w:pPr>
            <w:r>
              <w:rPr>
                <w:rFonts w:hint="eastAsia" w:ascii="宋体" w:hAnsi="宋体" w:cs="宋体"/>
                <w:b/>
                <w:bCs/>
                <w:color w:val="auto"/>
                <w:kern w:val="0"/>
                <w:szCs w:val="21"/>
                <w:highlight w:val="none"/>
              </w:rPr>
              <w:t>▲</w:t>
            </w:r>
            <w:r>
              <w:rPr>
                <w:rFonts w:hint="eastAsia" w:ascii="宋体" w:hAnsi="宋体" w:cs="宋体"/>
                <w:b/>
                <w:bCs/>
                <w:color w:val="auto"/>
                <w:highlight w:val="none"/>
              </w:rPr>
              <w:t xml:space="preserve">18.无线移动多参数监护仪配置清单      </w:t>
            </w:r>
          </w:p>
          <w:tbl>
            <w:tblPr>
              <w:tblStyle w:val="152"/>
              <w:tblW w:w="37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968"/>
              <w:gridCol w:w="571"/>
              <w:gridCol w:w="514"/>
            </w:tblGrid>
            <w:tr w14:paraId="7BE8A0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685" w:type="dxa"/>
                  <w:vAlign w:val="center"/>
                </w:tcPr>
                <w:p w14:paraId="66AFA64E">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序号</w:t>
                  </w:r>
                </w:p>
              </w:tc>
              <w:tc>
                <w:tcPr>
                  <w:tcW w:w="1968" w:type="dxa"/>
                  <w:vAlign w:val="center"/>
                </w:tcPr>
                <w:p w14:paraId="2D80C540">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产品名称</w:t>
                  </w:r>
                </w:p>
              </w:tc>
              <w:tc>
                <w:tcPr>
                  <w:tcW w:w="571" w:type="dxa"/>
                  <w:vAlign w:val="center"/>
                </w:tcPr>
                <w:p w14:paraId="0F4EC85A">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单位</w:t>
                  </w:r>
                </w:p>
              </w:tc>
              <w:tc>
                <w:tcPr>
                  <w:tcW w:w="514" w:type="dxa"/>
                  <w:vAlign w:val="center"/>
                </w:tcPr>
                <w:p w14:paraId="3217CC47">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数量</w:t>
                  </w:r>
                </w:p>
              </w:tc>
            </w:tr>
            <w:tr w14:paraId="1E571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85" w:type="dxa"/>
                  <w:vAlign w:val="center"/>
                </w:tcPr>
                <w:p w14:paraId="1992B9A1">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1</w:t>
                  </w:r>
                </w:p>
              </w:tc>
              <w:tc>
                <w:tcPr>
                  <w:tcW w:w="1968" w:type="dxa"/>
                  <w:vAlign w:val="center"/>
                </w:tcPr>
                <w:p w14:paraId="77BAA92E">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多参数监护仪</w:t>
                  </w:r>
                </w:p>
              </w:tc>
              <w:tc>
                <w:tcPr>
                  <w:tcW w:w="571" w:type="dxa"/>
                  <w:vAlign w:val="center"/>
                </w:tcPr>
                <w:p w14:paraId="5E650CA4">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台</w:t>
                  </w:r>
                </w:p>
              </w:tc>
              <w:tc>
                <w:tcPr>
                  <w:tcW w:w="514" w:type="dxa"/>
                  <w:vAlign w:val="center"/>
                </w:tcPr>
                <w:p w14:paraId="3D99837D">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20</w:t>
                  </w:r>
                </w:p>
              </w:tc>
            </w:tr>
            <w:tr w14:paraId="13E87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85" w:type="dxa"/>
                  <w:vAlign w:val="center"/>
                </w:tcPr>
                <w:p w14:paraId="4094CF26">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2</w:t>
                  </w:r>
                </w:p>
              </w:tc>
              <w:tc>
                <w:tcPr>
                  <w:tcW w:w="1968" w:type="dxa"/>
                  <w:vAlign w:val="center"/>
                </w:tcPr>
                <w:p w14:paraId="6FE27152">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血压袖带</w:t>
                  </w:r>
                </w:p>
              </w:tc>
              <w:tc>
                <w:tcPr>
                  <w:tcW w:w="571" w:type="dxa"/>
                  <w:vAlign w:val="center"/>
                </w:tcPr>
                <w:p w14:paraId="7F770F33">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个</w:t>
                  </w:r>
                </w:p>
              </w:tc>
              <w:tc>
                <w:tcPr>
                  <w:tcW w:w="514" w:type="dxa"/>
                  <w:vAlign w:val="center"/>
                </w:tcPr>
                <w:p w14:paraId="12F121E2">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30</w:t>
                  </w:r>
                </w:p>
              </w:tc>
            </w:tr>
            <w:tr w14:paraId="6403A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685" w:type="dxa"/>
                  <w:vAlign w:val="center"/>
                </w:tcPr>
                <w:p w14:paraId="27EE4E6E">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3</w:t>
                  </w:r>
                </w:p>
              </w:tc>
              <w:tc>
                <w:tcPr>
                  <w:tcW w:w="1968" w:type="dxa"/>
                  <w:vAlign w:val="center"/>
                </w:tcPr>
                <w:p w14:paraId="1E82F70C">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重复性脉搏血氧饱和度探头</w:t>
                  </w:r>
                </w:p>
              </w:tc>
              <w:tc>
                <w:tcPr>
                  <w:tcW w:w="571" w:type="dxa"/>
                  <w:vAlign w:val="center"/>
                </w:tcPr>
                <w:p w14:paraId="11CBB267">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个</w:t>
                  </w:r>
                </w:p>
              </w:tc>
              <w:tc>
                <w:tcPr>
                  <w:tcW w:w="514" w:type="dxa"/>
                  <w:vAlign w:val="center"/>
                </w:tcPr>
                <w:p w14:paraId="6177A128">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30</w:t>
                  </w:r>
                </w:p>
              </w:tc>
            </w:tr>
            <w:tr w14:paraId="3063EB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85" w:type="dxa"/>
                  <w:shd w:val="clear" w:color="auto" w:fill="auto"/>
                  <w:vAlign w:val="center"/>
                </w:tcPr>
                <w:p w14:paraId="0B626C02">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4</w:t>
                  </w:r>
                </w:p>
              </w:tc>
              <w:tc>
                <w:tcPr>
                  <w:tcW w:w="1968" w:type="dxa"/>
                  <w:shd w:val="clear" w:color="auto" w:fill="auto"/>
                  <w:vAlign w:val="center"/>
                </w:tcPr>
                <w:p w14:paraId="1C63C1AA">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心电导联线</w:t>
                  </w:r>
                </w:p>
              </w:tc>
              <w:tc>
                <w:tcPr>
                  <w:tcW w:w="571" w:type="dxa"/>
                  <w:shd w:val="clear" w:color="auto" w:fill="auto"/>
                  <w:vAlign w:val="center"/>
                </w:tcPr>
                <w:p w14:paraId="772BB7B4">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个</w:t>
                  </w:r>
                </w:p>
              </w:tc>
              <w:tc>
                <w:tcPr>
                  <w:tcW w:w="514" w:type="dxa"/>
                  <w:shd w:val="clear" w:color="auto" w:fill="auto"/>
                  <w:vAlign w:val="center"/>
                </w:tcPr>
                <w:p w14:paraId="5F2400F2">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30</w:t>
                  </w:r>
                </w:p>
              </w:tc>
            </w:tr>
            <w:tr w14:paraId="3FE12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85" w:type="dxa"/>
                  <w:shd w:val="clear" w:color="auto" w:fill="auto"/>
                  <w:vAlign w:val="center"/>
                </w:tcPr>
                <w:p w14:paraId="52AD221C">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5</w:t>
                  </w:r>
                </w:p>
              </w:tc>
              <w:tc>
                <w:tcPr>
                  <w:tcW w:w="1968" w:type="dxa"/>
                  <w:shd w:val="clear" w:color="auto" w:fill="auto"/>
                  <w:vAlign w:val="center"/>
                </w:tcPr>
                <w:p w14:paraId="3E346FDA">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一次性温度传感器</w:t>
                  </w:r>
                </w:p>
              </w:tc>
              <w:tc>
                <w:tcPr>
                  <w:tcW w:w="571" w:type="dxa"/>
                  <w:shd w:val="clear" w:color="auto" w:fill="auto"/>
                  <w:vAlign w:val="center"/>
                </w:tcPr>
                <w:p w14:paraId="4AC158B9">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个</w:t>
                  </w:r>
                </w:p>
              </w:tc>
              <w:tc>
                <w:tcPr>
                  <w:tcW w:w="514" w:type="dxa"/>
                  <w:shd w:val="clear" w:color="auto" w:fill="auto"/>
                  <w:vAlign w:val="center"/>
                </w:tcPr>
                <w:p w14:paraId="2CD62335">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20</w:t>
                  </w:r>
                </w:p>
              </w:tc>
            </w:tr>
            <w:tr w14:paraId="31ECB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85" w:type="dxa"/>
                  <w:vAlign w:val="center"/>
                </w:tcPr>
                <w:p w14:paraId="1EF19BE3">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6</w:t>
                  </w:r>
                </w:p>
              </w:tc>
              <w:tc>
                <w:tcPr>
                  <w:tcW w:w="1968" w:type="dxa"/>
                  <w:vAlign w:val="center"/>
                </w:tcPr>
                <w:p w14:paraId="4552F3D1">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螺丝刀</w:t>
                  </w:r>
                </w:p>
              </w:tc>
              <w:tc>
                <w:tcPr>
                  <w:tcW w:w="571" w:type="dxa"/>
                  <w:vAlign w:val="center"/>
                </w:tcPr>
                <w:p w14:paraId="4006F213">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个</w:t>
                  </w:r>
                </w:p>
              </w:tc>
              <w:tc>
                <w:tcPr>
                  <w:tcW w:w="514" w:type="dxa"/>
                  <w:vAlign w:val="center"/>
                </w:tcPr>
                <w:p w14:paraId="5A58872D">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20</w:t>
                  </w:r>
                </w:p>
              </w:tc>
            </w:tr>
            <w:tr w14:paraId="29CEA8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85" w:type="dxa"/>
                  <w:vAlign w:val="center"/>
                </w:tcPr>
                <w:p w14:paraId="74756394">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7</w:t>
                  </w:r>
                </w:p>
              </w:tc>
              <w:tc>
                <w:tcPr>
                  <w:tcW w:w="1968" w:type="dxa"/>
                  <w:vAlign w:val="center"/>
                </w:tcPr>
                <w:p w14:paraId="055F60E1">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手动螺钉</w:t>
                  </w:r>
                </w:p>
              </w:tc>
              <w:tc>
                <w:tcPr>
                  <w:tcW w:w="571" w:type="dxa"/>
                  <w:vAlign w:val="center"/>
                </w:tcPr>
                <w:p w14:paraId="3DFE1762">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个</w:t>
                  </w:r>
                </w:p>
              </w:tc>
              <w:tc>
                <w:tcPr>
                  <w:tcW w:w="514" w:type="dxa"/>
                  <w:vAlign w:val="center"/>
                </w:tcPr>
                <w:p w14:paraId="3F867EE1">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40</w:t>
                  </w:r>
                </w:p>
              </w:tc>
            </w:tr>
            <w:tr w14:paraId="289B0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85" w:type="dxa"/>
                  <w:vAlign w:val="center"/>
                </w:tcPr>
                <w:p w14:paraId="1ECF81C3">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8</w:t>
                  </w:r>
                </w:p>
              </w:tc>
              <w:tc>
                <w:tcPr>
                  <w:tcW w:w="1968" w:type="dxa"/>
                  <w:vAlign w:val="center"/>
                </w:tcPr>
                <w:p w14:paraId="4AA13808">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电池</w:t>
                  </w:r>
                </w:p>
              </w:tc>
              <w:tc>
                <w:tcPr>
                  <w:tcW w:w="571" w:type="dxa"/>
                  <w:vAlign w:val="center"/>
                </w:tcPr>
                <w:p w14:paraId="1E88BEF1">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个</w:t>
                  </w:r>
                </w:p>
              </w:tc>
              <w:tc>
                <w:tcPr>
                  <w:tcW w:w="514" w:type="dxa"/>
                  <w:vAlign w:val="center"/>
                </w:tcPr>
                <w:p w14:paraId="237C43AF">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60</w:t>
                  </w:r>
                </w:p>
              </w:tc>
            </w:tr>
            <w:tr w14:paraId="0C1DC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85" w:type="dxa"/>
                  <w:vAlign w:val="center"/>
                </w:tcPr>
                <w:p w14:paraId="207E7619">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9</w:t>
                  </w:r>
                </w:p>
              </w:tc>
              <w:tc>
                <w:tcPr>
                  <w:tcW w:w="1968" w:type="dxa"/>
                  <w:vAlign w:val="center"/>
                </w:tcPr>
                <w:p w14:paraId="669F063F">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说明书</w:t>
                  </w:r>
                </w:p>
              </w:tc>
              <w:tc>
                <w:tcPr>
                  <w:tcW w:w="571" w:type="dxa"/>
                  <w:vAlign w:val="center"/>
                </w:tcPr>
                <w:p w14:paraId="0EE069ED">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本</w:t>
                  </w:r>
                </w:p>
              </w:tc>
              <w:tc>
                <w:tcPr>
                  <w:tcW w:w="514" w:type="dxa"/>
                  <w:vAlign w:val="center"/>
                </w:tcPr>
                <w:p w14:paraId="19FB55A4">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20</w:t>
                  </w:r>
                </w:p>
              </w:tc>
            </w:tr>
            <w:tr w14:paraId="7A724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85" w:type="dxa"/>
                  <w:vAlign w:val="center"/>
                </w:tcPr>
                <w:p w14:paraId="46264EA0">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10</w:t>
                  </w:r>
                </w:p>
              </w:tc>
              <w:tc>
                <w:tcPr>
                  <w:tcW w:w="1968" w:type="dxa"/>
                  <w:vAlign w:val="center"/>
                </w:tcPr>
                <w:p w14:paraId="6568E7BA">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操作指南</w:t>
                  </w:r>
                </w:p>
              </w:tc>
              <w:tc>
                <w:tcPr>
                  <w:tcW w:w="571" w:type="dxa"/>
                  <w:vAlign w:val="center"/>
                </w:tcPr>
                <w:p w14:paraId="2BD655C3">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份</w:t>
                  </w:r>
                </w:p>
              </w:tc>
              <w:tc>
                <w:tcPr>
                  <w:tcW w:w="514" w:type="dxa"/>
                  <w:vAlign w:val="center"/>
                </w:tcPr>
                <w:p w14:paraId="52D1074B">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20</w:t>
                  </w:r>
                </w:p>
              </w:tc>
            </w:tr>
            <w:tr w14:paraId="61386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85" w:type="dxa"/>
                  <w:vAlign w:val="center"/>
                </w:tcPr>
                <w:p w14:paraId="0906E8EC">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11</w:t>
                  </w:r>
                </w:p>
              </w:tc>
              <w:tc>
                <w:tcPr>
                  <w:tcW w:w="1968" w:type="dxa"/>
                  <w:vAlign w:val="center"/>
                </w:tcPr>
                <w:p w14:paraId="146E5E42">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保修卡</w:t>
                  </w:r>
                </w:p>
              </w:tc>
              <w:tc>
                <w:tcPr>
                  <w:tcW w:w="571" w:type="dxa"/>
                  <w:vAlign w:val="center"/>
                </w:tcPr>
                <w:p w14:paraId="3C3ACE0B">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份</w:t>
                  </w:r>
                </w:p>
              </w:tc>
              <w:tc>
                <w:tcPr>
                  <w:tcW w:w="514" w:type="dxa"/>
                  <w:vAlign w:val="center"/>
                </w:tcPr>
                <w:p w14:paraId="32282D1B">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20</w:t>
                  </w:r>
                </w:p>
              </w:tc>
            </w:tr>
            <w:tr w14:paraId="0B282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85" w:type="dxa"/>
                  <w:vAlign w:val="center"/>
                </w:tcPr>
                <w:p w14:paraId="4FC3E996">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12</w:t>
                  </w:r>
                </w:p>
              </w:tc>
              <w:tc>
                <w:tcPr>
                  <w:tcW w:w="1968" w:type="dxa"/>
                  <w:vAlign w:val="center"/>
                </w:tcPr>
                <w:p w14:paraId="3628CBD6">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合格证</w:t>
                  </w:r>
                </w:p>
              </w:tc>
              <w:tc>
                <w:tcPr>
                  <w:tcW w:w="571" w:type="dxa"/>
                  <w:vAlign w:val="center"/>
                </w:tcPr>
                <w:p w14:paraId="72AEF6B7">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份</w:t>
                  </w:r>
                </w:p>
              </w:tc>
              <w:tc>
                <w:tcPr>
                  <w:tcW w:w="514" w:type="dxa"/>
                  <w:vAlign w:val="center"/>
                </w:tcPr>
                <w:p w14:paraId="3CFCD0D2">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20</w:t>
                  </w:r>
                </w:p>
              </w:tc>
            </w:tr>
            <w:tr w14:paraId="05F50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85" w:type="dxa"/>
                  <w:vAlign w:val="center"/>
                </w:tcPr>
                <w:p w14:paraId="49489960">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13</w:t>
                  </w:r>
                </w:p>
              </w:tc>
              <w:tc>
                <w:tcPr>
                  <w:tcW w:w="1968" w:type="dxa"/>
                  <w:vAlign w:val="center"/>
                </w:tcPr>
                <w:p w14:paraId="4BF1292A">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装箱清单</w:t>
                  </w:r>
                </w:p>
              </w:tc>
              <w:tc>
                <w:tcPr>
                  <w:tcW w:w="571" w:type="dxa"/>
                  <w:vAlign w:val="center"/>
                </w:tcPr>
                <w:p w14:paraId="4DD62D22">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份</w:t>
                  </w:r>
                </w:p>
              </w:tc>
              <w:tc>
                <w:tcPr>
                  <w:tcW w:w="514" w:type="dxa"/>
                  <w:vAlign w:val="center"/>
                </w:tcPr>
                <w:p w14:paraId="4D577156">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20</w:t>
                  </w:r>
                </w:p>
              </w:tc>
            </w:tr>
          </w:tbl>
          <w:p w14:paraId="5F94CFF0">
            <w:pPr>
              <w:rPr>
                <w:b/>
                <w:bCs/>
                <w:color w:val="auto"/>
                <w:sz w:val="24"/>
                <w:highlight w:val="none"/>
              </w:rPr>
            </w:pPr>
          </w:p>
          <w:p w14:paraId="6B2F1D27">
            <w:pPr>
              <w:spacing w:line="340" w:lineRule="exact"/>
              <w:rPr>
                <w:rFonts w:ascii="宋体" w:hAnsi="宋体" w:cs="宋体"/>
                <w:b/>
                <w:bCs/>
                <w:color w:val="auto"/>
                <w:highlight w:val="none"/>
              </w:rPr>
            </w:pPr>
            <w:r>
              <w:rPr>
                <w:rFonts w:hint="eastAsia" w:ascii="宋体" w:hAnsi="宋体" w:cs="宋体"/>
                <w:b/>
                <w:bCs/>
                <w:color w:val="auto"/>
                <w:kern w:val="0"/>
                <w:szCs w:val="21"/>
                <w:highlight w:val="none"/>
              </w:rPr>
              <w:t>▲</w:t>
            </w:r>
            <w:r>
              <w:rPr>
                <w:rFonts w:hint="eastAsia" w:ascii="宋体" w:hAnsi="宋体" w:cs="宋体"/>
                <w:b/>
                <w:bCs/>
                <w:color w:val="auto"/>
                <w:highlight w:val="none"/>
              </w:rPr>
              <w:t>19.工作站配套硬件清单</w:t>
            </w:r>
          </w:p>
          <w:tbl>
            <w:tblPr>
              <w:tblStyle w:val="48"/>
              <w:tblW w:w="37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990"/>
              <w:gridCol w:w="600"/>
              <w:gridCol w:w="500"/>
            </w:tblGrid>
            <w:tr w14:paraId="63CFE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642" w:type="dxa"/>
                </w:tcPr>
                <w:p w14:paraId="1A25ACF4">
                  <w:pPr>
                    <w:spacing w:line="340" w:lineRule="exact"/>
                    <w:jc w:val="center"/>
                    <w:rPr>
                      <w:rFonts w:ascii="宋体" w:hAnsi="宋体" w:cs="宋体"/>
                      <w:b/>
                      <w:bCs/>
                      <w:color w:val="auto"/>
                      <w:highlight w:val="none"/>
                    </w:rPr>
                  </w:pPr>
                  <w:r>
                    <w:rPr>
                      <w:rFonts w:hint="eastAsia" w:ascii="宋体" w:hAnsi="宋体" w:cs="宋体"/>
                      <w:b/>
                      <w:bCs/>
                      <w:color w:val="auto"/>
                      <w:highlight w:val="none"/>
                    </w:rPr>
                    <w:t>序号</w:t>
                  </w:r>
                </w:p>
              </w:tc>
              <w:tc>
                <w:tcPr>
                  <w:tcW w:w="1990" w:type="dxa"/>
                </w:tcPr>
                <w:p w14:paraId="7E1415F8">
                  <w:pPr>
                    <w:spacing w:line="340" w:lineRule="exact"/>
                    <w:jc w:val="center"/>
                    <w:rPr>
                      <w:rFonts w:ascii="宋体" w:hAnsi="宋体" w:cs="宋体"/>
                      <w:b/>
                      <w:bCs/>
                      <w:color w:val="auto"/>
                      <w:highlight w:val="none"/>
                    </w:rPr>
                  </w:pPr>
                  <w:r>
                    <w:rPr>
                      <w:rFonts w:hint="eastAsia" w:ascii="宋体" w:hAnsi="宋体" w:cs="宋体"/>
                      <w:b/>
                      <w:bCs/>
                      <w:color w:val="auto"/>
                      <w:highlight w:val="none"/>
                    </w:rPr>
                    <w:t>产品名称</w:t>
                  </w:r>
                </w:p>
              </w:tc>
              <w:tc>
                <w:tcPr>
                  <w:tcW w:w="600" w:type="dxa"/>
                </w:tcPr>
                <w:p w14:paraId="670E7363">
                  <w:pPr>
                    <w:spacing w:line="340" w:lineRule="exact"/>
                    <w:jc w:val="center"/>
                    <w:rPr>
                      <w:rFonts w:ascii="宋体" w:hAnsi="宋体" w:cs="宋体"/>
                      <w:b/>
                      <w:bCs/>
                      <w:color w:val="auto"/>
                      <w:highlight w:val="none"/>
                    </w:rPr>
                  </w:pPr>
                  <w:r>
                    <w:rPr>
                      <w:rFonts w:hint="eastAsia" w:ascii="宋体" w:hAnsi="宋体" w:cs="宋体"/>
                      <w:b/>
                      <w:bCs/>
                      <w:color w:val="auto"/>
                      <w:highlight w:val="none"/>
                    </w:rPr>
                    <w:t>单位</w:t>
                  </w:r>
                </w:p>
              </w:tc>
              <w:tc>
                <w:tcPr>
                  <w:tcW w:w="500" w:type="dxa"/>
                </w:tcPr>
                <w:p w14:paraId="4BD5041F">
                  <w:pPr>
                    <w:spacing w:line="340" w:lineRule="exact"/>
                    <w:jc w:val="center"/>
                    <w:rPr>
                      <w:rFonts w:ascii="宋体" w:hAnsi="宋体" w:cs="宋体"/>
                      <w:b/>
                      <w:bCs/>
                      <w:color w:val="auto"/>
                      <w:highlight w:val="none"/>
                    </w:rPr>
                  </w:pPr>
                  <w:r>
                    <w:rPr>
                      <w:rFonts w:hint="eastAsia" w:ascii="宋体" w:hAnsi="宋体" w:cs="宋体"/>
                      <w:b/>
                      <w:bCs/>
                      <w:color w:val="auto"/>
                      <w:highlight w:val="none"/>
                    </w:rPr>
                    <w:t>数量</w:t>
                  </w:r>
                </w:p>
              </w:tc>
            </w:tr>
            <w:tr w14:paraId="50852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642" w:type="dxa"/>
                  <w:vAlign w:val="center"/>
                </w:tcPr>
                <w:p w14:paraId="324FE11E">
                  <w:pPr>
                    <w:spacing w:line="340" w:lineRule="exact"/>
                    <w:jc w:val="center"/>
                    <w:rPr>
                      <w:rFonts w:ascii="宋体" w:hAnsi="宋体" w:cs="宋体"/>
                      <w:b/>
                      <w:bCs/>
                      <w:color w:val="auto"/>
                      <w:highlight w:val="none"/>
                    </w:rPr>
                  </w:pPr>
                  <w:r>
                    <w:rPr>
                      <w:rFonts w:hint="eastAsia" w:ascii="宋体" w:hAnsi="宋体" w:cs="宋体"/>
                      <w:b/>
                      <w:bCs/>
                      <w:color w:val="auto"/>
                      <w:highlight w:val="none"/>
                    </w:rPr>
                    <w:t>1</w:t>
                  </w:r>
                </w:p>
              </w:tc>
              <w:tc>
                <w:tcPr>
                  <w:tcW w:w="1990" w:type="dxa"/>
                  <w:vAlign w:val="center"/>
                </w:tcPr>
                <w:p w14:paraId="30401FC1">
                  <w:pPr>
                    <w:spacing w:line="340" w:lineRule="exact"/>
                    <w:jc w:val="center"/>
                    <w:rPr>
                      <w:rFonts w:ascii="宋体" w:hAnsi="宋体" w:cs="宋体"/>
                      <w:b/>
                      <w:bCs/>
                      <w:color w:val="auto"/>
                      <w:highlight w:val="none"/>
                    </w:rPr>
                  </w:pPr>
                  <w:r>
                    <w:rPr>
                      <w:rFonts w:hint="eastAsia" w:ascii="宋体" w:hAnsi="宋体" w:cs="宋体"/>
                      <w:b/>
                      <w:bCs/>
                      <w:color w:val="auto"/>
                      <w:highlight w:val="none"/>
                    </w:rPr>
                    <w:t>中央监护系统</w:t>
                  </w:r>
                </w:p>
              </w:tc>
              <w:tc>
                <w:tcPr>
                  <w:tcW w:w="600" w:type="dxa"/>
                  <w:vAlign w:val="center"/>
                </w:tcPr>
                <w:p w14:paraId="447DE7EB">
                  <w:pPr>
                    <w:spacing w:line="340" w:lineRule="exact"/>
                    <w:jc w:val="center"/>
                    <w:rPr>
                      <w:rFonts w:ascii="宋体" w:hAnsi="宋体" w:cs="宋体"/>
                      <w:b/>
                      <w:bCs/>
                      <w:color w:val="auto"/>
                      <w:highlight w:val="none"/>
                    </w:rPr>
                  </w:pPr>
                  <w:r>
                    <w:rPr>
                      <w:rFonts w:hint="eastAsia" w:ascii="宋体" w:hAnsi="宋体" w:cs="宋体"/>
                      <w:b/>
                      <w:bCs/>
                      <w:color w:val="auto"/>
                      <w:highlight w:val="none"/>
                    </w:rPr>
                    <w:t>套</w:t>
                  </w:r>
                </w:p>
              </w:tc>
              <w:tc>
                <w:tcPr>
                  <w:tcW w:w="500" w:type="dxa"/>
                  <w:vAlign w:val="center"/>
                </w:tcPr>
                <w:p w14:paraId="59DD1223">
                  <w:pPr>
                    <w:spacing w:line="340" w:lineRule="exact"/>
                    <w:jc w:val="center"/>
                    <w:rPr>
                      <w:rFonts w:ascii="宋体" w:hAnsi="宋体" w:cs="宋体"/>
                      <w:b/>
                      <w:bCs/>
                      <w:color w:val="auto"/>
                      <w:highlight w:val="none"/>
                    </w:rPr>
                  </w:pPr>
                  <w:r>
                    <w:rPr>
                      <w:rFonts w:hint="eastAsia" w:ascii="宋体" w:hAnsi="宋体" w:cs="宋体"/>
                      <w:b/>
                      <w:bCs/>
                      <w:color w:val="auto"/>
                      <w:highlight w:val="none"/>
                    </w:rPr>
                    <w:t>2</w:t>
                  </w:r>
                </w:p>
              </w:tc>
            </w:tr>
            <w:tr w14:paraId="229D2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42" w:type="dxa"/>
                  <w:vAlign w:val="center"/>
                </w:tcPr>
                <w:p w14:paraId="5A7C88F5">
                  <w:pPr>
                    <w:spacing w:line="340" w:lineRule="exact"/>
                    <w:jc w:val="center"/>
                    <w:rPr>
                      <w:rFonts w:ascii="宋体" w:hAnsi="宋体" w:cs="宋体"/>
                      <w:b/>
                      <w:bCs/>
                      <w:color w:val="auto"/>
                      <w:highlight w:val="none"/>
                    </w:rPr>
                  </w:pPr>
                  <w:r>
                    <w:rPr>
                      <w:rFonts w:hint="eastAsia" w:ascii="宋体" w:hAnsi="宋体" w:cs="宋体"/>
                      <w:b/>
                      <w:bCs/>
                      <w:color w:val="auto"/>
                      <w:highlight w:val="none"/>
                    </w:rPr>
                    <w:t>2</w:t>
                  </w:r>
                </w:p>
              </w:tc>
              <w:tc>
                <w:tcPr>
                  <w:tcW w:w="1990" w:type="dxa"/>
                  <w:vAlign w:val="center"/>
                </w:tcPr>
                <w:p w14:paraId="4D946CF9">
                  <w:pPr>
                    <w:spacing w:line="340" w:lineRule="exact"/>
                    <w:jc w:val="center"/>
                    <w:rPr>
                      <w:rFonts w:ascii="宋体" w:hAnsi="宋体" w:cs="宋体"/>
                      <w:b/>
                      <w:bCs/>
                      <w:color w:val="auto"/>
                      <w:highlight w:val="none"/>
                    </w:rPr>
                  </w:pPr>
                  <w:r>
                    <w:rPr>
                      <w:rFonts w:hint="eastAsia" w:ascii="宋体" w:hAnsi="宋体" w:cs="宋体"/>
                      <w:b/>
                      <w:bCs/>
                      <w:color w:val="auto"/>
                      <w:highlight w:val="none"/>
                    </w:rPr>
                    <w:t>显示屏</w:t>
                  </w:r>
                </w:p>
              </w:tc>
              <w:tc>
                <w:tcPr>
                  <w:tcW w:w="600" w:type="dxa"/>
                  <w:vAlign w:val="center"/>
                </w:tcPr>
                <w:p w14:paraId="7CD0F0EA">
                  <w:pPr>
                    <w:spacing w:line="340" w:lineRule="exact"/>
                    <w:jc w:val="center"/>
                    <w:rPr>
                      <w:rFonts w:ascii="宋体" w:hAnsi="宋体" w:cs="宋体"/>
                      <w:b/>
                      <w:bCs/>
                      <w:color w:val="auto"/>
                      <w:highlight w:val="none"/>
                    </w:rPr>
                  </w:pPr>
                  <w:r>
                    <w:rPr>
                      <w:rFonts w:hint="eastAsia" w:ascii="宋体" w:hAnsi="宋体" w:cs="宋体"/>
                      <w:b/>
                      <w:bCs/>
                      <w:color w:val="auto"/>
                      <w:highlight w:val="none"/>
                    </w:rPr>
                    <w:t>台</w:t>
                  </w:r>
                </w:p>
              </w:tc>
              <w:tc>
                <w:tcPr>
                  <w:tcW w:w="500" w:type="dxa"/>
                  <w:vAlign w:val="center"/>
                </w:tcPr>
                <w:p w14:paraId="7CDF2ED3">
                  <w:pPr>
                    <w:spacing w:line="340" w:lineRule="exact"/>
                    <w:jc w:val="center"/>
                    <w:rPr>
                      <w:rFonts w:ascii="宋体" w:hAnsi="宋体" w:cs="宋体"/>
                      <w:b/>
                      <w:bCs/>
                      <w:color w:val="auto"/>
                      <w:highlight w:val="none"/>
                    </w:rPr>
                  </w:pPr>
                  <w:r>
                    <w:rPr>
                      <w:rFonts w:hint="eastAsia" w:ascii="宋体" w:hAnsi="宋体" w:cs="宋体"/>
                      <w:b/>
                      <w:bCs/>
                      <w:color w:val="auto"/>
                      <w:highlight w:val="none"/>
                    </w:rPr>
                    <w:t>2</w:t>
                  </w:r>
                </w:p>
              </w:tc>
            </w:tr>
            <w:tr w14:paraId="731B1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642" w:type="dxa"/>
                  <w:vAlign w:val="center"/>
                </w:tcPr>
                <w:p w14:paraId="7E8D874F">
                  <w:pPr>
                    <w:spacing w:line="340" w:lineRule="exact"/>
                    <w:jc w:val="center"/>
                    <w:rPr>
                      <w:rFonts w:ascii="宋体" w:hAnsi="宋体" w:cs="宋体"/>
                      <w:b/>
                      <w:bCs/>
                      <w:color w:val="auto"/>
                      <w:highlight w:val="none"/>
                    </w:rPr>
                  </w:pPr>
                  <w:r>
                    <w:rPr>
                      <w:rFonts w:hint="eastAsia" w:ascii="宋体" w:hAnsi="宋体" w:cs="宋体"/>
                      <w:b/>
                      <w:bCs/>
                      <w:color w:val="auto"/>
                      <w:highlight w:val="none"/>
                    </w:rPr>
                    <w:t>3</w:t>
                  </w:r>
                </w:p>
              </w:tc>
              <w:tc>
                <w:tcPr>
                  <w:tcW w:w="1990" w:type="dxa"/>
                  <w:vAlign w:val="center"/>
                </w:tcPr>
                <w:p w14:paraId="0D921235">
                  <w:pPr>
                    <w:spacing w:line="340" w:lineRule="exact"/>
                    <w:jc w:val="center"/>
                    <w:rPr>
                      <w:rFonts w:ascii="宋体" w:hAnsi="宋体" w:cs="宋体"/>
                      <w:b/>
                      <w:bCs/>
                      <w:color w:val="auto"/>
                      <w:highlight w:val="none"/>
                    </w:rPr>
                  </w:pPr>
                  <w:r>
                    <w:rPr>
                      <w:rFonts w:hint="eastAsia" w:ascii="宋体" w:hAnsi="宋体" w:cs="宋体"/>
                      <w:b/>
                      <w:bCs/>
                      <w:color w:val="auto"/>
                      <w:highlight w:val="none"/>
                    </w:rPr>
                    <w:t>平板电脑</w:t>
                  </w:r>
                </w:p>
              </w:tc>
              <w:tc>
                <w:tcPr>
                  <w:tcW w:w="600" w:type="dxa"/>
                  <w:vAlign w:val="center"/>
                </w:tcPr>
                <w:p w14:paraId="3C0C586B">
                  <w:pPr>
                    <w:spacing w:line="340" w:lineRule="exact"/>
                    <w:jc w:val="center"/>
                    <w:rPr>
                      <w:rFonts w:ascii="宋体" w:hAnsi="宋体" w:cs="宋体"/>
                      <w:b/>
                      <w:bCs/>
                      <w:color w:val="auto"/>
                      <w:highlight w:val="none"/>
                    </w:rPr>
                  </w:pPr>
                  <w:r>
                    <w:rPr>
                      <w:rFonts w:hint="eastAsia" w:ascii="宋体" w:hAnsi="宋体" w:cs="宋体"/>
                      <w:b/>
                      <w:bCs/>
                      <w:color w:val="auto"/>
                      <w:highlight w:val="none"/>
                    </w:rPr>
                    <w:t>台</w:t>
                  </w:r>
                </w:p>
              </w:tc>
              <w:tc>
                <w:tcPr>
                  <w:tcW w:w="500" w:type="dxa"/>
                  <w:vAlign w:val="center"/>
                </w:tcPr>
                <w:p w14:paraId="3C37AB9F">
                  <w:pPr>
                    <w:spacing w:line="340" w:lineRule="exact"/>
                    <w:jc w:val="center"/>
                    <w:rPr>
                      <w:rFonts w:ascii="宋体" w:hAnsi="宋体" w:cs="宋体"/>
                      <w:b/>
                      <w:bCs/>
                      <w:color w:val="auto"/>
                      <w:highlight w:val="none"/>
                    </w:rPr>
                  </w:pPr>
                  <w:r>
                    <w:rPr>
                      <w:rFonts w:hint="eastAsia" w:ascii="宋体" w:hAnsi="宋体" w:cs="宋体"/>
                      <w:b/>
                      <w:bCs/>
                      <w:color w:val="auto"/>
                      <w:highlight w:val="none"/>
                    </w:rPr>
                    <w:t>10</w:t>
                  </w:r>
                </w:p>
              </w:tc>
            </w:tr>
            <w:tr w14:paraId="25350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642" w:type="dxa"/>
                  <w:vAlign w:val="center"/>
                </w:tcPr>
                <w:p w14:paraId="37E406CD">
                  <w:pPr>
                    <w:spacing w:line="340" w:lineRule="exact"/>
                    <w:jc w:val="center"/>
                    <w:rPr>
                      <w:rFonts w:ascii="宋体" w:hAnsi="宋体" w:cs="宋体"/>
                      <w:b/>
                      <w:bCs/>
                      <w:color w:val="auto"/>
                      <w:highlight w:val="none"/>
                    </w:rPr>
                  </w:pPr>
                  <w:r>
                    <w:rPr>
                      <w:rFonts w:hint="eastAsia" w:ascii="宋体" w:hAnsi="宋体" w:cs="宋体"/>
                      <w:b/>
                      <w:bCs/>
                      <w:color w:val="auto"/>
                      <w:highlight w:val="none"/>
                    </w:rPr>
                    <w:t>4</w:t>
                  </w:r>
                </w:p>
              </w:tc>
              <w:tc>
                <w:tcPr>
                  <w:tcW w:w="1990" w:type="dxa"/>
                  <w:vAlign w:val="center"/>
                </w:tcPr>
                <w:p w14:paraId="08F053DC">
                  <w:pPr>
                    <w:spacing w:line="340" w:lineRule="exact"/>
                    <w:jc w:val="center"/>
                    <w:rPr>
                      <w:rFonts w:ascii="宋体" w:hAnsi="宋体" w:cs="宋体"/>
                      <w:b/>
                      <w:bCs/>
                      <w:color w:val="auto"/>
                      <w:highlight w:val="none"/>
                    </w:rPr>
                  </w:pPr>
                  <w:r>
                    <w:rPr>
                      <w:rFonts w:hint="eastAsia" w:ascii="宋体" w:hAnsi="宋体" w:cs="宋体"/>
                      <w:b/>
                      <w:bCs/>
                      <w:color w:val="auto"/>
                      <w:highlight w:val="none"/>
                    </w:rPr>
                    <w:t>平板电脑支架</w:t>
                  </w:r>
                </w:p>
              </w:tc>
              <w:tc>
                <w:tcPr>
                  <w:tcW w:w="600" w:type="dxa"/>
                  <w:vAlign w:val="center"/>
                </w:tcPr>
                <w:p w14:paraId="7382A476">
                  <w:pPr>
                    <w:spacing w:line="340" w:lineRule="exact"/>
                    <w:jc w:val="center"/>
                    <w:rPr>
                      <w:rFonts w:ascii="宋体" w:hAnsi="宋体" w:cs="宋体"/>
                      <w:b/>
                      <w:bCs/>
                      <w:color w:val="auto"/>
                      <w:highlight w:val="none"/>
                    </w:rPr>
                  </w:pPr>
                  <w:r>
                    <w:rPr>
                      <w:rFonts w:hint="eastAsia" w:ascii="宋体" w:hAnsi="宋体" w:cs="宋体"/>
                      <w:b/>
                      <w:bCs/>
                      <w:color w:val="auto"/>
                      <w:highlight w:val="none"/>
                    </w:rPr>
                    <w:t>个</w:t>
                  </w:r>
                </w:p>
              </w:tc>
              <w:tc>
                <w:tcPr>
                  <w:tcW w:w="500" w:type="dxa"/>
                  <w:vAlign w:val="center"/>
                </w:tcPr>
                <w:p w14:paraId="12D34016">
                  <w:pPr>
                    <w:spacing w:line="340" w:lineRule="exact"/>
                    <w:jc w:val="center"/>
                    <w:rPr>
                      <w:rFonts w:ascii="宋体" w:hAnsi="宋体" w:cs="宋体"/>
                      <w:b/>
                      <w:bCs/>
                      <w:color w:val="auto"/>
                      <w:highlight w:val="none"/>
                    </w:rPr>
                  </w:pPr>
                  <w:r>
                    <w:rPr>
                      <w:rFonts w:hint="eastAsia" w:ascii="宋体" w:hAnsi="宋体" w:cs="宋体"/>
                      <w:b/>
                      <w:bCs/>
                      <w:color w:val="auto"/>
                      <w:highlight w:val="none"/>
                    </w:rPr>
                    <w:t>10</w:t>
                  </w:r>
                </w:p>
              </w:tc>
            </w:tr>
            <w:tr w14:paraId="624FC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42" w:type="dxa"/>
                  <w:vAlign w:val="center"/>
                </w:tcPr>
                <w:p w14:paraId="15F44456">
                  <w:pPr>
                    <w:spacing w:line="340" w:lineRule="exact"/>
                    <w:jc w:val="center"/>
                    <w:rPr>
                      <w:rFonts w:ascii="宋体" w:hAnsi="宋体" w:cs="宋体"/>
                      <w:b/>
                      <w:bCs/>
                      <w:color w:val="auto"/>
                      <w:highlight w:val="none"/>
                    </w:rPr>
                  </w:pPr>
                  <w:r>
                    <w:rPr>
                      <w:rFonts w:hint="eastAsia" w:ascii="宋体" w:hAnsi="宋体" w:cs="宋体"/>
                      <w:b/>
                      <w:bCs/>
                      <w:color w:val="auto"/>
                      <w:highlight w:val="none"/>
                    </w:rPr>
                    <w:t>5</w:t>
                  </w:r>
                </w:p>
              </w:tc>
              <w:tc>
                <w:tcPr>
                  <w:tcW w:w="1990" w:type="dxa"/>
                  <w:vAlign w:val="center"/>
                </w:tcPr>
                <w:p w14:paraId="01EFAE1A">
                  <w:pPr>
                    <w:spacing w:line="340" w:lineRule="exact"/>
                    <w:jc w:val="center"/>
                    <w:rPr>
                      <w:rFonts w:ascii="宋体" w:hAnsi="宋体" w:cs="宋体"/>
                      <w:b/>
                      <w:bCs/>
                      <w:color w:val="auto"/>
                      <w:highlight w:val="none"/>
                    </w:rPr>
                  </w:pPr>
                  <w:r>
                    <w:rPr>
                      <w:rFonts w:hint="eastAsia" w:ascii="宋体" w:hAnsi="宋体" w:cs="宋体"/>
                      <w:b/>
                      <w:bCs/>
                      <w:color w:val="auto"/>
                      <w:highlight w:val="none"/>
                    </w:rPr>
                    <w:t>工作站电脑</w:t>
                  </w:r>
                </w:p>
              </w:tc>
              <w:tc>
                <w:tcPr>
                  <w:tcW w:w="600" w:type="dxa"/>
                  <w:vAlign w:val="center"/>
                </w:tcPr>
                <w:p w14:paraId="6F9A6E12">
                  <w:pPr>
                    <w:spacing w:line="340" w:lineRule="exact"/>
                    <w:jc w:val="center"/>
                    <w:rPr>
                      <w:rFonts w:ascii="宋体" w:hAnsi="宋体" w:cs="宋体"/>
                      <w:b/>
                      <w:bCs/>
                      <w:color w:val="auto"/>
                      <w:highlight w:val="none"/>
                    </w:rPr>
                  </w:pPr>
                  <w:r>
                    <w:rPr>
                      <w:rFonts w:hint="eastAsia" w:ascii="宋体" w:hAnsi="宋体" w:cs="宋体"/>
                      <w:b/>
                      <w:bCs/>
                      <w:color w:val="auto"/>
                      <w:highlight w:val="none"/>
                    </w:rPr>
                    <w:t>台</w:t>
                  </w:r>
                </w:p>
              </w:tc>
              <w:tc>
                <w:tcPr>
                  <w:tcW w:w="500" w:type="dxa"/>
                  <w:vAlign w:val="center"/>
                </w:tcPr>
                <w:p w14:paraId="16D68174">
                  <w:pPr>
                    <w:spacing w:line="340" w:lineRule="exact"/>
                    <w:jc w:val="center"/>
                    <w:rPr>
                      <w:rFonts w:ascii="宋体" w:hAnsi="宋体" w:cs="宋体"/>
                      <w:b/>
                      <w:bCs/>
                      <w:color w:val="auto"/>
                      <w:highlight w:val="none"/>
                    </w:rPr>
                  </w:pPr>
                  <w:r>
                    <w:rPr>
                      <w:rFonts w:hint="eastAsia" w:ascii="宋体" w:hAnsi="宋体" w:cs="宋体"/>
                      <w:b/>
                      <w:bCs/>
                      <w:color w:val="auto"/>
                      <w:highlight w:val="none"/>
                    </w:rPr>
                    <w:t>2</w:t>
                  </w:r>
                </w:p>
              </w:tc>
            </w:tr>
            <w:tr w14:paraId="09439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2" w:type="dxa"/>
                  <w:vAlign w:val="center"/>
                </w:tcPr>
                <w:p w14:paraId="4E31F6EE">
                  <w:pPr>
                    <w:spacing w:line="340" w:lineRule="exact"/>
                    <w:jc w:val="center"/>
                    <w:rPr>
                      <w:rFonts w:ascii="宋体" w:hAnsi="宋体" w:cs="宋体"/>
                      <w:b/>
                      <w:bCs/>
                      <w:color w:val="auto"/>
                      <w:highlight w:val="none"/>
                    </w:rPr>
                  </w:pPr>
                  <w:r>
                    <w:rPr>
                      <w:rFonts w:hint="eastAsia" w:ascii="宋体" w:hAnsi="宋体" w:cs="宋体"/>
                      <w:b/>
                      <w:bCs/>
                      <w:color w:val="auto"/>
                      <w:highlight w:val="none"/>
                    </w:rPr>
                    <w:t>6</w:t>
                  </w:r>
                </w:p>
              </w:tc>
              <w:tc>
                <w:tcPr>
                  <w:tcW w:w="1990" w:type="dxa"/>
                  <w:vAlign w:val="center"/>
                </w:tcPr>
                <w:p w14:paraId="7428BA63">
                  <w:pPr>
                    <w:spacing w:line="340" w:lineRule="exact"/>
                    <w:jc w:val="center"/>
                    <w:rPr>
                      <w:rFonts w:ascii="宋体" w:hAnsi="宋体" w:cs="宋体"/>
                      <w:b/>
                      <w:bCs/>
                      <w:color w:val="auto"/>
                      <w:highlight w:val="none"/>
                    </w:rPr>
                  </w:pPr>
                  <w:r>
                    <w:rPr>
                      <w:rFonts w:hint="eastAsia" w:ascii="宋体" w:hAnsi="宋体" w:cs="宋体"/>
                      <w:b/>
                      <w:bCs/>
                      <w:color w:val="auto"/>
                      <w:highlight w:val="none"/>
                    </w:rPr>
                    <w:t>无线发射器</w:t>
                  </w:r>
                </w:p>
              </w:tc>
              <w:tc>
                <w:tcPr>
                  <w:tcW w:w="600" w:type="dxa"/>
                  <w:vAlign w:val="center"/>
                </w:tcPr>
                <w:p w14:paraId="2F314C5F">
                  <w:pPr>
                    <w:spacing w:line="340" w:lineRule="exact"/>
                    <w:jc w:val="center"/>
                    <w:rPr>
                      <w:rFonts w:ascii="宋体" w:hAnsi="宋体" w:cs="宋体"/>
                      <w:b/>
                      <w:bCs/>
                      <w:color w:val="auto"/>
                      <w:highlight w:val="none"/>
                    </w:rPr>
                  </w:pPr>
                  <w:r>
                    <w:rPr>
                      <w:rFonts w:hint="eastAsia" w:ascii="宋体" w:hAnsi="宋体" w:cs="宋体"/>
                      <w:b/>
                      <w:bCs/>
                      <w:color w:val="auto"/>
                      <w:highlight w:val="none"/>
                    </w:rPr>
                    <w:t>个</w:t>
                  </w:r>
                </w:p>
              </w:tc>
              <w:tc>
                <w:tcPr>
                  <w:tcW w:w="500" w:type="dxa"/>
                  <w:vAlign w:val="center"/>
                </w:tcPr>
                <w:p w14:paraId="760FDA48">
                  <w:pPr>
                    <w:spacing w:line="340" w:lineRule="exact"/>
                    <w:jc w:val="center"/>
                    <w:rPr>
                      <w:rFonts w:ascii="宋体" w:hAnsi="宋体" w:cs="宋体"/>
                      <w:b/>
                      <w:bCs/>
                      <w:color w:val="auto"/>
                      <w:highlight w:val="none"/>
                    </w:rPr>
                  </w:pPr>
                  <w:r>
                    <w:rPr>
                      <w:rFonts w:hint="eastAsia" w:ascii="宋体" w:hAnsi="宋体" w:cs="宋体"/>
                      <w:b/>
                      <w:bCs/>
                      <w:color w:val="auto"/>
                      <w:highlight w:val="none"/>
                    </w:rPr>
                    <w:t>2</w:t>
                  </w:r>
                </w:p>
              </w:tc>
            </w:tr>
            <w:tr w14:paraId="19230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42" w:type="dxa"/>
                  <w:vAlign w:val="center"/>
                </w:tcPr>
                <w:p w14:paraId="5A849F7E">
                  <w:pPr>
                    <w:spacing w:line="340" w:lineRule="exact"/>
                    <w:jc w:val="center"/>
                    <w:rPr>
                      <w:rFonts w:ascii="宋体" w:hAnsi="宋体" w:cs="宋体"/>
                      <w:b/>
                      <w:bCs/>
                      <w:color w:val="auto"/>
                      <w:highlight w:val="none"/>
                    </w:rPr>
                  </w:pPr>
                  <w:r>
                    <w:rPr>
                      <w:rFonts w:hint="eastAsia" w:ascii="宋体" w:hAnsi="宋体" w:cs="宋体"/>
                      <w:b/>
                      <w:bCs/>
                      <w:color w:val="auto"/>
                      <w:highlight w:val="none"/>
                    </w:rPr>
                    <w:t>7</w:t>
                  </w:r>
                </w:p>
              </w:tc>
              <w:tc>
                <w:tcPr>
                  <w:tcW w:w="1990" w:type="dxa"/>
                  <w:vAlign w:val="center"/>
                </w:tcPr>
                <w:p w14:paraId="6D5987B6">
                  <w:pPr>
                    <w:spacing w:line="340" w:lineRule="exact"/>
                    <w:jc w:val="center"/>
                    <w:rPr>
                      <w:rFonts w:ascii="宋体" w:hAnsi="宋体" w:cs="宋体"/>
                      <w:b/>
                      <w:bCs/>
                      <w:color w:val="auto"/>
                      <w:highlight w:val="none"/>
                    </w:rPr>
                  </w:pPr>
                  <w:r>
                    <w:rPr>
                      <w:rFonts w:hint="eastAsia" w:ascii="宋体" w:hAnsi="宋体" w:cs="宋体"/>
                      <w:b/>
                      <w:bCs/>
                      <w:color w:val="auto"/>
                      <w:highlight w:val="none"/>
                    </w:rPr>
                    <w:t>路由器</w:t>
                  </w:r>
                </w:p>
              </w:tc>
              <w:tc>
                <w:tcPr>
                  <w:tcW w:w="600" w:type="dxa"/>
                  <w:vAlign w:val="center"/>
                </w:tcPr>
                <w:p w14:paraId="0E789E70">
                  <w:pPr>
                    <w:spacing w:line="340" w:lineRule="exact"/>
                    <w:jc w:val="center"/>
                    <w:rPr>
                      <w:rFonts w:ascii="宋体" w:hAnsi="宋体" w:cs="宋体"/>
                      <w:b/>
                      <w:bCs/>
                      <w:color w:val="auto"/>
                      <w:highlight w:val="none"/>
                    </w:rPr>
                  </w:pPr>
                  <w:r>
                    <w:rPr>
                      <w:rFonts w:hint="eastAsia" w:ascii="宋体" w:hAnsi="宋体" w:cs="宋体"/>
                      <w:b/>
                      <w:bCs/>
                      <w:color w:val="auto"/>
                      <w:highlight w:val="none"/>
                    </w:rPr>
                    <w:t>个</w:t>
                  </w:r>
                </w:p>
              </w:tc>
              <w:tc>
                <w:tcPr>
                  <w:tcW w:w="500" w:type="dxa"/>
                  <w:vAlign w:val="center"/>
                </w:tcPr>
                <w:p w14:paraId="555596AF">
                  <w:pPr>
                    <w:spacing w:line="340" w:lineRule="exact"/>
                    <w:jc w:val="center"/>
                    <w:rPr>
                      <w:rFonts w:ascii="宋体" w:hAnsi="宋体" w:cs="宋体"/>
                      <w:b/>
                      <w:bCs/>
                      <w:color w:val="auto"/>
                      <w:highlight w:val="none"/>
                    </w:rPr>
                  </w:pPr>
                  <w:r>
                    <w:rPr>
                      <w:rFonts w:hint="eastAsia" w:ascii="宋体" w:hAnsi="宋体" w:cs="宋体"/>
                      <w:b/>
                      <w:bCs/>
                      <w:color w:val="auto"/>
                      <w:highlight w:val="none"/>
                    </w:rPr>
                    <w:t>2</w:t>
                  </w:r>
                </w:p>
              </w:tc>
            </w:tr>
          </w:tbl>
          <w:p w14:paraId="3A441B8E">
            <w:pPr>
              <w:spacing w:line="360" w:lineRule="exact"/>
              <w:rPr>
                <w:rFonts w:ascii="宋体" w:hAnsi="宋体" w:cs="宋体"/>
                <w:color w:val="auto"/>
                <w:kern w:val="0"/>
                <w:szCs w:val="21"/>
                <w:highlight w:val="none"/>
              </w:rPr>
            </w:pPr>
          </w:p>
        </w:tc>
      </w:tr>
      <w:tr w14:paraId="0F403A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7"/>
            <w:tcBorders>
              <w:top w:val="single" w:color="auto" w:sz="4" w:space="0"/>
              <w:left w:val="single" w:color="auto" w:sz="4" w:space="0"/>
              <w:bottom w:val="single" w:color="auto" w:sz="4" w:space="0"/>
              <w:right w:val="single" w:color="auto" w:sz="4" w:space="0"/>
            </w:tcBorders>
          </w:tcPr>
          <w:p w14:paraId="7A1E976B">
            <w:pPr>
              <w:adjustRightInd w:val="0"/>
              <w:snapToGrid w:val="0"/>
              <w:spacing w:line="400" w:lineRule="exact"/>
              <w:rPr>
                <w:rFonts w:ascii="宋体" w:hAnsi="宋体" w:cs="宋体"/>
                <w:b/>
                <w:color w:val="auto"/>
                <w:szCs w:val="21"/>
                <w:highlight w:val="none"/>
              </w:rPr>
            </w:pPr>
            <w:r>
              <w:rPr>
                <w:rFonts w:hint="eastAsia" w:ascii="宋体" w:hAnsi="宋体" w:cs="宋体"/>
                <w:b/>
                <w:color w:val="auto"/>
                <w:szCs w:val="21"/>
                <w:highlight w:val="none"/>
              </w:rPr>
              <w:t>▲二、商务要求</w:t>
            </w:r>
          </w:p>
        </w:tc>
      </w:tr>
      <w:tr w14:paraId="6204CB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68A00208">
            <w:pPr>
              <w:spacing w:line="360" w:lineRule="exact"/>
              <w:jc w:val="center"/>
              <w:rPr>
                <w:rFonts w:ascii="宋体" w:hAnsi="宋体" w:cs="宋体"/>
                <w:b/>
                <w:color w:val="auto"/>
                <w:szCs w:val="21"/>
                <w:highlight w:val="none"/>
              </w:rPr>
            </w:pPr>
            <w:r>
              <w:rPr>
                <w:rFonts w:hint="eastAsia" w:ascii="宋体" w:hAnsi="宋体" w:cs="宋体"/>
                <w:b/>
                <w:bCs/>
                <w:color w:val="auto"/>
                <w:szCs w:val="21"/>
                <w:highlight w:val="none"/>
              </w:rPr>
              <w:t>（一）售后服务基本要求</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75F01D3E">
            <w:pPr>
              <w:spacing w:line="360" w:lineRule="exact"/>
              <w:jc w:val="left"/>
              <w:rPr>
                <w:rFonts w:ascii="宋体" w:hAnsi="宋体" w:cs="宋体"/>
                <w:color w:val="auto"/>
                <w:highlight w:val="none"/>
              </w:rPr>
            </w:pPr>
            <w:r>
              <w:rPr>
                <w:rFonts w:hint="eastAsia" w:ascii="宋体" w:hAnsi="宋体" w:cs="宋体"/>
                <w:color w:val="auto"/>
                <w:highlight w:val="none"/>
              </w:rPr>
              <w:t>投标人提供的以下售后服务产生的费用均应综合包含在投标报价中，采购人不再就此另行支付任何费用：</w:t>
            </w:r>
          </w:p>
          <w:p w14:paraId="53ABCA0D">
            <w:pPr>
              <w:spacing w:line="360" w:lineRule="exact"/>
              <w:jc w:val="left"/>
              <w:rPr>
                <w:rFonts w:ascii="宋体" w:hAnsi="宋体" w:cs="宋体"/>
                <w:color w:val="auto"/>
                <w:szCs w:val="21"/>
                <w:highlight w:val="none"/>
              </w:rPr>
            </w:pPr>
            <w:r>
              <w:rPr>
                <w:rFonts w:hint="eastAsia" w:ascii="宋体" w:hAnsi="宋体" w:cs="宋体"/>
                <w:color w:val="auto"/>
                <w:highlight w:val="none"/>
              </w:rPr>
              <w:t>1.保修期：按国家有关产品“三包”规定执行“三包”；保修期不得少于3年（保修期从设备验收合格之日起计算），保修期内上门维修</w:t>
            </w:r>
            <w:r>
              <w:rPr>
                <w:rFonts w:hint="eastAsia" w:ascii="宋体" w:hAnsi="宋体" w:cs="宋体"/>
                <w:color w:val="auto"/>
                <w:szCs w:val="21"/>
                <w:highlight w:val="none"/>
              </w:rPr>
              <w:t>不收取任何费用。</w:t>
            </w:r>
          </w:p>
          <w:p w14:paraId="12F9BCC6">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2.采购范围内的货物送货上门、安装调试合格(仪器到货后1周内到采购人处安装调试)，提供技术及使用培训服务（</w:t>
            </w:r>
            <w:r>
              <w:rPr>
                <w:rFonts w:hint="eastAsia" w:ascii="宋体" w:hAnsi="宋体" w:cs="宋体"/>
                <w:color w:val="auto"/>
                <w:spacing w:val="9"/>
                <w:szCs w:val="21"/>
                <w:highlight w:val="none"/>
              </w:rPr>
              <w:t>包含医护人员及工程人员的培训计划，其中医护人员省</w:t>
            </w:r>
            <w:r>
              <w:rPr>
                <w:rFonts w:hint="eastAsia" w:ascii="宋体" w:hAnsi="宋体" w:cs="宋体"/>
                <w:color w:val="auto"/>
                <w:spacing w:val="8"/>
                <w:szCs w:val="21"/>
                <w:highlight w:val="none"/>
                <w:u w:val="single"/>
              </w:rPr>
              <w:t>区内/省区</w:t>
            </w:r>
            <w:r>
              <w:rPr>
                <w:rFonts w:hint="eastAsia" w:ascii="宋体" w:hAnsi="宋体" w:cs="宋体"/>
                <w:color w:val="auto"/>
                <w:spacing w:val="8"/>
                <w:szCs w:val="21"/>
                <w:highlight w:val="none"/>
              </w:rPr>
              <w:t>外专项操作培训至少</w:t>
            </w:r>
            <w:r>
              <w:rPr>
                <w:rFonts w:hint="eastAsia" w:ascii="宋体" w:hAnsi="宋体" w:cs="宋体"/>
                <w:color w:val="auto"/>
                <w:spacing w:val="4"/>
                <w:szCs w:val="21"/>
                <w:highlight w:val="none"/>
                <w:u w:val="single"/>
              </w:rPr>
              <w:t>2</w:t>
            </w:r>
            <w:r>
              <w:rPr>
                <w:rFonts w:hint="eastAsia" w:ascii="宋体" w:hAnsi="宋体" w:cs="宋体"/>
                <w:color w:val="auto"/>
                <w:spacing w:val="8"/>
                <w:szCs w:val="21"/>
                <w:highlight w:val="none"/>
              </w:rPr>
              <w:t>人次；工程人员</w:t>
            </w:r>
            <w:r>
              <w:rPr>
                <w:rFonts w:hint="eastAsia" w:ascii="宋体" w:hAnsi="宋体" w:cs="宋体"/>
                <w:color w:val="auto"/>
                <w:spacing w:val="8"/>
                <w:szCs w:val="21"/>
                <w:highlight w:val="none"/>
                <w:u w:val="single"/>
              </w:rPr>
              <w:t>省区内/省区外</w:t>
            </w:r>
            <w:r>
              <w:rPr>
                <w:rFonts w:hint="eastAsia" w:ascii="宋体" w:hAnsi="宋体" w:cs="宋体"/>
                <w:color w:val="auto"/>
                <w:spacing w:val="8"/>
                <w:szCs w:val="21"/>
                <w:highlight w:val="none"/>
              </w:rPr>
              <w:t>专项维保培训至少</w:t>
            </w:r>
            <w:r>
              <w:rPr>
                <w:rFonts w:hint="eastAsia" w:ascii="宋体" w:hAnsi="宋体" w:cs="宋体"/>
                <w:color w:val="auto"/>
                <w:spacing w:val="8"/>
                <w:szCs w:val="21"/>
                <w:highlight w:val="none"/>
                <w:u w:val="single"/>
              </w:rPr>
              <w:t>2</w:t>
            </w:r>
            <w:r>
              <w:rPr>
                <w:rFonts w:hint="eastAsia" w:ascii="宋体" w:hAnsi="宋体" w:cs="宋体"/>
                <w:color w:val="auto"/>
                <w:spacing w:val="8"/>
                <w:szCs w:val="21"/>
                <w:highlight w:val="none"/>
              </w:rPr>
              <w:t>人次</w:t>
            </w:r>
            <w:r>
              <w:rPr>
                <w:rFonts w:hint="eastAsia" w:ascii="宋体" w:hAnsi="宋体" w:cs="宋体"/>
                <w:color w:val="auto"/>
                <w:szCs w:val="21"/>
                <w:highlight w:val="none"/>
              </w:rPr>
              <w:t>），保证操作人员能正常操作设备的各种功能；若设备自带软件，则在保修期内提供升级服务（采购人不再另行支付费用）。</w:t>
            </w:r>
          </w:p>
          <w:p w14:paraId="75B1CA7D">
            <w:pPr>
              <w:spacing w:line="360" w:lineRule="exact"/>
              <w:jc w:val="left"/>
              <w:rPr>
                <w:rFonts w:ascii="宋体" w:hAnsi="宋体" w:cs="宋体"/>
                <w:color w:val="auto"/>
                <w:highlight w:val="none"/>
              </w:rPr>
            </w:pPr>
            <w:r>
              <w:rPr>
                <w:rFonts w:hint="eastAsia" w:ascii="宋体" w:hAnsi="宋体" w:cs="宋体"/>
                <w:color w:val="auto"/>
                <w:szCs w:val="21"/>
                <w:highlight w:val="none"/>
              </w:rPr>
              <w:t>3.保修期内仪器设备出现故障，在接到电话通知后，2小时内做出响应，24小时内到达维修现场。一般问题应在48小时内解决。重大问题或</w:t>
            </w:r>
            <w:r>
              <w:rPr>
                <w:rFonts w:hint="eastAsia" w:ascii="宋体" w:hAnsi="宋体" w:cs="宋体"/>
                <w:color w:val="auto"/>
                <w:szCs w:val="21"/>
                <w:highlight w:val="none"/>
                <w:lang w:eastAsia="zh-CN"/>
              </w:rPr>
              <w:t>其他</w:t>
            </w:r>
            <w:r>
              <w:rPr>
                <w:rFonts w:hint="eastAsia" w:ascii="宋体" w:hAnsi="宋体" w:cs="宋体"/>
                <w:color w:val="auto"/>
                <w:szCs w:val="21"/>
                <w:highlight w:val="none"/>
              </w:rPr>
              <w:t>无法迅速解决的问题应在一周</w:t>
            </w:r>
            <w:r>
              <w:rPr>
                <w:rFonts w:hint="eastAsia" w:ascii="宋体" w:hAnsi="宋体" w:cs="宋体"/>
                <w:color w:val="auto"/>
                <w:highlight w:val="none"/>
              </w:rPr>
              <w:t>内解决。</w:t>
            </w:r>
          </w:p>
          <w:p w14:paraId="716D0FD2">
            <w:pPr>
              <w:spacing w:line="360" w:lineRule="exact"/>
              <w:jc w:val="left"/>
              <w:rPr>
                <w:rFonts w:ascii="宋体" w:hAnsi="宋体" w:cs="宋体"/>
                <w:color w:val="auto"/>
                <w:highlight w:val="none"/>
              </w:rPr>
            </w:pPr>
            <w:r>
              <w:rPr>
                <w:rFonts w:hint="eastAsia" w:ascii="宋体" w:hAnsi="宋体" w:cs="宋体"/>
                <w:color w:val="auto"/>
                <w:highlight w:val="none"/>
              </w:rPr>
              <w:t>4.提供每半年一次定期回访以及对设备维护服务。</w:t>
            </w:r>
          </w:p>
          <w:p w14:paraId="3BED0598">
            <w:pPr>
              <w:spacing w:line="360" w:lineRule="exact"/>
              <w:rPr>
                <w:rFonts w:ascii="Arial" w:hAnsi="Arial" w:cs="Arial"/>
                <w:color w:val="auto"/>
                <w:kern w:val="0"/>
                <w:szCs w:val="21"/>
                <w:highlight w:val="none"/>
              </w:rPr>
            </w:pPr>
            <w:r>
              <w:rPr>
                <w:rFonts w:hint="eastAsia" w:ascii="宋体" w:hAnsi="宋体" w:cs="宋体"/>
                <w:color w:val="auto"/>
                <w:kern w:val="0"/>
                <w:szCs w:val="21"/>
                <w:highlight w:val="none"/>
              </w:rPr>
              <w:t>5.本项目为交钥匙项目。在保修期内，投标人必须保证采购人能够合法应用该器械，并办理相关证</w:t>
            </w:r>
            <w:r>
              <w:rPr>
                <w:rFonts w:ascii="Arial" w:hAnsi="Arial" w:cs="Arial"/>
                <w:color w:val="auto"/>
                <w:kern w:val="0"/>
                <w:szCs w:val="21"/>
                <w:highlight w:val="none"/>
              </w:rPr>
              <w:t>件、手续</w:t>
            </w:r>
            <w:r>
              <w:rPr>
                <w:rFonts w:hint="eastAsia" w:ascii="Arial" w:hAnsi="Arial" w:cs="Arial"/>
                <w:color w:val="auto"/>
                <w:kern w:val="0"/>
                <w:szCs w:val="21"/>
                <w:highlight w:val="none"/>
              </w:rPr>
              <w:t>，</w:t>
            </w:r>
            <w:r>
              <w:rPr>
                <w:rFonts w:ascii="Arial" w:hAnsi="Arial" w:cs="Arial"/>
                <w:color w:val="auto"/>
                <w:kern w:val="0"/>
                <w:szCs w:val="21"/>
                <w:highlight w:val="none"/>
              </w:rPr>
              <w:t>产生的费用包含在合同/协议价格中。在此过程中</w:t>
            </w:r>
            <w:r>
              <w:rPr>
                <w:rFonts w:hint="eastAsia" w:ascii="Arial" w:hAnsi="Arial" w:cs="Arial"/>
                <w:color w:val="auto"/>
                <w:kern w:val="0"/>
                <w:szCs w:val="21"/>
                <w:highlight w:val="none"/>
              </w:rPr>
              <w:t>，采购人</w:t>
            </w:r>
            <w:r>
              <w:rPr>
                <w:rFonts w:ascii="Arial" w:hAnsi="Arial" w:cs="Arial"/>
                <w:color w:val="auto"/>
                <w:kern w:val="0"/>
                <w:szCs w:val="21"/>
                <w:highlight w:val="none"/>
              </w:rPr>
              <w:t>应当提供必要支持。若可能出现的后续证件、手续</w:t>
            </w:r>
            <w:r>
              <w:rPr>
                <w:rFonts w:hint="eastAsia" w:ascii="Arial" w:hAnsi="Arial" w:cs="Arial"/>
                <w:color w:val="auto"/>
                <w:kern w:val="0"/>
                <w:szCs w:val="21"/>
                <w:highlight w:val="none"/>
              </w:rPr>
              <w:t>，投标人</w:t>
            </w:r>
            <w:r>
              <w:rPr>
                <w:rFonts w:ascii="Arial" w:hAnsi="Arial" w:cs="Arial"/>
                <w:color w:val="auto"/>
                <w:kern w:val="0"/>
                <w:szCs w:val="21"/>
                <w:highlight w:val="none"/>
              </w:rPr>
              <w:t>必须提供办理的流程及方法。</w:t>
            </w:r>
          </w:p>
          <w:p w14:paraId="7AEE4295">
            <w:pPr>
              <w:spacing w:line="360" w:lineRule="exact"/>
              <w:jc w:val="left"/>
              <w:rPr>
                <w:rFonts w:ascii="宋体" w:hAnsi="宋体" w:cs="宋体"/>
                <w:color w:val="auto"/>
                <w:highlight w:val="none"/>
              </w:rPr>
            </w:pPr>
            <w:r>
              <w:rPr>
                <w:rFonts w:hint="eastAsia" w:ascii="宋体" w:hAnsi="宋体" w:cs="宋体"/>
                <w:color w:val="auto"/>
                <w:highlight w:val="none"/>
              </w:rPr>
              <w:t>6.易损零配件和专机专用试剂耗材价格表：本项目签订合同时，应附易损零配件和专机专用试剂耗材价格表。</w:t>
            </w:r>
          </w:p>
          <w:p w14:paraId="2A20DB21">
            <w:pPr>
              <w:spacing w:line="360" w:lineRule="exact"/>
              <w:jc w:val="left"/>
              <w:rPr>
                <w:rFonts w:ascii="宋体" w:hAnsi="宋体" w:cs="宋体"/>
                <w:color w:val="auto"/>
                <w:highlight w:val="none"/>
              </w:rPr>
            </w:pPr>
            <w:r>
              <w:rPr>
                <w:rFonts w:hint="eastAsia" w:ascii="宋体" w:hAnsi="宋体" w:cs="宋体"/>
                <w:color w:val="auto"/>
                <w:highlight w:val="none"/>
              </w:rPr>
              <w:t>7.维修技术支持：投标人一次性提供维护手册、维修手册、软件备份、故障代码表、备件清单等维护维修必需的材料和信息，否则不予验收。保修期外，提供维修密码及软件在该项目中的使用权，按合同约定价格提供零部件，以及快速响应的技术支持。保修期外，如在使用过程中发生质量问题，投标人在接到采购人通知后在24小时/天内到达采购人现场处理。以上涉及的费用均包含在投标报价中，采购人不再另行支付。</w:t>
            </w:r>
          </w:p>
          <w:p w14:paraId="499C8C69">
            <w:pPr>
              <w:spacing w:line="360" w:lineRule="exact"/>
              <w:jc w:val="left"/>
              <w:rPr>
                <w:rFonts w:ascii="宋体" w:hAnsi="宋体" w:cs="宋体"/>
                <w:color w:val="auto"/>
                <w:highlight w:val="none"/>
              </w:rPr>
            </w:pPr>
            <w:r>
              <w:rPr>
                <w:rFonts w:hint="eastAsia" w:ascii="宋体" w:hAnsi="宋体" w:cs="宋体"/>
                <w:color w:val="auto"/>
                <w:highlight w:val="none"/>
              </w:rPr>
              <w:t>8.投标人应保证采购人获得合同约定范围内所有软件功能，终身单机软件使用权。不得限制硬件配件采购，并在采购人自主更换配件后，帮助采购人恢复原有的软件及系统，使采购人能够正常使用该器械/设备、项目。以上涉及的费用均包含在投标报价中，采购人不再另行支付。</w:t>
            </w:r>
          </w:p>
          <w:p w14:paraId="48EC57E2">
            <w:pPr>
              <w:spacing w:line="360" w:lineRule="exact"/>
              <w:jc w:val="left"/>
              <w:rPr>
                <w:rFonts w:ascii="宋体" w:hAnsi="宋体" w:cs="宋体"/>
                <w:color w:val="auto"/>
                <w:highlight w:val="none"/>
              </w:rPr>
            </w:pPr>
            <w:r>
              <w:rPr>
                <w:rFonts w:hint="eastAsia" w:ascii="宋体" w:hAnsi="宋体" w:cs="宋体"/>
                <w:color w:val="auto"/>
                <w:highlight w:val="none"/>
              </w:rPr>
              <w:t>9.投标人承诺保修期内，按国家相关规定，执行保养及预防性维护，并提供报告。</w:t>
            </w:r>
          </w:p>
          <w:p w14:paraId="176ED066">
            <w:pPr>
              <w:spacing w:line="360" w:lineRule="exact"/>
              <w:jc w:val="left"/>
              <w:rPr>
                <w:rFonts w:ascii="宋体" w:hAnsi="宋体" w:cs="宋体"/>
                <w:color w:val="auto"/>
                <w:highlight w:val="none"/>
              </w:rPr>
            </w:pPr>
            <w:r>
              <w:rPr>
                <w:rFonts w:hint="eastAsia" w:ascii="宋体" w:hAnsi="宋体" w:cs="宋体"/>
                <w:color w:val="auto"/>
                <w:highlight w:val="none"/>
              </w:rPr>
              <w:t>10.在设备规定的使用期限内，投标人必须保证配件供应。并承诺过保修期后的维修及配件更换不需预付款，按照医院正常付款流程办理。</w:t>
            </w:r>
          </w:p>
          <w:p w14:paraId="1ADC9079">
            <w:pPr>
              <w:spacing w:line="360" w:lineRule="exact"/>
              <w:jc w:val="left"/>
              <w:rPr>
                <w:color w:val="auto"/>
                <w:highlight w:val="none"/>
              </w:rPr>
            </w:pPr>
            <w:r>
              <w:rPr>
                <w:rFonts w:hint="eastAsia" w:ascii="宋体" w:hAnsi="宋体" w:cs="宋体"/>
                <w:color w:val="auto"/>
                <w:highlight w:val="none"/>
              </w:rPr>
              <w:t>11.保修期外维修应同样提供不收取费用的咨询服务，需上门维修的不收取维修费，仅收取材料费。</w:t>
            </w:r>
          </w:p>
        </w:tc>
      </w:tr>
      <w:tr w14:paraId="26550A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43812EEE">
            <w:pPr>
              <w:adjustRightInd w:val="0"/>
              <w:snapToGrid w:val="0"/>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（二）合同签订时间</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1B6F4726">
            <w:pPr>
              <w:adjustRightInd w:val="0"/>
              <w:snapToGrid w:val="0"/>
              <w:spacing w:line="340" w:lineRule="exact"/>
              <w:rPr>
                <w:rFonts w:ascii="宋体" w:hAnsi="宋体" w:cs="宋体"/>
                <w:b/>
                <w:color w:val="auto"/>
                <w:szCs w:val="21"/>
                <w:highlight w:val="none"/>
              </w:rPr>
            </w:pPr>
            <w:r>
              <w:rPr>
                <w:rFonts w:hint="eastAsia" w:ascii="宋体" w:hAnsi="宋体" w:cs="宋体"/>
                <w:b/>
                <w:color w:val="auto"/>
                <w:szCs w:val="21"/>
                <w:highlight w:val="none"/>
              </w:rPr>
              <w:t>自中标通知书发出之日起 25日内签订采购合同。</w:t>
            </w:r>
          </w:p>
        </w:tc>
      </w:tr>
      <w:tr w14:paraId="0746AE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5D1FC64A">
            <w:pPr>
              <w:adjustRightInd w:val="0"/>
              <w:snapToGrid w:val="0"/>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（三）交付时间和地点</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7D6437B3">
            <w:pPr>
              <w:spacing w:line="340" w:lineRule="exact"/>
              <w:rPr>
                <w:rFonts w:ascii="宋体" w:hAnsi="宋体" w:cs="宋体"/>
                <w:b/>
                <w:color w:val="auto"/>
                <w:szCs w:val="21"/>
                <w:highlight w:val="none"/>
              </w:rPr>
            </w:pPr>
            <w:r>
              <w:rPr>
                <w:rFonts w:hint="eastAsia" w:ascii="宋体" w:hAnsi="宋体" w:cs="宋体"/>
                <w:b/>
                <w:color w:val="auto"/>
                <w:szCs w:val="21"/>
                <w:highlight w:val="none"/>
              </w:rPr>
              <w:t>1.交付时间：</w:t>
            </w:r>
            <w:r>
              <w:rPr>
                <w:rFonts w:hint="eastAsia" w:ascii="宋体" w:hAnsi="宋体" w:cs="宋体"/>
                <w:color w:val="auto"/>
                <w:highlight w:val="none"/>
              </w:rPr>
              <w:t>合同签订，</w:t>
            </w:r>
            <w:r>
              <w:rPr>
                <w:rFonts w:hint="eastAsia" w:ascii="宋体" w:hAnsi="宋体" w:cs="宋体"/>
                <w:color w:val="auto"/>
                <w:highlight w:val="none"/>
                <w:lang w:eastAsia="zh-CN"/>
              </w:rPr>
              <w:t>接到采购人供货通知</w:t>
            </w:r>
            <w:r>
              <w:rPr>
                <w:rFonts w:hint="eastAsia" w:ascii="宋体" w:hAnsi="宋体" w:cs="宋体"/>
                <w:color w:val="auto"/>
                <w:highlight w:val="none"/>
              </w:rPr>
              <w:t>后</w:t>
            </w:r>
            <w:r>
              <w:rPr>
                <w:rFonts w:hint="eastAsia" w:ascii="宋体" w:hAnsi="宋体" w:cs="宋体"/>
                <w:color w:val="auto"/>
                <w:highlight w:val="none"/>
                <w:u w:val="single"/>
              </w:rPr>
              <w:t>60</w:t>
            </w:r>
            <w:r>
              <w:rPr>
                <w:rFonts w:hint="eastAsia" w:ascii="宋体" w:hAnsi="宋体" w:cs="宋体"/>
                <w:color w:val="auto"/>
                <w:highlight w:val="none"/>
              </w:rPr>
              <w:t>个工作日内到货并安装调试完毕，达到正常使用状态。</w:t>
            </w:r>
          </w:p>
          <w:p w14:paraId="570F6C9C">
            <w:pPr>
              <w:adjustRightInd w:val="0"/>
              <w:snapToGrid w:val="0"/>
              <w:spacing w:line="340" w:lineRule="exact"/>
              <w:rPr>
                <w:rFonts w:ascii="宋体" w:hAnsi="宋体" w:cs="宋体"/>
                <w:b/>
                <w:color w:val="auto"/>
                <w:szCs w:val="21"/>
                <w:highlight w:val="none"/>
              </w:rPr>
            </w:pPr>
            <w:r>
              <w:rPr>
                <w:rFonts w:hint="eastAsia" w:ascii="宋体" w:hAnsi="宋体" w:cs="宋体"/>
                <w:b/>
                <w:color w:val="auto"/>
                <w:szCs w:val="21"/>
                <w:highlight w:val="none"/>
              </w:rPr>
              <w:t>2.交付地点：广西桂林市采购人医院内指定地点。</w:t>
            </w:r>
          </w:p>
        </w:tc>
      </w:tr>
      <w:tr w14:paraId="4B39BA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37A7D556">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（四）付款方式</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63BCE55B">
            <w:pPr>
              <w:spacing w:line="400" w:lineRule="exact"/>
              <w:rPr>
                <w:rFonts w:ascii="宋体" w:hAnsi="宋体" w:cs="宋体"/>
                <w:color w:val="auto"/>
                <w:szCs w:val="21"/>
                <w:highlight w:val="none"/>
              </w:rPr>
            </w:pPr>
            <w:r>
              <w:rPr>
                <w:rFonts w:hint="eastAsia" w:ascii="宋体" w:hAnsi="宋体" w:cs="宋体"/>
                <w:color w:val="auto"/>
                <w:szCs w:val="21"/>
                <w:highlight w:val="none"/>
              </w:rPr>
              <w:t>1.本仪器设备验收合格后，中标人开具全额税务发票，采购人在收到发票后转账支付合同款的95%（无息），可采用汇票、云信、供应链、信用证等付款方式。合同款的5%在设备验收合格满1年后的三个月内转账支付（无息）。采购人付款前，中标人未按上述要求开具符合采购人要求的正规财务票据的，采购人有权暂缓或拒付款项且不构成违约。</w:t>
            </w:r>
          </w:p>
          <w:p w14:paraId="16EAB931">
            <w:pPr>
              <w:spacing w:line="340" w:lineRule="exact"/>
              <w:rPr>
                <w:rFonts w:ascii="宋体" w:hAnsi="宋体" w:cs="宋体"/>
                <w:color w:val="auto"/>
                <w:szCs w:val="21"/>
                <w:highlight w:val="none"/>
              </w:rPr>
            </w:pPr>
            <w:r>
              <w:rPr>
                <w:rFonts w:hint="eastAsia" w:ascii="宋体" w:hAnsi="宋体" w:cs="宋体"/>
                <w:color w:val="auto"/>
                <w:szCs w:val="21"/>
                <w:highlight w:val="none"/>
              </w:rPr>
              <w:t>2.票据要求：中标人必须按照采购人要求提供真实、有效、合法的正式税务发票。一旦发现中标人提供虚假税务发票，除须向采购人补开合法的税务发票外，须赔偿采购人发票票面金额一倍的违约金，且采购人有权终止合同，中标人不得提出异议，因终止合同而产生的一切损失均由中标人承担。</w:t>
            </w:r>
          </w:p>
        </w:tc>
      </w:tr>
      <w:tr w14:paraId="0C021F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18BA645E">
            <w:pPr>
              <w:adjustRightInd w:val="0"/>
              <w:snapToGrid w:val="0"/>
              <w:spacing w:line="360" w:lineRule="exact"/>
              <w:jc w:val="center"/>
              <w:rPr>
                <w:rFonts w:ascii="宋体" w:hAnsi="宋体" w:cs="宋体"/>
                <w:b/>
                <w:bCs/>
                <w:color w:val="auto"/>
                <w:kern w:val="0"/>
                <w:szCs w:val="21"/>
                <w:highlight w:val="none"/>
              </w:rPr>
            </w:pPr>
            <w:r>
              <w:rPr>
                <w:rFonts w:hint="eastAsia" w:ascii="宋体" w:hAnsi="宋体" w:cs="宋体"/>
                <w:b/>
                <w:color w:val="auto"/>
                <w:szCs w:val="21"/>
                <w:highlight w:val="none"/>
              </w:rPr>
              <w:t>（五）包装和运输</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26A35323">
            <w:pPr>
              <w:adjustRightInd w:val="0"/>
              <w:snapToGrid w:val="0"/>
              <w:spacing w:line="34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1.中标人应在货物发运前对其进行满足于运输距离、防潮、防震、防锈和防破损装卸要求的包装，以保证货物安全无损的运输到达采购人指定地点。</w:t>
            </w:r>
          </w:p>
          <w:p w14:paraId="170DCCCB">
            <w:pPr>
              <w:adjustRightInd w:val="0"/>
              <w:snapToGrid w:val="0"/>
              <w:spacing w:line="34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2.使用说明书、质量检验证明书、随配附件和工具以及配置清单等一并附于货物内交付采购人。</w:t>
            </w:r>
          </w:p>
          <w:p w14:paraId="0DCC9540">
            <w:pPr>
              <w:adjustRightInd w:val="0"/>
              <w:snapToGrid w:val="0"/>
              <w:spacing w:line="34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3.中标人负责将货物安全运送到采购人指定地点，并负责清理回收采购人抛弃的相关大件包装， 不另收任何费用。货到采购人前48小时，由中标人通知采购人，但在验收前采购人原则上不负责接收货物。</w:t>
            </w:r>
          </w:p>
        </w:tc>
      </w:tr>
      <w:tr w14:paraId="182E69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624B2577">
            <w:pPr>
              <w:adjustRightInd w:val="0"/>
              <w:snapToGrid w:val="0"/>
              <w:spacing w:line="360" w:lineRule="exact"/>
              <w:jc w:val="center"/>
              <w:rPr>
                <w:rFonts w:ascii="宋体" w:hAnsi="宋体" w:cs="宋体"/>
                <w:b/>
                <w:bCs/>
                <w:color w:val="auto"/>
                <w:kern w:val="0"/>
                <w:szCs w:val="21"/>
                <w:highlight w:val="none"/>
              </w:rPr>
            </w:pPr>
            <w:r>
              <w:rPr>
                <w:rFonts w:hint="eastAsia" w:ascii="宋体" w:hAnsi="宋体" w:cs="宋体"/>
                <w:b/>
                <w:color w:val="auto"/>
                <w:szCs w:val="21"/>
                <w:highlight w:val="none"/>
              </w:rPr>
              <w:t>（六）保险</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512F014A">
            <w:pPr>
              <w:adjustRightInd w:val="0"/>
              <w:snapToGrid w:val="0"/>
              <w:spacing w:line="340" w:lineRule="exact"/>
              <w:rPr>
                <w:rFonts w:ascii="宋体" w:hAnsi="宋体" w:cs="宋体"/>
                <w:b/>
                <w:color w:val="auto"/>
                <w:szCs w:val="21"/>
                <w:highlight w:val="none"/>
              </w:rPr>
            </w:pPr>
            <w:r>
              <w:rPr>
                <w:rFonts w:hint="eastAsia" w:ascii="宋体" w:hAnsi="宋体" w:cs="宋体"/>
                <w:b/>
                <w:bCs/>
                <w:color w:val="auto"/>
                <w:kern w:val="0"/>
                <w:szCs w:val="21"/>
                <w:highlight w:val="none"/>
              </w:rPr>
              <w:t>若投标人为本项目标的及标的涉及的相关材料、设备、人员、运输等购买保险的，相关费用由投标人自行承担。</w:t>
            </w:r>
          </w:p>
        </w:tc>
      </w:tr>
      <w:tr w14:paraId="73185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770EFEC2">
            <w:pPr>
              <w:widowControl/>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（七）验收标准</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6ED92067">
            <w:pPr>
              <w:spacing w:line="340" w:lineRule="exact"/>
              <w:jc w:val="left"/>
              <w:rPr>
                <w:rFonts w:ascii="宋体" w:hAnsi="宋体" w:cs="宋体"/>
                <w:b/>
                <w:color w:val="auto"/>
                <w:szCs w:val="21"/>
                <w:highlight w:val="none"/>
              </w:rPr>
            </w:pPr>
            <w:r>
              <w:rPr>
                <w:rFonts w:hint="eastAsia" w:ascii="宋体" w:hAnsi="宋体" w:cs="宋体"/>
                <w:b/>
                <w:color w:val="auto"/>
                <w:szCs w:val="21"/>
                <w:highlight w:val="none"/>
              </w:rPr>
              <w:t>1.中标人交货前应对产品作出全面检查和对验收文件进行整理列出清单，作为采购人收货验收和使用的技术条件依据，检验的结果应随货物交采购人。</w:t>
            </w:r>
          </w:p>
          <w:p w14:paraId="0979313F">
            <w:pPr>
              <w:spacing w:line="340" w:lineRule="exact"/>
              <w:jc w:val="left"/>
              <w:rPr>
                <w:rFonts w:ascii="宋体" w:hAnsi="宋体" w:cs="宋体"/>
                <w:b/>
                <w:color w:val="auto"/>
                <w:szCs w:val="21"/>
                <w:highlight w:val="none"/>
              </w:rPr>
            </w:pPr>
            <w:r>
              <w:rPr>
                <w:rFonts w:hint="eastAsia" w:ascii="宋体" w:hAnsi="宋体" w:cs="宋体"/>
                <w:b/>
                <w:color w:val="auto"/>
                <w:szCs w:val="21"/>
                <w:highlight w:val="none"/>
              </w:rPr>
              <w:t>2.采购人对中标人所交货物依照国家有关标准，进行现场验收，性能达到技术要求的给予签收，验收不合格不予签收，后果由中标人负责。</w:t>
            </w:r>
          </w:p>
          <w:p w14:paraId="6FF842E6">
            <w:pPr>
              <w:spacing w:line="340" w:lineRule="exact"/>
              <w:jc w:val="left"/>
              <w:rPr>
                <w:rFonts w:ascii="宋体" w:hAnsi="宋体" w:cs="宋体"/>
                <w:color w:val="auto"/>
                <w:szCs w:val="21"/>
                <w:highlight w:val="none"/>
              </w:rPr>
            </w:pPr>
            <w:r>
              <w:rPr>
                <w:rFonts w:hint="eastAsia" w:ascii="宋体" w:hAnsi="宋体" w:cs="宋体"/>
                <w:b/>
                <w:color w:val="auto"/>
                <w:szCs w:val="21"/>
                <w:highlight w:val="none"/>
              </w:rPr>
              <w:t>3.中标人应在货到指定地点安装、调试完毕，确保正常使用，并及时配合采购人验收。</w:t>
            </w:r>
          </w:p>
        </w:tc>
      </w:tr>
      <w:tr w14:paraId="7E4CAC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4" w:hRule="atLeast"/>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667DFDF2">
            <w:pPr>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（八）知识产权</w:t>
            </w:r>
          </w:p>
        </w:tc>
        <w:tc>
          <w:tcPr>
            <w:tcW w:w="3266" w:type="pct"/>
            <w:gridSpan w:val="3"/>
            <w:tcBorders>
              <w:top w:val="single" w:color="auto" w:sz="4" w:space="0"/>
              <w:left w:val="single" w:color="auto" w:sz="4" w:space="0"/>
              <w:bottom w:val="single" w:color="auto" w:sz="4" w:space="0"/>
              <w:right w:val="single" w:color="auto" w:sz="4" w:space="0"/>
            </w:tcBorders>
          </w:tcPr>
          <w:p w14:paraId="2E4535DC">
            <w:pPr>
              <w:snapToGrid w:val="0"/>
              <w:spacing w:line="340" w:lineRule="exact"/>
              <w:rPr>
                <w:rFonts w:ascii="宋体" w:hAnsi="宋体" w:cs="宋体"/>
                <w:b/>
                <w:color w:val="auto"/>
                <w:szCs w:val="21"/>
                <w:highlight w:val="none"/>
              </w:rPr>
            </w:pPr>
            <w:r>
              <w:rPr>
                <w:rFonts w:hint="eastAsia" w:ascii="宋体" w:hAnsi="宋体" w:cs="宋体"/>
                <w:b/>
                <w:color w:val="auto"/>
                <w:szCs w:val="21"/>
                <w:highlight w:val="none"/>
              </w:rPr>
              <w:t>1.采购人在履行合同过程中提供给中标人的全部文件和其他含有数据和信息的资料，其知识产权属于采购人。</w:t>
            </w:r>
          </w:p>
          <w:p w14:paraId="19DC2362">
            <w:pPr>
              <w:snapToGrid w:val="0"/>
              <w:spacing w:line="340" w:lineRule="exact"/>
              <w:rPr>
                <w:rFonts w:ascii="宋体" w:hAnsi="宋体" w:cs="宋体"/>
                <w:b/>
                <w:color w:val="auto"/>
                <w:szCs w:val="21"/>
                <w:highlight w:val="none"/>
              </w:rPr>
            </w:pPr>
            <w:r>
              <w:rPr>
                <w:rFonts w:hint="eastAsia" w:ascii="宋体" w:hAnsi="宋体" w:cs="宋体"/>
                <w:b/>
                <w:color w:val="auto"/>
                <w:szCs w:val="21"/>
                <w:highlight w:val="none"/>
              </w:rPr>
              <w:t>2.除招标文件采购需求另有约定外，采购人不因签署和履行合同而享有中标人在履行合同过程中提供给采购人的文件、配套软件、电子辅助程序和其他含有数据和信息的资料的知识产权。</w:t>
            </w:r>
          </w:p>
          <w:p w14:paraId="3F1D37EB">
            <w:pPr>
              <w:spacing w:line="340" w:lineRule="exact"/>
              <w:jc w:val="left"/>
              <w:rPr>
                <w:rFonts w:ascii="宋体" w:hAnsi="宋体" w:cs="宋体"/>
                <w:color w:val="auto"/>
                <w:szCs w:val="21"/>
                <w:highlight w:val="none"/>
              </w:rPr>
            </w:pPr>
            <w:r>
              <w:rPr>
                <w:rFonts w:hint="eastAsia" w:ascii="宋体" w:hAnsi="宋体" w:cs="宋体"/>
                <w:b/>
                <w:color w:val="auto"/>
                <w:szCs w:val="21"/>
                <w:highlight w:val="none"/>
              </w:rPr>
              <w:t>3.中标人应保证所提供货物在使用时不会侵犯任何第三方的知识产权或者其他权利。如合同货物涉及知识产权，则中标人保证采购人在使用合同货物过程中免于受到第三方提出的有关知识产权侵权的主张、索赔或诉讼的伤害。</w:t>
            </w:r>
          </w:p>
        </w:tc>
      </w:tr>
      <w:tr w14:paraId="1413B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0" w:hRule="atLeast"/>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1C3B1055">
            <w:pPr>
              <w:spacing w:line="340" w:lineRule="exact"/>
              <w:jc w:val="center"/>
              <w:rPr>
                <w:rFonts w:ascii="宋体" w:hAnsi="宋体" w:cs="宋体"/>
                <w:b/>
                <w:color w:val="auto"/>
                <w:szCs w:val="21"/>
                <w:highlight w:val="none"/>
              </w:rPr>
            </w:pPr>
            <w:r>
              <w:rPr>
                <w:rFonts w:hint="eastAsia" w:ascii="宋体" w:hAnsi="宋体" w:cs="宋体"/>
                <w:b/>
                <w:color w:val="auto"/>
                <w:szCs w:val="21"/>
                <w:highlight w:val="none"/>
              </w:rPr>
              <w:t>（九）违约责任</w:t>
            </w:r>
          </w:p>
        </w:tc>
        <w:tc>
          <w:tcPr>
            <w:tcW w:w="3266" w:type="pct"/>
            <w:gridSpan w:val="3"/>
            <w:tcBorders>
              <w:top w:val="single" w:color="auto" w:sz="4" w:space="0"/>
              <w:left w:val="single" w:color="auto" w:sz="4" w:space="0"/>
              <w:bottom w:val="single" w:color="auto" w:sz="4" w:space="0"/>
              <w:right w:val="single" w:color="auto" w:sz="4" w:space="0"/>
            </w:tcBorders>
          </w:tcPr>
          <w:p w14:paraId="7519CC26">
            <w:pPr>
              <w:adjustRightInd w:val="0"/>
              <w:snapToGrid w:val="0"/>
              <w:spacing w:line="340" w:lineRule="exact"/>
              <w:jc w:val="left"/>
              <w:rPr>
                <w:rFonts w:ascii="宋体" w:hAnsi="宋体" w:cs="宋体"/>
                <w:b/>
                <w:color w:val="auto"/>
                <w:szCs w:val="21"/>
                <w:highlight w:val="none"/>
              </w:rPr>
            </w:pPr>
            <w:r>
              <w:rPr>
                <w:rFonts w:hint="eastAsia" w:ascii="宋体" w:hAnsi="宋体" w:cs="宋体"/>
                <w:b/>
                <w:color w:val="auto"/>
                <w:szCs w:val="21"/>
                <w:highlight w:val="none"/>
              </w:rPr>
              <w:t>1.保修期内，如在使用过程中发生质量问题，中标人在接到采购人通知后按承诺的时间内到达采购人现场处理。中标人未在承诺时间内到达处理，每次需按照该设备中标金额的1%支付违约金，违约金总金额不超过该设备总金额的5%，扣款直接以留存的5%合同价款抵扣，不足抵扣的，中标人须承担补足责任。否则中标人需按合同总金额的30%向采购人支付违约金并承担相应的法律责任。</w:t>
            </w:r>
          </w:p>
          <w:p w14:paraId="63521AE4">
            <w:pPr>
              <w:adjustRightInd w:val="0"/>
              <w:snapToGrid w:val="0"/>
              <w:spacing w:line="340" w:lineRule="exact"/>
              <w:jc w:val="left"/>
              <w:rPr>
                <w:rFonts w:ascii="宋体" w:hAnsi="宋体" w:cs="宋体"/>
                <w:b/>
                <w:color w:val="auto"/>
                <w:szCs w:val="21"/>
                <w:highlight w:val="none"/>
              </w:rPr>
            </w:pPr>
            <w:r>
              <w:rPr>
                <w:rFonts w:hint="eastAsia" w:ascii="宋体" w:hAnsi="宋体" w:cs="宋体"/>
                <w:b/>
                <w:color w:val="auto"/>
                <w:szCs w:val="21"/>
                <w:highlight w:val="none"/>
              </w:rPr>
              <w:t>2.中标人无正当理由拒收的，违约方每天按合同标的0.3%支付违约金。</w:t>
            </w:r>
          </w:p>
          <w:p w14:paraId="4A96931F">
            <w:pPr>
              <w:adjustRightInd w:val="0"/>
              <w:snapToGrid w:val="0"/>
              <w:spacing w:line="340" w:lineRule="exact"/>
              <w:jc w:val="left"/>
              <w:rPr>
                <w:rFonts w:ascii="宋体" w:hAnsi="宋体" w:cs="宋体"/>
                <w:b/>
                <w:color w:val="auto"/>
                <w:szCs w:val="21"/>
                <w:highlight w:val="none"/>
              </w:rPr>
            </w:pPr>
            <w:r>
              <w:rPr>
                <w:rFonts w:hint="eastAsia" w:ascii="宋体" w:hAnsi="宋体" w:cs="宋体"/>
                <w:b/>
                <w:color w:val="auto"/>
                <w:szCs w:val="21"/>
                <w:highlight w:val="none"/>
              </w:rPr>
              <w:t>3.中标人逾期交付货物的，每逾期一日应支付违约金1000元，中标人逾期超过7天仍不能交货的,采购人有权单方面终止合同，中标人应按合同总金额的30%向采购人支付违约金，造成采购人损失的，由中标人负责赔偿，赔偿范围包括但不限于直接损失、逾期损失、以及维权产生的相关费用。</w:t>
            </w:r>
          </w:p>
          <w:p w14:paraId="5F52F433">
            <w:pPr>
              <w:adjustRightInd w:val="0"/>
              <w:snapToGrid w:val="0"/>
              <w:spacing w:line="340" w:lineRule="exact"/>
              <w:jc w:val="left"/>
              <w:rPr>
                <w:rFonts w:ascii="宋体" w:hAnsi="宋体" w:cs="宋体"/>
                <w:b/>
                <w:color w:val="auto"/>
                <w:szCs w:val="21"/>
                <w:highlight w:val="none"/>
              </w:rPr>
            </w:pPr>
            <w:r>
              <w:rPr>
                <w:rFonts w:hint="eastAsia" w:ascii="宋体" w:hAnsi="宋体" w:cs="宋体"/>
                <w:b/>
                <w:color w:val="auto"/>
                <w:szCs w:val="21"/>
                <w:highlight w:val="none"/>
              </w:rPr>
              <w:t>4.中标人货物不符合约定及采购人要求的，须无条件免费予以更换或弥补，由此导致的逾期交付责任由中标人承担；中标人拒绝更换或弥补，更换三次仍不能达到采购人要求的，采购人有权解除合同，中标人应按合同总金额的30%向采购人支付违约金并赔偿采购人全部损失</w:t>
            </w:r>
          </w:p>
          <w:p w14:paraId="1E9D2707">
            <w:pPr>
              <w:adjustRightInd w:val="0"/>
              <w:snapToGrid w:val="0"/>
              <w:spacing w:line="340" w:lineRule="exact"/>
              <w:jc w:val="left"/>
              <w:rPr>
                <w:rFonts w:ascii="宋体" w:hAnsi="宋体" w:cs="宋体"/>
                <w:b/>
                <w:color w:val="auto"/>
                <w:szCs w:val="21"/>
                <w:highlight w:val="none"/>
              </w:rPr>
            </w:pPr>
            <w:r>
              <w:rPr>
                <w:rFonts w:hint="eastAsia" w:ascii="宋体" w:hAnsi="宋体" w:cs="宋体"/>
                <w:b/>
                <w:color w:val="auto"/>
                <w:szCs w:val="21"/>
                <w:highlight w:val="none"/>
              </w:rPr>
              <w:t>5.中标人未按约定履行售后服务或维保责任的，每发生一次应向采购人支付违约金1000元，采购人有权自行或委托第三方进行维保，由此产生的全部费用由中标人承担。</w:t>
            </w:r>
          </w:p>
          <w:p w14:paraId="52607C81">
            <w:pPr>
              <w:adjustRightInd w:val="0"/>
              <w:snapToGrid w:val="0"/>
              <w:spacing w:line="340" w:lineRule="exact"/>
              <w:jc w:val="left"/>
              <w:rPr>
                <w:rFonts w:ascii="宋体" w:hAnsi="宋体" w:cs="宋体"/>
                <w:b/>
                <w:color w:val="auto"/>
                <w:szCs w:val="21"/>
                <w:highlight w:val="none"/>
              </w:rPr>
            </w:pPr>
            <w:r>
              <w:rPr>
                <w:rFonts w:hint="eastAsia" w:ascii="宋体" w:hAnsi="宋体" w:cs="宋体"/>
                <w:b/>
                <w:color w:val="auto"/>
                <w:szCs w:val="21"/>
                <w:highlight w:val="none"/>
              </w:rPr>
              <w:t>6.中标人提供的投标文件如有虚假，视为中标人根本性违约，采购人有权单方面解除合同，并追究中标人相关法律责任。</w:t>
            </w:r>
          </w:p>
        </w:tc>
      </w:tr>
      <w:tr w14:paraId="0A4B1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3A6640F5">
            <w:pPr>
              <w:adjustRightInd w:val="0"/>
              <w:snapToGrid w:val="0"/>
              <w:spacing w:line="350" w:lineRule="exact"/>
              <w:jc w:val="center"/>
              <w:rPr>
                <w:rFonts w:ascii="宋体" w:hAnsi="宋体" w:cs="宋体"/>
                <w:b/>
                <w:color w:val="auto"/>
                <w:szCs w:val="21"/>
                <w:highlight w:val="none"/>
              </w:rPr>
            </w:pPr>
            <w:r>
              <w:rPr>
                <w:rFonts w:hint="eastAsia" w:ascii="宋体" w:hAnsi="宋体" w:cs="宋体"/>
                <w:b/>
                <w:color w:val="auto"/>
                <w:kern w:val="0"/>
                <w:szCs w:val="21"/>
                <w:highlight w:val="none"/>
              </w:rPr>
              <w:t>（十）医疗器械管理相应有效证明材料</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19FA7F83">
            <w:pPr>
              <w:adjustRightInd w:val="0"/>
              <w:snapToGrid w:val="0"/>
              <w:spacing w:line="340" w:lineRule="exact"/>
              <w:jc w:val="left"/>
              <w:rPr>
                <w:rFonts w:ascii="宋体" w:hAnsi="宋体" w:cs="宋体"/>
                <w:b/>
                <w:color w:val="auto"/>
                <w:szCs w:val="21"/>
                <w:highlight w:val="none"/>
              </w:rPr>
            </w:pPr>
            <w:r>
              <w:rPr>
                <w:rFonts w:hint="eastAsia" w:ascii="宋体" w:hAnsi="宋体" w:cs="宋体"/>
                <w:b/>
                <w:color w:val="auto"/>
                <w:szCs w:val="21"/>
                <w:highlight w:val="none"/>
              </w:rPr>
              <w:t>投标人所投本分标产品如属第二类或第三类医疗器械管理的，必须具有相应有效的“医疗器械注册证”（投标人于投标文件中必须提供相应有效的医疗器械注册证复印件，加盖投标人电子签章）。</w:t>
            </w:r>
          </w:p>
        </w:tc>
      </w:tr>
      <w:tr w14:paraId="1C01F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262EC78B">
            <w:pPr>
              <w:pStyle w:val="19"/>
              <w:spacing w:line="360" w:lineRule="exact"/>
              <w:jc w:val="center"/>
              <w:rPr>
                <w:rFonts w:ascii="宋体" w:hAnsi="宋体" w:cs="宋体"/>
                <w:b/>
                <w:color w:val="auto"/>
                <w:kern w:val="2"/>
                <w:sz w:val="21"/>
                <w:szCs w:val="21"/>
                <w:highlight w:val="none"/>
              </w:rPr>
            </w:pPr>
            <w:r>
              <w:rPr>
                <w:rFonts w:hint="eastAsia" w:ascii="宋体" w:hAnsi="宋体" w:cs="宋体"/>
                <w:b/>
                <w:color w:val="auto"/>
                <w:sz w:val="21"/>
                <w:szCs w:val="21"/>
                <w:highlight w:val="none"/>
              </w:rPr>
              <w:t>（十一）进口产品说明</w:t>
            </w:r>
          </w:p>
        </w:tc>
        <w:tc>
          <w:tcPr>
            <w:tcW w:w="3266" w:type="pct"/>
            <w:gridSpan w:val="3"/>
            <w:tcBorders>
              <w:top w:val="single" w:color="auto" w:sz="4" w:space="0"/>
              <w:left w:val="single" w:color="auto" w:sz="4" w:space="0"/>
              <w:bottom w:val="single" w:color="auto" w:sz="4" w:space="0"/>
              <w:right w:val="single" w:color="auto" w:sz="4" w:space="0"/>
            </w:tcBorders>
          </w:tcPr>
          <w:p w14:paraId="30A50F8E">
            <w:pPr>
              <w:spacing w:line="340" w:lineRule="exact"/>
              <w:rPr>
                <w:rFonts w:ascii="宋体" w:hAnsi="宋体" w:cs="宋体"/>
                <w:b/>
                <w:color w:val="auto"/>
                <w:szCs w:val="21"/>
                <w:highlight w:val="none"/>
              </w:rPr>
            </w:pPr>
            <w:r>
              <w:rPr>
                <w:rFonts w:hint="eastAsia" w:ascii="宋体" w:hAnsi="宋体" w:cs="宋体"/>
                <w:b/>
                <w:color w:val="auto"/>
                <w:szCs w:val="21"/>
                <w:highlight w:val="none"/>
              </w:rPr>
              <w:t>本分标货物不接受进口产品（即通过中国海关报关验放进入中国境内且产自关境外的产品）参与投标，如有进口产品参与投标的作无效标处理。</w:t>
            </w:r>
          </w:p>
        </w:tc>
      </w:tr>
      <w:tr w14:paraId="245CA5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66E510E3">
            <w:pPr>
              <w:adjustRightInd w:val="0"/>
              <w:snapToGrid w:val="0"/>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（十二）采购预算及最高限价</w:t>
            </w:r>
          </w:p>
        </w:tc>
        <w:tc>
          <w:tcPr>
            <w:tcW w:w="3266" w:type="pct"/>
            <w:gridSpan w:val="3"/>
            <w:tcBorders>
              <w:top w:val="single" w:color="auto" w:sz="4" w:space="0"/>
              <w:left w:val="single" w:color="auto" w:sz="4" w:space="0"/>
              <w:bottom w:val="single" w:color="auto" w:sz="4" w:space="0"/>
              <w:right w:val="single" w:color="auto" w:sz="4" w:space="0"/>
            </w:tcBorders>
          </w:tcPr>
          <w:p w14:paraId="0EEB144B">
            <w:pPr>
              <w:spacing w:line="340" w:lineRule="exact"/>
              <w:rPr>
                <w:rFonts w:ascii="宋体" w:hAnsi="宋体" w:cs="宋体"/>
                <w:b/>
                <w:color w:val="auto"/>
                <w:szCs w:val="21"/>
                <w:highlight w:val="none"/>
              </w:rPr>
            </w:pPr>
            <w:r>
              <w:rPr>
                <w:rFonts w:hint="eastAsia" w:ascii="宋体" w:hAnsi="宋体" w:cs="宋体"/>
                <w:b/>
                <w:bCs/>
                <w:color w:val="auto"/>
                <w:highlight w:val="none"/>
              </w:rPr>
              <w:t>本</w:t>
            </w:r>
            <w:r>
              <w:rPr>
                <w:rFonts w:hint="eastAsia" w:ascii="宋体" w:hAnsi="宋体" w:cs="宋体"/>
                <w:b/>
                <w:color w:val="auto"/>
                <w:szCs w:val="21"/>
                <w:highlight w:val="none"/>
              </w:rPr>
              <w:t>分标</w:t>
            </w:r>
            <w:r>
              <w:rPr>
                <w:rFonts w:hint="eastAsia" w:ascii="宋体" w:hAnsi="宋体" w:cs="宋体"/>
                <w:b/>
                <w:bCs/>
                <w:color w:val="auto"/>
                <w:highlight w:val="none"/>
              </w:rPr>
              <w:t>采购预算为</w:t>
            </w:r>
            <w:r>
              <w:rPr>
                <w:rFonts w:hint="eastAsia" w:ascii="宋体" w:hAnsi="宋体"/>
                <w:b/>
                <w:bCs/>
                <w:color w:val="auto"/>
                <w:highlight w:val="none"/>
              </w:rPr>
              <w:t>玖拾玖万贰仟元整（¥992000.00），</w:t>
            </w:r>
            <w:r>
              <w:rPr>
                <w:rFonts w:hint="eastAsia" w:ascii="宋体" w:hAnsi="宋体" w:cs="宋体"/>
                <w:b/>
                <w:bCs/>
                <w:color w:val="auto"/>
                <w:highlight w:val="none"/>
              </w:rPr>
              <w:t>最高限价为捌拾伍万叁仟捌佰元整（¥853800.00），</w:t>
            </w:r>
            <w:r>
              <w:rPr>
                <w:rFonts w:hint="eastAsia" w:ascii="宋体" w:hAnsi="宋体" w:cs="宋体"/>
                <w:b/>
                <w:bCs/>
                <w:color w:val="auto"/>
                <w:szCs w:val="21"/>
                <w:highlight w:val="none"/>
              </w:rPr>
              <w:t>投标人投标报价超最高限价的或</w:t>
            </w:r>
            <w:r>
              <w:rPr>
                <w:rFonts w:hint="eastAsia" w:ascii="宋体" w:hAnsi="宋体"/>
                <w:b/>
                <w:color w:val="auto"/>
                <w:szCs w:val="21"/>
                <w:highlight w:val="none"/>
              </w:rPr>
              <w:t>投标人所投分标各分项的单价报价超相应标的的单价最高限价的</w:t>
            </w:r>
            <w:r>
              <w:rPr>
                <w:rFonts w:hint="eastAsia" w:ascii="宋体" w:hAnsi="宋体" w:cs="宋体"/>
                <w:b/>
                <w:bCs/>
                <w:color w:val="auto"/>
                <w:szCs w:val="21"/>
                <w:highlight w:val="none"/>
              </w:rPr>
              <w:t>，投标文件均按无效处理。</w:t>
            </w:r>
          </w:p>
        </w:tc>
      </w:tr>
      <w:tr w14:paraId="60DB9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7"/>
            <w:tcBorders>
              <w:top w:val="single" w:color="auto" w:sz="4" w:space="0"/>
              <w:left w:val="single" w:color="auto" w:sz="4" w:space="0"/>
              <w:bottom w:val="single" w:color="auto" w:sz="4" w:space="0"/>
              <w:right w:val="single" w:color="auto" w:sz="4" w:space="0"/>
            </w:tcBorders>
          </w:tcPr>
          <w:p w14:paraId="0E486537">
            <w:pPr>
              <w:adjustRightInd w:val="0"/>
              <w:snapToGrid w:val="0"/>
              <w:spacing w:line="340" w:lineRule="exact"/>
              <w:rPr>
                <w:rFonts w:ascii="宋体" w:hAnsi="宋体" w:cs="宋体"/>
                <w:b/>
                <w:color w:val="auto"/>
                <w:szCs w:val="21"/>
                <w:highlight w:val="none"/>
              </w:rPr>
            </w:pPr>
            <w:r>
              <w:rPr>
                <w:rFonts w:hint="eastAsia" w:ascii="宋体" w:hAnsi="宋体" w:cs="宋体"/>
                <w:b/>
                <w:bCs/>
                <w:color w:val="auto"/>
                <w:szCs w:val="21"/>
                <w:highlight w:val="none"/>
              </w:rPr>
              <w:t>五、与实现项目目标相关的其他要求</w:t>
            </w:r>
          </w:p>
        </w:tc>
      </w:tr>
      <w:tr w14:paraId="36BA7A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17A35217">
            <w:pPr>
              <w:adjustRightInd w:val="0"/>
              <w:snapToGrid w:val="0"/>
              <w:spacing w:line="300" w:lineRule="exact"/>
              <w:jc w:val="center"/>
              <w:rPr>
                <w:rFonts w:ascii="宋体" w:hAnsi="宋体" w:cs="宋体"/>
                <w:bCs/>
                <w:color w:val="auto"/>
                <w:szCs w:val="21"/>
                <w:highlight w:val="none"/>
              </w:rPr>
            </w:pPr>
            <w:r>
              <w:rPr>
                <w:rFonts w:hint="eastAsia" w:ascii="宋体" w:hAnsi="宋体" w:cs="宋体"/>
                <w:bCs/>
                <w:color w:val="auto"/>
                <w:szCs w:val="21"/>
                <w:highlight w:val="none"/>
              </w:rPr>
              <w:t>（一）安装实施方案</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0ED4FFC1">
            <w:pPr>
              <w:adjustRightInd w:val="0"/>
              <w:snapToGrid w:val="0"/>
              <w:spacing w:line="340" w:lineRule="exact"/>
              <w:rPr>
                <w:rFonts w:ascii="宋体" w:hAnsi="宋体" w:cs="宋体"/>
                <w:bCs/>
                <w:color w:val="auto"/>
                <w:szCs w:val="21"/>
                <w:highlight w:val="none"/>
              </w:rPr>
            </w:pPr>
            <w:r>
              <w:rPr>
                <w:rFonts w:hint="eastAsia" w:ascii="宋体" w:hAnsi="宋体" w:cs="宋体"/>
                <w:color w:val="auto"/>
                <w:szCs w:val="21"/>
                <w:highlight w:val="none"/>
              </w:rPr>
              <w:t>投标人根据项目要求和自身情况，可于投标文件中提供</w:t>
            </w:r>
            <w:r>
              <w:rPr>
                <w:rFonts w:hint="eastAsia" w:ascii="宋体" w:hAnsi="宋体" w:cs="宋体"/>
                <w:bCs/>
                <w:color w:val="auto"/>
                <w:szCs w:val="21"/>
                <w:highlight w:val="none"/>
              </w:rPr>
              <w:t>安装实施方案</w:t>
            </w:r>
            <w:r>
              <w:rPr>
                <w:rFonts w:hint="eastAsia" w:ascii="宋体" w:hAnsi="宋体" w:cs="宋体"/>
                <w:color w:val="auto"/>
                <w:szCs w:val="21"/>
                <w:highlight w:val="none"/>
              </w:rPr>
              <w:t>，包含但不限于：①安装方案；②设备调试方案；③设备试运行方案等</w:t>
            </w:r>
            <w:r>
              <w:rPr>
                <w:rFonts w:hint="eastAsia" w:ascii="宋体" w:hAnsi="宋体" w:cs="宋体"/>
                <w:bCs/>
                <w:color w:val="auto"/>
                <w:szCs w:val="21"/>
                <w:highlight w:val="none"/>
              </w:rPr>
              <w:t>。</w:t>
            </w:r>
          </w:p>
          <w:p w14:paraId="5011F927">
            <w:pPr>
              <w:adjustRightInd w:val="0"/>
              <w:snapToGrid w:val="0"/>
              <w:spacing w:line="340" w:lineRule="exact"/>
              <w:rPr>
                <w:rFonts w:ascii="宋体" w:hAnsi="宋体" w:cs="宋体"/>
                <w:b/>
                <w:i/>
                <w:color w:val="auto"/>
                <w:szCs w:val="21"/>
                <w:highlight w:val="none"/>
              </w:rPr>
            </w:pPr>
            <w:r>
              <w:rPr>
                <w:rFonts w:hint="eastAsia" w:ascii="宋体" w:hAnsi="宋体" w:cs="宋体"/>
                <w:b/>
                <w:bCs/>
                <w:color w:val="auto"/>
                <w:highlight w:val="none"/>
              </w:rPr>
              <w:t>注：</w:t>
            </w:r>
            <w:r>
              <w:rPr>
                <w:rFonts w:hint="eastAsia" w:ascii="宋体" w:hAnsi="宋体" w:cs="宋体"/>
                <w:b/>
                <w:color w:val="auto"/>
                <w:spacing w:val="-4"/>
                <w:szCs w:val="21"/>
                <w:highlight w:val="none"/>
              </w:rPr>
              <w:t>具体详见“第四章  评标方法及评标标准”。</w:t>
            </w:r>
          </w:p>
        </w:tc>
      </w:tr>
      <w:tr w14:paraId="69F5E8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20D030FF">
            <w:pPr>
              <w:adjustRightInd w:val="0"/>
              <w:snapToGrid w:val="0"/>
              <w:spacing w:line="300" w:lineRule="exact"/>
              <w:jc w:val="center"/>
              <w:rPr>
                <w:rFonts w:ascii="宋体" w:hAnsi="宋体" w:cs="宋体"/>
                <w:bCs/>
                <w:color w:val="auto"/>
                <w:szCs w:val="21"/>
                <w:highlight w:val="none"/>
              </w:rPr>
            </w:pPr>
            <w:r>
              <w:rPr>
                <w:rFonts w:hint="eastAsia" w:ascii="宋体" w:hAnsi="宋体" w:cs="宋体"/>
                <w:bCs/>
                <w:color w:val="auto"/>
                <w:szCs w:val="21"/>
                <w:highlight w:val="none"/>
              </w:rPr>
              <w:t>（二）增值售后服务方案</w:t>
            </w:r>
          </w:p>
        </w:tc>
        <w:tc>
          <w:tcPr>
            <w:tcW w:w="326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C532B6D">
            <w:pPr>
              <w:adjustRightInd w:val="0"/>
              <w:snapToGrid w:val="0"/>
              <w:spacing w:line="340" w:lineRule="exact"/>
              <w:rPr>
                <w:rFonts w:ascii="宋体" w:hAnsi="宋体" w:cs="宋体"/>
                <w:bCs/>
                <w:color w:val="auto"/>
                <w:szCs w:val="21"/>
                <w:highlight w:val="none"/>
              </w:rPr>
            </w:pPr>
            <w:r>
              <w:rPr>
                <w:rFonts w:hint="eastAsia" w:ascii="宋体" w:hAnsi="宋体" w:cs="宋体"/>
                <w:color w:val="auto"/>
                <w:szCs w:val="21"/>
                <w:highlight w:val="none"/>
              </w:rPr>
              <w:t>投标人根据项目要求和自身情况，可于投标文件中提供</w:t>
            </w:r>
            <w:r>
              <w:rPr>
                <w:rFonts w:hint="eastAsia" w:ascii="宋体" w:hAnsi="宋体" w:cs="宋体"/>
                <w:bCs/>
                <w:color w:val="auto"/>
                <w:szCs w:val="21"/>
                <w:highlight w:val="none"/>
              </w:rPr>
              <w:t>增值售后服务方案</w:t>
            </w:r>
            <w:r>
              <w:rPr>
                <w:rFonts w:hint="eastAsia" w:ascii="宋体" w:hAnsi="宋体" w:cs="宋体"/>
                <w:color w:val="auto"/>
                <w:szCs w:val="21"/>
                <w:highlight w:val="none"/>
              </w:rPr>
              <w:t>，包含但不限于：①</w:t>
            </w:r>
            <w:r>
              <w:rPr>
                <w:rFonts w:hint="eastAsia" w:ascii="宋体" w:hAnsi="宋体" w:cs="宋体"/>
                <w:color w:val="auto"/>
                <w:highlight w:val="none"/>
              </w:rPr>
              <w:t>服务人员的配备</w:t>
            </w:r>
            <w:r>
              <w:rPr>
                <w:rFonts w:hint="eastAsia" w:ascii="宋体" w:hAnsi="宋体" w:cs="宋体"/>
                <w:color w:val="auto"/>
                <w:szCs w:val="21"/>
                <w:highlight w:val="none"/>
              </w:rPr>
              <w:t>、故障出现解决方案，②定期维护 (注明时间)，③技术培训方案，④保修期外维修方案，⑤售后服务措施及其他优惠措施等</w:t>
            </w:r>
            <w:r>
              <w:rPr>
                <w:rFonts w:hint="eastAsia" w:ascii="宋体" w:hAnsi="宋体" w:cs="宋体"/>
                <w:bCs/>
                <w:color w:val="auto"/>
                <w:szCs w:val="21"/>
                <w:highlight w:val="none"/>
              </w:rPr>
              <w:t>。</w:t>
            </w:r>
          </w:p>
          <w:p w14:paraId="78D8C586">
            <w:pPr>
              <w:adjustRightInd w:val="0"/>
              <w:snapToGrid w:val="0"/>
              <w:spacing w:line="340" w:lineRule="exact"/>
              <w:rPr>
                <w:rFonts w:ascii="宋体" w:hAnsi="宋体" w:cs="宋体"/>
                <w:b/>
                <w:i/>
                <w:color w:val="auto"/>
                <w:szCs w:val="21"/>
                <w:highlight w:val="none"/>
              </w:rPr>
            </w:pPr>
            <w:r>
              <w:rPr>
                <w:rFonts w:hint="eastAsia" w:ascii="宋体" w:hAnsi="宋体" w:cs="宋体"/>
                <w:b/>
                <w:bCs/>
                <w:color w:val="auto"/>
                <w:highlight w:val="none"/>
              </w:rPr>
              <w:t>注：</w:t>
            </w:r>
            <w:r>
              <w:rPr>
                <w:rFonts w:hint="eastAsia" w:ascii="宋体" w:hAnsi="宋体" w:cs="宋体"/>
                <w:b/>
                <w:color w:val="auto"/>
                <w:spacing w:val="-4"/>
                <w:szCs w:val="21"/>
                <w:highlight w:val="none"/>
              </w:rPr>
              <w:t>具体详见“第四章  评标方法及评标标准”。</w:t>
            </w:r>
          </w:p>
        </w:tc>
      </w:tr>
      <w:tr w14:paraId="5922B1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2BC5526A">
            <w:pPr>
              <w:adjustRightInd w:val="0"/>
              <w:snapToGrid w:val="0"/>
              <w:spacing w:line="360" w:lineRule="exact"/>
              <w:jc w:val="center"/>
              <w:rPr>
                <w:rFonts w:ascii="宋体" w:hAnsi="宋体" w:cs="宋体"/>
                <w:i/>
                <w:color w:val="auto"/>
                <w:szCs w:val="21"/>
                <w:highlight w:val="none"/>
              </w:rPr>
            </w:pPr>
            <w:r>
              <w:rPr>
                <w:rFonts w:hint="eastAsia" w:ascii="宋体" w:hAnsi="宋体" w:cs="宋体"/>
                <w:color w:val="auto"/>
                <w:szCs w:val="21"/>
                <w:highlight w:val="none"/>
              </w:rPr>
              <w:t>（三）履约能力要求</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6E94E0BA">
            <w:pPr>
              <w:spacing w:line="340" w:lineRule="exact"/>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szCs w:val="21"/>
                <w:highlight w:val="none"/>
              </w:rPr>
              <w:t>投标人或所投产品生产厂家通过ISO13485</w:t>
            </w:r>
            <w:r>
              <w:rPr>
                <w:rFonts w:hint="eastAsia" w:ascii="宋体" w:hAnsi="宋体" w:cs="宋体"/>
                <w:color w:val="auto"/>
                <w:highlight w:val="none"/>
              </w:rPr>
              <w:t>医疗器械质量管理体系认证</w:t>
            </w:r>
            <w:r>
              <w:rPr>
                <w:rFonts w:hint="eastAsia" w:ascii="宋体" w:hAnsi="宋体" w:cs="宋体"/>
                <w:color w:val="auto"/>
                <w:szCs w:val="21"/>
                <w:highlight w:val="none"/>
              </w:rPr>
              <w:t>、ISO9001质量管理体系认证且有效的。</w:t>
            </w:r>
          </w:p>
          <w:p w14:paraId="326436ED">
            <w:pPr>
              <w:spacing w:line="340" w:lineRule="exact"/>
              <w:rPr>
                <w:rFonts w:ascii="宋体" w:hAnsi="宋体" w:cs="宋体"/>
                <w:color w:val="auto"/>
                <w:highlight w:val="none"/>
              </w:rPr>
            </w:pPr>
            <w:r>
              <w:rPr>
                <w:rFonts w:hint="eastAsia" w:ascii="宋体" w:hAnsi="宋体" w:cs="宋体"/>
                <w:bCs/>
                <w:color w:val="auto"/>
                <w:highlight w:val="none"/>
              </w:rPr>
              <w:t>2.</w:t>
            </w:r>
            <w:r>
              <w:rPr>
                <w:rFonts w:hint="eastAsia" w:ascii="宋体" w:hAnsi="宋体" w:cs="宋体"/>
                <w:color w:val="auto"/>
                <w:highlight w:val="none"/>
              </w:rPr>
              <w:t>投标人或所投产品生产厂家2021年以来具有同类产品的销售业绩的。</w:t>
            </w:r>
          </w:p>
          <w:p w14:paraId="4183ADBD">
            <w:pPr>
              <w:adjustRightInd w:val="0"/>
              <w:snapToGrid w:val="0"/>
              <w:spacing w:line="340" w:lineRule="exact"/>
              <w:rPr>
                <w:rFonts w:ascii="宋体" w:hAnsi="宋体" w:cs="宋体"/>
                <w:b/>
                <w:i/>
                <w:color w:val="auto"/>
                <w:szCs w:val="21"/>
                <w:highlight w:val="none"/>
              </w:rPr>
            </w:pPr>
            <w:r>
              <w:rPr>
                <w:rFonts w:hint="eastAsia" w:ascii="宋体" w:hAnsi="宋体" w:cs="宋体"/>
                <w:b/>
                <w:bCs/>
                <w:color w:val="auto"/>
                <w:highlight w:val="none"/>
              </w:rPr>
              <w:t>注：上述履约能力加分详见“第四章 评标办法及评标标准”。</w:t>
            </w:r>
          </w:p>
        </w:tc>
      </w:tr>
      <w:tr w14:paraId="6F65E1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3857D2FE">
            <w:pPr>
              <w:adjustRightInd w:val="0"/>
              <w:snapToGrid w:val="0"/>
              <w:spacing w:line="360" w:lineRule="exact"/>
              <w:jc w:val="center"/>
              <w:rPr>
                <w:rFonts w:ascii="宋体" w:hAnsi="宋体" w:cs="宋体"/>
                <w:i/>
                <w:color w:val="auto"/>
                <w:szCs w:val="21"/>
                <w:highlight w:val="none"/>
              </w:rPr>
            </w:pPr>
            <w:r>
              <w:rPr>
                <w:rFonts w:hint="eastAsia" w:ascii="宋体" w:hAnsi="宋体" w:cs="宋体"/>
                <w:color w:val="auto"/>
                <w:szCs w:val="21"/>
                <w:highlight w:val="none"/>
              </w:rPr>
              <w:t>（四）政策性加分条件</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5FA0043B">
            <w:pPr>
              <w:spacing w:line="340" w:lineRule="exact"/>
              <w:rPr>
                <w:rFonts w:ascii="宋体" w:hAnsi="宋体" w:cs="宋体"/>
                <w:color w:val="auto"/>
                <w:highlight w:val="none"/>
              </w:rPr>
            </w:pPr>
            <w:r>
              <w:rPr>
                <w:rFonts w:hint="eastAsia" w:ascii="宋体" w:hAnsi="宋体" w:cs="宋体"/>
                <w:color w:val="auto"/>
                <w:highlight w:val="none"/>
              </w:rPr>
              <w:t>1.节能产品：属于财政部《节能产品政府采购品目清单》内优先采购（清单内未标注“★”的品目）的产品[投标文件中提供有效的认证证书复印件及品目清单（标注投标产品在品目清单中所属的品目），并加盖投标人电子签章]。</w:t>
            </w:r>
          </w:p>
          <w:p w14:paraId="18260934">
            <w:pPr>
              <w:spacing w:line="340" w:lineRule="exact"/>
              <w:rPr>
                <w:rFonts w:ascii="宋体" w:hAnsi="宋体" w:cs="宋体"/>
                <w:color w:val="auto"/>
                <w:highlight w:val="none"/>
              </w:rPr>
            </w:pPr>
            <w:r>
              <w:rPr>
                <w:rFonts w:hint="eastAsia" w:ascii="宋体" w:hAnsi="宋体" w:cs="宋体"/>
                <w:color w:val="auto"/>
                <w:highlight w:val="none"/>
              </w:rPr>
              <w:t>2.环境标志产品：属于财政部《环境标志产品政府采购品目清单》内的产品[投标文件中提供有效的认证证书复印件及品目清单（标注投标产品在品目清单中所属的品目），并加盖投标人电子签章]。</w:t>
            </w:r>
          </w:p>
          <w:p w14:paraId="00C05C7F">
            <w:pPr>
              <w:adjustRightInd w:val="0"/>
              <w:snapToGrid w:val="0"/>
              <w:spacing w:line="340" w:lineRule="exact"/>
              <w:rPr>
                <w:rFonts w:ascii="宋体" w:hAnsi="宋体" w:cs="宋体"/>
                <w:b/>
                <w:color w:val="auto"/>
                <w:szCs w:val="21"/>
                <w:highlight w:val="none"/>
              </w:rPr>
            </w:pPr>
            <w:r>
              <w:rPr>
                <w:rFonts w:hint="eastAsia" w:ascii="宋体" w:hAnsi="宋体" w:cs="宋体"/>
                <w:b/>
                <w:color w:val="auto"/>
                <w:highlight w:val="none"/>
              </w:rPr>
              <w:t>注：上述政策性加分详见“第四章 评标办法及评标标准”。</w:t>
            </w:r>
          </w:p>
        </w:tc>
      </w:tr>
    </w:tbl>
    <w:p w14:paraId="04F1EE95">
      <w:pPr>
        <w:spacing w:line="428" w:lineRule="exact"/>
        <w:ind w:left="119"/>
        <w:rPr>
          <w:rFonts w:ascii="宋体" w:hAnsi="宋体" w:cs="宋体"/>
          <w:color w:val="auto"/>
          <w:sz w:val="32"/>
          <w:szCs w:val="32"/>
          <w:highlight w:val="none"/>
        </w:rPr>
      </w:pPr>
      <w:bookmarkStart w:id="43" w:name="_Toc74320802"/>
    </w:p>
    <w:p w14:paraId="363515C4">
      <w:pPr>
        <w:spacing w:line="428" w:lineRule="exact"/>
        <w:ind w:left="119"/>
        <w:rPr>
          <w:rFonts w:ascii="宋体" w:hAnsi="宋体" w:cs="宋体"/>
          <w:color w:val="auto"/>
          <w:sz w:val="32"/>
          <w:szCs w:val="32"/>
          <w:highlight w:val="none"/>
        </w:rPr>
      </w:pPr>
    </w:p>
    <w:p w14:paraId="33DAAA91">
      <w:pPr>
        <w:spacing w:line="428" w:lineRule="exact"/>
        <w:ind w:left="119"/>
        <w:rPr>
          <w:rFonts w:ascii="宋体" w:hAnsi="宋体" w:cs="宋体"/>
          <w:color w:val="auto"/>
          <w:sz w:val="32"/>
          <w:szCs w:val="32"/>
          <w:highlight w:val="none"/>
        </w:rPr>
      </w:pPr>
    </w:p>
    <w:p w14:paraId="00D81EA1">
      <w:pPr>
        <w:spacing w:line="428" w:lineRule="exact"/>
        <w:ind w:left="119"/>
        <w:rPr>
          <w:rFonts w:ascii="宋体" w:hAnsi="宋体" w:cs="宋体"/>
          <w:color w:val="auto"/>
          <w:sz w:val="32"/>
          <w:szCs w:val="32"/>
          <w:highlight w:val="none"/>
        </w:rPr>
      </w:pPr>
    </w:p>
    <w:p w14:paraId="6B3BF6D2">
      <w:pPr>
        <w:spacing w:line="428" w:lineRule="exact"/>
        <w:ind w:left="119"/>
        <w:rPr>
          <w:rFonts w:ascii="宋体" w:hAnsi="宋体" w:cs="宋体"/>
          <w:color w:val="auto"/>
          <w:sz w:val="32"/>
          <w:szCs w:val="32"/>
          <w:highlight w:val="none"/>
        </w:rPr>
      </w:pPr>
      <w:r>
        <w:rPr>
          <w:rFonts w:hint="eastAsia" w:ascii="宋体" w:hAnsi="宋体" w:cs="宋体"/>
          <w:color w:val="auto"/>
          <w:sz w:val="32"/>
          <w:szCs w:val="32"/>
          <w:highlight w:val="none"/>
        </w:rPr>
        <w:t>附件1：</w:t>
      </w:r>
    </w:p>
    <w:p w14:paraId="285C1F4C">
      <w:pPr>
        <w:spacing w:before="7"/>
        <w:rPr>
          <w:rFonts w:ascii="宋体" w:hAnsi="宋体" w:cs="宋体"/>
          <w:color w:val="auto"/>
          <w:sz w:val="17"/>
          <w:szCs w:val="17"/>
          <w:highlight w:val="none"/>
        </w:rPr>
      </w:pPr>
    </w:p>
    <w:p w14:paraId="51087688">
      <w:pPr>
        <w:spacing w:line="528" w:lineRule="exact"/>
        <w:ind w:left="1871"/>
        <w:rPr>
          <w:rFonts w:ascii="宋体" w:hAnsi="宋体" w:cs="宋体"/>
          <w:color w:val="auto"/>
          <w:sz w:val="40"/>
          <w:szCs w:val="40"/>
          <w:highlight w:val="none"/>
        </w:rPr>
      </w:pPr>
      <w:r>
        <w:rPr>
          <w:rFonts w:hint="eastAsia" w:ascii="宋体" w:hAnsi="宋体" w:cs="宋体"/>
          <w:color w:val="auto"/>
          <w:sz w:val="44"/>
          <w:szCs w:val="44"/>
          <w:highlight w:val="none"/>
        </w:rPr>
        <w:t>节能产品政府采购品目清单</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422"/>
        <w:gridCol w:w="1496"/>
        <w:gridCol w:w="1373"/>
        <w:gridCol w:w="3566"/>
      </w:tblGrid>
      <w:tr w14:paraId="37909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4D87EE1B">
            <w:pPr>
              <w:jc w:val="center"/>
              <w:rPr>
                <w:rFonts w:ascii="宋体" w:hAnsi="宋体" w:cs="宋体"/>
                <w:color w:val="auto"/>
                <w:szCs w:val="22"/>
                <w:highlight w:val="none"/>
              </w:rPr>
            </w:pPr>
            <w:r>
              <w:rPr>
                <w:rFonts w:hint="eastAsia" w:ascii="宋体" w:hAnsi="宋体" w:cs="宋体"/>
                <w:b/>
                <w:bCs/>
                <w:color w:val="auto"/>
                <w:w w:val="99"/>
                <w:highlight w:val="none"/>
              </w:rPr>
              <w:t>品目序号</w:t>
            </w:r>
          </w:p>
        </w:tc>
        <w:tc>
          <w:tcPr>
            <w:tcW w:w="4285" w:type="dxa"/>
            <w:gridSpan w:val="3"/>
            <w:tcBorders>
              <w:top w:val="single" w:color="000000" w:sz="4" w:space="0"/>
              <w:left w:val="single" w:color="000000" w:sz="4" w:space="0"/>
              <w:bottom w:val="single" w:color="000000" w:sz="4" w:space="0"/>
              <w:right w:val="single" w:color="000000" w:sz="4" w:space="0"/>
            </w:tcBorders>
            <w:noWrap/>
            <w:vAlign w:val="center"/>
          </w:tcPr>
          <w:p w14:paraId="1B658F7B">
            <w:pPr>
              <w:jc w:val="center"/>
              <w:rPr>
                <w:rFonts w:ascii="宋体" w:hAnsi="宋体" w:cs="宋体"/>
                <w:color w:val="auto"/>
                <w:szCs w:val="22"/>
                <w:highlight w:val="none"/>
              </w:rPr>
            </w:pPr>
            <w:r>
              <w:rPr>
                <w:rFonts w:hint="eastAsia" w:ascii="宋体" w:hAnsi="宋体" w:cs="宋体"/>
                <w:b/>
                <w:bCs/>
                <w:color w:val="auto"/>
                <w:w w:val="99"/>
                <w:highlight w:val="none"/>
              </w:rPr>
              <w:t>名称</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7930A949">
            <w:pPr>
              <w:jc w:val="center"/>
              <w:rPr>
                <w:rFonts w:ascii="宋体" w:hAnsi="宋体" w:cs="宋体"/>
                <w:color w:val="auto"/>
                <w:szCs w:val="22"/>
                <w:highlight w:val="none"/>
              </w:rPr>
            </w:pPr>
            <w:r>
              <w:rPr>
                <w:rFonts w:hint="eastAsia" w:ascii="宋体" w:hAnsi="宋体" w:cs="宋体"/>
                <w:b/>
                <w:bCs/>
                <w:color w:val="auto"/>
                <w:w w:val="99"/>
                <w:highlight w:val="none"/>
              </w:rPr>
              <w:t>依据的标准</w:t>
            </w:r>
          </w:p>
        </w:tc>
      </w:tr>
      <w:tr w14:paraId="2C15F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ign w:val="center"/>
          </w:tcPr>
          <w:p w14:paraId="58E0D6B7">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422" w:type="dxa"/>
            <w:vMerge w:val="restart"/>
            <w:tcBorders>
              <w:top w:val="single" w:color="000000" w:sz="4" w:space="0"/>
              <w:left w:val="single" w:color="000000" w:sz="4" w:space="0"/>
              <w:bottom w:val="single" w:color="000000" w:sz="4" w:space="0"/>
              <w:right w:val="single" w:color="000000" w:sz="4" w:space="0"/>
            </w:tcBorders>
            <w:noWrap/>
            <w:vAlign w:val="center"/>
          </w:tcPr>
          <w:p w14:paraId="62166C88">
            <w:pPr>
              <w:jc w:val="center"/>
              <w:rPr>
                <w:rFonts w:ascii="宋体" w:hAnsi="宋体" w:cs="宋体"/>
                <w:color w:val="auto"/>
                <w:szCs w:val="21"/>
                <w:highlight w:val="none"/>
              </w:rPr>
            </w:pPr>
            <w:r>
              <w:rPr>
                <w:rFonts w:hint="eastAsia" w:ascii="宋体" w:hAnsi="宋体" w:cs="宋体"/>
                <w:color w:val="auto"/>
                <w:szCs w:val="21"/>
                <w:highlight w:val="none"/>
              </w:rPr>
              <w:t>A02010100</w:t>
            </w:r>
            <w:r>
              <w:rPr>
                <w:rFonts w:hint="eastAsia" w:ascii="宋体" w:hAnsi="宋体" w:cs="宋体"/>
                <w:color w:val="auto"/>
                <w:w w:val="99"/>
                <w:szCs w:val="21"/>
                <w:highlight w:val="none"/>
              </w:rPr>
              <w:t>计算机</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3A9626A5">
            <w:pPr>
              <w:pStyle w:val="135"/>
              <w:spacing w:before="93"/>
              <w:ind w:left="7" w:right="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kern w:val="2"/>
                <w:sz w:val="21"/>
                <w:szCs w:val="21"/>
                <w:highlight w:val="none"/>
              </w:rPr>
              <w:t>A02010105</w:t>
            </w:r>
            <w:r>
              <w:rPr>
                <w:rFonts w:hint="eastAsia" w:ascii="宋体" w:hAnsi="宋体" w:cs="宋体"/>
                <w:color w:val="auto"/>
                <w:w w:val="99"/>
                <w:kern w:val="2"/>
                <w:sz w:val="21"/>
                <w:szCs w:val="21"/>
                <w:highlight w:val="none"/>
              </w:rPr>
              <w:t>台式计算机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5A9114A">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26072CB1">
            <w:pPr>
              <w:pStyle w:val="135"/>
              <w:spacing w:before="93"/>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《微型计算机能效限定</w:t>
            </w:r>
            <w:r>
              <w:rPr>
                <w:rFonts w:hint="eastAsia" w:ascii="宋体" w:hAnsi="宋体" w:cs="宋体"/>
                <w:color w:val="auto"/>
                <w:spacing w:val="9"/>
                <w:w w:val="99"/>
                <w:kern w:val="2"/>
                <w:sz w:val="21"/>
                <w:szCs w:val="21"/>
                <w:highlight w:val="none"/>
                <w:lang w:eastAsia="zh-CN"/>
              </w:rPr>
              <w:t>值</w:t>
            </w:r>
            <w:r>
              <w:rPr>
                <w:rFonts w:hint="eastAsia" w:ascii="宋体" w:hAnsi="宋体" w:cs="宋体"/>
                <w:color w:val="auto"/>
                <w:spacing w:val="12"/>
                <w:w w:val="99"/>
                <w:kern w:val="2"/>
                <w:sz w:val="21"/>
                <w:szCs w:val="21"/>
                <w:highlight w:val="none"/>
                <w:lang w:eastAsia="zh-CN"/>
              </w:rPr>
              <w:t>及能</w:t>
            </w:r>
            <w:r>
              <w:rPr>
                <w:rFonts w:hint="eastAsia" w:ascii="宋体" w:hAnsi="宋体" w:cs="宋体"/>
                <w:color w:val="auto"/>
                <w:w w:val="99"/>
                <w:kern w:val="2"/>
                <w:sz w:val="21"/>
                <w:szCs w:val="21"/>
                <w:highlight w:val="none"/>
                <w:lang w:eastAsia="zh-CN"/>
              </w:rPr>
              <w:t>效等级》（</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28380</w:t>
            </w:r>
            <w:r>
              <w:rPr>
                <w:rFonts w:hint="eastAsia" w:ascii="宋体" w:hAnsi="宋体" w:cs="宋体"/>
                <w:color w:val="auto"/>
                <w:w w:val="99"/>
                <w:kern w:val="2"/>
                <w:sz w:val="21"/>
                <w:szCs w:val="21"/>
                <w:highlight w:val="none"/>
                <w:lang w:eastAsia="zh-CN"/>
              </w:rPr>
              <w:t>）</w:t>
            </w:r>
          </w:p>
        </w:tc>
      </w:tr>
      <w:tr w14:paraId="7F684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307132A">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AC11D23">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5FBE3A5B">
            <w:pPr>
              <w:pStyle w:val="135"/>
              <w:spacing w:before="44"/>
              <w:ind w:left="7" w:right="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kern w:val="2"/>
                <w:sz w:val="21"/>
                <w:szCs w:val="21"/>
                <w:highlight w:val="none"/>
              </w:rPr>
              <w:t>A02010108</w:t>
            </w:r>
            <w:r>
              <w:rPr>
                <w:rFonts w:hint="eastAsia" w:ascii="宋体" w:hAnsi="宋体" w:cs="宋体"/>
                <w:color w:val="auto"/>
                <w:w w:val="99"/>
                <w:kern w:val="2"/>
                <w:sz w:val="21"/>
                <w:szCs w:val="21"/>
                <w:highlight w:val="none"/>
              </w:rPr>
              <w:t>便携式计算机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224E834">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3D5BCF94">
            <w:pPr>
              <w:pStyle w:val="135"/>
              <w:spacing w:before="44"/>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《微型计算机能效限定</w:t>
            </w:r>
            <w:r>
              <w:rPr>
                <w:rFonts w:hint="eastAsia" w:ascii="宋体" w:hAnsi="宋体" w:cs="宋体"/>
                <w:color w:val="auto"/>
                <w:spacing w:val="9"/>
                <w:w w:val="99"/>
                <w:kern w:val="2"/>
                <w:sz w:val="21"/>
                <w:szCs w:val="21"/>
                <w:highlight w:val="none"/>
                <w:lang w:eastAsia="zh-CN"/>
              </w:rPr>
              <w:t>值</w:t>
            </w:r>
            <w:r>
              <w:rPr>
                <w:rFonts w:hint="eastAsia" w:ascii="宋体" w:hAnsi="宋体" w:cs="宋体"/>
                <w:color w:val="auto"/>
                <w:spacing w:val="12"/>
                <w:w w:val="99"/>
                <w:kern w:val="2"/>
                <w:sz w:val="21"/>
                <w:szCs w:val="21"/>
                <w:highlight w:val="none"/>
                <w:lang w:eastAsia="zh-CN"/>
              </w:rPr>
              <w:t>及能</w:t>
            </w:r>
            <w:r>
              <w:rPr>
                <w:rFonts w:hint="eastAsia" w:ascii="宋体" w:hAnsi="宋体" w:cs="宋体"/>
                <w:color w:val="auto"/>
                <w:w w:val="99"/>
                <w:kern w:val="2"/>
                <w:sz w:val="21"/>
                <w:szCs w:val="21"/>
                <w:highlight w:val="none"/>
                <w:lang w:eastAsia="zh-CN"/>
              </w:rPr>
              <w:t>效等级》（</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28380</w:t>
            </w:r>
            <w:r>
              <w:rPr>
                <w:rFonts w:hint="eastAsia" w:ascii="宋体" w:hAnsi="宋体" w:cs="宋体"/>
                <w:color w:val="auto"/>
                <w:w w:val="99"/>
                <w:kern w:val="2"/>
                <w:sz w:val="21"/>
                <w:szCs w:val="21"/>
                <w:highlight w:val="none"/>
                <w:lang w:eastAsia="zh-CN"/>
              </w:rPr>
              <w:t>）</w:t>
            </w:r>
          </w:p>
        </w:tc>
      </w:tr>
      <w:tr w14:paraId="4A6FA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CCECBE1">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97428A4">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37D53EE2">
            <w:pPr>
              <w:pStyle w:val="135"/>
              <w:spacing w:before="64"/>
              <w:ind w:left="7" w:right="5"/>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w:t>
            </w:r>
            <w:r>
              <w:rPr>
                <w:rFonts w:hint="eastAsia" w:ascii="宋体" w:hAnsi="宋体" w:cs="宋体"/>
                <w:color w:val="auto"/>
                <w:kern w:val="2"/>
                <w:sz w:val="21"/>
                <w:szCs w:val="21"/>
                <w:highlight w:val="none"/>
                <w:lang w:eastAsia="zh-CN"/>
              </w:rPr>
              <w:t>A02010109平板式计算机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E1FA120">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0A934D9F">
            <w:pPr>
              <w:pStyle w:val="135"/>
              <w:spacing w:before="64"/>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《微型计算机能效限定</w:t>
            </w:r>
            <w:r>
              <w:rPr>
                <w:rFonts w:hint="eastAsia" w:ascii="宋体" w:hAnsi="宋体" w:cs="宋体"/>
                <w:color w:val="auto"/>
                <w:spacing w:val="9"/>
                <w:w w:val="99"/>
                <w:kern w:val="2"/>
                <w:sz w:val="21"/>
                <w:szCs w:val="21"/>
                <w:highlight w:val="none"/>
                <w:lang w:eastAsia="zh-CN"/>
              </w:rPr>
              <w:t>值</w:t>
            </w:r>
            <w:r>
              <w:rPr>
                <w:rFonts w:hint="eastAsia" w:ascii="宋体" w:hAnsi="宋体" w:cs="宋体"/>
                <w:color w:val="auto"/>
                <w:spacing w:val="12"/>
                <w:w w:val="99"/>
                <w:kern w:val="2"/>
                <w:sz w:val="21"/>
                <w:szCs w:val="21"/>
                <w:highlight w:val="none"/>
                <w:lang w:eastAsia="zh-CN"/>
              </w:rPr>
              <w:t>及能</w:t>
            </w:r>
            <w:r>
              <w:rPr>
                <w:rFonts w:hint="eastAsia" w:ascii="宋体" w:hAnsi="宋体" w:cs="宋体"/>
                <w:color w:val="auto"/>
                <w:w w:val="99"/>
                <w:kern w:val="2"/>
                <w:sz w:val="21"/>
                <w:szCs w:val="21"/>
                <w:highlight w:val="none"/>
                <w:lang w:eastAsia="zh-CN"/>
              </w:rPr>
              <w:t>效等级》（</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28380</w:t>
            </w:r>
            <w:r>
              <w:rPr>
                <w:rFonts w:hint="eastAsia" w:ascii="宋体" w:hAnsi="宋体" w:cs="宋体"/>
                <w:color w:val="auto"/>
                <w:w w:val="99"/>
                <w:kern w:val="2"/>
                <w:sz w:val="21"/>
                <w:szCs w:val="21"/>
                <w:highlight w:val="none"/>
                <w:lang w:eastAsia="zh-CN"/>
              </w:rPr>
              <w:t>）</w:t>
            </w:r>
          </w:p>
        </w:tc>
      </w:tr>
      <w:tr w14:paraId="22C6C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ign w:val="center"/>
          </w:tcPr>
          <w:p w14:paraId="265F2D47">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422" w:type="dxa"/>
            <w:vMerge w:val="restart"/>
            <w:tcBorders>
              <w:top w:val="single" w:color="000000" w:sz="4" w:space="0"/>
              <w:left w:val="single" w:color="000000" w:sz="4" w:space="0"/>
              <w:bottom w:val="single" w:color="000000" w:sz="4" w:space="0"/>
              <w:right w:val="single" w:color="000000" w:sz="4" w:space="0"/>
            </w:tcBorders>
            <w:noWrap/>
            <w:vAlign w:val="center"/>
          </w:tcPr>
          <w:p w14:paraId="2340193A">
            <w:pPr>
              <w:pStyle w:val="135"/>
              <w:ind w:left="7"/>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A02020000</w:t>
            </w:r>
            <w:r>
              <w:rPr>
                <w:rFonts w:hint="eastAsia" w:ascii="宋体" w:hAnsi="宋体" w:cs="宋体"/>
                <w:color w:val="auto"/>
                <w:w w:val="99"/>
                <w:kern w:val="2"/>
                <w:sz w:val="21"/>
                <w:szCs w:val="21"/>
                <w:highlight w:val="none"/>
              </w:rPr>
              <w:t>办公设备</w:t>
            </w:r>
          </w:p>
        </w:tc>
        <w:tc>
          <w:tcPr>
            <w:tcW w:w="1496" w:type="dxa"/>
            <w:vMerge w:val="restart"/>
            <w:tcBorders>
              <w:top w:val="single" w:color="000000" w:sz="4" w:space="0"/>
              <w:left w:val="single" w:color="000000" w:sz="4" w:space="0"/>
              <w:bottom w:val="single" w:color="000000" w:sz="4" w:space="0"/>
              <w:right w:val="single" w:color="000000" w:sz="4" w:space="0"/>
            </w:tcBorders>
            <w:noWrap/>
            <w:vAlign w:val="center"/>
          </w:tcPr>
          <w:p w14:paraId="14C750A8">
            <w:pPr>
              <w:jc w:val="center"/>
              <w:rPr>
                <w:rFonts w:ascii="宋体" w:hAnsi="宋体" w:cs="宋体"/>
                <w:color w:val="auto"/>
                <w:szCs w:val="21"/>
                <w:highlight w:val="none"/>
              </w:rPr>
            </w:pPr>
            <w:r>
              <w:rPr>
                <w:rFonts w:hint="eastAsia" w:ascii="宋体" w:hAnsi="宋体" w:cs="宋体"/>
                <w:color w:val="auto"/>
                <w:spacing w:val="1"/>
                <w:w w:val="99"/>
                <w:szCs w:val="21"/>
                <w:highlight w:val="none"/>
              </w:rPr>
              <w:t>A02021000</w:t>
            </w:r>
            <w:r>
              <w:rPr>
                <w:rFonts w:hint="eastAsia" w:ascii="宋体" w:hAnsi="宋体" w:cs="宋体"/>
                <w:color w:val="auto"/>
                <w:szCs w:val="21"/>
                <w:highlight w:val="none"/>
                <w:shd w:val="clear" w:color="auto" w:fill="FFFFFF"/>
              </w:rPr>
              <w:t>打印机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E032C6A">
            <w:pPr>
              <w:jc w:val="center"/>
              <w:rPr>
                <w:rFonts w:ascii="宋体" w:hAnsi="宋体" w:cs="宋体"/>
                <w:color w:val="auto"/>
                <w:szCs w:val="21"/>
                <w:highlight w:val="none"/>
              </w:rPr>
            </w:pPr>
            <w:r>
              <w:rPr>
                <w:rFonts w:hint="eastAsia" w:ascii="宋体" w:hAnsi="宋体" w:cs="宋体"/>
                <w:color w:val="auto"/>
                <w:szCs w:val="21"/>
                <w:highlight w:val="none"/>
              </w:rPr>
              <w:t>A02021001 A3黑白打印机</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0715FBCA">
            <w:pPr>
              <w:pStyle w:val="135"/>
              <w:spacing w:before="52"/>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11DF1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2D5C5E4">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466F520">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771AE9F">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CBB2D83">
            <w:pPr>
              <w:jc w:val="center"/>
              <w:rPr>
                <w:rFonts w:ascii="宋体" w:hAnsi="宋体" w:cs="宋体"/>
                <w:color w:val="auto"/>
                <w:szCs w:val="21"/>
                <w:highlight w:val="none"/>
              </w:rPr>
            </w:pPr>
            <w:r>
              <w:rPr>
                <w:rFonts w:hint="eastAsia" w:ascii="宋体" w:hAnsi="宋体" w:cs="宋体"/>
                <w:color w:val="auto"/>
                <w:szCs w:val="21"/>
                <w:highlight w:val="none"/>
              </w:rPr>
              <w:t>A02021002 A3彩色打印机</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324F0025">
            <w:pPr>
              <w:pStyle w:val="135"/>
              <w:spacing w:before="52"/>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7B144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87E2312">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D1C740D">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03198F8">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60E5C6C7">
            <w:pPr>
              <w:jc w:val="center"/>
              <w:rPr>
                <w:rFonts w:ascii="宋体" w:hAnsi="宋体" w:cs="宋体"/>
                <w:color w:val="auto"/>
                <w:szCs w:val="21"/>
                <w:highlight w:val="none"/>
              </w:rPr>
            </w:pPr>
            <w:r>
              <w:rPr>
                <w:rFonts w:hint="eastAsia" w:ascii="宋体" w:hAnsi="宋体" w:cs="宋体"/>
                <w:color w:val="auto"/>
                <w:szCs w:val="21"/>
                <w:highlight w:val="none"/>
              </w:rPr>
              <w:t>A02021003 A4黑白打印机</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64F77DDA">
            <w:pPr>
              <w:pStyle w:val="135"/>
              <w:spacing w:before="52"/>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7B19C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A23E6F8">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15215EC">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C19CE57">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0836C29">
            <w:pPr>
              <w:jc w:val="center"/>
              <w:rPr>
                <w:rFonts w:ascii="宋体" w:hAnsi="宋体" w:cs="宋体"/>
                <w:color w:val="auto"/>
                <w:szCs w:val="21"/>
                <w:highlight w:val="none"/>
              </w:rPr>
            </w:pPr>
            <w:r>
              <w:rPr>
                <w:rFonts w:hint="eastAsia" w:ascii="宋体" w:hAnsi="宋体" w:cs="宋体"/>
                <w:color w:val="auto"/>
                <w:szCs w:val="21"/>
                <w:highlight w:val="none"/>
              </w:rPr>
              <w:t>A02021004 A4彩色打印机</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6AFDF695">
            <w:pPr>
              <w:pStyle w:val="135"/>
              <w:spacing w:before="52"/>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6C609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1568C45">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BDF55FD">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D893D83">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ED3E07A">
            <w:pPr>
              <w:jc w:val="center"/>
              <w:rPr>
                <w:rFonts w:ascii="宋体" w:hAnsi="宋体" w:cs="宋体"/>
                <w:color w:val="auto"/>
                <w:szCs w:val="21"/>
                <w:highlight w:val="none"/>
              </w:rPr>
            </w:pPr>
            <w:r>
              <w:rPr>
                <w:rFonts w:hint="eastAsia" w:ascii="宋体" w:hAnsi="宋体" w:cs="宋体"/>
                <w:color w:val="auto"/>
                <w:szCs w:val="21"/>
                <w:highlight w:val="none"/>
              </w:rPr>
              <w:t>A02021005 3D打印机</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7C67BE24">
            <w:pPr>
              <w:pStyle w:val="135"/>
              <w:spacing w:before="52"/>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60665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1D5390D">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5A2D65C">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B4C4D0E">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638B313">
            <w:pPr>
              <w:jc w:val="center"/>
              <w:rPr>
                <w:rFonts w:ascii="宋体" w:hAnsi="宋体" w:cs="宋体"/>
                <w:color w:val="auto"/>
                <w:szCs w:val="21"/>
                <w:highlight w:val="none"/>
              </w:rPr>
            </w:pPr>
            <w:r>
              <w:rPr>
                <w:rFonts w:hint="eastAsia" w:ascii="宋体" w:hAnsi="宋体" w:cs="宋体"/>
                <w:color w:val="auto"/>
                <w:szCs w:val="21"/>
                <w:highlight w:val="none"/>
              </w:rPr>
              <w:t>A02021006票据打印机</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366BF635">
            <w:pPr>
              <w:pStyle w:val="135"/>
              <w:spacing w:before="52"/>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23CF1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BD77CF7">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569190C">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5A56462">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951B1B0">
            <w:pPr>
              <w:jc w:val="center"/>
              <w:rPr>
                <w:rFonts w:ascii="宋体" w:hAnsi="宋体" w:cs="宋体"/>
                <w:color w:val="auto"/>
                <w:szCs w:val="21"/>
                <w:highlight w:val="none"/>
              </w:rPr>
            </w:pPr>
            <w:r>
              <w:rPr>
                <w:rFonts w:hint="eastAsia" w:ascii="宋体" w:hAnsi="宋体" w:cs="宋体"/>
                <w:color w:val="auto"/>
                <w:szCs w:val="21"/>
                <w:highlight w:val="none"/>
              </w:rPr>
              <w:t>A02021007条码打印机</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046B8F8D">
            <w:pPr>
              <w:pStyle w:val="135"/>
              <w:spacing w:before="52"/>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0C2BD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C776C55">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81738F4">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9210247">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B71545D">
            <w:pPr>
              <w:jc w:val="center"/>
              <w:rPr>
                <w:rFonts w:ascii="宋体" w:hAnsi="宋体" w:cs="宋体"/>
                <w:color w:val="auto"/>
                <w:szCs w:val="21"/>
                <w:highlight w:val="none"/>
              </w:rPr>
            </w:pPr>
            <w:r>
              <w:rPr>
                <w:rFonts w:hint="eastAsia" w:ascii="宋体" w:hAnsi="宋体" w:cs="宋体"/>
                <w:color w:val="auto"/>
                <w:szCs w:val="21"/>
                <w:highlight w:val="none"/>
              </w:rPr>
              <w:t>A02021008地址打印机</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3A2A3817">
            <w:pPr>
              <w:pStyle w:val="135"/>
              <w:spacing w:before="52"/>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52805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BBE99DC">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422F8EB">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13A3ABB">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BDBAF0F">
            <w:pPr>
              <w:jc w:val="center"/>
              <w:rPr>
                <w:rFonts w:ascii="宋体" w:hAnsi="宋体" w:cs="宋体"/>
                <w:color w:val="auto"/>
                <w:szCs w:val="21"/>
                <w:highlight w:val="none"/>
              </w:rPr>
            </w:pPr>
            <w:r>
              <w:rPr>
                <w:rFonts w:hint="eastAsia" w:ascii="宋体" w:hAnsi="宋体" w:cs="宋体"/>
                <w:color w:val="auto"/>
                <w:szCs w:val="21"/>
                <w:highlight w:val="none"/>
              </w:rPr>
              <w:t>A02021099其他打印机</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76DC01D7">
            <w:pPr>
              <w:pStyle w:val="135"/>
              <w:spacing w:before="52"/>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165CC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0CED495">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2C6D82F">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noWrap/>
            <w:vAlign w:val="center"/>
          </w:tcPr>
          <w:p w14:paraId="3BB33B2D">
            <w:pPr>
              <w:jc w:val="center"/>
              <w:rPr>
                <w:rFonts w:ascii="宋体" w:hAnsi="宋体" w:cs="宋体"/>
                <w:color w:val="auto"/>
                <w:szCs w:val="21"/>
                <w:highlight w:val="none"/>
              </w:rPr>
            </w:pPr>
            <w:r>
              <w:rPr>
                <w:rFonts w:hint="eastAsia" w:ascii="宋体" w:hAnsi="宋体" w:cs="宋体"/>
                <w:color w:val="auto"/>
                <w:szCs w:val="21"/>
                <w:highlight w:val="none"/>
              </w:rPr>
              <w:t>A02021100输入输出设备</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D18CAFE">
            <w:pPr>
              <w:jc w:val="center"/>
              <w:rPr>
                <w:rFonts w:ascii="宋体" w:hAnsi="宋体" w:cs="宋体"/>
                <w:color w:val="auto"/>
                <w:szCs w:val="21"/>
                <w:highlight w:val="none"/>
              </w:rPr>
            </w:pPr>
            <w:r>
              <w:rPr>
                <w:rFonts w:hint="eastAsia" w:ascii="宋体" w:hAnsi="宋体" w:cs="宋体"/>
                <w:color w:val="auto"/>
                <w:w w:val="99"/>
                <w:szCs w:val="21"/>
                <w:highlight w:val="none"/>
              </w:rPr>
              <w:t>★</w:t>
            </w:r>
            <w:r>
              <w:rPr>
                <w:rFonts w:hint="eastAsia" w:ascii="宋体" w:hAnsi="宋体" w:cs="宋体"/>
                <w:color w:val="auto"/>
                <w:szCs w:val="21"/>
                <w:highlight w:val="none"/>
              </w:rPr>
              <w:t>A02021104液晶显示器</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5C9F60EB">
            <w:pPr>
              <w:jc w:val="left"/>
              <w:rPr>
                <w:rFonts w:ascii="宋体" w:hAnsi="宋体" w:cs="宋体"/>
                <w:color w:val="auto"/>
                <w:szCs w:val="21"/>
                <w:highlight w:val="none"/>
              </w:rPr>
            </w:pPr>
            <w:r>
              <w:rPr>
                <w:rFonts w:hint="eastAsia" w:ascii="宋体" w:hAnsi="宋体" w:cs="宋体"/>
                <w:color w:val="auto"/>
                <w:spacing w:val="12"/>
                <w:w w:val="99"/>
                <w:szCs w:val="21"/>
                <w:highlight w:val="none"/>
              </w:rPr>
              <w:t>《计算机显示器能效限</w:t>
            </w:r>
            <w:r>
              <w:rPr>
                <w:rFonts w:hint="eastAsia" w:ascii="宋体" w:hAnsi="宋体" w:cs="宋体"/>
                <w:color w:val="auto"/>
                <w:spacing w:val="9"/>
                <w:w w:val="99"/>
                <w:szCs w:val="21"/>
                <w:highlight w:val="none"/>
              </w:rPr>
              <w:t>定</w:t>
            </w:r>
            <w:r>
              <w:rPr>
                <w:rFonts w:hint="eastAsia" w:ascii="宋体" w:hAnsi="宋体" w:cs="宋体"/>
                <w:color w:val="auto"/>
                <w:spacing w:val="12"/>
                <w:w w:val="99"/>
                <w:szCs w:val="21"/>
                <w:highlight w:val="none"/>
              </w:rPr>
              <w:t>值及</w:t>
            </w:r>
            <w:r>
              <w:rPr>
                <w:rFonts w:hint="eastAsia" w:ascii="宋体" w:hAnsi="宋体" w:cs="宋体"/>
                <w:color w:val="auto"/>
                <w:w w:val="99"/>
                <w:szCs w:val="21"/>
                <w:highlight w:val="none"/>
              </w:rPr>
              <w:t>能效等级</w:t>
            </w:r>
            <w:r>
              <w:rPr>
                <w:rFonts w:hint="eastAsia" w:ascii="宋体" w:hAnsi="宋体" w:cs="宋体"/>
                <w:color w:val="auto"/>
                <w:spacing w:val="2"/>
                <w:w w:val="99"/>
                <w:szCs w:val="21"/>
                <w:highlight w:val="none"/>
              </w:rPr>
              <w:t>》</w:t>
            </w:r>
            <w:r>
              <w:rPr>
                <w:rFonts w:hint="eastAsia" w:ascii="宋体" w:hAnsi="宋体" w:cs="宋体"/>
                <w:color w:val="auto"/>
                <w:w w:val="99"/>
                <w:szCs w:val="21"/>
                <w:highlight w:val="none"/>
              </w:rPr>
              <w:t>（</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21</w:t>
            </w:r>
            <w:r>
              <w:rPr>
                <w:rFonts w:hint="eastAsia" w:ascii="宋体" w:hAnsi="宋体" w:cs="宋体"/>
                <w:color w:val="auto"/>
                <w:w w:val="99"/>
                <w:szCs w:val="21"/>
                <w:highlight w:val="none"/>
              </w:rPr>
              <w:t>52</w:t>
            </w:r>
            <w:r>
              <w:rPr>
                <w:rFonts w:hint="eastAsia" w:ascii="宋体" w:hAnsi="宋体" w:cs="宋体"/>
                <w:color w:val="auto"/>
                <w:spacing w:val="1"/>
                <w:w w:val="99"/>
                <w:szCs w:val="21"/>
                <w:highlight w:val="none"/>
              </w:rPr>
              <w:t>0</w:t>
            </w:r>
            <w:r>
              <w:rPr>
                <w:rFonts w:hint="eastAsia" w:ascii="宋体" w:hAnsi="宋体" w:cs="宋体"/>
                <w:color w:val="auto"/>
                <w:w w:val="99"/>
                <w:szCs w:val="21"/>
                <w:highlight w:val="none"/>
              </w:rPr>
              <w:t>）</w:t>
            </w:r>
          </w:p>
        </w:tc>
      </w:tr>
      <w:tr w14:paraId="1A953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94E172A">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9B8905B">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808F7C8">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6E239D2B">
            <w:pPr>
              <w:jc w:val="center"/>
              <w:rPr>
                <w:rFonts w:ascii="宋体" w:hAnsi="宋体" w:cs="宋体"/>
                <w:color w:val="auto"/>
                <w:szCs w:val="21"/>
                <w:highlight w:val="none"/>
              </w:rPr>
            </w:pPr>
            <w:r>
              <w:rPr>
                <w:rFonts w:hint="eastAsia" w:ascii="宋体" w:hAnsi="宋体" w:cs="宋体"/>
                <w:color w:val="auto"/>
                <w:szCs w:val="21"/>
                <w:highlight w:val="none"/>
              </w:rPr>
              <w:t>A02021118扫描仪</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30FE0AAC">
            <w:pPr>
              <w:jc w:val="left"/>
              <w:rPr>
                <w:rFonts w:ascii="宋体" w:hAnsi="宋体" w:cs="宋体"/>
                <w:color w:val="auto"/>
                <w:szCs w:val="21"/>
                <w:highlight w:val="none"/>
              </w:rPr>
            </w:pPr>
            <w:r>
              <w:rPr>
                <w:rFonts w:hint="eastAsia" w:ascii="宋体" w:hAnsi="宋体" w:cs="宋体"/>
                <w:color w:val="auto"/>
                <w:w w:val="99"/>
                <w:szCs w:val="21"/>
                <w:highlight w:val="none"/>
              </w:rPr>
              <w:t>参</w:t>
            </w:r>
            <w:r>
              <w:rPr>
                <w:rFonts w:hint="eastAsia" w:ascii="宋体" w:hAnsi="宋体" w:cs="宋体"/>
                <w:color w:val="auto"/>
                <w:spacing w:val="-29"/>
                <w:w w:val="99"/>
                <w:szCs w:val="21"/>
                <w:highlight w:val="none"/>
              </w:rPr>
              <w:t>照</w:t>
            </w:r>
            <w:r>
              <w:rPr>
                <w:rFonts w:hint="eastAsia" w:ascii="宋体" w:hAnsi="宋体" w:cs="宋体"/>
                <w:color w:val="auto"/>
                <w:w w:val="99"/>
                <w:szCs w:val="21"/>
                <w:highlight w:val="none"/>
              </w:rPr>
              <w:t>《</w:t>
            </w:r>
            <w:r>
              <w:rPr>
                <w:rFonts w:hint="eastAsia" w:ascii="宋体" w:hAnsi="宋体" w:cs="宋体"/>
                <w:color w:val="auto"/>
                <w:spacing w:val="2"/>
                <w:w w:val="99"/>
                <w:szCs w:val="21"/>
                <w:highlight w:val="none"/>
              </w:rPr>
              <w:t>复</w:t>
            </w:r>
            <w:r>
              <w:rPr>
                <w:rFonts w:hint="eastAsia" w:ascii="宋体" w:hAnsi="宋体" w:cs="宋体"/>
                <w:color w:val="auto"/>
                <w:w w:val="99"/>
                <w:szCs w:val="21"/>
                <w:highlight w:val="none"/>
              </w:rPr>
              <w:t>印</w:t>
            </w:r>
            <w:r>
              <w:rPr>
                <w:rFonts w:hint="eastAsia" w:ascii="宋体" w:hAnsi="宋体" w:cs="宋体"/>
                <w:color w:val="auto"/>
                <w:spacing w:val="2"/>
                <w:w w:val="99"/>
                <w:szCs w:val="21"/>
                <w:highlight w:val="none"/>
              </w:rPr>
              <w:t>机</w:t>
            </w:r>
            <w:r>
              <w:rPr>
                <w:rFonts w:hint="eastAsia" w:ascii="宋体" w:hAnsi="宋体" w:cs="宋体"/>
                <w:color w:val="auto"/>
                <w:spacing w:val="-29"/>
                <w:w w:val="99"/>
                <w:szCs w:val="21"/>
                <w:highlight w:val="none"/>
              </w:rPr>
              <w:t>、</w:t>
            </w:r>
            <w:r>
              <w:rPr>
                <w:rFonts w:hint="eastAsia" w:ascii="宋体" w:hAnsi="宋体" w:cs="宋体"/>
                <w:color w:val="auto"/>
                <w:w w:val="99"/>
                <w:szCs w:val="21"/>
                <w:highlight w:val="none"/>
              </w:rPr>
              <w:t>打</w:t>
            </w:r>
            <w:r>
              <w:rPr>
                <w:rFonts w:hint="eastAsia" w:ascii="宋体" w:hAnsi="宋体" w:cs="宋体"/>
                <w:color w:val="auto"/>
                <w:spacing w:val="2"/>
                <w:w w:val="99"/>
                <w:szCs w:val="21"/>
                <w:highlight w:val="none"/>
              </w:rPr>
              <w:t>印</w:t>
            </w:r>
            <w:r>
              <w:rPr>
                <w:rFonts w:hint="eastAsia" w:ascii="宋体" w:hAnsi="宋体" w:cs="宋体"/>
                <w:color w:val="auto"/>
                <w:w w:val="99"/>
                <w:szCs w:val="21"/>
                <w:highlight w:val="none"/>
              </w:rPr>
              <w:t>机和</w:t>
            </w:r>
            <w:r>
              <w:rPr>
                <w:rFonts w:hint="eastAsia" w:ascii="宋体" w:hAnsi="宋体" w:cs="宋体"/>
                <w:color w:val="auto"/>
                <w:spacing w:val="2"/>
                <w:w w:val="99"/>
                <w:szCs w:val="21"/>
                <w:highlight w:val="none"/>
              </w:rPr>
              <w:t>传</w:t>
            </w:r>
            <w:r>
              <w:rPr>
                <w:rFonts w:hint="eastAsia" w:ascii="宋体" w:hAnsi="宋体" w:cs="宋体"/>
                <w:color w:val="auto"/>
                <w:w w:val="99"/>
                <w:szCs w:val="21"/>
                <w:highlight w:val="none"/>
              </w:rPr>
              <w:t>真机能效限定</w:t>
            </w:r>
            <w:r>
              <w:rPr>
                <w:rFonts w:hint="eastAsia" w:ascii="宋体" w:hAnsi="宋体" w:cs="宋体"/>
                <w:color w:val="auto"/>
                <w:spacing w:val="2"/>
                <w:w w:val="99"/>
                <w:szCs w:val="21"/>
                <w:highlight w:val="none"/>
              </w:rPr>
              <w:t>值</w:t>
            </w:r>
            <w:r>
              <w:rPr>
                <w:rFonts w:hint="eastAsia" w:ascii="宋体" w:hAnsi="宋体" w:cs="宋体"/>
                <w:color w:val="auto"/>
                <w:w w:val="99"/>
                <w:szCs w:val="21"/>
                <w:highlight w:val="none"/>
              </w:rPr>
              <w:t>及能</w:t>
            </w:r>
            <w:r>
              <w:rPr>
                <w:rFonts w:hint="eastAsia" w:ascii="宋体" w:hAnsi="宋体" w:cs="宋体"/>
                <w:color w:val="auto"/>
                <w:spacing w:val="2"/>
                <w:w w:val="99"/>
                <w:szCs w:val="21"/>
                <w:highlight w:val="none"/>
              </w:rPr>
              <w:t>效</w:t>
            </w:r>
            <w:r>
              <w:rPr>
                <w:rFonts w:hint="eastAsia" w:ascii="宋体" w:hAnsi="宋体" w:cs="宋体"/>
                <w:color w:val="auto"/>
                <w:w w:val="99"/>
                <w:szCs w:val="21"/>
                <w:highlight w:val="none"/>
              </w:rPr>
              <w:t>等级</w:t>
            </w:r>
            <w:r>
              <w:rPr>
                <w:rFonts w:hint="eastAsia" w:ascii="宋体" w:hAnsi="宋体" w:cs="宋体"/>
                <w:color w:val="auto"/>
                <w:spacing w:val="-106"/>
                <w:w w:val="99"/>
                <w:szCs w:val="21"/>
                <w:highlight w:val="none"/>
              </w:rPr>
              <w:t>》</w:t>
            </w:r>
            <w:r>
              <w:rPr>
                <w:rFonts w:hint="eastAsia" w:ascii="宋体" w:hAnsi="宋体" w:cs="宋体"/>
                <w:color w:val="auto"/>
                <w:w w:val="99"/>
                <w:szCs w:val="21"/>
                <w:highlight w:val="none"/>
              </w:rPr>
              <w:t>（</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2152</w:t>
            </w:r>
            <w:r>
              <w:rPr>
                <w:rFonts w:hint="eastAsia" w:ascii="宋体" w:hAnsi="宋体" w:cs="宋体"/>
                <w:color w:val="auto"/>
                <w:w w:val="99"/>
                <w:szCs w:val="21"/>
                <w:highlight w:val="none"/>
              </w:rPr>
              <w:t>1）</w:t>
            </w:r>
            <w:r>
              <w:rPr>
                <w:rFonts w:hint="eastAsia" w:ascii="宋体" w:hAnsi="宋体" w:cs="宋体"/>
                <w:color w:val="auto"/>
                <w:spacing w:val="2"/>
                <w:w w:val="99"/>
                <w:szCs w:val="21"/>
                <w:highlight w:val="none"/>
              </w:rPr>
              <w:t>中</w:t>
            </w:r>
            <w:r>
              <w:rPr>
                <w:rFonts w:hint="eastAsia" w:ascii="宋体" w:hAnsi="宋体" w:cs="宋体"/>
                <w:color w:val="auto"/>
                <w:spacing w:val="4"/>
                <w:w w:val="99"/>
                <w:szCs w:val="21"/>
                <w:highlight w:val="none"/>
              </w:rPr>
              <w:t>打印速</w:t>
            </w:r>
            <w:r>
              <w:rPr>
                <w:rFonts w:hint="eastAsia" w:ascii="宋体" w:hAnsi="宋体" w:cs="宋体"/>
                <w:color w:val="auto"/>
                <w:spacing w:val="2"/>
                <w:w w:val="99"/>
                <w:szCs w:val="21"/>
                <w:highlight w:val="none"/>
              </w:rPr>
              <w:t>度</w:t>
            </w:r>
            <w:r>
              <w:rPr>
                <w:rFonts w:hint="eastAsia" w:ascii="宋体" w:hAnsi="宋体" w:cs="宋体"/>
                <w:color w:val="auto"/>
                <w:w w:val="99"/>
                <w:szCs w:val="21"/>
                <w:highlight w:val="none"/>
              </w:rPr>
              <w:t>为</w:t>
            </w:r>
            <w:r>
              <w:rPr>
                <w:rFonts w:hint="eastAsia" w:ascii="宋体" w:hAnsi="宋体" w:cs="宋体"/>
                <w:color w:val="auto"/>
                <w:spacing w:val="1"/>
                <w:w w:val="99"/>
                <w:szCs w:val="21"/>
                <w:highlight w:val="none"/>
              </w:rPr>
              <w:t>1</w:t>
            </w:r>
            <w:r>
              <w:rPr>
                <w:rFonts w:hint="eastAsia" w:ascii="宋体" w:hAnsi="宋体" w:cs="宋体"/>
                <w:color w:val="auto"/>
                <w:w w:val="99"/>
                <w:szCs w:val="21"/>
                <w:highlight w:val="none"/>
              </w:rPr>
              <w:t>5</w:t>
            </w:r>
            <w:r>
              <w:rPr>
                <w:rFonts w:hint="eastAsia" w:ascii="宋体" w:hAnsi="宋体" w:cs="宋体"/>
                <w:color w:val="auto"/>
                <w:spacing w:val="2"/>
                <w:w w:val="99"/>
                <w:szCs w:val="21"/>
                <w:highlight w:val="none"/>
              </w:rPr>
              <w:t>页</w:t>
            </w:r>
            <w:r>
              <w:rPr>
                <w:rFonts w:hint="eastAsia" w:ascii="宋体" w:hAnsi="宋体" w:cs="宋体"/>
                <w:color w:val="auto"/>
                <w:spacing w:val="5"/>
                <w:w w:val="99"/>
                <w:szCs w:val="21"/>
                <w:highlight w:val="none"/>
              </w:rPr>
              <w:t>/</w:t>
            </w:r>
            <w:r>
              <w:rPr>
                <w:rFonts w:hint="eastAsia" w:ascii="宋体" w:hAnsi="宋体" w:cs="宋体"/>
                <w:color w:val="auto"/>
                <w:spacing w:val="4"/>
                <w:w w:val="99"/>
                <w:szCs w:val="21"/>
                <w:highlight w:val="none"/>
              </w:rPr>
              <w:t>分的</w:t>
            </w:r>
            <w:r>
              <w:rPr>
                <w:rFonts w:hint="eastAsia" w:ascii="宋体" w:hAnsi="宋体" w:cs="宋体"/>
                <w:color w:val="auto"/>
                <w:spacing w:val="2"/>
                <w:w w:val="99"/>
                <w:szCs w:val="21"/>
                <w:highlight w:val="none"/>
              </w:rPr>
              <w:t>针</w:t>
            </w:r>
            <w:r>
              <w:rPr>
                <w:rFonts w:hint="eastAsia" w:ascii="宋体" w:hAnsi="宋体" w:cs="宋体"/>
                <w:color w:val="auto"/>
                <w:spacing w:val="4"/>
                <w:w w:val="99"/>
                <w:szCs w:val="21"/>
                <w:highlight w:val="none"/>
              </w:rPr>
              <w:t>式</w:t>
            </w:r>
            <w:r>
              <w:rPr>
                <w:rFonts w:hint="eastAsia" w:ascii="宋体" w:hAnsi="宋体" w:cs="宋体"/>
                <w:color w:val="auto"/>
                <w:w w:val="99"/>
                <w:szCs w:val="21"/>
                <w:highlight w:val="none"/>
              </w:rPr>
              <w:t>打印机相</w:t>
            </w:r>
            <w:r>
              <w:rPr>
                <w:rFonts w:hint="eastAsia" w:ascii="宋体" w:hAnsi="宋体" w:cs="宋体"/>
                <w:color w:val="auto"/>
                <w:spacing w:val="2"/>
                <w:w w:val="99"/>
                <w:szCs w:val="21"/>
                <w:highlight w:val="none"/>
              </w:rPr>
              <w:t>关</w:t>
            </w:r>
            <w:r>
              <w:rPr>
                <w:rFonts w:hint="eastAsia" w:ascii="宋体" w:hAnsi="宋体" w:cs="宋体"/>
                <w:color w:val="auto"/>
                <w:w w:val="99"/>
                <w:szCs w:val="21"/>
                <w:highlight w:val="none"/>
              </w:rPr>
              <w:t>要求</w:t>
            </w:r>
          </w:p>
        </w:tc>
      </w:tr>
      <w:tr w14:paraId="02956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40480020">
            <w:pPr>
              <w:jc w:val="center"/>
              <w:rPr>
                <w:rFonts w:ascii="宋体" w:hAnsi="宋体" w:cs="宋体"/>
                <w:color w:val="auto"/>
                <w:szCs w:val="21"/>
                <w:highlight w:val="none"/>
              </w:rPr>
            </w:pPr>
            <w:r>
              <w:rPr>
                <w:rFonts w:hint="eastAsia" w:ascii="宋体" w:hAnsi="宋体" w:cs="宋体"/>
                <w:color w:val="auto"/>
                <w:w w:val="99"/>
                <w:szCs w:val="21"/>
                <w:highlight w:val="none"/>
              </w:rPr>
              <w:t>3</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40CCCF9B">
            <w:pPr>
              <w:jc w:val="center"/>
              <w:rPr>
                <w:rFonts w:ascii="宋体" w:hAnsi="宋体" w:cs="宋体"/>
                <w:color w:val="auto"/>
                <w:szCs w:val="21"/>
                <w:highlight w:val="none"/>
              </w:rPr>
            </w:pPr>
            <w:r>
              <w:rPr>
                <w:rFonts w:hint="eastAsia" w:ascii="宋体" w:hAnsi="宋体" w:cs="宋体"/>
                <w:color w:val="auto"/>
                <w:szCs w:val="21"/>
                <w:highlight w:val="none"/>
              </w:rPr>
              <w:t>A02020200投影仪</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6EBBC70D">
            <w:pPr>
              <w:jc w:val="center"/>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EFC7B81">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28F82052">
            <w:pPr>
              <w:jc w:val="left"/>
              <w:rPr>
                <w:rFonts w:ascii="宋体" w:hAnsi="宋体" w:cs="宋体"/>
                <w:color w:val="auto"/>
                <w:szCs w:val="21"/>
                <w:highlight w:val="none"/>
              </w:rPr>
            </w:pPr>
            <w:r>
              <w:rPr>
                <w:rFonts w:hint="eastAsia" w:ascii="宋体" w:hAnsi="宋体" w:cs="宋体"/>
                <w:color w:val="auto"/>
                <w:w w:val="99"/>
                <w:szCs w:val="21"/>
                <w:highlight w:val="none"/>
              </w:rPr>
              <w:t>《投影</w:t>
            </w:r>
            <w:r>
              <w:rPr>
                <w:rFonts w:hint="eastAsia" w:ascii="宋体" w:hAnsi="宋体" w:cs="宋体"/>
                <w:color w:val="auto"/>
                <w:spacing w:val="2"/>
                <w:w w:val="99"/>
                <w:szCs w:val="21"/>
                <w:highlight w:val="none"/>
              </w:rPr>
              <w:t>机</w:t>
            </w:r>
            <w:r>
              <w:rPr>
                <w:rFonts w:hint="eastAsia" w:ascii="宋体" w:hAnsi="宋体" w:cs="宋体"/>
                <w:color w:val="auto"/>
                <w:w w:val="99"/>
                <w:szCs w:val="21"/>
                <w:highlight w:val="none"/>
              </w:rPr>
              <w:t>能效</w:t>
            </w:r>
            <w:r>
              <w:rPr>
                <w:rFonts w:hint="eastAsia" w:ascii="宋体" w:hAnsi="宋体" w:cs="宋体"/>
                <w:color w:val="auto"/>
                <w:spacing w:val="2"/>
                <w:w w:val="99"/>
                <w:szCs w:val="21"/>
                <w:highlight w:val="none"/>
              </w:rPr>
              <w:t>限</w:t>
            </w:r>
            <w:r>
              <w:rPr>
                <w:rFonts w:hint="eastAsia" w:ascii="宋体" w:hAnsi="宋体" w:cs="宋体"/>
                <w:color w:val="auto"/>
                <w:w w:val="99"/>
                <w:szCs w:val="21"/>
                <w:highlight w:val="none"/>
              </w:rPr>
              <w:t>定值</w:t>
            </w:r>
            <w:r>
              <w:rPr>
                <w:rFonts w:hint="eastAsia" w:ascii="宋体" w:hAnsi="宋体" w:cs="宋体"/>
                <w:color w:val="auto"/>
                <w:spacing w:val="2"/>
                <w:w w:val="99"/>
                <w:szCs w:val="21"/>
                <w:highlight w:val="none"/>
              </w:rPr>
              <w:t>及</w:t>
            </w:r>
            <w:r>
              <w:rPr>
                <w:rFonts w:hint="eastAsia" w:ascii="宋体" w:hAnsi="宋体" w:cs="宋体"/>
                <w:color w:val="auto"/>
                <w:w w:val="99"/>
                <w:szCs w:val="21"/>
                <w:highlight w:val="none"/>
              </w:rPr>
              <w:t>能</w:t>
            </w:r>
            <w:r>
              <w:rPr>
                <w:rFonts w:hint="eastAsia" w:ascii="宋体" w:hAnsi="宋体" w:cs="宋体"/>
                <w:color w:val="auto"/>
                <w:spacing w:val="2"/>
                <w:w w:val="99"/>
                <w:szCs w:val="21"/>
                <w:highlight w:val="none"/>
              </w:rPr>
              <w:t>效</w:t>
            </w:r>
            <w:r>
              <w:rPr>
                <w:rFonts w:hint="eastAsia" w:ascii="宋体" w:hAnsi="宋体" w:cs="宋体"/>
                <w:color w:val="auto"/>
                <w:w w:val="99"/>
                <w:szCs w:val="21"/>
                <w:highlight w:val="none"/>
              </w:rPr>
              <w:t>等级》（</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3</w:t>
            </w:r>
            <w:r>
              <w:rPr>
                <w:rFonts w:hint="eastAsia" w:ascii="宋体" w:hAnsi="宋体" w:cs="宋体"/>
                <w:color w:val="auto"/>
                <w:w w:val="99"/>
                <w:szCs w:val="21"/>
                <w:highlight w:val="none"/>
              </w:rPr>
              <w:t>20</w:t>
            </w:r>
            <w:r>
              <w:rPr>
                <w:rFonts w:hint="eastAsia" w:ascii="宋体" w:hAnsi="宋体" w:cs="宋体"/>
                <w:color w:val="auto"/>
                <w:spacing w:val="1"/>
                <w:w w:val="99"/>
                <w:szCs w:val="21"/>
                <w:highlight w:val="none"/>
              </w:rPr>
              <w:t>28</w:t>
            </w:r>
            <w:r>
              <w:rPr>
                <w:rFonts w:hint="eastAsia" w:ascii="宋体" w:hAnsi="宋体" w:cs="宋体"/>
                <w:color w:val="auto"/>
                <w:w w:val="99"/>
                <w:szCs w:val="21"/>
                <w:highlight w:val="none"/>
              </w:rPr>
              <w:t>）</w:t>
            </w:r>
          </w:p>
        </w:tc>
      </w:tr>
      <w:tr w14:paraId="6592E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3182BFB4">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6A7A0B51">
            <w:pPr>
              <w:pStyle w:val="135"/>
              <w:spacing w:before="66"/>
              <w:ind w:left="7"/>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A02020400</w:t>
            </w:r>
            <w:r>
              <w:rPr>
                <w:rFonts w:hint="eastAsia" w:ascii="宋体" w:hAnsi="宋体" w:cs="宋体"/>
                <w:color w:val="auto"/>
                <w:w w:val="99"/>
                <w:kern w:val="2"/>
                <w:sz w:val="21"/>
                <w:szCs w:val="21"/>
                <w:highlight w:val="none"/>
              </w:rPr>
              <w:t>多功能一体机</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5BC04D52">
            <w:pPr>
              <w:jc w:val="center"/>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A40E791">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7DECFF05">
            <w:pPr>
              <w:jc w:val="left"/>
              <w:rPr>
                <w:rFonts w:ascii="宋体" w:hAnsi="宋体" w:cs="宋体"/>
                <w:color w:val="auto"/>
                <w:szCs w:val="21"/>
                <w:highlight w:val="none"/>
              </w:rPr>
            </w:pPr>
            <w:r>
              <w:rPr>
                <w:rFonts w:hint="eastAsia" w:ascii="宋体" w:hAnsi="宋体" w:cs="宋体"/>
                <w:color w:val="auto"/>
                <w:w w:val="99"/>
                <w:szCs w:val="21"/>
                <w:highlight w:val="none"/>
              </w:rPr>
              <w:t>《复印</w:t>
            </w:r>
            <w:r>
              <w:rPr>
                <w:rFonts w:hint="eastAsia" w:ascii="宋体" w:hAnsi="宋体" w:cs="宋体"/>
                <w:color w:val="auto"/>
                <w:spacing w:val="2"/>
                <w:w w:val="99"/>
                <w:szCs w:val="21"/>
                <w:highlight w:val="none"/>
              </w:rPr>
              <w:t>机</w:t>
            </w:r>
            <w:r>
              <w:rPr>
                <w:rFonts w:hint="eastAsia" w:ascii="宋体" w:hAnsi="宋体" w:cs="宋体"/>
                <w:color w:val="auto"/>
                <w:spacing w:val="-58"/>
                <w:w w:val="99"/>
                <w:szCs w:val="21"/>
                <w:highlight w:val="none"/>
              </w:rPr>
              <w:t>、</w:t>
            </w:r>
            <w:r>
              <w:rPr>
                <w:rFonts w:hint="eastAsia" w:ascii="宋体" w:hAnsi="宋体" w:cs="宋体"/>
                <w:color w:val="auto"/>
                <w:spacing w:val="2"/>
                <w:w w:val="99"/>
                <w:szCs w:val="21"/>
                <w:highlight w:val="none"/>
              </w:rPr>
              <w:t>打</w:t>
            </w:r>
            <w:r>
              <w:rPr>
                <w:rFonts w:hint="eastAsia" w:ascii="宋体" w:hAnsi="宋体" w:cs="宋体"/>
                <w:color w:val="auto"/>
                <w:w w:val="99"/>
                <w:szCs w:val="21"/>
                <w:highlight w:val="none"/>
              </w:rPr>
              <w:t>印机</w:t>
            </w:r>
            <w:r>
              <w:rPr>
                <w:rFonts w:hint="eastAsia" w:ascii="宋体" w:hAnsi="宋体" w:cs="宋体"/>
                <w:color w:val="auto"/>
                <w:spacing w:val="2"/>
                <w:w w:val="99"/>
                <w:szCs w:val="21"/>
                <w:highlight w:val="none"/>
              </w:rPr>
              <w:t>和</w:t>
            </w:r>
            <w:r>
              <w:rPr>
                <w:rFonts w:hint="eastAsia" w:ascii="宋体" w:hAnsi="宋体" w:cs="宋体"/>
                <w:color w:val="auto"/>
                <w:w w:val="99"/>
                <w:szCs w:val="21"/>
                <w:highlight w:val="none"/>
              </w:rPr>
              <w:t>传真</w:t>
            </w:r>
            <w:r>
              <w:rPr>
                <w:rFonts w:hint="eastAsia" w:ascii="宋体" w:hAnsi="宋体" w:cs="宋体"/>
                <w:color w:val="auto"/>
                <w:spacing w:val="2"/>
                <w:w w:val="99"/>
                <w:szCs w:val="21"/>
                <w:highlight w:val="none"/>
              </w:rPr>
              <w:t>机</w:t>
            </w:r>
            <w:r>
              <w:rPr>
                <w:rFonts w:hint="eastAsia" w:ascii="宋体" w:hAnsi="宋体" w:cs="宋体"/>
                <w:color w:val="auto"/>
                <w:w w:val="99"/>
                <w:szCs w:val="21"/>
                <w:highlight w:val="none"/>
              </w:rPr>
              <w:t>能效限定值及</w:t>
            </w:r>
            <w:r>
              <w:rPr>
                <w:rFonts w:hint="eastAsia" w:ascii="宋体" w:hAnsi="宋体" w:cs="宋体"/>
                <w:color w:val="auto"/>
                <w:spacing w:val="2"/>
                <w:w w:val="99"/>
                <w:szCs w:val="21"/>
                <w:highlight w:val="none"/>
              </w:rPr>
              <w:t>能</w:t>
            </w:r>
            <w:r>
              <w:rPr>
                <w:rFonts w:hint="eastAsia" w:ascii="宋体" w:hAnsi="宋体" w:cs="宋体"/>
                <w:color w:val="auto"/>
                <w:w w:val="99"/>
                <w:szCs w:val="21"/>
                <w:highlight w:val="none"/>
              </w:rPr>
              <w:t>效等</w:t>
            </w:r>
            <w:r>
              <w:rPr>
                <w:rFonts w:hint="eastAsia" w:ascii="宋体" w:hAnsi="宋体" w:cs="宋体"/>
                <w:color w:val="auto"/>
                <w:spacing w:val="2"/>
                <w:w w:val="99"/>
                <w:szCs w:val="21"/>
                <w:highlight w:val="none"/>
              </w:rPr>
              <w:t>级</w:t>
            </w:r>
            <w:r>
              <w:rPr>
                <w:rFonts w:hint="eastAsia" w:ascii="宋体" w:hAnsi="宋体" w:cs="宋体"/>
                <w:color w:val="auto"/>
                <w:w w:val="99"/>
                <w:szCs w:val="21"/>
                <w:highlight w:val="none"/>
              </w:rPr>
              <w:t>》（</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21</w:t>
            </w:r>
            <w:r>
              <w:rPr>
                <w:rFonts w:hint="eastAsia" w:ascii="宋体" w:hAnsi="宋体" w:cs="宋体"/>
                <w:color w:val="auto"/>
                <w:w w:val="99"/>
                <w:szCs w:val="21"/>
                <w:highlight w:val="none"/>
              </w:rPr>
              <w:t>52</w:t>
            </w:r>
            <w:r>
              <w:rPr>
                <w:rFonts w:hint="eastAsia" w:ascii="宋体" w:hAnsi="宋体" w:cs="宋体"/>
                <w:color w:val="auto"/>
                <w:spacing w:val="1"/>
                <w:w w:val="99"/>
                <w:szCs w:val="21"/>
                <w:highlight w:val="none"/>
              </w:rPr>
              <w:t>1</w:t>
            </w:r>
            <w:r>
              <w:rPr>
                <w:rFonts w:hint="eastAsia" w:ascii="宋体" w:hAnsi="宋体" w:cs="宋体"/>
                <w:color w:val="auto"/>
                <w:w w:val="99"/>
                <w:szCs w:val="21"/>
                <w:highlight w:val="none"/>
              </w:rPr>
              <w:t>）</w:t>
            </w:r>
          </w:p>
        </w:tc>
      </w:tr>
      <w:tr w14:paraId="6004B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45A9281C">
            <w:pPr>
              <w:pStyle w:val="135"/>
              <w:spacing w:before="160"/>
              <w:ind w:right="1"/>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5</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552C6FE6">
            <w:pPr>
              <w:pStyle w:val="135"/>
              <w:spacing w:before="160"/>
              <w:ind w:left="7"/>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A02051900</w:t>
            </w:r>
            <w:r>
              <w:rPr>
                <w:rFonts w:hint="eastAsia" w:ascii="宋体" w:hAnsi="宋体" w:cs="宋体"/>
                <w:color w:val="auto"/>
                <w:w w:val="99"/>
                <w:kern w:val="2"/>
                <w:sz w:val="21"/>
                <w:szCs w:val="21"/>
                <w:highlight w:val="none"/>
              </w:rPr>
              <w:t>泵</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757FE8A7">
            <w:pPr>
              <w:pStyle w:val="135"/>
              <w:spacing w:before="160"/>
              <w:ind w:left="7"/>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A02</w:t>
            </w:r>
            <w:r>
              <w:rPr>
                <w:rFonts w:hint="eastAsia" w:ascii="宋体" w:hAnsi="宋体" w:cs="宋体"/>
                <w:color w:val="auto"/>
                <w:w w:val="99"/>
                <w:kern w:val="2"/>
                <w:sz w:val="21"/>
                <w:szCs w:val="21"/>
                <w:highlight w:val="none"/>
              </w:rPr>
              <w:t>05</w:t>
            </w: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901离心泵</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7B502B1">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783B79FC">
            <w:pPr>
              <w:pStyle w:val="135"/>
              <w:spacing w:before="4"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《清水离心泵能效限定</w:t>
            </w:r>
            <w:r>
              <w:rPr>
                <w:rFonts w:hint="eastAsia" w:ascii="宋体" w:hAnsi="宋体" w:cs="宋体"/>
                <w:color w:val="auto"/>
                <w:spacing w:val="9"/>
                <w:w w:val="99"/>
                <w:kern w:val="2"/>
                <w:sz w:val="21"/>
                <w:szCs w:val="21"/>
                <w:highlight w:val="none"/>
                <w:lang w:eastAsia="zh-CN"/>
              </w:rPr>
              <w:t>值</w:t>
            </w:r>
            <w:r>
              <w:rPr>
                <w:rFonts w:hint="eastAsia" w:ascii="宋体" w:hAnsi="宋体" w:cs="宋体"/>
                <w:color w:val="auto"/>
                <w:spacing w:val="12"/>
                <w:w w:val="99"/>
                <w:kern w:val="2"/>
                <w:sz w:val="21"/>
                <w:szCs w:val="21"/>
                <w:highlight w:val="none"/>
                <w:lang w:eastAsia="zh-CN"/>
              </w:rPr>
              <w:t>及节</w:t>
            </w:r>
            <w:r>
              <w:rPr>
                <w:rFonts w:hint="eastAsia" w:ascii="宋体" w:hAnsi="宋体" w:cs="宋体"/>
                <w:color w:val="auto"/>
                <w:w w:val="99"/>
                <w:kern w:val="2"/>
                <w:sz w:val="21"/>
                <w:szCs w:val="21"/>
                <w:highlight w:val="none"/>
                <w:lang w:eastAsia="zh-CN"/>
              </w:rPr>
              <w:t>能评价值</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19</w:t>
            </w:r>
            <w:r>
              <w:rPr>
                <w:rFonts w:hint="eastAsia" w:ascii="宋体" w:hAnsi="宋体" w:cs="宋体"/>
                <w:color w:val="auto"/>
                <w:w w:val="99"/>
                <w:kern w:val="2"/>
                <w:sz w:val="21"/>
                <w:szCs w:val="21"/>
                <w:highlight w:val="none"/>
                <w:lang w:eastAsia="zh-CN"/>
              </w:rPr>
              <w:t>76</w:t>
            </w:r>
            <w:r>
              <w:rPr>
                <w:rFonts w:hint="eastAsia" w:ascii="宋体" w:hAnsi="宋体" w:cs="宋体"/>
                <w:color w:val="auto"/>
                <w:spacing w:val="1"/>
                <w:w w:val="99"/>
                <w:kern w:val="2"/>
                <w:sz w:val="21"/>
                <w:szCs w:val="21"/>
                <w:highlight w:val="none"/>
                <w:lang w:eastAsia="zh-CN"/>
              </w:rPr>
              <w:t>2</w:t>
            </w:r>
            <w:r>
              <w:rPr>
                <w:rFonts w:hint="eastAsia" w:ascii="宋体" w:hAnsi="宋体" w:cs="宋体"/>
                <w:color w:val="auto"/>
                <w:w w:val="99"/>
                <w:kern w:val="2"/>
                <w:sz w:val="21"/>
                <w:szCs w:val="21"/>
                <w:highlight w:val="none"/>
                <w:lang w:eastAsia="zh-CN"/>
              </w:rPr>
              <w:t>）</w:t>
            </w:r>
          </w:p>
        </w:tc>
      </w:tr>
      <w:tr w14:paraId="13D85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ign w:val="center"/>
          </w:tcPr>
          <w:p w14:paraId="06CEDFBB">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1422" w:type="dxa"/>
            <w:vMerge w:val="restart"/>
            <w:tcBorders>
              <w:top w:val="single" w:color="000000" w:sz="4" w:space="0"/>
              <w:left w:val="single" w:color="000000" w:sz="4" w:space="0"/>
              <w:bottom w:val="single" w:color="000000" w:sz="4" w:space="0"/>
              <w:right w:val="single" w:color="000000" w:sz="4" w:space="0"/>
            </w:tcBorders>
            <w:noWrap/>
            <w:vAlign w:val="center"/>
          </w:tcPr>
          <w:p w14:paraId="4B3F609F">
            <w:pPr>
              <w:pStyle w:val="135"/>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A02052300</w:t>
            </w:r>
            <w:r>
              <w:rPr>
                <w:rFonts w:hint="eastAsia" w:ascii="宋体" w:hAnsi="宋体" w:cs="宋体"/>
                <w:color w:val="auto"/>
                <w:w w:val="99"/>
                <w:kern w:val="2"/>
                <w:sz w:val="21"/>
                <w:szCs w:val="21"/>
                <w:highlight w:val="none"/>
              </w:rPr>
              <w:t>制冷空调设备</w:t>
            </w:r>
          </w:p>
        </w:tc>
        <w:tc>
          <w:tcPr>
            <w:tcW w:w="1496" w:type="dxa"/>
            <w:vMerge w:val="restart"/>
            <w:tcBorders>
              <w:top w:val="single" w:color="000000" w:sz="4" w:space="0"/>
              <w:left w:val="single" w:color="000000" w:sz="4" w:space="0"/>
              <w:bottom w:val="single" w:color="000000" w:sz="4" w:space="0"/>
              <w:right w:val="single" w:color="000000" w:sz="4" w:space="0"/>
            </w:tcBorders>
            <w:noWrap/>
            <w:vAlign w:val="center"/>
          </w:tcPr>
          <w:p w14:paraId="1AD7DB19">
            <w:pPr>
              <w:pStyle w:val="135"/>
              <w:spacing w:line="276" w:lineRule="auto"/>
              <w:ind w:right="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spacing w:val="1"/>
                <w:w w:val="99"/>
                <w:kern w:val="2"/>
                <w:sz w:val="21"/>
                <w:szCs w:val="21"/>
                <w:highlight w:val="none"/>
              </w:rPr>
              <w:t>A020</w:t>
            </w:r>
            <w:r>
              <w:rPr>
                <w:rFonts w:hint="eastAsia" w:ascii="宋体" w:hAnsi="宋体" w:cs="宋体"/>
                <w:color w:val="auto"/>
                <w:w w:val="99"/>
                <w:kern w:val="2"/>
                <w:sz w:val="21"/>
                <w:szCs w:val="21"/>
                <w:highlight w:val="none"/>
              </w:rPr>
              <w:t>52</w:t>
            </w:r>
            <w:r>
              <w:rPr>
                <w:rFonts w:hint="eastAsia" w:ascii="宋体" w:hAnsi="宋体" w:cs="宋体"/>
                <w:color w:val="auto"/>
                <w:spacing w:val="1"/>
                <w:w w:val="99"/>
                <w:kern w:val="2"/>
                <w:sz w:val="21"/>
                <w:szCs w:val="21"/>
                <w:highlight w:val="none"/>
              </w:rPr>
              <w:t>3</w:t>
            </w:r>
            <w:r>
              <w:rPr>
                <w:rFonts w:hint="eastAsia" w:ascii="宋体" w:hAnsi="宋体" w:cs="宋体"/>
                <w:color w:val="auto"/>
                <w:w w:val="99"/>
                <w:kern w:val="2"/>
                <w:sz w:val="21"/>
                <w:szCs w:val="21"/>
                <w:highlight w:val="none"/>
              </w:rPr>
              <w:t>01制冷压缩机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8B752BC">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冷水机组</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0C62AB11">
            <w:pPr>
              <w:pStyle w:val="135"/>
              <w:spacing w:before="30"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《冷水机组能效限定值</w:t>
            </w:r>
            <w:r>
              <w:rPr>
                <w:rFonts w:hint="eastAsia" w:ascii="宋体" w:hAnsi="宋体" w:cs="宋体"/>
                <w:color w:val="auto"/>
                <w:spacing w:val="9"/>
                <w:w w:val="99"/>
                <w:kern w:val="2"/>
                <w:sz w:val="21"/>
                <w:szCs w:val="21"/>
                <w:highlight w:val="none"/>
                <w:lang w:eastAsia="zh-CN"/>
              </w:rPr>
              <w:t>及</w:t>
            </w:r>
            <w:r>
              <w:rPr>
                <w:rFonts w:hint="eastAsia" w:ascii="宋体" w:hAnsi="宋体" w:cs="宋体"/>
                <w:color w:val="auto"/>
                <w:spacing w:val="12"/>
                <w:w w:val="99"/>
                <w:kern w:val="2"/>
                <w:sz w:val="21"/>
                <w:szCs w:val="21"/>
                <w:highlight w:val="none"/>
                <w:lang w:eastAsia="zh-CN"/>
              </w:rPr>
              <w:t>能效</w:t>
            </w:r>
            <w:r>
              <w:rPr>
                <w:rFonts w:hint="eastAsia" w:ascii="宋体" w:hAnsi="宋体" w:cs="宋体"/>
                <w:color w:val="auto"/>
                <w:w w:val="99"/>
                <w:kern w:val="2"/>
                <w:sz w:val="21"/>
                <w:szCs w:val="21"/>
                <w:highlight w:val="none"/>
                <w:lang w:eastAsia="zh-CN"/>
              </w:rPr>
              <w:t>等级</w:t>
            </w:r>
            <w:r>
              <w:rPr>
                <w:rFonts w:hint="eastAsia" w:ascii="宋体" w:hAnsi="宋体" w:cs="宋体"/>
                <w:color w:val="auto"/>
                <w:spacing w:val="-3"/>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195</w:t>
            </w:r>
            <w:r>
              <w:rPr>
                <w:rFonts w:hint="eastAsia" w:ascii="宋体" w:hAnsi="宋体" w:cs="宋体"/>
                <w:color w:val="auto"/>
                <w:w w:val="99"/>
                <w:kern w:val="2"/>
                <w:sz w:val="21"/>
                <w:szCs w:val="21"/>
                <w:highlight w:val="none"/>
                <w:lang w:eastAsia="zh-CN"/>
              </w:rPr>
              <w:t>77</w:t>
            </w:r>
            <w:r>
              <w:rPr>
                <w:rFonts w:hint="eastAsia" w:ascii="宋体" w:hAnsi="宋体" w:cs="宋体"/>
                <w:color w:val="auto"/>
                <w:spacing w:val="-3"/>
                <w:w w:val="99"/>
                <w:kern w:val="2"/>
                <w:sz w:val="21"/>
                <w:szCs w:val="21"/>
                <w:highlight w:val="none"/>
                <w:lang w:eastAsia="zh-CN"/>
              </w:rPr>
              <w:t>），</w:t>
            </w:r>
            <w:r>
              <w:rPr>
                <w:rFonts w:hint="eastAsia" w:ascii="宋体" w:hAnsi="宋体" w:cs="宋体"/>
                <w:color w:val="auto"/>
                <w:w w:val="99"/>
                <w:kern w:val="2"/>
                <w:sz w:val="21"/>
                <w:szCs w:val="21"/>
                <w:highlight w:val="none"/>
                <w:lang w:eastAsia="zh-CN"/>
              </w:rPr>
              <w:t>《低</w:t>
            </w:r>
            <w:r>
              <w:rPr>
                <w:rFonts w:hint="eastAsia" w:ascii="宋体" w:hAnsi="宋体" w:cs="宋体"/>
                <w:color w:val="auto"/>
                <w:spacing w:val="2"/>
                <w:w w:val="99"/>
                <w:kern w:val="2"/>
                <w:sz w:val="21"/>
                <w:szCs w:val="21"/>
                <w:highlight w:val="none"/>
                <w:lang w:eastAsia="zh-CN"/>
              </w:rPr>
              <w:t>环</w:t>
            </w:r>
            <w:r>
              <w:rPr>
                <w:rFonts w:hint="eastAsia" w:ascii="宋体" w:hAnsi="宋体" w:cs="宋体"/>
                <w:color w:val="auto"/>
                <w:w w:val="99"/>
                <w:kern w:val="2"/>
                <w:sz w:val="21"/>
                <w:szCs w:val="21"/>
                <w:highlight w:val="none"/>
                <w:lang w:eastAsia="zh-CN"/>
              </w:rPr>
              <w:t>境温度空气源</w:t>
            </w:r>
            <w:r>
              <w:rPr>
                <w:rFonts w:hint="eastAsia" w:ascii="宋体" w:hAnsi="宋体" w:cs="宋体"/>
                <w:color w:val="auto"/>
                <w:spacing w:val="2"/>
                <w:w w:val="99"/>
                <w:kern w:val="2"/>
                <w:sz w:val="21"/>
                <w:szCs w:val="21"/>
                <w:highlight w:val="none"/>
                <w:lang w:eastAsia="zh-CN"/>
              </w:rPr>
              <w:t>热</w:t>
            </w:r>
            <w:r>
              <w:rPr>
                <w:rFonts w:hint="eastAsia" w:ascii="宋体" w:hAnsi="宋体" w:cs="宋体"/>
                <w:color w:val="auto"/>
                <w:spacing w:val="-29"/>
                <w:w w:val="99"/>
                <w:kern w:val="2"/>
                <w:sz w:val="21"/>
                <w:szCs w:val="21"/>
                <w:highlight w:val="none"/>
                <w:lang w:eastAsia="zh-CN"/>
              </w:rPr>
              <w:t>泵</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冷水</w:t>
            </w:r>
            <w:r>
              <w:rPr>
                <w:rFonts w:hint="eastAsia" w:ascii="宋体" w:hAnsi="宋体" w:cs="宋体"/>
                <w:color w:val="auto"/>
                <w:spacing w:val="-27"/>
                <w:w w:val="99"/>
                <w:kern w:val="2"/>
                <w:sz w:val="21"/>
                <w:szCs w:val="21"/>
                <w:highlight w:val="none"/>
                <w:lang w:eastAsia="zh-CN"/>
              </w:rPr>
              <w:t>）</w:t>
            </w:r>
            <w:r>
              <w:rPr>
                <w:rFonts w:hint="eastAsia" w:ascii="宋体" w:hAnsi="宋体" w:cs="宋体"/>
                <w:color w:val="auto"/>
                <w:w w:val="99"/>
                <w:kern w:val="2"/>
                <w:sz w:val="21"/>
                <w:szCs w:val="21"/>
                <w:highlight w:val="none"/>
                <w:lang w:eastAsia="zh-CN"/>
              </w:rPr>
              <w:t>机组</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效限定值及能</w:t>
            </w:r>
            <w:r>
              <w:rPr>
                <w:rFonts w:hint="eastAsia" w:ascii="宋体" w:hAnsi="宋体" w:cs="宋体"/>
                <w:color w:val="auto"/>
                <w:spacing w:val="2"/>
                <w:w w:val="99"/>
                <w:kern w:val="2"/>
                <w:sz w:val="21"/>
                <w:szCs w:val="21"/>
                <w:highlight w:val="none"/>
                <w:lang w:eastAsia="zh-CN"/>
              </w:rPr>
              <w:t>效</w:t>
            </w:r>
            <w:r>
              <w:rPr>
                <w:rFonts w:hint="eastAsia" w:ascii="宋体" w:hAnsi="宋体" w:cs="宋体"/>
                <w:color w:val="auto"/>
                <w:w w:val="99"/>
                <w:kern w:val="2"/>
                <w:sz w:val="21"/>
                <w:szCs w:val="21"/>
                <w:highlight w:val="none"/>
                <w:lang w:eastAsia="zh-CN"/>
              </w:rPr>
              <w:t>等级</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37</w:t>
            </w:r>
            <w:r>
              <w:rPr>
                <w:rFonts w:hint="eastAsia" w:ascii="宋体" w:hAnsi="宋体" w:cs="宋体"/>
                <w:color w:val="auto"/>
                <w:w w:val="99"/>
                <w:kern w:val="2"/>
                <w:sz w:val="21"/>
                <w:szCs w:val="21"/>
                <w:highlight w:val="none"/>
                <w:lang w:eastAsia="zh-CN"/>
              </w:rPr>
              <w:t>48</w:t>
            </w:r>
            <w:r>
              <w:rPr>
                <w:rFonts w:hint="eastAsia" w:ascii="宋体" w:hAnsi="宋体" w:cs="宋体"/>
                <w:color w:val="auto"/>
                <w:spacing w:val="-2"/>
                <w:w w:val="99"/>
                <w:kern w:val="2"/>
                <w:sz w:val="21"/>
                <w:szCs w:val="21"/>
                <w:highlight w:val="none"/>
                <w:lang w:eastAsia="zh-CN"/>
              </w:rPr>
              <w:t>0</w:t>
            </w:r>
            <w:r>
              <w:rPr>
                <w:rFonts w:hint="eastAsia" w:ascii="宋体" w:hAnsi="宋体" w:cs="宋体"/>
                <w:color w:val="auto"/>
                <w:w w:val="99"/>
                <w:kern w:val="2"/>
                <w:sz w:val="21"/>
                <w:szCs w:val="21"/>
                <w:highlight w:val="none"/>
                <w:lang w:eastAsia="zh-CN"/>
              </w:rPr>
              <w:t>）</w:t>
            </w:r>
          </w:p>
        </w:tc>
      </w:tr>
      <w:tr w14:paraId="3F911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F32F070">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7BB7865">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B76BC2F">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DA3B0C4">
            <w:pPr>
              <w:jc w:val="center"/>
              <w:rPr>
                <w:rFonts w:ascii="宋体" w:hAnsi="宋体" w:cs="宋体"/>
                <w:color w:val="auto"/>
                <w:szCs w:val="21"/>
                <w:highlight w:val="none"/>
              </w:rPr>
            </w:pPr>
            <w:r>
              <w:rPr>
                <w:rFonts w:hint="eastAsia" w:ascii="宋体" w:hAnsi="宋体" w:cs="宋体"/>
                <w:color w:val="auto"/>
                <w:szCs w:val="21"/>
                <w:highlight w:val="none"/>
              </w:rPr>
              <w:t>溴化锂吸收式冷水机组</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634A8C44">
            <w:pPr>
              <w:pStyle w:val="135"/>
              <w:spacing w:before="93"/>
              <w:ind w:left="7"/>
              <w:rPr>
                <w:rFonts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《溴化锂吸收式冷水机组能效限</w:t>
            </w:r>
          </w:p>
          <w:p w14:paraId="4111E009">
            <w:pPr>
              <w:jc w:val="left"/>
              <w:rPr>
                <w:rFonts w:ascii="宋体" w:hAnsi="宋体" w:cs="宋体"/>
                <w:color w:val="auto"/>
                <w:szCs w:val="21"/>
                <w:highlight w:val="none"/>
              </w:rPr>
            </w:pPr>
            <w:r>
              <w:rPr>
                <w:rFonts w:hint="eastAsia" w:ascii="宋体" w:hAnsi="宋体" w:cs="宋体"/>
                <w:color w:val="auto"/>
                <w:w w:val="99"/>
                <w:szCs w:val="21"/>
                <w:highlight w:val="none"/>
              </w:rPr>
              <w:t>定值及能效等级》（GB29540）</w:t>
            </w:r>
          </w:p>
        </w:tc>
      </w:tr>
      <w:tr w14:paraId="6FDFE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93363F6">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BC41AA7">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noWrap/>
            <w:vAlign w:val="center"/>
          </w:tcPr>
          <w:p w14:paraId="44EC398E">
            <w:pPr>
              <w:pStyle w:val="135"/>
              <w:spacing w:line="276" w:lineRule="auto"/>
              <w:ind w:right="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★A02052305空调机组</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4ED962E">
            <w:pPr>
              <w:pStyle w:val="135"/>
              <w:spacing w:before="4" w:line="276" w:lineRule="auto"/>
              <w:ind w:left="7" w:right="7"/>
              <w:jc w:val="center"/>
              <w:rPr>
                <w:rFonts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多联式空调（热泵）机组（制冷量&gt;14000W）</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15C32F5F">
            <w:pPr>
              <w:pStyle w:val="135"/>
              <w:spacing w:before="160" w:line="276" w:lineRule="auto"/>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《多联式空调（热泵）机组能效限定值及能源效率等级》（GB21454）</w:t>
            </w:r>
          </w:p>
        </w:tc>
      </w:tr>
      <w:tr w14:paraId="03454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95FD868">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672682A">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D9764B9">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2D7F74B">
            <w:pPr>
              <w:jc w:val="center"/>
              <w:rPr>
                <w:rFonts w:ascii="宋体" w:hAnsi="宋体" w:cs="宋体"/>
                <w:color w:val="auto"/>
                <w:szCs w:val="21"/>
                <w:highlight w:val="none"/>
              </w:rPr>
            </w:pPr>
            <w:r>
              <w:rPr>
                <w:rFonts w:hint="eastAsia" w:ascii="宋体" w:hAnsi="宋体" w:cs="宋体"/>
                <w:color w:val="auto"/>
                <w:w w:val="99"/>
                <w:szCs w:val="21"/>
                <w:highlight w:val="none"/>
              </w:rPr>
              <w:t>单元式空气调节机</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2AD22033">
            <w:pPr>
              <w:jc w:val="left"/>
              <w:rPr>
                <w:rFonts w:ascii="宋体" w:hAnsi="宋体" w:cs="宋体"/>
                <w:color w:val="auto"/>
                <w:szCs w:val="21"/>
                <w:highlight w:val="none"/>
              </w:rPr>
            </w:pPr>
            <w:r>
              <w:rPr>
                <w:rFonts w:hint="eastAsia" w:ascii="宋体" w:hAnsi="宋体" w:cs="宋体"/>
                <w:color w:val="auto"/>
                <w:w w:val="99"/>
                <w:szCs w:val="21"/>
                <w:highlight w:val="none"/>
              </w:rPr>
              <w:t>《单元式空气调节机能效限定值及能效等级》（GB19576）《风管送风式空调机组能效限定值及能效等级》（GB37479）</w:t>
            </w:r>
          </w:p>
        </w:tc>
      </w:tr>
      <w:tr w14:paraId="7ED7F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4FA916A">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59942E9">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72BEEFFF">
            <w:pPr>
              <w:pStyle w:val="135"/>
              <w:spacing w:before="83"/>
              <w:ind w:left="7"/>
              <w:jc w:val="center"/>
              <w:rPr>
                <w:rFonts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★A02052309专用制冷、空调设备</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1013A7B">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机房空调</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67F4A430">
            <w:pPr>
              <w:pStyle w:val="135"/>
              <w:spacing w:before="83"/>
              <w:ind w:left="7"/>
              <w:rPr>
                <w:rFonts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《单元式空气调节机能效限定值</w:t>
            </w:r>
          </w:p>
          <w:p w14:paraId="3C2653F5">
            <w:pPr>
              <w:pStyle w:val="135"/>
              <w:spacing w:before="83"/>
              <w:ind w:lef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及能效等级》（GB19576）</w:t>
            </w:r>
          </w:p>
        </w:tc>
      </w:tr>
      <w:tr w14:paraId="1100E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1D93680">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F998CEF">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1E1BF720">
            <w:pPr>
              <w:pStyle w:val="135"/>
              <w:spacing w:line="254" w:lineRule="exact"/>
              <w:ind w:left="7"/>
              <w:jc w:val="center"/>
              <w:rPr>
                <w:rFonts w:ascii="宋体" w:hAnsi="宋体" w:cs="宋体"/>
                <w:color w:val="auto"/>
                <w:w w:val="99"/>
                <w:kern w:val="2"/>
                <w:sz w:val="21"/>
                <w:szCs w:val="21"/>
                <w:highlight w:val="none"/>
              </w:rPr>
            </w:pPr>
            <w:r>
              <w:rPr>
                <w:rFonts w:hint="eastAsia" w:ascii="宋体" w:hAnsi="宋体" w:cs="宋体"/>
                <w:color w:val="auto"/>
                <w:w w:val="99"/>
                <w:kern w:val="2"/>
                <w:sz w:val="21"/>
                <w:szCs w:val="21"/>
                <w:highlight w:val="none"/>
              </w:rPr>
              <w:t>A02052399其他制冷</w:t>
            </w:r>
          </w:p>
          <w:p w14:paraId="2DECB61B">
            <w:pPr>
              <w:pStyle w:val="135"/>
              <w:spacing w:line="254" w:lineRule="exact"/>
              <w:ind w:left="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空调设备</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983C849">
            <w:pPr>
              <w:widowControl/>
              <w:jc w:val="center"/>
              <w:rPr>
                <w:rFonts w:ascii="宋体" w:hAnsi="宋体" w:cs="宋体"/>
                <w:color w:val="auto"/>
                <w:szCs w:val="21"/>
                <w:highlight w:val="none"/>
                <w:lang w:eastAsia="en-US"/>
              </w:rPr>
            </w:pPr>
            <w:r>
              <w:rPr>
                <w:rFonts w:hint="eastAsia" w:ascii="宋体" w:hAnsi="宋体" w:cs="宋体"/>
                <w:color w:val="auto"/>
                <w:w w:val="99"/>
                <w:szCs w:val="21"/>
                <w:highlight w:val="none"/>
              </w:rPr>
              <w:t>冷却塔</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14167344">
            <w:pPr>
              <w:pStyle w:val="135"/>
              <w:spacing w:line="254" w:lineRule="exact"/>
              <w:ind w:left="7"/>
              <w:rPr>
                <w:rFonts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《机械通风冷却塔第1部分：中小型开式冷却塔》（GB/T7190.1）</w:t>
            </w:r>
          </w:p>
          <w:p w14:paraId="04120D04">
            <w:pPr>
              <w:pStyle w:val="135"/>
              <w:spacing w:line="254" w:lineRule="exact"/>
              <w:ind w:lef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《机械通风冷却塔第2部分：大型开式冷却塔》（GB/T7190.2）</w:t>
            </w:r>
          </w:p>
        </w:tc>
      </w:tr>
      <w:tr w14:paraId="70FFB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6826C60A">
            <w:pPr>
              <w:pStyle w:val="135"/>
              <w:ind w:right="1"/>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7</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10C4C861">
            <w:pPr>
              <w:pStyle w:val="135"/>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A02060100</w:t>
            </w:r>
            <w:r>
              <w:rPr>
                <w:rFonts w:hint="eastAsia" w:ascii="宋体" w:hAnsi="宋体" w:cs="宋体"/>
                <w:color w:val="auto"/>
                <w:w w:val="99"/>
                <w:kern w:val="2"/>
                <w:sz w:val="21"/>
                <w:szCs w:val="21"/>
                <w:highlight w:val="none"/>
              </w:rPr>
              <w:t>电机</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607FF012">
            <w:pPr>
              <w:jc w:val="center"/>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93B8A9F">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2BF892BA">
            <w:pPr>
              <w:pStyle w:val="135"/>
              <w:spacing w:before="52" w:line="276" w:lineRule="auto"/>
              <w:ind w:left="7" w:right="4"/>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《中小型三相异步电动机能效限定值及能效等级》（GB18613）</w:t>
            </w:r>
          </w:p>
        </w:tc>
      </w:tr>
      <w:tr w14:paraId="772CA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48D66AD4">
            <w:pPr>
              <w:pStyle w:val="135"/>
              <w:ind w:right="1"/>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8</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06476468">
            <w:pPr>
              <w:pStyle w:val="135"/>
              <w:spacing w:before="30"/>
              <w:ind w:left="7"/>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A02060200</w:t>
            </w:r>
            <w:r>
              <w:rPr>
                <w:rFonts w:hint="eastAsia" w:ascii="宋体" w:hAnsi="宋体" w:cs="宋体"/>
                <w:color w:val="auto"/>
                <w:w w:val="99"/>
                <w:kern w:val="2"/>
                <w:sz w:val="21"/>
                <w:szCs w:val="21"/>
                <w:highlight w:val="none"/>
              </w:rPr>
              <w:t>变压</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4076531D">
            <w:pPr>
              <w:pStyle w:val="135"/>
              <w:jc w:val="center"/>
              <w:rPr>
                <w:rFonts w:ascii="宋体" w:hAnsi="宋体" w:cs="宋体"/>
                <w:color w:val="auto"/>
                <w:kern w:val="2"/>
                <w:sz w:val="21"/>
                <w:szCs w:val="21"/>
                <w:highlight w:val="none"/>
              </w:rPr>
            </w:pPr>
            <w:r>
              <w:rPr>
                <w:rFonts w:hint="eastAsia" w:ascii="宋体" w:hAnsi="宋体" w:cs="宋体"/>
                <w:color w:val="auto"/>
                <w:w w:val="99"/>
                <w:szCs w:val="21"/>
                <w:highlight w:val="none"/>
              </w:rPr>
              <w:t>★</w:t>
            </w:r>
            <w:r>
              <w:rPr>
                <w:rFonts w:hint="eastAsia" w:ascii="宋体" w:hAnsi="宋体" w:cs="宋体"/>
                <w:color w:val="auto"/>
                <w:w w:val="99"/>
                <w:kern w:val="2"/>
                <w:sz w:val="21"/>
                <w:szCs w:val="21"/>
                <w:highlight w:val="none"/>
              </w:rPr>
              <w:t>配电变压器</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5FBF092">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2A1F6154">
            <w:pPr>
              <w:pStyle w:val="135"/>
              <w:spacing w:before="30"/>
              <w:ind w:lef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《三相配电变压器能效限定值及</w:t>
            </w:r>
          </w:p>
        </w:tc>
      </w:tr>
      <w:tr w14:paraId="0673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41A6475F">
            <w:pPr>
              <w:pStyle w:val="135"/>
              <w:ind w:right="1"/>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9</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661E6A93">
            <w:pPr>
              <w:pStyle w:val="135"/>
              <w:spacing w:before="126"/>
              <w:ind w:left="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★A02060900镇流器</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38232568">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管型荧光灯镇流器</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DCB9FF7">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0CC6CAA7">
            <w:pPr>
              <w:pStyle w:val="135"/>
              <w:spacing w:before="126"/>
              <w:ind w:lef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《管形荧光灯镇流器能效限定值及能效等级》（GB17896）</w:t>
            </w:r>
          </w:p>
        </w:tc>
      </w:tr>
      <w:tr w14:paraId="7DA0A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ign w:val="center"/>
          </w:tcPr>
          <w:p w14:paraId="724E8697">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10</w:t>
            </w:r>
          </w:p>
        </w:tc>
        <w:tc>
          <w:tcPr>
            <w:tcW w:w="1422" w:type="dxa"/>
            <w:vMerge w:val="restart"/>
            <w:tcBorders>
              <w:top w:val="single" w:color="000000" w:sz="4" w:space="0"/>
              <w:left w:val="single" w:color="000000" w:sz="4" w:space="0"/>
              <w:bottom w:val="single" w:color="000000" w:sz="4" w:space="0"/>
              <w:right w:val="single" w:color="000000" w:sz="4" w:space="0"/>
            </w:tcBorders>
            <w:noWrap/>
            <w:vAlign w:val="center"/>
          </w:tcPr>
          <w:p w14:paraId="59A02A59">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A02061800生活用电器</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76760083">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A02061801电冰箱</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495A7E7">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1A92637C">
            <w:pPr>
              <w:pStyle w:val="135"/>
              <w:spacing w:before="126"/>
              <w:ind w:left="7"/>
              <w:rPr>
                <w:rFonts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《家用电冰箱耗电量限定值及能效等级》（GB12021.2）</w:t>
            </w:r>
          </w:p>
        </w:tc>
      </w:tr>
      <w:tr w14:paraId="36C9F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2F6D3D5">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23AFA97">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noWrap/>
            <w:vAlign w:val="center"/>
          </w:tcPr>
          <w:p w14:paraId="2561B8AE">
            <w:pPr>
              <w:pStyle w:val="135"/>
              <w:spacing w:before="171"/>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kern w:val="2"/>
                <w:sz w:val="21"/>
                <w:szCs w:val="21"/>
                <w:highlight w:val="none"/>
              </w:rPr>
              <w:t>A02061804</w:t>
            </w:r>
            <w:r>
              <w:rPr>
                <w:rFonts w:hint="eastAsia" w:ascii="宋体" w:hAnsi="宋体" w:cs="宋体"/>
                <w:color w:val="auto"/>
                <w:w w:val="99"/>
                <w:kern w:val="2"/>
                <w:sz w:val="21"/>
                <w:szCs w:val="21"/>
                <w:highlight w:val="none"/>
              </w:rPr>
              <w:t>空调机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FA8F3E4">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房间空气调节器</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0BFFD88A">
            <w:pPr>
              <w:pStyle w:val="135"/>
              <w:spacing w:line="256" w:lineRule="exact"/>
              <w:ind w:lef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《房间空气调节器能效限定值及能效等级》（GB21455-2019）</w:t>
            </w:r>
          </w:p>
        </w:tc>
      </w:tr>
      <w:tr w14:paraId="226DD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F126762">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D1A9BD6">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C643506">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DA70F26">
            <w:pPr>
              <w:pStyle w:val="135"/>
              <w:spacing w:before="4" w:line="276" w:lineRule="auto"/>
              <w:ind w:left="7" w:right="7"/>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多联式空调（热泵）机组（制冷量≤ 14000W）</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6F7E9ABA">
            <w:pPr>
              <w:pStyle w:val="135"/>
              <w:spacing w:before="160" w:line="276" w:lineRule="auto"/>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《多联式空调（热泵）机组能效限定值及能源效率等级》（GB21454）</w:t>
            </w:r>
          </w:p>
        </w:tc>
      </w:tr>
      <w:tr w14:paraId="0618C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2DAFB25">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0D7D26E">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07B426A">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3414F8E">
            <w:pPr>
              <w:pStyle w:val="135"/>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单元式空气调节机（制冷量≤ 14000W）</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399CD724">
            <w:pPr>
              <w:pStyle w:val="135"/>
              <w:spacing w:before="4"/>
              <w:ind w:lef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《单元式空气调节机能效限定值及能源效率等级》（GB19576）《风管送风式空调机组能效限定值及能效等级》（GB37479）</w:t>
            </w:r>
          </w:p>
        </w:tc>
      </w:tr>
      <w:tr w14:paraId="508B4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5D2E6AF">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575383C">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22D74311">
            <w:pPr>
              <w:pStyle w:val="135"/>
              <w:spacing w:before="162"/>
              <w:ind w:left="7"/>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A02061810</w:t>
            </w:r>
            <w:r>
              <w:rPr>
                <w:rFonts w:hint="eastAsia" w:ascii="宋体" w:hAnsi="宋体" w:cs="宋体"/>
                <w:color w:val="auto"/>
                <w:w w:val="99"/>
                <w:kern w:val="2"/>
                <w:sz w:val="21"/>
                <w:szCs w:val="21"/>
                <w:highlight w:val="none"/>
              </w:rPr>
              <w:t>洗衣机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D51C6AE">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3A389EC6">
            <w:pPr>
              <w:pStyle w:val="135"/>
              <w:spacing w:before="6" w:line="276" w:lineRule="auto"/>
              <w:ind w:left="7" w:right="4"/>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《电动洗衣机能效水效限定值及等级》（GB12021.4）</w:t>
            </w:r>
          </w:p>
        </w:tc>
      </w:tr>
      <w:tr w14:paraId="1CC11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2B6E50E">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CBEF7D9">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noWrap/>
            <w:vAlign w:val="center"/>
          </w:tcPr>
          <w:p w14:paraId="34A25F95">
            <w:pPr>
              <w:pStyle w:val="135"/>
              <w:spacing w:before="161"/>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A02061819</w:t>
            </w:r>
            <w:r>
              <w:rPr>
                <w:rFonts w:hint="eastAsia" w:ascii="宋体" w:hAnsi="宋体" w:cs="宋体"/>
                <w:color w:val="auto"/>
                <w:w w:val="99"/>
                <w:kern w:val="2"/>
                <w:sz w:val="21"/>
                <w:szCs w:val="21"/>
                <w:highlight w:val="none"/>
              </w:rPr>
              <w:t>热水器</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09159C8">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★电热</w:t>
            </w:r>
            <w:r>
              <w:rPr>
                <w:rFonts w:hint="eastAsia" w:ascii="宋体" w:hAnsi="宋体" w:cs="宋体"/>
                <w:color w:val="auto"/>
                <w:spacing w:val="2"/>
                <w:w w:val="99"/>
                <w:kern w:val="2"/>
                <w:sz w:val="21"/>
                <w:szCs w:val="21"/>
                <w:highlight w:val="none"/>
              </w:rPr>
              <w:t>水</w:t>
            </w:r>
            <w:r>
              <w:rPr>
                <w:rFonts w:hint="eastAsia" w:ascii="宋体" w:hAnsi="宋体" w:cs="宋体"/>
                <w:color w:val="auto"/>
                <w:w w:val="99"/>
                <w:kern w:val="2"/>
                <w:sz w:val="21"/>
                <w:szCs w:val="21"/>
                <w:highlight w:val="none"/>
              </w:rPr>
              <w:t>器</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50E386AE">
            <w:pPr>
              <w:pStyle w:val="135"/>
              <w:tabs>
                <w:tab w:val="left" w:pos="1608"/>
              </w:tabs>
              <w:spacing w:before="52"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《储水式电热水器能效</w:t>
            </w:r>
            <w:r>
              <w:rPr>
                <w:rFonts w:hint="eastAsia" w:ascii="宋体" w:hAnsi="宋体" w:cs="宋体"/>
                <w:color w:val="auto"/>
                <w:spacing w:val="9"/>
                <w:w w:val="99"/>
                <w:kern w:val="2"/>
                <w:sz w:val="21"/>
                <w:szCs w:val="21"/>
                <w:highlight w:val="none"/>
                <w:lang w:eastAsia="zh-CN"/>
              </w:rPr>
              <w:t>限</w:t>
            </w:r>
            <w:r>
              <w:rPr>
                <w:rFonts w:hint="eastAsia" w:ascii="宋体" w:hAnsi="宋体" w:cs="宋体"/>
                <w:color w:val="auto"/>
                <w:spacing w:val="12"/>
                <w:w w:val="99"/>
                <w:kern w:val="2"/>
                <w:sz w:val="21"/>
                <w:szCs w:val="21"/>
                <w:highlight w:val="none"/>
                <w:lang w:eastAsia="zh-CN"/>
              </w:rPr>
              <w:t>定值</w:t>
            </w:r>
            <w:r>
              <w:rPr>
                <w:rFonts w:hint="eastAsia" w:ascii="宋体" w:hAnsi="宋体" w:cs="宋体"/>
                <w:color w:val="auto"/>
                <w:w w:val="99"/>
                <w:kern w:val="2"/>
                <w:sz w:val="21"/>
                <w:szCs w:val="21"/>
                <w:highlight w:val="none"/>
                <w:lang w:eastAsia="zh-CN"/>
              </w:rPr>
              <w:t>及能效等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51</w:t>
            </w:r>
            <w:r>
              <w:rPr>
                <w:rFonts w:hint="eastAsia" w:ascii="宋体" w:hAnsi="宋体" w:cs="宋体"/>
                <w:color w:val="auto"/>
                <w:spacing w:val="1"/>
                <w:w w:val="99"/>
                <w:kern w:val="2"/>
                <w:sz w:val="21"/>
                <w:szCs w:val="21"/>
                <w:highlight w:val="none"/>
                <w:lang w:eastAsia="zh-CN"/>
              </w:rPr>
              <w:t>9</w:t>
            </w:r>
            <w:r>
              <w:rPr>
                <w:rFonts w:hint="eastAsia" w:ascii="宋体" w:hAnsi="宋体" w:cs="宋体"/>
                <w:color w:val="auto"/>
                <w:w w:val="99"/>
                <w:kern w:val="2"/>
                <w:sz w:val="21"/>
                <w:szCs w:val="21"/>
                <w:highlight w:val="none"/>
                <w:lang w:eastAsia="zh-CN"/>
              </w:rPr>
              <w:t>）</w:t>
            </w:r>
          </w:p>
        </w:tc>
      </w:tr>
      <w:tr w14:paraId="00B5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811B4D0">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667432A">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44D7849">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C16AB5B">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燃气热</w:t>
            </w:r>
            <w:r>
              <w:rPr>
                <w:rFonts w:hint="eastAsia" w:ascii="宋体" w:hAnsi="宋体" w:cs="宋体"/>
                <w:color w:val="auto"/>
                <w:spacing w:val="2"/>
                <w:w w:val="99"/>
                <w:kern w:val="2"/>
                <w:sz w:val="21"/>
                <w:szCs w:val="21"/>
                <w:highlight w:val="none"/>
              </w:rPr>
              <w:t>水</w:t>
            </w:r>
            <w:r>
              <w:rPr>
                <w:rFonts w:hint="eastAsia" w:ascii="宋体" w:hAnsi="宋体" w:cs="宋体"/>
                <w:color w:val="auto"/>
                <w:w w:val="99"/>
                <w:kern w:val="2"/>
                <w:sz w:val="21"/>
                <w:szCs w:val="21"/>
                <w:highlight w:val="none"/>
              </w:rPr>
              <w:t>器</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6A3CD2F9">
            <w:pPr>
              <w:pStyle w:val="135"/>
              <w:spacing w:before="4"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《家用燃气快速热水器</w:t>
            </w:r>
            <w:r>
              <w:rPr>
                <w:rFonts w:hint="eastAsia" w:ascii="宋体" w:hAnsi="宋体" w:cs="宋体"/>
                <w:color w:val="auto"/>
                <w:spacing w:val="9"/>
                <w:w w:val="99"/>
                <w:kern w:val="2"/>
                <w:sz w:val="21"/>
                <w:szCs w:val="21"/>
                <w:highlight w:val="none"/>
                <w:lang w:eastAsia="zh-CN"/>
              </w:rPr>
              <w:t>和</w:t>
            </w:r>
            <w:r>
              <w:rPr>
                <w:rFonts w:hint="eastAsia" w:ascii="宋体" w:hAnsi="宋体" w:cs="宋体"/>
                <w:color w:val="auto"/>
                <w:spacing w:val="12"/>
                <w:w w:val="99"/>
                <w:kern w:val="2"/>
                <w:sz w:val="21"/>
                <w:szCs w:val="21"/>
                <w:highlight w:val="none"/>
                <w:lang w:eastAsia="zh-CN"/>
              </w:rPr>
              <w:t>燃气</w:t>
            </w:r>
            <w:r>
              <w:rPr>
                <w:rFonts w:hint="eastAsia" w:ascii="宋体" w:hAnsi="宋体" w:cs="宋体"/>
                <w:color w:val="auto"/>
                <w:w w:val="99"/>
                <w:kern w:val="2"/>
                <w:sz w:val="21"/>
                <w:szCs w:val="21"/>
                <w:highlight w:val="none"/>
                <w:lang w:eastAsia="zh-CN"/>
              </w:rPr>
              <w:t>采暖热水</w:t>
            </w:r>
            <w:r>
              <w:rPr>
                <w:rFonts w:hint="eastAsia" w:ascii="宋体" w:hAnsi="宋体" w:cs="宋体"/>
                <w:color w:val="auto"/>
                <w:spacing w:val="2"/>
                <w:w w:val="99"/>
                <w:kern w:val="2"/>
                <w:sz w:val="21"/>
                <w:szCs w:val="21"/>
                <w:highlight w:val="none"/>
                <w:lang w:eastAsia="zh-CN"/>
              </w:rPr>
              <w:t>炉</w:t>
            </w:r>
            <w:r>
              <w:rPr>
                <w:rFonts w:hint="eastAsia" w:ascii="宋体" w:hAnsi="宋体" w:cs="宋体"/>
                <w:color w:val="auto"/>
                <w:w w:val="99"/>
                <w:kern w:val="2"/>
                <w:sz w:val="21"/>
                <w:szCs w:val="21"/>
                <w:highlight w:val="none"/>
                <w:lang w:eastAsia="zh-CN"/>
              </w:rPr>
              <w:t>能效</w:t>
            </w:r>
            <w:r>
              <w:rPr>
                <w:rFonts w:hint="eastAsia" w:ascii="宋体" w:hAnsi="宋体" w:cs="宋体"/>
                <w:color w:val="auto"/>
                <w:spacing w:val="2"/>
                <w:w w:val="99"/>
                <w:kern w:val="2"/>
                <w:sz w:val="21"/>
                <w:szCs w:val="21"/>
                <w:highlight w:val="none"/>
                <w:lang w:eastAsia="zh-CN"/>
              </w:rPr>
              <w:t>限</w:t>
            </w:r>
            <w:r>
              <w:rPr>
                <w:rFonts w:hint="eastAsia" w:ascii="宋体" w:hAnsi="宋体" w:cs="宋体"/>
                <w:color w:val="auto"/>
                <w:w w:val="99"/>
                <w:kern w:val="2"/>
                <w:sz w:val="21"/>
                <w:szCs w:val="21"/>
                <w:highlight w:val="none"/>
                <w:lang w:eastAsia="zh-CN"/>
              </w:rPr>
              <w:t>定值</w:t>
            </w:r>
            <w:r>
              <w:rPr>
                <w:rFonts w:hint="eastAsia" w:ascii="宋体" w:hAnsi="宋体" w:cs="宋体"/>
                <w:color w:val="auto"/>
                <w:spacing w:val="2"/>
                <w:w w:val="99"/>
                <w:kern w:val="2"/>
                <w:sz w:val="21"/>
                <w:szCs w:val="21"/>
                <w:highlight w:val="none"/>
                <w:lang w:eastAsia="zh-CN"/>
              </w:rPr>
              <w:t>及</w:t>
            </w:r>
            <w:r>
              <w:rPr>
                <w:rFonts w:hint="eastAsia" w:ascii="宋体" w:hAnsi="宋体" w:cs="宋体"/>
                <w:color w:val="auto"/>
                <w:w w:val="99"/>
                <w:kern w:val="2"/>
                <w:sz w:val="21"/>
                <w:szCs w:val="21"/>
                <w:highlight w:val="none"/>
                <w:lang w:eastAsia="zh-CN"/>
              </w:rPr>
              <w:t>能</w:t>
            </w:r>
            <w:r>
              <w:rPr>
                <w:rFonts w:hint="eastAsia" w:ascii="宋体" w:hAnsi="宋体" w:cs="宋体"/>
                <w:color w:val="auto"/>
                <w:spacing w:val="2"/>
                <w:w w:val="99"/>
                <w:kern w:val="2"/>
                <w:sz w:val="21"/>
                <w:szCs w:val="21"/>
                <w:highlight w:val="none"/>
                <w:lang w:eastAsia="zh-CN"/>
              </w:rPr>
              <w:t>效</w:t>
            </w:r>
            <w:r>
              <w:rPr>
                <w:rFonts w:hint="eastAsia" w:ascii="宋体" w:hAnsi="宋体" w:cs="宋体"/>
                <w:color w:val="auto"/>
                <w:w w:val="99"/>
                <w:kern w:val="2"/>
                <w:sz w:val="21"/>
                <w:szCs w:val="21"/>
                <w:highlight w:val="none"/>
                <w:lang w:eastAsia="zh-CN"/>
              </w:rPr>
              <w:t>等级》（</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w:t>
            </w:r>
            <w:r>
              <w:rPr>
                <w:rFonts w:hint="eastAsia" w:ascii="宋体" w:hAnsi="宋体" w:cs="宋体"/>
                <w:color w:val="auto"/>
                <w:w w:val="99"/>
                <w:kern w:val="2"/>
                <w:sz w:val="21"/>
                <w:szCs w:val="21"/>
                <w:highlight w:val="none"/>
                <w:lang w:eastAsia="zh-CN"/>
              </w:rPr>
              <w:t>06</w:t>
            </w:r>
            <w:r>
              <w:rPr>
                <w:rFonts w:hint="eastAsia" w:ascii="宋体" w:hAnsi="宋体" w:cs="宋体"/>
                <w:color w:val="auto"/>
                <w:spacing w:val="1"/>
                <w:w w:val="99"/>
                <w:kern w:val="2"/>
                <w:sz w:val="21"/>
                <w:szCs w:val="21"/>
                <w:highlight w:val="none"/>
                <w:lang w:eastAsia="zh-CN"/>
              </w:rPr>
              <w:t>65</w:t>
            </w:r>
            <w:r>
              <w:rPr>
                <w:rFonts w:hint="eastAsia" w:ascii="宋体" w:hAnsi="宋体" w:cs="宋体"/>
                <w:color w:val="auto"/>
                <w:w w:val="99"/>
                <w:kern w:val="2"/>
                <w:sz w:val="21"/>
                <w:szCs w:val="21"/>
                <w:highlight w:val="none"/>
                <w:lang w:eastAsia="zh-CN"/>
              </w:rPr>
              <w:t>）</w:t>
            </w:r>
          </w:p>
        </w:tc>
      </w:tr>
      <w:tr w14:paraId="6F0A6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15536DD">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1C1FCCD">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824F5FC">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26F5BEA">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热泵热</w:t>
            </w:r>
            <w:r>
              <w:rPr>
                <w:rFonts w:hint="eastAsia" w:ascii="宋体" w:hAnsi="宋体" w:cs="宋体"/>
                <w:color w:val="auto"/>
                <w:spacing w:val="2"/>
                <w:w w:val="99"/>
                <w:kern w:val="2"/>
                <w:sz w:val="21"/>
                <w:szCs w:val="21"/>
                <w:highlight w:val="none"/>
              </w:rPr>
              <w:t>水</w:t>
            </w:r>
            <w:r>
              <w:rPr>
                <w:rFonts w:hint="eastAsia" w:ascii="宋体" w:hAnsi="宋体" w:cs="宋体"/>
                <w:color w:val="auto"/>
                <w:w w:val="99"/>
                <w:kern w:val="2"/>
                <w:sz w:val="21"/>
                <w:szCs w:val="21"/>
                <w:highlight w:val="none"/>
              </w:rPr>
              <w:t>器</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7E3F28A0">
            <w:pPr>
              <w:pStyle w:val="135"/>
              <w:spacing w:before="93" w:line="276" w:lineRule="auto"/>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《热泵</w:t>
            </w:r>
            <w:r>
              <w:rPr>
                <w:rFonts w:hint="eastAsia" w:ascii="宋体" w:hAnsi="宋体" w:cs="宋体"/>
                <w:color w:val="auto"/>
                <w:spacing w:val="2"/>
                <w:w w:val="99"/>
                <w:kern w:val="2"/>
                <w:sz w:val="21"/>
                <w:szCs w:val="21"/>
                <w:highlight w:val="none"/>
                <w:lang w:eastAsia="zh-CN"/>
              </w:rPr>
              <w:t>热</w:t>
            </w:r>
            <w:r>
              <w:rPr>
                <w:rFonts w:hint="eastAsia" w:ascii="宋体" w:hAnsi="宋体" w:cs="宋体"/>
                <w:color w:val="auto"/>
                <w:w w:val="99"/>
                <w:kern w:val="2"/>
                <w:sz w:val="21"/>
                <w:szCs w:val="21"/>
                <w:highlight w:val="none"/>
                <w:lang w:eastAsia="zh-CN"/>
              </w:rPr>
              <w:t>水</w:t>
            </w:r>
            <w:r>
              <w:rPr>
                <w:rFonts w:hint="eastAsia" w:ascii="宋体" w:hAnsi="宋体" w:cs="宋体"/>
                <w:color w:val="auto"/>
                <w:spacing w:val="-27"/>
                <w:w w:val="99"/>
                <w:kern w:val="2"/>
                <w:sz w:val="21"/>
                <w:szCs w:val="21"/>
                <w:highlight w:val="none"/>
                <w:lang w:eastAsia="zh-CN"/>
              </w:rPr>
              <w:t>机</w:t>
            </w:r>
            <w:r>
              <w:rPr>
                <w:rFonts w:hint="eastAsia" w:ascii="宋体" w:hAnsi="宋体" w:cs="宋体"/>
                <w:color w:val="auto"/>
                <w:w w:val="99"/>
                <w:kern w:val="2"/>
                <w:sz w:val="21"/>
                <w:szCs w:val="21"/>
                <w:highlight w:val="none"/>
                <w:lang w:eastAsia="zh-CN"/>
              </w:rPr>
              <w:t>（器</w:t>
            </w:r>
            <w:r>
              <w:rPr>
                <w:rFonts w:hint="eastAsia" w:ascii="宋体" w:hAnsi="宋体" w:cs="宋体"/>
                <w:color w:val="auto"/>
                <w:spacing w:val="-27"/>
                <w:w w:val="99"/>
                <w:kern w:val="2"/>
                <w:sz w:val="21"/>
                <w:szCs w:val="21"/>
                <w:highlight w:val="none"/>
                <w:lang w:eastAsia="zh-CN"/>
              </w:rPr>
              <w:t>）</w:t>
            </w:r>
            <w:r>
              <w:rPr>
                <w:rFonts w:hint="eastAsia" w:ascii="宋体" w:hAnsi="宋体" w:cs="宋体"/>
                <w:color w:val="auto"/>
                <w:w w:val="99"/>
                <w:kern w:val="2"/>
                <w:sz w:val="21"/>
                <w:szCs w:val="21"/>
                <w:highlight w:val="none"/>
                <w:lang w:eastAsia="zh-CN"/>
              </w:rPr>
              <w:t>能效</w:t>
            </w:r>
            <w:r>
              <w:rPr>
                <w:rFonts w:hint="eastAsia" w:ascii="宋体" w:hAnsi="宋体" w:cs="宋体"/>
                <w:color w:val="auto"/>
                <w:spacing w:val="2"/>
                <w:w w:val="99"/>
                <w:kern w:val="2"/>
                <w:sz w:val="21"/>
                <w:szCs w:val="21"/>
                <w:highlight w:val="none"/>
                <w:lang w:eastAsia="zh-CN"/>
              </w:rPr>
              <w:t>限</w:t>
            </w:r>
            <w:r>
              <w:rPr>
                <w:rFonts w:hint="eastAsia" w:ascii="宋体" w:hAnsi="宋体" w:cs="宋体"/>
                <w:color w:val="auto"/>
                <w:w w:val="99"/>
                <w:kern w:val="2"/>
                <w:sz w:val="21"/>
                <w:szCs w:val="21"/>
                <w:highlight w:val="none"/>
                <w:lang w:eastAsia="zh-CN"/>
              </w:rPr>
              <w:t>定值及能效等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295</w:t>
            </w:r>
            <w:r>
              <w:rPr>
                <w:rFonts w:hint="eastAsia" w:ascii="宋体" w:hAnsi="宋体" w:cs="宋体"/>
                <w:color w:val="auto"/>
                <w:w w:val="99"/>
                <w:kern w:val="2"/>
                <w:sz w:val="21"/>
                <w:szCs w:val="21"/>
                <w:highlight w:val="none"/>
                <w:lang w:eastAsia="zh-CN"/>
              </w:rPr>
              <w:t>4</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4DDA7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8B8E37D">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D660345">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AF22775">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9C869B5">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太阳能</w:t>
            </w:r>
            <w:r>
              <w:rPr>
                <w:rFonts w:hint="eastAsia" w:ascii="宋体" w:hAnsi="宋体" w:cs="宋体"/>
                <w:color w:val="auto"/>
                <w:spacing w:val="2"/>
                <w:w w:val="99"/>
                <w:kern w:val="2"/>
                <w:sz w:val="21"/>
                <w:szCs w:val="21"/>
                <w:highlight w:val="none"/>
              </w:rPr>
              <w:t>热</w:t>
            </w:r>
            <w:r>
              <w:rPr>
                <w:rFonts w:hint="eastAsia" w:ascii="宋体" w:hAnsi="宋体" w:cs="宋体"/>
                <w:color w:val="auto"/>
                <w:w w:val="99"/>
                <w:kern w:val="2"/>
                <w:sz w:val="21"/>
                <w:szCs w:val="21"/>
                <w:highlight w:val="none"/>
              </w:rPr>
              <w:t>水系统</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0F0ACAB9">
            <w:pPr>
              <w:pStyle w:val="135"/>
              <w:spacing w:before="52"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《家用太阳能热水系统</w:t>
            </w:r>
            <w:r>
              <w:rPr>
                <w:rFonts w:hint="eastAsia" w:ascii="宋体" w:hAnsi="宋体" w:cs="宋体"/>
                <w:color w:val="auto"/>
                <w:spacing w:val="9"/>
                <w:w w:val="99"/>
                <w:kern w:val="2"/>
                <w:sz w:val="21"/>
                <w:szCs w:val="21"/>
                <w:highlight w:val="none"/>
                <w:lang w:eastAsia="zh-CN"/>
              </w:rPr>
              <w:t>能</w:t>
            </w:r>
            <w:r>
              <w:rPr>
                <w:rFonts w:hint="eastAsia" w:ascii="宋体" w:hAnsi="宋体" w:cs="宋体"/>
                <w:color w:val="auto"/>
                <w:spacing w:val="12"/>
                <w:w w:val="99"/>
                <w:kern w:val="2"/>
                <w:sz w:val="21"/>
                <w:szCs w:val="21"/>
                <w:highlight w:val="none"/>
                <w:lang w:eastAsia="zh-CN"/>
              </w:rPr>
              <w:t>效限</w:t>
            </w:r>
            <w:r>
              <w:rPr>
                <w:rFonts w:hint="eastAsia" w:ascii="宋体" w:hAnsi="宋体" w:cs="宋体"/>
                <w:color w:val="auto"/>
                <w:w w:val="99"/>
                <w:kern w:val="2"/>
                <w:sz w:val="21"/>
                <w:szCs w:val="21"/>
                <w:highlight w:val="none"/>
                <w:lang w:eastAsia="zh-CN"/>
              </w:rPr>
              <w:t>定值及能</w:t>
            </w:r>
            <w:r>
              <w:rPr>
                <w:rFonts w:hint="eastAsia" w:ascii="宋体" w:hAnsi="宋体" w:cs="宋体"/>
                <w:color w:val="auto"/>
                <w:spacing w:val="2"/>
                <w:w w:val="99"/>
                <w:kern w:val="2"/>
                <w:sz w:val="21"/>
                <w:szCs w:val="21"/>
                <w:highlight w:val="none"/>
                <w:lang w:eastAsia="zh-CN"/>
              </w:rPr>
              <w:t>效</w:t>
            </w:r>
            <w:r>
              <w:rPr>
                <w:rFonts w:hint="eastAsia" w:ascii="宋体" w:hAnsi="宋体" w:cs="宋体"/>
                <w:color w:val="auto"/>
                <w:w w:val="99"/>
                <w:kern w:val="2"/>
                <w:sz w:val="21"/>
                <w:szCs w:val="21"/>
                <w:highlight w:val="none"/>
                <w:lang w:eastAsia="zh-CN"/>
              </w:rPr>
              <w:t>等级</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26</w:t>
            </w:r>
            <w:r>
              <w:rPr>
                <w:rFonts w:hint="eastAsia" w:ascii="宋体" w:hAnsi="宋体" w:cs="宋体"/>
                <w:color w:val="auto"/>
                <w:w w:val="99"/>
                <w:kern w:val="2"/>
                <w:sz w:val="21"/>
                <w:szCs w:val="21"/>
                <w:highlight w:val="none"/>
                <w:lang w:eastAsia="zh-CN"/>
              </w:rPr>
              <w:t>96</w:t>
            </w:r>
            <w:r>
              <w:rPr>
                <w:rFonts w:hint="eastAsia" w:ascii="宋体" w:hAnsi="宋体" w:cs="宋体"/>
                <w:color w:val="auto"/>
                <w:spacing w:val="-2"/>
                <w:w w:val="99"/>
                <w:kern w:val="2"/>
                <w:sz w:val="21"/>
                <w:szCs w:val="21"/>
                <w:highlight w:val="none"/>
                <w:lang w:eastAsia="zh-CN"/>
              </w:rPr>
              <w:t>9</w:t>
            </w:r>
            <w:r>
              <w:rPr>
                <w:rFonts w:hint="eastAsia" w:ascii="宋体" w:hAnsi="宋体" w:cs="宋体"/>
                <w:color w:val="auto"/>
                <w:w w:val="99"/>
                <w:kern w:val="2"/>
                <w:sz w:val="21"/>
                <w:szCs w:val="21"/>
                <w:highlight w:val="none"/>
                <w:lang w:eastAsia="zh-CN"/>
              </w:rPr>
              <w:t>）</w:t>
            </w:r>
          </w:p>
        </w:tc>
      </w:tr>
      <w:tr w14:paraId="7B5C6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ign w:val="center"/>
          </w:tcPr>
          <w:p w14:paraId="2F7EEDB7">
            <w:pPr>
              <w:pStyle w:val="135"/>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1</w:t>
            </w:r>
          </w:p>
        </w:tc>
        <w:tc>
          <w:tcPr>
            <w:tcW w:w="1422" w:type="dxa"/>
            <w:vMerge w:val="restart"/>
            <w:tcBorders>
              <w:top w:val="single" w:color="000000" w:sz="4" w:space="0"/>
              <w:left w:val="single" w:color="000000" w:sz="4" w:space="0"/>
              <w:bottom w:val="single" w:color="000000" w:sz="4" w:space="0"/>
              <w:right w:val="single" w:color="000000" w:sz="4" w:space="0"/>
            </w:tcBorders>
            <w:noWrap/>
            <w:vAlign w:val="center"/>
          </w:tcPr>
          <w:p w14:paraId="796A030B">
            <w:pPr>
              <w:pStyle w:val="135"/>
              <w:spacing w:before="157"/>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A02</w:t>
            </w:r>
            <w:r>
              <w:rPr>
                <w:rFonts w:hint="eastAsia" w:ascii="宋体" w:hAnsi="宋体" w:cs="宋体"/>
                <w:color w:val="auto"/>
                <w:w w:val="99"/>
                <w:kern w:val="2"/>
                <w:sz w:val="21"/>
                <w:szCs w:val="21"/>
                <w:highlight w:val="none"/>
              </w:rPr>
              <w:t>06</w:t>
            </w: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900照明设备</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1F755916">
            <w:pPr>
              <w:pStyle w:val="135"/>
              <w:spacing w:before="133" w:line="276" w:lineRule="auto"/>
              <w:ind w:left="7" w:right="7"/>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★通照明用端荧光灯</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1017D7F">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64F99AF8">
            <w:pPr>
              <w:pStyle w:val="135"/>
              <w:spacing w:before="133"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《普通照明用双端荧光</w:t>
            </w:r>
            <w:r>
              <w:rPr>
                <w:rFonts w:hint="eastAsia" w:ascii="宋体" w:hAnsi="宋体" w:cs="宋体"/>
                <w:color w:val="auto"/>
                <w:spacing w:val="9"/>
                <w:w w:val="99"/>
                <w:kern w:val="2"/>
                <w:sz w:val="21"/>
                <w:szCs w:val="21"/>
                <w:highlight w:val="none"/>
                <w:lang w:eastAsia="zh-CN"/>
              </w:rPr>
              <w:t>灯</w:t>
            </w:r>
            <w:r>
              <w:rPr>
                <w:rFonts w:hint="eastAsia" w:ascii="宋体" w:hAnsi="宋体" w:cs="宋体"/>
                <w:color w:val="auto"/>
                <w:spacing w:val="12"/>
                <w:w w:val="99"/>
                <w:kern w:val="2"/>
                <w:sz w:val="21"/>
                <w:szCs w:val="21"/>
                <w:highlight w:val="none"/>
                <w:lang w:eastAsia="zh-CN"/>
              </w:rPr>
              <w:t>能效</w:t>
            </w:r>
            <w:r>
              <w:rPr>
                <w:rFonts w:hint="eastAsia" w:ascii="宋体" w:hAnsi="宋体" w:cs="宋体"/>
                <w:color w:val="auto"/>
                <w:w w:val="99"/>
                <w:kern w:val="2"/>
                <w:sz w:val="21"/>
                <w:szCs w:val="21"/>
                <w:highlight w:val="none"/>
                <w:lang w:eastAsia="zh-CN"/>
              </w:rPr>
              <w:t>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19</w:t>
            </w:r>
            <w:r>
              <w:rPr>
                <w:rFonts w:hint="eastAsia" w:ascii="宋体" w:hAnsi="宋体" w:cs="宋体"/>
                <w:color w:val="auto"/>
                <w:w w:val="99"/>
                <w:kern w:val="2"/>
                <w:sz w:val="21"/>
                <w:szCs w:val="21"/>
                <w:highlight w:val="none"/>
                <w:lang w:eastAsia="zh-CN"/>
              </w:rPr>
              <w:t>04</w:t>
            </w:r>
            <w:r>
              <w:rPr>
                <w:rFonts w:hint="eastAsia" w:ascii="宋体" w:hAnsi="宋体" w:cs="宋体"/>
                <w:color w:val="auto"/>
                <w:spacing w:val="1"/>
                <w:w w:val="99"/>
                <w:kern w:val="2"/>
                <w:sz w:val="21"/>
                <w:szCs w:val="21"/>
                <w:highlight w:val="none"/>
                <w:lang w:eastAsia="zh-CN"/>
              </w:rPr>
              <w:t>3</w:t>
            </w:r>
            <w:r>
              <w:rPr>
                <w:rFonts w:hint="eastAsia" w:ascii="宋体" w:hAnsi="宋体" w:cs="宋体"/>
                <w:color w:val="auto"/>
                <w:w w:val="99"/>
                <w:kern w:val="2"/>
                <w:sz w:val="21"/>
                <w:szCs w:val="21"/>
                <w:highlight w:val="none"/>
                <w:lang w:eastAsia="zh-CN"/>
              </w:rPr>
              <w:t>）</w:t>
            </w:r>
          </w:p>
        </w:tc>
      </w:tr>
      <w:tr w14:paraId="31835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D14B5B9">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49F4AD8">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3D688956">
            <w:pPr>
              <w:pStyle w:val="135"/>
              <w:spacing w:before="92" w:line="276" w:lineRule="auto"/>
              <w:ind w:left="7" w:right="2"/>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LE</w:t>
            </w:r>
            <w:r>
              <w:rPr>
                <w:rFonts w:hint="eastAsia" w:ascii="宋体" w:hAnsi="宋体" w:cs="宋体"/>
                <w:color w:val="auto"/>
                <w:w w:val="99"/>
                <w:kern w:val="2"/>
                <w:sz w:val="21"/>
                <w:szCs w:val="21"/>
                <w:highlight w:val="none"/>
              </w:rPr>
              <w:t>D</w:t>
            </w:r>
            <w:r>
              <w:rPr>
                <w:rFonts w:hint="eastAsia" w:ascii="宋体" w:hAnsi="宋体" w:cs="宋体"/>
                <w:color w:val="auto"/>
                <w:spacing w:val="12"/>
                <w:w w:val="99"/>
                <w:kern w:val="2"/>
                <w:sz w:val="21"/>
                <w:szCs w:val="21"/>
                <w:highlight w:val="none"/>
              </w:rPr>
              <w:t>道</w:t>
            </w:r>
            <w:r>
              <w:rPr>
                <w:rFonts w:hint="eastAsia" w:ascii="宋体" w:hAnsi="宋体" w:cs="宋体"/>
                <w:color w:val="auto"/>
                <w:spacing w:val="9"/>
                <w:w w:val="99"/>
                <w:kern w:val="2"/>
                <w:sz w:val="21"/>
                <w:szCs w:val="21"/>
                <w:highlight w:val="none"/>
              </w:rPr>
              <w:t>路</w:t>
            </w:r>
            <w:r>
              <w:rPr>
                <w:rFonts w:hint="eastAsia" w:ascii="宋体" w:hAnsi="宋体" w:cs="宋体"/>
                <w:color w:val="auto"/>
                <w:spacing w:val="13"/>
                <w:w w:val="99"/>
                <w:kern w:val="2"/>
                <w:sz w:val="21"/>
                <w:szCs w:val="21"/>
                <w:highlight w:val="none"/>
              </w:rPr>
              <w:t>/</w:t>
            </w:r>
            <w:r>
              <w:rPr>
                <w:rFonts w:hint="eastAsia" w:ascii="宋体" w:hAnsi="宋体" w:cs="宋体"/>
                <w:color w:val="auto"/>
                <w:spacing w:val="12"/>
                <w:w w:val="99"/>
                <w:kern w:val="2"/>
                <w:sz w:val="21"/>
                <w:szCs w:val="21"/>
                <w:highlight w:val="none"/>
              </w:rPr>
              <w:t>隧道照</w:t>
            </w:r>
            <w:r>
              <w:rPr>
                <w:rFonts w:hint="eastAsia" w:ascii="宋体" w:hAnsi="宋体" w:cs="宋体"/>
                <w:color w:val="auto"/>
                <w:w w:val="99"/>
                <w:kern w:val="2"/>
                <w:sz w:val="21"/>
                <w:szCs w:val="21"/>
                <w:highlight w:val="none"/>
              </w:rPr>
              <w:t>明产品</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87F46AD">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5CC08959">
            <w:pPr>
              <w:pStyle w:val="135"/>
              <w:spacing w:before="92" w:line="276" w:lineRule="auto"/>
              <w:ind w:left="7" w:right="7"/>
              <w:rPr>
                <w:rFonts w:ascii="宋体" w:hAnsi="宋体" w:cs="宋体"/>
                <w:color w:val="auto"/>
                <w:kern w:val="2"/>
                <w:sz w:val="21"/>
                <w:szCs w:val="21"/>
                <w:highlight w:val="none"/>
                <w:lang w:eastAsia="zh-CN"/>
              </w:rPr>
            </w:pPr>
            <w:r>
              <w:rPr>
                <w:rFonts w:hint="eastAsia" w:ascii="宋体" w:hAnsi="宋体" w:cs="宋体"/>
                <w:color w:val="auto"/>
                <w:spacing w:val="4"/>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道</w:t>
            </w:r>
            <w:r>
              <w:rPr>
                <w:rFonts w:hint="eastAsia" w:ascii="宋体" w:hAnsi="宋体" w:cs="宋体"/>
                <w:color w:val="auto"/>
                <w:spacing w:val="4"/>
                <w:w w:val="99"/>
                <w:kern w:val="2"/>
                <w:sz w:val="21"/>
                <w:szCs w:val="21"/>
                <w:highlight w:val="none"/>
                <w:lang w:eastAsia="zh-CN"/>
              </w:rPr>
              <w:t>路和隧道照</w:t>
            </w:r>
            <w:r>
              <w:rPr>
                <w:rFonts w:hint="eastAsia" w:ascii="宋体" w:hAnsi="宋体" w:cs="宋体"/>
                <w:color w:val="auto"/>
                <w:spacing w:val="2"/>
                <w:w w:val="99"/>
                <w:kern w:val="2"/>
                <w:sz w:val="21"/>
                <w:szCs w:val="21"/>
                <w:highlight w:val="none"/>
                <w:lang w:eastAsia="zh-CN"/>
              </w:rPr>
              <w:t>明</w:t>
            </w:r>
            <w:r>
              <w:rPr>
                <w:rFonts w:hint="eastAsia" w:ascii="宋体" w:hAnsi="宋体" w:cs="宋体"/>
                <w:color w:val="auto"/>
                <w:w w:val="99"/>
                <w:kern w:val="2"/>
                <w:sz w:val="21"/>
                <w:szCs w:val="21"/>
                <w:highlight w:val="none"/>
                <w:lang w:eastAsia="zh-CN"/>
              </w:rPr>
              <w:t>用</w:t>
            </w:r>
            <w:r>
              <w:rPr>
                <w:rFonts w:hint="eastAsia" w:ascii="宋体" w:hAnsi="宋体" w:cs="宋体"/>
                <w:color w:val="auto"/>
                <w:spacing w:val="1"/>
                <w:w w:val="99"/>
                <w:kern w:val="2"/>
                <w:sz w:val="21"/>
                <w:szCs w:val="21"/>
                <w:highlight w:val="none"/>
                <w:lang w:eastAsia="zh-CN"/>
              </w:rPr>
              <w:t>LE</w:t>
            </w:r>
            <w:r>
              <w:rPr>
                <w:rFonts w:hint="eastAsia" w:ascii="宋体" w:hAnsi="宋体" w:cs="宋体"/>
                <w:color w:val="auto"/>
                <w:w w:val="99"/>
                <w:kern w:val="2"/>
                <w:sz w:val="21"/>
                <w:szCs w:val="21"/>
                <w:highlight w:val="none"/>
                <w:lang w:eastAsia="zh-CN"/>
              </w:rPr>
              <w:t>D</w:t>
            </w:r>
            <w:r>
              <w:rPr>
                <w:rFonts w:hint="eastAsia" w:ascii="宋体" w:hAnsi="宋体" w:cs="宋体"/>
                <w:color w:val="auto"/>
                <w:spacing w:val="4"/>
                <w:w w:val="99"/>
                <w:kern w:val="2"/>
                <w:sz w:val="21"/>
                <w:szCs w:val="21"/>
                <w:highlight w:val="none"/>
                <w:lang w:eastAsia="zh-CN"/>
              </w:rPr>
              <w:t>灯</w:t>
            </w:r>
            <w:r>
              <w:rPr>
                <w:rFonts w:hint="eastAsia" w:ascii="宋体" w:hAnsi="宋体" w:cs="宋体"/>
                <w:color w:val="auto"/>
                <w:spacing w:val="2"/>
                <w:w w:val="99"/>
                <w:kern w:val="2"/>
                <w:sz w:val="21"/>
                <w:szCs w:val="21"/>
                <w:highlight w:val="none"/>
                <w:lang w:eastAsia="zh-CN"/>
              </w:rPr>
              <w:t>具</w:t>
            </w:r>
            <w:r>
              <w:rPr>
                <w:rFonts w:hint="eastAsia" w:ascii="宋体" w:hAnsi="宋体" w:cs="宋体"/>
                <w:color w:val="auto"/>
                <w:w w:val="99"/>
                <w:kern w:val="2"/>
                <w:sz w:val="21"/>
                <w:szCs w:val="21"/>
                <w:highlight w:val="none"/>
                <w:lang w:eastAsia="zh-CN"/>
              </w:rPr>
              <w:t>能效限定</w:t>
            </w:r>
            <w:r>
              <w:rPr>
                <w:rFonts w:hint="eastAsia" w:ascii="宋体" w:hAnsi="宋体" w:cs="宋体"/>
                <w:color w:val="auto"/>
                <w:spacing w:val="2"/>
                <w:w w:val="99"/>
                <w:kern w:val="2"/>
                <w:sz w:val="21"/>
                <w:szCs w:val="21"/>
                <w:highlight w:val="none"/>
                <w:lang w:eastAsia="zh-CN"/>
              </w:rPr>
              <w:t>值</w:t>
            </w:r>
            <w:r>
              <w:rPr>
                <w:rFonts w:hint="eastAsia" w:ascii="宋体" w:hAnsi="宋体" w:cs="宋体"/>
                <w:color w:val="auto"/>
                <w:w w:val="99"/>
                <w:kern w:val="2"/>
                <w:sz w:val="21"/>
                <w:szCs w:val="21"/>
                <w:highlight w:val="none"/>
                <w:lang w:eastAsia="zh-CN"/>
              </w:rPr>
              <w:t>及能</w:t>
            </w:r>
            <w:r>
              <w:rPr>
                <w:rFonts w:hint="eastAsia" w:ascii="宋体" w:hAnsi="宋体" w:cs="宋体"/>
                <w:color w:val="auto"/>
                <w:spacing w:val="2"/>
                <w:w w:val="99"/>
                <w:kern w:val="2"/>
                <w:sz w:val="21"/>
                <w:szCs w:val="21"/>
                <w:highlight w:val="none"/>
                <w:lang w:eastAsia="zh-CN"/>
              </w:rPr>
              <w:t>效</w:t>
            </w:r>
            <w:r>
              <w:rPr>
                <w:rFonts w:hint="eastAsia" w:ascii="宋体" w:hAnsi="宋体" w:cs="宋体"/>
                <w:color w:val="auto"/>
                <w:w w:val="99"/>
                <w:kern w:val="2"/>
                <w:sz w:val="21"/>
                <w:szCs w:val="21"/>
                <w:highlight w:val="none"/>
                <w:lang w:eastAsia="zh-CN"/>
              </w:rPr>
              <w:t>等级</w:t>
            </w:r>
            <w:r>
              <w:rPr>
                <w:rFonts w:hint="eastAsia" w:ascii="宋体" w:hAnsi="宋体" w:cs="宋体"/>
                <w:color w:val="auto"/>
                <w:spacing w:val="-106"/>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3747</w:t>
            </w:r>
            <w:r>
              <w:rPr>
                <w:rFonts w:hint="eastAsia" w:ascii="宋体" w:hAnsi="宋体" w:cs="宋体"/>
                <w:color w:val="auto"/>
                <w:w w:val="99"/>
                <w:kern w:val="2"/>
                <w:sz w:val="21"/>
                <w:szCs w:val="21"/>
                <w:highlight w:val="none"/>
                <w:lang w:eastAsia="zh-CN"/>
              </w:rPr>
              <w:t>8）</w:t>
            </w:r>
          </w:p>
        </w:tc>
      </w:tr>
      <w:tr w14:paraId="15C4D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FBBA8AC">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B81BCF9">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3D14767D">
            <w:pPr>
              <w:pStyle w:val="135"/>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LE</w:t>
            </w:r>
            <w:r>
              <w:rPr>
                <w:rFonts w:hint="eastAsia" w:ascii="宋体" w:hAnsi="宋体" w:cs="宋体"/>
                <w:color w:val="auto"/>
                <w:w w:val="99"/>
                <w:kern w:val="2"/>
                <w:sz w:val="21"/>
                <w:szCs w:val="21"/>
                <w:highlight w:val="none"/>
              </w:rPr>
              <w:t>D筒灯</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4147560">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69ED5F4B">
            <w:pPr>
              <w:pStyle w:val="135"/>
              <w:spacing w:before="83" w:line="276" w:lineRule="auto"/>
              <w:ind w:left="7" w:right="7"/>
              <w:rPr>
                <w:rFonts w:ascii="宋体" w:hAnsi="宋体" w:cs="宋体"/>
                <w:color w:val="auto"/>
                <w:kern w:val="2"/>
                <w:sz w:val="21"/>
                <w:szCs w:val="21"/>
                <w:highlight w:val="none"/>
                <w:lang w:eastAsia="zh-CN"/>
              </w:rPr>
            </w:pPr>
            <w:r>
              <w:rPr>
                <w:rFonts w:hint="eastAsia" w:ascii="宋体" w:hAnsi="宋体" w:cs="宋体"/>
                <w:color w:val="auto"/>
                <w:spacing w:val="4"/>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室</w:t>
            </w:r>
            <w:r>
              <w:rPr>
                <w:rFonts w:hint="eastAsia" w:ascii="宋体" w:hAnsi="宋体" w:cs="宋体"/>
                <w:color w:val="auto"/>
                <w:spacing w:val="4"/>
                <w:w w:val="99"/>
                <w:kern w:val="2"/>
                <w:sz w:val="21"/>
                <w:szCs w:val="21"/>
                <w:highlight w:val="none"/>
                <w:lang w:eastAsia="zh-CN"/>
              </w:rPr>
              <w:t>内照明</w:t>
            </w:r>
            <w:r>
              <w:rPr>
                <w:rFonts w:hint="eastAsia" w:ascii="宋体" w:hAnsi="宋体" w:cs="宋体"/>
                <w:color w:val="auto"/>
                <w:w w:val="99"/>
                <w:kern w:val="2"/>
                <w:sz w:val="21"/>
                <w:szCs w:val="21"/>
                <w:highlight w:val="none"/>
                <w:lang w:eastAsia="zh-CN"/>
              </w:rPr>
              <w:t>用</w:t>
            </w:r>
            <w:r>
              <w:rPr>
                <w:rFonts w:hint="eastAsia" w:ascii="宋体" w:hAnsi="宋体" w:cs="宋体"/>
                <w:color w:val="auto"/>
                <w:spacing w:val="1"/>
                <w:w w:val="99"/>
                <w:kern w:val="2"/>
                <w:sz w:val="21"/>
                <w:szCs w:val="21"/>
                <w:highlight w:val="none"/>
                <w:lang w:eastAsia="zh-CN"/>
              </w:rPr>
              <w:t>LE</w:t>
            </w:r>
            <w:r>
              <w:rPr>
                <w:rFonts w:hint="eastAsia" w:ascii="宋体" w:hAnsi="宋体" w:cs="宋体"/>
                <w:color w:val="auto"/>
                <w:w w:val="99"/>
                <w:kern w:val="2"/>
                <w:sz w:val="21"/>
                <w:szCs w:val="21"/>
                <w:highlight w:val="none"/>
                <w:lang w:eastAsia="zh-CN"/>
              </w:rPr>
              <w:t>D</w:t>
            </w:r>
            <w:r>
              <w:rPr>
                <w:rFonts w:hint="eastAsia" w:ascii="宋体" w:hAnsi="宋体" w:cs="宋体"/>
                <w:color w:val="auto"/>
                <w:spacing w:val="4"/>
                <w:w w:val="99"/>
                <w:kern w:val="2"/>
                <w:sz w:val="21"/>
                <w:szCs w:val="21"/>
                <w:highlight w:val="none"/>
                <w:lang w:eastAsia="zh-CN"/>
              </w:rPr>
              <w:t>产</w:t>
            </w:r>
            <w:r>
              <w:rPr>
                <w:rFonts w:hint="eastAsia" w:ascii="宋体" w:hAnsi="宋体" w:cs="宋体"/>
                <w:color w:val="auto"/>
                <w:spacing w:val="2"/>
                <w:w w:val="99"/>
                <w:kern w:val="2"/>
                <w:sz w:val="21"/>
                <w:szCs w:val="21"/>
                <w:highlight w:val="none"/>
                <w:lang w:eastAsia="zh-CN"/>
              </w:rPr>
              <w:t>品</w:t>
            </w:r>
            <w:r>
              <w:rPr>
                <w:rFonts w:hint="eastAsia" w:ascii="宋体" w:hAnsi="宋体" w:cs="宋体"/>
                <w:color w:val="auto"/>
                <w:spacing w:val="4"/>
                <w:w w:val="99"/>
                <w:kern w:val="2"/>
                <w:sz w:val="21"/>
                <w:szCs w:val="21"/>
                <w:highlight w:val="none"/>
                <w:lang w:eastAsia="zh-CN"/>
              </w:rPr>
              <w:t>能效</w:t>
            </w:r>
            <w:r>
              <w:rPr>
                <w:rFonts w:hint="eastAsia" w:ascii="宋体" w:hAnsi="宋体" w:cs="宋体"/>
                <w:color w:val="auto"/>
                <w:spacing w:val="2"/>
                <w:w w:val="99"/>
                <w:kern w:val="2"/>
                <w:sz w:val="21"/>
                <w:szCs w:val="21"/>
                <w:highlight w:val="none"/>
                <w:lang w:eastAsia="zh-CN"/>
              </w:rPr>
              <w:t>限</w:t>
            </w:r>
            <w:r>
              <w:rPr>
                <w:rFonts w:hint="eastAsia" w:ascii="宋体" w:hAnsi="宋体" w:cs="宋体"/>
                <w:color w:val="auto"/>
                <w:w w:val="99"/>
                <w:kern w:val="2"/>
                <w:sz w:val="21"/>
                <w:szCs w:val="21"/>
                <w:highlight w:val="none"/>
                <w:lang w:eastAsia="zh-CN"/>
              </w:rPr>
              <w:t>定值及能</w:t>
            </w:r>
            <w:r>
              <w:rPr>
                <w:rFonts w:hint="eastAsia" w:ascii="宋体" w:hAnsi="宋体" w:cs="宋体"/>
                <w:color w:val="auto"/>
                <w:spacing w:val="2"/>
                <w:w w:val="99"/>
                <w:kern w:val="2"/>
                <w:sz w:val="21"/>
                <w:szCs w:val="21"/>
                <w:highlight w:val="none"/>
                <w:lang w:eastAsia="zh-CN"/>
              </w:rPr>
              <w:t>效</w:t>
            </w:r>
            <w:r>
              <w:rPr>
                <w:rFonts w:hint="eastAsia" w:ascii="宋体" w:hAnsi="宋体" w:cs="宋体"/>
                <w:color w:val="auto"/>
                <w:w w:val="99"/>
                <w:kern w:val="2"/>
                <w:sz w:val="21"/>
                <w:szCs w:val="21"/>
                <w:highlight w:val="none"/>
                <w:lang w:eastAsia="zh-CN"/>
              </w:rPr>
              <w:t>等级</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30</w:t>
            </w:r>
            <w:r>
              <w:rPr>
                <w:rFonts w:hint="eastAsia" w:ascii="宋体" w:hAnsi="宋体" w:cs="宋体"/>
                <w:color w:val="auto"/>
                <w:w w:val="99"/>
                <w:kern w:val="2"/>
                <w:sz w:val="21"/>
                <w:szCs w:val="21"/>
                <w:highlight w:val="none"/>
                <w:lang w:eastAsia="zh-CN"/>
              </w:rPr>
              <w:t>25</w:t>
            </w:r>
            <w:r>
              <w:rPr>
                <w:rFonts w:hint="eastAsia" w:ascii="宋体" w:hAnsi="宋体" w:cs="宋体"/>
                <w:color w:val="auto"/>
                <w:spacing w:val="-2"/>
                <w:w w:val="99"/>
                <w:kern w:val="2"/>
                <w:sz w:val="21"/>
                <w:szCs w:val="21"/>
                <w:highlight w:val="none"/>
                <w:lang w:eastAsia="zh-CN"/>
              </w:rPr>
              <w:t>5</w:t>
            </w:r>
            <w:r>
              <w:rPr>
                <w:rFonts w:hint="eastAsia" w:ascii="宋体" w:hAnsi="宋体" w:cs="宋体"/>
                <w:color w:val="auto"/>
                <w:w w:val="99"/>
                <w:kern w:val="2"/>
                <w:sz w:val="21"/>
                <w:szCs w:val="21"/>
                <w:highlight w:val="none"/>
                <w:lang w:eastAsia="zh-CN"/>
              </w:rPr>
              <w:t>）</w:t>
            </w:r>
          </w:p>
        </w:tc>
      </w:tr>
      <w:tr w14:paraId="2706D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7B37EC0">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19737C2">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5788A3A0">
            <w:pPr>
              <w:pStyle w:val="135"/>
              <w:spacing w:line="276" w:lineRule="auto"/>
              <w:ind w:right="7"/>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普</w:t>
            </w:r>
            <w:r>
              <w:rPr>
                <w:rFonts w:hint="eastAsia" w:ascii="宋体" w:hAnsi="宋体" w:cs="宋体"/>
                <w:color w:val="auto"/>
                <w:spacing w:val="24"/>
                <w:w w:val="99"/>
                <w:kern w:val="2"/>
                <w:sz w:val="21"/>
                <w:szCs w:val="21"/>
                <w:highlight w:val="none"/>
                <w:lang w:eastAsia="zh-CN"/>
              </w:rPr>
              <w:t>通</w:t>
            </w:r>
            <w:r>
              <w:rPr>
                <w:rFonts w:hint="eastAsia" w:ascii="宋体" w:hAnsi="宋体" w:cs="宋体"/>
                <w:color w:val="auto"/>
                <w:w w:val="99"/>
                <w:kern w:val="2"/>
                <w:sz w:val="21"/>
                <w:szCs w:val="21"/>
                <w:highlight w:val="none"/>
                <w:lang w:eastAsia="zh-CN"/>
              </w:rPr>
              <w:t>照明用非</w:t>
            </w:r>
            <w:r>
              <w:rPr>
                <w:rFonts w:hint="eastAsia" w:ascii="宋体" w:hAnsi="宋体" w:cs="宋体"/>
                <w:color w:val="auto"/>
                <w:spacing w:val="24"/>
                <w:w w:val="99"/>
                <w:kern w:val="2"/>
                <w:sz w:val="21"/>
                <w:szCs w:val="21"/>
                <w:highlight w:val="none"/>
                <w:lang w:eastAsia="zh-CN"/>
              </w:rPr>
              <w:t>定</w:t>
            </w:r>
            <w:r>
              <w:rPr>
                <w:rFonts w:hint="eastAsia" w:ascii="宋体" w:hAnsi="宋体" w:cs="宋体"/>
                <w:color w:val="auto"/>
                <w:w w:val="99"/>
                <w:kern w:val="2"/>
                <w:sz w:val="21"/>
                <w:szCs w:val="21"/>
                <w:highlight w:val="none"/>
                <w:lang w:eastAsia="zh-CN"/>
              </w:rPr>
              <w:t>向自镇流</w:t>
            </w:r>
            <w:r>
              <w:rPr>
                <w:rFonts w:hint="eastAsia" w:ascii="宋体" w:hAnsi="宋体" w:cs="宋体"/>
                <w:color w:val="auto"/>
                <w:spacing w:val="1"/>
                <w:w w:val="99"/>
                <w:kern w:val="2"/>
                <w:sz w:val="21"/>
                <w:szCs w:val="21"/>
                <w:highlight w:val="none"/>
                <w:lang w:eastAsia="zh-CN"/>
              </w:rPr>
              <w:t>LE</w:t>
            </w:r>
            <w:r>
              <w:rPr>
                <w:rFonts w:hint="eastAsia" w:ascii="宋体" w:hAnsi="宋体" w:cs="宋体"/>
                <w:color w:val="auto"/>
                <w:w w:val="99"/>
                <w:kern w:val="2"/>
                <w:sz w:val="21"/>
                <w:szCs w:val="21"/>
                <w:highlight w:val="none"/>
                <w:lang w:eastAsia="zh-CN"/>
              </w:rPr>
              <w:t>D灯</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34AAFF2">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6D9ACD8A">
            <w:pPr>
              <w:pStyle w:val="135"/>
              <w:spacing w:line="276" w:lineRule="auto"/>
              <w:ind w:right="7"/>
              <w:rPr>
                <w:rFonts w:ascii="宋体" w:hAnsi="宋体" w:cs="宋体"/>
                <w:color w:val="auto"/>
                <w:kern w:val="2"/>
                <w:sz w:val="21"/>
                <w:szCs w:val="21"/>
                <w:highlight w:val="none"/>
                <w:lang w:eastAsia="zh-CN"/>
              </w:rPr>
            </w:pPr>
            <w:r>
              <w:rPr>
                <w:rFonts w:hint="eastAsia" w:ascii="宋体" w:hAnsi="宋体" w:cs="宋体"/>
                <w:color w:val="auto"/>
                <w:spacing w:val="4"/>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室</w:t>
            </w:r>
            <w:r>
              <w:rPr>
                <w:rFonts w:hint="eastAsia" w:ascii="宋体" w:hAnsi="宋体" w:cs="宋体"/>
                <w:color w:val="auto"/>
                <w:spacing w:val="4"/>
                <w:w w:val="99"/>
                <w:kern w:val="2"/>
                <w:sz w:val="21"/>
                <w:szCs w:val="21"/>
                <w:highlight w:val="none"/>
                <w:lang w:eastAsia="zh-CN"/>
              </w:rPr>
              <w:t>内照明</w:t>
            </w:r>
            <w:r>
              <w:rPr>
                <w:rFonts w:hint="eastAsia" w:ascii="宋体" w:hAnsi="宋体" w:cs="宋体"/>
                <w:color w:val="auto"/>
                <w:w w:val="99"/>
                <w:kern w:val="2"/>
                <w:sz w:val="21"/>
                <w:szCs w:val="21"/>
                <w:highlight w:val="none"/>
                <w:lang w:eastAsia="zh-CN"/>
              </w:rPr>
              <w:t>用</w:t>
            </w:r>
            <w:r>
              <w:rPr>
                <w:rFonts w:hint="eastAsia" w:ascii="宋体" w:hAnsi="宋体" w:cs="宋体"/>
                <w:color w:val="auto"/>
                <w:spacing w:val="1"/>
                <w:w w:val="99"/>
                <w:kern w:val="2"/>
                <w:sz w:val="21"/>
                <w:szCs w:val="21"/>
                <w:highlight w:val="none"/>
                <w:lang w:eastAsia="zh-CN"/>
              </w:rPr>
              <w:t>LE</w:t>
            </w:r>
            <w:r>
              <w:rPr>
                <w:rFonts w:hint="eastAsia" w:ascii="宋体" w:hAnsi="宋体" w:cs="宋体"/>
                <w:color w:val="auto"/>
                <w:w w:val="99"/>
                <w:kern w:val="2"/>
                <w:sz w:val="21"/>
                <w:szCs w:val="21"/>
                <w:highlight w:val="none"/>
                <w:lang w:eastAsia="zh-CN"/>
              </w:rPr>
              <w:t>D</w:t>
            </w:r>
            <w:r>
              <w:rPr>
                <w:rFonts w:hint="eastAsia" w:ascii="宋体" w:hAnsi="宋体" w:cs="宋体"/>
                <w:color w:val="auto"/>
                <w:spacing w:val="4"/>
                <w:w w:val="99"/>
                <w:kern w:val="2"/>
                <w:sz w:val="21"/>
                <w:szCs w:val="21"/>
                <w:highlight w:val="none"/>
                <w:lang w:eastAsia="zh-CN"/>
              </w:rPr>
              <w:t>产</w:t>
            </w:r>
            <w:r>
              <w:rPr>
                <w:rFonts w:hint="eastAsia" w:ascii="宋体" w:hAnsi="宋体" w:cs="宋体"/>
                <w:color w:val="auto"/>
                <w:spacing w:val="2"/>
                <w:w w:val="99"/>
                <w:kern w:val="2"/>
                <w:sz w:val="21"/>
                <w:szCs w:val="21"/>
                <w:highlight w:val="none"/>
                <w:lang w:eastAsia="zh-CN"/>
              </w:rPr>
              <w:t>品</w:t>
            </w:r>
            <w:r>
              <w:rPr>
                <w:rFonts w:hint="eastAsia" w:ascii="宋体" w:hAnsi="宋体" w:cs="宋体"/>
                <w:color w:val="auto"/>
                <w:spacing w:val="4"/>
                <w:w w:val="99"/>
                <w:kern w:val="2"/>
                <w:sz w:val="21"/>
                <w:szCs w:val="21"/>
                <w:highlight w:val="none"/>
                <w:lang w:eastAsia="zh-CN"/>
              </w:rPr>
              <w:t>能效</w:t>
            </w:r>
            <w:r>
              <w:rPr>
                <w:rFonts w:hint="eastAsia" w:ascii="宋体" w:hAnsi="宋体" w:cs="宋体"/>
                <w:color w:val="auto"/>
                <w:spacing w:val="2"/>
                <w:w w:val="99"/>
                <w:kern w:val="2"/>
                <w:sz w:val="21"/>
                <w:szCs w:val="21"/>
                <w:highlight w:val="none"/>
                <w:lang w:eastAsia="zh-CN"/>
              </w:rPr>
              <w:t>限</w:t>
            </w:r>
            <w:r>
              <w:rPr>
                <w:rFonts w:hint="eastAsia" w:ascii="宋体" w:hAnsi="宋体" w:cs="宋体"/>
                <w:color w:val="auto"/>
                <w:w w:val="99"/>
                <w:kern w:val="2"/>
                <w:sz w:val="21"/>
                <w:szCs w:val="21"/>
                <w:highlight w:val="none"/>
                <w:lang w:eastAsia="zh-CN"/>
              </w:rPr>
              <w:t>定值及能</w:t>
            </w:r>
            <w:r>
              <w:rPr>
                <w:rFonts w:hint="eastAsia" w:ascii="宋体" w:hAnsi="宋体" w:cs="宋体"/>
                <w:color w:val="auto"/>
                <w:spacing w:val="2"/>
                <w:w w:val="99"/>
                <w:kern w:val="2"/>
                <w:sz w:val="21"/>
                <w:szCs w:val="21"/>
                <w:highlight w:val="none"/>
                <w:lang w:eastAsia="zh-CN"/>
              </w:rPr>
              <w:t>效</w:t>
            </w:r>
            <w:r>
              <w:rPr>
                <w:rFonts w:hint="eastAsia" w:ascii="宋体" w:hAnsi="宋体" w:cs="宋体"/>
                <w:color w:val="auto"/>
                <w:w w:val="99"/>
                <w:kern w:val="2"/>
                <w:sz w:val="21"/>
                <w:szCs w:val="21"/>
                <w:highlight w:val="none"/>
                <w:lang w:eastAsia="zh-CN"/>
              </w:rPr>
              <w:t>等级</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30</w:t>
            </w:r>
            <w:r>
              <w:rPr>
                <w:rFonts w:hint="eastAsia" w:ascii="宋体" w:hAnsi="宋体" w:cs="宋体"/>
                <w:color w:val="auto"/>
                <w:w w:val="99"/>
                <w:kern w:val="2"/>
                <w:sz w:val="21"/>
                <w:szCs w:val="21"/>
                <w:highlight w:val="none"/>
                <w:lang w:eastAsia="zh-CN"/>
              </w:rPr>
              <w:t>25</w:t>
            </w:r>
            <w:r>
              <w:rPr>
                <w:rFonts w:hint="eastAsia" w:ascii="宋体" w:hAnsi="宋体" w:cs="宋体"/>
                <w:color w:val="auto"/>
                <w:spacing w:val="-2"/>
                <w:w w:val="99"/>
                <w:kern w:val="2"/>
                <w:sz w:val="21"/>
                <w:szCs w:val="21"/>
                <w:highlight w:val="none"/>
                <w:lang w:eastAsia="zh-CN"/>
              </w:rPr>
              <w:t>5</w:t>
            </w:r>
            <w:r>
              <w:rPr>
                <w:rFonts w:hint="eastAsia" w:ascii="宋体" w:hAnsi="宋体" w:cs="宋体"/>
                <w:color w:val="auto"/>
                <w:w w:val="99"/>
                <w:kern w:val="2"/>
                <w:sz w:val="21"/>
                <w:szCs w:val="21"/>
                <w:highlight w:val="none"/>
                <w:lang w:eastAsia="zh-CN"/>
              </w:rPr>
              <w:t>）</w:t>
            </w:r>
          </w:p>
        </w:tc>
      </w:tr>
      <w:tr w14:paraId="55C6B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676F353D">
            <w:pPr>
              <w:pStyle w:val="135"/>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2</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7EBD3982">
            <w:pPr>
              <w:pStyle w:val="135"/>
              <w:spacing w:before="81"/>
              <w:ind w:left="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spacing w:val="1"/>
                <w:w w:val="99"/>
                <w:kern w:val="2"/>
                <w:sz w:val="21"/>
                <w:szCs w:val="21"/>
                <w:highlight w:val="none"/>
              </w:rPr>
              <w:t>A020</w:t>
            </w:r>
            <w:r>
              <w:rPr>
                <w:rFonts w:hint="eastAsia" w:ascii="宋体" w:hAnsi="宋体" w:cs="宋体"/>
                <w:color w:val="auto"/>
                <w:w w:val="99"/>
                <w:kern w:val="2"/>
                <w:sz w:val="21"/>
                <w:szCs w:val="21"/>
                <w:highlight w:val="none"/>
              </w:rPr>
              <w:t>91000电视设备</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03DDA134">
            <w:pPr>
              <w:pStyle w:val="135"/>
              <w:spacing w:before="81" w:line="276" w:lineRule="auto"/>
              <w:ind w:left="7" w:right="5"/>
              <w:jc w:val="center"/>
              <w:rPr>
                <w:rFonts w:ascii="宋体" w:hAnsi="宋体" w:cs="宋体"/>
                <w:color w:val="auto"/>
                <w:kern w:val="2"/>
                <w:sz w:val="21"/>
                <w:szCs w:val="21"/>
                <w:highlight w:val="none"/>
                <w:lang w:eastAsia="zh-CN"/>
              </w:rPr>
            </w:pPr>
            <w:r>
              <w:rPr>
                <w:rFonts w:hint="eastAsia" w:ascii="宋体" w:hAnsi="宋体" w:cs="宋体"/>
                <w:color w:val="auto"/>
                <w:spacing w:val="1"/>
                <w:w w:val="99"/>
                <w:kern w:val="2"/>
                <w:sz w:val="21"/>
                <w:szCs w:val="21"/>
                <w:highlight w:val="none"/>
                <w:lang w:eastAsia="zh-CN"/>
              </w:rPr>
              <w:t>A02</w:t>
            </w:r>
            <w:r>
              <w:rPr>
                <w:rFonts w:hint="eastAsia" w:ascii="宋体" w:hAnsi="宋体" w:cs="宋体"/>
                <w:color w:val="auto"/>
                <w:w w:val="99"/>
                <w:kern w:val="2"/>
                <w:sz w:val="21"/>
                <w:szCs w:val="21"/>
                <w:highlight w:val="none"/>
                <w:lang w:eastAsia="zh-CN"/>
              </w:rPr>
              <w:t>09</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001普通电视设备（</w:t>
            </w:r>
            <w:r>
              <w:rPr>
                <w:rFonts w:hint="eastAsia" w:ascii="宋体" w:hAnsi="宋体" w:cs="宋体"/>
                <w:color w:val="auto"/>
                <w:spacing w:val="2"/>
                <w:w w:val="99"/>
                <w:kern w:val="2"/>
                <w:sz w:val="21"/>
                <w:szCs w:val="21"/>
                <w:highlight w:val="none"/>
                <w:lang w:eastAsia="zh-CN"/>
              </w:rPr>
              <w:t>电</w:t>
            </w:r>
            <w:r>
              <w:rPr>
                <w:rFonts w:hint="eastAsia" w:ascii="宋体" w:hAnsi="宋体" w:cs="宋体"/>
                <w:color w:val="auto"/>
                <w:w w:val="99"/>
                <w:kern w:val="2"/>
                <w:sz w:val="21"/>
                <w:szCs w:val="21"/>
                <w:highlight w:val="none"/>
                <w:lang w:eastAsia="zh-CN"/>
              </w:rPr>
              <w:t>视机）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DDAB1CB">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46965E2A">
            <w:pPr>
              <w:pStyle w:val="135"/>
              <w:spacing w:before="81" w:line="276" w:lineRule="auto"/>
              <w:ind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《平板电视能效限定值</w:t>
            </w:r>
            <w:r>
              <w:rPr>
                <w:rFonts w:hint="eastAsia" w:ascii="宋体" w:hAnsi="宋体" w:cs="宋体"/>
                <w:color w:val="auto"/>
                <w:spacing w:val="9"/>
                <w:w w:val="99"/>
                <w:kern w:val="2"/>
                <w:sz w:val="21"/>
                <w:szCs w:val="21"/>
                <w:highlight w:val="none"/>
                <w:lang w:eastAsia="zh-CN"/>
              </w:rPr>
              <w:t>及</w:t>
            </w:r>
            <w:r>
              <w:rPr>
                <w:rFonts w:hint="eastAsia" w:ascii="宋体" w:hAnsi="宋体" w:cs="宋体"/>
                <w:color w:val="auto"/>
                <w:spacing w:val="12"/>
                <w:w w:val="99"/>
                <w:kern w:val="2"/>
                <w:sz w:val="21"/>
                <w:szCs w:val="21"/>
                <w:highlight w:val="none"/>
                <w:lang w:eastAsia="zh-CN"/>
              </w:rPr>
              <w:t>能效</w:t>
            </w:r>
            <w:r>
              <w:rPr>
                <w:rFonts w:hint="eastAsia" w:ascii="宋体" w:hAnsi="宋体" w:cs="宋体"/>
                <w:color w:val="auto"/>
                <w:w w:val="99"/>
                <w:kern w:val="2"/>
                <w:sz w:val="21"/>
                <w:szCs w:val="21"/>
                <w:highlight w:val="none"/>
                <w:lang w:eastAsia="zh-CN"/>
              </w:rPr>
              <w:t>等级》（</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248</w:t>
            </w:r>
            <w:r>
              <w:rPr>
                <w:rFonts w:hint="eastAsia" w:ascii="宋体" w:hAnsi="宋体" w:cs="宋体"/>
                <w:color w:val="auto"/>
                <w:w w:val="99"/>
                <w:kern w:val="2"/>
                <w:sz w:val="21"/>
                <w:szCs w:val="21"/>
                <w:highlight w:val="none"/>
                <w:lang w:eastAsia="zh-CN"/>
              </w:rPr>
              <w:t>50）</w:t>
            </w:r>
          </w:p>
        </w:tc>
      </w:tr>
      <w:tr w14:paraId="24C13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4B6876CA">
            <w:pPr>
              <w:pStyle w:val="135"/>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3</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1CBEC1E9">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spacing w:val="1"/>
                <w:w w:val="99"/>
                <w:kern w:val="2"/>
                <w:sz w:val="21"/>
                <w:szCs w:val="21"/>
                <w:highlight w:val="none"/>
              </w:rPr>
              <w:t>A020</w:t>
            </w:r>
            <w:r>
              <w:rPr>
                <w:rFonts w:hint="eastAsia" w:ascii="宋体" w:hAnsi="宋体" w:cs="宋体"/>
                <w:color w:val="auto"/>
                <w:w w:val="99"/>
                <w:kern w:val="2"/>
                <w:sz w:val="21"/>
                <w:szCs w:val="21"/>
                <w:highlight w:val="none"/>
              </w:rPr>
              <w:t>91100视频设备</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12AD8623">
            <w:pPr>
              <w:pStyle w:val="135"/>
              <w:spacing w:line="276" w:lineRule="auto"/>
              <w:ind w:right="5"/>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A02</w:t>
            </w:r>
            <w:r>
              <w:rPr>
                <w:rFonts w:hint="eastAsia" w:ascii="宋体" w:hAnsi="宋体" w:cs="宋体"/>
                <w:color w:val="auto"/>
                <w:w w:val="99"/>
                <w:kern w:val="2"/>
                <w:sz w:val="21"/>
                <w:szCs w:val="21"/>
                <w:highlight w:val="none"/>
              </w:rPr>
              <w:t>09</w:t>
            </w: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107视频监控设备</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D849801">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监视器</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35586E73">
            <w:pPr>
              <w:pStyle w:val="135"/>
              <w:spacing w:before="28" w:line="276" w:lineRule="auto"/>
              <w:ind w:left="7" w:right="5"/>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以射频信号为主要信号</w:t>
            </w:r>
            <w:r>
              <w:rPr>
                <w:rFonts w:hint="eastAsia" w:ascii="宋体" w:hAnsi="宋体" w:cs="宋体"/>
                <w:color w:val="auto"/>
                <w:spacing w:val="9"/>
                <w:w w:val="99"/>
                <w:kern w:val="2"/>
                <w:sz w:val="21"/>
                <w:szCs w:val="21"/>
                <w:highlight w:val="none"/>
                <w:lang w:eastAsia="zh-CN"/>
              </w:rPr>
              <w:t>输</w:t>
            </w:r>
            <w:r>
              <w:rPr>
                <w:rFonts w:hint="eastAsia" w:ascii="宋体" w:hAnsi="宋体" w:cs="宋体"/>
                <w:color w:val="auto"/>
                <w:spacing w:val="12"/>
                <w:w w:val="99"/>
                <w:kern w:val="2"/>
                <w:sz w:val="21"/>
                <w:szCs w:val="21"/>
                <w:highlight w:val="none"/>
                <w:lang w:eastAsia="zh-CN"/>
              </w:rPr>
              <w:t>入的</w:t>
            </w:r>
            <w:r>
              <w:rPr>
                <w:rFonts w:hint="eastAsia" w:ascii="宋体" w:hAnsi="宋体" w:cs="宋体"/>
                <w:color w:val="auto"/>
                <w:w w:val="99"/>
                <w:kern w:val="2"/>
                <w:sz w:val="21"/>
                <w:szCs w:val="21"/>
                <w:highlight w:val="none"/>
                <w:lang w:eastAsia="zh-CN"/>
              </w:rPr>
              <w:t>监视器应</w:t>
            </w:r>
            <w:r>
              <w:rPr>
                <w:rFonts w:hint="eastAsia" w:ascii="宋体" w:hAnsi="宋体" w:cs="宋体"/>
                <w:color w:val="auto"/>
                <w:spacing w:val="2"/>
                <w:w w:val="99"/>
                <w:kern w:val="2"/>
                <w:sz w:val="21"/>
                <w:szCs w:val="21"/>
                <w:highlight w:val="none"/>
                <w:lang w:eastAsia="zh-CN"/>
              </w:rPr>
              <w:t>符</w:t>
            </w:r>
            <w:r>
              <w:rPr>
                <w:rFonts w:hint="eastAsia" w:ascii="宋体" w:hAnsi="宋体" w:cs="宋体"/>
                <w:color w:val="auto"/>
                <w:spacing w:val="-58"/>
                <w:w w:val="99"/>
                <w:kern w:val="2"/>
                <w:sz w:val="21"/>
                <w:szCs w:val="21"/>
                <w:highlight w:val="none"/>
                <w:lang w:eastAsia="zh-CN"/>
              </w:rPr>
              <w:t>合</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平板</w:t>
            </w:r>
            <w:r>
              <w:rPr>
                <w:rFonts w:hint="eastAsia" w:ascii="宋体" w:hAnsi="宋体" w:cs="宋体"/>
                <w:color w:val="auto"/>
                <w:spacing w:val="2"/>
                <w:w w:val="99"/>
                <w:kern w:val="2"/>
                <w:sz w:val="21"/>
                <w:szCs w:val="21"/>
                <w:highlight w:val="none"/>
                <w:lang w:eastAsia="zh-CN"/>
              </w:rPr>
              <w:t>电</w:t>
            </w:r>
            <w:r>
              <w:rPr>
                <w:rFonts w:hint="eastAsia" w:ascii="宋体" w:hAnsi="宋体" w:cs="宋体"/>
                <w:color w:val="auto"/>
                <w:w w:val="99"/>
                <w:kern w:val="2"/>
                <w:sz w:val="21"/>
                <w:szCs w:val="21"/>
                <w:highlight w:val="none"/>
                <w:lang w:eastAsia="zh-CN"/>
              </w:rPr>
              <w:t>视能</w:t>
            </w:r>
            <w:r>
              <w:rPr>
                <w:rFonts w:hint="eastAsia" w:ascii="宋体" w:hAnsi="宋体" w:cs="宋体"/>
                <w:color w:val="auto"/>
                <w:spacing w:val="2"/>
                <w:w w:val="99"/>
                <w:kern w:val="2"/>
                <w:sz w:val="21"/>
                <w:szCs w:val="21"/>
                <w:highlight w:val="none"/>
                <w:lang w:eastAsia="zh-CN"/>
              </w:rPr>
              <w:t>效</w:t>
            </w:r>
            <w:r>
              <w:rPr>
                <w:rFonts w:hint="eastAsia" w:ascii="宋体" w:hAnsi="宋体" w:cs="宋体"/>
                <w:color w:val="auto"/>
                <w:w w:val="99"/>
                <w:kern w:val="2"/>
                <w:sz w:val="21"/>
                <w:szCs w:val="21"/>
                <w:highlight w:val="none"/>
                <w:lang w:eastAsia="zh-CN"/>
              </w:rPr>
              <w:t>限定值及能效</w:t>
            </w:r>
            <w:r>
              <w:rPr>
                <w:rFonts w:hint="eastAsia" w:ascii="宋体" w:hAnsi="宋体" w:cs="宋体"/>
                <w:color w:val="auto"/>
                <w:spacing w:val="2"/>
                <w:w w:val="99"/>
                <w:kern w:val="2"/>
                <w:sz w:val="21"/>
                <w:szCs w:val="21"/>
                <w:highlight w:val="none"/>
                <w:lang w:eastAsia="zh-CN"/>
              </w:rPr>
              <w:t>等</w:t>
            </w:r>
            <w:r>
              <w:rPr>
                <w:rFonts w:hint="eastAsia" w:ascii="宋体" w:hAnsi="宋体" w:cs="宋体"/>
                <w:color w:val="auto"/>
                <w:w w:val="99"/>
                <w:kern w:val="2"/>
                <w:sz w:val="21"/>
                <w:szCs w:val="21"/>
                <w:highlight w:val="none"/>
                <w:lang w:eastAsia="zh-CN"/>
              </w:rPr>
              <w:t>级》（</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24850</w:t>
            </w:r>
            <w:r>
              <w:rPr>
                <w:rFonts w:hint="eastAsia" w:ascii="宋体" w:hAnsi="宋体" w:cs="宋体"/>
                <w:color w:val="auto"/>
                <w:spacing w:val="-3"/>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2"/>
                <w:w w:val="99"/>
                <w:kern w:val="2"/>
                <w:sz w:val="21"/>
                <w:szCs w:val="21"/>
                <w:highlight w:val="none"/>
                <w:lang w:eastAsia="zh-CN"/>
              </w:rPr>
              <w:t>以数字信号为主要信号</w:t>
            </w:r>
            <w:r>
              <w:rPr>
                <w:rFonts w:hint="eastAsia" w:ascii="宋体" w:hAnsi="宋体" w:cs="宋体"/>
                <w:color w:val="auto"/>
                <w:spacing w:val="9"/>
                <w:w w:val="99"/>
                <w:kern w:val="2"/>
                <w:sz w:val="21"/>
                <w:szCs w:val="21"/>
                <w:highlight w:val="none"/>
                <w:lang w:eastAsia="zh-CN"/>
              </w:rPr>
              <w:t>输</w:t>
            </w:r>
            <w:r>
              <w:rPr>
                <w:rFonts w:hint="eastAsia" w:ascii="宋体" w:hAnsi="宋体" w:cs="宋体"/>
                <w:color w:val="auto"/>
                <w:spacing w:val="12"/>
                <w:w w:val="99"/>
                <w:kern w:val="2"/>
                <w:sz w:val="21"/>
                <w:szCs w:val="21"/>
                <w:highlight w:val="none"/>
                <w:lang w:eastAsia="zh-CN"/>
              </w:rPr>
              <w:t>入的</w:t>
            </w:r>
            <w:r>
              <w:rPr>
                <w:rFonts w:hint="eastAsia" w:ascii="宋体" w:hAnsi="宋体" w:cs="宋体"/>
                <w:color w:val="auto"/>
                <w:w w:val="99"/>
                <w:kern w:val="2"/>
                <w:sz w:val="21"/>
                <w:szCs w:val="21"/>
                <w:highlight w:val="none"/>
                <w:lang w:eastAsia="zh-CN"/>
              </w:rPr>
              <w:t>监视器应</w:t>
            </w:r>
            <w:r>
              <w:rPr>
                <w:rFonts w:hint="eastAsia" w:ascii="宋体" w:hAnsi="宋体" w:cs="宋体"/>
                <w:color w:val="auto"/>
                <w:spacing w:val="2"/>
                <w:w w:val="99"/>
                <w:kern w:val="2"/>
                <w:sz w:val="21"/>
                <w:szCs w:val="21"/>
                <w:highlight w:val="none"/>
                <w:lang w:eastAsia="zh-CN"/>
              </w:rPr>
              <w:t>符</w:t>
            </w:r>
            <w:r>
              <w:rPr>
                <w:rFonts w:hint="eastAsia" w:ascii="宋体" w:hAnsi="宋体" w:cs="宋体"/>
                <w:color w:val="auto"/>
                <w:spacing w:val="-58"/>
                <w:w w:val="99"/>
                <w:kern w:val="2"/>
                <w:sz w:val="21"/>
                <w:szCs w:val="21"/>
                <w:highlight w:val="none"/>
                <w:lang w:eastAsia="zh-CN"/>
              </w:rPr>
              <w:t>合</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计算</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显示</w:t>
            </w:r>
            <w:r>
              <w:rPr>
                <w:rFonts w:hint="eastAsia" w:ascii="宋体" w:hAnsi="宋体" w:cs="宋体"/>
                <w:color w:val="auto"/>
                <w:spacing w:val="2"/>
                <w:w w:val="99"/>
                <w:kern w:val="2"/>
                <w:sz w:val="21"/>
                <w:szCs w:val="21"/>
                <w:highlight w:val="none"/>
                <w:lang w:eastAsia="zh-CN"/>
              </w:rPr>
              <w:t>器</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0</w:t>
            </w:r>
            <w:r>
              <w:rPr>
                <w:rFonts w:hint="eastAsia" w:ascii="宋体" w:hAnsi="宋体" w:cs="宋体"/>
                <w:color w:val="auto"/>
                <w:w w:val="99"/>
                <w:kern w:val="2"/>
                <w:sz w:val="21"/>
                <w:szCs w:val="21"/>
                <w:highlight w:val="none"/>
                <w:lang w:eastAsia="zh-CN"/>
              </w:rPr>
              <w:t>）</w:t>
            </w:r>
          </w:p>
        </w:tc>
      </w:tr>
      <w:tr w14:paraId="706FF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13465F43">
            <w:pPr>
              <w:pStyle w:val="135"/>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4</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58BB2CF6">
            <w:pPr>
              <w:pStyle w:val="135"/>
              <w:spacing w:before="76"/>
              <w:ind w:left="7"/>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A02241000</w:t>
            </w:r>
            <w:r>
              <w:rPr>
                <w:rFonts w:hint="eastAsia" w:ascii="宋体" w:hAnsi="宋体" w:cs="宋体"/>
                <w:color w:val="auto"/>
                <w:w w:val="99"/>
                <w:kern w:val="2"/>
                <w:sz w:val="21"/>
                <w:szCs w:val="21"/>
                <w:highlight w:val="none"/>
              </w:rPr>
              <w:t>饮食炊事机械</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4B679134">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商用燃</w:t>
            </w:r>
            <w:r>
              <w:rPr>
                <w:rFonts w:hint="eastAsia" w:ascii="宋体" w:hAnsi="宋体" w:cs="宋体"/>
                <w:color w:val="auto"/>
                <w:spacing w:val="2"/>
                <w:w w:val="99"/>
                <w:kern w:val="2"/>
                <w:sz w:val="21"/>
                <w:szCs w:val="21"/>
                <w:highlight w:val="none"/>
              </w:rPr>
              <w:t>气</w:t>
            </w:r>
            <w:r>
              <w:rPr>
                <w:rFonts w:hint="eastAsia" w:ascii="宋体" w:hAnsi="宋体" w:cs="宋体"/>
                <w:color w:val="auto"/>
                <w:w w:val="99"/>
                <w:kern w:val="2"/>
                <w:sz w:val="21"/>
                <w:szCs w:val="21"/>
                <w:highlight w:val="none"/>
              </w:rPr>
              <w:t>灶具</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19FAD94">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06C467AB">
            <w:pPr>
              <w:pStyle w:val="135"/>
              <w:spacing w:before="76"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《商用燃气灶具能效限</w:t>
            </w:r>
            <w:r>
              <w:rPr>
                <w:rFonts w:hint="eastAsia" w:ascii="宋体" w:hAnsi="宋体" w:cs="宋体"/>
                <w:color w:val="auto"/>
                <w:spacing w:val="9"/>
                <w:w w:val="99"/>
                <w:kern w:val="2"/>
                <w:sz w:val="21"/>
                <w:szCs w:val="21"/>
                <w:highlight w:val="none"/>
                <w:lang w:eastAsia="zh-CN"/>
              </w:rPr>
              <w:t>定</w:t>
            </w:r>
            <w:r>
              <w:rPr>
                <w:rFonts w:hint="eastAsia" w:ascii="宋体" w:hAnsi="宋体" w:cs="宋体"/>
                <w:color w:val="auto"/>
                <w:spacing w:val="12"/>
                <w:w w:val="99"/>
                <w:kern w:val="2"/>
                <w:sz w:val="21"/>
                <w:szCs w:val="21"/>
                <w:highlight w:val="none"/>
                <w:lang w:eastAsia="zh-CN"/>
              </w:rPr>
              <w:t>值及</w:t>
            </w:r>
            <w:r>
              <w:rPr>
                <w:rFonts w:hint="eastAsia" w:ascii="宋体" w:hAnsi="宋体" w:cs="宋体"/>
                <w:color w:val="auto"/>
                <w:w w:val="99"/>
                <w:kern w:val="2"/>
                <w:sz w:val="21"/>
                <w:szCs w:val="21"/>
                <w:highlight w:val="none"/>
                <w:lang w:eastAsia="zh-CN"/>
              </w:rPr>
              <w:t>能效等级</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30</w:t>
            </w:r>
            <w:r>
              <w:rPr>
                <w:rFonts w:hint="eastAsia" w:ascii="宋体" w:hAnsi="宋体" w:cs="宋体"/>
                <w:color w:val="auto"/>
                <w:w w:val="99"/>
                <w:kern w:val="2"/>
                <w:sz w:val="21"/>
                <w:szCs w:val="21"/>
                <w:highlight w:val="none"/>
                <w:lang w:eastAsia="zh-CN"/>
              </w:rPr>
              <w:t>53</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3D3FA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ign w:val="center"/>
          </w:tcPr>
          <w:p w14:paraId="5F028CA4">
            <w:pPr>
              <w:jc w:val="center"/>
              <w:rPr>
                <w:rFonts w:ascii="宋体" w:hAnsi="宋体" w:cs="宋体"/>
                <w:color w:val="auto"/>
                <w:szCs w:val="21"/>
                <w:highlight w:val="none"/>
              </w:rPr>
            </w:pPr>
            <w:r>
              <w:rPr>
                <w:rFonts w:hint="eastAsia" w:ascii="宋体" w:hAnsi="宋体" w:cs="宋体"/>
                <w:color w:val="auto"/>
                <w:szCs w:val="21"/>
                <w:highlight w:val="none"/>
              </w:rPr>
              <w:t>15</w:t>
            </w:r>
          </w:p>
        </w:tc>
        <w:tc>
          <w:tcPr>
            <w:tcW w:w="1422" w:type="dxa"/>
            <w:vMerge w:val="restart"/>
            <w:tcBorders>
              <w:top w:val="single" w:color="000000" w:sz="4" w:space="0"/>
              <w:left w:val="single" w:color="000000" w:sz="4" w:space="0"/>
              <w:bottom w:val="single" w:color="000000" w:sz="4" w:space="0"/>
              <w:right w:val="single" w:color="000000" w:sz="4" w:space="0"/>
            </w:tcBorders>
            <w:noWrap/>
            <w:vAlign w:val="center"/>
          </w:tcPr>
          <w:p w14:paraId="267840FC">
            <w:pPr>
              <w:pStyle w:val="135"/>
              <w:jc w:val="center"/>
              <w:rPr>
                <w:rFonts w:ascii="宋体" w:hAnsi="宋体" w:cs="宋体"/>
                <w:color w:val="auto"/>
                <w:w w:val="99"/>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kern w:val="2"/>
                <w:sz w:val="21"/>
                <w:szCs w:val="21"/>
                <w:highlight w:val="none"/>
              </w:rPr>
              <w:t>A05020105</w:t>
            </w:r>
            <w:r>
              <w:rPr>
                <w:rFonts w:hint="eastAsia" w:ascii="宋体" w:hAnsi="宋体" w:cs="宋体"/>
                <w:color w:val="auto"/>
                <w:w w:val="99"/>
                <w:kern w:val="2"/>
                <w:sz w:val="21"/>
                <w:szCs w:val="21"/>
                <w:highlight w:val="none"/>
              </w:rPr>
              <w:t>便器</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7F808A41">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坐便器</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2756314">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31952A6C">
            <w:pPr>
              <w:pStyle w:val="135"/>
              <w:spacing w:before="124"/>
              <w:ind w:lef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《坐便</w:t>
            </w:r>
            <w:r>
              <w:rPr>
                <w:rFonts w:hint="eastAsia" w:ascii="宋体" w:hAnsi="宋体" w:cs="宋体"/>
                <w:color w:val="auto"/>
                <w:spacing w:val="2"/>
                <w:w w:val="99"/>
                <w:kern w:val="2"/>
                <w:sz w:val="21"/>
                <w:szCs w:val="21"/>
                <w:highlight w:val="none"/>
                <w:lang w:eastAsia="zh-CN"/>
              </w:rPr>
              <w:t>器</w:t>
            </w:r>
            <w:r>
              <w:rPr>
                <w:rFonts w:hint="eastAsia" w:ascii="宋体" w:hAnsi="宋体" w:cs="宋体"/>
                <w:color w:val="auto"/>
                <w:w w:val="99"/>
                <w:kern w:val="2"/>
                <w:sz w:val="21"/>
                <w:szCs w:val="21"/>
                <w:highlight w:val="none"/>
                <w:lang w:eastAsia="zh-CN"/>
              </w:rPr>
              <w:t>水效</w:t>
            </w:r>
            <w:r>
              <w:rPr>
                <w:rFonts w:hint="eastAsia" w:ascii="宋体" w:hAnsi="宋体" w:cs="宋体"/>
                <w:color w:val="auto"/>
                <w:spacing w:val="2"/>
                <w:w w:val="99"/>
                <w:kern w:val="2"/>
                <w:sz w:val="21"/>
                <w:szCs w:val="21"/>
                <w:highlight w:val="none"/>
                <w:lang w:eastAsia="zh-CN"/>
              </w:rPr>
              <w:t>限</w:t>
            </w:r>
            <w:r>
              <w:rPr>
                <w:rFonts w:hint="eastAsia" w:ascii="宋体" w:hAnsi="宋体" w:cs="宋体"/>
                <w:color w:val="auto"/>
                <w:w w:val="99"/>
                <w:kern w:val="2"/>
                <w:sz w:val="21"/>
                <w:szCs w:val="21"/>
                <w:highlight w:val="none"/>
                <w:lang w:eastAsia="zh-CN"/>
              </w:rPr>
              <w:t>定值</w:t>
            </w:r>
            <w:r>
              <w:rPr>
                <w:rFonts w:hint="eastAsia" w:ascii="宋体" w:hAnsi="宋体" w:cs="宋体"/>
                <w:color w:val="auto"/>
                <w:spacing w:val="2"/>
                <w:w w:val="99"/>
                <w:kern w:val="2"/>
                <w:sz w:val="21"/>
                <w:szCs w:val="21"/>
                <w:highlight w:val="none"/>
                <w:lang w:eastAsia="zh-CN"/>
              </w:rPr>
              <w:t>及</w:t>
            </w:r>
            <w:r>
              <w:rPr>
                <w:rFonts w:hint="eastAsia" w:ascii="宋体" w:hAnsi="宋体" w:cs="宋体"/>
                <w:color w:val="auto"/>
                <w:w w:val="99"/>
                <w:kern w:val="2"/>
                <w:sz w:val="21"/>
                <w:szCs w:val="21"/>
                <w:highlight w:val="none"/>
                <w:lang w:eastAsia="zh-CN"/>
              </w:rPr>
              <w:t>水</w:t>
            </w:r>
            <w:r>
              <w:rPr>
                <w:rFonts w:hint="eastAsia" w:ascii="宋体" w:hAnsi="宋体" w:cs="宋体"/>
                <w:color w:val="auto"/>
                <w:spacing w:val="2"/>
                <w:w w:val="99"/>
                <w:kern w:val="2"/>
                <w:sz w:val="21"/>
                <w:szCs w:val="21"/>
                <w:highlight w:val="none"/>
                <w:lang w:eastAsia="zh-CN"/>
              </w:rPr>
              <w:t>效</w:t>
            </w:r>
            <w:r>
              <w:rPr>
                <w:rFonts w:hint="eastAsia" w:ascii="宋体" w:hAnsi="宋体" w:cs="宋体"/>
                <w:color w:val="auto"/>
                <w:w w:val="99"/>
                <w:kern w:val="2"/>
                <w:sz w:val="21"/>
                <w:szCs w:val="21"/>
                <w:highlight w:val="none"/>
                <w:lang w:eastAsia="zh-CN"/>
              </w:rPr>
              <w:t>等级》</w:t>
            </w:r>
          </w:p>
          <w:p w14:paraId="751FFBBC">
            <w:pPr>
              <w:pStyle w:val="135"/>
              <w:spacing w:before="50"/>
              <w:ind w:left="7"/>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spacing w:val="1"/>
                <w:w w:val="99"/>
                <w:kern w:val="2"/>
                <w:sz w:val="21"/>
                <w:szCs w:val="21"/>
                <w:highlight w:val="none"/>
              </w:rPr>
              <w:t>G</w:t>
            </w:r>
            <w:r>
              <w:rPr>
                <w:rFonts w:hint="eastAsia" w:ascii="宋体" w:hAnsi="宋体" w:cs="宋体"/>
                <w:color w:val="auto"/>
                <w:w w:val="99"/>
                <w:kern w:val="2"/>
                <w:sz w:val="21"/>
                <w:szCs w:val="21"/>
                <w:highlight w:val="none"/>
              </w:rPr>
              <w:t>B</w:t>
            </w:r>
            <w:r>
              <w:rPr>
                <w:rFonts w:hint="eastAsia" w:ascii="宋体" w:hAnsi="宋体" w:cs="宋体"/>
                <w:color w:val="auto"/>
                <w:spacing w:val="1"/>
                <w:w w:val="99"/>
                <w:kern w:val="2"/>
                <w:sz w:val="21"/>
                <w:szCs w:val="21"/>
                <w:highlight w:val="none"/>
              </w:rPr>
              <w:t>2</w:t>
            </w:r>
            <w:r>
              <w:rPr>
                <w:rFonts w:hint="eastAsia" w:ascii="宋体" w:hAnsi="宋体" w:cs="宋体"/>
                <w:color w:val="auto"/>
                <w:w w:val="99"/>
                <w:kern w:val="2"/>
                <w:sz w:val="21"/>
                <w:szCs w:val="21"/>
                <w:highlight w:val="none"/>
              </w:rPr>
              <w:t>55</w:t>
            </w:r>
            <w:r>
              <w:rPr>
                <w:rFonts w:hint="eastAsia" w:ascii="宋体" w:hAnsi="宋体" w:cs="宋体"/>
                <w:color w:val="auto"/>
                <w:spacing w:val="1"/>
                <w:w w:val="99"/>
                <w:kern w:val="2"/>
                <w:sz w:val="21"/>
                <w:szCs w:val="21"/>
                <w:highlight w:val="none"/>
              </w:rPr>
              <w:t>02</w:t>
            </w:r>
            <w:r>
              <w:rPr>
                <w:rFonts w:hint="eastAsia" w:ascii="宋体" w:hAnsi="宋体" w:cs="宋体"/>
                <w:color w:val="auto"/>
                <w:w w:val="99"/>
                <w:kern w:val="2"/>
                <w:sz w:val="21"/>
                <w:szCs w:val="21"/>
                <w:highlight w:val="none"/>
              </w:rPr>
              <w:t>）</w:t>
            </w:r>
          </w:p>
        </w:tc>
      </w:tr>
      <w:tr w14:paraId="66B39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FA50B5B">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2545F42">
            <w:pPr>
              <w:widowControl/>
              <w:jc w:val="left"/>
              <w:rPr>
                <w:rFonts w:ascii="宋体" w:hAnsi="宋体" w:cs="宋体"/>
                <w:color w:val="auto"/>
                <w:w w:val="99"/>
                <w:szCs w:val="21"/>
                <w:highlight w:val="none"/>
                <w:lang w:eastAsia="en-US"/>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4FE9E478">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蹲便器</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2857AFE">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09FC0D80">
            <w:pPr>
              <w:pStyle w:val="135"/>
              <w:spacing w:before="124"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《蹲便器用水效率限定</w:t>
            </w:r>
            <w:r>
              <w:rPr>
                <w:rFonts w:hint="eastAsia" w:ascii="宋体" w:hAnsi="宋体" w:cs="宋体"/>
                <w:color w:val="auto"/>
                <w:spacing w:val="9"/>
                <w:w w:val="99"/>
                <w:kern w:val="2"/>
                <w:sz w:val="21"/>
                <w:szCs w:val="21"/>
                <w:highlight w:val="none"/>
                <w:lang w:eastAsia="zh-CN"/>
              </w:rPr>
              <w:t>值</w:t>
            </w:r>
            <w:r>
              <w:rPr>
                <w:rFonts w:hint="eastAsia" w:ascii="宋体" w:hAnsi="宋体" w:cs="宋体"/>
                <w:color w:val="auto"/>
                <w:spacing w:val="12"/>
                <w:w w:val="99"/>
                <w:kern w:val="2"/>
                <w:sz w:val="21"/>
                <w:szCs w:val="21"/>
                <w:highlight w:val="none"/>
                <w:lang w:eastAsia="zh-CN"/>
              </w:rPr>
              <w:t>及用</w:t>
            </w:r>
            <w:r>
              <w:rPr>
                <w:rFonts w:hint="eastAsia" w:ascii="宋体" w:hAnsi="宋体" w:cs="宋体"/>
                <w:color w:val="auto"/>
                <w:w w:val="99"/>
                <w:kern w:val="2"/>
                <w:sz w:val="21"/>
                <w:szCs w:val="21"/>
                <w:highlight w:val="none"/>
                <w:lang w:eastAsia="zh-CN"/>
              </w:rPr>
              <w:t>水效率等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307</w:t>
            </w:r>
            <w:r>
              <w:rPr>
                <w:rFonts w:hint="eastAsia" w:ascii="宋体" w:hAnsi="宋体" w:cs="宋体"/>
                <w:color w:val="auto"/>
                <w:w w:val="99"/>
                <w:kern w:val="2"/>
                <w:sz w:val="21"/>
                <w:szCs w:val="21"/>
                <w:highlight w:val="none"/>
                <w:lang w:eastAsia="zh-CN"/>
              </w:rPr>
              <w:t>1</w:t>
            </w:r>
            <w:r>
              <w:rPr>
                <w:rFonts w:hint="eastAsia" w:ascii="宋体" w:hAnsi="宋体" w:cs="宋体"/>
                <w:color w:val="auto"/>
                <w:spacing w:val="-1"/>
                <w:w w:val="99"/>
                <w:kern w:val="2"/>
                <w:sz w:val="21"/>
                <w:szCs w:val="21"/>
                <w:highlight w:val="none"/>
                <w:lang w:eastAsia="zh-CN"/>
              </w:rPr>
              <w:t>7</w:t>
            </w:r>
            <w:r>
              <w:rPr>
                <w:rFonts w:hint="eastAsia" w:ascii="宋体" w:hAnsi="宋体" w:cs="宋体"/>
                <w:color w:val="auto"/>
                <w:w w:val="99"/>
                <w:kern w:val="2"/>
                <w:sz w:val="21"/>
                <w:szCs w:val="21"/>
                <w:highlight w:val="none"/>
                <w:lang w:eastAsia="zh-CN"/>
              </w:rPr>
              <w:t>）</w:t>
            </w:r>
          </w:p>
        </w:tc>
      </w:tr>
      <w:tr w14:paraId="11D2C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3F66EC1">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47812D3">
            <w:pPr>
              <w:widowControl/>
              <w:jc w:val="left"/>
              <w:rPr>
                <w:rFonts w:ascii="宋体" w:hAnsi="宋体" w:cs="宋体"/>
                <w:color w:val="auto"/>
                <w:w w:val="99"/>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0252087A">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小便器</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9EE119E">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2966F974">
            <w:pPr>
              <w:pStyle w:val="135"/>
              <w:spacing w:before="124"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《小便器用水效率限定</w:t>
            </w:r>
            <w:r>
              <w:rPr>
                <w:rFonts w:hint="eastAsia" w:ascii="宋体" w:hAnsi="宋体" w:cs="宋体"/>
                <w:color w:val="auto"/>
                <w:spacing w:val="9"/>
                <w:w w:val="99"/>
                <w:kern w:val="2"/>
                <w:sz w:val="21"/>
                <w:szCs w:val="21"/>
                <w:highlight w:val="none"/>
                <w:lang w:eastAsia="zh-CN"/>
              </w:rPr>
              <w:t>值</w:t>
            </w:r>
            <w:r>
              <w:rPr>
                <w:rFonts w:hint="eastAsia" w:ascii="宋体" w:hAnsi="宋体" w:cs="宋体"/>
                <w:color w:val="auto"/>
                <w:spacing w:val="12"/>
                <w:w w:val="99"/>
                <w:kern w:val="2"/>
                <w:sz w:val="21"/>
                <w:szCs w:val="21"/>
                <w:highlight w:val="none"/>
                <w:lang w:eastAsia="zh-CN"/>
              </w:rPr>
              <w:t>及用</w:t>
            </w:r>
            <w:r>
              <w:rPr>
                <w:rFonts w:hint="eastAsia" w:ascii="宋体" w:hAnsi="宋体" w:cs="宋体"/>
                <w:color w:val="auto"/>
                <w:w w:val="99"/>
                <w:kern w:val="2"/>
                <w:sz w:val="21"/>
                <w:szCs w:val="21"/>
                <w:highlight w:val="none"/>
                <w:lang w:eastAsia="zh-CN"/>
              </w:rPr>
              <w:t>水效率等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283</w:t>
            </w:r>
            <w:r>
              <w:rPr>
                <w:rFonts w:hint="eastAsia" w:ascii="宋体" w:hAnsi="宋体" w:cs="宋体"/>
                <w:color w:val="auto"/>
                <w:w w:val="99"/>
                <w:kern w:val="2"/>
                <w:sz w:val="21"/>
                <w:szCs w:val="21"/>
                <w:highlight w:val="none"/>
                <w:lang w:eastAsia="zh-CN"/>
              </w:rPr>
              <w:t>7</w:t>
            </w:r>
            <w:r>
              <w:rPr>
                <w:rFonts w:hint="eastAsia" w:ascii="宋体" w:hAnsi="宋体" w:cs="宋体"/>
                <w:color w:val="auto"/>
                <w:spacing w:val="-1"/>
                <w:w w:val="99"/>
                <w:kern w:val="2"/>
                <w:sz w:val="21"/>
                <w:szCs w:val="21"/>
                <w:highlight w:val="none"/>
                <w:lang w:eastAsia="zh-CN"/>
              </w:rPr>
              <w:t>7</w:t>
            </w:r>
            <w:r>
              <w:rPr>
                <w:rFonts w:hint="eastAsia" w:ascii="宋体" w:hAnsi="宋体" w:cs="宋体"/>
                <w:color w:val="auto"/>
                <w:w w:val="99"/>
                <w:kern w:val="2"/>
                <w:sz w:val="21"/>
                <w:szCs w:val="21"/>
                <w:highlight w:val="none"/>
                <w:lang w:eastAsia="zh-CN"/>
              </w:rPr>
              <w:t>）</w:t>
            </w:r>
          </w:p>
        </w:tc>
      </w:tr>
      <w:tr w14:paraId="14B3F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207282A2">
            <w:pPr>
              <w:pStyle w:val="135"/>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16</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364CE73D">
            <w:pPr>
              <w:pStyle w:val="135"/>
              <w:spacing w:before="153"/>
              <w:ind w:left="7"/>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★A05020106水</w:t>
            </w:r>
            <w:r>
              <w:rPr>
                <w:rFonts w:hint="eastAsia" w:ascii="宋体" w:hAnsi="宋体" w:cs="宋体"/>
                <w:color w:val="auto"/>
                <w:w w:val="99"/>
                <w:kern w:val="2"/>
                <w:sz w:val="21"/>
                <w:szCs w:val="21"/>
                <w:highlight w:val="none"/>
              </w:rPr>
              <w:t>嘴</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298F414B">
            <w:pPr>
              <w:jc w:val="center"/>
              <w:rPr>
                <w:rFonts w:ascii="宋体" w:hAnsi="宋体" w:cs="宋体"/>
                <w:color w:val="auto"/>
                <w:szCs w:val="21"/>
                <w:highlight w:val="none"/>
                <w:lang w:eastAsia="en-US"/>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F05BEB7">
            <w:pPr>
              <w:jc w:val="center"/>
              <w:rPr>
                <w:rFonts w:ascii="宋体" w:hAnsi="宋体" w:cs="宋体"/>
                <w:color w:val="auto"/>
                <w:szCs w:val="21"/>
                <w:highlight w:val="none"/>
                <w:lang w:eastAsia="en-US"/>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406ABF30">
            <w:pPr>
              <w:pStyle w:val="135"/>
              <w:spacing w:before="153"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0"/>
                <w:kern w:val="2"/>
                <w:sz w:val="21"/>
                <w:szCs w:val="21"/>
                <w:highlight w:val="none"/>
                <w:lang w:eastAsia="zh-CN"/>
              </w:rPr>
              <w:t>《水嘴用水效率限定值及用水效</w:t>
            </w:r>
            <w:r>
              <w:rPr>
                <w:rFonts w:hint="eastAsia" w:ascii="宋体" w:hAnsi="宋体" w:cs="宋体"/>
                <w:color w:val="auto"/>
                <w:kern w:val="2"/>
                <w:sz w:val="21"/>
                <w:szCs w:val="21"/>
                <w:highlight w:val="none"/>
                <w:lang w:eastAsia="zh-CN"/>
              </w:rPr>
              <w:t>率等级》（GB 25501）</w:t>
            </w:r>
          </w:p>
        </w:tc>
      </w:tr>
      <w:tr w14:paraId="19D2F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014B1C9F">
            <w:pPr>
              <w:pStyle w:val="135"/>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17</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0DE8D696">
            <w:pPr>
              <w:pStyle w:val="135"/>
              <w:spacing w:before="112"/>
              <w:ind w:left="7"/>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A05020107便器冲洗阀</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12EFE604">
            <w:pPr>
              <w:jc w:val="center"/>
              <w:rPr>
                <w:rFonts w:ascii="宋体" w:hAnsi="宋体" w:cs="宋体"/>
                <w:color w:val="auto"/>
                <w:szCs w:val="21"/>
                <w:highlight w:val="none"/>
                <w:lang w:eastAsia="en-US"/>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4C25FE8">
            <w:pPr>
              <w:jc w:val="center"/>
              <w:rPr>
                <w:rFonts w:ascii="宋体" w:hAnsi="宋体" w:cs="宋体"/>
                <w:color w:val="auto"/>
                <w:szCs w:val="21"/>
                <w:highlight w:val="none"/>
                <w:lang w:eastAsia="en-US"/>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4DC79D10">
            <w:pPr>
              <w:pStyle w:val="135"/>
              <w:spacing w:before="112"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0"/>
                <w:kern w:val="2"/>
                <w:sz w:val="21"/>
                <w:szCs w:val="21"/>
                <w:highlight w:val="none"/>
                <w:lang w:eastAsia="zh-CN"/>
              </w:rPr>
              <w:t>《便器冲洗阀用水效率限定值及</w:t>
            </w:r>
            <w:r>
              <w:rPr>
                <w:rFonts w:hint="eastAsia" w:ascii="宋体" w:hAnsi="宋体" w:cs="宋体"/>
                <w:color w:val="auto"/>
                <w:kern w:val="2"/>
                <w:sz w:val="21"/>
                <w:szCs w:val="21"/>
                <w:highlight w:val="none"/>
                <w:lang w:eastAsia="zh-CN"/>
              </w:rPr>
              <w:t>用水效率等级》（GB28379）</w:t>
            </w:r>
          </w:p>
        </w:tc>
      </w:tr>
      <w:tr w14:paraId="512BC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16BD4AA5">
            <w:pPr>
              <w:pStyle w:val="135"/>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18</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33399F45">
            <w:pPr>
              <w:pStyle w:val="135"/>
              <w:spacing w:before="131"/>
              <w:ind w:left="7"/>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A05020110淋浴</w:t>
            </w:r>
            <w:r>
              <w:rPr>
                <w:rFonts w:hint="eastAsia" w:ascii="宋体" w:hAnsi="宋体" w:cs="宋体"/>
                <w:color w:val="auto"/>
                <w:w w:val="99"/>
                <w:kern w:val="2"/>
                <w:sz w:val="21"/>
                <w:szCs w:val="21"/>
                <w:highlight w:val="none"/>
              </w:rPr>
              <w:t>器</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1FCE508E">
            <w:pPr>
              <w:jc w:val="center"/>
              <w:rPr>
                <w:rFonts w:ascii="宋体" w:hAnsi="宋体" w:cs="宋体"/>
                <w:color w:val="auto"/>
                <w:szCs w:val="21"/>
                <w:highlight w:val="none"/>
                <w:lang w:eastAsia="en-US"/>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A468C90">
            <w:pPr>
              <w:jc w:val="center"/>
              <w:rPr>
                <w:rFonts w:ascii="宋体" w:hAnsi="宋体" w:cs="宋体"/>
                <w:color w:val="auto"/>
                <w:szCs w:val="21"/>
                <w:highlight w:val="none"/>
                <w:lang w:eastAsia="en-US"/>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161449B9">
            <w:pPr>
              <w:pStyle w:val="135"/>
              <w:spacing w:before="131"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0"/>
                <w:kern w:val="2"/>
                <w:sz w:val="21"/>
                <w:szCs w:val="21"/>
                <w:highlight w:val="none"/>
                <w:lang w:eastAsia="zh-CN"/>
              </w:rPr>
              <w:t>《淋浴器用水效率限定值及用水</w:t>
            </w:r>
            <w:r>
              <w:rPr>
                <w:rFonts w:hint="eastAsia" w:ascii="宋体" w:hAnsi="宋体" w:cs="宋体"/>
                <w:color w:val="auto"/>
                <w:kern w:val="2"/>
                <w:sz w:val="21"/>
                <w:szCs w:val="21"/>
                <w:highlight w:val="none"/>
                <w:lang w:eastAsia="zh-CN"/>
              </w:rPr>
              <w:t>效率等级》（GB28378）</w:t>
            </w:r>
          </w:p>
        </w:tc>
      </w:tr>
    </w:tbl>
    <w:p w14:paraId="51EBDB02">
      <w:pPr>
        <w:pStyle w:val="19"/>
        <w:spacing w:line="360" w:lineRule="auto"/>
        <w:rPr>
          <w:rFonts w:ascii="宋体" w:hAnsi="宋体" w:cs="宋体"/>
          <w:color w:val="auto"/>
          <w:kern w:val="2"/>
          <w:sz w:val="21"/>
          <w:szCs w:val="21"/>
          <w:highlight w:val="none"/>
        </w:rPr>
      </w:pPr>
      <w:r>
        <w:rPr>
          <w:rFonts w:hint="eastAsia" w:ascii="宋体" w:hAnsi="宋体" w:cs="宋体"/>
          <w:color w:val="auto"/>
          <w:spacing w:val="-3"/>
          <w:sz w:val="21"/>
          <w:szCs w:val="21"/>
          <w:highlight w:val="none"/>
        </w:rPr>
        <w:t>注：1.节能产品认证应依据相关国家标准的最新版本，依据国家标准中二级能效（水效）</w:t>
      </w:r>
      <w:r>
        <w:rPr>
          <w:rFonts w:hint="eastAsia" w:ascii="宋体" w:hAnsi="宋体" w:cs="宋体"/>
          <w:color w:val="auto"/>
          <w:sz w:val="21"/>
          <w:szCs w:val="21"/>
          <w:highlight w:val="none"/>
        </w:rPr>
        <w:t>指标。</w:t>
      </w:r>
    </w:p>
    <w:p w14:paraId="7D63149E">
      <w:pPr>
        <w:pStyle w:val="19"/>
        <w:spacing w:line="360" w:lineRule="auto"/>
        <w:ind w:firstLine="465"/>
        <w:rPr>
          <w:rFonts w:ascii="宋体" w:hAnsi="宋体" w:cs="宋体"/>
          <w:color w:val="auto"/>
          <w:sz w:val="21"/>
          <w:szCs w:val="21"/>
          <w:highlight w:val="none"/>
        </w:rPr>
      </w:pPr>
      <w:r>
        <w:rPr>
          <w:rFonts w:hint="eastAsia" w:ascii="宋体" w:hAnsi="宋体" w:cs="宋体"/>
          <w:color w:val="auto"/>
          <w:sz w:val="21"/>
          <w:szCs w:val="21"/>
          <w:highlight w:val="none"/>
        </w:rPr>
        <w:t>2.以“★”标注的为政府强制采购产品。</w:t>
      </w:r>
    </w:p>
    <w:p w14:paraId="021297B5">
      <w:pPr>
        <w:pStyle w:val="19"/>
        <w:spacing w:line="360" w:lineRule="auto"/>
        <w:ind w:firstLine="465"/>
        <w:rPr>
          <w:rFonts w:ascii="宋体" w:hAnsi="宋体" w:cs="宋体"/>
          <w:color w:val="auto"/>
          <w:sz w:val="21"/>
          <w:szCs w:val="21"/>
          <w:highlight w:val="none"/>
        </w:rPr>
      </w:pPr>
      <w:r>
        <w:rPr>
          <w:rFonts w:hint="eastAsia" w:ascii="宋体" w:hAnsi="宋体" w:cs="宋体"/>
          <w:color w:val="auto"/>
          <w:sz w:val="21"/>
          <w:szCs w:val="21"/>
          <w:highlight w:val="none"/>
        </w:rPr>
        <w:t>3.本表格原为《关于印发节能产品政府采购品目清单的通知》（财库〔2019〕19号）规定的表格附件，其中名称及编码已根据《财政部关于印发〈政府采购品目分类目录〉的通知》（财库〔2022〕31号）修改。</w:t>
      </w:r>
    </w:p>
    <w:p w14:paraId="628F15DE">
      <w:pPr>
        <w:widowControl/>
        <w:jc w:val="left"/>
        <w:rPr>
          <w:rFonts w:ascii="宋体" w:hAnsi="宋体" w:cs="宋体"/>
          <w:color w:val="auto"/>
          <w:sz w:val="20"/>
          <w:szCs w:val="20"/>
          <w:highlight w:val="none"/>
        </w:rPr>
      </w:pPr>
    </w:p>
    <w:p w14:paraId="0FF685EA">
      <w:pPr>
        <w:widowControl/>
        <w:jc w:val="left"/>
        <w:rPr>
          <w:rFonts w:ascii="宋体" w:hAnsi="宋体" w:cs="宋体"/>
          <w:color w:val="auto"/>
          <w:sz w:val="20"/>
          <w:szCs w:val="20"/>
          <w:highlight w:val="none"/>
        </w:rPr>
      </w:pPr>
    </w:p>
    <w:p w14:paraId="484F23CB">
      <w:pPr>
        <w:widowControl/>
        <w:jc w:val="left"/>
        <w:rPr>
          <w:rFonts w:ascii="宋体" w:hAnsi="宋体" w:cs="宋体"/>
          <w:color w:val="auto"/>
          <w:sz w:val="32"/>
          <w:szCs w:val="32"/>
          <w:highlight w:val="none"/>
        </w:rPr>
      </w:pPr>
      <w:r>
        <w:rPr>
          <w:rFonts w:hint="eastAsia" w:ascii="宋体" w:hAnsi="宋体" w:cs="宋体"/>
          <w:color w:val="auto"/>
          <w:sz w:val="20"/>
          <w:szCs w:val="20"/>
          <w:highlight w:val="none"/>
        </w:rPr>
        <w:br w:type="page"/>
      </w:r>
      <w:r>
        <w:rPr>
          <w:rFonts w:hint="eastAsia" w:ascii="宋体" w:hAnsi="宋体" w:cs="宋体"/>
          <w:color w:val="auto"/>
          <w:sz w:val="32"/>
          <w:szCs w:val="32"/>
          <w:highlight w:val="none"/>
        </w:rPr>
        <w:t>附件2：</w:t>
      </w:r>
    </w:p>
    <w:p w14:paraId="4DDAE47E">
      <w:pPr>
        <w:pStyle w:val="19"/>
        <w:jc w:val="center"/>
        <w:rPr>
          <w:rFonts w:ascii="宋体" w:hAnsi="宋体" w:cs="宋体"/>
          <w:b/>
          <w:color w:val="auto"/>
          <w:sz w:val="28"/>
          <w:szCs w:val="28"/>
          <w:highlight w:val="none"/>
        </w:rPr>
      </w:pPr>
      <w:r>
        <w:rPr>
          <w:rFonts w:hint="eastAsia" w:ascii="宋体" w:hAnsi="宋体" w:cs="宋体"/>
          <w:b/>
          <w:color w:val="auto"/>
          <w:sz w:val="28"/>
          <w:szCs w:val="28"/>
          <w:highlight w:val="none"/>
        </w:rPr>
        <w:t>中小企业划型标准规定</w:t>
      </w:r>
    </w:p>
    <w:p w14:paraId="6FAAAF28">
      <w:pPr>
        <w:pStyle w:val="19"/>
        <w:jc w:val="center"/>
        <w:rPr>
          <w:rFonts w:ascii="宋体" w:hAnsi="宋体" w:cs="宋体"/>
          <w:color w:val="auto"/>
          <w:sz w:val="21"/>
          <w:szCs w:val="21"/>
          <w:highlight w:val="none"/>
        </w:rPr>
      </w:pPr>
      <w:r>
        <w:rPr>
          <w:rFonts w:hint="eastAsia" w:ascii="宋体" w:hAnsi="宋体" w:cs="宋体"/>
          <w:color w:val="auto"/>
          <w:sz w:val="21"/>
          <w:szCs w:val="21"/>
          <w:highlight w:val="none"/>
        </w:rPr>
        <w:t>工信部联企业[2011]300号</w:t>
      </w:r>
    </w:p>
    <w:p w14:paraId="2490EBE6">
      <w:pPr>
        <w:pStyle w:val="19"/>
        <w:rPr>
          <w:rFonts w:ascii="宋体" w:hAnsi="宋体" w:cs="宋体"/>
          <w:color w:val="auto"/>
          <w:sz w:val="21"/>
          <w:szCs w:val="21"/>
          <w:highlight w:val="none"/>
        </w:rPr>
      </w:pPr>
    </w:p>
    <w:p w14:paraId="780EAE5A">
      <w:pPr>
        <w:pStyle w:val="19"/>
        <w:rPr>
          <w:rFonts w:ascii="宋体" w:hAnsi="宋体" w:cs="宋体"/>
          <w:color w:val="auto"/>
          <w:sz w:val="21"/>
          <w:szCs w:val="21"/>
          <w:highlight w:val="none"/>
        </w:rPr>
      </w:pPr>
      <w:r>
        <w:rPr>
          <w:rFonts w:hint="eastAsia" w:ascii="宋体" w:hAnsi="宋体" w:cs="宋体"/>
          <w:color w:val="auto"/>
          <w:sz w:val="21"/>
          <w:szCs w:val="21"/>
          <w:highlight w:val="none"/>
        </w:rPr>
        <w:t>　　一、根据《中华人民共和国中小企业促进法》和《国务院关于进一步促进中小企业发展的若干意见》(国发[2009]36号)，制定本规定。</w:t>
      </w:r>
    </w:p>
    <w:p w14:paraId="510BDDB9">
      <w:pPr>
        <w:pStyle w:val="19"/>
        <w:rPr>
          <w:rFonts w:ascii="宋体" w:hAnsi="宋体" w:cs="宋体"/>
          <w:color w:val="auto"/>
          <w:sz w:val="21"/>
          <w:szCs w:val="21"/>
          <w:highlight w:val="none"/>
        </w:rPr>
      </w:pPr>
      <w:r>
        <w:rPr>
          <w:rFonts w:hint="eastAsia" w:ascii="宋体" w:hAnsi="宋体" w:cs="宋体"/>
          <w:color w:val="auto"/>
          <w:sz w:val="21"/>
          <w:szCs w:val="21"/>
          <w:highlight w:val="none"/>
        </w:rPr>
        <w:t>　　二、中小企业划分为中型、小型、微型三种类型，具体标准根据企业从业人员、营业收入、资产总额等指标，结合行业特点制定。</w:t>
      </w:r>
    </w:p>
    <w:p w14:paraId="3C45ABA0">
      <w:pPr>
        <w:pStyle w:val="19"/>
        <w:rPr>
          <w:rFonts w:ascii="宋体" w:hAnsi="宋体" w:cs="宋体"/>
          <w:color w:val="auto"/>
          <w:sz w:val="21"/>
          <w:szCs w:val="21"/>
          <w:highlight w:val="none"/>
        </w:rPr>
      </w:pPr>
      <w:r>
        <w:rPr>
          <w:rFonts w:hint="eastAsia" w:ascii="宋体" w:hAnsi="宋体" w:cs="宋体"/>
          <w:color w:val="auto"/>
          <w:sz w:val="21"/>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7D4FB0A">
      <w:pPr>
        <w:pStyle w:val="19"/>
        <w:rPr>
          <w:rFonts w:ascii="宋体" w:hAnsi="宋体" w:cs="宋体"/>
          <w:color w:val="auto"/>
          <w:sz w:val="21"/>
          <w:szCs w:val="21"/>
          <w:highlight w:val="none"/>
        </w:rPr>
      </w:pPr>
      <w:r>
        <w:rPr>
          <w:rFonts w:hint="eastAsia" w:ascii="宋体" w:hAnsi="宋体" w:cs="宋体"/>
          <w:color w:val="auto"/>
          <w:sz w:val="21"/>
          <w:szCs w:val="21"/>
          <w:highlight w:val="none"/>
        </w:rPr>
        <w:t>　　四、各行业划型标准为：</w:t>
      </w:r>
    </w:p>
    <w:p w14:paraId="026D5E8B">
      <w:pPr>
        <w:pStyle w:val="19"/>
        <w:rPr>
          <w:rFonts w:ascii="宋体" w:hAnsi="宋体" w:cs="宋体"/>
          <w:color w:val="auto"/>
          <w:sz w:val="21"/>
          <w:szCs w:val="21"/>
          <w:highlight w:val="none"/>
        </w:rPr>
      </w:pPr>
      <w:r>
        <w:rPr>
          <w:rFonts w:hint="eastAsia" w:ascii="宋体" w:hAnsi="宋体" w:cs="宋体"/>
          <w:color w:val="auto"/>
          <w:sz w:val="21"/>
          <w:szCs w:val="21"/>
          <w:highlight w:val="none"/>
        </w:rPr>
        <w:t>　　（一）农、林、牧、渔业。营业收入20000万元以下的为中小微型企业。其中，营业收入500万元及以上的为中型企业，营业收入50万元及以上的为小型企业，营业收入50万元以下的为微型企业。</w:t>
      </w:r>
    </w:p>
    <w:p w14:paraId="5E572527">
      <w:pPr>
        <w:pStyle w:val="19"/>
        <w:rPr>
          <w:rFonts w:ascii="宋体" w:hAnsi="宋体" w:cs="宋体"/>
          <w:color w:val="auto"/>
          <w:sz w:val="21"/>
          <w:szCs w:val="21"/>
          <w:highlight w:val="none"/>
        </w:rPr>
      </w:pPr>
      <w:r>
        <w:rPr>
          <w:rFonts w:hint="eastAsia" w:ascii="宋体" w:hAnsi="宋体" w:cs="宋体"/>
          <w:color w:val="auto"/>
          <w:sz w:val="21"/>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C371348">
      <w:pPr>
        <w:pStyle w:val="19"/>
        <w:rPr>
          <w:rFonts w:ascii="宋体" w:hAnsi="宋体" w:cs="宋体"/>
          <w:color w:val="auto"/>
          <w:sz w:val="21"/>
          <w:szCs w:val="21"/>
          <w:highlight w:val="none"/>
        </w:rPr>
      </w:pPr>
      <w:r>
        <w:rPr>
          <w:rFonts w:hint="eastAsia" w:ascii="宋体" w:hAnsi="宋体" w:cs="宋体"/>
          <w:color w:val="auto"/>
          <w:sz w:val="21"/>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08E21F1">
      <w:pPr>
        <w:pStyle w:val="19"/>
        <w:rPr>
          <w:rFonts w:ascii="宋体" w:hAnsi="宋体" w:cs="宋体"/>
          <w:color w:val="auto"/>
          <w:sz w:val="21"/>
          <w:szCs w:val="21"/>
          <w:highlight w:val="none"/>
        </w:rPr>
      </w:pPr>
      <w:r>
        <w:rPr>
          <w:rFonts w:hint="eastAsia" w:ascii="宋体" w:hAnsi="宋体" w:cs="宋体"/>
          <w:color w:val="auto"/>
          <w:sz w:val="21"/>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2A67DC2">
      <w:pPr>
        <w:pStyle w:val="19"/>
        <w:rPr>
          <w:rFonts w:ascii="宋体" w:hAnsi="宋体" w:cs="宋体"/>
          <w:color w:val="auto"/>
          <w:sz w:val="21"/>
          <w:szCs w:val="21"/>
          <w:highlight w:val="none"/>
        </w:rPr>
      </w:pPr>
      <w:r>
        <w:rPr>
          <w:rFonts w:hint="eastAsia" w:ascii="宋体" w:hAnsi="宋体" w:cs="宋体"/>
          <w:color w:val="auto"/>
          <w:sz w:val="21"/>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4BE2678">
      <w:pPr>
        <w:pStyle w:val="19"/>
        <w:rPr>
          <w:rFonts w:ascii="宋体" w:hAnsi="宋体" w:cs="宋体"/>
          <w:color w:val="auto"/>
          <w:sz w:val="21"/>
          <w:szCs w:val="21"/>
          <w:highlight w:val="none"/>
        </w:rPr>
      </w:pPr>
      <w:r>
        <w:rPr>
          <w:rFonts w:hint="eastAsia" w:ascii="宋体" w:hAnsi="宋体" w:cs="宋体"/>
          <w:color w:val="auto"/>
          <w:sz w:val="21"/>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B4E13DE">
      <w:pPr>
        <w:pStyle w:val="19"/>
        <w:rPr>
          <w:rFonts w:ascii="宋体" w:hAnsi="宋体" w:cs="宋体"/>
          <w:color w:val="auto"/>
          <w:sz w:val="21"/>
          <w:szCs w:val="21"/>
          <w:highlight w:val="none"/>
        </w:rPr>
      </w:pPr>
      <w:r>
        <w:rPr>
          <w:rFonts w:hint="eastAsia" w:ascii="宋体" w:hAnsi="宋体" w:cs="宋体"/>
          <w:color w:val="auto"/>
          <w:sz w:val="21"/>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E3136BB">
      <w:pPr>
        <w:pStyle w:val="19"/>
        <w:rPr>
          <w:rFonts w:ascii="宋体" w:hAnsi="宋体" w:cs="宋体"/>
          <w:color w:val="auto"/>
          <w:sz w:val="21"/>
          <w:szCs w:val="21"/>
          <w:highlight w:val="none"/>
        </w:rPr>
      </w:pPr>
      <w:r>
        <w:rPr>
          <w:rFonts w:hint="eastAsia" w:ascii="宋体" w:hAnsi="宋体" w:cs="宋体"/>
          <w:color w:val="auto"/>
          <w:sz w:val="21"/>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10BBC3A">
      <w:pPr>
        <w:pStyle w:val="19"/>
        <w:rPr>
          <w:rFonts w:ascii="宋体" w:hAnsi="宋体" w:cs="宋体"/>
          <w:color w:val="auto"/>
          <w:sz w:val="21"/>
          <w:szCs w:val="21"/>
          <w:highlight w:val="none"/>
        </w:rPr>
      </w:pPr>
      <w:r>
        <w:rPr>
          <w:rFonts w:hint="eastAsia" w:ascii="宋体" w:hAnsi="宋体" w:cs="宋体"/>
          <w:color w:val="auto"/>
          <w:sz w:val="21"/>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9498A82">
      <w:pPr>
        <w:pStyle w:val="19"/>
        <w:rPr>
          <w:rFonts w:ascii="宋体" w:hAnsi="宋体" w:cs="宋体"/>
          <w:color w:val="auto"/>
          <w:sz w:val="21"/>
          <w:szCs w:val="21"/>
          <w:highlight w:val="none"/>
        </w:rPr>
      </w:pPr>
      <w:r>
        <w:rPr>
          <w:rFonts w:hint="eastAsia" w:ascii="宋体" w:hAnsi="宋体" w:cs="宋体"/>
          <w:color w:val="auto"/>
          <w:sz w:val="21"/>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44D4889">
      <w:pPr>
        <w:pStyle w:val="19"/>
        <w:rPr>
          <w:rFonts w:ascii="宋体" w:hAnsi="宋体" w:cs="宋体"/>
          <w:color w:val="auto"/>
          <w:sz w:val="21"/>
          <w:szCs w:val="21"/>
          <w:highlight w:val="none"/>
        </w:rPr>
      </w:pPr>
      <w:r>
        <w:rPr>
          <w:rFonts w:hint="eastAsia" w:ascii="宋体" w:hAnsi="宋体" w:cs="宋体"/>
          <w:color w:val="auto"/>
          <w:sz w:val="21"/>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0308864">
      <w:pPr>
        <w:pStyle w:val="19"/>
        <w:rPr>
          <w:rFonts w:ascii="宋体" w:hAnsi="宋体" w:cs="宋体"/>
          <w:color w:val="auto"/>
          <w:sz w:val="21"/>
          <w:szCs w:val="21"/>
          <w:highlight w:val="none"/>
        </w:rPr>
      </w:pPr>
      <w:r>
        <w:rPr>
          <w:rFonts w:hint="eastAsia" w:ascii="宋体" w:hAnsi="宋体" w:cs="宋体"/>
          <w:color w:val="auto"/>
          <w:sz w:val="21"/>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74D2EBC">
      <w:pPr>
        <w:pStyle w:val="19"/>
        <w:rPr>
          <w:rFonts w:ascii="宋体" w:hAnsi="宋体" w:cs="宋体"/>
          <w:color w:val="auto"/>
          <w:sz w:val="21"/>
          <w:szCs w:val="21"/>
          <w:highlight w:val="none"/>
        </w:rPr>
      </w:pPr>
      <w:r>
        <w:rPr>
          <w:rFonts w:hint="eastAsia" w:ascii="宋体" w:hAnsi="宋体" w:cs="宋体"/>
          <w:color w:val="auto"/>
          <w:sz w:val="21"/>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CA2A589">
      <w:pPr>
        <w:pStyle w:val="19"/>
        <w:rPr>
          <w:rFonts w:ascii="宋体" w:hAnsi="宋体" w:cs="宋体"/>
          <w:color w:val="auto"/>
          <w:sz w:val="21"/>
          <w:szCs w:val="21"/>
          <w:highlight w:val="none"/>
        </w:rPr>
      </w:pPr>
      <w:r>
        <w:rPr>
          <w:rFonts w:hint="eastAsia" w:ascii="宋体" w:hAnsi="宋体" w:cs="宋体"/>
          <w:color w:val="auto"/>
          <w:sz w:val="21"/>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907A267">
      <w:pPr>
        <w:pStyle w:val="19"/>
        <w:rPr>
          <w:rFonts w:ascii="宋体" w:hAnsi="宋体" w:cs="宋体"/>
          <w:color w:val="auto"/>
          <w:sz w:val="21"/>
          <w:szCs w:val="21"/>
          <w:highlight w:val="none"/>
        </w:rPr>
      </w:pPr>
      <w:r>
        <w:rPr>
          <w:rFonts w:hint="eastAsia" w:ascii="宋体" w:hAnsi="宋体" w:cs="宋体"/>
          <w:color w:val="auto"/>
          <w:sz w:val="21"/>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C02F3B6">
      <w:pPr>
        <w:pStyle w:val="19"/>
        <w:rPr>
          <w:rFonts w:ascii="宋体" w:hAnsi="宋体" w:cs="宋体"/>
          <w:color w:val="auto"/>
          <w:sz w:val="21"/>
          <w:szCs w:val="21"/>
          <w:highlight w:val="none"/>
        </w:rPr>
      </w:pPr>
      <w:r>
        <w:rPr>
          <w:rFonts w:hint="eastAsia" w:ascii="宋体" w:hAnsi="宋体" w:cs="宋体"/>
          <w:color w:val="auto"/>
          <w:sz w:val="21"/>
          <w:szCs w:val="21"/>
          <w:highlight w:val="none"/>
        </w:rPr>
        <w:t>　　（十六）其他未列明行业。从业人员300人以下的为中小微型企业。其中，从业人员100人及以上的为中型企业；从业人员10人及以上的为小型企业；从业人员10人以下的为微型企业。</w:t>
      </w:r>
    </w:p>
    <w:p w14:paraId="30E08728">
      <w:pPr>
        <w:pStyle w:val="19"/>
        <w:rPr>
          <w:rFonts w:ascii="宋体" w:hAnsi="宋体" w:cs="宋体"/>
          <w:color w:val="auto"/>
          <w:sz w:val="21"/>
          <w:szCs w:val="21"/>
          <w:highlight w:val="none"/>
        </w:rPr>
      </w:pPr>
      <w:r>
        <w:rPr>
          <w:rFonts w:hint="eastAsia" w:ascii="宋体" w:hAnsi="宋体" w:cs="宋体"/>
          <w:color w:val="auto"/>
          <w:sz w:val="21"/>
          <w:szCs w:val="21"/>
          <w:highlight w:val="none"/>
        </w:rPr>
        <w:t>　　五、企业类型的划分以统计部门的统计数据为依据。</w:t>
      </w:r>
    </w:p>
    <w:p w14:paraId="230EBF96">
      <w:pPr>
        <w:pStyle w:val="19"/>
        <w:rPr>
          <w:rFonts w:ascii="宋体" w:hAnsi="宋体" w:cs="宋体"/>
          <w:color w:val="auto"/>
          <w:sz w:val="21"/>
          <w:szCs w:val="21"/>
          <w:highlight w:val="none"/>
        </w:rPr>
      </w:pPr>
      <w:r>
        <w:rPr>
          <w:rFonts w:hint="eastAsia" w:ascii="宋体" w:hAnsi="宋体" w:cs="宋体"/>
          <w:color w:val="auto"/>
          <w:sz w:val="21"/>
          <w:szCs w:val="21"/>
          <w:highlight w:val="none"/>
        </w:rPr>
        <w:t>　　六、本规定适用于在中华人民共和国境内依法设立的各类所有制和各种组织形式的企业。个体工商户和本规定以外的行业，参照本规定进行划型。</w:t>
      </w:r>
    </w:p>
    <w:p w14:paraId="06F5513D">
      <w:pPr>
        <w:pStyle w:val="19"/>
        <w:rPr>
          <w:rFonts w:ascii="宋体" w:hAnsi="宋体" w:cs="宋体"/>
          <w:color w:val="auto"/>
          <w:sz w:val="21"/>
          <w:szCs w:val="21"/>
          <w:highlight w:val="none"/>
        </w:rPr>
      </w:pPr>
      <w:r>
        <w:rPr>
          <w:rFonts w:hint="eastAsia" w:ascii="宋体" w:hAnsi="宋体" w:cs="宋体"/>
          <w:color w:val="auto"/>
          <w:sz w:val="21"/>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0EBE3D03">
      <w:pPr>
        <w:pStyle w:val="19"/>
        <w:rPr>
          <w:rFonts w:ascii="宋体" w:hAnsi="宋体" w:cs="宋体"/>
          <w:color w:val="auto"/>
          <w:sz w:val="21"/>
          <w:szCs w:val="21"/>
          <w:highlight w:val="none"/>
        </w:rPr>
      </w:pPr>
      <w:r>
        <w:rPr>
          <w:rFonts w:hint="eastAsia" w:ascii="宋体" w:hAnsi="宋体" w:cs="宋体"/>
          <w:color w:val="auto"/>
          <w:sz w:val="21"/>
          <w:szCs w:val="21"/>
          <w:highlight w:val="none"/>
        </w:rPr>
        <w:t>　　八、本规定由工业和信息化部、国家统计局会同有关部门根据《国民经济行业分类》修订情况和企业发展变化情况适时修订。</w:t>
      </w:r>
    </w:p>
    <w:p w14:paraId="2FF065DB">
      <w:pPr>
        <w:pStyle w:val="19"/>
        <w:rPr>
          <w:rFonts w:ascii="宋体" w:hAnsi="宋体" w:cs="宋体"/>
          <w:color w:val="auto"/>
          <w:sz w:val="21"/>
          <w:szCs w:val="21"/>
          <w:highlight w:val="none"/>
        </w:rPr>
      </w:pPr>
      <w:r>
        <w:rPr>
          <w:rFonts w:hint="eastAsia" w:ascii="宋体" w:hAnsi="宋体" w:cs="宋体"/>
          <w:color w:val="auto"/>
          <w:sz w:val="21"/>
          <w:szCs w:val="21"/>
          <w:highlight w:val="none"/>
        </w:rPr>
        <w:t>　　九、本规定由工业和信息化部、国家统计局会同有关部门负责解释。</w:t>
      </w:r>
    </w:p>
    <w:p w14:paraId="135E4D37">
      <w:pPr>
        <w:pStyle w:val="19"/>
        <w:ind w:firstLine="420"/>
        <w:rPr>
          <w:rFonts w:ascii="宋体" w:hAnsi="宋体" w:cs="宋体"/>
          <w:color w:val="auto"/>
          <w:sz w:val="21"/>
          <w:szCs w:val="21"/>
          <w:highlight w:val="none"/>
        </w:rPr>
      </w:pPr>
      <w:r>
        <w:rPr>
          <w:rFonts w:hint="eastAsia" w:ascii="宋体" w:hAnsi="宋体" w:cs="宋体"/>
          <w:color w:val="auto"/>
          <w:sz w:val="21"/>
          <w:szCs w:val="21"/>
          <w:highlight w:val="none"/>
        </w:rPr>
        <w:t>十、本规定自发布之日起执行，原国家经贸委、原国家计委、财政部和国家统计局2003年颁布的《中小企业标准暂行规定》同时废止。</w:t>
      </w:r>
    </w:p>
    <w:p w14:paraId="6886635C">
      <w:pPr>
        <w:pStyle w:val="3"/>
        <w:spacing w:before="0" w:after="0" w:line="360" w:lineRule="auto"/>
        <w:jc w:val="center"/>
        <w:rPr>
          <w:rFonts w:ascii="宋体" w:hAnsi="宋体" w:cs="宋体"/>
          <w:color w:val="auto"/>
          <w:highlight w:val="none"/>
        </w:rPr>
      </w:pPr>
      <w:r>
        <w:rPr>
          <w:rFonts w:hint="eastAsia" w:ascii="宋体" w:hAnsi="宋体" w:cs="宋体"/>
          <w:color w:val="auto"/>
          <w:highlight w:val="none"/>
        </w:rPr>
        <w:br w:type="page"/>
      </w:r>
      <w:bookmarkStart w:id="44" w:name="_Toc143259163"/>
      <w:r>
        <w:rPr>
          <w:rFonts w:hint="eastAsia" w:ascii="宋体" w:hAnsi="宋体" w:cs="宋体"/>
          <w:color w:val="auto"/>
          <w:highlight w:val="none"/>
        </w:rPr>
        <w:t>第三章投标人须知</w:t>
      </w:r>
      <w:bookmarkEnd w:id="43"/>
      <w:bookmarkEnd w:id="44"/>
    </w:p>
    <w:p w14:paraId="2ED4F54B">
      <w:pPr>
        <w:jc w:val="center"/>
        <w:rPr>
          <w:rFonts w:ascii="宋体" w:hAnsi="宋体" w:cs="宋体"/>
          <w:color w:val="auto"/>
          <w:sz w:val="36"/>
          <w:szCs w:val="36"/>
          <w:highlight w:val="none"/>
        </w:rPr>
      </w:pPr>
      <w:bookmarkStart w:id="45" w:name="_Toc254970667"/>
      <w:bookmarkStart w:id="46" w:name="_Toc254970526"/>
      <w:r>
        <w:rPr>
          <w:rFonts w:hint="eastAsia" w:ascii="宋体" w:hAnsi="宋体" w:cs="宋体"/>
          <w:color w:val="auto"/>
          <w:sz w:val="36"/>
          <w:szCs w:val="36"/>
          <w:highlight w:val="none"/>
        </w:rPr>
        <w:t>投标人须知前附表</w:t>
      </w:r>
      <w:bookmarkEnd w:id="45"/>
      <w:bookmarkEnd w:id="46"/>
    </w:p>
    <w:tbl>
      <w:tblPr>
        <w:tblStyle w:val="47"/>
        <w:tblW w:w="9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670"/>
      </w:tblGrid>
      <w:tr w14:paraId="6E3FB1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4AA16273">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条款号</w:t>
            </w:r>
          </w:p>
        </w:tc>
        <w:tc>
          <w:tcPr>
            <w:tcW w:w="8670" w:type="dxa"/>
            <w:tcBorders>
              <w:top w:val="single" w:color="auto" w:sz="4" w:space="0"/>
              <w:left w:val="single" w:color="auto" w:sz="4" w:space="0"/>
              <w:bottom w:val="single" w:color="auto" w:sz="4" w:space="0"/>
              <w:right w:val="single" w:color="auto" w:sz="4" w:space="0"/>
            </w:tcBorders>
            <w:vAlign w:val="center"/>
          </w:tcPr>
          <w:p w14:paraId="26E52C41">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编列内容</w:t>
            </w:r>
          </w:p>
        </w:tc>
      </w:tr>
      <w:tr w14:paraId="2DC90B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6E802AF7">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8670" w:type="dxa"/>
            <w:tcBorders>
              <w:top w:val="single" w:color="auto" w:sz="4" w:space="0"/>
              <w:left w:val="single" w:color="auto" w:sz="4" w:space="0"/>
              <w:bottom w:val="single" w:color="auto" w:sz="4" w:space="0"/>
              <w:right w:val="single" w:color="auto" w:sz="4" w:space="0"/>
            </w:tcBorders>
            <w:vAlign w:val="center"/>
          </w:tcPr>
          <w:p w14:paraId="173D3015">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1.投标人的资格要求详见招标公告。</w:t>
            </w:r>
          </w:p>
          <w:p w14:paraId="637528C0">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2.投标人出现下列情形之一的，不得参加政府采购活动：</w:t>
            </w:r>
          </w:p>
          <w:p w14:paraId="27852EEC">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32E11C2">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2.2对在“信用中国”网站（</w:t>
            </w:r>
            <w:r>
              <w:rPr>
                <w:rFonts w:hint="eastAsia" w:ascii="宋体" w:hAnsi="宋体" w:cs="宋体"/>
                <w:color w:val="auto"/>
                <w:kern w:val="0"/>
                <w:szCs w:val="21"/>
                <w:highlight w:val="none"/>
              </w:rPr>
              <w:t>http://</w:t>
            </w:r>
            <w:r>
              <w:rPr>
                <w:rFonts w:hint="eastAsia" w:ascii="宋体" w:hAnsi="宋体" w:cs="宋体"/>
                <w:color w:val="auto"/>
                <w:szCs w:val="21"/>
                <w:highlight w:val="none"/>
              </w:rPr>
              <w:t>www.creditchina.gov.cn） 、中国政府采购网（</w:t>
            </w:r>
            <w:r>
              <w:rPr>
                <w:rFonts w:hint="eastAsia" w:ascii="宋体" w:hAnsi="宋体" w:cs="宋体"/>
                <w:color w:val="auto"/>
                <w:kern w:val="0"/>
                <w:szCs w:val="21"/>
                <w:highlight w:val="none"/>
              </w:rPr>
              <w:t>http://</w:t>
            </w:r>
            <w:r>
              <w:rPr>
                <w:rFonts w:hint="eastAsia" w:ascii="宋体" w:hAnsi="宋体" w:cs="宋体"/>
                <w:color w:val="auto"/>
                <w:szCs w:val="21"/>
                <w:highlight w:val="none"/>
              </w:rPr>
              <w:t>www.ccgp.gov.cn）被列入失信被执行人、重大税收违法失信主体、政府采购严重违法失信行为记录名单及其他不符合《中华人民共和国政府采购法》第二十二条规定条件的供应商，不得参与政府采购活动。</w:t>
            </w:r>
          </w:p>
        </w:tc>
      </w:tr>
      <w:tr w14:paraId="5D1A60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6E5592D2">
            <w:pPr>
              <w:adjustRightInd w:val="0"/>
              <w:spacing w:line="400" w:lineRule="exact"/>
              <w:jc w:val="center"/>
              <w:rPr>
                <w:rFonts w:ascii="宋体" w:hAnsi="宋体" w:cs="宋体"/>
                <w:color w:val="auto"/>
                <w:szCs w:val="21"/>
                <w:highlight w:val="none"/>
              </w:rPr>
            </w:pPr>
            <w:bookmarkStart w:id="47" w:name="_5"/>
            <w:bookmarkEnd w:id="47"/>
            <w:bookmarkStart w:id="48" w:name="_9.2"/>
            <w:bookmarkEnd w:id="48"/>
            <w:bookmarkStart w:id="49" w:name="_8.1"/>
            <w:bookmarkEnd w:id="49"/>
            <w:r>
              <w:rPr>
                <w:rFonts w:hint="eastAsia" w:ascii="宋体" w:hAnsi="宋体" w:cs="宋体"/>
                <w:color w:val="auto"/>
                <w:szCs w:val="21"/>
                <w:highlight w:val="none"/>
              </w:rPr>
              <w:t>6.1</w:t>
            </w:r>
          </w:p>
        </w:tc>
        <w:tc>
          <w:tcPr>
            <w:tcW w:w="8670" w:type="dxa"/>
            <w:tcBorders>
              <w:top w:val="single" w:color="auto" w:sz="4" w:space="0"/>
              <w:left w:val="single" w:color="auto" w:sz="4" w:space="0"/>
              <w:bottom w:val="single" w:color="auto" w:sz="4" w:space="0"/>
              <w:right w:val="single" w:color="auto" w:sz="4" w:space="0"/>
            </w:tcBorders>
            <w:vAlign w:val="center"/>
          </w:tcPr>
          <w:p w14:paraId="2A97A10D">
            <w:pPr>
              <w:pStyle w:val="17"/>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本项目是否接受联合体投标：</w:t>
            </w:r>
            <w:r>
              <w:rPr>
                <w:rFonts w:hint="eastAsia" w:ascii="宋体" w:hAnsi="宋体" w:cs="宋体"/>
                <w:b/>
                <w:color w:val="auto"/>
                <w:szCs w:val="21"/>
                <w:highlight w:val="none"/>
              </w:rPr>
              <w:t>本项目不接受联合体投标。</w:t>
            </w:r>
          </w:p>
        </w:tc>
      </w:tr>
      <w:tr w14:paraId="2C78C4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2138599D">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6.2</w:t>
            </w:r>
          </w:p>
        </w:tc>
        <w:tc>
          <w:tcPr>
            <w:tcW w:w="8670" w:type="dxa"/>
            <w:tcBorders>
              <w:top w:val="single" w:color="auto" w:sz="4" w:space="0"/>
              <w:left w:val="single" w:color="auto" w:sz="4" w:space="0"/>
              <w:bottom w:val="single" w:color="auto" w:sz="4" w:space="0"/>
              <w:right w:val="single" w:color="auto" w:sz="4" w:space="0"/>
            </w:tcBorders>
            <w:vAlign w:val="center"/>
          </w:tcPr>
          <w:p w14:paraId="09A33B3D">
            <w:pPr>
              <w:pStyle w:val="17"/>
              <w:adjustRightInd w:val="0"/>
              <w:spacing w:line="400" w:lineRule="exact"/>
              <w:rPr>
                <w:rFonts w:ascii="宋体" w:hAnsi="宋体" w:cs="宋体"/>
                <w:color w:val="auto"/>
                <w:szCs w:val="21"/>
                <w:highlight w:val="none"/>
              </w:rPr>
            </w:pPr>
            <w:bookmarkStart w:id="50" w:name="_Hlk54105293"/>
            <w:r>
              <w:rPr>
                <w:rFonts w:hint="eastAsia" w:ascii="宋体" w:hAnsi="宋体" w:cs="宋体"/>
                <w:color w:val="auto"/>
                <w:szCs w:val="21"/>
                <w:highlight w:val="none"/>
              </w:rPr>
              <w:t>如接受联合体投标</w:t>
            </w:r>
            <w:bookmarkEnd w:id="50"/>
            <w:r>
              <w:rPr>
                <w:rFonts w:hint="eastAsia" w:ascii="宋体" w:hAnsi="宋体" w:cs="宋体"/>
                <w:color w:val="auto"/>
                <w:szCs w:val="21"/>
                <w:highlight w:val="none"/>
              </w:rPr>
              <w:t>，联合体投标要求如下：</w:t>
            </w:r>
          </w:p>
          <w:p w14:paraId="4B7DE680">
            <w:pPr>
              <w:pStyle w:val="17"/>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1.两个以上投标人可以组成一个投标联合体，以一个投标人的身份共同参加投标。联合体投标的，须提供《联合体投标协议书》（格式后附）。</w:t>
            </w:r>
          </w:p>
          <w:p w14:paraId="54F1B06E">
            <w:pPr>
              <w:pStyle w:val="17"/>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14:paraId="16D2B2CD">
            <w:pPr>
              <w:pStyle w:val="17"/>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3.联合体各方之间必须签订联合投标协议，协议书必须明确主体方（或者牵头方）并明确约定联合体各方承担的工作和相应的责任（各方承担责任与义务的分工必须符合采购需求，否则，</w:t>
            </w:r>
            <w:r>
              <w:rPr>
                <w:rFonts w:hint="eastAsia" w:ascii="宋体" w:hAnsi="宋体" w:cs="宋体"/>
                <w:b/>
                <w:color w:val="auto"/>
                <w:szCs w:val="21"/>
                <w:highlight w:val="none"/>
              </w:rPr>
              <w:t>联合体投标无效</w:t>
            </w:r>
            <w:r>
              <w:rPr>
                <w:rFonts w:hint="eastAsia" w:ascii="宋体" w:hAnsi="宋体" w:cs="宋体"/>
                <w:color w:val="auto"/>
                <w:szCs w:val="21"/>
                <w:highlight w:val="none"/>
              </w:rPr>
              <w:t>），并将联合投标协议放入投标文件。联合体各方必须共同与采购人签订采购合同，就采购合同约定的事项对采购人承担连带责任。</w:t>
            </w:r>
          </w:p>
          <w:p w14:paraId="60096426">
            <w:pPr>
              <w:pStyle w:val="17"/>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4.以联合体形式参加政府采购活动的，联合体各方不得再单独参加或者与其他投标人另外组成联合体参加同一合同项下的政府采购活动。</w:t>
            </w:r>
          </w:p>
          <w:p w14:paraId="67530270">
            <w:pPr>
              <w:pStyle w:val="17"/>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5.联合体中有同类资质的投标人按照联合体分工承担相同工作的，应当按照资质等级较低的投标人确定资质等级。</w:t>
            </w:r>
          </w:p>
          <w:p w14:paraId="793B9A05">
            <w:pPr>
              <w:pStyle w:val="17"/>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6.联合体投标业绩、履约能力按照联合体各方其中较高的一方认定并计算（招标文件另有规定的除外）。</w:t>
            </w:r>
          </w:p>
          <w:p w14:paraId="6F44D8E4">
            <w:pPr>
              <w:pStyle w:val="17"/>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7.投标人为联合体的，可以由联合体中的一方或者多方共同交纳投标保证金，其交纳的保证金对联合体各方均具有约束力。</w:t>
            </w:r>
          </w:p>
          <w:p w14:paraId="48CF6CCF">
            <w:pPr>
              <w:pStyle w:val="17"/>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8.联合体各方均应按照招标文件的规定提交资格证明文件。</w:t>
            </w:r>
          </w:p>
        </w:tc>
      </w:tr>
      <w:tr w14:paraId="0CF811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3D72091D">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7.2</w:t>
            </w:r>
          </w:p>
        </w:tc>
        <w:tc>
          <w:tcPr>
            <w:tcW w:w="8670" w:type="dxa"/>
            <w:tcBorders>
              <w:top w:val="single" w:color="auto" w:sz="4" w:space="0"/>
              <w:left w:val="single" w:color="auto" w:sz="4" w:space="0"/>
              <w:bottom w:val="single" w:color="auto" w:sz="4" w:space="0"/>
              <w:right w:val="single" w:color="auto" w:sz="4" w:space="0"/>
            </w:tcBorders>
            <w:vAlign w:val="center"/>
          </w:tcPr>
          <w:p w14:paraId="51E12E81">
            <w:pPr>
              <w:pStyle w:val="17"/>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☑不允许分包</w:t>
            </w:r>
          </w:p>
          <w:p w14:paraId="1028941E">
            <w:pPr>
              <w:pStyle w:val="17"/>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□允许分包</w:t>
            </w:r>
          </w:p>
          <w:p w14:paraId="02D78B0C">
            <w:pPr>
              <w:pStyle w:val="17"/>
              <w:adjustRightIn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分包内容：</w:t>
            </w:r>
            <w:r>
              <w:rPr>
                <w:rFonts w:hint="eastAsia" w:ascii="宋体" w:hAnsi="宋体" w:cs="宋体"/>
                <w:color w:val="auto"/>
                <w:szCs w:val="21"/>
                <w:highlight w:val="none"/>
                <w:u w:val="single"/>
              </w:rPr>
              <w:t xml:space="preserve">                 \                    。</w:t>
            </w:r>
          </w:p>
          <w:p w14:paraId="27A86196">
            <w:pPr>
              <w:pStyle w:val="17"/>
              <w:adjustRightInd w:val="0"/>
              <w:spacing w:line="400" w:lineRule="exact"/>
              <w:jc w:val="both"/>
              <w:rPr>
                <w:rFonts w:ascii="宋体" w:hAnsi="宋体" w:cs="宋体"/>
                <w:color w:val="auto"/>
                <w:szCs w:val="21"/>
                <w:highlight w:val="none"/>
                <w:u w:val="single"/>
              </w:rPr>
            </w:pPr>
            <w:r>
              <w:rPr>
                <w:rFonts w:hint="eastAsia" w:ascii="宋体" w:hAnsi="宋体" w:cs="宋体"/>
                <w:color w:val="auto"/>
                <w:szCs w:val="21"/>
                <w:highlight w:val="none"/>
              </w:rPr>
              <w:t>分包金额或者比例：</w:t>
            </w:r>
            <w:r>
              <w:rPr>
                <w:rFonts w:hint="eastAsia" w:ascii="宋体" w:hAnsi="宋体" w:cs="宋体"/>
                <w:color w:val="auto"/>
                <w:szCs w:val="21"/>
                <w:highlight w:val="none"/>
                <w:u w:val="single"/>
              </w:rPr>
              <w:t xml:space="preserve">              \                       。</w:t>
            </w:r>
          </w:p>
        </w:tc>
      </w:tr>
      <w:tr w14:paraId="7C3BBC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6B0B5E7D">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8.1</w:t>
            </w:r>
          </w:p>
        </w:tc>
        <w:tc>
          <w:tcPr>
            <w:tcW w:w="8670" w:type="dxa"/>
            <w:tcBorders>
              <w:top w:val="single" w:color="auto" w:sz="4" w:space="0"/>
              <w:left w:val="single" w:color="auto" w:sz="4" w:space="0"/>
              <w:bottom w:val="single" w:color="auto" w:sz="4" w:space="0"/>
              <w:right w:val="single" w:color="auto" w:sz="4" w:space="0"/>
            </w:tcBorders>
            <w:vAlign w:val="center"/>
          </w:tcPr>
          <w:p w14:paraId="45F9307D">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采用最低评标价法的采购项目，提供相同品牌产品（非单一产品采购项目的，指核心产品）的不同投标人评标报价相同时，按照下列方式确定一个投标人获得中标人推荐资格：</w:t>
            </w:r>
          </w:p>
          <w:p w14:paraId="4368A86B">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□依次按投标报价低的优先、带“▲”的实质性要求正偏离项数多的优先、均无正偏离或者正偏离项数一致时负偏离项数少的优先、保修期长优先、交货期短优先、故障响应时间短优先的顺序推荐。</w:t>
            </w:r>
          </w:p>
          <w:p w14:paraId="3D0A6DAC">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□随机抽取；</w:t>
            </w:r>
          </w:p>
          <w:p w14:paraId="331C15D4">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w:t>
            </w:r>
          </w:p>
          <w:p w14:paraId="27B0A784">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采用综合评分法的采购项目，提供相同品牌产品（非单一产品采购项目的，指核心产品）的不同投标人评审得分相同时，按照下列方式确定一个投标人获得中标人推荐资格：</w:t>
            </w:r>
          </w:p>
          <w:p w14:paraId="01668602">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☑依次按投标报价低的优先、技术分高的优先、</w:t>
            </w:r>
            <w:r>
              <w:rPr>
                <w:rFonts w:hint="eastAsia" w:ascii="宋体" w:hAnsi="宋体" w:cs="宋体"/>
                <w:bCs/>
                <w:color w:val="auto"/>
                <w:szCs w:val="21"/>
                <w:highlight w:val="none"/>
              </w:rPr>
              <w:t>安装实施方案分高的优先、</w:t>
            </w:r>
            <w:r>
              <w:rPr>
                <w:rFonts w:hint="eastAsia" w:ascii="宋体" w:hAnsi="宋体" w:cs="宋体"/>
                <w:color w:val="auto"/>
                <w:szCs w:val="21"/>
                <w:highlight w:val="none"/>
              </w:rPr>
              <w:t>增值售后服务方案分高的优先、履约能力分高的优先、政策分高的优先顺序推荐；</w:t>
            </w:r>
          </w:p>
          <w:p w14:paraId="62342595">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□随机抽取；</w:t>
            </w:r>
          </w:p>
          <w:p w14:paraId="1D4CD58B">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w:t>
            </w:r>
          </w:p>
        </w:tc>
      </w:tr>
      <w:tr w14:paraId="5C8BD4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95" w:type="dxa"/>
            <w:vMerge w:val="restart"/>
            <w:tcBorders>
              <w:top w:val="single" w:color="auto" w:sz="4" w:space="0"/>
              <w:left w:val="single" w:color="auto" w:sz="4" w:space="0"/>
              <w:right w:val="single" w:color="auto" w:sz="4" w:space="0"/>
            </w:tcBorders>
            <w:vAlign w:val="center"/>
          </w:tcPr>
          <w:p w14:paraId="3B0DC692">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11.2</w:t>
            </w:r>
          </w:p>
        </w:tc>
        <w:tc>
          <w:tcPr>
            <w:tcW w:w="8670" w:type="dxa"/>
            <w:tcBorders>
              <w:top w:val="single" w:color="auto" w:sz="4" w:space="0"/>
              <w:left w:val="single" w:color="auto" w:sz="4" w:space="0"/>
              <w:bottom w:val="single" w:color="auto" w:sz="4" w:space="0"/>
              <w:right w:val="single" w:color="auto" w:sz="4" w:space="0"/>
            </w:tcBorders>
            <w:vAlign w:val="center"/>
          </w:tcPr>
          <w:p w14:paraId="219477DB">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本项目不组织现场考察</w:t>
            </w:r>
          </w:p>
        </w:tc>
      </w:tr>
      <w:tr w14:paraId="22F5B7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895" w:type="dxa"/>
            <w:vMerge w:val="continue"/>
            <w:tcBorders>
              <w:left w:val="single" w:color="auto" w:sz="4" w:space="0"/>
              <w:bottom w:val="single" w:color="auto" w:sz="4" w:space="0"/>
              <w:right w:val="single" w:color="auto" w:sz="4" w:space="0"/>
            </w:tcBorders>
            <w:vAlign w:val="center"/>
          </w:tcPr>
          <w:p w14:paraId="1B73297D">
            <w:pPr>
              <w:adjustRightInd w:val="0"/>
              <w:spacing w:line="400" w:lineRule="exact"/>
              <w:jc w:val="center"/>
              <w:rPr>
                <w:rFonts w:ascii="宋体" w:hAnsi="宋体" w:cs="宋体"/>
                <w:color w:val="auto"/>
                <w:szCs w:val="21"/>
                <w:highlight w:val="none"/>
              </w:rPr>
            </w:pPr>
          </w:p>
        </w:tc>
        <w:tc>
          <w:tcPr>
            <w:tcW w:w="8670" w:type="dxa"/>
            <w:tcBorders>
              <w:top w:val="single" w:color="auto" w:sz="4" w:space="0"/>
              <w:left w:val="single" w:color="auto" w:sz="4" w:space="0"/>
              <w:bottom w:val="single" w:color="auto" w:sz="4" w:space="0"/>
              <w:right w:val="single" w:color="auto" w:sz="4" w:space="0"/>
            </w:tcBorders>
            <w:vAlign w:val="center"/>
          </w:tcPr>
          <w:p w14:paraId="2FF0756B">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☑不组织召开开标前答疑会</w:t>
            </w:r>
          </w:p>
          <w:p w14:paraId="75F82F89">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□组织召开开标前答疑会</w:t>
            </w:r>
          </w:p>
          <w:p w14:paraId="56546780">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会议开始时间：</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日 </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\分</w:t>
            </w:r>
            <w:r>
              <w:rPr>
                <w:rFonts w:hint="eastAsia" w:ascii="宋体" w:hAnsi="宋体" w:cs="宋体"/>
                <w:color w:val="auto"/>
                <w:szCs w:val="21"/>
                <w:highlight w:val="none"/>
              </w:rPr>
              <w:t>，逾期后果自负。会议地点：</w:t>
            </w:r>
            <w:r>
              <w:rPr>
                <w:rFonts w:hint="eastAsia" w:ascii="宋体" w:hAnsi="宋体" w:cs="宋体"/>
                <w:color w:val="auto"/>
                <w:szCs w:val="21"/>
                <w:highlight w:val="none"/>
                <w:u w:val="single"/>
              </w:rPr>
              <w:t>\</w:t>
            </w:r>
          </w:p>
        </w:tc>
      </w:tr>
      <w:tr w14:paraId="031D8B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restart"/>
            <w:tcBorders>
              <w:top w:val="single" w:color="auto" w:sz="4" w:space="0"/>
              <w:left w:val="single" w:color="auto" w:sz="4" w:space="0"/>
              <w:right w:val="single" w:color="auto" w:sz="4" w:space="0"/>
            </w:tcBorders>
            <w:vAlign w:val="center"/>
          </w:tcPr>
          <w:p w14:paraId="3784A263">
            <w:pPr>
              <w:adjustRightInd w:val="0"/>
              <w:spacing w:line="400" w:lineRule="exact"/>
              <w:jc w:val="center"/>
              <w:rPr>
                <w:rFonts w:ascii="宋体" w:hAnsi="宋体" w:cs="宋体"/>
                <w:color w:val="auto"/>
                <w:szCs w:val="21"/>
                <w:highlight w:val="none"/>
              </w:rPr>
            </w:pPr>
            <w:bookmarkStart w:id="51" w:name="_13.1"/>
            <w:bookmarkEnd w:id="51"/>
            <w:r>
              <w:rPr>
                <w:rFonts w:hint="eastAsia" w:ascii="宋体" w:hAnsi="宋体" w:cs="宋体"/>
                <w:color w:val="auto"/>
                <w:szCs w:val="21"/>
                <w:highlight w:val="none"/>
              </w:rPr>
              <w:t>13</w:t>
            </w:r>
          </w:p>
        </w:tc>
        <w:tc>
          <w:tcPr>
            <w:tcW w:w="8670" w:type="dxa"/>
            <w:tcBorders>
              <w:top w:val="single" w:color="auto" w:sz="4" w:space="0"/>
              <w:left w:val="single" w:color="auto" w:sz="4" w:space="0"/>
              <w:bottom w:val="single" w:color="auto" w:sz="4" w:space="0"/>
              <w:right w:val="single" w:color="auto" w:sz="4" w:space="0"/>
            </w:tcBorders>
            <w:vAlign w:val="center"/>
          </w:tcPr>
          <w:p w14:paraId="5AFC003E">
            <w:pPr>
              <w:adjustRightInd w:val="0"/>
              <w:spacing w:line="400" w:lineRule="exact"/>
              <w:jc w:val="left"/>
              <w:rPr>
                <w:rFonts w:ascii="宋体" w:hAnsi="宋体" w:cs="宋体"/>
                <w:b/>
                <w:color w:val="auto"/>
                <w:szCs w:val="21"/>
                <w:highlight w:val="none"/>
              </w:rPr>
            </w:pPr>
            <w:r>
              <w:rPr>
                <w:rFonts w:hint="eastAsia" w:ascii="宋体" w:hAnsi="宋体" w:cs="宋体"/>
                <w:b/>
                <w:color w:val="auto"/>
                <w:szCs w:val="21"/>
                <w:highlight w:val="none"/>
              </w:rPr>
              <w:t>报价文件：</w:t>
            </w:r>
          </w:p>
          <w:p w14:paraId="24EEFCAB">
            <w:pPr>
              <w:tabs>
                <w:tab w:val="left" w:pos="459"/>
              </w:tabs>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1.投标函（格式后附）；</w:t>
            </w:r>
            <w:r>
              <w:rPr>
                <w:rFonts w:hint="eastAsia" w:ascii="宋体" w:hAnsi="宋体" w:cs="宋体"/>
                <w:b/>
                <w:color w:val="auto"/>
                <w:szCs w:val="21"/>
                <w:highlight w:val="none"/>
              </w:rPr>
              <w:t>（必须提供，否则按无效投标处理）</w:t>
            </w:r>
          </w:p>
          <w:p w14:paraId="02F1A6CA">
            <w:pPr>
              <w:tabs>
                <w:tab w:val="left" w:pos="459"/>
              </w:tabs>
              <w:adjustRightInd w:val="0"/>
              <w:spacing w:line="400" w:lineRule="exact"/>
              <w:jc w:val="left"/>
              <w:rPr>
                <w:rFonts w:ascii="宋体" w:hAnsi="宋体" w:cs="宋体"/>
                <w:color w:val="auto"/>
                <w:szCs w:val="21"/>
                <w:highlight w:val="none"/>
              </w:rPr>
            </w:pPr>
            <w:bookmarkStart w:id="52" w:name="_Hlk71299233"/>
            <w:r>
              <w:rPr>
                <w:rFonts w:hint="eastAsia" w:ascii="宋体" w:hAnsi="宋体" w:cs="宋体"/>
                <w:color w:val="auto"/>
                <w:szCs w:val="21"/>
                <w:highlight w:val="none"/>
              </w:rPr>
              <w:t>2.开标一览表</w:t>
            </w:r>
            <w:bookmarkEnd w:id="52"/>
            <w:r>
              <w:rPr>
                <w:rFonts w:hint="eastAsia" w:ascii="宋体" w:hAnsi="宋体" w:cs="宋体"/>
                <w:color w:val="auto"/>
                <w:szCs w:val="21"/>
                <w:highlight w:val="none"/>
              </w:rPr>
              <w:t>（格式后附）； （</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4BB651E4">
            <w:pPr>
              <w:tabs>
                <w:tab w:val="left" w:pos="459"/>
              </w:tabs>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3.投标人针对报价需要说明的其他文件和说明（格式自拟）。</w:t>
            </w:r>
          </w:p>
          <w:p w14:paraId="661ED655">
            <w:pPr>
              <w:adjustRightInd w:val="0"/>
              <w:spacing w:line="400" w:lineRule="exact"/>
              <w:jc w:val="left"/>
              <w:rPr>
                <w:rFonts w:ascii="宋体" w:hAnsi="宋体" w:cs="宋体"/>
                <w:color w:val="auto"/>
                <w:szCs w:val="21"/>
                <w:highlight w:val="none"/>
              </w:rPr>
            </w:pPr>
            <w:r>
              <w:rPr>
                <w:rFonts w:hint="eastAsia" w:ascii="宋体" w:hAnsi="宋体" w:cs="宋体"/>
                <w:b/>
                <w:color w:val="auto"/>
                <w:szCs w:val="21"/>
                <w:highlight w:val="none"/>
              </w:rPr>
              <w:t>注：</w:t>
            </w:r>
            <w:r>
              <w:rPr>
                <w:rFonts w:hint="eastAsia" w:ascii="宋体" w:hAnsi="宋体" w:cs="宋体"/>
                <w:b/>
                <w:bCs/>
                <w:color w:val="auto"/>
                <w:szCs w:val="21"/>
                <w:highlight w:val="none"/>
              </w:rPr>
              <w:t>以上标明“必须提供”的材料，格式</w:t>
            </w:r>
            <w:r>
              <w:rPr>
                <w:rFonts w:hint="eastAsia" w:ascii="宋体" w:hAnsi="宋体" w:cs="宋体"/>
                <w:b/>
                <w:color w:val="auto"/>
                <w:szCs w:val="21"/>
                <w:highlight w:val="none"/>
              </w:rPr>
              <w:t>中有要求法定代表人或者委托代理人签字的，必须按要求签字并加盖投标人电子签章</w:t>
            </w:r>
            <w:r>
              <w:rPr>
                <w:rFonts w:hint="eastAsia" w:ascii="宋体" w:hAnsi="宋体" w:cs="宋体"/>
                <w:b/>
                <w:bCs/>
                <w:color w:val="auto"/>
                <w:szCs w:val="21"/>
                <w:highlight w:val="none"/>
              </w:rPr>
              <w:t>，否则按无效投标</w:t>
            </w:r>
            <w:r>
              <w:rPr>
                <w:rFonts w:hint="eastAsia" w:ascii="宋体" w:hAnsi="宋体" w:cs="宋体"/>
                <w:b/>
                <w:color w:val="auto"/>
                <w:szCs w:val="21"/>
                <w:highlight w:val="none"/>
              </w:rPr>
              <w:t>处理。</w:t>
            </w:r>
          </w:p>
        </w:tc>
      </w:tr>
      <w:tr w14:paraId="51F893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right w:val="single" w:color="auto" w:sz="4" w:space="0"/>
            </w:tcBorders>
            <w:vAlign w:val="center"/>
          </w:tcPr>
          <w:p w14:paraId="053B6AAD">
            <w:pPr>
              <w:adjustRightInd w:val="0"/>
              <w:spacing w:line="400" w:lineRule="exact"/>
              <w:rPr>
                <w:rFonts w:ascii="宋体" w:hAnsi="宋体" w:cs="宋体"/>
                <w:color w:val="auto"/>
                <w:szCs w:val="21"/>
                <w:highlight w:val="none"/>
              </w:rPr>
            </w:pPr>
            <w:bookmarkStart w:id="53" w:name="_13.2"/>
            <w:bookmarkEnd w:id="53"/>
          </w:p>
        </w:tc>
        <w:tc>
          <w:tcPr>
            <w:tcW w:w="8670" w:type="dxa"/>
            <w:tcBorders>
              <w:top w:val="single" w:color="auto" w:sz="4" w:space="0"/>
              <w:left w:val="single" w:color="auto" w:sz="4" w:space="0"/>
              <w:bottom w:val="single" w:color="auto" w:sz="4" w:space="0"/>
              <w:right w:val="single" w:color="auto" w:sz="4" w:space="0"/>
            </w:tcBorders>
            <w:vAlign w:val="center"/>
          </w:tcPr>
          <w:p w14:paraId="4D1883D9">
            <w:pPr>
              <w:adjustRightInd w:val="0"/>
              <w:spacing w:line="400" w:lineRule="exact"/>
              <w:jc w:val="left"/>
              <w:rPr>
                <w:rFonts w:ascii="宋体" w:hAnsi="宋体" w:cs="宋体"/>
                <w:b/>
                <w:color w:val="auto"/>
                <w:szCs w:val="21"/>
                <w:highlight w:val="none"/>
              </w:rPr>
            </w:pPr>
            <w:r>
              <w:rPr>
                <w:rFonts w:hint="eastAsia" w:ascii="宋体" w:hAnsi="宋体" w:cs="宋体"/>
                <w:b/>
                <w:color w:val="auto"/>
                <w:szCs w:val="21"/>
                <w:highlight w:val="none"/>
              </w:rPr>
              <w:t>资格证明文件</w:t>
            </w:r>
          </w:p>
          <w:p w14:paraId="4FA09AB1">
            <w:pPr>
              <w:adjustRightInd w:val="0"/>
              <w:spacing w:line="400" w:lineRule="exact"/>
              <w:jc w:val="left"/>
              <w:rPr>
                <w:rFonts w:ascii="宋体" w:hAnsi="宋体" w:cs="宋体"/>
                <w:b/>
                <w:color w:val="auto"/>
                <w:szCs w:val="21"/>
                <w:highlight w:val="none"/>
              </w:rPr>
            </w:pPr>
            <w:r>
              <w:rPr>
                <w:rFonts w:hint="eastAsia" w:ascii="宋体" w:hAnsi="宋体" w:cs="宋体"/>
                <w:color w:val="auto"/>
                <w:szCs w:val="21"/>
                <w:highlight w:val="none"/>
              </w:rPr>
              <w:t>1.投标人为法人或者其他组织的，提供营业执照等证明文件（如营业执照或者事业单位法人证书或者</w:t>
            </w:r>
            <w:r>
              <w:rPr>
                <w:rStyle w:val="87"/>
                <w:rFonts w:hint="eastAsia"/>
                <w:color w:val="auto"/>
                <w:sz w:val="21"/>
                <w:szCs w:val="21"/>
                <w:highlight w:val="none"/>
              </w:rPr>
              <w:t>执业许可证</w:t>
            </w:r>
            <w:r>
              <w:rPr>
                <w:rFonts w:hint="eastAsia" w:ascii="宋体" w:hAnsi="宋体" w:cs="宋体"/>
                <w:color w:val="auto"/>
                <w:szCs w:val="21"/>
                <w:highlight w:val="none"/>
              </w:rPr>
              <w:t>或者登记证书等），投标人为自然人的，提供身份证复印件；（</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410BC2E9">
            <w:pPr>
              <w:adjustRightInd w:val="0"/>
              <w:spacing w:line="400" w:lineRule="exact"/>
              <w:jc w:val="left"/>
              <w:rPr>
                <w:rFonts w:ascii="宋体" w:hAnsi="宋体" w:cs="宋体"/>
                <w:b/>
                <w:color w:val="auto"/>
                <w:szCs w:val="21"/>
                <w:highlight w:val="none"/>
              </w:rPr>
            </w:pPr>
            <w:r>
              <w:rPr>
                <w:rFonts w:hint="eastAsia" w:ascii="宋体" w:hAnsi="宋体" w:cs="宋体"/>
                <w:color w:val="auto"/>
                <w:szCs w:val="21"/>
                <w:highlight w:val="none"/>
              </w:rPr>
              <w:t>2.投标人依法缴纳税收的相关材料（</w:t>
            </w: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rPr>
              <w:t>1</w:t>
            </w:r>
            <w:r>
              <w:rPr>
                <w:rFonts w:hint="eastAsia" w:ascii="宋体" w:hAnsi="宋体" w:cs="宋体"/>
                <w:color w:val="auto"/>
                <w:szCs w:val="21"/>
                <w:highlight w:val="none"/>
              </w:rPr>
              <w:t>月以来任意一个月的依法缴纳税收的</w:t>
            </w:r>
            <w:r>
              <w:rPr>
                <w:rFonts w:hint="eastAsia" w:ascii="宋体" w:hAnsi="宋体" w:cs="宋体"/>
                <w:color w:val="auto"/>
                <w:highlight w:val="none"/>
              </w:rPr>
              <w:t>证明材料</w:t>
            </w:r>
            <w:r>
              <w:rPr>
                <w:rFonts w:hint="eastAsia" w:ascii="宋体" w:hAnsi="宋体" w:cs="宋体"/>
                <w:color w:val="auto"/>
                <w:szCs w:val="21"/>
                <w:highlight w:val="none"/>
              </w:rPr>
              <w:t>复印件；依法免税的供应商，</w:t>
            </w:r>
            <w:r>
              <w:rPr>
                <w:rFonts w:hint="eastAsia" w:ascii="宋体" w:hAnsi="宋体" w:cs="宋体"/>
                <w:color w:val="auto"/>
                <w:highlight w:val="none"/>
              </w:rPr>
              <w:t>必须提供符合免税条件的证明材料</w:t>
            </w:r>
            <w:r>
              <w:rPr>
                <w:rFonts w:hint="eastAsia" w:ascii="宋体" w:hAnsi="宋体" w:cs="宋体"/>
                <w:color w:val="auto"/>
                <w:szCs w:val="21"/>
                <w:highlight w:val="none"/>
              </w:rPr>
              <w:t>。从成立之日起到投标文件提交截止时间止不足要求月数的</w:t>
            </w:r>
            <w:r>
              <w:rPr>
                <w:rFonts w:hint="eastAsia" w:ascii="宋体" w:hAnsi="宋体" w:cs="宋体"/>
                <w:color w:val="auto"/>
                <w:highlight w:val="none"/>
              </w:rPr>
              <w:t>，则无需提交</w:t>
            </w:r>
            <w:r>
              <w:rPr>
                <w:rFonts w:hint="eastAsia" w:ascii="宋体" w:hAnsi="宋体" w:cs="宋体"/>
                <w:color w:val="auto"/>
                <w:szCs w:val="21"/>
                <w:highlight w:val="none"/>
              </w:rPr>
              <w:t>）；（</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72D9D9BA">
            <w:pPr>
              <w:adjustRightInd w:val="0"/>
              <w:spacing w:line="400" w:lineRule="exact"/>
              <w:jc w:val="left"/>
              <w:rPr>
                <w:rFonts w:ascii="宋体" w:hAnsi="宋体" w:cs="宋体"/>
                <w:b/>
                <w:color w:val="auto"/>
                <w:szCs w:val="21"/>
                <w:highlight w:val="none"/>
              </w:rPr>
            </w:pPr>
            <w:r>
              <w:rPr>
                <w:rFonts w:hint="eastAsia" w:ascii="宋体" w:hAnsi="宋体" w:cs="宋体"/>
                <w:color w:val="auto"/>
                <w:szCs w:val="21"/>
                <w:highlight w:val="none"/>
              </w:rPr>
              <w:t>3.投标人依法缴纳社会保障资金的相关材料[</w:t>
            </w: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rPr>
              <w:t>1</w:t>
            </w:r>
            <w:r>
              <w:rPr>
                <w:rFonts w:hint="eastAsia" w:ascii="宋体" w:hAnsi="宋体" w:cs="宋体"/>
                <w:color w:val="auto"/>
                <w:szCs w:val="21"/>
                <w:highlight w:val="none"/>
              </w:rPr>
              <w:t>月以来任意一个月的依法缴纳社会保障资金的缴费</w:t>
            </w:r>
            <w:r>
              <w:rPr>
                <w:rFonts w:hint="eastAsia" w:ascii="宋体" w:hAnsi="宋体" w:cs="宋体"/>
                <w:color w:val="auto"/>
                <w:highlight w:val="none"/>
              </w:rPr>
              <w:t>证明材料</w:t>
            </w:r>
            <w:r>
              <w:rPr>
                <w:rFonts w:hint="eastAsia" w:ascii="宋体" w:hAnsi="宋体" w:cs="宋体"/>
                <w:color w:val="auto"/>
                <w:szCs w:val="21"/>
                <w:highlight w:val="none"/>
              </w:rPr>
              <w:t>（</w:t>
            </w:r>
            <w:r>
              <w:rPr>
                <w:rFonts w:hint="eastAsia" w:ascii="宋体" w:hAnsi="宋体" w:cs="宋体"/>
                <w:color w:val="auto"/>
                <w:highlight w:val="none"/>
              </w:rPr>
              <w:t>如：</w:t>
            </w:r>
            <w:r>
              <w:rPr>
                <w:rFonts w:hint="eastAsia" w:ascii="宋体" w:hAnsi="宋体" w:cs="宋体"/>
                <w:color w:val="auto"/>
                <w:szCs w:val="21"/>
                <w:highlight w:val="none"/>
              </w:rPr>
              <w:t>专用收据、社会保险缴纳清单或者社保部门的证明）复印件。依法不需要缴纳社会保障资金的供应商，必须提供相应文件证明不需要缴纳社会保障资金。从成立之日起到投标文件提交截止时间止不足要求月数的只需提供从成立之日起的依法缴纳社会保障资金的相应证明文件]；（</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3D94F90B">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4.投标人财务状况报告（</w:t>
            </w:r>
            <w:bookmarkStart w:id="54" w:name="OLE_LINK10"/>
            <w:r>
              <w:rPr>
                <w:rFonts w:hint="eastAsia" w:ascii="宋体" w:hAnsi="宋体" w:cs="宋体"/>
                <w:color w:val="auto"/>
                <w:szCs w:val="21"/>
                <w:highlight w:val="none"/>
                <w:u w:val="single"/>
              </w:rPr>
              <w:t>2023</w:t>
            </w:r>
            <w:r>
              <w:rPr>
                <w:rFonts w:hint="eastAsia" w:ascii="宋体" w:hAnsi="宋体" w:cs="宋体"/>
                <w:color w:val="auto"/>
                <w:szCs w:val="21"/>
                <w:highlight w:val="none"/>
              </w:rPr>
              <w:t>年以来任一年度的</w:t>
            </w:r>
            <w:bookmarkEnd w:id="54"/>
            <w:r>
              <w:rPr>
                <w:rFonts w:hint="eastAsia" w:ascii="宋体" w:hAnsi="宋体" w:cs="宋体"/>
                <w:color w:val="auto"/>
                <w:szCs w:val="21"/>
                <w:highlight w:val="none"/>
              </w:rPr>
              <w:t>财务报表复印件，或者2025年以来银行出具的资信证明，或者中国人民银行征信中心出具的信用报告（企业投标的提供企业信用报告，自然人投标的提供个人信用报告</w:t>
            </w:r>
            <w:r>
              <w:rPr>
                <w:rFonts w:hint="eastAsia" w:ascii="宋体" w:hAnsi="宋体" w:cs="宋体"/>
                <w:color w:val="auto"/>
                <w:highlight w:val="none"/>
              </w:rPr>
              <w:t>，投标人属于成立时间在规定年度之后的法人或其他组织，需提供成立之日起至投标截止时间前的月报表</w:t>
            </w:r>
            <w:r>
              <w:rPr>
                <w:rFonts w:hint="eastAsia" w:ascii="宋体" w:hAnsi="宋体" w:cs="宋体"/>
                <w:color w:val="auto"/>
                <w:szCs w:val="21"/>
                <w:highlight w:val="none"/>
              </w:rPr>
              <w:t>或银行出具的资信证明或者中国人民银行征信中心出具的企业信用报告；资信证明应在有效期内，未注明有效期的，银行出具时间至投标截止时间不超过一年）；（</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4745E7A8">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5.投标人直接控股股东信息表（格式后附）；</w:t>
            </w:r>
            <w:r>
              <w:rPr>
                <w:rFonts w:hint="eastAsia" w:ascii="宋体" w:hAnsi="宋体" w:cs="宋体"/>
                <w:b/>
                <w:color w:val="auto"/>
                <w:szCs w:val="21"/>
                <w:highlight w:val="none"/>
              </w:rPr>
              <w:t>（必须提供，否则按无效投标处理）</w:t>
            </w:r>
          </w:p>
          <w:p w14:paraId="02BD322E">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6.投标人直接管理关系信息表（格式后附）；</w:t>
            </w:r>
            <w:r>
              <w:rPr>
                <w:rFonts w:hint="eastAsia" w:ascii="宋体" w:hAnsi="宋体" w:cs="宋体"/>
                <w:b/>
                <w:color w:val="auto"/>
                <w:szCs w:val="21"/>
                <w:highlight w:val="none"/>
              </w:rPr>
              <w:t>（必须提供，否则按无效投标处理）</w:t>
            </w:r>
          </w:p>
          <w:p w14:paraId="749D45E3">
            <w:pPr>
              <w:tabs>
                <w:tab w:val="left" w:pos="1305"/>
              </w:tabs>
              <w:spacing w:line="360" w:lineRule="exact"/>
              <w:jc w:val="left"/>
              <w:rPr>
                <w:rFonts w:ascii="宋体" w:hAnsi="宋体" w:cs="宋体"/>
                <w:color w:val="auto"/>
                <w:szCs w:val="21"/>
                <w:highlight w:val="none"/>
              </w:rPr>
            </w:pPr>
            <w:r>
              <w:rPr>
                <w:rFonts w:hint="eastAsia" w:ascii="宋体" w:hAnsi="宋体" w:cs="宋体"/>
                <w:color w:val="auto"/>
                <w:szCs w:val="21"/>
                <w:highlight w:val="none"/>
              </w:rPr>
              <w:t>7.投标人</w:t>
            </w:r>
            <w:r>
              <w:rPr>
                <w:rFonts w:hint="eastAsia" w:ascii="宋体" w:hAnsi="宋体" w:cs="宋体"/>
                <w:color w:val="auto"/>
                <w:highlight w:val="none"/>
              </w:rPr>
              <w:t>根据所投产品</w:t>
            </w:r>
            <w:r>
              <w:rPr>
                <w:rFonts w:hint="eastAsia" w:ascii="宋体" w:hAnsi="宋体" w:cs="宋体"/>
                <w:color w:val="auto"/>
                <w:szCs w:val="21"/>
                <w:highlight w:val="none"/>
              </w:rPr>
              <w:t>提供医疗器械的有关证明材料复印件；（</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7EE40DC8">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①本项目有第二类医疗器械的，应提供有效的医疗器械经营备案凭证（经营范围包含采购的第二类医疗器械），符合《医疗器械监督管理条例》（国务院令第739号）第四十一条第二款规定的除外；如投标人符合《医疗器械监督管理条例》第四十三条“医疗器械注册人、备案人经营其注册、备案的医疗器械，无需办理医疗器械经营许可或者备案，但应当符合本条例规定的经营条件”规定的，仅需提供该医疗器械注册证（另附表格列明所投标对应产品的名称和规格型号，格式自拟）；</w:t>
            </w:r>
          </w:p>
          <w:p w14:paraId="7AC5A441">
            <w:pPr>
              <w:adjustRightInd w:val="0"/>
              <w:spacing w:line="400" w:lineRule="exact"/>
              <w:jc w:val="left"/>
              <w:rPr>
                <w:rFonts w:ascii="宋体" w:hAnsi="宋体" w:cs="宋体"/>
                <w:color w:val="auto"/>
                <w:highlight w:val="none"/>
              </w:rPr>
            </w:pPr>
            <w:r>
              <w:rPr>
                <w:rFonts w:hint="eastAsia" w:ascii="宋体" w:hAnsi="宋体" w:cs="宋体"/>
                <w:color w:val="auto"/>
                <w:szCs w:val="21"/>
                <w:highlight w:val="none"/>
              </w:rPr>
              <w:t>②本项目有第三类医疗器械的，应提供有效的医疗器械经营许可证（经营范围包含采购的第三类医疗器械）；如投标人符合《医疗器械监督管理条例》第四十三条“医疗器械注册人、备案人经营其注册、备案的医疗器械，无需办理医疗器械经营许可或者备案，但应当符合本条例规定的经营条件”规定的，仅需提供该医疗器械注册证（另附表格列明所投标对应产品的名称和规格型号，格式自拟）。</w:t>
            </w:r>
          </w:p>
          <w:p w14:paraId="3B0776FE">
            <w:pPr>
              <w:adjustRightInd w:val="0"/>
              <w:spacing w:line="400" w:lineRule="exact"/>
              <w:jc w:val="left"/>
              <w:rPr>
                <w:rFonts w:ascii="宋体" w:hAnsi="宋体" w:cs="宋体"/>
                <w:b/>
                <w:color w:val="auto"/>
                <w:szCs w:val="21"/>
                <w:highlight w:val="none"/>
              </w:rPr>
            </w:pPr>
            <w:r>
              <w:rPr>
                <w:rFonts w:hint="eastAsia" w:ascii="宋体" w:hAnsi="宋体" w:cs="宋体"/>
                <w:color w:val="auto"/>
                <w:szCs w:val="21"/>
                <w:highlight w:val="none"/>
              </w:rPr>
              <w:t>8.投标声明（格式后附）；（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3DC2FBAF">
            <w:pPr>
              <w:adjustRightInd w:val="0"/>
              <w:spacing w:line="400" w:lineRule="exact"/>
              <w:jc w:val="left"/>
              <w:rPr>
                <w:rFonts w:ascii="宋体" w:hAnsi="宋体" w:cs="宋体"/>
                <w:b/>
                <w:color w:val="auto"/>
                <w:szCs w:val="21"/>
                <w:highlight w:val="none"/>
              </w:rPr>
            </w:pPr>
            <w:r>
              <w:rPr>
                <w:rFonts w:hint="eastAsia" w:ascii="宋体" w:hAnsi="宋体" w:cs="宋体"/>
                <w:color w:val="auto"/>
                <w:szCs w:val="21"/>
                <w:highlight w:val="none"/>
              </w:rPr>
              <w:t>9.联合体协议书（格式后附）；（</w:t>
            </w:r>
            <w:r>
              <w:rPr>
                <w:rFonts w:hint="eastAsia" w:ascii="宋体" w:hAnsi="宋体" w:cs="宋体"/>
                <w:b/>
                <w:color w:val="auto"/>
                <w:szCs w:val="21"/>
                <w:highlight w:val="none"/>
              </w:rPr>
              <w:t>联合体投标时必须提供，否则按无效投标处理</w:t>
            </w:r>
            <w:r>
              <w:rPr>
                <w:rFonts w:hint="eastAsia" w:ascii="宋体" w:hAnsi="宋体" w:cs="宋体"/>
                <w:color w:val="auto"/>
                <w:szCs w:val="21"/>
                <w:highlight w:val="none"/>
              </w:rPr>
              <w:t>）</w:t>
            </w:r>
          </w:p>
          <w:p w14:paraId="40CDD39C">
            <w:pPr>
              <w:adjustRightInd w:val="0"/>
              <w:spacing w:line="400" w:lineRule="exact"/>
              <w:jc w:val="left"/>
              <w:rPr>
                <w:rFonts w:ascii="宋体" w:hAnsi="宋体" w:cs="宋体"/>
                <w:b/>
                <w:color w:val="auto"/>
                <w:szCs w:val="21"/>
                <w:highlight w:val="none"/>
              </w:rPr>
            </w:pPr>
            <w:r>
              <w:rPr>
                <w:rFonts w:hint="eastAsia" w:ascii="宋体" w:hAnsi="宋体" w:cs="宋体"/>
                <w:color w:val="auto"/>
                <w:szCs w:val="21"/>
                <w:highlight w:val="none"/>
              </w:rPr>
              <w:t>10.除招标文件规定必须提供以外，投标人认为需要提供的其他证明材料。</w:t>
            </w:r>
          </w:p>
          <w:p w14:paraId="0F879B43">
            <w:pPr>
              <w:adjustRightInd w:val="0"/>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rPr>
              <w:t>注：</w:t>
            </w:r>
          </w:p>
          <w:p w14:paraId="5B032D14">
            <w:pPr>
              <w:adjustRightInd w:val="0"/>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rPr>
              <w:t>1.以上标明“必须提供”的材料必须加盖投标人电子签章，格式</w:t>
            </w:r>
            <w:r>
              <w:rPr>
                <w:rFonts w:hint="eastAsia" w:ascii="宋体" w:hAnsi="宋体" w:cs="宋体"/>
                <w:b/>
                <w:color w:val="auto"/>
                <w:szCs w:val="21"/>
                <w:highlight w:val="none"/>
              </w:rPr>
              <w:t>中有要求法定代表人或者委托代理人签字的，必须按要求签字并加盖投标人电子签章</w:t>
            </w:r>
            <w:r>
              <w:rPr>
                <w:rFonts w:hint="eastAsia" w:ascii="宋体" w:hAnsi="宋体" w:cs="宋体"/>
                <w:b/>
                <w:bCs/>
                <w:color w:val="auto"/>
                <w:szCs w:val="21"/>
                <w:highlight w:val="none"/>
              </w:rPr>
              <w:t>，否则按无效投标</w:t>
            </w:r>
            <w:r>
              <w:rPr>
                <w:rFonts w:hint="eastAsia" w:ascii="宋体" w:hAnsi="宋体" w:cs="宋体"/>
                <w:b/>
                <w:color w:val="auto"/>
                <w:szCs w:val="21"/>
                <w:highlight w:val="none"/>
              </w:rPr>
              <w:t>处理。</w:t>
            </w:r>
          </w:p>
          <w:p w14:paraId="01E0FE2A">
            <w:pPr>
              <w:adjustRightInd w:val="0"/>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rPr>
              <w:t>2.联合体投标时，第1-7项资格证明文件联合体各方均必须分别提供，联合体各方分别盖章和签字（或者电子签名），否则按无效投标</w:t>
            </w:r>
            <w:r>
              <w:rPr>
                <w:rFonts w:hint="eastAsia" w:ascii="宋体" w:hAnsi="宋体" w:cs="宋体"/>
                <w:b/>
                <w:color w:val="auto"/>
                <w:szCs w:val="21"/>
                <w:highlight w:val="none"/>
              </w:rPr>
              <w:t>处理</w:t>
            </w:r>
            <w:r>
              <w:rPr>
                <w:rFonts w:hint="eastAsia" w:ascii="宋体" w:hAnsi="宋体" w:cs="宋体"/>
                <w:b/>
                <w:bCs/>
                <w:color w:val="auto"/>
                <w:szCs w:val="21"/>
                <w:highlight w:val="none"/>
              </w:rPr>
              <w:t>。</w:t>
            </w:r>
          </w:p>
          <w:p w14:paraId="4FC92D09">
            <w:pPr>
              <w:adjustRightInd w:val="0"/>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rPr>
              <w:t>3.分公司参加投标的，应当取得总公司授权。</w:t>
            </w:r>
          </w:p>
        </w:tc>
      </w:tr>
      <w:tr w14:paraId="18CEF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right w:val="single" w:color="auto" w:sz="4" w:space="0"/>
            </w:tcBorders>
            <w:vAlign w:val="center"/>
          </w:tcPr>
          <w:p w14:paraId="74ECB68D">
            <w:pPr>
              <w:adjustRightInd w:val="0"/>
              <w:spacing w:line="400" w:lineRule="exact"/>
              <w:rPr>
                <w:rFonts w:ascii="宋体" w:hAnsi="宋体" w:cs="宋体"/>
                <w:color w:val="auto"/>
                <w:szCs w:val="21"/>
                <w:highlight w:val="none"/>
              </w:rPr>
            </w:pPr>
            <w:bookmarkStart w:id="55" w:name="_13.3"/>
            <w:bookmarkEnd w:id="55"/>
          </w:p>
        </w:tc>
        <w:tc>
          <w:tcPr>
            <w:tcW w:w="8670" w:type="dxa"/>
            <w:tcBorders>
              <w:top w:val="single" w:color="auto" w:sz="4" w:space="0"/>
              <w:left w:val="single" w:color="auto" w:sz="4" w:space="0"/>
              <w:bottom w:val="single" w:color="auto" w:sz="4" w:space="0"/>
              <w:right w:val="single" w:color="auto" w:sz="4" w:space="0"/>
            </w:tcBorders>
            <w:vAlign w:val="center"/>
          </w:tcPr>
          <w:p w14:paraId="40AB7718">
            <w:pPr>
              <w:adjustRightInd w:val="0"/>
              <w:spacing w:line="400" w:lineRule="exact"/>
              <w:jc w:val="left"/>
              <w:rPr>
                <w:rFonts w:ascii="宋体" w:hAnsi="宋体" w:cs="宋体"/>
                <w:b/>
                <w:color w:val="auto"/>
                <w:szCs w:val="21"/>
                <w:highlight w:val="none"/>
              </w:rPr>
            </w:pPr>
            <w:r>
              <w:rPr>
                <w:rFonts w:hint="eastAsia" w:ascii="宋体" w:hAnsi="宋体" w:cs="宋体"/>
                <w:b/>
                <w:color w:val="auto"/>
                <w:szCs w:val="21"/>
                <w:highlight w:val="none"/>
              </w:rPr>
              <w:t>商务文件：</w:t>
            </w:r>
          </w:p>
          <w:p w14:paraId="38468B92">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1.无串通投标行为的承诺函（格式后附）；（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47B1BA39">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2.法定代表人身份证明及法定代表人有效身份证正反面复印件（格式后附）；（</w:t>
            </w:r>
            <w:r>
              <w:rPr>
                <w:rFonts w:hint="eastAsia" w:ascii="宋体" w:hAnsi="宋体" w:cs="宋体"/>
                <w:b/>
                <w:bCs/>
                <w:color w:val="auto"/>
                <w:szCs w:val="21"/>
                <w:highlight w:val="none"/>
              </w:rPr>
              <w:t>除自然人投标外</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09205BEA">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3.授权委托书及委托代理人有效身份证正反面复印件（格式后附）；（</w:t>
            </w:r>
            <w:r>
              <w:rPr>
                <w:rFonts w:hint="eastAsia" w:ascii="宋体" w:hAnsi="宋体" w:cs="宋体"/>
                <w:b/>
                <w:color w:val="auto"/>
                <w:szCs w:val="21"/>
                <w:highlight w:val="none"/>
              </w:rPr>
              <w:t>委托时必须提供，否则按无效投标处理</w:t>
            </w:r>
            <w:r>
              <w:rPr>
                <w:rFonts w:hint="eastAsia" w:ascii="宋体" w:hAnsi="宋体" w:cs="宋体"/>
                <w:color w:val="auto"/>
                <w:szCs w:val="21"/>
                <w:highlight w:val="none"/>
              </w:rPr>
              <w:t>）</w:t>
            </w:r>
          </w:p>
          <w:p w14:paraId="4E6547F8">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4.商务要求承诺响应表（格式后附）；（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7D677172">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bCs/>
                <w:color w:val="auto"/>
                <w:szCs w:val="21"/>
                <w:highlight w:val="none"/>
              </w:rPr>
              <w:t>安装实施方案</w:t>
            </w:r>
            <w:r>
              <w:rPr>
                <w:rFonts w:hint="eastAsia" w:ascii="宋体" w:hAnsi="宋体" w:cs="宋体"/>
                <w:color w:val="auto"/>
                <w:szCs w:val="21"/>
                <w:highlight w:val="none"/>
              </w:rPr>
              <w:t>（格式后附）；内容包含但不限于：①安装方案；②设备调试方案；③设备试运行方案等。</w:t>
            </w:r>
          </w:p>
          <w:p w14:paraId="384F70B4">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6.增值售后服务方案（格式后附）；内容包含但不限于：①</w:t>
            </w:r>
            <w:r>
              <w:rPr>
                <w:rFonts w:hint="eastAsia" w:ascii="宋体" w:hAnsi="宋体" w:cs="宋体"/>
                <w:color w:val="auto"/>
                <w:highlight w:val="none"/>
              </w:rPr>
              <w:t>服务人员的配备</w:t>
            </w:r>
            <w:r>
              <w:rPr>
                <w:rFonts w:hint="eastAsia" w:ascii="宋体" w:hAnsi="宋体" w:cs="宋体"/>
                <w:color w:val="auto"/>
                <w:szCs w:val="21"/>
                <w:highlight w:val="none"/>
              </w:rPr>
              <w:t>、故障出现解决方案，②定期维护 (注明时间)，③技术培训方案，④保修期外维修方案，⑤售后服务措施及其他优惠措施等。</w:t>
            </w:r>
          </w:p>
          <w:p w14:paraId="5CA2510F">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7.投标人的业绩证明材料（格式后附）；</w:t>
            </w:r>
          </w:p>
          <w:p w14:paraId="31E4E07D">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8.投标人情况介绍（格式自拟）；</w:t>
            </w:r>
          </w:p>
          <w:p w14:paraId="67F458A6">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9.联合体协议书（格式后附，详见“其他文书、文件格式”）；（</w:t>
            </w:r>
            <w:r>
              <w:rPr>
                <w:rFonts w:hint="eastAsia" w:ascii="宋体" w:hAnsi="宋体" w:cs="宋体"/>
                <w:b/>
                <w:color w:val="auto"/>
                <w:szCs w:val="21"/>
                <w:highlight w:val="none"/>
              </w:rPr>
              <w:t>联合体投标时必须提供，否则按无效投标处理</w:t>
            </w:r>
            <w:r>
              <w:rPr>
                <w:rFonts w:hint="eastAsia" w:ascii="宋体" w:hAnsi="宋体" w:cs="宋体"/>
                <w:color w:val="auto"/>
                <w:szCs w:val="21"/>
                <w:highlight w:val="none"/>
              </w:rPr>
              <w:t>）</w:t>
            </w:r>
          </w:p>
          <w:p w14:paraId="2D1D4814">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10.除招标文件规定必须提供以外，投标人认为需要提供的其他证明材料（格式自拟）。（投标人根据“第二章 采购需求”及“第四章 评标方法及评标标准”提供有关证明材料）。</w:t>
            </w:r>
          </w:p>
          <w:p w14:paraId="1C0D7346">
            <w:pPr>
              <w:adjustRightInd w:val="0"/>
              <w:spacing w:line="400" w:lineRule="exact"/>
              <w:jc w:val="left"/>
              <w:rPr>
                <w:rFonts w:ascii="宋体" w:hAnsi="宋体" w:cs="宋体"/>
                <w:color w:val="auto"/>
                <w:szCs w:val="21"/>
                <w:highlight w:val="none"/>
              </w:rPr>
            </w:pPr>
            <w:r>
              <w:rPr>
                <w:rFonts w:hint="eastAsia" w:ascii="宋体" w:hAnsi="宋体" w:cs="宋体"/>
                <w:b/>
                <w:bCs/>
                <w:color w:val="auto"/>
                <w:szCs w:val="21"/>
                <w:highlight w:val="none"/>
              </w:rPr>
              <w:t>注：以上标明“必须提供”的材料必须加盖投标人电子签章，格式</w:t>
            </w:r>
            <w:r>
              <w:rPr>
                <w:rFonts w:hint="eastAsia" w:ascii="宋体" w:hAnsi="宋体" w:cs="宋体"/>
                <w:b/>
                <w:color w:val="auto"/>
                <w:szCs w:val="21"/>
                <w:highlight w:val="none"/>
              </w:rPr>
              <w:t>中有要求法定代表人或者委托代理人签字的，必须按要求签字并加盖投标人电子签章</w:t>
            </w:r>
            <w:r>
              <w:rPr>
                <w:rFonts w:hint="eastAsia" w:ascii="宋体" w:hAnsi="宋体" w:cs="宋体"/>
                <w:b/>
                <w:bCs/>
                <w:color w:val="auto"/>
                <w:szCs w:val="21"/>
                <w:highlight w:val="none"/>
              </w:rPr>
              <w:t>，否则按无效投标</w:t>
            </w:r>
            <w:r>
              <w:rPr>
                <w:rFonts w:hint="eastAsia" w:ascii="宋体" w:hAnsi="宋体" w:cs="宋体"/>
                <w:b/>
                <w:color w:val="auto"/>
                <w:szCs w:val="21"/>
                <w:highlight w:val="none"/>
              </w:rPr>
              <w:t>处理。</w:t>
            </w:r>
          </w:p>
        </w:tc>
      </w:tr>
      <w:tr w14:paraId="4778A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bottom w:val="single" w:color="auto" w:sz="4" w:space="0"/>
              <w:right w:val="single" w:color="auto" w:sz="4" w:space="0"/>
            </w:tcBorders>
            <w:vAlign w:val="center"/>
          </w:tcPr>
          <w:p w14:paraId="7E2D630E">
            <w:pPr>
              <w:adjustRightInd w:val="0"/>
              <w:spacing w:line="400" w:lineRule="exact"/>
              <w:rPr>
                <w:rFonts w:ascii="宋体" w:hAnsi="宋体" w:cs="宋体"/>
                <w:color w:val="auto"/>
                <w:szCs w:val="21"/>
                <w:highlight w:val="none"/>
              </w:rPr>
            </w:pPr>
            <w:bookmarkStart w:id="56" w:name="_13.4"/>
            <w:bookmarkEnd w:id="56"/>
          </w:p>
        </w:tc>
        <w:tc>
          <w:tcPr>
            <w:tcW w:w="8670" w:type="dxa"/>
            <w:tcBorders>
              <w:top w:val="single" w:color="auto" w:sz="4" w:space="0"/>
              <w:left w:val="single" w:color="auto" w:sz="4" w:space="0"/>
              <w:bottom w:val="single" w:color="auto" w:sz="4" w:space="0"/>
              <w:right w:val="single" w:color="auto" w:sz="4" w:space="0"/>
            </w:tcBorders>
            <w:vAlign w:val="center"/>
          </w:tcPr>
          <w:p w14:paraId="1265237E">
            <w:pPr>
              <w:adjustRightInd w:val="0"/>
              <w:spacing w:line="400" w:lineRule="exact"/>
              <w:jc w:val="left"/>
              <w:rPr>
                <w:rFonts w:ascii="宋体" w:hAnsi="宋体" w:cs="宋体"/>
                <w:b/>
                <w:color w:val="auto"/>
                <w:szCs w:val="21"/>
                <w:highlight w:val="none"/>
              </w:rPr>
            </w:pPr>
            <w:r>
              <w:rPr>
                <w:rFonts w:hint="eastAsia" w:ascii="宋体" w:hAnsi="宋体" w:cs="宋体"/>
                <w:b/>
                <w:color w:val="auto"/>
                <w:szCs w:val="21"/>
                <w:highlight w:val="none"/>
              </w:rPr>
              <w:t>技术文件：</w:t>
            </w:r>
          </w:p>
          <w:p w14:paraId="271CB671">
            <w:pPr>
              <w:tabs>
                <w:tab w:val="left" w:pos="312"/>
              </w:tabs>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highlight w:val="none"/>
              </w:rPr>
              <w:t>投标人所投产品相应有效的《医疗器械产品注册证》复印件</w:t>
            </w:r>
            <w:r>
              <w:rPr>
                <w:rFonts w:hint="eastAsia" w:ascii="宋体" w:hAnsi="宋体" w:cs="宋体"/>
                <w:color w:val="auto"/>
                <w:szCs w:val="21"/>
                <w:highlight w:val="none"/>
              </w:rPr>
              <w:t>；（</w:t>
            </w:r>
            <w:r>
              <w:rPr>
                <w:rFonts w:hint="eastAsia" w:ascii="宋体" w:hAnsi="宋体" w:cs="宋体"/>
                <w:b/>
                <w:bCs/>
                <w:color w:val="auto"/>
                <w:szCs w:val="21"/>
                <w:highlight w:val="none"/>
              </w:rPr>
              <w:t>必须提供，否则作无效投标处理</w:t>
            </w:r>
            <w:r>
              <w:rPr>
                <w:rFonts w:hint="eastAsia" w:ascii="宋体" w:hAnsi="宋体" w:cs="宋体"/>
                <w:color w:val="auto"/>
                <w:szCs w:val="21"/>
                <w:highlight w:val="none"/>
              </w:rPr>
              <w:t>）</w:t>
            </w:r>
          </w:p>
          <w:p w14:paraId="7B521055">
            <w:pPr>
              <w:tabs>
                <w:tab w:val="left" w:pos="312"/>
              </w:tabs>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2.技术要求偏离表（格式后附）；（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085F127E">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3.设备性能配置清单（格式后附）；（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6300073F">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4.项目实施人员一览表（格式后附）；</w:t>
            </w:r>
          </w:p>
          <w:p w14:paraId="4AA4428B">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5.对本项目系统总体要求的理解。包括：功能说明、性能指标及设备选型说明（质量、性能、价格、外观、体积等方面进行比较和选择的理由及过程）（格式自拟）；</w:t>
            </w:r>
          </w:p>
          <w:p w14:paraId="70E9E684">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6.产品出厂标准、质量检测报告（格式自拟）；</w:t>
            </w:r>
          </w:p>
          <w:p w14:paraId="56DAC959">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7.优惠条件：投标人承诺给予招标人的各种优惠条件，包括选配件、专用耗材、售后服务优惠（格式后附）；注：投标人不得给予赠品或者与采购无关的其他商品、服务；</w:t>
            </w:r>
          </w:p>
          <w:p w14:paraId="1C31533E">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8.投标人对本项目的合理化建议和改进措施（格式自拟）；</w:t>
            </w:r>
          </w:p>
          <w:p w14:paraId="0AF92A29">
            <w:pPr>
              <w:adjustRightInd w:val="0"/>
              <w:spacing w:line="400" w:lineRule="exact"/>
              <w:jc w:val="left"/>
              <w:rPr>
                <w:rFonts w:ascii="宋体" w:hAnsi="宋体" w:cs="宋体"/>
                <w:bCs/>
                <w:color w:val="auto"/>
                <w:szCs w:val="21"/>
                <w:highlight w:val="none"/>
              </w:rPr>
            </w:pPr>
            <w:r>
              <w:rPr>
                <w:rFonts w:hint="eastAsia" w:ascii="宋体" w:hAnsi="宋体" w:cs="宋体"/>
                <w:color w:val="auto"/>
                <w:szCs w:val="21"/>
                <w:highlight w:val="none"/>
              </w:rPr>
              <w:t>9.除招标文件规定必须提供以外，投标人需要说明的其他文件和说明（格式自拟）。</w:t>
            </w:r>
          </w:p>
          <w:p w14:paraId="1F1D2A75">
            <w:pPr>
              <w:adjustRightInd w:val="0"/>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rPr>
              <w:t>注：以上标明“必须提供”的材料必须加盖投标人电子签章，格式</w:t>
            </w:r>
            <w:r>
              <w:rPr>
                <w:rFonts w:hint="eastAsia" w:ascii="宋体" w:hAnsi="宋体" w:cs="宋体"/>
                <w:b/>
                <w:color w:val="auto"/>
                <w:szCs w:val="21"/>
                <w:highlight w:val="none"/>
              </w:rPr>
              <w:t>中有要求法定代表人或者委托代理人签字的，必须按要求签字并加盖投标人电子签章</w:t>
            </w:r>
            <w:r>
              <w:rPr>
                <w:rFonts w:hint="eastAsia" w:ascii="宋体" w:hAnsi="宋体" w:cs="宋体"/>
                <w:b/>
                <w:bCs/>
                <w:color w:val="auto"/>
                <w:szCs w:val="21"/>
                <w:highlight w:val="none"/>
              </w:rPr>
              <w:t>，否则按无效投标</w:t>
            </w:r>
            <w:r>
              <w:rPr>
                <w:rFonts w:hint="eastAsia" w:ascii="宋体" w:hAnsi="宋体" w:cs="宋体"/>
                <w:b/>
                <w:color w:val="auto"/>
                <w:szCs w:val="21"/>
                <w:highlight w:val="none"/>
              </w:rPr>
              <w:t>处理。</w:t>
            </w:r>
          </w:p>
        </w:tc>
      </w:tr>
      <w:tr w14:paraId="3DB919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6AEAD873">
            <w:pPr>
              <w:adjustRightInd w:val="0"/>
              <w:spacing w:line="400" w:lineRule="exact"/>
              <w:jc w:val="center"/>
              <w:rPr>
                <w:rFonts w:ascii="宋体" w:hAnsi="宋体" w:cs="宋体"/>
                <w:color w:val="auto"/>
                <w:szCs w:val="21"/>
                <w:highlight w:val="none"/>
              </w:rPr>
            </w:pPr>
            <w:bookmarkStart w:id="57" w:name="_13.5"/>
            <w:bookmarkEnd w:id="57"/>
            <w:bookmarkStart w:id="58" w:name="_16.2"/>
            <w:bookmarkEnd w:id="58"/>
            <w:r>
              <w:rPr>
                <w:rFonts w:hint="eastAsia" w:ascii="宋体" w:hAnsi="宋体" w:cs="宋体"/>
                <w:color w:val="auto"/>
                <w:szCs w:val="21"/>
                <w:highlight w:val="none"/>
              </w:rPr>
              <w:t>16</w:t>
            </w:r>
            <w:bookmarkStart w:id="59" w:name="_Hlt19194067"/>
            <w:bookmarkStart w:id="60" w:name="_Hlt19693758"/>
            <w:bookmarkStart w:id="61" w:name="_Hlt19194066"/>
            <w:bookmarkStart w:id="62" w:name="_Hlt19693759"/>
            <w:r>
              <w:rPr>
                <w:rFonts w:hint="eastAsia" w:ascii="宋体" w:hAnsi="宋体" w:cs="宋体"/>
                <w:color w:val="auto"/>
                <w:szCs w:val="21"/>
                <w:highlight w:val="none"/>
              </w:rPr>
              <w:t>.</w:t>
            </w:r>
            <w:bookmarkEnd w:id="59"/>
            <w:bookmarkEnd w:id="60"/>
            <w:bookmarkEnd w:id="61"/>
            <w:bookmarkEnd w:id="62"/>
            <w:r>
              <w:rPr>
                <w:rFonts w:hint="eastAsia" w:ascii="宋体" w:hAnsi="宋体" w:cs="宋体"/>
                <w:color w:val="auto"/>
                <w:szCs w:val="21"/>
                <w:highlight w:val="none"/>
              </w:rPr>
              <w:t>2</w:t>
            </w:r>
          </w:p>
        </w:tc>
        <w:tc>
          <w:tcPr>
            <w:tcW w:w="8670" w:type="dxa"/>
            <w:tcBorders>
              <w:top w:val="single" w:color="auto" w:sz="4" w:space="0"/>
              <w:left w:val="single" w:color="auto" w:sz="4" w:space="0"/>
              <w:bottom w:val="single" w:color="auto" w:sz="4" w:space="0"/>
              <w:right w:val="single" w:color="auto" w:sz="4" w:space="0"/>
            </w:tcBorders>
            <w:vAlign w:val="center"/>
          </w:tcPr>
          <w:p w14:paraId="7B1007B0">
            <w:pPr>
              <w:adjustRightInd w:val="0"/>
              <w:spacing w:line="400" w:lineRule="exact"/>
              <w:rPr>
                <w:rFonts w:ascii="宋体" w:hAnsi="宋体" w:cs="宋体"/>
                <w:b/>
                <w:color w:val="auto"/>
                <w:szCs w:val="21"/>
                <w:highlight w:val="none"/>
              </w:rPr>
            </w:pPr>
            <w:r>
              <w:rPr>
                <w:rFonts w:hint="eastAsia" w:ascii="宋体" w:hAnsi="宋体" w:cs="宋体"/>
                <w:color w:val="auto"/>
                <w:szCs w:val="21"/>
                <w:highlight w:val="none"/>
              </w:rPr>
              <w:t>投标报价是履行合同的最终价格，包括但不限于：货物货款、货物标准附件、备品配件、专用工具、包装、运输、装卸、保险、税金、货到就位和安装、调试、培训、保修、验收等的费用。</w:t>
            </w:r>
            <w:r>
              <w:rPr>
                <w:rFonts w:ascii="Arial" w:hAnsi="Arial" w:cs="Arial"/>
                <w:color w:val="auto"/>
                <w:szCs w:val="21"/>
                <w:highlight w:val="none"/>
              </w:rPr>
              <w:t>对于本文件中明确列明必须报价的货物或服务</w:t>
            </w:r>
            <w:r>
              <w:rPr>
                <w:rFonts w:hint="eastAsia" w:ascii="Arial" w:hAnsi="Arial" w:cs="Arial"/>
                <w:color w:val="auto"/>
                <w:szCs w:val="21"/>
                <w:highlight w:val="none"/>
              </w:rPr>
              <w:t>，投标人</w:t>
            </w:r>
            <w:r>
              <w:rPr>
                <w:rFonts w:ascii="Arial" w:hAnsi="Arial" w:cs="Arial"/>
                <w:color w:val="auto"/>
                <w:szCs w:val="21"/>
                <w:highlight w:val="none"/>
              </w:rPr>
              <w:t>应分别报价。对于本文件中未列明</w:t>
            </w:r>
            <w:r>
              <w:rPr>
                <w:rFonts w:hint="eastAsia" w:ascii="Arial" w:hAnsi="Arial" w:cs="Arial"/>
                <w:color w:val="auto"/>
                <w:szCs w:val="21"/>
                <w:highlight w:val="none"/>
              </w:rPr>
              <w:t>，</w:t>
            </w:r>
            <w:r>
              <w:rPr>
                <w:rFonts w:ascii="Arial" w:hAnsi="Arial" w:cs="Arial"/>
                <w:color w:val="auto"/>
                <w:szCs w:val="21"/>
                <w:highlight w:val="none"/>
              </w:rPr>
              <w:t>而</w:t>
            </w:r>
            <w:r>
              <w:rPr>
                <w:rFonts w:hint="eastAsia" w:ascii="Arial" w:hAnsi="Arial" w:cs="Arial"/>
                <w:color w:val="auto"/>
                <w:szCs w:val="21"/>
                <w:highlight w:val="none"/>
              </w:rPr>
              <w:t>投标人</w:t>
            </w:r>
            <w:r>
              <w:rPr>
                <w:rFonts w:ascii="Arial" w:hAnsi="Arial" w:cs="Arial"/>
                <w:color w:val="auto"/>
                <w:szCs w:val="21"/>
                <w:highlight w:val="none"/>
              </w:rPr>
              <w:t>认为必需的费用也需列入总报价。在合同实施时</w:t>
            </w:r>
            <w:r>
              <w:rPr>
                <w:rFonts w:hint="eastAsia" w:ascii="Arial" w:hAnsi="Arial" w:cs="Arial"/>
                <w:color w:val="auto"/>
                <w:szCs w:val="21"/>
                <w:highlight w:val="none"/>
              </w:rPr>
              <w:t>，采购人</w:t>
            </w:r>
            <w:r>
              <w:rPr>
                <w:rFonts w:ascii="Arial" w:hAnsi="Arial" w:cs="Arial"/>
                <w:color w:val="auto"/>
                <w:szCs w:val="21"/>
                <w:highlight w:val="none"/>
              </w:rPr>
              <w:t>将不予支付</w:t>
            </w:r>
            <w:r>
              <w:rPr>
                <w:rFonts w:hint="eastAsia" w:ascii="Arial" w:hAnsi="Arial" w:cs="Arial"/>
                <w:color w:val="auto"/>
                <w:szCs w:val="21"/>
                <w:highlight w:val="none"/>
              </w:rPr>
              <w:t>投标人</w:t>
            </w:r>
            <w:r>
              <w:rPr>
                <w:rFonts w:ascii="Arial" w:hAnsi="Arial" w:cs="Arial"/>
                <w:color w:val="auto"/>
                <w:szCs w:val="21"/>
                <w:highlight w:val="none"/>
              </w:rPr>
              <w:t>没有列入的项目费用</w:t>
            </w:r>
            <w:r>
              <w:rPr>
                <w:rFonts w:hint="eastAsia" w:ascii="Arial" w:hAnsi="Arial" w:cs="Arial"/>
                <w:color w:val="auto"/>
                <w:szCs w:val="21"/>
                <w:highlight w:val="none"/>
              </w:rPr>
              <w:t>，</w:t>
            </w:r>
            <w:r>
              <w:rPr>
                <w:rFonts w:ascii="Arial" w:hAnsi="Arial" w:cs="Arial"/>
                <w:color w:val="auto"/>
                <w:szCs w:val="21"/>
                <w:highlight w:val="none"/>
              </w:rPr>
              <w:t>并认为此项目的费用已包括在投标总报价中。</w:t>
            </w:r>
          </w:p>
        </w:tc>
      </w:tr>
      <w:tr w14:paraId="49DFDC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7589F67E">
            <w:pPr>
              <w:adjustRightInd w:val="0"/>
              <w:spacing w:line="400" w:lineRule="exact"/>
              <w:jc w:val="center"/>
              <w:rPr>
                <w:rFonts w:ascii="宋体" w:hAnsi="宋体" w:cs="宋体"/>
                <w:color w:val="auto"/>
                <w:szCs w:val="21"/>
                <w:highlight w:val="none"/>
              </w:rPr>
            </w:pPr>
            <w:bookmarkStart w:id="63" w:name="_17.1"/>
            <w:bookmarkEnd w:id="63"/>
            <w:r>
              <w:rPr>
                <w:rFonts w:hint="eastAsia" w:ascii="宋体" w:hAnsi="宋体" w:cs="宋体"/>
                <w:color w:val="auto"/>
                <w:szCs w:val="21"/>
                <w:highlight w:val="none"/>
              </w:rPr>
              <w:t>17.2</w:t>
            </w:r>
          </w:p>
        </w:tc>
        <w:tc>
          <w:tcPr>
            <w:tcW w:w="8670" w:type="dxa"/>
            <w:tcBorders>
              <w:top w:val="single" w:color="auto" w:sz="4" w:space="0"/>
              <w:left w:val="single" w:color="auto" w:sz="4" w:space="0"/>
              <w:bottom w:val="single" w:color="auto" w:sz="4" w:space="0"/>
              <w:right w:val="single" w:color="auto" w:sz="4" w:space="0"/>
            </w:tcBorders>
            <w:vAlign w:val="center"/>
          </w:tcPr>
          <w:p w14:paraId="5C817E30">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投标有效期：自投标截止之日起</w:t>
            </w:r>
            <w:r>
              <w:rPr>
                <w:rFonts w:hint="eastAsia" w:ascii="宋体" w:hAnsi="宋体" w:cs="宋体"/>
                <w:color w:val="auto"/>
                <w:szCs w:val="21"/>
                <w:highlight w:val="none"/>
                <w:u w:val="single"/>
              </w:rPr>
              <w:t>180</w:t>
            </w:r>
            <w:r>
              <w:rPr>
                <w:rFonts w:hint="eastAsia" w:ascii="宋体" w:hAnsi="宋体" w:cs="宋体"/>
                <w:color w:val="auto"/>
                <w:szCs w:val="21"/>
                <w:highlight w:val="none"/>
              </w:rPr>
              <w:t>日。</w:t>
            </w:r>
          </w:p>
        </w:tc>
      </w:tr>
      <w:tr w14:paraId="5FA956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034669FD">
            <w:pPr>
              <w:adjustRightInd w:val="0"/>
              <w:spacing w:line="400" w:lineRule="exact"/>
              <w:jc w:val="center"/>
              <w:rPr>
                <w:rFonts w:ascii="宋体" w:hAnsi="宋体" w:cs="宋体"/>
                <w:color w:val="auto"/>
                <w:szCs w:val="21"/>
                <w:highlight w:val="none"/>
              </w:rPr>
            </w:pPr>
            <w:bookmarkStart w:id="64" w:name="_18"/>
            <w:bookmarkEnd w:id="64"/>
            <w:r>
              <w:rPr>
                <w:rFonts w:hint="eastAsia" w:ascii="宋体" w:hAnsi="宋体" w:cs="宋体"/>
                <w:color w:val="auto"/>
                <w:szCs w:val="21"/>
                <w:highlight w:val="none"/>
              </w:rPr>
              <w:t>18.1</w:t>
            </w:r>
          </w:p>
        </w:tc>
        <w:tc>
          <w:tcPr>
            <w:tcW w:w="8670" w:type="dxa"/>
            <w:tcBorders>
              <w:top w:val="single" w:color="auto" w:sz="4" w:space="0"/>
              <w:left w:val="single" w:color="auto" w:sz="4" w:space="0"/>
              <w:bottom w:val="single" w:color="auto" w:sz="4" w:space="0"/>
              <w:right w:val="single" w:color="auto" w:sz="4" w:space="0"/>
            </w:tcBorders>
            <w:vAlign w:val="center"/>
          </w:tcPr>
          <w:p w14:paraId="66524476">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☑本项目不收取投标保证金。</w:t>
            </w:r>
          </w:p>
        </w:tc>
      </w:tr>
      <w:tr w14:paraId="6E7F7E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60C008BB">
            <w:pPr>
              <w:adjustRightInd w:val="0"/>
              <w:spacing w:line="400" w:lineRule="exact"/>
              <w:jc w:val="center"/>
              <w:rPr>
                <w:rFonts w:ascii="宋体" w:hAnsi="宋体" w:cs="宋体"/>
                <w:color w:val="auto"/>
                <w:szCs w:val="21"/>
                <w:highlight w:val="none"/>
              </w:rPr>
            </w:pPr>
            <w:bookmarkStart w:id="65" w:name="_19.2"/>
            <w:bookmarkEnd w:id="65"/>
            <w:r>
              <w:rPr>
                <w:rFonts w:hint="eastAsia" w:ascii="宋体" w:hAnsi="宋体" w:cs="宋体"/>
                <w:color w:val="auto"/>
                <w:szCs w:val="21"/>
                <w:highlight w:val="none"/>
              </w:rPr>
              <w:t>20</w:t>
            </w:r>
          </w:p>
        </w:tc>
        <w:tc>
          <w:tcPr>
            <w:tcW w:w="8670" w:type="dxa"/>
            <w:tcBorders>
              <w:top w:val="single" w:color="auto" w:sz="4" w:space="0"/>
              <w:left w:val="single" w:color="auto" w:sz="4" w:space="0"/>
              <w:bottom w:val="single" w:color="auto" w:sz="4" w:space="0"/>
              <w:right w:val="single" w:color="auto" w:sz="4" w:space="0"/>
            </w:tcBorders>
            <w:vAlign w:val="center"/>
          </w:tcPr>
          <w:p w14:paraId="7AE98A24">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□本项目不接受电子备份投标文件。</w:t>
            </w:r>
          </w:p>
          <w:p w14:paraId="6A42F846">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☑本项目接受</w:t>
            </w:r>
            <w:r>
              <w:rPr>
                <w:rFonts w:hint="eastAsia" w:ascii="宋体" w:hAnsi="宋体" w:cs="宋体"/>
                <w:color w:val="auto"/>
                <w:highlight w:val="none"/>
              </w:rPr>
              <w:t>电子</w:t>
            </w:r>
            <w:r>
              <w:rPr>
                <w:rFonts w:hint="eastAsia" w:ascii="宋体" w:hAnsi="宋体" w:cs="宋体"/>
                <w:color w:val="auto"/>
                <w:szCs w:val="21"/>
                <w:highlight w:val="none"/>
              </w:rPr>
              <w:t>备份投标文件。</w:t>
            </w:r>
          </w:p>
          <w:p w14:paraId="37C2F70A">
            <w:pPr>
              <w:autoSpaceDE w:val="0"/>
              <w:autoSpaceDN w:val="0"/>
              <w:adjustRightInd w:val="0"/>
              <w:spacing w:line="400" w:lineRule="exact"/>
              <w:ind w:firstLine="420" w:firstLineChars="200"/>
              <w:textAlignment w:val="bottom"/>
              <w:rPr>
                <w:rFonts w:ascii="宋体" w:hAnsi="宋体" w:cs="宋体"/>
                <w:color w:val="auto"/>
                <w:highlight w:val="none"/>
              </w:rPr>
            </w:pPr>
            <w:r>
              <w:rPr>
                <w:rFonts w:hint="eastAsia" w:ascii="宋体" w:hAnsi="宋体" w:cs="宋体"/>
                <w:color w:val="auto"/>
                <w:highlight w:val="none"/>
              </w:rPr>
              <w:t>电子</w:t>
            </w:r>
            <w:r>
              <w:rPr>
                <w:rFonts w:hint="eastAsia" w:ascii="宋体" w:hAnsi="宋体" w:cs="宋体"/>
                <w:color w:val="auto"/>
                <w:szCs w:val="21"/>
                <w:highlight w:val="none"/>
              </w:rPr>
              <w:t>备份投标文件</w:t>
            </w:r>
            <w:r>
              <w:rPr>
                <w:rFonts w:hint="eastAsia" w:ascii="宋体" w:hAnsi="宋体" w:cs="宋体"/>
                <w:color w:val="auto"/>
                <w:highlight w:val="none"/>
              </w:rPr>
              <w:t>提交方式：投标人可以在解密截止时间起30分钟内采用以下</w:t>
            </w:r>
            <w:r>
              <w:rPr>
                <w:rFonts w:hint="eastAsia" w:ascii="宋体" w:hAnsi="宋体" w:cs="宋体"/>
                <w:color w:val="auto"/>
                <w:highlight w:val="none"/>
                <w:u w:val="single"/>
              </w:rPr>
              <w:t>第（1）或（2）</w:t>
            </w:r>
            <w:r>
              <w:rPr>
                <w:rFonts w:hint="eastAsia" w:ascii="宋体" w:hAnsi="宋体" w:cs="宋体"/>
                <w:color w:val="auto"/>
                <w:highlight w:val="none"/>
              </w:rPr>
              <w:t>种方式向采购代理机构提交电子备份投标文件：</w:t>
            </w:r>
          </w:p>
          <w:p w14:paraId="50E14DCA">
            <w:pPr>
              <w:autoSpaceDE w:val="0"/>
              <w:autoSpaceDN w:val="0"/>
              <w:adjustRightInd w:val="0"/>
              <w:spacing w:line="400" w:lineRule="exact"/>
              <w:textAlignment w:val="bottom"/>
              <w:rPr>
                <w:rFonts w:ascii="宋体" w:hAnsi="宋体" w:cs="宋体"/>
                <w:color w:val="auto"/>
                <w:highlight w:val="none"/>
              </w:rPr>
            </w:pPr>
            <w:r>
              <w:rPr>
                <w:rFonts w:hint="eastAsia" w:ascii="宋体" w:hAnsi="宋体" w:cs="宋体"/>
                <w:color w:val="auto"/>
                <w:highlight w:val="none"/>
              </w:rPr>
              <w:t>（1）现场提交方式，应采用U盘进行存储，提交地址：</w:t>
            </w:r>
            <w:r>
              <w:rPr>
                <w:rFonts w:hint="eastAsia" w:ascii="宋体" w:hAnsi="宋体" w:cs="宋体"/>
                <w:color w:val="auto"/>
                <w:szCs w:val="21"/>
                <w:highlight w:val="none"/>
              </w:rPr>
              <w:t>桂林市公共资源交易中心9号开标</w:t>
            </w:r>
            <w:r>
              <w:rPr>
                <w:rFonts w:hint="eastAsia" w:ascii="宋体" w:hAnsi="宋体" w:cs="宋体"/>
                <w:color w:val="auto"/>
                <w:szCs w:val="21"/>
                <w:highlight w:val="none"/>
              </w:rPr>
              <w:t>室</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号</w:t>
            </w:r>
            <w:r>
              <w:rPr>
                <w:rFonts w:hint="eastAsia" w:ascii="宋体" w:hAnsi="宋体" w:cs="宋体"/>
                <w:color w:val="auto"/>
                <w:szCs w:val="21"/>
                <w:highlight w:val="none"/>
              </w:rPr>
              <w:t>开标仓（广西桂林市临桂区西城中路69号创业大厦西辅楼4楼北区）</w:t>
            </w:r>
            <w:r>
              <w:rPr>
                <w:rFonts w:hint="eastAsia" w:ascii="宋体" w:hAnsi="宋体" w:cs="宋体"/>
                <w:color w:val="auto"/>
                <w:highlight w:val="none"/>
              </w:rPr>
              <w:t>；外包装上注明投标人名称、项目名称及项目编号（外包装不作密封要求）。</w:t>
            </w:r>
          </w:p>
          <w:p w14:paraId="098969CF">
            <w:pPr>
              <w:autoSpaceDE w:val="0"/>
              <w:autoSpaceDN w:val="0"/>
              <w:adjustRightInd w:val="0"/>
              <w:spacing w:line="400" w:lineRule="exact"/>
              <w:textAlignment w:val="bottom"/>
              <w:rPr>
                <w:rFonts w:ascii="宋体" w:hAnsi="宋体" w:cs="宋体"/>
                <w:color w:val="auto"/>
                <w:highlight w:val="none"/>
              </w:rPr>
            </w:pPr>
            <w:r>
              <w:rPr>
                <w:rFonts w:hint="eastAsia" w:ascii="宋体" w:hAnsi="宋体" w:cs="宋体"/>
                <w:color w:val="auto"/>
                <w:highlight w:val="none"/>
              </w:rPr>
              <w:t>（2）若投标人在规定的时间内无法解密或解密失败的，可以在投标文件解密截止时间后30分钟内向采购代理机构提交电子备份投标文件（接收电子备份投标文件的电子邮箱为：guilinyl@vip.sina.com）。投标人未按上述规定提交的电子备份投标文件，采购代理机构不予接收或承认。若投标人无法在规定的时间内解密投标文件或者解密失败的，采购代理机构将电子备份投标文件按“广西政府采购云平台”操作规范上传至“广西政府采购云平台”，电子备份投标文件上传成功后，投标人原上传的电子加密投标文件自动失效。若投标人在规定时间内无法解密或解密失败且未提供电子备份投标文件的（包含提供的电子备份投标文件无效或无法解读的情况），投标人的投标文件作无效处理。</w:t>
            </w:r>
          </w:p>
          <w:p w14:paraId="12F3F3BC">
            <w:pPr>
              <w:autoSpaceDE w:val="0"/>
              <w:autoSpaceDN w:val="0"/>
              <w:adjustRightInd w:val="0"/>
              <w:spacing w:line="400" w:lineRule="exact"/>
              <w:textAlignment w:val="bottom"/>
              <w:rPr>
                <w:rFonts w:ascii="宋体" w:hAnsi="宋体" w:cs="宋体"/>
                <w:color w:val="auto"/>
                <w:highlight w:val="none"/>
              </w:rPr>
            </w:pPr>
            <w:r>
              <w:rPr>
                <w:rFonts w:hint="eastAsia" w:ascii="宋体" w:hAnsi="宋体" w:cs="宋体"/>
                <w:color w:val="auto"/>
                <w:highlight w:val="none"/>
              </w:rPr>
              <w:t>（3）邮寄方式，应采用U盘进行存储，邮寄地址：</w:t>
            </w:r>
            <w:r>
              <w:rPr>
                <w:rFonts w:hint="eastAsia" w:ascii="宋体" w:hAnsi="宋体" w:cs="宋体"/>
                <w:color w:val="auto"/>
                <w:highlight w:val="none"/>
                <w:u w:val="single"/>
              </w:rPr>
              <w:t xml:space="preserve">   \   </w:t>
            </w:r>
            <w:r>
              <w:rPr>
                <w:rFonts w:hint="eastAsia" w:ascii="宋体" w:hAnsi="宋体" w:cs="宋体"/>
                <w:color w:val="auto"/>
                <w:highlight w:val="none"/>
              </w:rPr>
              <w:t>，收件人：</w:t>
            </w:r>
            <w:r>
              <w:rPr>
                <w:rFonts w:hint="eastAsia" w:ascii="宋体" w:hAnsi="宋体" w:cs="宋体"/>
                <w:color w:val="auto"/>
                <w:highlight w:val="none"/>
                <w:u w:val="single"/>
              </w:rPr>
              <w:t xml:space="preserve">  \    </w:t>
            </w:r>
            <w:r>
              <w:rPr>
                <w:rFonts w:hint="eastAsia" w:ascii="宋体" w:hAnsi="宋体" w:cs="宋体"/>
                <w:color w:val="auto"/>
                <w:highlight w:val="none"/>
              </w:rPr>
              <w:t>，联系方式：</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；外包装上注明投标人名称、项目名称及项目编号（外包装不作密封要求）。 </w:t>
            </w:r>
          </w:p>
          <w:p w14:paraId="31A28CED">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highlight w:val="none"/>
              </w:rPr>
              <w:t>投标人未按上述规定提交的电子备份投标文件，采购代理机构不予接收或承认。若电子加密投标文件解密成功，电子备份投标文件自动失效。若投标人无法在规定的时间内解密投标文件或者解密失败的，采购代理机构将电子备份投标文件按“政府采购云平台”操作规范上传至“政府采购云平台”，电子备份投标文件上传成功后，投标人原上传的电子加密投标文件自动失效。若投标人在规定时间内无法解密或解密失败且未提供电子备份投标文件的（包含提供的电子备份投标文件无效或无法解读的情况），</w:t>
            </w:r>
            <w:r>
              <w:rPr>
                <w:rFonts w:hint="eastAsia" w:ascii="宋体" w:hAnsi="宋体" w:cs="宋体"/>
                <w:b/>
                <w:bCs/>
                <w:color w:val="auto"/>
                <w:highlight w:val="none"/>
              </w:rPr>
              <w:t>投标人的投标文件作无效处理。</w:t>
            </w:r>
          </w:p>
        </w:tc>
      </w:tr>
      <w:tr w14:paraId="1CDE72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95" w:type="dxa"/>
            <w:tcBorders>
              <w:top w:val="single" w:color="auto" w:sz="4" w:space="0"/>
              <w:left w:val="single" w:color="auto" w:sz="4" w:space="0"/>
              <w:bottom w:val="single" w:color="auto" w:sz="4" w:space="0"/>
              <w:right w:val="single" w:color="auto" w:sz="4" w:space="0"/>
            </w:tcBorders>
            <w:vAlign w:val="center"/>
          </w:tcPr>
          <w:p w14:paraId="6EC1325B">
            <w:pPr>
              <w:adjustRightInd w:val="0"/>
              <w:spacing w:line="400" w:lineRule="exact"/>
              <w:jc w:val="center"/>
              <w:rPr>
                <w:rFonts w:ascii="宋体" w:hAnsi="宋体" w:cs="宋体"/>
                <w:color w:val="auto"/>
                <w:szCs w:val="21"/>
                <w:highlight w:val="none"/>
              </w:rPr>
            </w:pPr>
            <w:bookmarkStart w:id="66" w:name="_21.1"/>
            <w:bookmarkEnd w:id="66"/>
            <w:r>
              <w:rPr>
                <w:rFonts w:hint="eastAsia" w:ascii="宋体" w:hAnsi="宋体" w:cs="宋体"/>
                <w:color w:val="auto"/>
                <w:szCs w:val="21"/>
                <w:highlight w:val="none"/>
              </w:rPr>
              <w:t>21.1</w:t>
            </w:r>
          </w:p>
        </w:tc>
        <w:tc>
          <w:tcPr>
            <w:tcW w:w="8670" w:type="dxa"/>
            <w:tcBorders>
              <w:top w:val="single" w:color="auto" w:sz="4" w:space="0"/>
              <w:left w:val="single" w:color="auto" w:sz="4" w:space="0"/>
              <w:bottom w:val="single" w:color="auto" w:sz="4" w:space="0"/>
              <w:right w:val="single" w:color="auto" w:sz="4" w:space="0"/>
            </w:tcBorders>
            <w:vAlign w:val="center"/>
          </w:tcPr>
          <w:p w14:paraId="611899DF">
            <w:pPr>
              <w:adjustRightIn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1.投标文件提交截止时间：详见招标公告</w:t>
            </w:r>
          </w:p>
          <w:p w14:paraId="6D7E52EC">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2.投标地点：详见招标公告</w:t>
            </w:r>
          </w:p>
        </w:tc>
      </w:tr>
      <w:tr w14:paraId="511F2A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07B0ADCC">
            <w:pPr>
              <w:adjustRightInd w:val="0"/>
              <w:spacing w:line="400" w:lineRule="exact"/>
              <w:jc w:val="center"/>
              <w:rPr>
                <w:rFonts w:ascii="宋体" w:hAnsi="宋体" w:cs="宋体"/>
                <w:color w:val="auto"/>
                <w:szCs w:val="21"/>
                <w:highlight w:val="none"/>
              </w:rPr>
            </w:pPr>
            <w:bookmarkStart w:id="67" w:name="_23"/>
            <w:bookmarkEnd w:id="67"/>
            <w:r>
              <w:rPr>
                <w:rFonts w:hint="eastAsia" w:ascii="宋体" w:hAnsi="宋体" w:cs="宋体"/>
                <w:color w:val="auto"/>
                <w:szCs w:val="21"/>
                <w:highlight w:val="none"/>
              </w:rPr>
              <w:t>23</w:t>
            </w:r>
          </w:p>
        </w:tc>
        <w:tc>
          <w:tcPr>
            <w:tcW w:w="8670" w:type="dxa"/>
            <w:tcBorders>
              <w:top w:val="single" w:color="auto" w:sz="4" w:space="0"/>
              <w:left w:val="single" w:color="auto" w:sz="4" w:space="0"/>
              <w:bottom w:val="single" w:color="auto" w:sz="4" w:space="0"/>
              <w:right w:val="single" w:color="auto" w:sz="4" w:space="0"/>
            </w:tcBorders>
            <w:vAlign w:val="center"/>
          </w:tcPr>
          <w:p w14:paraId="5537FF16">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1.开标时间：详见招标公告</w:t>
            </w:r>
          </w:p>
          <w:p w14:paraId="3AF59D34">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2.开标地点：详见招标公告</w:t>
            </w:r>
          </w:p>
        </w:tc>
      </w:tr>
      <w:tr w14:paraId="49F5E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46D6AB5B">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24.3（1）</w:t>
            </w:r>
          </w:p>
        </w:tc>
        <w:tc>
          <w:tcPr>
            <w:tcW w:w="8670" w:type="dxa"/>
            <w:tcBorders>
              <w:top w:val="single" w:color="auto" w:sz="4" w:space="0"/>
              <w:left w:val="single" w:color="auto" w:sz="4" w:space="0"/>
              <w:bottom w:val="single" w:color="auto" w:sz="4" w:space="0"/>
              <w:right w:val="single" w:color="auto" w:sz="4" w:space="0"/>
            </w:tcBorders>
            <w:vAlign w:val="center"/>
          </w:tcPr>
          <w:p w14:paraId="5A9D4155">
            <w:pPr>
              <w:adjustRightIn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电子投标文件解密时间：</w:t>
            </w:r>
            <w:r>
              <w:rPr>
                <w:rFonts w:hint="eastAsia" w:ascii="宋体" w:hAnsi="宋体" w:cs="宋体"/>
                <w:color w:val="auto"/>
                <w:szCs w:val="21"/>
                <w:highlight w:val="none"/>
                <w:u w:val="single"/>
              </w:rPr>
              <w:t>30</w:t>
            </w:r>
            <w:r>
              <w:rPr>
                <w:rFonts w:hint="eastAsia" w:ascii="宋体" w:hAnsi="宋体" w:cs="宋体"/>
                <w:color w:val="auto"/>
                <w:szCs w:val="21"/>
                <w:highlight w:val="none"/>
              </w:rPr>
              <w:t>分钟</w:t>
            </w:r>
          </w:p>
        </w:tc>
      </w:tr>
      <w:tr w14:paraId="3F4688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68C69E3D">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24.3（2）</w:t>
            </w:r>
          </w:p>
        </w:tc>
        <w:tc>
          <w:tcPr>
            <w:tcW w:w="8670" w:type="dxa"/>
            <w:tcBorders>
              <w:top w:val="single" w:color="auto" w:sz="4" w:space="0"/>
              <w:left w:val="single" w:color="auto" w:sz="4" w:space="0"/>
              <w:bottom w:val="single" w:color="auto" w:sz="4" w:space="0"/>
              <w:right w:val="single" w:color="auto" w:sz="4" w:space="0"/>
            </w:tcBorders>
            <w:vAlign w:val="center"/>
          </w:tcPr>
          <w:p w14:paraId="69A74BCA">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宣布的内容：投标人名称、投标价格、</w:t>
            </w:r>
            <w:r>
              <w:rPr>
                <w:rFonts w:hint="eastAsia" w:ascii="宋体" w:hAnsi="宋体" w:cs="宋体"/>
                <w:color w:val="auto"/>
                <w:szCs w:val="21"/>
                <w:highlight w:val="none"/>
                <w:u w:val="single"/>
              </w:rPr>
              <w:t>\</w:t>
            </w:r>
          </w:p>
        </w:tc>
      </w:tr>
      <w:tr w14:paraId="0F245F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4FFBD5E7">
            <w:pPr>
              <w:adjustRightInd w:val="0"/>
              <w:spacing w:line="400" w:lineRule="exact"/>
              <w:jc w:val="center"/>
              <w:rPr>
                <w:rFonts w:ascii="宋体" w:hAnsi="宋体" w:cs="宋体"/>
                <w:color w:val="auto"/>
                <w:szCs w:val="21"/>
                <w:highlight w:val="none"/>
              </w:rPr>
            </w:pPr>
            <w:bookmarkStart w:id="68" w:name="_25.3"/>
            <w:bookmarkEnd w:id="68"/>
            <w:r>
              <w:rPr>
                <w:rFonts w:hint="eastAsia" w:ascii="宋体" w:hAnsi="宋体" w:cs="宋体"/>
                <w:color w:val="auto"/>
                <w:szCs w:val="21"/>
                <w:highlight w:val="none"/>
              </w:rPr>
              <w:t>25.3（2）</w:t>
            </w:r>
          </w:p>
        </w:tc>
        <w:tc>
          <w:tcPr>
            <w:tcW w:w="8670" w:type="dxa"/>
            <w:tcBorders>
              <w:top w:val="single" w:color="auto" w:sz="4" w:space="0"/>
              <w:left w:val="single" w:color="auto" w:sz="4" w:space="0"/>
              <w:bottom w:val="single" w:color="auto" w:sz="4" w:space="0"/>
              <w:right w:val="single" w:color="auto" w:sz="4" w:space="0"/>
            </w:tcBorders>
            <w:vAlign w:val="center"/>
          </w:tcPr>
          <w:p w14:paraId="0804ADC1">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采购人或者采购代理机构在资格审查结束前，对投标人进行信用查询。</w:t>
            </w:r>
          </w:p>
          <w:p w14:paraId="3EA54DF3">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查询渠道：“信用中国”网站（</w:t>
            </w:r>
            <w:r>
              <w:rPr>
                <w:rFonts w:hint="eastAsia" w:ascii="宋体" w:hAnsi="宋体" w:cs="宋体"/>
                <w:color w:val="auto"/>
                <w:kern w:val="0"/>
                <w:szCs w:val="21"/>
                <w:highlight w:val="none"/>
              </w:rPr>
              <w:t>http://</w:t>
            </w:r>
            <w:r>
              <w:rPr>
                <w:rFonts w:hint="eastAsia" w:ascii="宋体" w:hAnsi="宋体" w:cs="宋体"/>
                <w:color w:val="auto"/>
                <w:szCs w:val="21"/>
                <w:highlight w:val="none"/>
              </w:rPr>
              <w:t>www.creditchina.gov.cn） 、中国政府采购网（</w:t>
            </w:r>
            <w:r>
              <w:rPr>
                <w:rFonts w:hint="eastAsia" w:ascii="宋体" w:hAnsi="宋体" w:cs="宋体"/>
                <w:color w:val="auto"/>
                <w:kern w:val="0"/>
                <w:szCs w:val="21"/>
                <w:highlight w:val="none"/>
              </w:rPr>
              <w:t>http://</w:t>
            </w:r>
            <w:r>
              <w:rPr>
                <w:rFonts w:hint="eastAsia" w:ascii="宋体" w:hAnsi="宋体" w:cs="宋体"/>
                <w:color w:val="auto"/>
                <w:szCs w:val="21"/>
                <w:highlight w:val="none"/>
              </w:rPr>
              <w:t>www.ccgp.gov.cn）。</w:t>
            </w:r>
          </w:p>
          <w:p w14:paraId="1A81CE8F">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信用查询截止时点：资格审查结束前</w:t>
            </w:r>
          </w:p>
          <w:p w14:paraId="3AC3F6BA">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查询记录和证据留存方式：在查询网站中直接截图查询记录，截图作为在“广西政府采购云平台”作为附件上传保存。</w:t>
            </w:r>
          </w:p>
          <w:p w14:paraId="1640E3EC">
            <w:pPr>
              <w:adjustRightInd w:val="0"/>
              <w:spacing w:line="400" w:lineRule="exact"/>
              <w:rPr>
                <w:rFonts w:ascii="宋体" w:hAnsi="宋体" w:cs="宋体"/>
                <w:b/>
                <w:color w:val="auto"/>
                <w:szCs w:val="21"/>
                <w:highlight w:val="none"/>
              </w:rPr>
            </w:pPr>
            <w:r>
              <w:rPr>
                <w:rFonts w:hint="eastAsia" w:ascii="宋体" w:hAnsi="宋体" w:cs="宋体"/>
                <w:color w:val="auto"/>
                <w:szCs w:val="21"/>
                <w:highlight w:val="none"/>
              </w:rPr>
              <w:t>信用信息使用规则：对在“信用中国”网站（</w:t>
            </w:r>
            <w:r>
              <w:rPr>
                <w:rFonts w:hint="eastAsia" w:ascii="宋体" w:hAnsi="宋体" w:cs="宋体"/>
                <w:color w:val="auto"/>
                <w:kern w:val="0"/>
                <w:szCs w:val="21"/>
                <w:highlight w:val="none"/>
              </w:rPr>
              <w:t>http://</w:t>
            </w:r>
            <w:r>
              <w:rPr>
                <w:rFonts w:hint="eastAsia" w:ascii="宋体" w:hAnsi="宋体" w:cs="宋体"/>
                <w:color w:val="auto"/>
                <w:szCs w:val="21"/>
                <w:highlight w:val="none"/>
              </w:rPr>
              <w:t>www.creditchina.gov.cn） 、中国政府采购网（</w:t>
            </w:r>
            <w:r>
              <w:rPr>
                <w:rFonts w:hint="eastAsia" w:ascii="宋体" w:hAnsi="宋体" w:cs="宋体"/>
                <w:color w:val="auto"/>
                <w:kern w:val="0"/>
                <w:szCs w:val="21"/>
                <w:highlight w:val="none"/>
              </w:rPr>
              <w:t>http://</w:t>
            </w:r>
            <w:r>
              <w:rPr>
                <w:rFonts w:hint="eastAsia" w:ascii="宋体" w:hAnsi="宋体" w:cs="宋体"/>
                <w:color w:val="auto"/>
                <w:szCs w:val="21"/>
                <w:highlight w:val="none"/>
              </w:rPr>
              <w:t>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tc>
      </w:tr>
      <w:tr w14:paraId="0B464A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475ECF4D">
            <w:pPr>
              <w:adjustRightInd w:val="0"/>
              <w:spacing w:line="400" w:lineRule="exact"/>
              <w:jc w:val="center"/>
              <w:rPr>
                <w:rFonts w:ascii="宋体" w:hAnsi="宋体" w:cs="宋体"/>
                <w:color w:val="auto"/>
                <w:szCs w:val="21"/>
                <w:highlight w:val="none"/>
              </w:rPr>
            </w:pPr>
            <w:bookmarkStart w:id="69" w:name="_26"/>
            <w:bookmarkEnd w:id="69"/>
            <w:r>
              <w:rPr>
                <w:rFonts w:hint="eastAsia" w:ascii="宋体" w:hAnsi="宋体" w:cs="宋体"/>
                <w:color w:val="auto"/>
                <w:szCs w:val="21"/>
                <w:highlight w:val="none"/>
              </w:rPr>
              <w:t>26.1</w:t>
            </w:r>
          </w:p>
        </w:tc>
        <w:tc>
          <w:tcPr>
            <w:tcW w:w="8670" w:type="dxa"/>
            <w:tcBorders>
              <w:top w:val="single" w:color="auto" w:sz="4" w:space="0"/>
              <w:left w:val="single" w:color="auto" w:sz="4" w:space="0"/>
              <w:bottom w:val="single" w:color="auto" w:sz="4" w:space="0"/>
              <w:right w:val="single" w:color="auto" w:sz="4" w:space="0"/>
            </w:tcBorders>
            <w:vAlign w:val="center"/>
          </w:tcPr>
          <w:p w14:paraId="7F1718A6">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评标委员会的人数：</w:t>
            </w:r>
            <w:r>
              <w:rPr>
                <w:rFonts w:hint="eastAsia" w:ascii="宋体" w:hAnsi="宋体" w:cs="宋体"/>
                <w:color w:val="auto"/>
                <w:szCs w:val="21"/>
                <w:highlight w:val="none"/>
                <w:u w:val="single"/>
              </w:rPr>
              <w:t xml:space="preserve">  5  </w:t>
            </w:r>
            <w:r>
              <w:rPr>
                <w:rFonts w:hint="eastAsia" w:ascii="宋体" w:hAnsi="宋体" w:cs="宋体"/>
                <w:color w:val="auto"/>
                <w:szCs w:val="21"/>
                <w:highlight w:val="none"/>
              </w:rPr>
              <w:t>人</w:t>
            </w:r>
          </w:p>
        </w:tc>
      </w:tr>
      <w:tr w14:paraId="5064F1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76CCF429">
            <w:pPr>
              <w:adjustRightInd w:val="0"/>
              <w:spacing w:line="400" w:lineRule="exact"/>
              <w:jc w:val="center"/>
              <w:rPr>
                <w:rFonts w:ascii="宋体" w:hAnsi="宋体" w:cs="宋体"/>
                <w:color w:val="auto"/>
                <w:szCs w:val="21"/>
                <w:highlight w:val="none"/>
              </w:rPr>
            </w:pPr>
            <w:bookmarkStart w:id="70" w:name="_28.3"/>
            <w:bookmarkEnd w:id="70"/>
            <w:r>
              <w:rPr>
                <w:rFonts w:hint="eastAsia" w:ascii="宋体" w:hAnsi="宋体" w:cs="宋体"/>
                <w:color w:val="auto"/>
                <w:szCs w:val="21"/>
                <w:highlight w:val="none"/>
              </w:rPr>
              <w:t>29.1</w:t>
            </w:r>
          </w:p>
        </w:tc>
        <w:tc>
          <w:tcPr>
            <w:tcW w:w="8670" w:type="dxa"/>
            <w:tcBorders>
              <w:top w:val="single" w:color="auto" w:sz="4" w:space="0"/>
              <w:left w:val="single" w:color="auto" w:sz="4" w:space="0"/>
              <w:bottom w:val="single" w:color="auto" w:sz="4" w:space="0"/>
              <w:right w:val="single" w:color="auto" w:sz="4" w:space="0"/>
            </w:tcBorders>
            <w:vAlign w:val="center"/>
          </w:tcPr>
          <w:p w14:paraId="1350909A">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评标方法：</w:t>
            </w:r>
          </w:p>
          <w:p w14:paraId="2638DD64">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☑综合评分法</w:t>
            </w:r>
          </w:p>
          <w:p w14:paraId="22D7C380">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□最低评标价法</w:t>
            </w:r>
          </w:p>
        </w:tc>
      </w:tr>
      <w:tr w14:paraId="4E7982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895" w:type="dxa"/>
            <w:tcBorders>
              <w:top w:val="single" w:color="auto" w:sz="4" w:space="0"/>
              <w:left w:val="single" w:color="auto" w:sz="4" w:space="0"/>
              <w:bottom w:val="single" w:color="auto" w:sz="4" w:space="0"/>
              <w:right w:val="single" w:color="auto" w:sz="4" w:space="0"/>
            </w:tcBorders>
            <w:vAlign w:val="center"/>
          </w:tcPr>
          <w:p w14:paraId="1F575796">
            <w:pPr>
              <w:adjustRightInd w:val="0"/>
              <w:spacing w:line="400" w:lineRule="exact"/>
              <w:jc w:val="center"/>
              <w:rPr>
                <w:rFonts w:ascii="宋体" w:hAnsi="宋体" w:cs="宋体"/>
                <w:color w:val="auto"/>
                <w:szCs w:val="21"/>
                <w:highlight w:val="none"/>
              </w:rPr>
            </w:pPr>
            <w:bookmarkStart w:id="71" w:name="_29.2.2（2）"/>
            <w:bookmarkEnd w:id="71"/>
            <w:r>
              <w:rPr>
                <w:rFonts w:hint="eastAsia" w:ascii="宋体" w:hAnsi="宋体" w:cs="宋体"/>
                <w:color w:val="auto"/>
                <w:szCs w:val="21"/>
                <w:highlight w:val="none"/>
              </w:rPr>
              <w:t>29.2</w:t>
            </w:r>
          </w:p>
        </w:tc>
        <w:tc>
          <w:tcPr>
            <w:tcW w:w="8670" w:type="dxa"/>
            <w:tcBorders>
              <w:top w:val="single" w:color="auto" w:sz="4" w:space="0"/>
              <w:left w:val="single" w:color="auto" w:sz="4" w:space="0"/>
              <w:right w:val="single" w:color="auto" w:sz="4" w:space="0"/>
            </w:tcBorders>
            <w:vAlign w:val="center"/>
          </w:tcPr>
          <w:p w14:paraId="2BB108A6">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hint="eastAsia" w:ascii="宋体" w:hAnsi="宋体" w:cs="宋体"/>
                <w:color w:val="auto"/>
                <w:szCs w:val="21"/>
                <w:highlight w:val="none"/>
                <w:u w:val="single"/>
              </w:rPr>
              <w:t>0</w:t>
            </w:r>
            <w:r>
              <w:rPr>
                <w:rFonts w:hint="eastAsia" w:ascii="宋体" w:hAnsi="宋体" w:cs="宋体"/>
                <w:color w:val="auto"/>
                <w:szCs w:val="21"/>
                <w:highlight w:val="none"/>
              </w:rPr>
              <w:t>项。</w:t>
            </w:r>
          </w:p>
          <w:p w14:paraId="4785E17F">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技术要求评审中允许负偏离的条款数：分标1</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项，分标2</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项，分标3</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项。</w:t>
            </w:r>
          </w:p>
        </w:tc>
      </w:tr>
      <w:tr w14:paraId="5A1D3D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95" w:type="dxa"/>
            <w:tcBorders>
              <w:top w:val="single" w:color="auto" w:sz="4" w:space="0"/>
              <w:left w:val="single" w:color="auto" w:sz="4" w:space="0"/>
              <w:bottom w:val="single" w:color="auto" w:sz="4" w:space="0"/>
              <w:right w:val="single" w:color="auto" w:sz="4" w:space="0"/>
            </w:tcBorders>
            <w:vAlign w:val="center"/>
          </w:tcPr>
          <w:p w14:paraId="16B6CE28">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29.3</w:t>
            </w:r>
          </w:p>
        </w:tc>
        <w:tc>
          <w:tcPr>
            <w:tcW w:w="8670" w:type="dxa"/>
            <w:tcBorders>
              <w:top w:val="single" w:color="auto" w:sz="4" w:space="0"/>
              <w:left w:val="single" w:color="auto" w:sz="4" w:space="0"/>
              <w:right w:val="single" w:color="auto" w:sz="4" w:space="0"/>
            </w:tcBorders>
            <w:vAlign w:val="center"/>
          </w:tcPr>
          <w:p w14:paraId="409392ED">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中标候选人推荐数量：</w:t>
            </w:r>
          </w:p>
          <w:p w14:paraId="00647ED7">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u w:val="single"/>
              </w:rPr>
              <w:t>\</w:t>
            </w:r>
            <w:r>
              <w:rPr>
                <w:rFonts w:hint="eastAsia" w:ascii="宋体" w:hAnsi="宋体" w:cs="宋体"/>
                <w:color w:val="auto"/>
                <w:szCs w:val="21"/>
                <w:highlight w:val="none"/>
              </w:rPr>
              <w:t>名</w:t>
            </w:r>
          </w:p>
          <w:p w14:paraId="2BAE18BB">
            <w:pPr>
              <w:adjustRightIn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☑根据[总得分由高到低（综合评分法）]排列次序并全部推荐为中标候选人</w:t>
            </w:r>
          </w:p>
        </w:tc>
      </w:tr>
      <w:tr w14:paraId="3B1ED0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087210B5">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30.1</w:t>
            </w:r>
          </w:p>
        </w:tc>
        <w:tc>
          <w:tcPr>
            <w:tcW w:w="8670" w:type="dxa"/>
            <w:tcBorders>
              <w:top w:val="single" w:color="auto" w:sz="4" w:space="0"/>
              <w:left w:val="single" w:color="auto" w:sz="4" w:space="0"/>
              <w:bottom w:val="single" w:color="auto" w:sz="4" w:space="0"/>
              <w:right w:val="single" w:color="auto" w:sz="4" w:space="0"/>
            </w:tcBorders>
            <w:vAlign w:val="center"/>
          </w:tcPr>
          <w:p w14:paraId="5D9F9023">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采用综合评分法的采购项目，采购人确定中标人时，出现中标候选人并列的情形，采购人按以下的方式确定中标人：</w:t>
            </w:r>
          </w:p>
          <w:p w14:paraId="684E0B36">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☑依次按投标报价低的优先、技术分高的优先、</w:t>
            </w:r>
            <w:r>
              <w:rPr>
                <w:rFonts w:hint="eastAsia" w:ascii="宋体" w:hAnsi="宋体" w:cs="宋体"/>
                <w:bCs/>
                <w:color w:val="auto"/>
                <w:szCs w:val="21"/>
                <w:highlight w:val="none"/>
              </w:rPr>
              <w:t>安装实施方案分高的优先、</w:t>
            </w:r>
            <w:r>
              <w:rPr>
                <w:rFonts w:hint="eastAsia" w:ascii="宋体" w:hAnsi="宋体" w:cs="宋体"/>
                <w:color w:val="auto"/>
                <w:szCs w:val="21"/>
                <w:highlight w:val="none"/>
              </w:rPr>
              <w:t>增值售后服务方案分高的优先、履约能力分高的优先、政策分高的优先顺序推荐；</w:t>
            </w:r>
          </w:p>
          <w:p w14:paraId="0CBE7898">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□随机抽取；</w:t>
            </w:r>
          </w:p>
          <w:p w14:paraId="04430901">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w:t>
            </w:r>
          </w:p>
          <w:p w14:paraId="5EC2304D">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采用最低评标价法的采购项目，采购人确定中标人时，出现中标候选人并列的情形，采购人按以下的方式确定中标人：</w:t>
            </w:r>
          </w:p>
          <w:p w14:paraId="7252E13C">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依次按投标报价低的优先、节能及环保产品累计金额高的优先、带“▲”的实质性要求正偏离项数多的优先、均无正偏离或者正偏离项数一致时负偏离项数少的优先、保修期长优先、交货期短优先、故障响应时间短优先的顺序确定。</w:t>
            </w:r>
          </w:p>
          <w:p w14:paraId="25BC0502">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□随机抽取；</w:t>
            </w:r>
          </w:p>
          <w:p w14:paraId="0C526582">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w:t>
            </w:r>
          </w:p>
        </w:tc>
      </w:tr>
      <w:tr w14:paraId="0844E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5" w:type="dxa"/>
            <w:tcBorders>
              <w:top w:val="single" w:color="auto" w:sz="4" w:space="0"/>
              <w:left w:val="single" w:color="auto" w:sz="4" w:space="0"/>
              <w:bottom w:val="single" w:color="auto" w:sz="4" w:space="0"/>
              <w:right w:val="single" w:color="auto" w:sz="4" w:space="0"/>
            </w:tcBorders>
            <w:vAlign w:val="center"/>
          </w:tcPr>
          <w:p w14:paraId="264A7176">
            <w:pPr>
              <w:adjustRightInd w:val="0"/>
              <w:spacing w:line="400" w:lineRule="exact"/>
              <w:jc w:val="center"/>
              <w:rPr>
                <w:rFonts w:ascii="宋体" w:hAnsi="宋体" w:cs="宋体"/>
                <w:color w:val="auto"/>
                <w:szCs w:val="21"/>
                <w:highlight w:val="none"/>
              </w:rPr>
            </w:pPr>
            <w:bookmarkStart w:id="72" w:name="_39.1"/>
            <w:bookmarkEnd w:id="72"/>
            <w:r>
              <w:rPr>
                <w:rFonts w:hint="eastAsia" w:ascii="宋体" w:hAnsi="宋体" w:cs="宋体"/>
                <w:color w:val="auto"/>
                <w:szCs w:val="21"/>
                <w:highlight w:val="none"/>
              </w:rPr>
              <w:t>35.1</w:t>
            </w:r>
          </w:p>
        </w:tc>
        <w:tc>
          <w:tcPr>
            <w:tcW w:w="8670" w:type="dxa"/>
            <w:tcBorders>
              <w:top w:val="single" w:color="auto" w:sz="4" w:space="0"/>
              <w:left w:val="single" w:color="auto" w:sz="4" w:space="0"/>
              <w:bottom w:val="single" w:color="auto" w:sz="4" w:space="0"/>
              <w:right w:val="single" w:color="auto" w:sz="4" w:space="0"/>
            </w:tcBorders>
            <w:vAlign w:val="center"/>
          </w:tcPr>
          <w:p w14:paraId="43B77BD3">
            <w:pPr>
              <w:autoSpaceDE w:val="0"/>
              <w:autoSpaceDN w:val="0"/>
              <w:adjustRightIn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本项目不收取履约保证金。</w:t>
            </w:r>
          </w:p>
          <w:p w14:paraId="51DF652C">
            <w:pPr>
              <w:autoSpaceDE w:val="0"/>
              <w:autoSpaceDN w:val="0"/>
              <w:adjustRightIn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□本项目收取履约保证金，具体规定如下：</w:t>
            </w:r>
          </w:p>
          <w:p w14:paraId="7A6DEE0E">
            <w:pPr>
              <w:widowControl/>
              <w:autoSpaceDE w:val="0"/>
              <w:autoSpaceDN w:val="0"/>
              <w:snapToGrid w:val="0"/>
              <w:spacing w:line="360" w:lineRule="auto"/>
              <w:ind w:firstLine="420" w:firstLineChars="200"/>
              <w:jc w:val="left"/>
              <w:textAlignment w:val="bottom"/>
              <w:rPr>
                <w:rFonts w:ascii="宋体" w:hAnsi="宋体" w:cs="宋体"/>
                <w:color w:val="auto"/>
                <w:szCs w:val="21"/>
                <w:highlight w:val="none"/>
              </w:rPr>
            </w:pPr>
            <w:r>
              <w:rPr>
                <w:rFonts w:hint="eastAsia" w:ascii="宋体" w:hAnsi="宋体" w:cs="宋体"/>
                <w:color w:val="auto"/>
                <w:szCs w:val="21"/>
                <w:highlight w:val="none"/>
              </w:rPr>
              <w:t>履约保证金金额：按中标金额的1%。中标人必须在合同签订前向采购人足额缴纳履约保证金。</w:t>
            </w:r>
          </w:p>
          <w:p w14:paraId="1AE25433">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b/>
                <w:color w:val="auto"/>
                <w:szCs w:val="21"/>
                <w:highlight w:val="none"/>
              </w:rPr>
              <w:t>注：根据《广西壮族自治区财政厅关于持续优化政府采购营商环境推动高质量发展的通知》（桂财采〔2024〕55号）规定，对中小企业收取的</w:t>
            </w:r>
            <w:r>
              <w:rPr>
                <w:rFonts w:hint="eastAsia" w:ascii="宋体" w:hAnsi="宋体" w:cs="宋体"/>
                <w:b/>
                <w:color w:val="auto"/>
                <w:kern w:val="0"/>
                <w:szCs w:val="21"/>
                <w:highlight w:val="none"/>
              </w:rPr>
              <w:t>履约保证金数额不得超过政府采购合同金额的2%。</w:t>
            </w:r>
          </w:p>
          <w:p w14:paraId="2748ECCA">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履约保证金递交方式：银行转账、支票、汇票、本票或者金融、担保机构出具的保函</w:t>
            </w:r>
            <w:r>
              <w:rPr>
                <w:rFonts w:hint="eastAsia" w:ascii="宋体" w:hAnsi="宋体" w:cs="宋体"/>
                <w:color w:val="auto"/>
                <w:highlight w:val="none"/>
              </w:rPr>
              <w:t>（包含电子保函）</w:t>
            </w:r>
            <w:r>
              <w:rPr>
                <w:rFonts w:hint="eastAsia" w:ascii="宋体" w:hAnsi="宋体" w:cs="宋体"/>
                <w:color w:val="auto"/>
                <w:szCs w:val="21"/>
                <w:highlight w:val="none"/>
              </w:rPr>
              <w:t>等非现金方式</w:t>
            </w:r>
          </w:p>
          <w:p w14:paraId="085C8F23">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履约保证金退付方式、时间及条件：</w:t>
            </w:r>
          </w:p>
          <w:p w14:paraId="62950E25">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1）履约保证金在设备验收合格并交付使用后，由中标人凭《广西壮族自治区政府采购项目合同验收书》（详见附表1）向采购人申请办理履约保证金退还手续，采购人在收到合格材料后30日内以银行转账方式如数退还（不计利息）。</w:t>
            </w:r>
          </w:p>
          <w:p w14:paraId="68BB419F">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（2）在履约保证金退还日期前，若中标人的开户名称、开户银行、账号有变动的，请以书面形式通知履约保证金收取单位，否则由此产生的后果由中标人自负。</w:t>
            </w:r>
          </w:p>
          <w:p w14:paraId="1E5257EF">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（3）中标人在签订合同后存在违约情形的，履约保证金不予退还。履约保证金不足以赔偿损失的，按实际损失赔偿。</w:t>
            </w:r>
          </w:p>
          <w:p w14:paraId="6E1FB548">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履约保证金指定账户：</w:t>
            </w:r>
          </w:p>
          <w:p w14:paraId="1D99BED0">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开户名称：桂林医学院附属医院</w:t>
            </w:r>
          </w:p>
          <w:p w14:paraId="3AEE57E7">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开户银行：中国建设银行股份有限公司桂林叠彩支行</w:t>
            </w:r>
          </w:p>
          <w:p w14:paraId="373671F6">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账号：4500 1635 4100 5050 1922</w:t>
            </w:r>
          </w:p>
          <w:p w14:paraId="0266F64B">
            <w:pPr>
              <w:adjustRightIn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备注：</w:t>
            </w:r>
          </w:p>
          <w:p w14:paraId="29460E17">
            <w:pPr>
              <w:adjustRightIn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1.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4D6889ED">
            <w:pPr>
              <w:adjustRightInd w:val="0"/>
              <w:spacing w:line="360" w:lineRule="auto"/>
              <w:jc w:val="left"/>
              <w:rPr>
                <w:rFonts w:ascii="宋体" w:hAnsi="宋体" w:cs="宋体"/>
                <w:color w:val="auto"/>
                <w:kern w:val="0"/>
                <w:szCs w:val="21"/>
                <w:highlight w:val="none"/>
              </w:rPr>
            </w:pPr>
            <w:r>
              <w:rPr>
                <w:rFonts w:hint="eastAsia" w:ascii="宋体" w:hAnsi="宋体" w:cs="宋体"/>
                <w:b/>
                <w:color w:val="auto"/>
                <w:szCs w:val="21"/>
                <w:highlight w:val="none"/>
              </w:rPr>
              <w:t>2.采用金融、担保机构出具的保函的，必须为无条件保函，否则不予签订合同。</w:t>
            </w:r>
          </w:p>
        </w:tc>
      </w:tr>
      <w:tr w14:paraId="4D0FF0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2B20A74C">
            <w:pPr>
              <w:adjustRightInd w:val="0"/>
              <w:spacing w:line="400" w:lineRule="exact"/>
              <w:jc w:val="center"/>
              <w:rPr>
                <w:rFonts w:ascii="宋体" w:hAnsi="宋体" w:cs="宋体"/>
                <w:color w:val="auto"/>
                <w:szCs w:val="21"/>
                <w:highlight w:val="none"/>
              </w:rPr>
            </w:pPr>
            <w:bookmarkStart w:id="73" w:name="_40.1"/>
            <w:bookmarkEnd w:id="73"/>
            <w:r>
              <w:rPr>
                <w:rFonts w:hint="eastAsia" w:ascii="宋体" w:hAnsi="宋体" w:cs="宋体"/>
                <w:color w:val="auto"/>
                <w:szCs w:val="21"/>
                <w:highlight w:val="none"/>
              </w:rPr>
              <w:t>36.1</w:t>
            </w:r>
          </w:p>
        </w:tc>
        <w:tc>
          <w:tcPr>
            <w:tcW w:w="8670" w:type="dxa"/>
            <w:tcBorders>
              <w:top w:val="single" w:color="auto" w:sz="4" w:space="0"/>
              <w:left w:val="single" w:color="auto" w:sz="4" w:space="0"/>
              <w:bottom w:val="single" w:color="auto" w:sz="4" w:space="0"/>
              <w:right w:val="single" w:color="auto" w:sz="4" w:space="0"/>
            </w:tcBorders>
            <w:vAlign w:val="center"/>
          </w:tcPr>
          <w:p w14:paraId="513718BA">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 xml:space="preserve">签订合同携带的证明材料： </w:t>
            </w:r>
          </w:p>
          <w:p w14:paraId="155CC8E0">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委托代理人负责签订合同的，须携带授权委托书及委托代理人身份证原件等其他资格证件。</w:t>
            </w:r>
          </w:p>
          <w:p w14:paraId="5A0284CD">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法定代表人负责签订合同的，须携带法定代表人身份证明原件及身份证原件等其他证明材料。</w:t>
            </w:r>
          </w:p>
        </w:tc>
      </w:tr>
      <w:tr w14:paraId="1D9A4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1E9AFA18">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38.2</w:t>
            </w:r>
          </w:p>
        </w:tc>
        <w:tc>
          <w:tcPr>
            <w:tcW w:w="8670" w:type="dxa"/>
            <w:tcBorders>
              <w:top w:val="single" w:color="auto" w:sz="4" w:space="0"/>
              <w:left w:val="single" w:color="auto" w:sz="4" w:space="0"/>
              <w:bottom w:val="single" w:color="auto" w:sz="4" w:space="0"/>
              <w:right w:val="single" w:color="auto" w:sz="4" w:space="0"/>
            </w:tcBorders>
            <w:vAlign w:val="center"/>
          </w:tcPr>
          <w:p w14:paraId="0000C15E">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接收质疑函方式：以书面形式</w:t>
            </w:r>
          </w:p>
          <w:p w14:paraId="2DF08283">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质疑联系部门及联系方式：云之龙咨询集团有限公司桂林分公司，联系人：吕雯，联系电话：0773-2887388  2887399 。通讯地址：广西桂林市临桂区西城北路2号耀辉•美好家园2幢12层1号房。</w:t>
            </w:r>
          </w:p>
          <w:p w14:paraId="1D52741C">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业务时间：工作日每天上午9时00分到12时00分，下午1时00分到5时00分。</w:t>
            </w:r>
          </w:p>
        </w:tc>
      </w:tr>
      <w:tr w14:paraId="47AAC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58168FB5">
            <w:pPr>
              <w:adjustRightInd w:val="0"/>
              <w:spacing w:line="400" w:lineRule="exact"/>
              <w:jc w:val="center"/>
              <w:rPr>
                <w:rFonts w:ascii="宋体" w:hAnsi="宋体" w:cs="宋体"/>
                <w:color w:val="auto"/>
                <w:szCs w:val="21"/>
                <w:highlight w:val="none"/>
              </w:rPr>
            </w:pPr>
            <w:bookmarkStart w:id="74" w:name="_42"/>
            <w:bookmarkEnd w:id="74"/>
            <w:bookmarkStart w:id="75" w:name="_41"/>
            <w:bookmarkEnd w:id="75"/>
            <w:bookmarkStart w:id="76" w:name="_Hlt17709148"/>
            <w:r>
              <w:rPr>
                <w:rFonts w:hint="eastAsia" w:ascii="宋体" w:hAnsi="宋体" w:cs="宋体"/>
                <w:color w:val="auto"/>
                <w:szCs w:val="21"/>
                <w:highlight w:val="none"/>
              </w:rPr>
              <w:t>3</w:t>
            </w:r>
            <w:bookmarkEnd w:id="76"/>
            <w:r>
              <w:rPr>
                <w:rFonts w:hint="eastAsia" w:ascii="宋体" w:hAnsi="宋体" w:cs="宋体"/>
                <w:color w:val="auto"/>
                <w:szCs w:val="21"/>
                <w:highlight w:val="none"/>
              </w:rPr>
              <w:t>9.1</w:t>
            </w:r>
          </w:p>
        </w:tc>
        <w:tc>
          <w:tcPr>
            <w:tcW w:w="8670" w:type="dxa"/>
            <w:tcBorders>
              <w:top w:val="single" w:color="auto" w:sz="4" w:space="0"/>
              <w:left w:val="single" w:color="auto" w:sz="4" w:space="0"/>
              <w:bottom w:val="single" w:color="auto" w:sz="4" w:space="0"/>
              <w:right w:val="single" w:color="auto" w:sz="4" w:space="0"/>
            </w:tcBorders>
            <w:vAlign w:val="center"/>
          </w:tcPr>
          <w:p w14:paraId="2531D68E">
            <w:pPr>
              <w:pStyle w:val="25"/>
              <w:adjustRightInd w:val="0"/>
              <w:spacing w:line="400" w:lineRule="exact"/>
              <w:rPr>
                <w:rFonts w:hAnsi="宋体" w:cs="宋体"/>
                <w:color w:val="auto"/>
                <w:sz w:val="21"/>
                <w:highlight w:val="none"/>
              </w:rPr>
            </w:pPr>
            <w:r>
              <w:rPr>
                <w:rFonts w:hint="eastAsia" w:hAnsi="宋体" w:cs="宋体"/>
                <w:color w:val="auto"/>
                <w:sz w:val="21"/>
                <w:highlight w:val="none"/>
              </w:rPr>
              <w:t>1.采购代理费支付方式：</w:t>
            </w:r>
          </w:p>
          <w:p w14:paraId="3B028C81">
            <w:pPr>
              <w:pStyle w:val="25"/>
              <w:adjustRightInd w:val="0"/>
              <w:spacing w:line="400" w:lineRule="exact"/>
              <w:rPr>
                <w:rFonts w:hAnsi="宋体" w:cs="宋体"/>
                <w:color w:val="auto"/>
                <w:sz w:val="21"/>
                <w:highlight w:val="none"/>
              </w:rPr>
            </w:pPr>
            <w:r>
              <w:rPr>
                <w:rFonts w:hint="eastAsia" w:hAnsi="宋体" w:cs="宋体"/>
                <w:color w:val="auto"/>
                <w:highlight w:val="none"/>
              </w:rPr>
              <w:t>☑</w:t>
            </w:r>
            <w:r>
              <w:rPr>
                <w:rFonts w:hint="eastAsia" w:hAnsi="宋体" w:cs="宋体"/>
                <w:color w:val="auto"/>
                <w:sz w:val="21"/>
                <w:highlight w:val="none"/>
              </w:rPr>
              <w:t>本项目代理服务费由中标人在获取中标通知书前向采购代理机构一次性付清</w:t>
            </w:r>
            <w:r>
              <w:rPr>
                <w:rFonts w:hint="eastAsia" w:hAnsi="宋体"/>
                <w:color w:val="auto"/>
                <w:highlight w:val="none"/>
              </w:rPr>
              <w:t>。</w:t>
            </w:r>
          </w:p>
          <w:p w14:paraId="0E6F891A">
            <w:pPr>
              <w:pStyle w:val="25"/>
              <w:adjustRightInd w:val="0"/>
              <w:spacing w:line="400" w:lineRule="exact"/>
              <w:rPr>
                <w:rFonts w:hAnsi="宋体" w:cs="宋体"/>
                <w:color w:val="auto"/>
                <w:sz w:val="21"/>
                <w:highlight w:val="none"/>
              </w:rPr>
            </w:pPr>
            <w:r>
              <w:rPr>
                <w:rFonts w:hint="eastAsia" w:hAnsi="宋体" w:cs="宋体"/>
                <w:color w:val="auto"/>
                <w:sz w:val="21"/>
                <w:highlight w:val="none"/>
              </w:rPr>
              <w:t>□采购人支付。</w:t>
            </w:r>
          </w:p>
          <w:p w14:paraId="7635AA49">
            <w:pPr>
              <w:pStyle w:val="25"/>
              <w:adjustRightInd w:val="0"/>
              <w:spacing w:line="400" w:lineRule="exact"/>
              <w:rPr>
                <w:rFonts w:hAnsi="宋体" w:cs="宋体"/>
                <w:color w:val="auto"/>
                <w:sz w:val="21"/>
                <w:highlight w:val="none"/>
              </w:rPr>
            </w:pPr>
            <w:r>
              <w:rPr>
                <w:rFonts w:hint="eastAsia" w:hAnsi="宋体" w:cs="宋体"/>
                <w:color w:val="auto"/>
                <w:sz w:val="21"/>
                <w:highlight w:val="none"/>
              </w:rPr>
              <w:t>2.采购代理费收取标准：</w:t>
            </w:r>
          </w:p>
          <w:p w14:paraId="730EF3C2">
            <w:pPr>
              <w:spacing w:line="360" w:lineRule="exact"/>
              <w:rPr>
                <w:rFonts w:ascii="宋体" w:hAnsi="宋体"/>
                <w:color w:val="auto"/>
                <w:szCs w:val="21"/>
                <w:highlight w:val="none"/>
              </w:rPr>
            </w:pPr>
            <w:r>
              <w:rPr>
                <w:rFonts w:hint="eastAsia" w:hAnsi="宋体" w:cs="宋体"/>
                <w:color w:val="auto"/>
                <w:highlight w:val="none"/>
              </w:rPr>
              <w:t>☑以项目。</w:t>
            </w:r>
            <w:r>
              <w:rPr>
                <w:rFonts w:hint="eastAsia" w:ascii="宋体" w:hAnsi="宋体"/>
                <w:color w:val="auto"/>
                <w:highlight w:val="none"/>
              </w:rPr>
              <w:t>采购代理服务费按以下“采购代理服务收费标准”中</w:t>
            </w:r>
            <w:r>
              <w:rPr>
                <w:rFonts w:hint="eastAsia" w:ascii="宋体" w:hAnsi="宋体"/>
                <w:color w:val="auto"/>
                <w:szCs w:val="21"/>
                <w:highlight w:val="none"/>
              </w:rPr>
              <w:t>“货物招标”类</w:t>
            </w:r>
            <w:r>
              <w:rPr>
                <w:rFonts w:hint="eastAsia" w:ascii="宋体" w:hAnsi="宋体"/>
                <w:color w:val="auto"/>
                <w:highlight w:val="none"/>
              </w:rPr>
              <w:t>收费标准下浮20%计算（不足人民币5000元的，按5000元计）。</w:t>
            </w:r>
          </w:p>
          <w:p w14:paraId="3BBA412A">
            <w:pPr>
              <w:spacing w:line="360" w:lineRule="exact"/>
              <w:rPr>
                <w:rFonts w:ascii="宋体" w:hAnsi="宋体"/>
                <w:color w:val="auto"/>
                <w:szCs w:val="21"/>
                <w:highlight w:val="none"/>
              </w:rPr>
            </w:pPr>
            <w:r>
              <w:rPr>
                <w:rFonts w:hint="eastAsia" w:ascii="宋体" w:hAnsi="宋体"/>
                <w:color w:val="auto"/>
                <w:szCs w:val="21"/>
                <w:highlight w:val="none"/>
              </w:rPr>
              <w:t>采购代理服务收费标准：</w:t>
            </w:r>
          </w:p>
          <w:tbl>
            <w:tblPr>
              <w:tblStyle w:val="47"/>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7"/>
              <w:gridCol w:w="1647"/>
              <w:gridCol w:w="1782"/>
              <w:gridCol w:w="2052"/>
            </w:tblGrid>
            <w:tr w14:paraId="6BD99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2577" w:type="dxa"/>
                </w:tcPr>
                <w:p w14:paraId="34F0C0A4">
                  <w:pPr>
                    <w:pStyle w:val="25"/>
                    <w:spacing w:line="360" w:lineRule="exact"/>
                    <w:ind w:left="25"/>
                    <w:rPr>
                      <w:rFonts w:hAnsi="宋体"/>
                      <w:color w:val="auto"/>
                      <w:sz w:val="21"/>
                      <w:szCs w:val="21"/>
                      <w:highlight w:val="none"/>
                    </w:rPr>
                  </w:pPr>
                  <w:r>
                    <w:rPr>
                      <w:rFonts w:hAnsi="宋体"/>
                      <w:color w:val="auto"/>
                      <w:sz w:val="21"/>
                      <w:szCs w:val="21"/>
                      <w:highlight w:val="none"/>
                    </w:rPr>
                    <mc:AlternateContent>
                      <mc:Choice Requires="wps">
                        <w:drawing>
                          <wp:anchor distT="0" distB="0" distL="114300" distR="114300" simplePos="0" relativeHeight="251659264" behindDoc="0" locked="0" layoutInCell="1" allowOverlap="1">
                            <wp:simplePos x="0" y="0"/>
                            <wp:positionH relativeFrom="column">
                              <wp:posOffset>296545</wp:posOffset>
                            </wp:positionH>
                            <wp:positionV relativeFrom="paragraph">
                              <wp:posOffset>10795</wp:posOffset>
                            </wp:positionV>
                            <wp:extent cx="1245235" cy="642620"/>
                            <wp:effectExtent l="1905" t="4445" r="2540" b="8255"/>
                            <wp:wrapNone/>
                            <wp:docPr id="8" name="直线 3"/>
                            <wp:cNvGraphicFramePr/>
                            <a:graphic xmlns:a="http://schemas.openxmlformats.org/drawingml/2006/main">
                              <a:graphicData uri="http://schemas.microsoft.com/office/word/2010/wordprocessingShape">
                                <wps:wsp>
                                  <wps:cNvCnPr/>
                                  <wps:spPr>
                                    <a:xfrm>
                                      <a:off x="0" y="0"/>
                                      <a:ext cx="1245235" cy="6426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23.35pt;margin-top:0.85pt;height:50.6pt;width:98.05pt;z-index:251659264;mso-width-relative:page;mso-height-relative:page;" filled="f" stroked="t" coordsize="21600,21600" o:gfxdata="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aG443UAAAACAEA&#10;AA8AAAAAAAAAAQAgAAAAIgAAAGRycy9kb3ducmV2LnhtbFBLAQIUABQAAAAIAIdO4kAOlLGL5QEA&#10;ANQDAAAOAAAAAAAAAAEAIAAAACMBAABkcnMvZTJvRG9jLnhtbFBLBQYAAAAABgAGAFkBAAB6BQAA&#10;AAA=&#10;">
                            <v:fill on="f" focussize="0,0"/>
                            <v:stroke color="#000000" joinstyle="round"/>
                            <v:imagedata o:title=""/>
                            <o:lock v:ext="edit" aspectratio="f"/>
                          </v:line>
                        </w:pict>
                      </mc:Fallback>
                    </mc:AlternateContent>
                  </w:r>
                  <w:r>
                    <w:rPr>
                      <w:rFonts w:hint="eastAsia" w:hAnsi="宋体"/>
                      <w:color w:val="auto"/>
                      <w:sz w:val="21"/>
                      <w:szCs w:val="21"/>
                      <w:highlight w:val="none"/>
                    </w:rPr>
                    <w:t>费率          服务类</w:t>
                  </w:r>
                  <w:r>
                    <w:rPr>
                      <w:rFonts w:hint="eastAsia" w:hAnsi="宋体"/>
                      <w:color w:val="auto"/>
                      <w:sz w:val="21"/>
                      <w:szCs w:val="21"/>
                      <w:highlight w:val="none"/>
                    </w:rPr>
                    <w:t>型</w:t>
                  </w:r>
                </w:p>
                <w:p w14:paraId="13C2D4F8">
                  <w:pPr>
                    <w:pStyle w:val="25"/>
                    <w:spacing w:line="360" w:lineRule="exact"/>
                    <w:ind w:left="25"/>
                    <w:rPr>
                      <w:rFonts w:hAnsi="宋体"/>
                      <w:color w:val="auto"/>
                      <w:sz w:val="21"/>
                      <w:szCs w:val="21"/>
                      <w:highlight w:val="none"/>
                    </w:rPr>
                  </w:pPr>
                  <w:r>
                    <w:rPr>
                      <w:rFonts w:hAnsi="宋体"/>
                      <w:color w:val="auto"/>
                      <w:sz w:val="21"/>
                      <w:szCs w:val="21"/>
                      <w:highlight w:val="none"/>
                    </w:rPr>
                    <mc:AlternateContent>
                      <mc:Choice Requires="wps">
                        <w:drawing>
                          <wp:anchor distT="0" distB="0" distL="114300" distR="114300" simplePos="0" relativeHeight="251660288" behindDoc="0" locked="0" layoutInCell="1" allowOverlap="1">
                            <wp:simplePos x="0" y="0"/>
                            <wp:positionH relativeFrom="column">
                              <wp:posOffset>-22860</wp:posOffset>
                            </wp:positionH>
                            <wp:positionV relativeFrom="paragraph">
                              <wp:posOffset>69850</wp:posOffset>
                            </wp:positionV>
                            <wp:extent cx="1587500" cy="370205"/>
                            <wp:effectExtent l="1270" t="4445" r="11430" b="6350"/>
                            <wp:wrapNone/>
                            <wp:docPr id="9" name="直线 4"/>
                            <wp:cNvGraphicFramePr/>
                            <a:graphic xmlns:a="http://schemas.openxmlformats.org/drawingml/2006/main">
                              <a:graphicData uri="http://schemas.microsoft.com/office/word/2010/wordprocessingShape">
                                <wps:wsp>
                                  <wps:cNvCnPr/>
                                  <wps:spPr>
                                    <a:xfrm>
                                      <a:off x="0" y="0"/>
                                      <a:ext cx="1587500" cy="37020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1.8pt;margin-top:5.5pt;height:29.15pt;width:125pt;z-index:251660288;mso-width-relative:page;mso-height-relative:page;" filled="f" stroked="t" coordsize="21600,21600" o:gfxdata="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ejR5tYAAAAIAQAA&#10;DwAAAAAAAAABACAAAAAiAAAAZHJzL2Rvd25yZXYueG1sUEsBAhQAFAAAAAgAh07iQJgYlxjiAQAA&#10;1AMAAA4AAAAAAAAAAQAgAAAAJQEAAGRycy9lMm9Eb2MueG1sUEsFBgAAAAAGAAYAWQEAAHkFAAAA&#10;AA==&#10;">
                            <v:fill on="f" focussize="0,0"/>
                            <v:stroke color="#000000" joinstyle="round"/>
                            <v:imagedata o:title=""/>
                            <o:lock v:ext="edit" aspectratio="f"/>
                          </v:line>
                        </w:pict>
                      </mc:Fallback>
                    </mc:AlternateContent>
                  </w:r>
                </w:p>
                <w:p w14:paraId="7A54053E">
                  <w:pPr>
                    <w:pStyle w:val="25"/>
                    <w:spacing w:line="360" w:lineRule="exact"/>
                    <w:ind w:left="25"/>
                    <w:rPr>
                      <w:rFonts w:hAnsi="宋体"/>
                      <w:color w:val="auto"/>
                      <w:sz w:val="21"/>
                      <w:szCs w:val="21"/>
                      <w:highlight w:val="none"/>
                    </w:rPr>
                  </w:pPr>
                  <w:r>
                    <w:rPr>
                      <w:rFonts w:hint="eastAsia" w:hAnsi="宋体"/>
                      <w:color w:val="auto"/>
                      <w:sz w:val="21"/>
                      <w:szCs w:val="21"/>
                      <w:highlight w:val="none"/>
                    </w:rPr>
                    <w:t>中标金额</w:t>
                  </w:r>
                </w:p>
              </w:tc>
              <w:tc>
                <w:tcPr>
                  <w:tcW w:w="1647" w:type="dxa"/>
                  <w:vAlign w:val="center"/>
                </w:tcPr>
                <w:p w14:paraId="486B27F1">
                  <w:pPr>
                    <w:pStyle w:val="25"/>
                    <w:spacing w:line="360" w:lineRule="exact"/>
                    <w:ind w:left="25"/>
                    <w:jc w:val="center"/>
                    <w:rPr>
                      <w:rFonts w:hAnsi="宋体"/>
                      <w:color w:val="auto"/>
                      <w:sz w:val="21"/>
                      <w:szCs w:val="21"/>
                      <w:highlight w:val="none"/>
                    </w:rPr>
                  </w:pPr>
                  <w:r>
                    <w:rPr>
                      <w:rFonts w:hint="eastAsia" w:hAnsi="宋体"/>
                      <w:color w:val="auto"/>
                      <w:sz w:val="21"/>
                      <w:szCs w:val="21"/>
                      <w:highlight w:val="none"/>
                    </w:rPr>
                    <w:t>货物招标</w:t>
                  </w:r>
                </w:p>
              </w:tc>
              <w:tc>
                <w:tcPr>
                  <w:tcW w:w="1782" w:type="dxa"/>
                  <w:vAlign w:val="center"/>
                </w:tcPr>
                <w:p w14:paraId="1B35B141">
                  <w:pPr>
                    <w:pStyle w:val="25"/>
                    <w:spacing w:line="360" w:lineRule="exact"/>
                    <w:ind w:left="25"/>
                    <w:jc w:val="center"/>
                    <w:rPr>
                      <w:rFonts w:hAnsi="宋体"/>
                      <w:color w:val="auto"/>
                      <w:sz w:val="21"/>
                      <w:szCs w:val="21"/>
                      <w:highlight w:val="none"/>
                    </w:rPr>
                  </w:pPr>
                  <w:r>
                    <w:rPr>
                      <w:rFonts w:hint="eastAsia" w:hAnsi="宋体"/>
                      <w:color w:val="auto"/>
                      <w:sz w:val="21"/>
                      <w:szCs w:val="21"/>
                      <w:highlight w:val="none"/>
                    </w:rPr>
                    <w:t>服务招标</w:t>
                  </w:r>
                </w:p>
              </w:tc>
              <w:tc>
                <w:tcPr>
                  <w:tcW w:w="2052" w:type="dxa"/>
                  <w:vAlign w:val="center"/>
                </w:tcPr>
                <w:p w14:paraId="73EB06AC">
                  <w:pPr>
                    <w:pStyle w:val="25"/>
                    <w:spacing w:line="360" w:lineRule="exact"/>
                    <w:ind w:left="25"/>
                    <w:jc w:val="center"/>
                    <w:rPr>
                      <w:rFonts w:hAnsi="宋体"/>
                      <w:color w:val="auto"/>
                      <w:sz w:val="21"/>
                      <w:szCs w:val="21"/>
                      <w:highlight w:val="none"/>
                    </w:rPr>
                  </w:pPr>
                  <w:r>
                    <w:rPr>
                      <w:rFonts w:hint="eastAsia" w:hAnsi="宋体"/>
                      <w:color w:val="auto"/>
                      <w:sz w:val="21"/>
                      <w:szCs w:val="21"/>
                      <w:highlight w:val="none"/>
                    </w:rPr>
                    <w:t>工程招标</w:t>
                  </w:r>
                </w:p>
              </w:tc>
            </w:tr>
            <w:tr w14:paraId="5A0D5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577" w:type="dxa"/>
                </w:tcPr>
                <w:p w14:paraId="0E8544CD">
                  <w:pPr>
                    <w:pStyle w:val="25"/>
                    <w:spacing w:line="360" w:lineRule="exact"/>
                    <w:ind w:left="25"/>
                    <w:rPr>
                      <w:rFonts w:hAnsi="宋体"/>
                      <w:color w:val="auto"/>
                      <w:sz w:val="21"/>
                      <w:szCs w:val="21"/>
                      <w:highlight w:val="none"/>
                    </w:rPr>
                  </w:pPr>
                  <w:r>
                    <w:rPr>
                      <w:rFonts w:hint="eastAsia" w:hAnsi="宋体"/>
                      <w:color w:val="auto"/>
                      <w:sz w:val="21"/>
                      <w:szCs w:val="21"/>
                      <w:highlight w:val="none"/>
                    </w:rPr>
                    <w:t>100万元以下</w:t>
                  </w:r>
                </w:p>
              </w:tc>
              <w:tc>
                <w:tcPr>
                  <w:tcW w:w="1647" w:type="dxa"/>
                </w:tcPr>
                <w:p w14:paraId="5EA7ABFC">
                  <w:pPr>
                    <w:pStyle w:val="186"/>
                    <w:spacing w:line="360" w:lineRule="exact"/>
                    <w:ind w:left="25"/>
                    <w:jc w:val="center"/>
                    <w:rPr>
                      <w:rFonts w:ascii="宋体" w:hAnsi="宋体"/>
                      <w:color w:val="auto"/>
                      <w:sz w:val="21"/>
                      <w:szCs w:val="21"/>
                      <w:highlight w:val="none"/>
                    </w:rPr>
                  </w:pPr>
                  <w:r>
                    <w:rPr>
                      <w:rFonts w:hint="eastAsia" w:ascii="宋体" w:hAnsi="宋体"/>
                      <w:color w:val="auto"/>
                      <w:sz w:val="21"/>
                      <w:szCs w:val="21"/>
                      <w:highlight w:val="none"/>
                    </w:rPr>
                    <w:t>1.5%</w:t>
                  </w:r>
                </w:p>
              </w:tc>
              <w:tc>
                <w:tcPr>
                  <w:tcW w:w="1782" w:type="dxa"/>
                </w:tcPr>
                <w:p w14:paraId="7564ABB9">
                  <w:pPr>
                    <w:pStyle w:val="186"/>
                    <w:spacing w:line="360" w:lineRule="exact"/>
                    <w:ind w:left="25"/>
                    <w:jc w:val="center"/>
                    <w:rPr>
                      <w:rFonts w:ascii="宋体" w:hAnsi="宋体"/>
                      <w:color w:val="auto"/>
                      <w:sz w:val="21"/>
                      <w:szCs w:val="21"/>
                      <w:highlight w:val="none"/>
                    </w:rPr>
                  </w:pPr>
                  <w:r>
                    <w:rPr>
                      <w:rFonts w:hint="eastAsia" w:ascii="宋体" w:hAnsi="宋体"/>
                      <w:color w:val="auto"/>
                      <w:sz w:val="21"/>
                      <w:szCs w:val="21"/>
                      <w:highlight w:val="none"/>
                    </w:rPr>
                    <w:t>1.5%</w:t>
                  </w:r>
                </w:p>
              </w:tc>
              <w:tc>
                <w:tcPr>
                  <w:tcW w:w="2052" w:type="dxa"/>
                </w:tcPr>
                <w:p w14:paraId="284E09D8">
                  <w:pPr>
                    <w:pStyle w:val="186"/>
                    <w:spacing w:line="360" w:lineRule="exact"/>
                    <w:ind w:left="25"/>
                    <w:jc w:val="center"/>
                    <w:rPr>
                      <w:rFonts w:ascii="宋体" w:hAnsi="宋体"/>
                      <w:color w:val="auto"/>
                      <w:sz w:val="21"/>
                      <w:szCs w:val="21"/>
                      <w:highlight w:val="none"/>
                    </w:rPr>
                  </w:pPr>
                  <w:r>
                    <w:rPr>
                      <w:rFonts w:hint="eastAsia" w:ascii="宋体" w:hAnsi="宋体"/>
                      <w:color w:val="auto"/>
                      <w:sz w:val="21"/>
                      <w:szCs w:val="21"/>
                      <w:highlight w:val="none"/>
                    </w:rPr>
                    <w:t>1.0%</w:t>
                  </w:r>
                </w:p>
              </w:tc>
            </w:tr>
            <w:tr w14:paraId="62D38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577" w:type="dxa"/>
                </w:tcPr>
                <w:p w14:paraId="74831C8D">
                  <w:pPr>
                    <w:pStyle w:val="25"/>
                    <w:spacing w:line="360" w:lineRule="exact"/>
                    <w:ind w:left="25"/>
                    <w:rPr>
                      <w:rFonts w:hAnsi="宋体"/>
                      <w:color w:val="auto"/>
                      <w:sz w:val="21"/>
                      <w:szCs w:val="21"/>
                      <w:highlight w:val="none"/>
                    </w:rPr>
                  </w:pPr>
                  <w:r>
                    <w:rPr>
                      <w:rFonts w:hint="eastAsia" w:hAnsi="宋体"/>
                      <w:color w:val="auto"/>
                      <w:sz w:val="21"/>
                      <w:szCs w:val="21"/>
                      <w:highlight w:val="none"/>
                    </w:rPr>
                    <w:t>100～500万元</w:t>
                  </w:r>
                </w:p>
              </w:tc>
              <w:tc>
                <w:tcPr>
                  <w:tcW w:w="1647" w:type="dxa"/>
                </w:tcPr>
                <w:p w14:paraId="73843998">
                  <w:pPr>
                    <w:pStyle w:val="186"/>
                    <w:spacing w:line="360" w:lineRule="exact"/>
                    <w:ind w:left="25"/>
                    <w:jc w:val="center"/>
                    <w:rPr>
                      <w:rFonts w:ascii="宋体" w:hAnsi="宋体"/>
                      <w:color w:val="auto"/>
                      <w:sz w:val="21"/>
                      <w:szCs w:val="21"/>
                      <w:highlight w:val="none"/>
                    </w:rPr>
                  </w:pPr>
                  <w:r>
                    <w:rPr>
                      <w:rFonts w:hint="eastAsia" w:ascii="宋体" w:hAnsi="宋体"/>
                      <w:color w:val="auto"/>
                      <w:sz w:val="21"/>
                      <w:szCs w:val="21"/>
                      <w:highlight w:val="none"/>
                    </w:rPr>
                    <w:t>1.1%</w:t>
                  </w:r>
                </w:p>
              </w:tc>
              <w:tc>
                <w:tcPr>
                  <w:tcW w:w="1782" w:type="dxa"/>
                </w:tcPr>
                <w:p w14:paraId="689D9BAF">
                  <w:pPr>
                    <w:pStyle w:val="186"/>
                    <w:spacing w:line="360" w:lineRule="exact"/>
                    <w:ind w:left="25"/>
                    <w:jc w:val="center"/>
                    <w:rPr>
                      <w:rFonts w:ascii="宋体" w:hAnsi="宋体"/>
                      <w:color w:val="auto"/>
                      <w:sz w:val="21"/>
                      <w:szCs w:val="21"/>
                      <w:highlight w:val="none"/>
                    </w:rPr>
                  </w:pPr>
                  <w:r>
                    <w:rPr>
                      <w:rFonts w:hint="eastAsia" w:ascii="宋体" w:hAnsi="宋体"/>
                      <w:color w:val="auto"/>
                      <w:sz w:val="21"/>
                      <w:szCs w:val="21"/>
                      <w:highlight w:val="none"/>
                    </w:rPr>
                    <w:t>0.8%</w:t>
                  </w:r>
                </w:p>
              </w:tc>
              <w:tc>
                <w:tcPr>
                  <w:tcW w:w="2052" w:type="dxa"/>
                </w:tcPr>
                <w:p w14:paraId="7536B3F0">
                  <w:pPr>
                    <w:pStyle w:val="186"/>
                    <w:spacing w:line="360" w:lineRule="exact"/>
                    <w:ind w:left="25"/>
                    <w:jc w:val="center"/>
                    <w:rPr>
                      <w:rFonts w:ascii="宋体" w:hAnsi="宋体"/>
                      <w:color w:val="auto"/>
                      <w:sz w:val="21"/>
                      <w:szCs w:val="21"/>
                      <w:highlight w:val="none"/>
                    </w:rPr>
                  </w:pPr>
                  <w:r>
                    <w:rPr>
                      <w:rFonts w:hint="eastAsia" w:ascii="宋体" w:hAnsi="宋体"/>
                      <w:color w:val="auto"/>
                      <w:sz w:val="21"/>
                      <w:szCs w:val="21"/>
                      <w:highlight w:val="none"/>
                    </w:rPr>
                    <w:t>0.7%</w:t>
                  </w:r>
                </w:p>
              </w:tc>
            </w:tr>
            <w:tr w14:paraId="11D73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577" w:type="dxa"/>
                </w:tcPr>
                <w:p w14:paraId="170C029C">
                  <w:pPr>
                    <w:pStyle w:val="25"/>
                    <w:spacing w:line="360" w:lineRule="exact"/>
                    <w:ind w:left="25"/>
                    <w:rPr>
                      <w:rFonts w:hAnsi="宋体"/>
                      <w:color w:val="auto"/>
                      <w:sz w:val="21"/>
                      <w:szCs w:val="21"/>
                      <w:highlight w:val="none"/>
                    </w:rPr>
                  </w:pPr>
                  <w:r>
                    <w:rPr>
                      <w:rFonts w:hint="eastAsia" w:hAnsi="宋体"/>
                      <w:color w:val="auto"/>
                      <w:sz w:val="21"/>
                      <w:szCs w:val="21"/>
                      <w:highlight w:val="none"/>
                    </w:rPr>
                    <w:t>500～1000万元</w:t>
                  </w:r>
                </w:p>
              </w:tc>
              <w:tc>
                <w:tcPr>
                  <w:tcW w:w="1647" w:type="dxa"/>
                </w:tcPr>
                <w:p w14:paraId="22139A3A">
                  <w:pPr>
                    <w:pStyle w:val="25"/>
                    <w:spacing w:line="360" w:lineRule="exact"/>
                    <w:ind w:left="25"/>
                    <w:jc w:val="center"/>
                    <w:rPr>
                      <w:rFonts w:hAnsi="宋体"/>
                      <w:color w:val="auto"/>
                      <w:sz w:val="21"/>
                      <w:szCs w:val="21"/>
                      <w:highlight w:val="none"/>
                    </w:rPr>
                  </w:pPr>
                  <w:r>
                    <w:rPr>
                      <w:rFonts w:hint="eastAsia" w:hAnsi="宋体"/>
                      <w:color w:val="auto"/>
                      <w:sz w:val="21"/>
                      <w:szCs w:val="21"/>
                      <w:highlight w:val="none"/>
                    </w:rPr>
                    <w:t>0.8%</w:t>
                  </w:r>
                </w:p>
              </w:tc>
              <w:tc>
                <w:tcPr>
                  <w:tcW w:w="1782" w:type="dxa"/>
                </w:tcPr>
                <w:p w14:paraId="4AD47735">
                  <w:pPr>
                    <w:pStyle w:val="25"/>
                    <w:spacing w:line="360" w:lineRule="exact"/>
                    <w:ind w:left="25"/>
                    <w:jc w:val="center"/>
                    <w:rPr>
                      <w:rFonts w:hAnsi="宋体"/>
                      <w:color w:val="auto"/>
                      <w:sz w:val="21"/>
                      <w:szCs w:val="21"/>
                      <w:highlight w:val="none"/>
                    </w:rPr>
                  </w:pPr>
                  <w:r>
                    <w:rPr>
                      <w:rFonts w:hint="eastAsia" w:hAnsi="宋体"/>
                      <w:color w:val="auto"/>
                      <w:sz w:val="21"/>
                      <w:szCs w:val="21"/>
                      <w:highlight w:val="none"/>
                    </w:rPr>
                    <w:t>0.45%</w:t>
                  </w:r>
                </w:p>
              </w:tc>
              <w:tc>
                <w:tcPr>
                  <w:tcW w:w="2052" w:type="dxa"/>
                </w:tcPr>
                <w:p w14:paraId="5B9D9E92">
                  <w:pPr>
                    <w:pStyle w:val="25"/>
                    <w:spacing w:line="360" w:lineRule="exact"/>
                    <w:ind w:left="25"/>
                    <w:jc w:val="center"/>
                    <w:rPr>
                      <w:rFonts w:hAnsi="宋体"/>
                      <w:color w:val="auto"/>
                      <w:sz w:val="21"/>
                      <w:szCs w:val="21"/>
                      <w:highlight w:val="none"/>
                    </w:rPr>
                  </w:pPr>
                  <w:r>
                    <w:rPr>
                      <w:rFonts w:hint="eastAsia" w:hAnsi="宋体"/>
                      <w:color w:val="auto"/>
                      <w:sz w:val="21"/>
                      <w:szCs w:val="21"/>
                      <w:highlight w:val="none"/>
                    </w:rPr>
                    <w:t>0.55%</w:t>
                  </w:r>
                </w:p>
              </w:tc>
            </w:tr>
            <w:tr w14:paraId="1E48A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577" w:type="dxa"/>
                </w:tcPr>
                <w:p w14:paraId="3FF3070B">
                  <w:pPr>
                    <w:pStyle w:val="25"/>
                    <w:spacing w:line="360" w:lineRule="exact"/>
                    <w:ind w:left="25"/>
                    <w:rPr>
                      <w:rFonts w:hAnsi="宋体"/>
                      <w:color w:val="auto"/>
                      <w:sz w:val="21"/>
                      <w:szCs w:val="21"/>
                      <w:highlight w:val="none"/>
                    </w:rPr>
                  </w:pPr>
                  <w:r>
                    <w:rPr>
                      <w:rFonts w:hint="eastAsia" w:hAnsi="宋体"/>
                      <w:color w:val="auto"/>
                      <w:sz w:val="21"/>
                      <w:szCs w:val="21"/>
                      <w:highlight w:val="none"/>
                    </w:rPr>
                    <w:t>1000～5000万元</w:t>
                  </w:r>
                </w:p>
              </w:tc>
              <w:tc>
                <w:tcPr>
                  <w:tcW w:w="1647" w:type="dxa"/>
                </w:tcPr>
                <w:p w14:paraId="3FF4A0E2">
                  <w:pPr>
                    <w:pStyle w:val="25"/>
                    <w:spacing w:line="360" w:lineRule="exact"/>
                    <w:ind w:left="25"/>
                    <w:jc w:val="center"/>
                    <w:rPr>
                      <w:rFonts w:hAnsi="宋体"/>
                      <w:color w:val="auto"/>
                      <w:sz w:val="21"/>
                      <w:szCs w:val="21"/>
                      <w:highlight w:val="none"/>
                    </w:rPr>
                  </w:pPr>
                  <w:r>
                    <w:rPr>
                      <w:rFonts w:hint="eastAsia" w:hAnsi="宋体"/>
                      <w:color w:val="auto"/>
                      <w:sz w:val="21"/>
                      <w:szCs w:val="21"/>
                      <w:highlight w:val="none"/>
                    </w:rPr>
                    <w:t>0.5%</w:t>
                  </w:r>
                </w:p>
              </w:tc>
              <w:tc>
                <w:tcPr>
                  <w:tcW w:w="1782" w:type="dxa"/>
                </w:tcPr>
                <w:p w14:paraId="39513A6B">
                  <w:pPr>
                    <w:pStyle w:val="25"/>
                    <w:spacing w:line="360" w:lineRule="exact"/>
                    <w:ind w:left="25"/>
                    <w:jc w:val="center"/>
                    <w:rPr>
                      <w:rFonts w:hAnsi="宋体"/>
                      <w:color w:val="auto"/>
                      <w:sz w:val="21"/>
                      <w:szCs w:val="21"/>
                      <w:highlight w:val="none"/>
                    </w:rPr>
                  </w:pPr>
                  <w:r>
                    <w:rPr>
                      <w:rFonts w:hint="eastAsia" w:hAnsi="宋体"/>
                      <w:color w:val="auto"/>
                      <w:sz w:val="21"/>
                      <w:szCs w:val="21"/>
                      <w:highlight w:val="none"/>
                    </w:rPr>
                    <w:t>0.25%</w:t>
                  </w:r>
                </w:p>
              </w:tc>
              <w:tc>
                <w:tcPr>
                  <w:tcW w:w="2052" w:type="dxa"/>
                </w:tcPr>
                <w:p w14:paraId="3F52353A">
                  <w:pPr>
                    <w:pStyle w:val="25"/>
                    <w:spacing w:line="360" w:lineRule="exact"/>
                    <w:ind w:left="25"/>
                    <w:jc w:val="center"/>
                    <w:rPr>
                      <w:rFonts w:hAnsi="宋体"/>
                      <w:color w:val="auto"/>
                      <w:sz w:val="21"/>
                      <w:szCs w:val="21"/>
                      <w:highlight w:val="none"/>
                    </w:rPr>
                  </w:pPr>
                  <w:r>
                    <w:rPr>
                      <w:rFonts w:hint="eastAsia" w:hAnsi="宋体"/>
                      <w:color w:val="auto"/>
                      <w:sz w:val="21"/>
                      <w:szCs w:val="21"/>
                      <w:highlight w:val="none"/>
                    </w:rPr>
                    <w:t>0.35%</w:t>
                  </w:r>
                </w:p>
              </w:tc>
            </w:tr>
            <w:tr w14:paraId="69B87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577" w:type="dxa"/>
                </w:tcPr>
                <w:p w14:paraId="4CBDCFB2">
                  <w:pPr>
                    <w:pStyle w:val="25"/>
                    <w:spacing w:line="360" w:lineRule="exact"/>
                    <w:ind w:left="25"/>
                    <w:rPr>
                      <w:rFonts w:hAnsi="宋体"/>
                      <w:color w:val="auto"/>
                      <w:sz w:val="21"/>
                      <w:szCs w:val="21"/>
                      <w:highlight w:val="none"/>
                    </w:rPr>
                  </w:pPr>
                  <w:r>
                    <w:rPr>
                      <w:rFonts w:hint="eastAsia" w:hAnsi="宋体"/>
                      <w:color w:val="auto"/>
                      <w:sz w:val="21"/>
                      <w:szCs w:val="21"/>
                      <w:highlight w:val="none"/>
                    </w:rPr>
                    <w:t>5000万元～1亿元</w:t>
                  </w:r>
                </w:p>
              </w:tc>
              <w:tc>
                <w:tcPr>
                  <w:tcW w:w="1647" w:type="dxa"/>
                </w:tcPr>
                <w:p w14:paraId="3C744084">
                  <w:pPr>
                    <w:pStyle w:val="25"/>
                    <w:spacing w:line="360" w:lineRule="exact"/>
                    <w:ind w:left="25"/>
                    <w:jc w:val="center"/>
                    <w:rPr>
                      <w:rFonts w:hAnsi="宋体"/>
                      <w:color w:val="auto"/>
                      <w:sz w:val="21"/>
                      <w:szCs w:val="21"/>
                      <w:highlight w:val="none"/>
                    </w:rPr>
                  </w:pPr>
                  <w:r>
                    <w:rPr>
                      <w:rFonts w:hint="eastAsia" w:hAnsi="宋体"/>
                      <w:color w:val="auto"/>
                      <w:sz w:val="21"/>
                      <w:szCs w:val="21"/>
                      <w:highlight w:val="none"/>
                    </w:rPr>
                    <w:t>0.25%</w:t>
                  </w:r>
                </w:p>
              </w:tc>
              <w:tc>
                <w:tcPr>
                  <w:tcW w:w="1782" w:type="dxa"/>
                </w:tcPr>
                <w:p w14:paraId="389C05D8">
                  <w:pPr>
                    <w:pStyle w:val="25"/>
                    <w:spacing w:line="360" w:lineRule="exact"/>
                    <w:ind w:left="25"/>
                    <w:jc w:val="center"/>
                    <w:rPr>
                      <w:rFonts w:hAnsi="宋体"/>
                      <w:color w:val="auto"/>
                      <w:sz w:val="21"/>
                      <w:szCs w:val="21"/>
                      <w:highlight w:val="none"/>
                    </w:rPr>
                  </w:pPr>
                  <w:r>
                    <w:rPr>
                      <w:rFonts w:hint="eastAsia" w:hAnsi="宋体"/>
                      <w:color w:val="auto"/>
                      <w:sz w:val="21"/>
                      <w:szCs w:val="21"/>
                      <w:highlight w:val="none"/>
                    </w:rPr>
                    <w:t>0.1%</w:t>
                  </w:r>
                </w:p>
              </w:tc>
              <w:tc>
                <w:tcPr>
                  <w:tcW w:w="2052" w:type="dxa"/>
                </w:tcPr>
                <w:p w14:paraId="698E6332">
                  <w:pPr>
                    <w:pStyle w:val="25"/>
                    <w:spacing w:line="360" w:lineRule="exact"/>
                    <w:ind w:left="25"/>
                    <w:jc w:val="center"/>
                    <w:rPr>
                      <w:rFonts w:hAnsi="宋体"/>
                      <w:color w:val="auto"/>
                      <w:sz w:val="21"/>
                      <w:szCs w:val="21"/>
                      <w:highlight w:val="none"/>
                    </w:rPr>
                  </w:pPr>
                  <w:r>
                    <w:rPr>
                      <w:rFonts w:hint="eastAsia" w:hAnsi="宋体"/>
                      <w:color w:val="auto"/>
                      <w:sz w:val="21"/>
                      <w:szCs w:val="21"/>
                      <w:highlight w:val="none"/>
                    </w:rPr>
                    <w:t>0.2%</w:t>
                  </w:r>
                </w:p>
              </w:tc>
            </w:tr>
          </w:tbl>
          <w:p w14:paraId="19156293">
            <w:pPr>
              <w:pStyle w:val="25"/>
              <w:spacing w:line="360" w:lineRule="exact"/>
              <w:ind w:left="25"/>
              <w:rPr>
                <w:rFonts w:hAnsi="宋体" w:cs="宋体"/>
                <w:color w:val="auto"/>
                <w:sz w:val="21"/>
                <w:szCs w:val="21"/>
                <w:highlight w:val="none"/>
              </w:rPr>
            </w:pPr>
            <w:r>
              <w:rPr>
                <w:rFonts w:hint="eastAsia" w:hAnsi="宋体"/>
                <w:color w:val="auto"/>
                <w:sz w:val="21"/>
                <w:szCs w:val="21"/>
                <w:highlight w:val="none"/>
              </w:rPr>
              <w:t>注：采购代理服务收费按差额定率累进法计算。</w:t>
            </w:r>
          </w:p>
          <w:p w14:paraId="7B66D228">
            <w:pPr>
              <w:pStyle w:val="25"/>
              <w:snapToGrid w:val="0"/>
              <w:spacing w:line="340" w:lineRule="exact"/>
              <w:rPr>
                <w:rFonts w:hAnsi="宋体" w:cs="宋体"/>
                <w:color w:val="auto"/>
                <w:sz w:val="21"/>
                <w:highlight w:val="none"/>
                <w:u w:val="single"/>
              </w:rPr>
            </w:pPr>
            <w:r>
              <w:rPr>
                <w:rFonts w:hint="eastAsia" w:hAnsi="宋体" w:cs="宋体"/>
                <w:color w:val="auto"/>
                <w:sz w:val="21"/>
                <w:highlight w:val="none"/>
              </w:rPr>
              <w:t>□</w:t>
            </w:r>
            <w:r>
              <w:rPr>
                <w:rFonts w:hint="eastAsia" w:hAnsi="宋体" w:cs="宋体"/>
                <w:color w:val="auto"/>
                <w:highlight w:val="none"/>
              </w:rPr>
              <w:t>固定收费：</w:t>
            </w:r>
            <w:r>
              <w:rPr>
                <w:rFonts w:hint="eastAsia" w:hAnsi="宋体" w:cs="宋体"/>
                <w:color w:val="auto"/>
                <w:sz w:val="21"/>
                <w:highlight w:val="none"/>
              </w:rPr>
              <w:t>固定采购代理收费</w:t>
            </w:r>
            <w:r>
              <w:rPr>
                <w:rFonts w:hint="eastAsia" w:hAnsi="宋体" w:cs="宋体"/>
                <w:color w:val="auto"/>
                <w:sz w:val="21"/>
                <w:highlight w:val="none"/>
                <w:u w:val="single"/>
              </w:rPr>
              <w:t xml:space="preserve">  \   元。</w:t>
            </w:r>
          </w:p>
          <w:p w14:paraId="581F10C8">
            <w:pPr>
              <w:pStyle w:val="25"/>
              <w:adjustRightInd w:val="0"/>
              <w:spacing w:line="400" w:lineRule="exact"/>
              <w:rPr>
                <w:rFonts w:hAnsi="宋体" w:cs="宋体"/>
                <w:color w:val="auto"/>
                <w:sz w:val="21"/>
                <w:highlight w:val="none"/>
              </w:rPr>
            </w:pPr>
            <w:r>
              <w:rPr>
                <w:rFonts w:hint="eastAsia" w:hAnsi="宋体" w:cs="宋体"/>
                <w:color w:val="auto"/>
                <w:sz w:val="21"/>
                <w:highlight w:val="none"/>
              </w:rPr>
              <w:t>3.开户名称：云之龙咨询集团有限公司桂林分公司</w:t>
            </w:r>
          </w:p>
          <w:p w14:paraId="7FA7D085">
            <w:pPr>
              <w:pStyle w:val="25"/>
              <w:adjustRightInd w:val="0"/>
              <w:spacing w:line="400" w:lineRule="exact"/>
              <w:rPr>
                <w:rFonts w:hAnsi="宋体" w:cs="宋体"/>
                <w:color w:val="auto"/>
                <w:sz w:val="21"/>
                <w:highlight w:val="none"/>
              </w:rPr>
            </w:pPr>
            <w:r>
              <w:rPr>
                <w:rFonts w:hint="eastAsia" w:hAnsi="宋体" w:cs="宋体"/>
                <w:color w:val="auto"/>
                <w:sz w:val="21"/>
                <w:highlight w:val="none"/>
              </w:rPr>
              <w:t>银行账号：8113001014300158041</w:t>
            </w:r>
          </w:p>
          <w:p w14:paraId="6A92C59D">
            <w:pPr>
              <w:pStyle w:val="25"/>
              <w:adjustRightInd w:val="0"/>
              <w:spacing w:line="400" w:lineRule="exact"/>
              <w:rPr>
                <w:rFonts w:hAnsi="宋体" w:cs="宋体"/>
                <w:color w:val="auto"/>
                <w:sz w:val="21"/>
                <w:highlight w:val="none"/>
              </w:rPr>
            </w:pPr>
            <w:r>
              <w:rPr>
                <w:rFonts w:hint="eastAsia" w:hAnsi="宋体" w:cs="宋体"/>
                <w:color w:val="auto"/>
                <w:sz w:val="21"/>
                <w:highlight w:val="none"/>
              </w:rPr>
              <w:t>开户银行：中信银行股份有限公司南宁东葛支行</w:t>
            </w:r>
          </w:p>
        </w:tc>
      </w:tr>
      <w:tr w14:paraId="39C82C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3DD01691">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40.1</w:t>
            </w:r>
          </w:p>
        </w:tc>
        <w:tc>
          <w:tcPr>
            <w:tcW w:w="8670" w:type="dxa"/>
            <w:tcBorders>
              <w:top w:val="single" w:color="auto" w:sz="4" w:space="0"/>
              <w:left w:val="single" w:color="auto" w:sz="4" w:space="0"/>
              <w:bottom w:val="single" w:color="auto" w:sz="4" w:space="0"/>
              <w:right w:val="single" w:color="auto" w:sz="4" w:space="0"/>
            </w:tcBorders>
            <w:vAlign w:val="center"/>
          </w:tcPr>
          <w:p w14:paraId="48A8F6BD">
            <w:pPr>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6077CE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1E1221B3">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40.2</w:t>
            </w:r>
          </w:p>
        </w:tc>
        <w:tc>
          <w:tcPr>
            <w:tcW w:w="8670" w:type="dxa"/>
            <w:tcBorders>
              <w:top w:val="single" w:color="auto" w:sz="4" w:space="0"/>
              <w:left w:val="single" w:color="auto" w:sz="4" w:space="0"/>
              <w:bottom w:val="single" w:color="auto" w:sz="4" w:space="0"/>
              <w:right w:val="single" w:color="auto" w:sz="4" w:space="0"/>
            </w:tcBorders>
            <w:vAlign w:val="center"/>
          </w:tcPr>
          <w:p w14:paraId="2F607300">
            <w:pPr>
              <w:pStyle w:val="25"/>
              <w:numPr>
                <w:ilvl w:val="0"/>
                <w:numId w:val="4"/>
              </w:numPr>
              <w:adjustRightInd w:val="0"/>
              <w:spacing w:line="360" w:lineRule="exact"/>
              <w:rPr>
                <w:rFonts w:hAnsi="宋体" w:cs="宋体"/>
                <w:color w:val="auto"/>
                <w:sz w:val="21"/>
                <w:highlight w:val="none"/>
              </w:rPr>
            </w:pPr>
            <w:r>
              <w:rPr>
                <w:rFonts w:hint="eastAsia" w:hAnsi="宋体" w:cs="宋体"/>
                <w:color w:val="auto"/>
                <w:sz w:val="21"/>
                <w:highlight w:val="none"/>
              </w:rPr>
              <w:t>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46979C69">
            <w:pPr>
              <w:pStyle w:val="25"/>
              <w:adjustRightInd w:val="0"/>
              <w:spacing w:line="360" w:lineRule="exact"/>
              <w:rPr>
                <w:rFonts w:hAnsi="宋体" w:cs="宋体"/>
                <w:color w:val="auto"/>
                <w:sz w:val="21"/>
                <w:highlight w:val="none"/>
              </w:rPr>
            </w:pPr>
            <w:r>
              <w:rPr>
                <w:rFonts w:hint="eastAsia" w:hAnsi="宋体" w:cs="宋体"/>
                <w:color w:val="auto"/>
                <w:sz w:val="21"/>
                <w:highlight w:val="none"/>
              </w:rPr>
              <w:t>2.本招标文件所称的“电子签章”、“电子签名”，是指经</w:t>
            </w:r>
            <w:r>
              <w:rPr>
                <w:rFonts w:hint="eastAsia" w:hAnsi="宋体" w:cs="宋体"/>
                <w:color w:val="auto"/>
                <w:highlight w:val="none"/>
              </w:rPr>
              <w:t>“广西政府采购云平台”</w:t>
            </w:r>
            <w:r>
              <w:rPr>
                <w:rFonts w:hint="eastAsia" w:hAnsi="宋体" w:cs="宋体"/>
                <w:color w:val="auto"/>
                <w:sz w:val="21"/>
                <w:highlight w:val="none"/>
              </w:rPr>
              <w:t>认可的CA认证的电子签名数据为表现形式的印章，可用于签署电子投标文件，电子印章与实物印章具有同等法律效力，不因其采用电子化表现形式而否定其法律效力。</w:t>
            </w:r>
          </w:p>
          <w:p w14:paraId="70D07F70">
            <w:pPr>
              <w:pStyle w:val="25"/>
              <w:adjustRightInd w:val="0"/>
              <w:spacing w:line="360" w:lineRule="exact"/>
              <w:rPr>
                <w:rFonts w:hAnsi="宋体" w:cs="宋体"/>
                <w:color w:val="auto"/>
                <w:sz w:val="21"/>
                <w:highlight w:val="none"/>
              </w:rPr>
            </w:pPr>
            <w:r>
              <w:rPr>
                <w:rFonts w:hint="eastAsia" w:hAnsi="宋体" w:cs="宋体"/>
                <w:color w:val="auto"/>
                <w:sz w:val="21"/>
                <w:highlight w:val="none"/>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68E11398">
            <w:pPr>
              <w:pStyle w:val="25"/>
              <w:adjustRightInd w:val="0"/>
              <w:spacing w:line="360" w:lineRule="exact"/>
              <w:rPr>
                <w:rFonts w:hAnsi="宋体" w:cs="宋体"/>
                <w:color w:val="auto"/>
                <w:sz w:val="21"/>
                <w:highlight w:val="none"/>
              </w:rPr>
            </w:pPr>
            <w:r>
              <w:rPr>
                <w:rFonts w:hint="eastAsia" w:hAnsi="宋体" w:cs="宋体"/>
                <w:color w:val="auto"/>
                <w:sz w:val="21"/>
                <w:highlight w:val="none"/>
              </w:rPr>
              <w:t>4.本招标文件中描述投标人的“签字”是指投标人的法定代表人或者委托代理人亲自在文件规定签字处亲笔写上个人的名字的行为，私章、签字章、印鉴、影印等其他形式均不能代替亲笔签字。</w:t>
            </w:r>
          </w:p>
          <w:p w14:paraId="2ACBC8BA">
            <w:pPr>
              <w:pStyle w:val="25"/>
              <w:adjustRightInd w:val="0"/>
              <w:spacing w:line="360" w:lineRule="exact"/>
              <w:rPr>
                <w:rFonts w:hAnsi="宋体" w:cs="宋体"/>
                <w:color w:val="auto"/>
                <w:sz w:val="21"/>
                <w:highlight w:val="none"/>
              </w:rPr>
            </w:pPr>
            <w:r>
              <w:rPr>
                <w:rFonts w:hint="eastAsia" w:hAnsi="宋体" w:cs="宋体"/>
                <w:color w:val="auto"/>
                <w:sz w:val="21"/>
                <w:highlight w:val="none"/>
              </w:rPr>
              <w:t>5.本招标文件所称的“以上”“以下”“以内”“届满”，包括本数；所称的“不满”“超过”“以外”，不包括本数。</w:t>
            </w:r>
          </w:p>
          <w:p w14:paraId="6274E34D">
            <w:pPr>
              <w:pStyle w:val="25"/>
              <w:adjustRightInd w:val="0"/>
              <w:spacing w:line="360" w:lineRule="exact"/>
              <w:rPr>
                <w:rFonts w:hAnsi="宋体" w:cs="宋体"/>
                <w:color w:val="auto"/>
                <w:sz w:val="21"/>
                <w:highlight w:val="none"/>
              </w:rPr>
            </w:pPr>
            <w:r>
              <w:rPr>
                <w:rFonts w:hint="eastAsia" w:hAnsi="宋体" w:cs="宋体"/>
                <w:color w:val="auto"/>
                <w:sz w:val="21"/>
                <w:highlight w:val="none"/>
              </w:rPr>
              <w:t>6.如本项目未划分分标的，招标文件中的“分标”是指本项目。</w:t>
            </w:r>
          </w:p>
        </w:tc>
      </w:tr>
    </w:tbl>
    <w:p w14:paraId="4703FC80">
      <w:pPr>
        <w:pStyle w:val="5"/>
        <w:keepNext w:val="0"/>
        <w:keepLines w:val="0"/>
        <w:jc w:val="center"/>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投标人须知正文</w:t>
      </w:r>
    </w:p>
    <w:p w14:paraId="4C1ED91B">
      <w:pPr>
        <w:pStyle w:val="5"/>
        <w:keepNext w:val="0"/>
        <w:keepLines w:val="0"/>
        <w:jc w:val="center"/>
        <w:rPr>
          <w:rFonts w:ascii="宋体" w:hAnsi="宋体" w:cs="宋体"/>
          <w:color w:val="auto"/>
          <w:highlight w:val="none"/>
        </w:rPr>
      </w:pPr>
      <w:r>
        <w:rPr>
          <w:rFonts w:hint="eastAsia" w:ascii="宋体" w:hAnsi="宋体" w:cs="宋体"/>
          <w:color w:val="auto"/>
          <w:highlight w:val="none"/>
        </w:rPr>
        <w:t>一、总则</w:t>
      </w:r>
    </w:p>
    <w:p w14:paraId="20965AF5">
      <w:pPr>
        <w:pStyle w:val="6"/>
        <w:keepNext w:val="0"/>
        <w:keepLines w:val="0"/>
        <w:spacing w:before="0" w:after="0" w:line="360" w:lineRule="auto"/>
        <w:ind w:left="420" w:leftChars="200"/>
        <w:rPr>
          <w:rFonts w:ascii="宋体" w:hAnsi="宋体" w:cs="宋体"/>
          <w:color w:val="auto"/>
          <w:sz w:val="24"/>
          <w:highlight w:val="none"/>
        </w:rPr>
      </w:pPr>
      <w:bookmarkStart w:id="77" w:name="_Toc254970668"/>
      <w:bookmarkStart w:id="78" w:name="_Toc254970527"/>
      <w:r>
        <w:rPr>
          <w:rFonts w:hint="eastAsia" w:ascii="宋体" w:hAnsi="宋体" w:cs="宋体"/>
          <w:color w:val="auto"/>
          <w:sz w:val="24"/>
          <w:highlight w:val="none"/>
        </w:rPr>
        <w:t>1.适用范围</w:t>
      </w:r>
      <w:bookmarkEnd w:id="77"/>
      <w:bookmarkEnd w:id="78"/>
    </w:p>
    <w:p w14:paraId="5FBFC07C">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0BBDA990">
      <w:pPr>
        <w:snapToGrid w:val="0"/>
        <w:spacing w:line="440" w:lineRule="exact"/>
        <w:ind w:firstLine="420" w:firstLineChars="200"/>
        <w:jc w:val="left"/>
        <w:rPr>
          <w:rFonts w:ascii="宋体" w:hAnsi="宋体" w:cs="宋体"/>
          <w:color w:val="auto"/>
          <w:spacing w:val="-6"/>
          <w:szCs w:val="21"/>
          <w:highlight w:val="none"/>
        </w:rPr>
      </w:pPr>
      <w:r>
        <w:rPr>
          <w:rFonts w:hint="eastAsia" w:ascii="宋体" w:hAnsi="宋体" w:cs="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771780B5">
      <w:pPr>
        <w:pStyle w:val="6"/>
        <w:keepNext w:val="0"/>
        <w:keepLines w:val="0"/>
        <w:spacing w:before="0" w:after="0" w:line="440" w:lineRule="exact"/>
        <w:ind w:left="420" w:leftChars="200"/>
        <w:rPr>
          <w:rFonts w:ascii="宋体" w:hAnsi="宋体" w:cs="宋体"/>
          <w:color w:val="auto"/>
          <w:sz w:val="24"/>
          <w:highlight w:val="none"/>
        </w:rPr>
      </w:pPr>
      <w:bookmarkStart w:id="79" w:name="_Toc254970528"/>
      <w:bookmarkStart w:id="80" w:name="_Toc254970669"/>
      <w:r>
        <w:rPr>
          <w:rFonts w:hint="eastAsia" w:ascii="宋体" w:hAnsi="宋体" w:cs="宋体"/>
          <w:color w:val="auto"/>
          <w:sz w:val="24"/>
          <w:highlight w:val="none"/>
        </w:rPr>
        <w:t>2.定义</w:t>
      </w:r>
      <w:bookmarkEnd w:id="79"/>
      <w:bookmarkEnd w:id="80"/>
    </w:p>
    <w:p w14:paraId="1C64F7B7">
      <w:pPr>
        <w:pStyle w:val="6"/>
        <w:keepNext w:val="0"/>
        <w:keepLines w:val="0"/>
        <w:spacing w:before="0" w:after="0" w:line="44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2.1“采购人”是指依法进行政府采购的国家机关、事业单位、团体组织。</w:t>
      </w:r>
    </w:p>
    <w:p w14:paraId="03E9CACE">
      <w:pPr>
        <w:pStyle w:val="6"/>
        <w:keepNext w:val="0"/>
        <w:keepLines w:val="0"/>
        <w:spacing w:before="0" w:after="0" w:line="44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2.2“采购代理机构”是指政府采购集中采购机构和集中采购机构以外的采购代理机构。</w:t>
      </w:r>
    </w:p>
    <w:p w14:paraId="70BA8E40">
      <w:pPr>
        <w:pStyle w:val="6"/>
        <w:keepNext w:val="0"/>
        <w:keepLines w:val="0"/>
        <w:spacing w:before="0" w:after="0" w:line="44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2.3“供应商”是指向采购人提供货物、工程或者服务的法人、其他组织或者自然人。</w:t>
      </w:r>
    </w:p>
    <w:p w14:paraId="346E0E8A">
      <w:pPr>
        <w:pStyle w:val="7"/>
        <w:spacing w:line="440" w:lineRule="exact"/>
        <w:rPr>
          <w:rFonts w:ascii="宋体" w:hAnsi="宋体" w:cs="宋体"/>
          <w:color w:val="auto"/>
          <w:szCs w:val="21"/>
          <w:highlight w:val="none"/>
        </w:rPr>
      </w:pPr>
      <w:r>
        <w:rPr>
          <w:rFonts w:hint="eastAsia" w:ascii="宋体" w:hAnsi="宋体" w:cs="宋体"/>
          <w:color w:val="auto"/>
          <w:szCs w:val="21"/>
          <w:highlight w:val="none"/>
        </w:rPr>
        <w:t>2.4“投标人”是指响应招标、参加投标竞争的法人、其他组织或者自然人。</w:t>
      </w:r>
    </w:p>
    <w:p w14:paraId="6B8B6E81">
      <w:pPr>
        <w:pStyle w:val="6"/>
        <w:keepNext w:val="0"/>
        <w:keepLines w:val="0"/>
        <w:spacing w:before="0" w:after="0" w:line="44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2.5“货物”是指各种形态和种类的物品，包括原材料、燃料、设备、产品等。</w:t>
      </w:r>
    </w:p>
    <w:p w14:paraId="25D8204D">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2.6“售后服务” 是指商品出售以后所提供的各种服务，包含但不限于投标人须承担的备品备件、包装、运输、装卸、保险、货到就位以及安装、调试、培训、质保以及其他各种服务。</w:t>
      </w:r>
    </w:p>
    <w:p w14:paraId="747F013D">
      <w:pPr>
        <w:pStyle w:val="6"/>
        <w:keepNext w:val="0"/>
        <w:keepLines w:val="0"/>
        <w:spacing w:before="0" w:after="0" w:line="440" w:lineRule="exact"/>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2.7“书面形式”是指合同书、信件和数据电文（包括电报、电传、传真、电子数据交换和电子邮件）等可以有形地表现所载内容的形式。</w:t>
      </w:r>
    </w:p>
    <w:p w14:paraId="072C663C">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2.8“实质性要求”是指招标文件中已经指明不满足则投标无效的条款，或者不能负偏离的条款，或者采购需求中带“▲”的条款。投标人不满足实质性要求的，</w:t>
      </w:r>
      <w:r>
        <w:rPr>
          <w:rFonts w:hint="eastAsia" w:ascii="宋体" w:hAnsi="宋体" w:cs="宋体"/>
          <w:b/>
          <w:bCs/>
          <w:color w:val="auto"/>
          <w:szCs w:val="21"/>
          <w:highlight w:val="none"/>
        </w:rPr>
        <w:t>按投标无效处理。</w:t>
      </w:r>
    </w:p>
    <w:p w14:paraId="5A9C23EC">
      <w:pPr>
        <w:pStyle w:val="6"/>
        <w:keepNext w:val="0"/>
        <w:keepLines w:val="0"/>
        <w:spacing w:before="0" w:after="0" w:line="440" w:lineRule="exact"/>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2.9 “正偏离”是指投标文件对招标文件“采购需求”中有关条款作出的响应优于该条款基本要求的情形，包括：①当某技术指标要求为≥或≤某指标时，则该指标为基本要求，投标响应值＞或＜该基本要求的，为正偏离；②除上述第①种情形外，经评委独立评审后认定该技术指标优于招标文件基本要求的</w:t>
      </w:r>
      <w:r>
        <w:rPr>
          <w:rFonts w:hint="eastAsia" w:ascii="宋体" w:hAnsi="宋体" w:cs="宋体"/>
          <w:b w:val="0"/>
          <w:color w:val="auto"/>
          <w:sz w:val="21"/>
          <w:szCs w:val="21"/>
          <w:highlight w:val="none"/>
          <w:lang w:eastAsia="zh-CN"/>
        </w:rPr>
        <w:t>其他</w:t>
      </w:r>
      <w:r>
        <w:rPr>
          <w:rFonts w:hint="eastAsia" w:ascii="宋体" w:hAnsi="宋体" w:cs="宋体"/>
          <w:b w:val="0"/>
          <w:color w:val="auto"/>
          <w:sz w:val="21"/>
          <w:szCs w:val="21"/>
          <w:highlight w:val="none"/>
        </w:rPr>
        <w:t>情形。</w:t>
      </w:r>
    </w:p>
    <w:p w14:paraId="6CECEC18">
      <w:pPr>
        <w:pStyle w:val="6"/>
        <w:keepNext w:val="0"/>
        <w:keepLines w:val="0"/>
        <w:spacing w:before="0" w:after="0" w:line="440" w:lineRule="exact"/>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2.10“负偏离”，是指投标文件对招标文件“采购需求”中有关条款作出的响应不满足条款要求，导致采购人要求不能得到满足的情形。</w:t>
      </w:r>
    </w:p>
    <w:p w14:paraId="38CFEBC3">
      <w:pPr>
        <w:pStyle w:val="6"/>
        <w:keepNext w:val="0"/>
        <w:keepLines w:val="0"/>
        <w:spacing w:before="0" w:after="0" w:line="440" w:lineRule="exact"/>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2.11“允许负偏离的条款”是指采购需求中的不属于“实质性要求”的条款。</w:t>
      </w:r>
      <w:bookmarkStart w:id="81" w:name="_Toc254970670"/>
      <w:bookmarkStart w:id="82" w:name="_Toc254970529"/>
    </w:p>
    <w:p w14:paraId="358EB99B">
      <w:pPr>
        <w:pStyle w:val="6"/>
        <w:keepNext w:val="0"/>
        <w:keepLines w:val="0"/>
        <w:spacing w:before="0" w:after="0" w:line="440" w:lineRule="exact"/>
        <w:rPr>
          <w:rFonts w:ascii="宋体" w:hAnsi="宋体" w:cs="宋体"/>
          <w:color w:val="auto"/>
          <w:szCs w:val="21"/>
          <w:highlight w:val="none"/>
        </w:rPr>
      </w:pPr>
      <w:r>
        <w:rPr>
          <w:rFonts w:hint="eastAsia" w:ascii="宋体" w:hAnsi="宋体" w:cs="宋体"/>
          <w:b w:val="0"/>
          <w:color w:val="auto"/>
          <w:sz w:val="21"/>
          <w:szCs w:val="21"/>
          <w:highlight w:val="none"/>
        </w:rPr>
        <w:t xml:space="preserve">  2.12本项目实行全流程电子化采购，投标人通过“广西政府采购云平台”参与电子投标。“投标文件”是指投标人按本招标文件规定提交的电子投标文件。</w:t>
      </w:r>
    </w:p>
    <w:p w14:paraId="2557EFA9">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w:t>
      </w:r>
      <w:bookmarkEnd w:id="81"/>
      <w:bookmarkEnd w:id="82"/>
      <w:r>
        <w:rPr>
          <w:rFonts w:hint="eastAsia" w:ascii="宋体" w:hAnsi="宋体" w:cs="宋体"/>
          <w:color w:val="auto"/>
          <w:sz w:val="24"/>
          <w:highlight w:val="none"/>
        </w:rPr>
        <w:t>投标人的资格要求</w:t>
      </w:r>
    </w:p>
    <w:p w14:paraId="64D762D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投标人的资格要求详见“投标人须知前附表”。</w:t>
      </w:r>
    </w:p>
    <w:p w14:paraId="62759F71">
      <w:pPr>
        <w:pStyle w:val="6"/>
        <w:keepNext w:val="0"/>
        <w:keepLines w:val="0"/>
        <w:spacing w:before="0" w:after="0" w:line="360" w:lineRule="auto"/>
        <w:ind w:left="420" w:leftChars="200"/>
        <w:rPr>
          <w:rFonts w:ascii="宋体" w:hAnsi="宋体" w:cs="宋体"/>
          <w:color w:val="auto"/>
          <w:sz w:val="24"/>
          <w:highlight w:val="none"/>
        </w:rPr>
      </w:pPr>
      <w:bookmarkStart w:id="83" w:name="_Toc254970671"/>
      <w:bookmarkStart w:id="84" w:name="_Toc254970530"/>
      <w:r>
        <w:rPr>
          <w:rFonts w:hint="eastAsia" w:ascii="宋体" w:hAnsi="宋体" w:cs="宋体"/>
          <w:color w:val="auto"/>
          <w:sz w:val="24"/>
          <w:highlight w:val="none"/>
        </w:rPr>
        <w:t>4.投标委托</w:t>
      </w:r>
      <w:bookmarkEnd w:id="83"/>
      <w:bookmarkEnd w:id="84"/>
    </w:p>
    <w:p w14:paraId="61E19B7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投标人代表参加投标活动过程中必须携带个人有效身份证件。如投标人代表不是法定代表人，须持有授权委托书（按第六章要求格式填写）。</w:t>
      </w:r>
    </w:p>
    <w:p w14:paraId="4B147E00">
      <w:pPr>
        <w:pStyle w:val="6"/>
        <w:keepNext w:val="0"/>
        <w:keepLines w:val="0"/>
        <w:spacing w:before="0" w:after="0" w:line="360" w:lineRule="auto"/>
        <w:ind w:left="420" w:leftChars="200"/>
        <w:rPr>
          <w:rFonts w:ascii="宋体" w:hAnsi="宋体" w:cs="宋体"/>
          <w:color w:val="auto"/>
          <w:sz w:val="24"/>
          <w:highlight w:val="none"/>
        </w:rPr>
      </w:pPr>
      <w:bookmarkStart w:id="85" w:name="_5.投标费用"/>
      <w:bookmarkEnd w:id="85"/>
      <w:bookmarkStart w:id="86" w:name="_Toc254970531"/>
      <w:bookmarkStart w:id="87" w:name="_Toc254970672"/>
      <w:r>
        <w:rPr>
          <w:rFonts w:hint="eastAsia" w:ascii="宋体" w:hAnsi="宋体" w:cs="宋体"/>
          <w:color w:val="auto"/>
          <w:sz w:val="24"/>
          <w:highlight w:val="none"/>
        </w:rPr>
        <w:t>5.投标费用</w:t>
      </w:r>
      <w:bookmarkEnd w:id="86"/>
      <w:bookmarkEnd w:id="87"/>
    </w:p>
    <w:p w14:paraId="580ECC7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3BD125F7">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6.联合体投标</w:t>
      </w:r>
    </w:p>
    <w:p w14:paraId="7FB1957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6.1本项目是否接受联合体投标，详见“投标人须知前附表”。</w:t>
      </w:r>
    </w:p>
    <w:p w14:paraId="0E7CA4A1">
      <w:pPr>
        <w:snapToGrid w:val="0"/>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6.2如接受联合体投标，联合体投标要求详见“投标人须知前附表”。</w:t>
      </w:r>
    </w:p>
    <w:p w14:paraId="368E60E1">
      <w:pPr>
        <w:pStyle w:val="6"/>
        <w:keepNext w:val="0"/>
        <w:keepLines w:val="0"/>
        <w:spacing w:before="0" w:after="0" w:line="360" w:lineRule="auto"/>
        <w:ind w:firstLine="424" w:firstLineChars="202"/>
        <w:rPr>
          <w:rFonts w:ascii="宋体" w:hAnsi="宋体" w:cs="宋体"/>
          <w:color w:val="auto"/>
          <w:sz w:val="24"/>
          <w:highlight w:val="none"/>
        </w:rPr>
      </w:pPr>
      <w:r>
        <w:rPr>
          <w:rFonts w:hint="eastAsia" w:ascii="宋体" w:hAnsi="宋体" w:cs="宋体"/>
          <w:b w:val="0"/>
          <w:bCs/>
          <w:color w:val="auto"/>
          <w:sz w:val="21"/>
          <w:szCs w:val="21"/>
          <w:highlight w:val="none"/>
        </w:rPr>
        <w:t>6.3</w:t>
      </w:r>
      <w:bookmarkStart w:id="88" w:name="_Hlk65857072"/>
      <w:r>
        <w:rPr>
          <w:rFonts w:hint="eastAsia" w:ascii="宋体" w:hAnsi="宋体" w:cs="宋体"/>
          <w:b w:val="0"/>
          <w:bCs/>
          <w:color w:val="auto"/>
          <w:sz w:val="21"/>
          <w:szCs w:val="21"/>
          <w:highlight w:val="none"/>
        </w:rPr>
        <w:t>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88"/>
    </w:p>
    <w:p w14:paraId="34F96616">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 xml:space="preserve">7.转包与分包             </w:t>
      </w:r>
    </w:p>
    <w:p w14:paraId="15EE3F48">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7.1本项目不允许转包。</w:t>
      </w:r>
    </w:p>
    <w:p w14:paraId="7B39AA7B">
      <w:pPr>
        <w:pStyle w:val="6"/>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5E669639">
      <w:pPr>
        <w:pStyle w:val="6"/>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405CCA1E">
      <w:pPr>
        <w:pStyle w:val="6"/>
        <w:keepNext w:val="0"/>
        <w:keepLines w:val="0"/>
        <w:spacing w:before="0" w:after="0" w:line="360" w:lineRule="auto"/>
        <w:ind w:left="420" w:leftChars="200"/>
        <w:rPr>
          <w:rFonts w:ascii="宋体" w:hAnsi="宋体" w:cs="宋体"/>
          <w:color w:val="auto"/>
          <w:sz w:val="24"/>
          <w:highlight w:val="none"/>
        </w:rPr>
      </w:pPr>
      <w:bookmarkStart w:id="89" w:name="_Toc254970673"/>
      <w:bookmarkStart w:id="90" w:name="_Toc254970532"/>
      <w:r>
        <w:rPr>
          <w:rFonts w:hint="eastAsia" w:ascii="宋体" w:hAnsi="宋体" w:cs="宋体"/>
          <w:color w:val="auto"/>
          <w:sz w:val="24"/>
          <w:highlight w:val="none"/>
        </w:rPr>
        <w:t>8.特别说明</w:t>
      </w:r>
      <w:bookmarkEnd w:id="89"/>
      <w:bookmarkEnd w:id="90"/>
    </w:p>
    <w:p w14:paraId="4D2F626C">
      <w:pPr>
        <w:pStyle w:val="6"/>
        <w:keepNext w:val="0"/>
        <w:keepLines w:val="0"/>
        <w:spacing w:before="0" w:after="0" w:line="360" w:lineRule="auto"/>
        <w:ind w:firstLine="420" w:firstLineChars="200"/>
        <w:rPr>
          <w:rFonts w:ascii="宋体" w:hAnsi="宋体" w:cs="宋体"/>
          <w:b w:val="0"/>
          <w:color w:val="auto"/>
          <w:sz w:val="21"/>
          <w:szCs w:val="21"/>
          <w:highlight w:val="none"/>
        </w:rPr>
      </w:pPr>
      <w:bookmarkStart w:id="91" w:name="_8.1提供相同品牌产品且通过资格审查、符合性审查的不同投标人参加同一合"/>
      <w:bookmarkEnd w:id="91"/>
      <w:r>
        <w:rPr>
          <w:rFonts w:hint="eastAsia" w:ascii="宋体" w:hAnsi="宋体" w:cs="宋体"/>
          <w:b w:val="0"/>
          <w:color w:val="auto"/>
          <w:sz w:val="21"/>
          <w:szCs w:val="21"/>
          <w:highlight w:val="none"/>
        </w:rPr>
        <w:t>8.1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宋体" w:hAnsi="宋体" w:cs="宋体"/>
          <w:color w:val="auto"/>
          <w:sz w:val="22"/>
          <w:szCs w:val="22"/>
          <w:highlight w:val="none"/>
        </w:rPr>
        <w:t>其他投标无效。</w:t>
      </w:r>
    </w:p>
    <w:p w14:paraId="4594E5B7">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45EA0259">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非单一产品采购项目，多家投标人提供的核心产品品牌相同的，</w:t>
      </w:r>
      <w:r>
        <w:rPr>
          <w:rFonts w:hint="eastAsia" w:hAnsi="宋体" w:cs="宋体"/>
          <w:color w:val="auto"/>
          <w:sz w:val="22"/>
          <w:szCs w:val="22"/>
          <w:highlight w:val="none"/>
        </w:rPr>
        <w:t>按前两款规定处理</w:t>
      </w:r>
      <w:r>
        <w:rPr>
          <w:rFonts w:hint="eastAsia" w:hAnsi="宋体" w:cs="宋体"/>
          <w:color w:val="auto"/>
          <w:kern w:val="2"/>
          <w:sz w:val="21"/>
          <w:highlight w:val="none"/>
        </w:rPr>
        <w:t>。</w:t>
      </w:r>
    </w:p>
    <w:p w14:paraId="3A919C56">
      <w:pPr>
        <w:pStyle w:val="6"/>
        <w:keepNext w:val="0"/>
        <w:keepLines w:val="0"/>
        <w:spacing w:before="0" w:after="0" w:line="360" w:lineRule="auto"/>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8.2如果本招标文件要求提供投标人或制造商的资格、信誉、荣誉、业绩与企业认证等材料的，资格、信誉、荣誉、业绩与企业认证等必须为投标人或者制造商所拥有或自身获得 。</w:t>
      </w:r>
    </w:p>
    <w:p w14:paraId="5A40AAA9">
      <w:pPr>
        <w:pStyle w:val="6"/>
        <w:keepNext w:val="0"/>
        <w:keepLines w:val="0"/>
        <w:spacing w:before="0" w:after="0" w:line="360" w:lineRule="auto"/>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8.3投标人应仔细阅读招标文件的所有内容，按照招标文件的要求提交投标文件，并对所提供的全部资料的真实性承担法律责任。</w:t>
      </w:r>
    </w:p>
    <w:p w14:paraId="7F73C491">
      <w:pPr>
        <w:pStyle w:val="6"/>
        <w:keepNext w:val="0"/>
        <w:keepLines w:val="0"/>
        <w:spacing w:before="0" w:after="0" w:line="360" w:lineRule="auto"/>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8.4投标人在投标活动中提供任何虚假材料，将报监管部门查处；中标后发现的，中标人须依照《中华人民共和国消费者权益保护法》规定赔偿采购人，且民事赔偿并不免除违法投标人的行政与刑事责任。</w:t>
      </w:r>
    </w:p>
    <w:p w14:paraId="0F496E50">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9.回避与串通投标</w:t>
      </w:r>
    </w:p>
    <w:p w14:paraId="092B755A">
      <w:pPr>
        <w:pStyle w:val="6"/>
        <w:keepNext w:val="0"/>
        <w:keepLines w:val="0"/>
        <w:spacing w:before="0" w:after="0" w:line="360" w:lineRule="auto"/>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9.1在政府采购活动中，采购人员及相关人员与供应商有下列利害关系之一的，应当回避：</w:t>
      </w:r>
    </w:p>
    <w:p w14:paraId="421D2F40">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（1）参加采购活动前3年内与供应商存在劳动关系；</w:t>
      </w:r>
    </w:p>
    <w:p w14:paraId="1488D2A0">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（2）参加采购活动前3年内担任供应商的董事、监事；</w:t>
      </w:r>
    </w:p>
    <w:p w14:paraId="673B40BF">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（3）参加采购活动前3年内是供应商的控股股东或者实际控制人；</w:t>
      </w:r>
    </w:p>
    <w:p w14:paraId="38944ABD">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（4）与供应商的法定代表人或者负责人有夫妻、直系血亲、三代以内旁系血亲或者近姻亲关系；</w:t>
      </w:r>
    </w:p>
    <w:p w14:paraId="101E0736">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（5）与供应商有其他可能影响政府采购活动公平、公正进行的关系。</w:t>
      </w:r>
    </w:p>
    <w:p w14:paraId="25B9A63F">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1106D8D">
      <w:pPr>
        <w:pStyle w:val="6"/>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9.2有下列情形之一的视为投标人相互串通投标，投标文件将被视为无效：</w:t>
      </w:r>
    </w:p>
    <w:p w14:paraId="4C8C03CC">
      <w:pPr>
        <w:pStyle w:val="25"/>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 xml:space="preserve">（1）不同投标人的投标文件由同一单位或者个人编制； </w:t>
      </w:r>
    </w:p>
    <w:p w14:paraId="53A08680">
      <w:pPr>
        <w:pStyle w:val="25"/>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（2）不同投标人委托同一单位或者个人办理投标事宜；</w:t>
      </w:r>
    </w:p>
    <w:p w14:paraId="0760C45E">
      <w:pPr>
        <w:pStyle w:val="25"/>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（3）不同的投标人的投标文件载明的项目管理员为同一个人；</w:t>
      </w:r>
    </w:p>
    <w:p w14:paraId="098E2AA9">
      <w:pPr>
        <w:pStyle w:val="25"/>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（4）不同投标人的投标文件异常一致或者投标报价呈规律性差异；</w:t>
      </w:r>
    </w:p>
    <w:p w14:paraId="1D96A906">
      <w:pPr>
        <w:pStyle w:val="25"/>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（5）不同投标人的投标文件相互混装；</w:t>
      </w:r>
    </w:p>
    <w:p w14:paraId="43AEE536">
      <w:pPr>
        <w:pStyle w:val="25"/>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（6）不同投标人的投标保证金从同一单位或者个人账户转出。</w:t>
      </w:r>
    </w:p>
    <w:p w14:paraId="15130388">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9.3供应商有下列情形之一的，属于恶意串通行为，将报同级监督管理部门：</w:t>
      </w:r>
    </w:p>
    <w:p w14:paraId="6069527D">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（1）供应商直接或者间接从采购人或者采购代理机构处获得其他供应商的相关信息并修改其投标文件或者响应文件；</w:t>
      </w:r>
    </w:p>
    <w:p w14:paraId="794A1CD7">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（2）供应商按照采购人或者采购代理机构的授意撤换、修改投标文件或者响应文件；</w:t>
      </w:r>
    </w:p>
    <w:p w14:paraId="0A6E078D">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（3）供应商之间协商报价、技术方案等投标文件或者响应文件的实质性内容；</w:t>
      </w:r>
    </w:p>
    <w:p w14:paraId="7DD38002">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（4）属于同一集团、协会、商会等组织成员的供应商按照该组织要求协同参加政府采购活动；</w:t>
      </w:r>
    </w:p>
    <w:p w14:paraId="17A9773E">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（5）供应商之间事先约定一致抬高或者压低投标报价，或者在招标项目中事先约定轮流以高价位或者低价位中标，或者事先约定由某一特定供应商中标，然后再参加投标；</w:t>
      </w:r>
    </w:p>
    <w:p w14:paraId="0373A0E1">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（6）供应商之间商定部分供应商放弃参加政府采购活动或者放弃中标；</w:t>
      </w:r>
    </w:p>
    <w:p w14:paraId="5D06DA55">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（7）供应商与采购人或者采购代理机构之间、供应商相互之间，为谋求特定供应商中标或者排斥其他供应商的其他串通行为。</w:t>
      </w:r>
    </w:p>
    <w:p w14:paraId="78179E89">
      <w:pPr>
        <w:pStyle w:val="25"/>
        <w:snapToGrid w:val="0"/>
        <w:spacing w:line="360" w:lineRule="auto"/>
        <w:ind w:left="2" w:leftChars="1" w:firstLine="422" w:firstLineChars="200"/>
        <w:rPr>
          <w:rFonts w:hAnsi="宋体" w:cs="宋体"/>
          <w:b/>
          <w:color w:val="auto"/>
          <w:kern w:val="2"/>
          <w:sz w:val="21"/>
          <w:highlight w:val="none"/>
        </w:rPr>
      </w:pPr>
    </w:p>
    <w:p w14:paraId="77C58EAE">
      <w:pPr>
        <w:pStyle w:val="5"/>
        <w:keepNext w:val="0"/>
        <w:keepLines w:val="0"/>
        <w:jc w:val="center"/>
        <w:rPr>
          <w:rFonts w:ascii="宋体" w:hAnsi="宋体" w:cs="宋体"/>
          <w:color w:val="auto"/>
          <w:highlight w:val="none"/>
        </w:rPr>
      </w:pPr>
      <w:bookmarkStart w:id="92" w:name="_Toc254970675"/>
      <w:bookmarkStart w:id="93" w:name="_Toc254970534"/>
      <w:r>
        <w:rPr>
          <w:rFonts w:hint="eastAsia" w:ascii="宋体" w:hAnsi="宋体" w:cs="宋体"/>
          <w:color w:val="auto"/>
          <w:highlight w:val="none"/>
        </w:rPr>
        <w:t>二、招标文件</w:t>
      </w:r>
      <w:bookmarkEnd w:id="92"/>
      <w:bookmarkEnd w:id="93"/>
    </w:p>
    <w:p w14:paraId="064706F4">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10.招标文件的组成</w:t>
      </w:r>
    </w:p>
    <w:p w14:paraId="760B7AB9">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（1）招标公告；</w:t>
      </w:r>
    </w:p>
    <w:p w14:paraId="5D98EB30">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 xml:space="preserve">（2）采购需求； </w:t>
      </w:r>
    </w:p>
    <w:p w14:paraId="4824AADD">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（3）投标人须知；</w:t>
      </w:r>
    </w:p>
    <w:p w14:paraId="7C394DE8">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（4）评标方法及评标标准；</w:t>
      </w:r>
    </w:p>
    <w:p w14:paraId="6BE50613">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（5）拟签订的合同文本；</w:t>
      </w:r>
    </w:p>
    <w:p w14:paraId="5134F2DE">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（6）投标文件格式。</w:t>
      </w:r>
    </w:p>
    <w:p w14:paraId="1B0C74EB">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11.招标文件的澄清、修改 、现场考察和答疑会</w:t>
      </w:r>
    </w:p>
    <w:p w14:paraId="1127A6C6">
      <w:pPr>
        <w:pStyle w:val="6"/>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002CBA0C">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3F9F0CF8">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11.2</w:t>
      </w:r>
      <w:bookmarkStart w:id="94" w:name="_Hlk53134511"/>
      <w:r>
        <w:rPr>
          <w:rFonts w:hint="eastAsia" w:hAnsi="宋体" w:cs="宋体"/>
          <w:color w:val="auto"/>
          <w:sz w:val="21"/>
          <w:highlight w:val="none"/>
        </w:rPr>
        <w:t>采购人或者采购代理机构可以在招标文件提供期限截止后，组织已获取招标文件的潜在投标人现场考察或者召开开标前答疑会，具体详见“投标人须知前附表”。</w:t>
      </w:r>
    </w:p>
    <w:bookmarkEnd w:id="94"/>
    <w:p w14:paraId="362B057A">
      <w:pPr>
        <w:pStyle w:val="5"/>
        <w:keepNext w:val="0"/>
        <w:keepLines w:val="0"/>
        <w:jc w:val="center"/>
        <w:rPr>
          <w:rFonts w:ascii="宋体" w:hAnsi="宋体" w:cs="宋体"/>
          <w:color w:val="auto"/>
          <w:highlight w:val="none"/>
        </w:rPr>
      </w:pPr>
      <w:bookmarkStart w:id="95" w:name="_Toc254970676"/>
      <w:bookmarkStart w:id="96" w:name="_Toc254970535"/>
      <w:r>
        <w:rPr>
          <w:rFonts w:hint="eastAsia" w:ascii="宋体" w:hAnsi="宋体" w:cs="宋体"/>
          <w:color w:val="auto"/>
          <w:highlight w:val="none"/>
        </w:rPr>
        <w:t>三、投标文件的编制</w:t>
      </w:r>
      <w:bookmarkEnd w:id="95"/>
      <w:bookmarkEnd w:id="96"/>
    </w:p>
    <w:p w14:paraId="551575A4">
      <w:pPr>
        <w:pStyle w:val="6"/>
        <w:keepNext w:val="0"/>
        <w:keepLines w:val="0"/>
        <w:spacing w:before="0" w:after="0" w:line="360" w:lineRule="auto"/>
        <w:ind w:left="420" w:leftChars="200"/>
        <w:rPr>
          <w:rFonts w:ascii="宋体" w:hAnsi="宋体" w:cs="宋体"/>
          <w:color w:val="auto"/>
          <w:sz w:val="24"/>
          <w:highlight w:val="none"/>
        </w:rPr>
      </w:pPr>
      <w:bookmarkStart w:id="97" w:name="_Toc254970536"/>
      <w:bookmarkStart w:id="98" w:name="_Toc254970677"/>
      <w:r>
        <w:rPr>
          <w:rFonts w:hint="eastAsia" w:ascii="宋体" w:hAnsi="宋体" w:cs="宋体"/>
          <w:color w:val="auto"/>
          <w:sz w:val="24"/>
          <w:highlight w:val="none"/>
        </w:rPr>
        <w:t>12.投标文件的编制原则</w:t>
      </w:r>
    </w:p>
    <w:p w14:paraId="781C363C">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投标人必须按照招标文件的要求编制投标文件。投标文件必须对招标文件提出的要求和条件作出明确响应。</w:t>
      </w:r>
    </w:p>
    <w:p w14:paraId="792F2141">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13.投标文件的组成</w:t>
      </w:r>
      <w:bookmarkEnd w:id="97"/>
      <w:bookmarkEnd w:id="98"/>
    </w:p>
    <w:p w14:paraId="2F144DA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投标文件由报价文件、资格证明文件、商务文件、技术文件四部分组成。</w:t>
      </w:r>
    </w:p>
    <w:p w14:paraId="166D0C78">
      <w:pPr>
        <w:pStyle w:val="6"/>
        <w:keepNext w:val="0"/>
        <w:keepLines w:val="0"/>
        <w:spacing w:before="0" w:after="0" w:line="360" w:lineRule="auto"/>
        <w:ind w:left="420" w:leftChars="200"/>
        <w:rPr>
          <w:rFonts w:ascii="宋体" w:hAnsi="宋体" w:cs="宋体"/>
          <w:b w:val="0"/>
          <w:color w:val="auto"/>
          <w:sz w:val="21"/>
          <w:szCs w:val="21"/>
          <w:highlight w:val="none"/>
        </w:rPr>
      </w:pPr>
      <w:bookmarkStart w:id="99" w:name="_13.1报价文件:_具体材料见“投标人须知前附表”。"/>
      <w:bookmarkEnd w:id="99"/>
      <w:r>
        <w:rPr>
          <w:rFonts w:hint="eastAsia" w:ascii="宋体" w:hAnsi="宋体" w:cs="宋体"/>
          <w:b w:val="0"/>
          <w:color w:val="auto"/>
          <w:sz w:val="21"/>
          <w:szCs w:val="21"/>
          <w:highlight w:val="none"/>
        </w:rPr>
        <w:t>（1）报价文件：具体材料见“投标人须知前附表”。</w:t>
      </w:r>
    </w:p>
    <w:p w14:paraId="29E418B8">
      <w:pPr>
        <w:pStyle w:val="6"/>
        <w:keepNext w:val="0"/>
        <w:keepLines w:val="0"/>
        <w:spacing w:before="0" w:after="0" w:line="360" w:lineRule="auto"/>
        <w:ind w:left="420" w:leftChars="200"/>
        <w:rPr>
          <w:rFonts w:ascii="宋体" w:hAnsi="宋体" w:cs="宋体"/>
          <w:b w:val="0"/>
          <w:color w:val="auto"/>
          <w:sz w:val="21"/>
          <w:szCs w:val="21"/>
          <w:highlight w:val="none"/>
        </w:rPr>
      </w:pPr>
      <w:bookmarkStart w:id="100" w:name="_13.2资格证明文件：具体材料见“投标人须知前附表”。"/>
      <w:bookmarkEnd w:id="100"/>
      <w:r>
        <w:rPr>
          <w:rFonts w:hint="eastAsia" w:ascii="宋体" w:hAnsi="宋体" w:cs="宋体"/>
          <w:b w:val="0"/>
          <w:color w:val="auto"/>
          <w:sz w:val="21"/>
          <w:szCs w:val="21"/>
          <w:highlight w:val="none"/>
        </w:rPr>
        <w:t>（2）资格证明文件：具体材料见“投标人须知前附表”。</w:t>
      </w:r>
    </w:p>
    <w:p w14:paraId="5EF96E6B">
      <w:pPr>
        <w:pStyle w:val="6"/>
        <w:keepNext w:val="0"/>
        <w:keepLines w:val="0"/>
        <w:spacing w:before="0" w:after="0" w:line="360" w:lineRule="auto"/>
        <w:ind w:left="420" w:leftChars="200"/>
        <w:rPr>
          <w:rFonts w:ascii="宋体" w:hAnsi="宋体" w:cs="宋体"/>
          <w:b w:val="0"/>
          <w:color w:val="auto"/>
          <w:sz w:val="21"/>
          <w:szCs w:val="21"/>
          <w:highlight w:val="none"/>
        </w:rPr>
      </w:pPr>
      <w:bookmarkStart w:id="101" w:name="_13.3商务文件:_具体材料见“投标人须知前附表”。"/>
      <w:bookmarkEnd w:id="101"/>
      <w:r>
        <w:rPr>
          <w:rFonts w:hint="eastAsia" w:ascii="宋体" w:hAnsi="宋体" w:cs="宋体"/>
          <w:b w:val="0"/>
          <w:color w:val="auto"/>
          <w:sz w:val="21"/>
          <w:szCs w:val="21"/>
          <w:highlight w:val="none"/>
        </w:rPr>
        <w:t>（3）商务文件：具体材料见“投标人须知前附表”。</w:t>
      </w:r>
    </w:p>
    <w:p w14:paraId="014AAE20">
      <w:pPr>
        <w:pStyle w:val="6"/>
        <w:keepNext w:val="0"/>
        <w:keepLines w:val="0"/>
        <w:spacing w:before="0" w:after="0" w:line="360" w:lineRule="auto"/>
        <w:ind w:left="420" w:leftChars="200"/>
        <w:rPr>
          <w:rFonts w:ascii="宋体" w:hAnsi="宋体" w:cs="宋体"/>
          <w:b w:val="0"/>
          <w:color w:val="auto"/>
          <w:sz w:val="21"/>
          <w:szCs w:val="21"/>
          <w:highlight w:val="none"/>
        </w:rPr>
      </w:pPr>
      <w:bookmarkStart w:id="102" w:name="_13.4技术文件：具体材料见“投标人须知前附表”。"/>
      <w:bookmarkEnd w:id="102"/>
      <w:r>
        <w:rPr>
          <w:rFonts w:hint="eastAsia" w:ascii="宋体" w:hAnsi="宋体" w:cs="宋体"/>
          <w:b w:val="0"/>
          <w:color w:val="auto"/>
          <w:sz w:val="21"/>
          <w:szCs w:val="21"/>
          <w:highlight w:val="none"/>
        </w:rPr>
        <w:t>（4）技术文件：具体材料见“投标人须知前附表”。</w:t>
      </w:r>
    </w:p>
    <w:p w14:paraId="32C69277">
      <w:pPr>
        <w:pStyle w:val="6"/>
        <w:keepNext w:val="0"/>
        <w:keepLines w:val="0"/>
        <w:spacing w:before="0" w:after="0" w:line="360" w:lineRule="auto"/>
        <w:ind w:left="420" w:leftChars="200"/>
        <w:rPr>
          <w:rFonts w:ascii="宋体" w:hAnsi="宋体" w:cs="宋体"/>
          <w:color w:val="auto"/>
          <w:sz w:val="24"/>
          <w:highlight w:val="none"/>
        </w:rPr>
      </w:pPr>
      <w:bookmarkStart w:id="103" w:name="_13.5投标文件电子版：具体材料见“投标人须知前附表”。"/>
      <w:bookmarkEnd w:id="103"/>
      <w:bookmarkStart w:id="104" w:name="_Toc254970678"/>
      <w:bookmarkStart w:id="105" w:name="_Toc254970537"/>
      <w:r>
        <w:rPr>
          <w:rFonts w:hint="eastAsia" w:ascii="宋体" w:hAnsi="宋体" w:cs="宋体"/>
          <w:color w:val="auto"/>
          <w:sz w:val="24"/>
          <w:highlight w:val="none"/>
        </w:rPr>
        <w:t>14.投标文件的语言及计量</w:t>
      </w:r>
      <w:bookmarkEnd w:id="104"/>
      <w:bookmarkEnd w:id="105"/>
    </w:p>
    <w:p w14:paraId="492AC0F5">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14.1语言文字</w:t>
      </w:r>
    </w:p>
    <w:p w14:paraId="4A2BEAE1">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0945F690">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14.2投标计量单位</w:t>
      </w:r>
    </w:p>
    <w:p w14:paraId="38AE2C2B">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招标文件已有明确规定的，使用招标文件规定的计量单位；招标文件没有规定的，应采用中华人民共和国法定计量单位，货币种类为人民币，</w:t>
      </w:r>
      <w:r>
        <w:rPr>
          <w:rFonts w:hint="eastAsia" w:ascii="宋体" w:hAnsi="宋体" w:cs="宋体"/>
          <w:color w:val="auto"/>
          <w:sz w:val="21"/>
          <w:szCs w:val="21"/>
          <w:highlight w:val="none"/>
        </w:rPr>
        <w:t>否则视同未响应。</w:t>
      </w:r>
    </w:p>
    <w:p w14:paraId="374F4A68">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15.投标的风险</w:t>
      </w:r>
    </w:p>
    <w:p w14:paraId="5E4B5CD6">
      <w:pPr>
        <w:pStyle w:val="25"/>
        <w:snapToGrid w:val="0"/>
        <w:spacing w:line="360" w:lineRule="auto"/>
        <w:ind w:firstLine="420" w:firstLineChars="200"/>
        <w:jc w:val="left"/>
        <w:rPr>
          <w:rFonts w:hAnsi="宋体" w:cs="宋体"/>
          <w:color w:val="auto"/>
          <w:sz w:val="21"/>
          <w:highlight w:val="none"/>
        </w:rPr>
      </w:pPr>
      <w:r>
        <w:rPr>
          <w:rFonts w:hint="eastAsia" w:hAnsi="宋体" w:cs="宋体"/>
          <w:color w:val="auto"/>
          <w:sz w:val="21"/>
          <w:highlight w:val="none"/>
        </w:rPr>
        <w:t>投标人没有按照招标文件要求提供全部资料，或者投标人没有对招标文件作出实质性响应是投标人的风险，并可能导致其投标被拒绝。</w:t>
      </w:r>
    </w:p>
    <w:p w14:paraId="05BC957A">
      <w:pPr>
        <w:pStyle w:val="6"/>
        <w:keepNext w:val="0"/>
        <w:keepLines w:val="0"/>
        <w:spacing w:before="0" w:after="0" w:line="360" w:lineRule="auto"/>
        <w:ind w:left="420" w:leftChars="200"/>
        <w:rPr>
          <w:rFonts w:ascii="宋体" w:hAnsi="宋体" w:cs="宋体"/>
          <w:color w:val="auto"/>
          <w:sz w:val="24"/>
          <w:highlight w:val="none"/>
        </w:rPr>
      </w:pPr>
      <w:bookmarkStart w:id="106" w:name="_Toc254970679"/>
      <w:bookmarkStart w:id="107" w:name="_Toc254970538"/>
      <w:r>
        <w:rPr>
          <w:rFonts w:hint="eastAsia" w:ascii="宋体" w:hAnsi="宋体" w:cs="宋体"/>
          <w:color w:val="auto"/>
          <w:sz w:val="24"/>
          <w:highlight w:val="none"/>
        </w:rPr>
        <w:t>16.投标报价</w:t>
      </w:r>
      <w:bookmarkEnd w:id="106"/>
      <w:bookmarkEnd w:id="107"/>
    </w:p>
    <w:p w14:paraId="31D37E4B">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16.1投标报价应按“第六章　投标文件格式”中“开标一览表”格式填写。</w:t>
      </w:r>
    </w:p>
    <w:p w14:paraId="375D032C">
      <w:pPr>
        <w:pStyle w:val="6"/>
        <w:keepNext w:val="0"/>
        <w:keepLines w:val="0"/>
        <w:spacing w:before="0" w:after="0" w:line="360" w:lineRule="auto"/>
        <w:ind w:left="420" w:leftChars="200"/>
        <w:rPr>
          <w:rFonts w:ascii="宋体" w:hAnsi="宋体" w:cs="宋体"/>
          <w:b w:val="0"/>
          <w:color w:val="auto"/>
          <w:sz w:val="21"/>
          <w:szCs w:val="21"/>
          <w:highlight w:val="none"/>
        </w:rPr>
      </w:pPr>
      <w:bookmarkStart w:id="108" w:name="_16.2投标报价具体定义见投标人须知前附表。"/>
      <w:bookmarkEnd w:id="108"/>
      <w:r>
        <w:rPr>
          <w:rFonts w:hint="eastAsia" w:ascii="宋体" w:hAnsi="宋体" w:cs="宋体"/>
          <w:b w:val="0"/>
          <w:color w:val="auto"/>
          <w:sz w:val="21"/>
          <w:szCs w:val="21"/>
          <w:highlight w:val="none"/>
        </w:rPr>
        <w:t>16.2投标报价具体包括内容详见“投标人须知前附表”。</w:t>
      </w:r>
    </w:p>
    <w:p w14:paraId="458C00D7">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16.3投标人必须就所投全部内容分别作完整唯一总价报价，不得存在漏项报价；投标人必须就所投的单项内容作唯一报价。</w:t>
      </w:r>
    </w:p>
    <w:p w14:paraId="6A0A3AEF">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17.投标有效期</w:t>
      </w:r>
    </w:p>
    <w:p w14:paraId="7B9711F7">
      <w:pPr>
        <w:pStyle w:val="6"/>
        <w:keepNext w:val="0"/>
        <w:keepLines w:val="0"/>
        <w:spacing w:before="0" w:after="0" w:line="360" w:lineRule="auto"/>
        <w:ind w:firstLine="420" w:firstLineChars="200"/>
        <w:rPr>
          <w:rFonts w:ascii="宋体" w:hAnsi="宋体" w:cs="宋体"/>
          <w:b w:val="0"/>
          <w:color w:val="auto"/>
          <w:sz w:val="21"/>
          <w:szCs w:val="21"/>
          <w:highlight w:val="none"/>
        </w:rPr>
      </w:pPr>
      <w:bookmarkStart w:id="109" w:name="_17.1投标有效期应按“投标人须知中的前附表”规定的期限。"/>
      <w:bookmarkEnd w:id="109"/>
      <w:r>
        <w:rPr>
          <w:rFonts w:hint="eastAsia" w:ascii="宋体" w:hAnsi="宋体" w:cs="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14:paraId="5D6568DF">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17.2</w:t>
      </w:r>
      <w:bookmarkStart w:id="110" w:name="_Toc254970540"/>
      <w:bookmarkStart w:id="111" w:name="_Toc254970681"/>
      <w:r>
        <w:rPr>
          <w:rFonts w:hint="eastAsia" w:ascii="宋体" w:hAnsi="宋体" w:cs="宋体"/>
          <w:b w:val="0"/>
          <w:color w:val="auto"/>
          <w:sz w:val="21"/>
          <w:szCs w:val="21"/>
          <w:highlight w:val="none"/>
        </w:rPr>
        <w:t xml:space="preserve"> 投标有效期应按招标文件规定的期限作出承诺，具体详见“投标人须知前附表”。</w:t>
      </w:r>
      <w:r>
        <w:rPr>
          <w:rFonts w:hint="eastAsia" w:ascii="宋体" w:hAnsi="宋体" w:cs="宋体"/>
          <w:color w:val="auto"/>
          <w:sz w:val="21"/>
          <w:szCs w:val="21"/>
          <w:highlight w:val="none"/>
        </w:rPr>
        <w:t>承诺的投标有效期低于招标文件规定期限的，按无效投标处理</w:t>
      </w:r>
      <w:r>
        <w:rPr>
          <w:rFonts w:hint="eastAsia" w:ascii="宋体" w:hAnsi="宋体" w:cs="宋体"/>
          <w:b w:val="0"/>
          <w:color w:val="auto"/>
          <w:sz w:val="21"/>
          <w:szCs w:val="21"/>
          <w:highlight w:val="none"/>
        </w:rPr>
        <w:t>。</w:t>
      </w:r>
    </w:p>
    <w:p w14:paraId="5E34B2A0">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17.3投标人的投标文件在投标有效期内均保持有效。</w:t>
      </w:r>
      <w:bookmarkEnd w:id="110"/>
      <w:bookmarkEnd w:id="111"/>
    </w:p>
    <w:p w14:paraId="7FB60932">
      <w:pPr>
        <w:pStyle w:val="6"/>
        <w:keepNext w:val="0"/>
        <w:keepLines w:val="0"/>
        <w:spacing w:before="0" w:after="0" w:line="360" w:lineRule="auto"/>
        <w:ind w:left="420" w:leftChars="200"/>
        <w:rPr>
          <w:rFonts w:ascii="宋体" w:hAnsi="宋体" w:cs="宋体"/>
          <w:color w:val="auto"/>
          <w:sz w:val="24"/>
          <w:highlight w:val="none"/>
        </w:rPr>
      </w:pPr>
      <w:bookmarkStart w:id="112" w:name="_18.投标保证金"/>
      <w:bookmarkEnd w:id="112"/>
      <w:bookmarkStart w:id="113" w:name="_Toc254970541"/>
      <w:bookmarkStart w:id="114" w:name="_Toc254970682"/>
      <w:r>
        <w:rPr>
          <w:rFonts w:hint="eastAsia" w:ascii="宋体" w:hAnsi="宋体" w:cs="宋体"/>
          <w:color w:val="auto"/>
          <w:sz w:val="24"/>
          <w:highlight w:val="none"/>
        </w:rPr>
        <w:t>18.投标保证金</w:t>
      </w:r>
      <w:bookmarkEnd w:id="113"/>
      <w:bookmarkEnd w:id="114"/>
    </w:p>
    <w:p w14:paraId="09D3BD87">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18.1投标人须按“投标人须知前附表” 的规定提交投标保证金。</w:t>
      </w:r>
    </w:p>
    <w:p w14:paraId="7B3DDF08">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18.2投标保证金的退还</w:t>
      </w:r>
    </w:p>
    <w:p w14:paraId="66997EBA">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未中标人的投标保证金自中标通知书发出之日起4个工作日内退还；中标人的投标保证金自政府采购合同签订之日起4个工作日内退还。 </w:t>
      </w:r>
    </w:p>
    <w:p w14:paraId="02A259A7">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18.3除逾期退还投标保证金和终止招标的情形以外，投标保证金不计息。</w:t>
      </w:r>
    </w:p>
    <w:p w14:paraId="2F525289">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18.4投标人有下列情形之一的，投标保证金将不予退还： </w:t>
      </w:r>
    </w:p>
    <w:p w14:paraId="352BC723">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（1）投标人在投标有效期内撤销投标文件的；</w:t>
      </w:r>
    </w:p>
    <w:p w14:paraId="7AA0DF80">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（2）未按规定提交履约保证金的；</w:t>
      </w:r>
    </w:p>
    <w:p w14:paraId="34505B2A">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（3）投标人在投标过程中弄虚作假，提供虚假材料的；</w:t>
      </w:r>
    </w:p>
    <w:p w14:paraId="5F298714">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（4）中标人无正当理由不与采购人签订合同的；</w:t>
      </w:r>
    </w:p>
    <w:p w14:paraId="6F5BE51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（5）投标人出现本章第9.2、9.3情形的；</w:t>
      </w:r>
    </w:p>
    <w:p w14:paraId="2D7DD24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（6）法律法规规定的其他情形。</w:t>
      </w:r>
    </w:p>
    <w:p w14:paraId="045ED7BF">
      <w:pPr>
        <w:pStyle w:val="6"/>
        <w:keepNext w:val="0"/>
        <w:keepLines w:val="0"/>
        <w:spacing w:before="0" w:after="0" w:line="360" w:lineRule="auto"/>
        <w:ind w:left="420" w:leftChars="200"/>
        <w:rPr>
          <w:rFonts w:ascii="宋体" w:hAnsi="宋体" w:cs="宋体"/>
          <w:color w:val="auto"/>
          <w:sz w:val="24"/>
          <w:highlight w:val="none"/>
        </w:rPr>
      </w:pPr>
      <w:bookmarkStart w:id="115" w:name="_Toc254970683"/>
      <w:bookmarkStart w:id="116" w:name="_Toc254970542"/>
      <w:r>
        <w:rPr>
          <w:rFonts w:hint="eastAsia" w:ascii="宋体" w:hAnsi="宋体" w:cs="宋体"/>
          <w:color w:val="auto"/>
          <w:sz w:val="24"/>
          <w:highlight w:val="none"/>
        </w:rPr>
        <w:t>19.投标文件的</w:t>
      </w:r>
      <w:bookmarkEnd w:id="115"/>
      <w:bookmarkEnd w:id="116"/>
      <w:r>
        <w:rPr>
          <w:rFonts w:hint="eastAsia" w:ascii="宋体" w:hAnsi="宋体" w:cs="宋体"/>
          <w:color w:val="auto"/>
          <w:sz w:val="24"/>
          <w:highlight w:val="none"/>
        </w:rPr>
        <w:t>编制</w:t>
      </w:r>
    </w:p>
    <w:p w14:paraId="26D6701C">
      <w:pPr>
        <w:pStyle w:val="6"/>
        <w:keepNext w:val="0"/>
        <w:keepLines w:val="0"/>
        <w:numPr>
          <w:ilvl w:val="4"/>
          <w:numId w:val="5"/>
        </w:numPr>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19.1投标人应按照本项目招标文件规定的格式和顺序和广西政府采购云平台的要求编制并加密。投标文件内容不完整、编排混乱导致投标文件被误读、漏读或者查找不到相关内容的，由此引发的后果由投标人承担。</w:t>
      </w:r>
    </w:p>
    <w:p w14:paraId="33388852">
      <w:pPr>
        <w:pStyle w:val="6"/>
        <w:keepNext w:val="0"/>
        <w:keepLines w:val="0"/>
        <w:numPr>
          <w:ilvl w:val="4"/>
          <w:numId w:val="5"/>
        </w:numPr>
        <w:spacing w:before="0" w:after="0" w:line="360" w:lineRule="auto"/>
        <w:ind w:firstLine="315" w:firstLineChars="150"/>
        <w:rPr>
          <w:rFonts w:ascii="宋体" w:hAnsi="宋体" w:cs="宋体"/>
          <w:b w:val="0"/>
          <w:color w:val="auto"/>
          <w:sz w:val="21"/>
          <w:szCs w:val="21"/>
          <w:highlight w:val="none"/>
        </w:rPr>
      </w:pPr>
      <w:bookmarkStart w:id="117" w:name="_19.2投标文件应按报价文件、资格证明文件、商务文件、技术文件分别编制"/>
      <w:bookmarkEnd w:id="117"/>
      <w:r>
        <w:rPr>
          <w:rFonts w:hint="eastAsia" w:ascii="宋体" w:hAnsi="宋体" w:cs="宋体"/>
          <w:b w:val="0"/>
          <w:color w:val="auto"/>
          <w:sz w:val="21"/>
          <w:szCs w:val="21"/>
          <w:highlight w:val="none"/>
        </w:rPr>
        <w:t xml:space="preserve"> 19.2为确保网上操作合法、有效和安全，投标人应当在投标截止时间前完成在广西政府采购云平台的身份认证，确保在电子投标过程中能够对相关数据电文进行加密和使用电子签章。</w:t>
      </w:r>
    </w:p>
    <w:p w14:paraId="27F5C56B">
      <w:pPr>
        <w:pStyle w:val="6"/>
        <w:keepNext w:val="0"/>
        <w:keepLines w:val="0"/>
        <w:numPr>
          <w:ilvl w:val="4"/>
          <w:numId w:val="5"/>
        </w:numPr>
        <w:spacing w:before="0" w:after="0" w:line="360" w:lineRule="auto"/>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19.3投标文件须由投标人在规定位置签字（或者电子签名）、盖章（具体以投标人须知前附表或投标文件格式规定为准），</w:t>
      </w:r>
      <w:r>
        <w:rPr>
          <w:rFonts w:hint="eastAsia" w:ascii="宋体" w:hAnsi="宋体" w:cs="宋体"/>
          <w:bCs/>
          <w:color w:val="auto"/>
          <w:sz w:val="21"/>
          <w:szCs w:val="21"/>
          <w:highlight w:val="none"/>
        </w:rPr>
        <w:t>否则按无效投标处理</w:t>
      </w:r>
      <w:r>
        <w:rPr>
          <w:rFonts w:hint="eastAsia" w:ascii="宋体" w:hAnsi="宋体" w:cs="宋体"/>
          <w:b w:val="0"/>
          <w:color w:val="auto"/>
          <w:sz w:val="21"/>
          <w:szCs w:val="21"/>
          <w:highlight w:val="none"/>
        </w:rPr>
        <w:t>。</w:t>
      </w:r>
    </w:p>
    <w:p w14:paraId="649FF165">
      <w:pPr>
        <w:pStyle w:val="6"/>
        <w:keepNext w:val="0"/>
        <w:keepLines w:val="0"/>
        <w:numPr>
          <w:ilvl w:val="4"/>
          <w:numId w:val="5"/>
        </w:numPr>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Pr>
          <w:rFonts w:hint="eastAsia" w:ascii="宋体" w:hAnsi="宋体" w:cs="宋体"/>
          <w:color w:val="auto"/>
          <w:sz w:val="21"/>
          <w:szCs w:val="21"/>
          <w:highlight w:val="none"/>
        </w:rPr>
        <w:t>否则按无效投标处理</w:t>
      </w:r>
      <w:r>
        <w:rPr>
          <w:rFonts w:hint="eastAsia" w:ascii="宋体" w:hAnsi="宋体" w:cs="宋体"/>
          <w:b w:val="0"/>
          <w:color w:val="auto"/>
          <w:sz w:val="21"/>
          <w:szCs w:val="21"/>
          <w:highlight w:val="none"/>
        </w:rPr>
        <w:t>。</w:t>
      </w:r>
    </w:p>
    <w:p w14:paraId="2A2D253F">
      <w:pPr>
        <w:pStyle w:val="6"/>
        <w:keepNext w:val="0"/>
        <w:keepLines w:val="0"/>
        <w:numPr>
          <w:ilvl w:val="4"/>
          <w:numId w:val="5"/>
        </w:numPr>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6FC340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20.电子备份投标文件</w:t>
      </w:r>
    </w:p>
    <w:p w14:paraId="4C4FCC46">
      <w:pPr>
        <w:spacing w:line="360" w:lineRule="auto"/>
        <w:ind w:firstLine="420" w:firstLineChars="200"/>
        <w:rPr>
          <w:rFonts w:ascii="宋体" w:hAnsi="宋体" w:cs="宋体"/>
          <w:color w:val="auto"/>
          <w:sz w:val="24"/>
          <w:highlight w:val="none"/>
        </w:rPr>
      </w:pPr>
      <w:r>
        <w:rPr>
          <w:rFonts w:hint="eastAsia" w:ascii="宋体" w:hAnsi="宋体" w:cs="宋体"/>
          <w:color w:val="auto"/>
          <w:highlight w:val="none"/>
        </w:rPr>
        <w:t>电子备份投标文件是指通过在线编制生成且后缀名为“bfbs”的文件，是否接受电子备份投标文件</w:t>
      </w:r>
      <w:r>
        <w:rPr>
          <w:rFonts w:hint="eastAsia" w:ascii="宋体" w:hAnsi="宋体" w:cs="宋体"/>
          <w:bCs/>
          <w:color w:val="auto"/>
          <w:szCs w:val="21"/>
          <w:highlight w:val="none"/>
        </w:rPr>
        <w:t>详见“投标人须知前附表”。</w:t>
      </w:r>
    </w:p>
    <w:p w14:paraId="51A990B6">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21.投标文件的提交</w:t>
      </w:r>
    </w:p>
    <w:p w14:paraId="160ECE85">
      <w:pPr>
        <w:spacing w:line="360" w:lineRule="auto"/>
        <w:ind w:firstLine="420" w:firstLineChars="200"/>
        <w:rPr>
          <w:rFonts w:ascii="宋体" w:hAnsi="宋体" w:cs="宋体"/>
          <w:b/>
          <w:color w:val="auto"/>
          <w:highlight w:val="none"/>
        </w:rPr>
      </w:pPr>
      <w:r>
        <w:rPr>
          <w:rFonts w:hint="eastAsia" w:ascii="宋体" w:hAnsi="宋体" w:cs="宋体"/>
          <w:bCs/>
          <w:color w:val="auto"/>
          <w:szCs w:val="21"/>
          <w:highlight w:val="none"/>
        </w:rPr>
        <w:t>21.1投标人必须在“投标人须知前附表”规定的</w:t>
      </w:r>
      <w:r>
        <w:rPr>
          <w:rFonts w:hint="eastAsia" w:ascii="宋体" w:hAnsi="宋体" w:cs="宋体"/>
          <w:color w:val="auto"/>
          <w:szCs w:val="21"/>
          <w:highlight w:val="none"/>
        </w:rPr>
        <w:t>投标文件提交截止时间前将</w:t>
      </w:r>
      <w:r>
        <w:rPr>
          <w:rFonts w:hint="eastAsia" w:ascii="宋体" w:hAnsi="宋体" w:cs="宋体"/>
          <w:bCs/>
          <w:color w:val="auto"/>
          <w:szCs w:val="21"/>
          <w:highlight w:val="none"/>
        </w:rPr>
        <w:t>电子投标文件提交至投标地点。电子投标文件应在制作完成后，在投标截止时间前通过有效数字证书（CA认证锁）进行电子签章、加密，然后通过网络将加密的电子投标文件递交至</w:t>
      </w:r>
      <w:r>
        <w:rPr>
          <w:rFonts w:hint="eastAsia" w:ascii="宋体" w:hAnsi="宋体" w:cs="宋体"/>
          <w:color w:val="auto"/>
          <w:szCs w:val="21"/>
          <w:highlight w:val="none"/>
        </w:rPr>
        <w:t>“广西政府采购云平台”</w:t>
      </w:r>
      <w:r>
        <w:rPr>
          <w:rFonts w:hint="eastAsia" w:ascii="宋体" w:hAnsi="宋体" w:cs="宋体"/>
          <w:bCs/>
          <w:color w:val="auto"/>
          <w:szCs w:val="21"/>
          <w:highlight w:val="none"/>
        </w:rPr>
        <w:t>。</w:t>
      </w:r>
    </w:p>
    <w:p w14:paraId="52DDAD9E">
      <w:pPr>
        <w:spacing w:line="360" w:lineRule="auto"/>
        <w:ind w:firstLine="422" w:firstLineChars="200"/>
        <w:rPr>
          <w:rFonts w:ascii="宋体" w:hAnsi="宋体" w:cs="宋体"/>
          <w:b/>
          <w:color w:val="auto"/>
          <w:szCs w:val="20"/>
          <w:highlight w:val="none"/>
        </w:rPr>
      </w:pPr>
      <w:r>
        <w:rPr>
          <w:rFonts w:hint="eastAsia" w:ascii="宋体" w:hAnsi="宋体" w:cs="宋体"/>
          <w:b/>
          <w:color w:val="auto"/>
          <w:szCs w:val="21"/>
          <w:highlight w:val="none"/>
        </w:rPr>
        <w:t>21.2未在规定时间内提交或者未按照招标文件要求加密的电子投标文件，“广西政府采购云平台”将拒收。</w:t>
      </w:r>
    </w:p>
    <w:p w14:paraId="540BBF41">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22. 投标文件的补充、修改、撤回与退回</w:t>
      </w:r>
    </w:p>
    <w:p w14:paraId="0E9BF7B8">
      <w:pPr>
        <w:snapToGrid w:val="0"/>
        <w:spacing w:line="360" w:lineRule="auto"/>
        <w:ind w:firstLine="420"/>
        <w:jc w:val="left"/>
        <w:rPr>
          <w:rFonts w:ascii="宋体" w:hAnsi="宋体" w:cs="宋体"/>
          <w:color w:val="auto"/>
          <w:szCs w:val="21"/>
          <w:highlight w:val="none"/>
        </w:rPr>
      </w:pPr>
      <w:bookmarkStart w:id="118" w:name="_Toc254970543"/>
      <w:bookmarkStart w:id="119" w:name="_Toc254970684"/>
      <w:r>
        <w:rPr>
          <w:rFonts w:hint="eastAsia" w:ascii="宋体" w:hAnsi="宋体" w:cs="宋体"/>
          <w:color w:val="auto"/>
          <w:szCs w:val="21"/>
          <w:highlight w:val="none"/>
        </w:rPr>
        <w:t>22.1</w:t>
      </w:r>
      <w:r>
        <w:rPr>
          <w:rFonts w:hint="eastAsia" w:ascii="宋体" w:hAnsi="宋体" w:cs="宋体"/>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ascii="宋体" w:hAnsi="宋体" w:cs="宋体"/>
          <w:color w:val="auto"/>
          <w:szCs w:val="21"/>
          <w:highlight w:val="none"/>
        </w:rPr>
        <w:t>“广西政府采购云平台”</w:t>
      </w:r>
      <w:r>
        <w:rPr>
          <w:rFonts w:hint="eastAsia" w:ascii="宋体" w:hAnsi="宋体" w:cs="宋体"/>
          <w:bCs/>
          <w:color w:val="auto"/>
          <w:szCs w:val="21"/>
          <w:highlight w:val="none"/>
        </w:rPr>
        <w:t>将予以拒收。</w:t>
      </w:r>
      <w:r>
        <w:rPr>
          <w:rFonts w:hint="eastAsia" w:ascii="宋体" w:hAnsi="宋体" w:cs="宋体"/>
          <w:color w:val="auto"/>
          <w:szCs w:val="21"/>
          <w:highlight w:val="none"/>
        </w:rPr>
        <w:t>（补充、修改或者撤回方式可登录“广西政府采购云平台”</w:t>
      </w:r>
      <w:r>
        <w:rPr>
          <w:rFonts w:hint="eastAsia" w:ascii="宋体" w:hAnsi="宋体" w:cs="宋体"/>
          <w:color w:val="auto"/>
          <w:kern w:val="0"/>
          <w:szCs w:val="21"/>
          <w:highlight w:val="none"/>
        </w:rPr>
        <w:t>，</w:t>
      </w:r>
      <w:r>
        <w:rPr>
          <w:rFonts w:hint="eastAsia" w:ascii="宋体" w:hAnsi="宋体" w:cs="宋体"/>
          <w:color w:val="auto"/>
          <w:szCs w:val="21"/>
          <w:highlight w:val="none"/>
        </w:rPr>
        <w:t>进入“服务中心”中查看 “电子投标文件制作与投送教程”）</w:t>
      </w:r>
    </w:p>
    <w:p w14:paraId="74CCCB19">
      <w:pPr>
        <w:pStyle w:val="112"/>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22.2“广西政府采购云平台”收到投标文件后向供应商发出确认回执通知。在投标截止时间前，除供应商补充、修改或者撤回投标文件外，任何单位和个人不得解密或提取投标文件。</w:t>
      </w:r>
    </w:p>
    <w:p w14:paraId="677E1940">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22.3在投标截止时间后，采购人和采购代理机构对已提交的投标文件概不退回。</w:t>
      </w:r>
    </w:p>
    <w:bookmarkEnd w:id="118"/>
    <w:bookmarkEnd w:id="119"/>
    <w:p w14:paraId="09F49837">
      <w:pPr>
        <w:spacing w:line="360" w:lineRule="auto"/>
        <w:ind w:firstLine="420" w:firstLineChars="200"/>
        <w:rPr>
          <w:rFonts w:ascii="宋体" w:hAnsi="宋体" w:cs="宋体"/>
          <w:color w:val="auto"/>
          <w:szCs w:val="21"/>
          <w:highlight w:val="none"/>
        </w:rPr>
      </w:pPr>
    </w:p>
    <w:p w14:paraId="1F87E773">
      <w:pPr>
        <w:pStyle w:val="5"/>
        <w:keepNext w:val="0"/>
        <w:keepLines w:val="0"/>
        <w:jc w:val="center"/>
        <w:rPr>
          <w:rFonts w:ascii="宋体" w:hAnsi="宋体" w:cs="宋体"/>
          <w:color w:val="auto"/>
          <w:highlight w:val="none"/>
        </w:rPr>
      </w:pPr>
      <w:bookmarkStart w:id="120" w:name="_Toc254970544"/>
      <w:bookmarkStart w:id="121" w:name="_Toc254970685"/>
      <w:r>
        <w:rPr>
          <w:rFonts w:hint="eastAsia" w:ascii="宋体" w:hAnsi="宋体" w:cs="宋体"/>
          <w:color w:val="auto"/>
          <w:highlight w:val="none"/>
        </w:rPr>
        <w:t>四、开标</w:t>
      </w:r>
      <w:bookmarkEnd w:id="120"/>
      <w:bookmarkEnd w:id="121"/>
    </w:p>
    <w:p w14:paraId="0F03FFB9">
      <w:pPr>
        <w:pStyle w:val="6"/>
        <w:keepNext w:val="0"/>
        <w:keepLines w:val="0"/>
        <w:spacing w:before="0" w:after="0" w:line="360" w:lineRule="auto"/>
        <w:ind w:left="420" w:leftChars="200"/>
        <w:rPr>
          <w:rFonts w:ascii="宋体" w:hAnsi="宋体" w:cs="宋体"/>
          <w:color w:val="auto"/>
          <w:sz w:val="24"/>
          <w:highlight w:val="none"/>
        </w:rPr>
      </w:pPr>
      <w:bookmarkStart w:id="122" w:name="_23.开标时间和地点"/>
      <w:bookmarkEnd w:id="122"/>
      <w:r>
        <w:rPr>
          <w:rFonts w:hint="eastAsia" w:ascii="宋体" w:hAnsi="宋体" w:cs="宋体"/>
          <w:color w:val="auto"/>
          <w:sz w:val="24"/>
          <w:highlight w:val="none"/>
        </w:rPr>
        <w:t>23.开标时间和地点</w:t>
      </w:r>
    </w:p>
    <w:p w14:paraId="65FB2A3E">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开标时间及地点详见“投标人须知前附表”</w:t>
      </w:r>
    </w:p>
    <w:p w14:paraId="5A95E706">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24.开标程序</w:t>
      </w:r>
    </w:p>
    <w:p w14:paraId="746DB9E2">
      <w:pPr>
        <w:pStyle w:val="7"/>
        <w:spacing w:line="360" w:lineRule="auto"/>
        <w:rPr>
          <w:rFonts w:ascii="宋体" w:hAnsi="宋体" w:cs="宋体"/>
          <w:color w:val="auto"/>
          <w:highlight w:val="none"/>
        </w:rPr>
      </w:pPr>
      <w:r>
        <w:rPr>
          <w:rFonts w:hint="eastAsia" w:ascii="宋体" w:hAnsi="宋体" w:cs="宋体"/>
          <w:color w:val="auto"/>
          <w:highlight w:val="none"/>
        </w:rPr>
        <w:t>24.1提交投标文件截止时间止，投标人不足3家的，不得开标。</w:t>
      </w:r>
    </w:p>
    <w:p w14:paraId="0950F97D">
      <w:pPr>
        <w:pStyle w:val="7"/>
        <w:spacing w:line="360" w:lineRule="auto"/>
        <w:rPr>
          <w:rFonts w:ascii="宋体" w:hAnsi="宋体" w:cs="宋体"/>
          <w:color w:val="auto"/>
          <w:highlight w:val="none"/>
        </w:rPr>
      </w:pPr>
      <w:r>
        <w:rPr>
          <w:rFonts w:hint="eastAsia" w:ascii="宋体" w:hAnsi="宋体" w:cs="宋体"/>
          <w:color w:val="auto"/>
          <w:highlight w:val="none"/>
        </w:rPr>
        <w:t>24.2采购代理机构将按照招标文件规定的时间通过</w:t>
      </w:r>
      <w:r>
        <w:rPr>
          <w:rFonts w:hint="eastAsia" w:ascii="宋体" w:hAnsi="宋体" w:cs="宋体"/>
          <w:color w:val="auto"/>
          <w:szCs w:val="21"/>
          <w:highlight w:val="none"/>
        </w:rPr>
        <w:t>“广西政府采购云平台”</w:t>
      </w:r>
      <w:r>
        <w:rPr>
          <w:rFonts w:hint="eastAsia" w:ascii="宋体" w:hAnsi="宋体" w:cs="宋体"/>
          <w:color w:val="auto"/>
          <w:highlight w:val="none"/>
        </w:rPr>
        <w:t>组织线上开标活动，所有供应商均应当准时在线参加，投标人因未在线参加开标而导致投标文件无法按时解密等一切后果由投标人自己承担。</w:t>
      </w:r>
    </w:p>
    <w:p w14:paraId="7FA16FBB">
      <w:pPr>
        <w:pStyle w:val="7"/>
        <w:spacing w:line="360" w:lineRule="auto"/>
        <w:rPr>
          <w:rFonts w:ascii="宋体" w:hAnsi="宋体" w:cs="宋体"/>
          <w:color w:val="auto"/>
          <w:highlight w:val="none"/>
        </w:rPr>
      </w:pPr>
      <w:r>
        <w:rPr>
          <w:rFonts w:hint="eastAsia" w:ascii="宋体" w:hAnsi="宋体" w:cs="宋体"/>
          <w:color w:val="auto"/>
          <w:highlight w:val="none"/>
        </w:rPr>
        <w:t>24.3开标程序</w:t>
      </w:r>
    </w:p>
    <w:p w14:paraId="585FFF4B">
      <w:pPr>
        <w:pStyle w:val="7"/>
        <w:spacing w:line="360" w:lineRule="auto"/>
        <w:rPr>
          <w:rFonts w:ascii="宋体" w:hAnsi="宋体" w:cs="宋体"/>
          <w:color w:val="auto"/>
          <w:highlight w:val="none"/>
        </w:rPr>
      </w:pPr>
      <w:r>
        <w:rPr>
          <w:rFonts w:hint="eastAsia" w:ascii="宋体" w:hAnsi="宋体" w:cs="宋体"/>
          <w:color w:val="auto"/>
          <w:highlight w:val="none"/>
        </w:rPr>
        <w:t>（1）解密电子投标文件。</w:t>
      </w:r>
      <w:r>
        <w:rPr>
          <w:rFonts w:hint="eastAsia" w:ascii="宋体" w:hAnsi="宋体" w:cs="宋体"/>
          <w:color w:val="auto"/>
          <w:szCs w:val="21"/>
          <w:highlight w:val="none"/>
        </w:rPr>
        <w:t>“广西政府采购云平台”</w:t>
      </w:r>
      <w:r>
        <w:rPr>
          <w:rFonts w:hint="eastAsia" w:ascii="宋体" w:hAnsi="宋体" w:cs="宋体"/>
          <w:color w:val="auto"/>
          <w:highlight w:val="none"/>
        </w:rPr>
        <w:t>按开标时间自动提取所有投标文件。采购代理机构依托</w:t>
      </w:r>
      <w:r>
        <w:rPr>
          <w:rFonts w:hint="eastAsia" w:ascii="宋体" w:hAnsi="宋体" w:cs="宋体"/>
          <w:color w:val="auto"/>
          <w:szCs w:val="21"/>
          <w:highlight w:val="none"/>
        </w:rPr>
        <w:t>“广西政府采购云平台”</w:t>
      </w:r>
      <w:r>
        <w:rPr>
          <w:rFonts w:hint="eastAsia" w:ascii="宋体" w:hAnsi="宋体" w:cs="宋体"/>
          <w:color w:val="auto"/>
          <w:highlight w:val="none"/>
        </w:rPr>
        <w:t>向各投标人发出电子加密投标文件【开始解密】通知，由投标人按</w:t>
      </w:r>
      <w:r>
        <w:rPr>
          <w:rFonts w:hint="eastAsia" w:ascii="宋体" w:hAnsi="宋体" w:cs="宋体"/>
          <w:bCs/>
          <w:color w:val="auto"/>
          <w:szCs w:val="21"/>
          <w:highlight w:val="none"/>
        </w:rPr>
        <w:t>“投标人须知前附表”</w:t>
      </w:r>
      <w:r>
        <w:rPr>
          <w:rFonts w:hint="eastAsia" w:ascii="宋体" w:hAnsi="宋体" w:cs="宋体"/>
          <w:color w:val="auto"/>
          <w:highlight w:val="none"/>
        </w:rPr>
        <w:t>规定的时间内自行进行投标文件解密。投标人的法定代表人或其委托代理人须凭加密时所用的CA锁准时登录到</w:t>
      </w:r>
      <w:r>
        <w:rPr>
          <w:rFonts w:hint="eastAsia" w:ascii="宋体" w:hAnsi="宋体" w:cs="宋体"/>
          <w:color w:val="auto"/>
          <w:szCs w:val="21"/>
          <w:highlight w:val="none"/>
        </w:rPr>
        <w:t>“广西政府采购云平台”</w:t>
      </w:r>
      <w:r>
        <w:rPr>
          <w:rFonts w:hint="eastAsia" w:ascii="宋体" w:hAnsi="宋体" w:cs="宋体"/>
          <w:color w:val="auto"/>
          <w:highlight w:val="none"/>
        </w:rPr>
        <w:t>电子开标大厅签到并对电子投标文件解密。</w:t>
      </w:r>
      <w:r>
        <w:rPr>
          <w:rFonts w:hint="eastAsia" w:ascii="宋体" w:hAnsi="宋体" w:cs="宋体"/>
          <w:b/>
          <w:color w:val="auto"/>
          <w:highlight w:val="none"/>
        </w:rPr>
        <w:t>投标人未在规定的时间内解密投标文件或者解密失败的，</w:t>
      </w:r>
      <w:r>
        <w:rPr>
          <w:rFonts w:hint="eastAsia" w:ascii="宋体" w:hAnsi="宋体" w:cs="宋体"/>
          <w:b/>
          <w:color w:val="auto"/>
          <w:szCs w:val="21"/>
          <w:highlight w:val="none"/>
        </w:rPr>
        <w:t>投标人的投标文件作无效处理。</w:t>
      </w:r>
    </w:p>
    <w:p w14:paraId="600D3836">
      <w:pPr>
        <w:pStyle w:val="7"/>
        <w:spacing w:line="360" w:lineRule="auto"/>
        <w:rPr>
          <w:rFonts w:ascii="宋体" w:hAnsi="宋体" w:cs="宋体"/>
          <w:color w:val="auto"/>
          <w:highlight w:val="none"/>
        </w:rPr>
      </w:pPr>
      <w:r>
        <w:rPr>
          <w:rFonts w:hint="eastAsia" w:ascii="宋体" w:hAnsi="宋体" w:cs="宋体"/>
          <w:color w:val="auto"/>
          <w:highlight w:val="none"/>
        </w:rPr>
        <w:t>（2）电子唱标。投标文件解密结束，宣布的内容均在</w:t>
      </w:r>
      <w:r>
        <w:rPr>
          <w:rFonts w:hint="eastAsia" w:ascii="宋体" w:hAnsi="宋体" w:cs="宋体"/>
          <w:color w:val="auto"/>
          <w:szCs w:val="21"/>
          <w:highlight w:val="none"/>
        </w:rPr>
        <w:t>“广西政府采购云平台”</w:t>
      </w:r>
      <w:r>
        <w:rPr>
          <w:rFonts w:hint="eastAsia" w:ascii="宋体" w:hAnsi="宋体" w:cs="宋体"/>
          <w:color w:val="auto"/>
          <w:highlight w:val="none"/>
        </w:rPr>
        <w:t>远程开标大厅展示，具体详见</w:t>
      </w:r>
      <w:r>
        <w:rPr>
          <w:rFonts w:hint="eastAsia" w:ascii="宋体" w:hAnsi="宋体" w:cs="宋体"/>
          <w:bCs/>
          <w:color w:val="auto"/>
          <w:highlight w:val="none"/>
        </w:rPr>
        <w:t>“投标人须知前附表”</w:t>
      </w:r>
      <w:r>
        <w:rPr>
          <w:rFonts w:hint="eastAsia" w:ascii="宋体" w:hAnsi="宋体" w:cs="宋体"/>
          <w:color w:val="auto"/>
          <w:highlight w:val="none"/>
        </w:rPr>
        <w:t>；</w:t>
      </w:r>
    </w:p>
    <w:p w14:paraId="44916625">
      <w:pPr>
        <w:pStyle w:val="7"/>
        <w:spacing w:line="360" w:lineRule="auto"/>
        <w:rPr>
          <w:rFonts w:ascii="宋体" w:hAnsi="宋体" w:cs="宋体"/>
          <w:color w:val="auto"/>
          <w:szCs w:val="21"/>
          <w:highlight w:val="none"/>
        </w:rPr>
      </w:pPr>
      <w:r>
        <w:rPr>
          <w:rFonts w:hint="eastAsia" w:ascii="宋体" w:hAnsi="宋体" w:cs="宋体"/>
          <w:color w:val="auto"/>
          <w:highlight w:val="none"/>
        </w:rPr>
        <w:t>（3）开标过程由采购代理机构如实记录，并电子留痕，由参加电子开标的各投标人代表对电子开标记录在开标记录公布后15分钟内进行当</w:t>
      </w:r>
      <w:r>
        <w:rPr>
          <w:rFonts w:hint="eastAsia" w:ascii="宋体" w:hAnsi="宋体" w:cs="宋体"/>
          <w:color w:val="auto"/>
          <w:szCs w:val="21"/>
          <w:highlight w:val="none"/>
        </w:rPr>
        <w:t>场校核及勘误，并线上确认是否有异议，未确认的视同认可开标结果。</w:t>
      </w:r>
    </w:p>
    <w:p w14:paraId="1803B0C1">
      <w:pPr>
        <w:pStyle w:val="7"/>
        <w:spacing w:line="360" w:lineRule="auto"/>
        <w:rPr>
          <w:rFonts w:ascii="宋体" w:hAnsi="宋体" w:cs="宋体"/>
          <w:color w:val="auto"/>
          <w:szCs w:val="21"/>
          <w:highlight w:val="none"/>
        </w:rPr>
      </w:pPr>
      <w:r>
        <w:rPr>
          <w:rFonts w:hint="eastAsia" w:ascii="宋体" w:hAnsi="宋体" w:cs="宋体"/>
          <w:color w:val="auto"/>
          <w:szCs w:val="21"/>
          <w:highlight w:val="none"/>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1A9011AD">
      <w:pPr>
        <w:pStyle w:val="7"/>
        <w:spacing w:line="360" w:lineRule="auto"/>
        <w:rPr>
          <w:rFonts w:ascii="宋体" w:hAnsi="宋体" w:cs="宋体"/>
          <w:color w:val="auto"/>
          <w:szCs w:val="21"/>
          <w:highlight w:val="none"/>
        </w:rPr>
      </w:pPr>
      <w:r>
        <w:rPr>
          <w:rFonts w:hint="eastAsia" w:ascii="宋体" w:hAnsi="宋体" w:cs="宋体"/>
          <w:color w:val="auto"/>
          <w:szCs w:val="21"/>
          <w:highlight w:val="none"/>
        </w:rPr>
        <w:t>（5）开标结束。</w:t>
      </w:r>
    </w:p>
    <w:p w14:paraId="5F516D50">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1"/>
          <w:highlight w:val="none"/>
        </w:rPr>
        <w:t>特别说明：如遇“广西政府采购云平台”电子化开标或评审程序调整的，按调整后执行。</w:t>
      </w:r>
    </w:p>
    <w:p w14:paraId="1BB0F346">
      <w:pPr>
        <w:pStyle w:val="7"/>
        <w:spacing w:line="360" w:lineRule="auto"/>
        <w:rPr>
          <w:rFonts w:ascii="宋体" w:hAnsi="宋体" w:cs="宋体"/>
          <w:color w:val="auto"/>
          <w:highlight w:val="none"/>
        </w:rPr>
      </w:pPr>
    </w:p>
    <w:p w14:paraId="65FBFAFC">
      <w:pPr>
        <w:pStyle w:val="25"/>
        <w:snapToGrid w:val="0"/>
        <w:spacing w:line="360" w:lineRule="auto"/>
        <w:ind w:left="689" w:leftChars="228" w:hanging="210" w:hangingChars="100"/>
        <w:rPr>
          <w:rFonts w:hAnsi="宋体" w:cs="宋体"/>
          <w:color w:val="auto"/>
          <w:sz w:val="21"/>
          <w:highlight w:val="none"/>
        </w:rPr>
      </w:pPr>
    </w:p>
    <w:p w14:paraId="5DA5D028">
      <w:pPr>
        <w:pStyle w:val="5"/>
        <w:keepNext w:val="0"/>
        <w:keepLines w:val="0"/>
        <w:jc w:val="center"/>
        <w:rPr>
          <w:rFonts w:ascii="宋体" w:hAnsi="宋体" w:cs="宋体"/>
          <w:color w:val="auto"/>
          <w:highlight w:val="none"/>
        </w:rPr>
      </w:pPr>
      <w:r>
        <w:rPr>
          <w:rFonts w:hint="eastAsia" w:ascii="宋体" w:hAnsi="宋体" w:cs="宋体"/>
          <w:color w:val="auto"/>
          <w:highlight w:val="none"/>
        </w:rPr>
        <w:t>五、资格审查</w:t>
      </w:r>
    </w:p>
    <w:p w14:paraId="41828DC7">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25.资格审查</w:t>
      </w:r>
    </w:p>
    <w:p w14:paraId="5C36BC7C">
      <w:pPr>
        <w:pStyle w:val="6"/>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25.1开标结束后，采购人或者采购代理机构通过电子开评标系统依据招标文件对电子投标文件进行线上资格审查。</w:t>
      </w:r>
    </w:p>
    <w:p w14:paraId="09DBD89D">
      <w:pPr>
        <w:pStyle w:val="6"/>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14:paraId="1874FAB7">
      <w:pPr>
        <w:pStyle w:val="6"/>
        <w:keepNext w:val="0"/>
        <w:keepLines w:val="0"/>
        <w:numPr>
          <w:ilvl w:val="0"/>
          <w:numId w:val="0"/>
        </w:numPr>
        <w:spacing w:before="0" w:after="0" w:line="360" w:lineRule="auto"/>
        <w:ind w:firstLine="422" w:firstLineChars="200"/>
        <w:rPr>
          <w:rFonts w:ascii="宋体" w:hAnsi="宋体" w:cs="宋体"/>
          <w:color w:val="auto"/>
          <w:sz w:val="21"/>
          <w:szCs w:val="21"/>
          <w:highlight w:val="none"/>
        </w:rPr>
      </w:pPr>
      <w:bookmarkStart w:id="123" w:name="_25.3_投标人有下列情形之一的，资格审查不通过而导致其投标无效："/>
      <w:bookmarkEnd w:id="123"/>
      <w:r>
        <w:rPr>
          <w:rFonts w:hint="eastAsia" w:ascii="宋体" w:hAnsi="宋体" w:cs="宋体"/>
          <w:color w:val="auto"/>
          <w:sz w:val="21"/>
          <w:szCs w:val="21"/>
          <w:highlight w:val="none"/>
        </w:rPr>
        <w:t>25.3 投标人有下列情形之一的，资格审查不通过，作无效投标处理：</w:t>
      </w:r>
    </w:p>
    <w:p w14:paraId="681FD05A">
      <w:pPr>
        <w:pStyle w:val="25"/>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（1）不具备招标文件中规定的资格要求的；</w:t>
      </w:r>
    </w:p>
    <w:p w14:paraId="4F1613EC">
      <w:pPr>
        <w:pStyle w:val="25"/>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广西政府采购云平台”已与“信用中国”网站、中国政府采购网实现数据对接，可直接在线查询）</w:t>
      </w:r>
    </w:p>
    <w:p w14:paraId="7807EBCB">
      <w:pPr>
        <w:pStyle w:val="25"/>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（3）同一合同项下的不同投标人，单位负责人为同一人或者存在直接控股、管理关系的；为本项目提供过整体设计、规范编制或者项目管理、监理、检测等服务的供应商，再参加该采购项目的其他采购活动的；</w:t>
      </w:r>
    </w:p>
    <w:p w14:paraId="1BCEF0E3">
      <w:pPr>
        <w:pStyle w:val="25"/>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（4）投标文件中的资格证明文件缺少任一项“投标人须知前附表”资格证明文件规定“必须提供”的文件资料的；</w:t>
      </w:r>
    </w:p>
    <w:p w14:paraId="2050056D">
      <w:pPr>
        <w:pStyle w:val="25"/>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（5）投标文件中的资格证明文件出现任一项不符合“投标人须知前附表”资格证明文件规定“必须提供”的文件资料要求或者无效的。</w:t>
      </w:r>
    </w:p>
    <w:p w14:paraId="7C0BADF6">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color w:val="auto"/>
          <w:sz w:val="21"/>
          <w:szCs w:val="21"/>
          <w:highlight w:val="none"/>
        </w:rPr>
        <w:t>25.4合格投标人不足3家的，不得评标。</w:t>
      </w:r>
    </w:p>
    <w:p w14:paraId="44085733">
      <w:pPr>
        <w:pStyle w:val="25"/>
        <w:snapToGrid w:val="0"/>
        <w:spacing w:line="360" w:lineRule="auto"/>
        <w:ind w:left="689" w:leftChars="228" w:hanging="210" w:hangingChars="100"/>
        <w:rPr>
          <w:rFonts w:hAnsi="宋体" w:cs="宋体"/>
          <w:color w:val="auto"/>
          <w:sz w:val="21"/>
          <w:highlight w:val="none"/>
        </w:rPr>
      </w:pPr>
    </w:p>
    <w:p w14:paraId="3C16CCF7">
      <w:pPr>
        <w:pStyle w:val="5"/>
        <w:keepNext w:val="0"/>
        <w:keepLines w:val="0"/>
        <w:jc w:val="center"/>
        <w:rPr>
          <w:rFonts w:ascii="宋体" w:hAnsi="宋体" w:cs="宋体"/>
          <w:color w:val="auto"/>
          <w:highlight w:val="none"/>
        </w:rPr>
      </w:pPr>
      <w:r>
        <w:rPr>
          <w:rFonts w:hint="eastAsia" w:ascii="宋体" w:hAnsi="宋体" w:cs="宋体"/>
          <w:color w:val="auto"/>
          <w:highlight w:val="none"/>
        </w:rPr>
        <w:t>六、评标</w:t>
      </w:r>
    </w:p>
    <w:p w14:paraId="03584251">
      <w:pPr>
        <w:pStyle w:val="6"/>
        <w:keepNext w:val="0"/>
        <w:keepLines w:val="0"/>
        <w:spacing w:before="0" w:after="0" w:line="360" w:lineRule="auto"/>
        <w:ind w:left="420" w:leftChars="200"/>
        <w:rPr>
          <w:rFonts w:ascii="宋体" w:hAnsi="宋体" w:cs="宋体"/>
          <w:color w:val="auto"/>
          <w:sz w:val="24"/>
          <w:highlight w:val="none"/>
        </w:rPr>
      </w:pPr>
      <w:bookmarkStart w:id="124" w:name="_26.组建评标委员会"/>
      <w:bookmarkEnd w:id="124"/>
      <w:r>
        <w:rPr>
          <w:rFonts w:hint="eastAsia" w:ascii="宋体" w:hAnsi="宋体" w:cs="宋体"/>
          <w:color w:val="auto"/>
          <w:sz w:val="24"/>
          <w:highlight w:val="none"/>
        </w:rPr>
        <w:t>26.组建评标委员会</w:t>
      </w:r>
    </w:p>
    <w:p w14:paraId="4A2AA957">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26.1评标委员会由采购人代表和评审专家组成，具体人数详见“投标人须知前附表”，其中评审专家不得少于成员总数的三分之二。</w:t>
      </w:r>
    </w:p>
    <w:p w14:paraId="1646AF84">
      <w:pPr>
        <w:pStyle w:val="25"/>
        <w:snapToGrid w:val="0"/>
        <w:spacing w:line="360" w:lineRule="auto"/>
        <w:ind w:left="2" w:leftChars="1" w:firstLine="420" w:firstLineChars="200"/>
        <w:rPr>
          <w:rFonts w:hAnsi="宋体" w:cs="宋体"/>
          <w:color w:val="auto"/>
          <w:sz w:val="21"/>
          <w:highlight w:val="none"/>
        </w:rPr>
      </w:pPr>
      <w:r>
        <w:rPr>
          <w:rFonts w:hint="eastAsia" w:hAnsi="宋体" w:cs="宋体"/>
          <w:color w:val="auto"/>
          <w:sz w:val="21"/>
          <w:highlight w:val="none"/>
        </w:rPr>
        <w:t>26.2参加过采购项目前期咨询论证的专家，不得参加该采购项目的评审活动。</w:t>
      </w:r>
    </w:p>
    <w:p w14:paraId="4774E50F">
      <w:pPr>
        <w:pStyle w:val="25"/>
        <w:snapToGrid w:val="0"/>
        <w:spacing w:line="360" w:lineRule="auto"/>
        <w:ind w:left="2" w:leftChars="1" w:firstLine="420" w:firstLineChars="200"/>
        <w:rPr>
          <w:rFonts w:hAnsi="宋体" w:cs="宋体"/>
          <w:color w:val="auto"/>
          <w:sz w:val="21"/>
          <w:highlight w:val="none"/>
        </w:rPr>
      </w:pPr>
      <w:r>
        <w:rPr>
          <w:rFonts w:hint="eastAsia" w:hAnsi="宋体" w:cs="宋体"/>
          <w:color w:val="auto"/>
          <w:sz w:val="21"/>
          <w:highlight w:val="none"/>
        </w:rPr>
        <w:t>26.3采购代理机构应当基于</w:t>
      </w:r>
      <w:r>
        <w:rPr>
          <w:rFonts w:hint="eastAsia" w:hAnsi="宋体" w:cs="宋体"/>
          <w:color w:val="auto"/>
          <w:highlight w:val="none"/>
        </w:rPr>
        <w:t>“广西政府采购云平台”</w:t>
      </w:r>
      <w:r>
        <w:rPr>
          <w:rFonts w:hint="eastAsia" w:hAnsi="宋体" w:cs="宋体"/>
          <w:color w:val="auto"/>
          <w:sz w:val="21"/>
          <w:highlight w:val="none"/>
        </w:rPr>
        <w:t>抽（选）取评审专家。</w:t>
      </w:r>
    </w:p>
    <w:p w14:paraId="164FEEA4">
      <w:pPr>
        <w:pStyle w:val="25"/>
        <w:snapToGrid w:val="0"/>
        <w:spacing w:line="360" w:lineRule="auto"/>
        <w:ind w:left="2" w:leftChars="1" w:firstLine="420" w:firstLineChars="200"/>
        <w:rPr>
          <w:rFonts w:hAnsi="宋体" w:cs="宋体"/>
          <w:color w:val="auto"/>
          <w:sz w:val="21"/>
          <w:highlight w:val="none"/>
        </w:rPr>
      </w:pPr>
    </w:p>
    <w:p w14:paraId="77D72C48">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27.评标的依据</w:t>
      </w:r>
    </w:p>
    <w:p w14:paraId="5DE84398">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评标委员会以“第四章 评标方法和评标标准”为依据对投标文件进行评审，没有规定的方法、评审因素和标准，不作为评标依据。</w:t>
      </w:r>
    </w:p>
    <w:p w14:paraId="031D41B8">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28.评标原则</w:t>
      </w:r>
    </w:p>
    <w:p w14:paraId="175280F1">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3C1A4E3A">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28.2</w:t>
      </w:r>
      <w:bookmarkStart w:id="125" w:name="_28.3评标方法。本项目将按须知前附表规定的评标办法进行评标，具体评标"/>
      <w:bookmarkEnd w:id="125"/>
      <w:r>
        <w:rPr>
          <w:rFonts w:hint="eastAsia" w:hAnsi="宋体" w:cs="宋体"/>
          <w:color w:val="auto"/>
          <w:sz w:val="21"/>
          <w:highlight w:val="none"/>
        </w:rPr>
        <w:t>评委表决。评标委员会成员对需要共同认定的事项存在争议的，应当按照少数服从多数的原则作出结论。</w:t>
      </w:r>
    </w:p>
    <w:p w14:paraId="3935BD55">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10ACB449">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28.4评标过程的监控。本项目电子评标过程实行网上留痕、全程录音、录像监控，</w:t>
      </w:r>
      <w:r>
        <w:rPr>
          <w:rFonts w:hint="eastAsia" w:hAnsi="宋体" w:cs="宋体"/>
          <w:b/>
          <w:color w:val="auto"/>
          <w:sz w:val="21"/>
          <w:highlight w:val="none"/>
        </w:rPr>
        <w:t>投标人在评标过程中所进行的试图影响评标结果的不公正活动，可能导致其投标按无效处理。</w:t>
      </w:r>
    </w:p>
    <w:p w14:paraId="366B1848">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29.评标方法及中标候选人推荐</w:t>
      </w:r>
    </w:p>
    <w:p w14:paraId="343D2FEA">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29.1本项目的评标方法详见“投标人须知前附表”。</w:t>
      </w:r>
    </w:p>
    <w:p w14:paraId="3753BC04">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29.2 商务/技术要求允许负偏离的条款数详见“投标人须知前附表”。</w:t>
      </w:r>
    </w:p>
    <w:p w14:paraId="2884AE98">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29.3中标候选人推荐数量详见“投标人须知前附表”。</w:t>
      </w:r>
    </w:p>
    <w:p w14:paraId="3AB8A1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29.4 电子交易活动的中止。采购过程中出现以下情形，导致电子交易平台无法正常运行，或者无法保证电子交易的公平、公正和安全时，采购代理机构可以中止电子交易活动：</w:t>
      </w:r>
    </w:p>
    <w:p w14:paraId="36D1DC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（1）电子交易平台发生故障而无法登录访问的； </w:t>
      </w:r>
    </w:p>
    <w:p w14:paraId="4A0636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（2）电子交易平台应用或数据库出现错误，不能进行正常操作的；</w:t>
      </w:r>
    </w:p>
    <w:p w14:paraId="4EB782D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（3）电子交易平台发现严重安全漏洞，有潜在泄密危险的；</w:t>
      </w:r>
    </w:p>
    <w:p w14:paraId="61D8EE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（4）病毒发作导致不能进行正常操作的； </w:t>
      </w:r>
    </w:p>
    <w:p w14:paraId="6A5CE4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（5）其他无法保证电子交易的公平、公正和安全的情况。</w:t>
      </w:r>
    </w:p>
    <w:p w14:paraId="620299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184436B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29.5出现下列情形之一的，应予废标：</w:t>
      </w:r>
    </w:p>
    <w:p w14:paraId="141C47F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（1）符合专业条件的供应商或者对招标文件作实质响应的供应商不足三家的；</w:t>
      </w:r>
    </w:p>
    <w:p w14:paraId="7A09DB9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（2）出现影响采购公正的违法、违规行为的；</w:t>
      </w:r>
    </w:p>
    <w:p w14:paraId="3B3E8A1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（3）投标人的报价均超过了采购预算，采购人不能支付的；</w:t>
      </w:r>
    </w:p>
    <w:p w14:paraId="503BB5B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（4）因重大变故，采购任务取消的。</w:t>
      </w:r>
    </w:p>
    <w:p w14:paraId="6686609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废标后，采购人应当将废标理由通知所有投标人。</w:t>
      </w:r>
    </w:p>
    <w:p w14:paraId="67E40689">
      <w:pPr>
        <w:pStyle w:val="5"/>
        <w:keepNext w:val="0"/>
        <w:keepLines w:val="0"/>
        <w:jc w:val="center"/>
        <w:rPr>
          <w:rFonts w:ascii="宋体" w:hAnsi="宋体" w:cs="宋体"/>
          <w:color w:val="auto"/>
          <w:highlight w:val="none"/>
        </w:rPr>
      </w:pPr>
      <w:bookmarkStart w:id="126" w:name="_Toc254970687"/>
      <w:bookmarkStart w:id="127" w:name="_Toc254970546"/>
      <w:r>
        <w:rPr>
          <w:rFonts w:hint="eastAsia" w:ascii="宋体" w:hAnsi="宋体" w:cs="宋体"/>
          <w:color w:val="auto"/>
          <w:highlight w:val="none"/>
        </w:rPr>
        <w:t>七、</w:t>
      </w:r>
      <w:bookmarkEnd w:id="126"/>
      <w:bookmarkEnd w:id="127"/>
      <w:r>
        <w:rPr>
          <w:rFonts w:hint="eastAsia" w:ascii="宋体" w:hAnsi="宋体" w:cs="宋体"/>
          <w:color w:val="auto"/>
          <w:highlight w:val="none"/>
        </w:rPr>
        <w:t>中标和合同</w:t>
      </w:r>
    </w:p>
    <w:p w14:paraId="4CAA4BA1">
      <w:pPr>
        <w:pStyle w:val="6"/>
        <w:keepNext w:val="0"/>
        <w:keepLines w:val="0"/>
        <w:spacing w:before="0" w:after="0" w:line="380" w:lineRule="exact"/>
        <w:ind w:left="420" w:leftChars="200"/>
        <w:rPr>
          <w:rFonts w:ascii="宋体" w:hAnsi="宋体" w:cs="宋体"/>
          <w:color w:val="auto"/>
          <w:sz w:val="24"/>
          <w:highlight w:val="none"/>
        </w:rPr>
      </w:pPr>
      <w:r>
        <w:rPr>
          <w:rFonts w:hint="eastAsia" w:ascii="宋体" w:hAnsi="宋体" w:cs="宋体"/>
          <w:color w:val="auto"/>
          <w:sz w:val="24"/>
          <w:highlight w:val="none"/>
        </w:rPr>
        <w:t>30.确定中标人</w:t>
      </w:r>
    </w:p>
    <w:p w14:paraId="37B6B0EF">
      <w:pPr>
        <w:pStyle w:val="6"/>
        <w:keepNext w:val="0"/>
        <w:keepLines w:val="0"/>
        <w:spacing w:before="0" w:after="0" w:line="38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58835886">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30.2采购人在收到评标报告5个工作日内未按评标报告推荐的中标候选人顺序确定中标人，又不能说明合法理由的，视同按评标报告推荐的顺序确定排名第一的中标候选人为中标人。</w:t>
      </w:r>
    </w:p>
    <w:p w14:paraId="01827EC4">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30.3出现下列情形之一的，应予废标：</w:t>
      </w:r>
    </w:p>
    <w:p w14:paraId="46C6A817">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（1）符合专业条件的供应商或者对招标文件作实质响应的供应商不足三家的；</w:t>
      </w:r>
    </w:p>
    <w:p w14:paraId="25ED3BD0">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（2）出现影响采购公正的违法、违规行为的；</w:t>
      </w:r>
    </w:p>
    <w:p w14:paraId="2B4257C4">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（3）投标人的报价均超过了采购预算，采购人不能支付的；</w:t>
      </w:r>
    </w:p>
    <w:p w14:paraId="3513F191">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（4）因重大变故，采购任务取消的。</w:t>
      </w:r>
    </w:p>
    <w:p w14:paraId="1D61A914">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废标后，采购人应当将废标理由通知所有投标人。</w:t>
      </w:r>
    </w:p>
    <w:p w14:paraId="6E3DC62C">
      <w:pPr>
        <w:pStyle w:val="6"/>
        <w:keepNext w:val="0"/>
        <w:keepLines w:val="0"/>
        <w:spacing w:before="0" w:after="0" w:line="380" w:lineRule="exact"/>
        <w:ind w:left="420" w:leftChars="200"/>
        <w:rPr>
          <w:rFonts w:ascii="宋体" w:hAnsi="宋体" w:cs="宋体"/>
          <w:color w:val="auto"/>
          <w:sz w:val="24"/>
          <w:highlight w:val="none"/>
        </w:rPr>
      </w:pPr>
      <w:r>
        <w:rPr>
          <w:rFonts w:hint="eastAsia" w:ascii="宋体" w:hAnsi="宋体" w:cs="宋体"/>
          <w:color w:val="auto"/>
          <w:sz w:val="24"/>
          <w:highlight w:val="none"/>
        </w:rPr>
        <w:t>31.结果公告</w:t>
      </w:r>
    </w:p>
    <w:p w14:paraId="03D2C536">
      <w:pPr>
        <w:pStyle w:val="6"/>
        <w:keepNext w:val="0"/>
        <w:keepLines w:val="0"/>
        <w:spacing w:before="0" w:after="0" w:line="38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31.1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6284BED4">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以上信息查询记录及相关证据与采购文件一并保存。</w:t>
      </w:r>
    </w:p>
    <w:p w14:paraId="32351EE8">
      <w:pPr>
        <w:pStyle w:val="6"/>
        <w:keepNext w:val="0"/>
        <w:keepLines w:val="0"/>
        <w:spacing w:before="0" w:after="0" w:line="38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31.2中标人享受《政府采购促进中小企业发展管理办法》（财库〔2020〕46号）规定的中小企业扶持政策的，采购人、采购代理机构应当随中标结果公开中标人的《中小企业声明函》。</w:t>
      </w:r>
    </w:p>
    <w:p w14:paraId="0C2E1FD9">
      <w:pPr>
        <w:pStyle w:val="6"/>
        <w:keepNext w:val="0"/>
        <w:keepLines w:val="0"/>
        <w:spacing w:before="0" w:after="0" w:line="380" w:lineRule="exact"/>
        <w:ind w:left="420" w:leftChars="200"/>
        <w:rPr>
          <w:rFonts w:ascii="宋体" w:hAnsi="宋体" w:cs="宋体"/>
          <w:color w:val="auto"/>
          <w:sz w:val="24"/>
          <w:highlight w:val="none"/>
        </w:rPr>
      </w:pPr>
      <w:r>
        <w:rPr>
          <w:rFonts w:hint="eastAsia" w:ascii="宋体" w:hAnsi="宋体" w:cs="宋体"/>
          <w:color w:val="auto"/>
          <w:sz w:val="24"/>
          <w:highlight w:val="none"/>
        </w:rPr>
        <w:t>32.发出中标通知书</w:t>
      </w:r>
    </w:p>
    <w:p w14:paraId="29149C40">
      <w:pPr>
        <w:pStyle w:val="6"/>
        <w:keepNext w:val="0"/>
        <w:keepLines w:val="0"/>
        <w:spacing w:before="0" w:after="0" w:line="380" w:lineRule="exact"/>
        <w:rPr>
          <w:rFonts w:ascii="宋体" w:hAnsi="宋体" w:cs="宋体"/>
          <w:b w:val="0"/>
          <w:color w:val="auto"/>
          <w:sz w:val="21"/>
          <w:szCs w:val="21"/>
          <w:highlight w:val="none"/>
        </w:rPr>
      </w:pPr>
      <w:r>
        <w:rPr>
          <w:rFonts w:hint="eastAsia" w:ascii="宋体" w:hAnsi="宋体" w:cs="宋体"/>
          <w:b w:val="0"/>
          <w:color w:val="auto"/>
          <w:sz w:val="21"/>
          <w:szCs w:val="21"/>
          <w:highlight w:val="none"/>
        </w:rPr>
        <w:t>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14:paraId="104E14E1">
      <w:pPr>
        <w:pStyle w:val="6"/>
        <w:keepNext w:val="0"/>
        <w:keepLines w:val="0"/>
        <w:spacing w:before="0" w:after="0" w:line="380" w:lineRule="exact"/>
        <w:ind w:left="420" w:leftChars="200"/>
        <w:rPr>
          <w:rFonts w:ascii="宋体" w:hAnsi="宋体" w:cs="宋体"/>
          <w:color w:val="auto"/>
          <w:sz w:val="24"/>
          <w:highlight w:val="none"/>
        </w:rPr>
      </w:pPr>
      <w:r>
        <w:rPr>
          <w:rFonts w:hint="eastAsia" w:ascii="宋体" w:hAnsi="宋体" w:cs="宋体"/>
          <w:color w:val="auto"/>
          <w:sz w:val="24"/>
          <w:highlight w:val="none"/>
        </w:rPr>
        <w:t>33. 无义务解释未中标原因</w:t>
      </w:r>
    </w:p>
    <w:p w14:paraId="62EFA246">
      <w:pPr>
        <w:pStyle w:val="6"/>
        <w:keepNext w:val="0"/>
        <w:keepLines w:val="0"/>
        <w:spacing w:before="0" w:after="0" w:line="38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采购代理机构无义务向未中标的投标人解释未中标原因。</w:t>
      </w:r>
    </w:p>
    <w:p w14:paraId="184CBE2A">
      <w:pPr>
        <w:pStyle w:val="6"/>
        <w:keepNext w:val="0"/>
        <w:keepLines w:val="0"/>
        <w:spacing w:before="0" w:after="0" w:line="380" w:lineRule="exact"/>
        <w:ind w:left="420" w:leftChars="200"/>
        <w:rPr>
          <w:rFonts w:ascii="宋体" w:hAnsi="宋体" w:cs="宋体"/>
          <w:color w:val="auto"/>
          <w:sz w:val="24"/>
          <w:highlight w:val="none"/>
        </w:rPr>
      </w:pPr>
      <w:r>
        <w:rPr>
          <w:rFonts w:hint="eastAsia" w:ascii="宋体" w:hAnsi="宋体" w:cs="宋体"/>
          <w:color w:val="auto"/>
          <w:sz w:val="24"/>
          <w:highlight w:val="none"/>
        </w:rPr>
        <w:t>34.合同授予标准</w:t>
      </w:r>
    </w:p>
    <w:p w14:paraId="396F7D35">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合同将授予被确定实质上响应招标文件要求，具备履行合同能力的中标人。</w:t>
      </w:r>
    </w:p>
    <w:p w14:paraId="19F363C0">
      <w:pPr>
        <w:pStyle w:val="6"/>
        <w:keepNext w:val="0"/>
        <w:keepLines w:val="0"/>
        <w:spacing w:before="0" w:after="0" w:line="380" w:lineRule="exact"/>
        <w:ind w:left="420" w:leftChars="200"/>
        <w:rPr>
          <w:rFonts w:ascii="宋体" w:hAnsi="宋体" w:cs="宋体"/>
          <w:color w:val="auto"/>
          <w:sz w:val="24"/>
          <w:highlight w:val="none"/>
        </w:rPr>
      </w:pPr>
      <w:r>
        <w:rPr>
          <w:rFonts w:hint="eastAsia" w:ascii="宋体" w:hAnsi="宋体" w:cs="宋体"/>
          <w:color w:val="auto"/>
          <w:sz w:val="24"/>
          <w:highlight w:val="none"/>
        </w:rPr>
        <w:t>35.履约保证金</w:t>
      </w:r>
    </w:p>
    <w:p w14:paraId="6A76A90A">
      <w:pPr>
        <w:pStyle w:val="6"/>
        <w:keepNext w:val="0"/>
        <w:keepLines w:val="0"/>
        <w:spacing w:before="0" w:after="0" w:line="380" w:lineRule="exact"/>
        <w:ind w:firstLine="315" w:firstLineChars="150"/>
        <w:rPr>
          <w:rFonts w:ascii="宋体" w:hAnsi="宋体" w:cs="宋体"/>
          <w:b w:val="0"/>
          <w:color w:val="auto"/>
          <w:sz w:val="21"/>
          <w:szCs w:val="21"/>
          <w:highlight w:val="none"/>
        </w:rPr>
      </w:pPr>
      <w:bookmarkStart w:id="128" w:name="_39.1中标人须于签订合同前按本须知前附表规定的金额转账或电汇到指定账"/>
      <w:bookmarkEnd w:id="128"/>
      <w:r>
        <w:rPr>
          <w:rFonts w:hint="eastAsia" w:ascii="宋体" w:hAnsi="宋体" w:cs="宋体"/>
          <w:b w:val="0"/>
          <w:color w:val="auto"/>
          <w:sz w:val="21"/>
          <w:szCs w:val="21"/>
          <w:highlight w:val="none"/>
        </w:rPr>
        <w:t>35.1 履约保证金的金额、提交方式、退付的时间和条件详见 “投标人须知前附表”。中标人未按规定提交履约保证金的，视为拒绝与采购人签订合同。</w:t>
      </w:r>
    </w:p>
    <w:p w14:paraId="690AC1A9">
      <w:pPr>
        <w:pStyle w:val="6"/>
        <w:keepNext w:val="0"/>
        <w:keepLines w:val="0"/>
        <w:spacing w:before="0" w:after="0" w:line="380" w:lineRule="exact"/>
        <w:ind w:firstLine="315" w:firstLineChars="150"/>
        <w:rPr>
          <w:rFonts w:ascii="宋体" w:hAnsi="宋体" w:cs="宋体"/>
          <w:color w:val="auto"/>
          <w:sz w:val="21"/>
          <w:szCs w:val="21"/>
          <w:highlight w:val="none"/>
        </w:rPr>
      </w:pPr>
      <w:r>
        <w:rPr>
          <w:rFonts w:hint="eastAsia" w:ascii="宋体" w:hAnsi="宋体" w:cs="宋体"/>
          <w:b w:val="0"/>
          <w:bCs/>
          <w:color w:val="auto"/>
          <w:sz w:val="21"/>
          <w:szCs w:val="21"/>
          <w:highlight w:val="none"/>
        </w:rPr>
        <w:t>35.2在履约保证金退还日期前，若中标人的开户名称、开户银行、账号有变动的，请以书面形式通知履约保证金收取单位，否则由此产生的后果由中标人自行承担。</w:t>
      </w:r>
    </w:p>
    <w:p w14:paraId="4DCE0FE8">
      <w:pPr>
        <w:pStyle w:val="6"/>
        <w:keepNext w:val="0"/>
        <w:keepLines w:val="0"/>
        <w:spacing w:before="0" w:after="0" w:line="380" w:lineRule="exact"/>
        <w:ind w:left="420" w:leftChars="200"/>
        <w:rPr>
          <w:rFonts w:ascii="宋体" w:hAnsi="宋体" w:cs="宋体"/>
          <w:color w:val="auto"/>
          <w:sz w:val="24"/>
          <w:highlight w:val="none"/>
        </w:rPr>
      </w:pPr>
      <w:r>
        <w:rPr>
          <w:rFonts w:hint="eastAsia" w:ascii="宋体" w:hAnsi="宋体" w:cs="宋体"/>
          <w:color w:val="auto"/>
          <w:sz w:val="24"/>
          <w:highlight w:val="none"/>
        </w:rPr>
        <w:t>36.签订合同</w:t>
      </w:r>
    </w:p>
    <w:p w14:paraId="60AB1F3C">
      <w:pPr>
        <w:pStyle w:val="6"/>
        <w:keepNext w:val="0"/>
        <w:keepLines w:val="0"/>
        <w:spacing w:before="0" w:after="0" w:line="380" w:lineRule="exact"/>
        <w:ind w:firstLine="316" w:firstLineChars="150"/>
        <w:rPr>
          <w:rFonts w:ascii="宋体" w:hAnsi="宋体" w:cs="宋体"/>
          <w:b w:val="0"/>
          <w:color w:val="auto"/>
          <w:sz w:val="21"/>
          <w:szCs w:val="21"/>
          <w:highlight w:val="none"/>
        </w:rPr>
      </w:pPr>
      <w:bookmarkStart w:id="129" w:name="_40.1投标人接到中标通知书后，按须知前附表规定向采购人出示相关资格证"/>
      <w:bookmarkEnd w:id="129"/>
      <w:r>
        <w:rPr>
          <w:rFonts w:hint="eastAsia" w:ascii="宋体" w:hAnsi="宋体" w:cs="宋体"/>
          <w:color w:val="auto"/>
          <w:sz w:val="21"/>
          <w:szCs w:val="21"/>
          <w:highlight w:val="none"/>
        </w:rPr>
        <w:t>36.1签订电子采购合同：中标人领取电子中标通知书后，</w:t>
      </w:r>
      <w:r>
        <w:rPr>
          <w:rFonts w:hint="eastAsia" w:ascii="宋体" w:hAnsi="宋体" w:cs="宋体"/>
          <w:color w:val="auto"/>
          <w:kern w:val="0"/>
          <w:sz w:val="21"/>
          <w:szCs w:val="21"/>
          <w:highlight w:val="none"/>
        </w:rPr>
        <w:t>在</w:t>
      </w:r>
      <w:r>
        <w:rPr>
          <w:rFonts w:hint="eastAsia" w:ascii="宋体" w:hAnsi="宋体" w:cs="宋体"/>
          <w:color w:val="auto"/>
          <w:kern w:val="0"/>
          <w:sz w:val="21"/>
          <w:szCs w:val="21"/>
          <w:highlight w:val="none"/>
          <w:lang w:val="zh-CN"/>
        </w:rPr>
        <w:t>规定的日期、时间、地点，由法定代表人或其授权代表与采购人代表签订电子采购合同。如中标人为联合体的，由联合体成员各方法定代表人或其授权代表与采购人代表签订合同。</w:t>
      </w:r>
    </w:p>
    <w:p w14:paraId="403B71F0">
      <w:pPr>
        <w:pStyle w:val="6"/>
        <w:keepNext w:val="0"/>
        <w:keepLines w:val="0"/>
        <w:spacing w:before="0" w:after="0" w:line="380" w:lineRule="exact"/>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线下签订纸质合同：投标人领取中标通知书后，按“投标人须知前附表”规定向采购人出示相关证明材料，经采购人核验合格后方可签订合同。</w:t>
      </w:r>
    </w:p>
    <w:p w14:paraId="25455520">
      <w:pPr>
        <w:pStyle w:val="6"/>
        <w:keepNext w:val="0"/>
        <w:keepLines w:val="0"/>
        <w:numPr>
          <w:ilvl w:val="0"/>
          <w:numId w:val="0"/>
        </w:numPr>
        <w:spacing w:before="0" w:after="0" w:line="38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36.2签订合同时间：按中标通知书规定的时间与采购人签订合同。</w:t>
      </w:r>
    </w:p>
    <w:p w14:paraId="73EC2F8D">
      <w:pPr>
        <w:pStyle w:val="6"/>
        <w:keepNext w:val="0"/>
        <w:keepLines w:val="0"/>
        <w:spacing w:before="0" w:after="0" w:line="380" w:lineRule="exact"/>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36.3中标人拒绝签订政府采购合同（包括但不限于放弃中标、因不可抗力不能履行合同而放弃签订合同），采购人可以按照评审报告推荐的中标候选人名单排序，确定下一候选人为中标人，也可以重新开展政府采购活动。如采购人无正当理由拒签合同的，给中标人造成损失的，中标人可追究采购人承担相应的法律责任。</w:t>
      </w:r>
    </w:p>
    <w:p w14:paraId="1B18318D">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36.4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0A935E21">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36.5采购人或中标人不得单方面向合同另一方提出任何招标文件没有约定的条件或不合理的要求，作为签订合同的条件；也不得协商另行订立背离招标文件和合同实质性内容的协议。</w:t>
      </w:r>
    </w:p>
    <w:p w14:paraId="35CF4737">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36.6如签订合同并生效后，供应商无故拒绝或延期，除按照合同条款处理外，将承担相应的法律责任。</w:t>
      </w:r>
    </w:p>
    <w:p w14:paraId="0C90318C">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36.7政府采购合同履行中，采购人需追加与合同标的相同的货物、工程或者服务的，在不改变合同其他条款的前提下，可以与供应商协商签订补充合同。</w:t>
      </w:r>
    </w:p>
    <w:p w14:paraId="7F6ACAE7">
      <w:pPr>
        <w:pStyle w:val="6"/>
        <w:keepNext w:val="0"/>
        <w:keepLines w:val="0"/>
        <w:spacing w:before="0" w:after="0" w:line="380" w:lineRule="exact"/>
        <w:ind w:left="420" w:leftChars="200"/>
        <w:rPr>
          <w:rFonts w:ascii="宋体" w:hAnsi="宋体" w:cs="宋体"/>
          <w:color w:val="auto"/>
          <w:sz w:val="24"/>
          <w:highlight w:val="none"/>
        </w:rPr>
      </w:pPr>
      <w:bookmarkStart w:id="130" w:name="_41.政府采购合同公告"/>
      <w:bookmarkEnd w:id="130"/>
      <w:r>
        <w:rPr>
          <w:rFonts w:hint="eastAsia" w:ascii="宋体" w:hAnsi="宋体" w:cs="宋体"/>
          <w:color w:val="auto"/>
          <w:sz w:val="24"/>
          <w:highlight w:val="none"/>
        </w:rPr>
        <w:t>37.政府采购合同公告</w:t>
      </w:r>
    </w:p>
    <w:p w14:paraId="5944340A">
      <w:pPr>
        <w:pStyle w:val="25"/>
        <w:snapToGrid w:val="0"/>
        <w:spacing w:line="380" w:lineRule="exact"/>
        <w:ind w:firstLine="420" w:firstLineChars="200"/>
        <w:rPr>
          <w:rFonts w:hAnsi="宋体" w:cs="宋体"/>
          <w:color w:val="auto"/>
          <w:sz w:val="21"/>
          <w:highlight w:val="none"/>
        </w:rPr>
      </w:pPr>
      <w:r>
        <w:rPr>
          <w:rFonts w:hint="eastAsia" w:hAnsi="宋体" w:cs="宋体"/>
          <w:color w:val="auto"/>
          <w:sz w:val="21"/>
          <w:highlight w:val="none"/>
        </w:rPr>
        <w:t>采购人或者受托采购代理机构应当自政府采购合同签订之日起2个工作日内，将政府采购合同在省级以上人民政府财政部门指定的媒体上公告，但政府采购合同中涉及国家秘密、商业秘密的内容除外。</w:t>
      </w:r>
    </w:p>
    <w:p w14:paraId="6AD7D9F2">
      <w:pPr>
        <w:pStyle w:val="6"/>
        <w:keepNext w:val="0"/>
        <w:keepLines w:val="0"/>
        <w:spacing w:before="0" w:after="0" w:line="380" w:lineRule="exact"/>
        <w:ind w:left="420" w:leftChars="200"/>
        <w:rPr>
          <w:rFonts w:ascii="宋体" w:hAnsi="宋体" w:cs="宋体"/>
          <w:color w:val="auto"/>
          <w:sz w:val="24"/>
          <w:highlight w:val="none"/>
        </w:rPr>
      </w:pPr>
      <w:r>
        <w:rPr>
          <w:rFonts w:hint="eastAsia" w:ascii="宋体" w:hAnsi="宋体" w:cs="宋体"/>
          <w:color w:val="auto"/>
          <w:sz w:val="24"/>
          <w:highlight w:val="none"/>
        </w:rPr>
        <w:t>38. 询问、质疑和投诉</w:t>
      </w:r>
    </w:p>
    <w:p w14:paraId="6E76EE9A">
      <w:pPr>
        <w:pStyle w:val="7"/>
        <w:spacing w:line="340" w:lineRule="exact"/>
        <w:rPr>
          <w:rFonts w:ascii="宋体" w:hAnsi="宋体" w:cs="宋体"/>
          <w:color w:val="auto"/>
          <w:szCs w:val="21"/>
          <w:highlight w:val="none"/>
        </w:rPr>
      </w:pPr>
      <w:r>
        <w:rPr>
          <w:rFonts w:hint="eastAsia" w:ascii="宋体" w:hAnsi="宋体" w:cs="宋体"/>
          <w:color w:val="auto"/>
          <w:szCs w:val="21"/>
          <w:highlight w:val="none"/>
        </w:rPr>
        <w:t>38.1供应商对政府采购活动事项有疑问的，可以向采购人提出询问，采购人或者采购代理机构应当在3个工作日内对供应商依法提出的询问作出答复，但答复的内容不得涉及商业秘密。</w:t>
      </w:r>
    </w:p>
    <w:p w14:paraId="29AB11E0">
      <w:pPr>
        <w:pStyle w:val="6"/>
        <w:keepNext w:val="0"/>
        <w:keepLines w:val="0"/>
        <w:spacing w:before="0" w:after="0" w:line="340" w:lineRule="exact"/>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38.2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4467F606">
      <w:pPr>
        <w:pStyle w:val="25"/>
        <w:snapToGrid w:val="0"/>
        <w:spacing w:line="340" w:lineRule="exact"/>
        <w:ind w:firstLine="420" w:firstLineChars="200"/>
        <w:rPr>
          <w:rFonts w:hAnsi="宋体" w:cs="宋体"/>
          <w:color w:val="auto"/>
          <w:sz w:val="21"/>
          <w:highlight w:val="none"/>
        </w:rPr>
      </w:pPr>
      <w:r>
        <w:rPr>
          <w:rFonts w:hint="eastAsia" w:hAnsi="宋体" w:cs="宋体"/>
          <w:color w:val="auto"/>
          <w:sz w:val="21"/>
          <w:highlight w:val="none"/>
        </w:rPr>
        <w:t>（1）对可以质疑的招标文件提出质疑的，为收到招标文件之日或者招标文件公告期限届满之日；</w:t>
      </w:r>
    </w:p>
    <w:p w14:paraId="41F696D1">
      <w:pPr>
        <w:pStyle w:val="25"/>
        <w:snapToGrid w:val="0"/>
        <w:spacing w:line="340" w:lineRule="exact"/>
        <w:ind w:firstLine="420" w:firstLineChars="200"/>
        <w:rPr>
          <w:rFonts w:hAnsi="宋体" w:cs="宋体"/>
          <w:color w:val="auto"/>
          <w:sz w:val="21"/>
          <w:highlight w:val="none"/>
        </w:rPr>
      </w:pPr>
      <w:r>
        <w:rPr>
          <w:rFonts w:hint="eastAsia" w:hAnsi="宋体" w:cs="宋体"/>
          <w:color w:val="auto"/>
          <w:sz w:val="21"/>
          <w:highlight w:val="none"/>
        </w:rPr>
        <w:t>（2）对采购过程提出质疑的，为各采购程序环节结束之日；</w:t>
      </w:r>
    </w:p>
    <w:p w14:paraId="18C08598">
      <w:pPr>
        <w:pStyle w:val="25"/>
        <w:snapToGrid w:val="0"/>
        <w:spacing w:line="340" w:lineRule="exact"/>
        <w:ind w:firstLine="420" w:firstLineChars="200"/>
        <w:rPr>
          <w:rFonts w:hAnsi="宋体" w:cs="宋体"/>
          <w:bCs/>
          <w:color w:val="auto"/>
          <w:sz w:val="21"/>
          <w:highlight w:val="none"/>
        </w:rPr>
      </w:pPr>
      <w:r>
        <w:rPr>
          <w:rFonts w:hint="eastAsia" w:hAnsi="宋体" w:cs="宋体"/>
          <w:color w:val="auto"/>
          <w:sz w:val="21"/>
          <w:highlight w:val="none"/>
        </w:rPr>
        <w:t>（3）对中标结果提出质疑的，为中标结果公告期限届满之日。</w:t>
      </w:r>
    </w:p>
    <w:p w14:paraId="561EEEFD">
      <w:pPr>
        <w:pStyle w:val="6"/>
        <w:keepNext w:val="0"/>
        <w:keepLines w:val="0"/>
        <w:spacing w:before="0" w:after="0" w:line="340" w:lineRule="exact"/>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38.3</w:t>
      </w:r>
      <w:r>
        <w:rPr>
          <w:rFonts w:hint="eastAsia" w:ascii="宋体" w:hAnsi="宋体" w:cs="宋体"/>
          <w:b w:val="0"/>
          <w:bCs/>
          <w:color w:val="auto"/>
          <w:sz w:val="21"/>
          <w:highlight w:val="none"/>
        </w:rPr>
        <w:t>供应商提出质疑应当提交质疑函和必要的证明材料，针对同一采购程序环节的质疑必须在法定质疑期内一次性提出。质疑函应当包括下列内容（质疑函格式后附）：</w:t>
      </w:r>
    </w:p>
    <w:p w14:paraId="3513B629">
      <w:pPr>
        <w:pStyle w:val="25"/>
        <w:snapToGrid w:val="0"/>
        <w:spacing w:line="340" w:lineRule="exact"/>
        <w:ind w:firstLine="420" w:firstLineChars="200"/>
        <w:rPr>
          <w:rFonts w:hAnsi="宋体" w:cs="宋体"/>
          <w:bCs/>
          <w:color w:val="auto"/>
          <w:sz w:val="21"/>
          <w:highlight w:val="none"/>
        </w:rPr>
      </w:pPr>
      <w:r>
        <w:rPr>
          <w:rFonts w:hint="eastAsia" w:hAnsi="宋体" w:cs="宋体"/>
          <w:bCs/>
          <w:color w:val="auto"/>
          <w:sz w:val="21"/>
          <w:highlight w:val="none"/>
        </w:rPr>
        <w:t>（1）供应商的姓名或者名称、地址、邮编、联系人及联系电话；</w:t>
      </w:r>
    </w:p>
    <w:p w14:paraId="0259CA30">
      <w:pPr>
        <w:pStyle w:val="25"/>
        <w:snapToGrid w:val="0"/>
        <w:spacing w:line="340" w:lineRule="exact"/>
        <w:ind w:firstLine="420" w:firstLineChars="200"/>
        <w:rPr>
          <w:rFonts w:hAnsi="宋体" w:cs="宋体"/>
          <w:bCs/>
          <w:color w:val="auto"/>
          <w:sz w:val="21"/>
          <w:highlight w:val="none"/>
        </w:rPr>
      </w:pPr>
      <w:r>
        <w:rPr>
          <w:rFonts w:hint="eastAsia" w:hAnsi="宋体" w:cs="宋体"/>
          <w:bCs/>
          <w:color w:val="auto"/>
          <w:sz w:val="21"/>
          <w:highlight w:val="none"/>
        </w:rPr>
        <w:t>（2）质疑项目的名称、编号；</w:t>
      </w:r>
    </w:p>
    <w:p w14:paraId="36E3CF24">
      <w:pPr>
        <w:pStyle w:val="25"/>
        <w:snapToGrid w:val="0"/>
        <w:spacing w:line="340" w:lineRule="exact"/>
        <w:ind w:firstLine="420" w:firstLineChars="200"/>
        <w:rPr>
          <w:rFonts w:hAnsi="宋体" w:cs="宋体"/>
          <w:bCs/>
          <w:color w:val="auto"/>
          <w:sz w:val="21"/>
          <w:highlight w:val="none"/>
        </w:rPr>
      </w:pPr>
      <w:r>
        <w:rPr>
          <w:rFonts w:hint="eastAsia" w:hAnsi="宋体" w:cs="宋体"/>
          <w:bCs/>
          <w:color w:val="auto"/>
          <w:sz w:val="21"/>
          <w:highlight w:val="none"/>
        </w:rPr>
        <w:t>（3）具体、明确的质疑事项和与质疑事项相关的请求；</w:t>
      </w:r>
    </w:p>
    <w:p w14:paraId="6D906F51">
      <w:pPr>
        <w:pStyle w:val="25"/>
        <w:snapToGrid w:val="0"/>
        <w:spacing w:line="340" w:lineRule="exact"/>
        <w:ind w:firstLine="420" w:firstLineChars="200"/>
        <w:rPr>
          <w:rFonts w:hAnsi="宋体" w:cs="宋体"/>
          <w:bCs/>
          <w:color w:val="auto"/>
          <w:sz w:val="21"/>
          <w:highlight w:val="none"/>
        </w:rPr>
      </w:pPr>
      <w:r>
        <w:rPr>
          <w:rFonts w:hint="eastAsia" w:hAnsi="宋体" w:cs="宋体"/>
          <w:bCs/>
          <w:color w:val="auto"/>
          <w:sz w:val="21"/>
          <w:highlight w:val="none"/>
        </w:rPr>
        <w:t>（4）事实依据；</w:t>
      </w:r>
    </w:p>
    <w:p w14:paraId="655ECE51">
      <w:pPr>
        <w:pStyle w:val="25"/>
        <w:snapToGrid w:val="0"/>
        <w:spacing w:line="340" w:lineRule="exact"/>
        <w:ind w:firstLine="420" w:firstLineChars="200"/>
        <w:rPr>
          <w:rFonts w:hAnsi="宋体" w:cs="宋体"/>
          <w:bCs/>
          <w:color w:val="auto"/>
          <w:sz w:val="21"/>
          <w:highlight w:val="none"/>
        </w:rPr>
      </w:pPr>
      <w:r>
        <w:rPr>
          <w:rFonts w:hint="eastAsia" w:hAnsi="宋体" w:cs="宋体"/>
          <w:bCs/>
          <w:color w:val="auto"/>
          <w:sz w:val="21"/>
          <w:highlight w:val="none"/>
        </w:rPr>
        <w:t>（5）必要的法律依据；</w:t>
      </w:r>
    </w:p>
    <w:p w14:paraId="23BFF0CF">
      <w:pPr>
        <w:pStyle w:val="25"/>
        <w:snapToGrid w:val="0"/>
        <w:spacing w:line="340" w:lineRule="exact"/>
        <w:ind w:firstLine="420" w:firstLineChars="200"/>
        <w:rPr>
          <w:rFonts w:hAnsi="宋体" w:cs="宋体"/>
          <w:bCs/>
          <w:color w:val="auto"/>
          <w:sz w:val="21"/>
          <w:highlight w:val="none"/>
        </w:rPr>
      </w:pPr>
      <w:r>
        <w:rPr>
          <w:rFonts w:hint="eastAsia" w:hAnsi="宋体" w:cs="宋体"/>
          <w:bCs/>
          <w:color w:val="auto"/>
          <w:sz w:val="21"/>
          <w:highlight w:val="none"/>
        </w:rPr>
        <w:t>（6）提出质疑的日期。</w:t>
      </w:r>
    </w:p>
    <w:p w14:paraId="351C5724">
      <w:pPr>
        <w:pStyle w:val="25"/>
        <w:snapToGrid w:val="0"/>
        <w:spacing w:line="340" w:lineRule="exact"/>
        <w:ind w:firstLine="420" w:firstLineChars="200"/>
        <w:rPr>
          <w:rFonts w:hAnsi="宋体" w:cs="宋体"/>
          <w:bCs/>
          <w:color w:val="auto"/>
          <w:sz w:val="21"/>
          <w:highlight w:val="none"/>
        </w:rPr>
      </w:pPr>
      <w:r>
        <w:rPr>
          <w:rFonts w:hint="eastAsia" w:hAnsi="宋体" w:cs="宋体"/>
          <w:bCs/>
          <w:color w:val="auto"/>
          <w:sz w:val="21"/>
          <w:highlight w:val="none"/>
        </w:rPr>
        <w:t>供应商为自然人的，应当由本人签字；供应商为法人或者其他组织的，应当由法定代表人、主要负责人，或者其委托代理人签字或者盖章，并加盖公章。</w:t>
      </w:r>
    </w:p>
    <w:p w14:paraId="6E9380A4">
      <w:pPr>
        <w:pStyle w:val="6"/>
        <w:keepNext w:val="0"/>
        <w:keepLines w:val="0"/>
        <w:snapToGrid w:val="0"/>
        <w:spacing w:before="0" w:after="0" w:line="340" w:lineRule="exact"/>
        <w:ind w:firstLine="420" w:firstLineChars="200"/>
        <w:rPr>
          <w:rFonts w:ascii="宋体" w:hAnsi="宋体" w:cs="宋体"/>
          <w:b w:val="0"/>
          <w:bCs/>
          <w:color w:val="auto"/>
          <w:sz w:val="21"/>
          <w:szCs w:val="21"/>
          <w:highlight w:val="none"/>
        </w:rPr>
      </w:pPr>
      <w:r>
        <w:rPr>
          <w:rFonts w:hint="eastAsia" w:ascii="宋体" w:hAnsi="宋体" w:cs="宋体"/>
          <w:b w:val="0"/>
          <w:color w:val="auto"/>
          <w:sz w:val="21"/>
          <w:szCs w:val="21"/>
          <w:highlight w:val="none"/>
        </w:rPr>
        <w:t>3</w:t>
      </w:r>
      <w:r>
        <w:rPr>
          <w:rFonts w:hint="eastAsia" w:ascii="宋体" w:hAnsi="宋体" w:cs="宋体"/>
          <w:b w:val="0"/>
          <w:bCs/>
          <w:color w:val="auto"/>
          <w:sz w:val="21"/>
          <w:szCs w:val="21"/>
          <w:highlight w:val="none"/>
        </w:rPr>
        <w:t>8.4采购人、采购代理机构认为供应商质疑不成立，或者成立但未对中标结果构成影响的，继续开展采购活动；认为供应商质疑成立且影响或者可能影响中标结果的，按照下列情况处理：</w:t>
      </w:r>
    </w:p>
    <w:p w14:paraId="2877FEA3">
      <w:pPr>
        <w:pStyle w:val="25"/>
        <w:snapToGrid w:val="0"/>
        <w:spacing w:line="340" w:lineRule="exact"/>
        <w:rPr>
          <w:rFonts w:hAnsi="宋体" w:cs="宋体"/>
          <w:bCs/>
          <w:color w:val="auto"/>
          <w:sz w:val="21"/>
          <w:highlight w:val="none"/>
        </w:rPr>
      </w:pPr>
      <w:r>
        <w:rPr>
          <w:rFonts w:hint="eastAsia" w:hAnsi="宋体" w:cs="宋体"/>
          <w:bCs/>
          <w:color w:val="auto"/>
          <w:sz w:val="21"/>
          <w:highlight w:val="none"/>
        </w:rPr>
        <w:t>　　（一）对招标文件提出的质疑，依法通过澄清或者修改可以继续开展采购活动的，澄清或者修改招标文件后继续开展采购活动；否则应当修改招标文件后重新开展采购活动。</w:t>
      </w:r>
    </w:p>
    <w:p w14:paraId="75CF2527">
      <w:pPr>
        <w:pStyle w:val="25"/>
        <w:snapToGrid w:val="0"/>
        <w:spacing w:line="340" w:lineRule="exact"/>
        <w:rPr>
          <w:rFonts w:hAnsi="宋体" w:cs="宋体"/>
          <w:bCs/>
          <w:color w:val="auto"/>
          <w:sz w:val="21"/>
          <w:highlight w:val="none"/>
        </w:rPr>
      </w:pPr>
      <w:r>
        <w:rPr>
          <w:rFonts w:hint="eastAsia" w:hAnsi="宋体" w:cs="宋体"/>
          <w:bCs/>
          <w:color w:val="auto"/>
          <w:sz w:val="21"/>
          <w:highlight w:val="none"/>
        </w:rPr>
        <w:t>　　（二）对采购过程、中标结果提出的质疑，合格供应商符合法定数量时，可以从合格的中标候选人中另行确定中标人的，应当依法另行确定中标人；否则应当重新开展采购活动。</w:t>
      </w:r>
    </w:p>
    <w:p w14:paraId="03C08E2D">
      <w:pPr>
        <w:pStyle w:val="25"/>
        <w:snapToGrid w:val="0"/>
        <w:spacing w:line="340" w:lineRule="exact"/>
        <w:ind w:firstLine="420"/>
        <w:rPr>
          <w:rFonts w:hAnsi="宋体" w:cs="宋体"/>
          <w:bCs/>
          <w:color w:val="auto"/>
          <w:sz w:val="21"/>
          <w:highlight w:val="none"/>
        </w:rPr>
      </w:pPr>
      <w:r>
        <w:rPr>
          <w:rFonts w:hint="eastAsia" w:hAnsi="宋体" w:cs="宋体"/>
          <w:bCs/>
          <w:color w:val="auto"/>
          <w:sz w:val="21"/>
          <w:highlight w:val="none"/>
        </w:rPr>
        <w:t>质疑答复导致中标结果改变的，采购人或者采购代理机构应当将有关情况书面报告本级财政部门。</w:t>
      </w:r>
    </w:p>
    <w:p w14:paraId="6EBE59A8">
      <w:pPr>
        <w:pStyle w:val="25"/>
        <w:snapToGrid w:val="0"/>
        <w:spacing w:line="340" w:lineRule="exact"/>
        <w:ind w:firstLine="420" w:firstLineChars="200"/>
        <w:rPr>
          <w:rFonts w:hAnsi="宋体" w:cs="宋体"/>
          <w:color w:val="auto"/>
          <w:sz w:val="21"/>
          <w:highlight w:val="none"/>
        </w:rPr>
      </w:pPr>
      <w:r>
        <w:rPr>
          <w:rFonts w:hint="eastAsia" w:hAnsi="宋体" w:cs="宋体"/>
          <w:color w:val="auto"/>
          <w:sz w:val="21"/>
          <w:highlight w:val="none"/>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09161565">
      <w:pPr>
        <w:pStyle w:val="5"/>
        <w:keepNext w:val="0"/>
        <w:keepLines w:val="0"/>
        <w:spacing w:line="340" w:lineRule="exact"/>
        <w:jc w:val="center"/>
        <w:rPr>
          <w:rFonts w:ascii="宋体" w:hAnsi="宋体" w:cs="宋体"/>
          <w:color w:val="auto"/>
          <w:highlight w:val="none"/>
        </w:rPr>
      </w:pPr>
      <w:r>
        <w:rPr>
          <w:rFonts w:hint="eastAsia" w:ascii="宋体" w:hAnsi="宋体" w:cs="宋体"/>
          <w:color w:val="auto"/>
          <w:highlight w:val="none"/>
        </w:rPr>
        <w:t>八、其他事项</w:t>
      </w:r>
    </w:p>
    <w:p w14:paraId="749A8CA5">
      <w:pPr>
        <w:pStyle w:val="6"/>
        <w:keepNext w:val="0"/>
        <w:keepLines w:val="0"/>
        <w:spacing w:before="0" w:after="0" w:line="340" w:lineRule="exact"/>
        <w:ind w:left="420" w:leftChars="200"/>
        <w:rPr>
          <w:rFonts w:ascii="宋体" w:hAnsi="宋体" w:cs="宋体"/>
          <w:color w:val="auto"/>
          <w:sz w:val="24"/>
          <w:highlight w:val="none"/>
        </w:rPr>
      </w:pPr>
      <w:bookmarkStart w:id="131" w:name="_42.代理服务费"/>
      <w:bookmarkEnd w:id="131"/>
      <w:r>
        <w:rPr>
          <w:rFonts w:hint="eastAsia" w:ascii="宋体" w:hAnsi="宋体" w:cs="宋体"/>
          <w:color w:val="auto"/>
          <w:sz w:val="24"/>
          <w:highlight w:val="none"/>
        </w:rPr>
        <w:t>39.代理服务费</w:t>
      </w:r>
    </w:p>
    <w:p w14:paraId="609F55E5">
      <w:pPr>
        <w:pStyle w:val="6"/>
        <w:keepNext w:val="0"/>
        <w:keepLines w:val="0"/>
        <w:spacing w:before="0" w:after="0" w:line="34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代理服务收取标准及缴费账户详见“投标人须知前附表”，投标人为联合体的，可以由联合体中的一方或者多方共同交纳代理服务费。</w:t>
      </w:r>
    </w:p>
    <w:p w14:paraId="3990396D">
      <w:pPr>
        <w:pStyle w:val="6"/>
        <w:keepNext w:val="0"/>
        <w:keepLines w:val="0"/>
        <w:spacing w:before="0" w:after="0" w:line="340" w:lineRule="exact"/>
        <w:ind w:left="420" w:leftChars="200"/>
        <w:rPr>
          <w:rFonts w:ascii="宋体" w:hAnsi="宋体" w:cs="宋体"/>
          <w:color w:val="auto"/>
          <w:sz w:val="24"/>
          <w:highlight w:val="none"/>
        </w:rPr>
      </w:pPr>
      <w:r>
        <w:rPr>
          <w:rFonts w:hint="eastAsia" w:ascii="宋体" w:hAnsi="宋体" w:cs="宋体"/>
          <w:color w:val="auto"/>
          <w:sz w:val="24"/>
          <w:highlight w:val="none"/>
        </w:rPr>
        <w:t>40. 需要补充的其他内容</w:t>
      </w:r>
    </w:p>
    <w:p w14:paraId="69804AF6">
      <w:pPr>
        <w:pStyle w:val="25"/>
        <w:spacing w:before="120" w:after="120" w:line="340" w:lineRule="exact"/>
        <w:ind w:firstLine="420" w:firstLineChars="200"/>
        <w:contextualSpacing/>
        <w:rPr>
          <w:rFonts w:hAnsi="宋体" w:cs="宋体"/>
          <w:color w:val="auto"/>
          <w:sz w:val="21"/>
          <w:highlight w:val="none"/>
        </w:rPr>
      </w:pPr>
      <w:r>
        <w:rPr>
          <w:rFonts w:hint="eastAsia" w:hAnsi="宋体" w:cs="宋体"/>
          <w:color w:val="auto"/>
          <w:sz w:val="21"/>
          <w:highlight w:val="none"/>
        </w:rPr>
        <w:t>40.1本招标文件解释规则详见“投标人须知前附表”。</w:t>
      </w:r>
    </w:p>
    <w:p w14:paraId="06BEB1D1">
      <w:pPr>
        <w:pStyle w:val="25"/>
        <w:spacing w:before="120" w:after="120" w:line="340" w:lineRule="exact"/>
        <w:ind w:firstLine="420" w:firstLineChars="200"/>
        <w:contextualSpacing/>
        <w:rPr>
          <w:rFonts w:hAnsi="宋体" w:cs="宋体"/>
          <w:color w:val="auto"/>
          <w:sz w:val="21"/>
          <w:highlight w:val="none"/>
        </w:rPr>
      </w:pPr>
      <w:r>
        <w:rPr>
          <w:rFonts w:hint="eastAsia" w:hAnsi="宋体" w:cs="宋体"/>
          <w:color w:val="auto"/>
          <w:sz w:val="21"/>
          <w:highlight w:val="none"/>
        </w:rPr>
        <w:t>40.2 其他事项详见“投标人须知前附表”。</w:t>
      </w:r>
    </w:p>
    <w:p w14:paraId="397ECBB7">
      <w:pPr>
        <w:pStyle w:val="25"/>
        <w:spacing w:before="120" w:after="120" w:line="340" w:lineRule="exact"/>
        <w:ind w:firstLine="420" w:firstLineChars="200"/>
        <w:contextualSpacing/>
        <w:rPr>
          <w:rFonts w:hAnsi="宋体" w:cs="宋体"/>
          <w:color w:val="auto"/>
          <w:sz w:val="21"/>
          <w:highlight w:val="none"/>
        </w:rPr>
      </w:pPr>
      <w:r>
        <w:rPr>
          <w:rFonts w:hint="eastAsia" w:hAnsi="宋体" w:cs="宋体"/>
          <w:color w:val="auto"/>
          <w:sz w:val="21"/>
          <w:highlight w:val="none"/>
        </w:rPr>
        <w:t>40.3</w:t>
      </w:r>
      <w:bookmarkStart w:id="132" w:name="_Hlk65857140"/>
      <w:r>
        <w:rPr>
          <w:rFonts w:hint="eastAsia" w:hAnsi="宋体" w:cs="宋体"/>
          <w:color w:val="auto"/>
          <w:sz w:val="21"/>
          <w:highlight w:val="none"/>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1B033DD7">
      <w:pPr>
        <w:pStyle w:val="25"/>
        <w:spacing w:before="120" w:after="120" w:line="340" w:lineRule="exact"/>
        <w:ind w:firstLine="420" w:firstLineChars="200"/>
        <w:contextualSpacing/>
        <w:rPr>
          <w:rFonts w:hAnsi="宋体" w:cs="宋体"/>
          <w:color w:val="auto"/>
          <w:sz w:val="21"/>
          <w:highlight w:val="none"/>
        </w:rPr>
      </w:pPr>
      <w:r>
        <w:rPr>
          <w:rFonts w:hint="eastAsia" w:hAnsi="宋体" w:cs="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3E5A10EA">
      <w:pPr>
        <w:pStyle w:val="25"/>
        <w:spacing w:before="120" w:after="120" w:line="340" w:lineRule="exact"/>
        <w:ind w:firstLine="420" w:firstLineChars="200"/>
        <w:contextualSpacing/>
        <w:rPr>
          <w:rFonts w:hAnsi="宋体" w:cs="宋体"/>
          <w:color w:val="auto"/>
          <w:sz w:val="21"/>
          <w:highlight w:val="none"/>
        </w:rPr>
      </w:pPr>
      <w:r>
        <w:rPr>
          <w:rFonts w:hint="eastAsia" w:hAnsi="宋体" w:cs="宋体"/>
          <w:color w:val="auto"/>
          <w:sz w:val="21"/>
          <w:highlight w:val="none"/>
        </w:rPr>
        <w:t>（2）在工程采购项目中，工程由中小企业承建，即工程施工单位为中小企业，不对其中涉及的货物的制造商和服务的承接商作出要求；</w:t>
      </w:r>
    </w:p>
    <w:p w14:paraId="0182D012">
      <w:pPr>
        <w:pStyle w:val="25"/>
        <w:spacing w:before="120" w:after="120" w:line="340" w:lineRule="exact"/>
        <w:ind w:firstLine="420" w:firstLineChars="200"/>
        <w:contextualSpacing/>
        <w:rPr>
          <w:rFonts w:hAnsi="宋体" w:cs="宋体"/>
          <w:color w:val="auto"/>
          <w:sz w:val="21"/>
          <w:highlight w:val="none"/>
        </w:rPr>
      </w:pPr>
      <w:r>
        <w:rPr>
          <w:rFonts w:hint="eastAsia" w:hAnsi="宋体" w:cs="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60BFA32D">
      <w:pPr>
        <w:pStyle w:val="25"/>
        <w:spacing w:before="120" w:after="120" w:line="340" w:lineRule="exact"/>
        <w:ind w:firstLine="420" w:firstLineChars="200"/>
        <w:contextualSpacing/>
        <w:rPr>
          <w:rFonts w:hAnsi="宋体" w:cs="宋体"/>
          <w:color w:val="auto"/>
          <w:sz w:val="21"/>
          <w:highlight w:val="none"/>
        </w:rPr>
      </w:pPr>
      <w:r>
        <w:rPr>
          <w:rFonts w:hint="eastAsia" w:hAnsi="宋体" w:cs="宋体"/>
          <w:color w:val="auto"/>
          <w:sz w:val="21"/>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3E30B21B">
      <w:pPr>
        <w:pStyle w:val="25"/>
        <w:spacing w:before="120" w:after="120" w:line="340" w:lineRule="exact"/>
        <w:ind w:firstLine="420" w:firstLineChars="200"/>
        <w:contextualSpacing/>
        <w:rPr>
          <w:rFonts w:hAnsi="宋体" w:cs="宋体"/>
          <w:color w:val="auto"/>
          <w:sz w:val="21"/>
          <w:highlight w:val="none"/>
        </w:rPr>
      </w:pPr>
      <w:r>
        <w:rPr>
          <w:rFonts w:hint="eastAsia" w:hAnsi="宋体" w:cs="宋体"/>
          <w:color w:val="auto"/>
          <w:sz w:val="21"/>
          <w:highlight w:val="none"/>
        </w:rPr>
        <w:t>依据本招标文件规定享受扶持政策获得政府采购合同的，小微企业不得将合同分包给大中型企业，中型企业不得将合同分包给大型企业。</w:t>
      </w:r>
      <w:bookmarkEnd w:id="132"/>
    </w:p>
    <w:p w14:paraId="61ADC5AF">
      <w:pPr>
        <w:pStyle w:val="6"/>
        <w:keepNext w:val="0"/>
        <w:keepLines w:val="0"/>
        <w:spacing w:before="0" w:after="0" w:line="400" w:lineRule="exact"/>
        <w:ind w:left="420" w:leftChars="200"/>
        <w:rPr>
          <w:rFonts w:ascii="宋体" w:hAnsi="宋体" w:cs="宋体"/>
          <w:color w:val="auto"/>
          <w:sz w:val="24"/>
          <w:highlight w:val="none"/>
        </w:rPr>
      </w:pPr>
      <w:r>
        <w:rPr>
          <w:rFonts w:hint="eastAsia" w:ascii="宋体" w:hAnsi="宋体" w:cs="宋体"/>
          <w:color w:val="auto"/>
          <w:sz w:val="24"/>
          <w:highlight w:val="none"/>
        </w:rPr>
        <w:t>41.广西线上“政采贷”政策详见附表2。</w:t>
      </w:r>
    </w:p>
    <w:p w14:paraId="173D2019">
      <w:pPr>
        <w:widowControl/>
        <w:jc w:val="left"/>
        <w:rPr>
          <w:rFonts w:ascii="宋体" w:hAnsi="宋体" w:cs="宋体"/>
          <w:b/>
          <w:bCs/>
          <w:color w:val="auto"/>
          <w:sz w:val="24"/>
          <w:highlight w:val="none"/>
        </w:rPr>
      </w:pPr>
      <w:r>
        <w:rPr>
          <w:rFonts w:hint="eastAsia" w:ascii="宋体" w:hAnsi="宋体" w:cs="宋体"/>
          <w:b/>
          <w:bCs/>
          <w:color w:val="auto"/>
          <w:sz w:val="24"/>
          <w:highlight w:val="none"/>
        </w:rPr>
        <w:br w:type="page"/>
      </w:r>
    </w:p>
    <w:p w14:paraId="67F82AD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附表1：</w:t>
      </w:r>
    </w:p>
    <w:p w14:paraId="251564DE">
      <w:pPr>
        <w:spacing w:line="360" w:lineRule="auto"/>
        <w:ind w:left="25" w:leftChars="12" w:firstLine="472" w:firstLineChars="147"/>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广西壮族自治区政府采购项目合同验收书（格式）</w:t>
      </w:r>
    </w:p>
    <w:p w14:paraId="2F703B60">
      <w:pPr>
        <w:spacing w:after="120"/>
        <w:rPr>
          <w:rFonts w:ascii="宋体" w:hAnsi="宋体" w:cs="宋体"/>
          <w:color w:val="auto"/>
          <w:highlight w:val="none"/>
        </w:rPr>
      </w:pPr>
    </w:p>
    <w:p w14:paraId="41735FF4">
      <w:pPr>
        <w:widowControl/>
        <w:shd w:val="clear" w:color="auto" w:fill="FFFFFF"/>
        <w:snapToGrid w:val="0"/>
        <w:spacing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政府采购项目中标人（</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提供的货物（或者工程、服务）进行了验收，验收情况如下：</w:t>
      </w:r>
    </w:p>
    <w:tbl>
      <w:tblPr>
        <w:tblStyle w:val="47"/>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439A9960">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753D2E25">
            <w:pPr>
              <w:widowControl/>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14:paraId="5D3BC3D7">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□自行验收 □委托验收</w:t>
            </w:r>
          </w:p>
        </w:tc>
      </w:tr>
      <w:tr w14:paraId="3EC7CD32">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03967369">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14:paraId="7E438E52">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14:paraId="4FE15E08">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06417FF9">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14:paraId="53AE01CF">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金额</w:t>
            </w:r>
          </w:p>
        </w:tc>
      </w:tr>
      <w:tr w14:paraId="4AAD9E7C">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34FDAAF4">
            <w:pPr>
              <w:widowControl/>
              <w:spacing w:before="100" w:beforeAutospacing="1" w:after="100" w:afterAutospacing="1" w:line="240" w:lineRule="atLeast"/>
              <w:jc w:val="center"/>
              <w:rPr>
                <w:rFonts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215D29D2">
            <w:pPr>
              <w:widowControl/>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6E97F1D4">
            <w:pPr>
              <w:widowControl/>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6D9FEE0D">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1EF0A5C9">
            <w:pPr>
              <w:widowControl/>
              <w:spacing w:before="100" w:beforeAutospacing="1" w:after="100" w:afterAutospacing="1" w:line="240" w:lineRule="atLeast"/>
              <w:jc w:val="center"/>
              <w:rPr>
                <w:rFonts w:ascii="宋体" w:hAnsi="宋体" w:cs="宋体"/>
                <w:color w:val="auto"/>
                <w:kern w:val="0"/>
                <w:szCs w:val="21"/>
                <w:highlight w:val="none"/>
              </w:rPr>
            </w:pPr>
          </w:p>
        </w:tc>
      </w:tr>
      <w:tr w14:paraId="760CD2DD">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23024257">
            <w:pPr>
              <w:widowControl/>
              <w:spacing w:before="100" w:beforeAutospacing="1" w:after="100" w:afterAutospacing="1" w:line="240" w:lineRule="atLeast"/>
              <w:jc w:val="center"/>
              <w:rPr>
                <w:rFonts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16DEBDCD">
            <w:pPr>
              <w:widowControl/>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467768BD">
            <w:pPr>
              <w:widowControl/>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06FD9E7E">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5AF7E689">
            <w:pPr>
              <w:widowControl/>
              <w:spacing w:before="100" w:beforeAutospacing="1" w:after="100" w:afterAutospacing="1" w:line="240" w:lineRule="atLeast"/>
              <w:jc w:val="center"/>
              <w:rPr>
                <w:rFonts w:ascii="宋体" w:hAnsi="宋体" w:cs="宋体"/>
                <w:color w:val="auto"/>
                <w:kern w:val="0"/>
                <w:szCs w:val="21"/>
                <w:highlight w:val="none"/>
              </w:rPr>
            </w:pPr>
          </w:p>
        </w:tc>
      </w:tr>
      <w:tr w14:paraId="4846B581">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5160AF9F">
            <w:pPr>
              <w:widowControl/>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合计</w:t>
            </w:r>
          </w:p>
        </w:tc>
        <w:tc>
          <w:tcPr>
            <w:tcW w:w="863" w:type="dxa"/>
            <w:gridSpan w:val="2"/>
            <w:tcBorders>
              <w:top w:val="nil"/>
              <w:left w:val="nil"/>
              <w:bottom w:val="single" w:color="auto" w:sz="8" w:space="0"/>
              <w:right w:val="single" w:color="auto" w:sz="8" w:space="0"/>
            </w:tcBorders>
            <w:vAlign w:val="center"/>
          </w:tcPr>
          <w:p w14:paraId="6E7A0E8B">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36D4F0A6">
            <w:pPr>
              <w:widowControl/>
              <w:spacing w:before="100" w:beforeAutospacing="1" w:after="100" w:afterAutospacing="1" w:line="240" w:lineRule="atLeast"/>
              <w:jc w:val="center"/>
              <w:rPr>
                <w:rFonts w:ascii="宋体" w:hAnsi="宋体" w:cs="宋体"/>
                <w:color w:val="auto"/>
                <w:kern w:val="0"/>
                <w:szCs w:val="21"/>
                <w:highlight w:val="none"/>
              </w:rPr>
            </w:pPr>
          </w:p>
        </w:tc>
      </w:tr>
      <w:tr w14:paraId="372C2ECF">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13758196">
            <w:pPr>
              <w:widowControl/>
              <w:snapToGrid w:val="0"/>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合计大写金额：仟佰拾万仟佰拾元</w:t>
            </w:r>
          </w:p>
        </w:tc>
      </w:tr>
      <w:tr w14:paraId="341C0857">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2FECEAB2">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14:paraId="4E0999A0">
            <w:pPr>
              <w:widowControl/>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13A0C0B8">
            <w:pPr>
              <w:widowControl/>
              <w:snapToGrid w:val="0"/>
              <w:spacing w:before="100" w:beforeAutospacing="1" w:after="100" w:afterAutospacing="1" w:line="320" w:lineRule="atLeast"/>
              <w:ind w:firstLine="46"/>
              <w:jc w:val="center"/>
              <w:rPr>
                <w:rFonts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14:paraId="57063613">
            <w:pPr>
              <w:widowControl/>
              <w:spacing w:before="100" w:beforeAutospacing="1" w:after="100" w:afterAutospacing="1" w:line="240" w:lineRule="atLeast"/>
              <w:jc w:val="center"/>
              <w:rPr>
                <w:rFonts w:ascii="宋体" w:hAnsi="宋体" w:cs="宋体"/>
                <w:color w:val="auto"/>
                <w:kern w:val="0"/>
                <w:szCs w:val="21"/>
                <w:highlight w:val="none"/>
              </w:rPr>
            </w:pPr>
          </w:p>
        </w:tc>
      </w:tr>
      <w:tr w14:paraId="6C27C1A2">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1F42F7C9">
            <w:pPr>
              <w:widowControl/>
              <w:spacing w:before="100" w:beforeAutospacing="1" w:after="100" w:afterAutospacing="1" w:line="240" w:lineRule="atLeast"/>
              <w:jc w:val="center"/>
              <w:rPr>
                <w:rFonts w:ascii="宋体" w:hAnsi="宋体" w:cs="宋体"/>
                <w:color w:val="auto"/>
                <w:kern w:val="0"/>
                <w:szCs w:val="21"/>
                <w:highlight w:val="none"/>
              </w:rPr>
            </w:pPr>
          </w:p>
        </w:tc>
        <w:tc>
          <w:tcPr>
            <w:tcW w:w="2421" w:type="dxa"/>
            <w:gridSpan w:val="2"/>
            <w:tcBorders>
              <w:top w:val="nil"/>
              <w:left w:val="nil"/>
              <w:bottom w:val="single" w:color="auto" w:sz="8" w:space="0"/>
              <w:right w:val="single" w:color="auto" w:sz="8" w:space="0"/>
            </w:tcBorders>
            <w:vAlign w:val="center"/>
          </w:tcPr>
          <w:p w14:paraId="2A3F87FF">
            <w:pPr>
              <w:widowControl/>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79723EC1">
            <w:pPr>
              <w:widowControl/>
              <w:spacing w:before="100" w:beforeAutospacing="1" w:after="100" w:afterAutospacing="1" w:line="240" w:lineRule="atLeast"/>
              <w:jc w:val="center"/>
              <w:rPr>
                <w:rFonts w:ascii="宋体" w:hAnsi="宋体" w:cs="宋体"/>
                <w:color w:val="auto"/>
                <w:kern w:val="0"/>
                <w:szCs w:val="21"/>
                <w:highlight w:val="none"/>
              </w:rPr>
            </w:pPr>
          </w:p>
        </w:tc>
        <w:tc>
          <w:tcPr>
            <w:tcW w:w="2113" w:type="dxa"/>
            <w:gridSpan w:val="2"/>
            <w:tcBorders>
              <w:top w:val="nil"/>
              <w:left w:val="nil"/>
              <w:bottom w:val="single" w:color="auto" w:sz="8" w:space="0"/>
              <w:right w:val="single" w:color="auto" w:sz="8" w:space="0"/>
            </w:tcBorders>
            <w:vAlign w:val="center"/>
          </w:tcPr>
          <w:p w14:paraId="69BD7169">
            <w:pPr>
              <w:widowControl/>
              <w:spacing w:before="100" w:beforeAutospacing="1" w:after="100" w:afterAutospacing="1" w:line="240" w:lineRule="atLeast"/>
              <w:jc w:val="center"/>
              <w:rPr>
                <w:rFonts w:ascii="宋体" w:hAnsi="宋体" w:cs="宋体"/>
                <w:color w:val="auto"/>
                <w:kern w:val="0"/>
                <w:szCs w:val="21"/>
                <w:highlight w:val="none"/>
              </w:rPr>
            </w:pPr>
          </w:p>
        </w:tc>
      </w:tr>
      <w:tr w14:paraId="75834C8A">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4C43969">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2DC90E55">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应按采购合同、招标文件、投标文件及验收方案等进行验收；并核对中标人在安装调试等方面是否违反合同约定或者服务规范要求、提供的质量保证证明材料是否齐全、应有的配件及附件是否达到合同约定等。可附件)</w:t>
            </w:r>
          </w:p>
        </w:tc>
      </w:tr>
      <w:tr w14:paraId="75F947C1">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9EDFE71">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14:paraId="39CBCE64">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验收结论性意见：</w:t>
            </w:r>
          </w:p>
        </w:tc>
      </w:tr>
      <w:tr w14:paraId="0E43F9BB">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1829567A">
            <w:pPr>
              <w:widowControl/>
              <w:jc w:val="left"/>
              <w:rPr>
                <w:rFonts w:ascii="宋体" w:hAnsi="宋体" w:cs="宋体"/>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14:paraId="0FAAB003">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14:paraId="13775A3E">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签字：</w:t>
            </w:r>
          </w:p>
        </w:tc>
      </w:tr>
      <w:tr w14:paraId="5BC6140D">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BF93153">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28A56F75">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166C2FC">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监督人员或者其他相关人员签字：</w:t>
            </w:r>
          </w:p>
          <w:p w14:paraId="02FFB95A">
            <w:pPr>
              <w:widowControl/>
              <w:spacing w:before="100" w:beforeAutospacing="1" w:after="100" w:afterAutospacing="1" w:line="320" w:lineRule="atLeast"/>
              <w:ind w:firstLine="74"/>
              <w:jc w:val="left"/>
              <w:rPr>
                <w:rFonts w:ascii="宋体" w:hAnsi="宋体" w:cs="宋体"/>
                <w:color w:val="auto"/>
                <w:kern w:val="0"/>
                <w:szCs w:val="21"/>
                <w:highlight w:val="none"/>
              </w:rPr>
            </w:pPr>
            <w:r>
              <w:rPr>
                <w:rFonts w:hint="eastAsia" w:ascii="宋体" w:hAnsi="宋体" w:cs="宋体"/>
                <w:color w:val="auto"/>
                <w:kern w:val="0"/>
                <w:szCs w:val="21"/>
                <w:highlight w:val="none"/>
              </w:rPr>
              <w:t>或者受邀机构的意见（盖章）：</w:t>
            </w:r>
          </w:p>
        </w:tc>
      </w:tr>
      <w:tr w14:paraId="6B218F3B">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5DD24C54">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中标人负责人签字或者盖章：</w:t>
            </w:r>
          </w:p>
          <w:p w14:paraId="303FE971">
            <w:pPr>
              <w:widowControl/>
              <w:spacing w:before="100" w:beforeAutospacing="1" w:after="100" w:afterAutospacing="1" w:line="320" w:lineRule="atLeast"/>
              <w:jc w:val="left"/>
              <w:rPr>
                <w:rFonts w:ascii="宋体" w:hAnsi="宋体" w:cs="宋体"/>
                <w:color w:val="auto"/>
                <w:kern w:val="0"/>
                <w:szCs w:val="21"/>
                <w:highlight w:val="none"/>
              </w:rPr>
            </w:pPr>
          </w:p>
          <w:p w14:paraId="19A74268">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c>
          <w:tcPr>
            <w:tcW w:w="4293" w:type="dxa"/>
            <w:gridSpan w:val="4"/>
            <w:tcBorders>
              <w:top w:val="nil"/>
              <w:left w:val="nil"/>
              <w:bottom w:val="single" w:color="auto" w:sz="8" w:space="0"/>
              <w:right w:val="single" w:color="auto" w:sz="8" w:space="0"/>
            </w:tcBorders>
            <w:vAlign w:val="center"/>
          </w:tcPr>
          <w:p w14:paraId="66A714D9">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采购人或者受托机构的意见（盖章）：</w:t>
            </w:r>
          </w:p>
          <w:p w14:paraId="1B9AC7B6">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p>
          <w:p w14:paraId="7FBBEAD2">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r>
    </w:tbl>
    <w:p w14:paraId="3FDFBC1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br w:type="page"/>
      </w:r>
    </w:p>
    <w:p w14:paraId="5C9C263B">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附表2：</w:t>
      </w:r>
    </w:p>
    <w:p w14:paraId="71AE44E1">
      <w:pPr>
        <w:rPr>
          <w:rFonts w:ascii="宋体" w:hAnsi="宋体" w:cs="宋体"/>
          <w:b/>
          <w:color w:val="auto"/>
          <w:sz w:val="24"/>
          <w:highlight w:val="none"/>
        </w:rPr>
      </w:pPr>
      <w:r>
        <w:rPr>
          <w:rFonts w:hint="eastAsia" w:ascii="宋体" w:hAnsi="宋体" w:cs="宋体"/>
          <w:b/>
          <w:color w:val="auto"/>
          <w:kern w:val="0"/>
          <w:sz w:val="24"/>
          <w:szCs w:val="21"/>
          <w:highlight w:val="none"/>
        </w:rPr>
        <w:drawing>
          <wp:inline distT="0" distB="0" distL="0" distR="0">
            <wp:extent cx="5287010" cy="5821045"/>
            <wp:effectExtent l="19050" t="0" r="8890" b="0"/>
            <wp:docPr id="2" name="图片 2" descr="C:\Users\Administrator\AppData\Roaming\Tencent\Users\84332323\QQ\WinTemp\RichOle\IBTSMDNQID2EUB%25252525252525252525257b1%25252525252525252525255d6~P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Roaming\Tencent\Users\84332323\QQ\WinTemp\RichOle\IBTSMDNQID2EUB%25252525252525252525257b1%25252525252525252525255d6~PD(5.png"/>
                    <pic:cNvPicPr>
                      <a:picLocks noChangeAspect="1" noChangeArrowheads="1"/>
                    </pic:cNvPicPr>
                  </pic:nvPicPr>
                  <pic:blipFill>
                    <a:blip r:embed="rId17" r:link="rId18" cstate="print"/>
                    <a:srcRect/>
                    <a:stretch>
                      <a:fillRect/>
                    </a:stretch>
                  </pic:blipFill>
                  <pic:spPr>
                    <a:xfrm>
                      <a:off x="0" y="0"/>
                      <a:ext cx="5287010" cy="5821045"/>
                    </a:xfrm>
                    <a:prstGeom prst="rect">
                      <a:avLst/>
                    </a:prstGeom>
                    <a:noFill/>
                    <a:ln w="9525">
                      <a:noFill/>
                      <a:miter lim="800000"/>
                      <a:headEnd/>
                      <a:tailEnd/>
                    </a:ln>
                  </pic:spPr>
                </pic:pic>
              </a:graphicData>
            </a:graphic>
          </wp:inline>
        </w:drawing>
      </w:r>
    </w:p>
    <w:p w14:paraId="00248868">
      <w:pPr>
        <w:rPr>
          <w:rFonts w:ascii="宋体" w:hAnsi="宋体" w:cs="宋体"/>
          <w:b/>
          <w:color w:val="auto"/>
          <w:sz w:val="24"/>
          <w:highlight w:val="none"/>
        </w:rPr>
      </w:pPr>
    </w:p>
    <w:p w14:paraId="24B3FC47">
      <w:pPr>
        <w:pStyle w:val="25"/>
        <w:spacing w:before="120" w:after="120" w:line="400" w:lineRule="exact"/>
        <w:ind w:firstLine="420" w:firstLineChars="200"/>
        <w:contextualSpacing/>
        <w:rPr>
          <w:rFonts w:hAnsi="宋体" w:cs="宋体"/>
          <w:color w:val="auto"/>
          <w:sz w:val="21"/>
          <w:highlight w:val="none"/>
        </w:rPr>
      </w:pPr>
    </w:p>
    <w:p w14:paraId="742DE539">
      <w:pPr>
        <w:widowControl/>
        <w:jc w:val="left"/>
        <w:rPr>
          <w:rFonts w:ascii="宋体" w:hAnsi="宋体" w:cs="宋体"/>
          <w:color w:val="auto"/>
          <w:kern w:val="0"/>
          <w:szCs w:val="21"/>
          <w:highlight w:val="none"/>
        </w:rPr>
      </w:pPr>
      <w:r>
        <w:rPr>
          <w:rFonts w:hint="eastAsia" w:ascii="宋体" w:hAnsi="宋体" w:cs="宋体"/>
          <w:color w:val="auto"/>
          <w:highlight w:val="none"/>
        </w:rPr>
        <w:br w:type="page"/>
      </w:r>
    </w:p>
    <w:p w14:paraId="6C47AEBF">
      <w:pPr>
        <w:pStyle w:val="25"/>
        <w:spacing w:before="120" w:after="120" w:line="400" w:lineRule="exact"/>
        <w:ind w:firstLine="420" w:firstLineChars="200"/>
        <w:contextualSpacing/>
        <w:rPr>
          <w:rFonts w:hAnsi="宋体" w:cs="宋体"/>
          <w:color w:val="auto"/>
          <w:sz w:val="21"/>
          <w:highlight w:val="none"/>
        </w:rPr>
      </w:pPr>
    </w:p>
    <w:p w14:paraId="41EBFF5F">
      <w:pPr>
        <w:pStyle w:val="19"/>
        <w:ind w:left="479" w:leftChars="114" w:hanging="240" w:hangingChars="100"/>
        <w:rPr>
          <w:rFonts w:ascii="宋体" w:hAnsi="宋体" w:cs="宋体"/>
          <w:color w:val="auto"/>
          <w:highlight w:val="none"/>
        </w:rPr>
      </w:pPr>
    </w:p>
    <w:p w14:paraId="600A30F9">
      <w:pPr>
        <w:pStyle w:val="25"/>
        <w:snapToGrid w:val="0"/>
        <w:spacing w:before="120" w:after="120"/>
        <w:rPr>
          <w:rFonts w:hAnsi="宋体" w:cs="宋体"/>
          <w:color w:val="auto"/>
          <w:highlight w:val="none"/>
        </w:rPr>
      </w:pPr>
    </w:p>
    <w:p w14:paraId="6F4DC6D1">
      <w:pPr>
        <w:pStyle w:val="25"/>
        <w:snapToGrid w:val="0"/>
        <w:spacing w:before="120" w:after="120"/>
        <w:rPr>
          <w:rFonts w:hAnsi="宋体" w:cs="宋体"/>
          <w:color w:val="auto"/>
          <w:highlight w:val="none"/>
        </w:rPr>
      </w:pPr>
    </w:p>
    <w:p w14:paraId="534CF986">
      <w:pPr>
        <w:pStyle w:val="25"/>
        <w:snapToGrid w:val="0"/>
        <w:spacing w:before="120" w:after="120"/>
        <w:rPr>
          <w:rFonts w:hAnsi="宋体" w:cs="宋体"/>
          <w:color w:val="auto"/>
          <w:highlight w:val="none"/>
        </w:rPr>
      </w:pPr>
    </w:p>
    <w:p w14:paraId="301E56AB">
      <w:pPr>
        <w:pStyle w:val="25"/>
        <w:snapToGrid w:val="0"/>
        <w:spacing w:before="120" w:after="120"/>
        <w:rPr>
          <w:rFonts w:hAnsi="宋体" w:cs="宋体"/>
          <w:color w:val="auto"/>
          <w:highlight w:val="none"/>
        </w:rPr>
      </w:pPr>
    </w:p>
    <w:p w14:paraId="0F0FDA21">
      <w:pPr>
        <w:pStyle w:val="25"/>
        <w:snapToGrid w:val="0"/>
        <w:spacing w:before="120" w:after="120"/>
        <w:rPr>
          <w:rFonts w:hAnsi="宋体" w:cs="宋体"/>
          <w:color w:val="auto"/>
          <w:highlight w:val="none"/>
        </w:rPr>
      </w:pPr>
    </w:p>
    <w:p w14:paraId="166FA363">
      <w:pPr>
        <w:pStyle w:val="25"/>
        <w:snapToGrid w:val="0"/>
        <w:spacing w:before="120" w:after="120"/>
        <w:rPr>
          <w:rFonts w:hAnsi="宋体" w:cs="宋体"/>
          <w:color w:val="auto"/>
          <w:highlight w:val="none"/>
        </w:rPr>
      </w:pPr>
    </w:p>
    <w:p w14:paraId="3FDFBAD0">
      <w:pPr>
        <w:pStyle w:val="25"/>
        <w:snapToGrid w:val="0"/>
        <w:spacing w:before="120" w:after="120"/>
        <w:rPr>
          <w:rFonts w:hAnsi="宋体" w:cs="宋体"/>
          <w:color w:val="auto"/>
          <w:highlight w:val="none"/>
        </w:rPr>
      </w:pPr>
    </w:p>
    <w:p w14:paraId="749F4057">
      <w:pPr>
        <w:pStyle w:val="3"/>
        <w:jc w:val="center"/>
        <w:rPr>
          <w:rFonts w:ascii="宋体" w:hAnsi="宋体" w:cs="宋体"/>
          <w:color w:val="auto"/>
          <w:highlight w:val="none"/>
        </w:rPr>
      </w:pPr>
      <w:bookmarkStart w:id="133" w:name="_Toc254970548"/>
      <w:bookmarkStart w:id="134" w:name="_Toc330456896"/>
      <w:bookmarkStart w:id="135" w:name="_Toc254970689"/>
      <w:bookmarkStart w:id="136" w:name="_Toc74320803"/>
    </w:p>
    <w:p w14:paraId="01F048F3">
      <w:pPr>
        <w:rPr>
          <w:rFonts w:ascii="宋体" w:hAnsi="宋体" w:cs="宋体"/>
          <w:color w:val="auto"/>
          <w:highlight w:val="none"/>
        </w:rPr>
      </w:pPr>
    </w:p>
    <w:p w14:paraId="7B915A49">
      <w:pPr>
        <w:pStyle w:val="3"/>
        <w:jc w:val="center"/>
        <w:rPr>
          <w:rFonts w:ascii="宋体" w:hAnsi="宋体" w:cs="宋体"/>
          <w:color w:val="auto"/>
          <w:highlight w:val="none"/>
        </w:rPr>
      </w:pPr>
      <w:bookmarkStart w:id="137" w:name="_Toc143259164"/>
      <w:r>
        <w:rPr>
          <w:rFonts w:hint="eastAsia" w:ascii="宋体" w:hAnsi="宋体" w:cs="宋体"/>
          <w:color w:val="auto"/>
          <w:highlight w:val="none"/>
        </w:rPr>
        <w:t>第四章 评标方法及评标标准</w:t>
      </w:r>
      <w:bookmarkEnd w:id="133"/>
      <w:bookmarkEnd w:id="134"/>
      <w:bookmarkEnd w:id="135"/>
      <w:bookmarkEnd w:id="136"/>
      <w:bookmarkEnd w:id="137"/>
    </w:p>
    <w:p w14:paraId="13C6AD51">
      <w:pPr>
        <w:pStyle w:val="25"/>
        <w:spacing w:before="120" w:after="120"/>
        <w:outlineLvl w:val="0"/>
        <w:rPr>
          <w:rFonts w:hAnsi="宋体" w:cs="宋体"/>
          <w:b/>
          <w:color w:val="auto"/>
          <w:highlight w:val="none"/>
        </w:rPr>
      </w:pPr>
      <w:bookmarkStart w:id="138" w:name="_Toc254970690"/>
      <w:bookmarkStart w:id="139" w:name="_Toc254970549"/>
    </w:p>
    <w:bookmarkEnd w:id="138"/>
    <w:bookmarkEnd w:id="139"/>
    <w:p w14:paraId="2A0B199D">
      <w:pPr>
        <w:pStyle w:val="25"/>
        <w:spacing w:before="120" w:after="120"/>
        <w:outlineLvl w:val="0"/>
        <w:rPr>
          <w:rFonts w:hAnsi="宋体" w:cs="宋体"/>
          <w:bCs/>
          <w:color w:val="auto"/>
          <w:sz w:val="32"/>
          <w:szCs w:val="32"/>
          <w:highlight w:val="none"/>
        </w:rPr>
      </w:pPr>
    </w:p>
    <w:p w14:paraId="63BE369C">
      <w:pPr>
        <w:pStyle w:val="25"/>
        <w:spacing w:before="120" w:after="120"/>
        <w:outlineLvl w:val="0"/>
        <w:rPr>
          <w:rFonts w:hAnsi="宋体" w:cs="宋体"/>
          <w:bCs/>
          <w:color w:val="auto"/>
          <w:sz w:val="32"/>
          <w:szCs w:val="32"/>
          <w:highlight w:val="none"/>
        </w:rPr>
      </w:pPr>
    </w:p>
    <w:p w14:paraId="4847B5D4">
      <w:pPr>
        <w:pStyle w:val="25"/>
        <w:spacing w:before="120" w:after="120"/>
        <w:outlineLvl w:val="0"/>
        <w:rPr>
          <w:rFonts w:hAnsi="宋体" w:cs="宋体"/>
          <w:bCs/>
          <w:color w:val="auto"/>
          <w:sz w:val="32"/>
          <w:szCs w:val="32"/>
          <w:highlight w:val="none"/>
        </w:rPr>
      </w:pPr>
    </w:p>
    <w:p w14:paraId="547E2392">
      <w:pPr>
        <w:pStyle w:val="25"/>
        <w:spacing w:before="120" w:after="120"/>
        <w:outlineLvl w:val="0"/>
        <w:rPr>
          <w:rFonts w:hAnsi="宋体" w:cs="宋体"/>
          <w:bCs/>
          <w:color w:val="auto"/>
          <w:sz w:val="32"/>
          <w:szCs w:val="32"/>
          <w:highlight w:val="none"/>
        </w:rPr>
      </w:pPr>
    </w:p>
    <w:p w14:paraId="1C10AB42">
      <w:pPr>
        <w:pStyle w:val="25"/>
        <w:spacing w:before="120" w:after="120"/>
        <w:outlineLvl w:val="0"/>
        <w:rPr>
          <w:rFonts w:hAnsi="宋体" w:cs="宋体"/>
          <w:bCs/>
          <w:color w:val="auto"/>
          <w:sz w:val="32"/>
          <w:szCs w:val="32"/>
          <w:highlight w:val="none"/>
        </w:rPr>
      </w:pPr>
    </w:p>
    <w:p w14:paraId="03BD4697">
      <w:pPr>
        <w:widowControl/>
        <w:jc w:val="left"/>
        <w:rPr>
          <w:rFonts w:ascii="宋体" w:hAnsi="宋体" w:cs="宋体"/>
          <w:b/>
          <w:bCs/>
          <w:color w:val="auto"/>
          <w:kern w:val="0"/>
          <w:sz w:val="30"/>
          <w:szCs w:val="30"/>
          <w:highlight w:val="none"/>
        </w:rPr>
      </w:pPr>
      <w:r>
        <w:rPr>
          <w:rFonts w:hint="eastAsia" w:ascii="宋体" w:hAnsi="宋体" w:cs="宋体"/>
          <w:color w:val="auto"/>
          <w:sz w:val="30"/>
          <w:szCs w:val="30"/>
          <w:highlight w:val="none"/>
        </w:rPr>
        <w:br w:type="page"/>
      </w:r>
    </w:p>
    <w:p w14:paraId="729F1B76">
      <w:pPr>
        <w:pStyle w:val="5"/>
        <w:keepNext w:val="0"/>
        <w:keepLines w:val="0"/>
        <w:jc w:val="center"/>
        <w:rPr>
          <w:rFonts w:ascii="宋体" w:hAnsi="宋体" w:cs="宋体"/>
          <w:color w:val="auto"/>
          <w:sz w:val="30"/>
          <w:szCs w:val="30"/>
          <w:highlight w:val="none"/>
        </w:rPr>
      </w:pPr>
      <w:r>
        <w:rPr>
          <w:rFonts w:hint="eastAsia" w:ascii="宋体" w:hAnsi="宋体" w:cs="宋体"/>
          <w:color w:val="auto"/>
          <w:sz w:val="30"/>
          <w:szCs w:val="30"/>
          <w:highlight w:val="none"/>
        </w:rPr>
        <w:t>一、评标方法</w:t>
      </w:r>
    </w:p>
    <w:p w14:paraId="7DF10195">
      <w:pPr>
        <w:pStyle w:val="25"/>
        <w:spacing w:line="360" w:lineRule="auto"/>
        <w:ind w:firstLine="420"/>
        <w:rPr>
          <w:rFonts w:hAnsi="宋体" w:cs="宋体"/>
          <w:color w:val="auto"/>
          <w:sz w:val="21"/>
          <w:highlight w:val="none"/>
        </w:rPr>
      </w:pPr>
      <w:r>
        <w:rPr>
          <w:rFonts w:hint="eastAsia" w:hAnsi="宋体" w:cs="宋体"/>
          <w:color w:val="auto"/>
          <w:sz w:val="21"/>
          <w:highlight w:val="none"/>
        </w:rPr>
        <w:t>综合评分法，是指投标文件满足招标文件全部实质性要求，且按照评审因素的量化指标评审得分最高的投标人为中标候选人的评标方法。</w:t>
      </w:r>
    </w:p>
    <w:p w14:paraId="05EFB4AD">
      <w:pPr>
        <w:pStyle w:val="25"/>
        <w:spacing w:line="360" w:lineRule="auto"/>
        <w:ind w:firstLine="420"/>
        <w:rPr>
          <w:rFonts w:hAnsi="宋体" w:cs="宋体"/>
          <w:color w:val="auto"/>
          <w:sz w:val="21"/>
          <w:highlight w:val="none"/>
        </w:rPr>
      </w:pPr>
      <w:r>
        <w:rPr>
          <w:rFonts w:hint="eastAsia" w:hAnsi="宋体" w:cs="宋体"/>
          <w:color w:val="auto"/>
          <w:sz w:val="21"/>
          <w:highlight w:val="none"/>
        </w:rPr>
        <w:t>最低评标价法，是指投标文件满足招标文件全部实质性要求，且投标报价最低的投标人为中标候选人的评标方法。</w:t>
      </w:r>
    </w:p>
    <w:p w14:paraId="7810F206">
      <w:pPr>
        <w:pStyle w:val="5"/>
        <w:keepNext w:val="0"/>
        <w:keepLines w:val="0"/>
        <w:jc w:val="center"/>
        <w:rPr>
          <w:rFonts w:ascii="宋体" w:hAnsi="宋体" w:cs="宋体"/>
          <w:color w:val="auto"/>
          <w:sz w:val="30"/>
          <w:szCs w:val="30"/>
          <w:highlight w:val="none"/>
        </w:rPr>
      </w:pPr>
      <w:r>
        <w:rPr>
          <w:rFonts w:hint="eastAsia" w:ascii="宋体" w:hAnsi="宋体" w:cs="宋体"/>
          <w:color w:val="auto"/>
          <w:sz w:val="30"/>
          <w:szCs w:val="30"/>
          <w:highlight w:val="none"/>
        </w:rPr>
        <w:t>二、评标程序</w:t>
      </w:r>
    </w:p>
    <w:p w14:paraId="73385C22">
      <w:pPr>
        <w:pStyle w:val="6"/>
        <w:keepNext w:val="0"/>
        <w:keepLines w:val="0"/>
        <w:spacing w:before="0" w:after="0" w:line="38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1.符合性审查</w:t>
      </w:r>
    </w:p>
    <w:p w14:paraId="2D96DF5C">
      <w:pPr>
        <w:pStyle w:val="25"/>
        <w:snapToGrid w:val="0"/>
        <w:spacing w:line="380" w:lineRule="exact"/>
        <w:ind w:left="1" w:firstLine="420"/>
        <w:rPr>
          <w:rFonts w:hAnsi="宋体" w:cs="宋体"/>
          <w:b/>
          <w:color w:val="auto"/>
          <w:kern w:val="2"/>
          <w:sz w:val="21"/>
          <w:highlight w:val="none"/>
        </w:rPr>
      </w:pPr>
      <w:r>
        <w:rPr>
          <w:rFonts w:hint="eastAsia" w:hAnsi="宋体" w:cs="宋体"/>
          <w:b/>
          <w:color w:val="auto"/>
          <w:kern w:val="2"/>
          <w:sz w:val="21"/>
          <w:highlight w:val="none"/>
        </w:rPr>
        <w:t>评标委员会应当对符合资格的投标人的投标文件进行投标报价、商务、技术等实质性内容符合性审查，以确定其是否满足招标文件的实质性要求。</w:t>
      </w:r>
    </w:p>
    <w:p w14:paraId="0182EC89">
      <w:pPr>
        <w:pStyle w:val="6"/>
        <w:keepNext w:val="0"/>
        <w:keepLines w:val="0"/>
        <w:spacing w:before="0" w:after="0" w:line="38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2.符合性审查不通过而导致投标无效的情形</w:t>
      </w:r>
    </w:p>
    <w:p w14:paraId="35AB251D">
      <w:p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投标人的投标文件中存在对招标文件的任何实质性要求和条件的负偏离，将被视为投标无效。</w:t>
      </w:r>
    </w:p>
    <w:p w14:paraId="27F5EA89">
      <w:pPr>
        <w:pStyle w:val="6"/>
        <w:keepNext w:val="0"/>
        <w:keepLines w:val="0"/>
        <w:spacing w:before="0" w:after="0" w:line="38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2.1在报价评审时，如发现下列情形之一的，将被视为投标无效：</w:t>
      </w:r>
    </w:p>
    <w:p w14:paraId="20A9BB65">
      <w:pPr>
        <w:pStyle w:val="7"/>
        <w:numPr>
          <w:ilvl w:val="0"/>
          <w:numId w:val="6"/>
        </w:numPr>
        <w:spacing w:line="380" w:lineRule="exact"/>
        <w:ind w:firstLine="422"/>
        <w:rPr>
          <w:rFonts w:ascii="宋体" w:hAnsi="宋体" w:cs="宋体"/>
          <w:b/>
          <w:color w:val="auto"/>
          <w:szCs w:val="21"/>
          <w:highlight w:val="none"/>
        </w:rPr>
      </w:pPr>
      <w:r>
        <w:rPr>
          <w:rFonts w:hint="eastAsia" w:ascii="宋体" w:hAnsi="宋体" w:cs="宋体"/>
          <w:b/>
          <w:color w:val="auto"/>
          <w:spacing w:val="-6"/>
          <w:szCs w:val="21"/>
          <w:highlight w:val="none"/>
        </w:rPr>
        <w:t>报价文件</w:t>
      </w:r>
      <w:r>
        <w:rPr>
          <w:rFonts w:hint="eastAsia" w:ascii="宋体" w:hAnsi="宋体" w:cs="宋体"/>
          <w:b/>
          <w:color w:val="auto"/>
          <w:szCs w:val="21"/>
          <w:highlight w:val="none"/>
        </w:rPr>
        <w:t>未提供“投标人须知前附表”第13条“报价文件”规定中“必须提供”的文件资料的；</w:t>
      </w:r>
    </w:p>
    <w:p w14:paraId="490BD663">
      <w:pPr>
        <w:pStyle w:val="7"/>
        <w:numPr>
          <w:ilvl w:val="0"/>
          <w:numId w:val="6"/>
        </w:numPr>
        <w:spacing w:line="380" w:lineRule="exact"/>
        <w:ind w:firstLine="422"/>
        <w:rPr>
          <w:rFonts w:ascii="宋体" w:hAnsi="宋体" w:cs="宋体"/>
          <w:b/>
          <w:color w:val="auto"/>
          <w:szCs w:val="21"/>
          <w:highlight w:val="none"/>
        </w:rPr>
      </w:pPr>
      <w:r>
        <w:rPr>
          <w:rFonts w:hint="eastAsia" w:ascii="宋体" w:hAnsi="宋体" w:cs="宋体"/>
          <w:b/>
          <w:color w:val="auto"/>
          <w:szCs w:val="21"/>
          <w:highlight w:val="none"/>
        </w:rPr>
        <w:t>未采用人民币报价或者未按照招标文件标明的币种报价的；</w:t>
      </w:r>
    </w:p>
    <w:p w14:paraId="21ED8382">
      <w:pPr>
        <w:pStyle w:val="7"/>
        <w:numPr>
          <w:ilvl w:val="0"/>
          <w:numId w:val="6"/>
        </w:numPr>
        <w:spacing w:line="380" w:lineRule="exact"/>
        <w:ind w:firstLine="422"/>
        <w:rPr>
          <w:rFonts w:ascii="宋体" w:hAnsi="宋体" w:cs="宋体"/>
          <w:b/>
          <w:color w:val="auto"/>
          <w:szCs w:val="21"/>
          <w:highlight w:val="none"/>
        </w:rPr>
      </w:pPr>
      <w:r>
        <w:rPr>
          <w:rFonts w:hint="eastAsia" w:ascii="宋体" w:hAnsi="宋体" w:cs="宋体"/>
          <w:b/>
          <w:color w:val="auto"/>
          <w:szCs w:val="21"/>
          <w:highlight w:val="none"/>
        </w:rPr>
        <w:t>所投报价超出招标文件规定的相应最高限价，或者采购预算金额的；</w:t>
      </w:r>
    </w:p>
    <w:p w14:paraId="3C2C709E">
      <w:pPr>
        <w:pStyle w:val="7"/>
        <w:numPr>
          <w:ilvl w:val="0"/>
          <w:numId w:val="6"/>
        </w:numPr>
        <w:spacing w:line="380" w:lineRule="exact"/>
        <w:ind w:firstLine="422"/>
        <w:rPr>
          <w:rFonts w:ascii="宋体" w:hAnsi="宋体" w:cs="宋体"/>
          <w:b/>
          <w:color w:val="auto"/>
          <w:szCs w:val="21"/>
          <w:highlight w:val="none"/>
        </w:rPr>
      </w:pPr>
      <w:r>
        <w:rPr>
          <w:rFonts w:hint="eastAsia" w:ascii="宋体" w:hAnsi="宋体" w:cs="宋体"/>
          <w:b/>
          <w:color w:val="auto"/>
          <w:szCs w:val="21"/>
          <w:highlight w:val="none"/>
        </w:rPr>
        <w:t>投标人未就本项目所有内容进行报价或者存在漏项报价；投标人未就所投单项内容作唯一报价；投标人未就所投全部内容作完整唯一总价报价；存在有选择、有条件报价的（招标文件允许有备选方案或者其他约定的除外）；</w:t>
      </w:r>
    </w:p>
    <w:p w14:paraId="589DEC8E">
      <w:pPr>
        <w:pStyle w:val="7"/>
        <w:numPr>
          <w:ilvl w:val="0"/>
          <w:numId w:val="6"/>
        </w:numPr>
        <w:spacing w:line="380" w:lineRule="exact"/>
        <w:ind w:firstLine="422"/>
        <w:rPr>
          <w:rFonts w:ascii="宋体" w:hAnsi="宋体" w:cs="宋体"/>
          <w:b/>
          <w:color w:val="auto"/>
          <w:szCs w:val="21"/>
          <w:highlight w:val="none"/>
        </w:rPr>
      </w:pPr>
      <w:r>
        <w:rPr>
          <w:rFonts w:hint="eastAsia" w:ascii="宋体" w:hAnsi="宋体" w:cs="宋体"/>
          <w:b/>
          <w:color w:val="auto"/>
          <w:szCs w:val="21"/>
          <w:highlight w:val="none"/>
        </w:rPr>
        <w:t>修正后的报价，投标人不确认的；</w:t>
      </w:r>
    </w:p>
    <w:p w14:paraId="5A65A146">
      <w:pPr>
        <w:pStyle w:val="7"/>
        <w:numPr>
          <w:ilvl w:val="0"/>
          <w:numId w:val="6"/>
        </w:numPr>
        <w:spacing w:line="380" w:lineRule="exact"/>
        <w:ind w:firstLine="422"/>
        <w:rPr>
          <w:rFonts w:ascii="宋体" w:hAnsi="宋体" w:cs="宋体"/>
          <w:b/>
          <w:color w:val="auto"/>
          <w:szCs w:val="21"/>
          <w:highlight w:val="none"/>
        </w:rPr>
      </w:pPr>
      <w:r>
        <w:rPr>
          <w:rFonts w:hint="eastAsia" w:ascii="宋体" w:hAnsi="宋体" w:cs="宋体"/>
          <w:b/>
          <w:color w:val="auto"/>
          <w:szCs w:val="21"/>
          <w:highlight w:val="none"/>
        </w:rPr>
        <w:t>投标人属于本章第5.1条（2）项或者第5.2条（2）项情形的；</w:t>
      </w:r>
    </w:p>
    <w:p w14:paraId="08AEB7BF">
      <w:pPr>
        <w:pStyle w:val="7"/>
        <w:numPr>
          <w:ilvl w:val="0"/>
          <w:numId w:val="6"/>
        </w:numPr>
        <w:spacing w:line="380" w:lineRule="exact"/>
        <w:ind w:firstLine="422"/>
        <w:rPr>
          <w:rFonts w:ascii="宋体" w:hAnsi="宋体" w:cs="宋体"/>
          <w:b/>
          <w:color w:val="auto"/>
          <w:szCs w:val="21"/>
          <w:highlight w:val="none"/>
        </w:rPr>
      </w:pPr>
      <w:r>
        <w:rPr>
          <w:rFonts w:hint="eastAsia" w:ascii="宋体" w:hAnsi="宋体" w:cs="宋体"/>
          <w:b/>
          <w:color w:val="auto"/>
          <w:spacing w:val="-6"/>
          <w:szCs w:val="21"/>
          <w:highlight w:val="none"/>
        </w:rPr>
        <w:t>报价文件</w:t>
      </w:r>
      <w:r>
        <w:rPr>
          <w:rFonts w:hint="eastAsia" w:ascii="宋体" w:hAnsi="宋体" w:cs="宋体"/>
          <w:b/>
          <w:color w:val="auto"/>
          <w:szCs w:val="21"/>
          <w:highlight w:val="none"/>
        </w:rPr>
        <w:t>响应的标的数量及单位与招标文件要求实质性不一致的。</w:t>
      </w:r>
    </w:p>
    <w:p w14:paraId="20F0A2A0">
      <w:pPr>
        <w:pStyle w:val="6"/>
        <w:keepNext w:val="0"/>
        <w:keepLines w:val="0"/>
        <w:spacing w:before="0" w:after="0" w:line="38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2.2在商务评审时，如发现下列情形之一的，将被视为投标无效：</w:t>
      </w:r>
    </w:p>
    <w:p w14:paraId="0C20718C">
      <w:pPr>
        <w:numPr>
          <w:ilvl w:val="0"/>
          <w:numId w:val="7"/>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投标文件未按招标文件要求签署、盖章的；</w:t>
      </w:r>
    </w:p>
    <w:p w14:paraId="02A47DB7">
      <w:pPr>
        <w:numPr>
          <w:ilvl w:val="0"/>
          <w:numId w:val="7"/>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委托代理人未能出具有效身份证或者出具的身份证与授权委托书中的信息不符的；</w:t>
      </w:r>
    </w:p>
    <w:p w14:paraId="795F8466">
      <w:pPr>
        <w:numPr>
          <w:ilvl w:val="0"/>
          <w:numId w:val="7"/>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为无效投标保证金的或者未按照招标文件的规定提交投标保证金的；</w:t>
      </w:r>
    </w:p>
    <w:p w14:paraId="55C4512F">
      <w:pPr>
        <w:numPr>
          <w:ilvl w:val="0"/>
          <w:numId w:val="7"/>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投标文件未提供“投标人须知前附表”第13条“商务文件”规定中“必须提供”或者“委托时必须提供”的文件资料的；</w:t>
      </w:r>
    </w:p>
    <w:p w14:paraId="3A15D2A1">
      <w:pPr>
        <w:numPr>
          <w:ilvl w:val="0"/>
          <w:numId w:val="7"/>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商务要求评审允许负偏离的条款数超过“投标人须知前附表”规定项数的；</w:t>
      </w:r>
    </w:p>
    <w:p w14:paraId="61FBD88C">
      <w:pPr>
        <w:numPr>
          <w:ilvl w:val="0"/>
          <w:numId w:val="7"/>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投标文件的实质性内容未使用中文表述、使用计量单位不符合招标文件要求的；</w:t>
      </w:r>
    </w:p>
    <w:p w14:paraId="78F66CB8">
      <w:pPr>
        <w:numPr>
          <w:ilvl w:val="0"/>
          <w:numId w:val="7"/>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投标文件中的文件资料因填写不齐全或者内容虚假或者出现其他情形而导致被评标委员会认定无效的；</w:t>
      </w:r>
    </w:p>
    <w:p w14:paraId="3D23C466">
      <w:pPr>
        <w:numPr>
          <w:ilvl w:val="0"/>
          <w:numId w:val="7"/>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投标文件含有采购人不能接受的附加条件的；</w:t>
      </w:r>
    </w:p>
    <w:p w14:paraId="71EA7053">
      <w:pPr>
        <w:numPr>
          <w:ilvl w:val="0"/>
          <w:numId w:val="7"/>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属于投标人须知正文第9.2条情形的；</w:t>
      </w:r>
    </w:p>
    <w:p w14:paraId="79E481F5">
      <w:pPr>
        <w:numPr>
          <w:ilvl w:val="0"/>
          <w:numId w:val="7"/>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招标文件明确不允许分包，投标文件拟分包的；</w:t>
      </w:r>
    </w:p>
    <w:p w14:paraId="11504EFD">
      <w:pPr>
        <w:numPr>
          <w:ilvl w:val="0"/>
          <w:numId w:val="7"/>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未响应招标文件实质性要求的；</w:t>
      </w:r>
    </w:p>
    <w:p w14:paraId="5C09BE87">
      <w:pPr>
        <w:numPr>
          <w:ilvl w:val="0"/>
          <w:numId w:val="7"/>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投标文件中承诺的投标有效期低于招标文件要求的期限的；</w:t>
      </w:r>
    </w:p>
    <w:p w14:paraId="68419A5B">
      <w:pPr>
        <w:numPr>
          <w:ilvl w:val="0"/>
          <w:numId w:val="7"/>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法律、法规和招标文件规定的其他无效情形。</w:t>
      </w:r>
    </w:p>
    <w:p w14:paraId="53812EBE">
      <w:pPr>
        <w:pStyle w:val="6"/>
        <w:keepNext w:val="0"/>
        <w:keepLines w:val="0"/>
        <w:spacing w:before="0" w:after="0" w:line="38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2.3在技术评审时，如发现下列情形之一的，将被视为投标无效：</w:t>
      </w:r>
    </w:p>
    <w:p w14:paraId="75AFF014">
      <w:pPr>
        <w:pStyle w:val="20"/>
        <w:snapToGrid w:val="0"/>
        <w:spacing w:line="380" w:lineRule="exact"/>
        <w:ind w:firstLine="413" w:firstLineChars="196"/>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（1）技术要求评审允许负偏离的条款数超过“投标人须知前附表”规定项数的；</w:t>
      </w:r>
    </w:p>
    <w:p w14:paraId="311C8FB6">
      <w:pPr>
        <w:pStyle w:val="20"/>
        <w:snapToGrid w:val="0"/>
        <w:spacing w:line="380" w:lineRule="exact"/>
        <w:ind w:firstLine="413" w:firstLineChars="196"/>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（2）投标文件未提供“投标人须知前附表”第13条“技术文件”规定中“必须提供”的文件资料的；</w:t>
      </w:r>
    </w:p>
    <w:p w14:paraId="5BC2FDA3">
      <w:pPr>
        <w:pStyle w:val="20"/>
        <w:snapToGrid w:val="0"/>
        <w:spacing w:line="380" w:lineRule="exact"/>
        <w:ind w:firstLine="413" w:firstLineChars="196"/>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（3）虚假投标，或者出现其他情形而导致被评标委员会认定无效的；</w:t>
      </w:r>
    </w:p>
    <w:p w14:paraId="7D449C41">
      <w:pPr>
        <w:pStyle w:val="20"/>
        <w:snapToGrid w:val="0"/>
        <w:spacing w:line="380" w:lineRule="exact"/>
        <w:ind w:firstLine="413" w:firstLineChars="196"/>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（4）</w:t>
      </w:r>
      <w:bookmarkStart w:id="140" w:name="_Hlk71706244"/>
      <w:r>
        <w:rPr>
          <w:rFonts w:hint="eastAsia" w:ascii="宋体" w:hAnsi="宋体" w:eastAsia="宋体" w:cs="宋体"/>
          <w:b/>
          <w:color w:val="auto"/>
          <w:kern w:val="2"/>
          <w:sz w:val="21"/>
          <w:szCs w:val="21"/>
          <w:highlight w:val="none"/>
        </w:rPr>
        <w:t>招标文件未载明允许提供备选（替代）投标方案或明确不允许提供备选（替代）投标方案时，投标人提供了备选（替代）投标方案的；</w:t>
      </w:r>
      <w:bookmarkEnd w:id="140"/>
    </w:p>
    <w:p w14:paraId="28206A80">
      <w:pPr>
        <w:pStyle w:val="20"/>
        <w:snapToGrid w:val="0"/>
        <w:spacing w:line="380" w:lineRule="exact"/>
        <w:ind w:firstLine="413" w:firstLineChars="196"/>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（5）未响应招标文件实质性要求的。</w:t>
      </w:r>
    </w:p>
    <w:p w14:paraId="528DBF76">
      <w:pPr>
        <w:pStyle w:val="6"/>
        <w:keepNext w:val="0"/>
        <w:keepLines w:val="0"/>
        <w:spacing w:before="0" w:after="0" w:line="38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3.澄清补正</w:t>
      </w:r>
    </w:p>
    <w:p w14:paraId="1B749762">
      <w:pPr>
        <w:spacing w:line="38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0EA29312">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4CE46FA5">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未按评标委员会的要求作出明确澄清、说明或者更正的投标人的投标文件将按照有利于采购人的原则由评标委员会进行判定。</w:t>
      </w:r>
    </w:p>
    <w:p w14:paraId="45DADA48">
      <w:pPr>
        <w:pStyle w:val="6"/>
        <w:keepNext w:val="0"/>
        <w:keepLines w:val="0"/>
        <w:spacing w:before="0" w:after="0" w:line="38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4.投标文件修正</w:t>
      </w:r>
    </w:p>
    <w:p w14:paraId="12E40101">
      <w:pPr>
        <w:pStyle w:val="6"/>
        <w:keepNext w:val="0"/>
        <w:keepLines w:val="0"/>
        <w:spacing w:before="0" w:after="0" w:line="38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4.1投标文件报价出现前后不一致的，按照下列规定修正： </w:t>
      </w:r>
    </w:p>
    <w:p w14:paraId="1698BDD3">
      <w:pPr>
        <w:pStyle w:val="25"/>
        <w:snapToGrid w:val="0"/>
        <w:spacing w:line="380" w:lineRule="exact"/>
        <w:ind w:firstLine="420" w:firstLineChars="200"/>
        <w:rPr>
          <w:rFonts w:hAnsi="宋体" w:cs="宋体"/>
          <w:color w:val="auto"/>
          <w:sz w:val="21"/>
          <w:highlight w:val="none"/>
        </w:rPr>
      </w:pPr>
      <w:r>
        <w:rPr>
          <w:rFonts w:hint="eastAsia" w:hAnsi="宋体" w:cs="宋体"/>
          <w:color w:val="auto"/>
          <w:sz w:val="21"/>
          <w:highlight w:val="none"/>
        </w:rPr>
        <w:t>（1）投标文件中开标一览表（报价表）内容与投标文件中相应内容不一致的，以开标一览表（报价表）为准；</w:t>
      </w:r>
    </w:p>
    <w:p w14:paraId="024D7B42">
      <w:pPr>
        <w:pStyle w:val="25"/>
        <w:snapToGrid w:val="0"/>
        <w:spacing w:line="380" w:lineRule="exact"/>
        <w:ind w:firstLine="420" w:firstLineChars="200"/>
        <w:rPr>
          <w:rFonts w:hAnsi="宋体" w:cs="宋体"/>
          <w:color w:val="auto"/>
          <w:sz w:val="21"/>
          <w:highlight w:val="none"/>
        </w:rPr>
      </w:pPr>
      <w:r>
        <w:rPr>
          <w:rFonts w:hint="eastAsia" w:hAnsi="宋体" w:cs="宋体"/>
          <w:color w:val="auto"/>
          <w:sz w:val="21"/>
          <w:highlight w:val="none"/>
        </w:rPr>
        <w:t>（2）大写金额和小写金额不一致的，以大写金额为准；</w:t>
      </w:r>
    </w:p>
    <w:p w14:paraId="65483E86">
      <w:pPr>
        <w:pStyle w:val="25"/>
        <w:snapToGrid w:val="0"/>
        <w:spacing w:line="380" w:lineRule="exact"/>
        <w:ind w:firstLine="420" w:firstLineChars="200"/>
        <w:rPr>
          <w:rFonts w:hAnsi="宋体" w:cs="宋体"/>
          <w:color w:val="auto"/>
          <w:sz w:val="21"/>
          <w:highlight w:val="none"/>
        </w:rPr>
      </w:pPr>
      <w:r>
        <w:rPr>
          <w:rFonts w:hint="eastAsia" w:hAnsi="宋体" w:cs="宋体"/>
          <w:color w:val="auto"/>
          <w:sz w:val="21"/>
          <w:highlight w:val="none"/>
        </w:rPr>
        <w:t>（3）单价金额小数点或者百分比有明显错位的，以开标一览表的总价为准，并修改单价；</w:t>
      </w:r>
    </w:p>
    <w:p w14:paraId="08F8327D">
      <w:pPr>
        <w:pStyle w:val="25"/>
        <w:snapToGrid w:val="0"/>
        <w:spacing w:line="360" w:lineRule="exact"/>
        <w:ind w:firstLine="420" w:firstLineChars="200"/>
        <w:rPr>
          <w:rFonts w:hAnsi="宋体" w:cs="宋体"/>
          <w:color w:val="auto"/>
          <w:sz w:val="21"/>
          <w:highlight w:val="none"/>
        </w:rPr>
      </w:pPr>
      <w:r>
        <w:rPr>
          <w:rFonts w:hint="eastAsia" w:hAnsi="宋体" w:cs="宋体"/>
          <w:color w:val="auto"/>
          <w:sz w:val="21"/>
          <w:highlight w:val="none"/>
        </w:rPr>
        <w:t>（4）总价金额与按单价汇总金额不一致的，以单价金额计算结果为准。</w:t>
      </w:r>
    </w:p>
    <w:p w14:paraId="125DB4C3">
      <w:pPr>
        <w:pStyle w:val="25"/>
        <w:snapToGrid w:val="0"/>
        <w:spacing w:line="360" w:lineRule="exact"/>
        <w:ind w:firstLine="420" w:firstLineChars="200"/>
        <w:rPr>
          <w:rFonts w:hAnsi="宋体" w:cs="宋体"/>
          <w:color w:val="auto"/>
          <w:sz w:val="21"/>
          <w:highlight w:val="none"/>
        </w:rPr>
      </w:pPr>
      <w:r>
        <w:rPr>
          <w:rFonts w:hint="eastAsia" w:hAnsi="宋体" w:cs="宋体"/>
          <w:color w:val="auto"/>
          <w:sz w:val="21"/>
          <w:highlight w:val="none"/>
        </w:rPr>
        <w:t>同时出现两种以上不一致的，按照以上（1）-（4）规定的顺序修正。修正后的报价经投标人确认后产生约束力，投标人不确认的，</w:t>
      </w:r>
      <w:r>
        <w:rPr>
          <w:rFonts w:hint="eastAsia" w:hAnsi="宋体" w:cs="宋体"/>
          <w:b/>
          <w:color w:val="auto"/>
          <w:kern w:val="2"/>
          <w:sz w:val="21"/>
          <w:highlight w:val="none"/>
        </w:rPr>
        <w:t>其投标无效</w:t>
      </w:r>
      <w:r>
        <w:rPr>
          <w:rFonts w:hint="eastAsia" w:hAnsi="宋体" w:cs="宋体"/>
          <w:color w:val="auto"/>
          <w:sz w:val="21"/>
          <w:highlight w:val="none"/>
        </w:rPr>
        <w:t>。</w:t>
      </w:r>
    </w:p>
    <w:p w14:paraId="068A1EA5">
      <w:pPr>
        <w:pStyle w:val="6"/>
        <w:keepNext w:val="0"/>
        <w:keepLines w:val="0"/>
        <w:spacing w:before="0" w:after="0" w:line="360" w:lineRule="exact"/>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4.2经投标人确认修正后的报价若超过采购预算金额或者最高限价，</w:t>
      </w:r>
      <w:r>
        <w:rPr>
          <w:rFonts w:hint="eastAsia" w:ascii="宋体" w:hAnsi="宋体" w:cs="宋体"/>
          <w:color w:val="auto"/>
          <w:sz w:val="21"/>
          <w:szCs w:val="21"/>
          <w:highlight w:val="none"/>
        </w:rPr>
        <w:t>投标人的投标文件作无效投标处理</w:t>
      </w:r>
      <w:r>
        <w:rPr>
          <w:rFonts w:hint="eastAsia" w:ascii="宋体" w:hAnsi="宋体" w:cs="宋体"/>
          <w:b w:val="0"/>
          <w:color w:val="auto"/>
          <w:sz w:val="21"/>
          <w:szCs w:val="21"/>
          <w:highlight w:val="none"/>
        </w:rPr>
        <w:t>。</w:t>
      </w:r>
    </w:p>
    <w:p w14:paraId="70BE31A8">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4.3经投标人确认修正后的报价作为签订合同的依据，并以此报价计算价格分。</w:t>
      </w:r>
    </w:p>
    <w:p w14:paraId="5C476E53">
      <w:pPr>
        <w:pStyle w:val="6"/>
        <w:keepNext w:val="0"/>
        <w:keepLines w:val="0"/>
        <w:spacing w:before="0" w:after="0" w:line="36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5.比较与评价</w:t>
      </w:r>
    </w:p>
    <w:p w14:paraId="1B80BE76">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5.1采用综合评分法的</w:t>
      </w:r>
    </w:p>
    <w:p w14:paraId="3AE7170B">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（1）评标委员会按照招标文件中规定的评标方法及评标标准，对符合性审查合格的投标文件进行商务和技术评估，综合比较与评价。</w:t>
      </w:r>
    </w:p>
    <w:p w14:paraId="14DFFF5E">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（2）评标委员会独立对每个投标人的投标文件进行评价，并汇总每个投标人的得分。</w:t>
      </w:r>
    </w:p>
    <w:p w14:paraId="4CD90142">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cs="宋体"/>
          <w:b/>
          <w:color w:val="auto"/>
          <w:szCs w:val="21"/>
          <w:highlight w:val="none"/>
        </w:rPr>
        <w:t>投标人不能证明其报价合理性的，评标委员会将其作为无效投标处理</w:t>
      </w:r>
      <w:r>
        <w:rPr>
          <w:rFonts w:hint="eastAsia" w:ascii="宋体" w:hAnsi="宋体" w:cs="宋体"/>
          <w:color w:val="auto"/>
          <w:szCs w:val="21"/>
          <w:highlight w:val="none"/>
        </w:rPr>
        <w:t>。</w:t>
      </w:r>
    </w:p>
    <w:p w14:paraId="3815C29E">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（3）评标委员会按照招标文件中规定的评标方法和标准计算各投标人的报价得分。在计算过程中，不得去掉最高报价或者最低报价。</w:t>
      </w:r>
    </w:p>
    <w:p w14:paraId="0F154B3C">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（4）各投标人的得分为所有评委的有效评分的算术平均数。</w:t>
      </w:r>
    </w:p>
    <w:p w14:paraId="5E21F7E1">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（5）评标委员会按照招标文件中的规定推荐中标候选人。</w:t>
      </w:r>
    </w:p>
    <w:p w14:paraId="6B015697">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54F7893E">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5.2采用</w:t>
      </w:r>
      <w:r>
        <w:rPr>
          <w:rFonts w:hint="eastAsia" w:ascii="宋体" w:hAnsi="宋体" w:cs="宋体"/>
          <w:color w:val="auto"/>
          <w:highlight w:val="none"/>
        </w:rPr>
        <w:t>最低评标价法</w:t>
      </w:r>
      <w:r>
        <w:rPr>
          <w:rFonts w:hint="eastAsia" w:ascii="宋体" w:hAnsi="宋体" w:cs="宋体"/>
          <w:color w:val="auto"/>
          <w:szCs w:val="21"/>
          <w:highlight w:val="none"/>
        </w:rPr>
        <w:t>的</w:t>
      </w:r>
    </w:p>
    <w:p w14:paraId="77819F5B">
      <w:pPr>
        <w:snapToGrid w:val="0"/>
        <w:spacing w:line="360" w:lineRule="exact"/>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（1）评标委员会按照招标文件中规定的评标方法及评标标准，对符合性审查合格的投标文件报价进行比较。</w:t>
      </w:r>
    </w:p>
    <w:p w14:paraId="1E8F267A">
      <w:pPr>
        <w:snapToGrid w:val="0"/>
        <w:spacing w:line="360" w:lineRule="exact"/>
        <w:ind w:firstLine="399" w:firstLineChars="202"/>
        <w:jc w:val="left"/>
        <w:rPr>
          <w:rFonts w:ascii="宋体" w:hAnsi="宋体" w:cs="宋体"/>
          <w:color w:val="auto"/>
          <w:spacing w:val="-6"/>
          <w:szCs w:val="21"/>
          <w:highlight w:val="none"/>
        </w:rPr>
      </w:pPr>
      <w:r>
        <w:rPr>
          <w:rFonts w:hint="eastAsia" w:ascii="宋体" w:hAnsi="宋体" w:cs="宋体"/>
          <w:color w:val="auto"/>
          <w:spacing w:val="-6"/>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cs="宋体"/>
          <w:b/>
          <w:color w:val="auto"/>
          <w:spacing w:val="-6"/>
          <w:szCs w:val="21"/>
          <w:highlight w:val="none"/>
        </w:rPr>
        <w:t>投标人不能证明其报价合理性的，评标委员会将其作为无效投标处理</w:t>
      </w:r>
      <w:r>
        <w:rPr>
          <w:rFonts w:hint="eastAsia" w:ascii="宋体" w:hAnsi="宋体" w:cs="宋体"/>
          <w:color w:val="auto"/>
          <w:spacing w:val="-6"/>
          <w:szCs w:val="21"/>
          <w:highlight w:val="none"/>
        </w:rPr>
        <w:t>。</w:t>
      </w:r>
    </w:p>
    <w:p w14:paraId="770DA012">
      <w:pPr>
        <w:snapToGrid w:val="0"/>
        <w:spacing w:line="360" w:lineRule="exact"/>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（3）评标委员会按照招标文件中的规定推荐中标候选人。</w:t>
      </w:r>
    </w:p>
    <w:p w14:paraId="4E7FDFB6">
      <w:pPr>
        <w:snapToGrid w:val="0"/>
        <w:spacing w:line="360" w:lineRule="exact"/>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527417AD">
      <w:pPr>
        <w:snapToGrid w:val="0"/>
        <w:spacing w:line="400" w:lineRule="exact"/>
        <w:ind w:firstLine="424" w:firstLineChars="202"/>
        <w:jc w:val="center"/>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b/>
          <w:bCs/>
          <w:color w:val="auto"/>
          <w:sz w:val="32"/>
          <w:szCs w:val="32"/>
          <w:highlight w:val="none"/>
        </w:rPr>
        <w:t>三、评标标准</w:t>
      </w:r>
    </w:p>
    <w:p w14:paraId="09A0987B">
      <w:pPr>
        <w:pStyle w:val="5"/>
        <w:keepNext w:val="0"/>
        <w:keepLines w:val="0"/>
        <w:spacing w:line="400" w:lineRule="exact"/>
        <w:jc w:val="center"/>
        <w:rPr>
          <w:rFonts w:ascii="宋体" w:hAnsi="宋体" w:cs="宋体"/>
          <w:color w:val="auto"/>
          <w:highlight w:val="none"/>
        </w:rPr>
      </w:pPr>
      <w:r>
        <w:rPr>
          <w:rFonts w:hint="eastAsia" w:ascii="宋体" w:hAnsi="宋体" w:cs="宋体"/>
          <w:color w:val="auto"/>
          <w:highlight w:val="none"/>
        </w:rPr>
        <w:t>综合评分法</w:t>
      </w:r>
    </w:p>
    <w:p w14:paraId="591217A3">
      <w:pPr>
        <w:spacing w:line="360" w:lineRule="exact"/>
        <w:ind w:firstLine="422" w:firstLineChars="200"/>
        <w:rPr>
          <w:rFonts w:hAnsi="宋体"/>
          <w:b/>
          <w:color w:val="auto"/>
          <w:szCs w:val="21"/>
          <w:highlight w:val="none"/>
        </w:rPr>
      </w:pPr>
      <w:r>
        <w:rPr>
          <w:rFonts w:hint="eastAsia" w:ascii="宋体" w:hAnsi="宋体"/>
          <w:b/>
          <w:color w:val="auto"/>
          <w:szCs w:val="21"/>
          <w:highlight w:val="none"/>
        </w:rPr>
        <w:t>（一）</w:t>
      </w:r>
      <w:r>
        <w:rPr>
          <w:rFonts w:hint="eastAsia" w:ascii="宋体" w:hAnsi="宋体" w:cs="宋体"/>
          <w:b/>
          <w:color w:val="auto"/>
          <w:szCs w:val="21"/>
          <w:highlight w:val="none"/>
        </w:rPr>
        <w:t>“正偏离”是指投标文件对招标文件“采购需求”中有关条款作出的响应优于该条款基本要求的情形，包括：①当某技术指标要求为≥或≤某指标时，则该指标为基本要求，投标响应值＞或＜该基本要求的，为正偏离；②除上述第①种情形外，经评委独立评审后认定该技术指标优于招标文件基本要求的</w:t>
      </w:r>
      <w:r>
        <w:rPr>
          <w:rFonts w:hint="eastAsia" w:ascii="宋体" w:hAnsi="宋体" w:cs="宋体"/>
          <w:b/>
          <w:color w:val="auto"/>
          <w:szCs w:val="21"/>
          <w:highlight w:val="none"/>
          <w:lang w:eastAsia="zh-CN"/>
        </w:rPr>
        <w:t>其他</w:t>
      </w:r>
      <w:r>
        <w:rPr>
          <w:rFonts w:hint="eastAsia" w:ascii="宋体" w:hAnsi="宋体" w:cs="宋体"/>
          <w:b/>
          <w:color w:val="auto"/>
          <w:szCs w:val="21"/>
          <w:highlight w:val="none"/>
        </w:rPr>
        <w:t>情形。</w:t>
      </w:r>
    </w:p>
    <w:p w14:paraId="5AEE8BB2">
      <w:pPr>
        <w:pStyle w:val="25"/>
        <w:spacing w:line="400" w:lineRule="exact"/>
        <w:ind w:firstLine="422" w:firstLineChars="200"/>
        <w:rPr>
          <w:rFonts w:hAnsi="宋体" w:cs="宋体"/>
          <w:bCs/>
          <w:color w:val="auto"/>
          <w:sz w:val="21"/>
          <w:highlight w:val="none"/>
        </w:rPr>
      </w:pPr>
      <w:r>
        <w:rPr>
          <w:rFonts w:hint="eastAsia" w:hAnsi="宋体" w:cs="宋体"/>
          <w:b/>
          <w:color w:val="auto"/>
          <w:sz w:val="21"/>
          <w:highlight w:val="none"/>
        </w:rPr>
        <w:t>（二）“负偏离”是指投标文件对招标文件“采购需求”中有关条款作出的响应不满足条款要求，导致采购人要求不能得到满足的情形。</w:t>
      </w:r>
    </w:p>
    <w:p w14:paraId="00D077A0">
      <w:pPr>
        <w:pStyle w:val="25"/>
        <w:spacing w:line="400" w:lineRule="exact"/>
        <w:rPr>
          <w:rFonts w:hAnsi="宋体" w:cs="宋体"/>
          <w:bCs/>
          <w:color w:val="auto"/>
          <w:sz w:val="21"/>
          <w:highlight w:val="none"/>
        </w:rPr>
      </w:pPr>
      <w:r>
        <w:rPr>
          <w:rFonts w:hint="eastAsia" w:hAnsi="宋体" w:cs="宋体"/>
          <w:bCs/>
          <w:color w:val="auto"/>
          <w:sz w:val="21"/>
          <w:highlight w:val="none"/>
        </w:rPr>
        <w:t>注：计分方法按四舍五入取至百分位</w:t>
      </w:r>
    </w:p>
    <w:tbl>
      <w:tblPr>
        <w:tblStyle w:val="47"/>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224"/>
        <w:gridCol w:w="1701"/>
        <w:gridCol w:w="6000"/>
      </w:tblGrid>
      <w:tr w14:paraId="4EB82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gridSpan w:val="2"/>
            <w:tcBorders>
              <w:top w:val="single" w:color="auto" w:sz="4" w:space="0"/>
              <w:left w:val="single" w:color="auto" w:sz="4" w:space="0"/>
              <w:bottom w:val="single" w:color="auto" w:sz="4" w:space="0"/>
              <w:right w:val="single" w:color="auto" w:sz="4" w:space="0"/>
            </w:tcBorders>
            <w:vAlign w:val="center"/>
          </w:tcPr>
          <w:p w14:paraId="1F276E2E">
            <w:pPr>
              <w:adjustRightInd w:val="0"/>
              <w:spacing w:line="410" w:lineRule="exact"/>
              <w:jc w:val="center"/>
              <w:textAlignment w:val="baseline"/>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53E71F44">
            <w:pPr>
              <w:adjustRightInd w:val="0"/>
              <w:spacing w:line="410" w:lineRule="exact"/>
              <w:jc w:val="center"/>
              <w:textAlignment w:val="baseline"/>
              <w:rPr>
                <w:rFonts w:ascii="宋体" w:hAnsi="宋体" w:cs="宋体"/>
                <w:color w:val="auto"/>
                <w:sz w:val="21"/>
                <w:szCs w:val="21"/>
                <w:highlight w:val="none"/>
              </w:rPr>
            </w:pPr>
            <w:r>
              <w:rPr>
                <w:rFonts w:hint="eastAsia" w:ascii="宋体" w:hAnsi="宋体" w:cs="宋体"/>
                <w:b/>
                <w:color w:val="auto"/>
                <w:sz w:val="21"/>
                <w:szCs w:val="21"/>
                <w:highlight w:val="none"/>
              </w:rPr>
              <w:t>评审因素</w:t>
            </w:r>
          </w:p>
        </w:tc>
        <w:tc>
          <w:tcPr>
            <w:tcW w:w="6000" w:type="dxa"/>
            <w:tcBorders>
              <w:top w:val="single" w:color="auto" w:sz="4" w:space="0"/>
              <w:left w:val="single" w:color="auto" w:sz="4" w:space="0"/>
              <w:bottom w:val="single" w:color="auto" w:sz="4" w:space="0"/>
              <w:right w:val="single" w:color="auto" w:sz="4" w:space="0"/>
            </w:tcBorders>
            <w:vAlign w:val="center"/>
          </w:tcPr>
          <w:p w14:paraId="7EA789A4">
            <w:pPr>
              <w:adjustRightInd w:val="0"/>
              <w:spacing w:line="410" w:lineRule="exact"/>
              <w:jc w:val="center"/>
              <w:textAlignment w:val="baseline"/>
              <w:rPr>
                <w:rFonts w:ascii="宋体" w:hAnsi="宋体" w:cs="宋体"/>
                <w:b/>
                <w:color w:val="auto"/>
                <w:sz w:val="21"/>
                <w:szCs w:val="21"/>
                <w:highlight w:val="none"/>
              </w:rPr>
            </w:pPr>
            <w:r>
              <w:rPr>
                <w:rFonts w:hint="eastAsia" w:ascii="宋体" w:hAnsi="宋体" w:cs="宋体"/>
                <w:b/>
                <w:color w:val="auto"/>
                <w:sz w:val="21"/>
                <w:szCs w:val="21"/>
                <w:highlight w:val="none"/>
              </w:rPr>
              <w:t>评标标准</w:t>
            </w:r>
          </w:p>
        </w:tc>
      </w:tr>
      <w:tr w14:paraId="61C10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tcBorders>
              <w:top w:val="single" w:color="auto" w:sz="4" w:space="0"/>
              <w:left w:val="single" w:color="auto" w:sz="4" w:space="0"/>
              <w:bottom w:val="single" w:color="auto" w:sz="4" w:space="0"/>
              <w:right w:val="single" w:color="auto" w:sz="4" w:space="0"/>
            </w:tcBorders>
            <w:vAlign w:val="center"/>
          </w:tcPr>
          <w:p w14:paraId="5D3CC8ED">
            <w:pPr>
              <w:adjustRightInd w:val="0"/>
              <w:spacing w:line="360" w:lineRule="auto"/>
              <w:jc w:val="center"/>
              <w:textAlignment w:val="baseline"/>
              <w:rPr>
                <w:rFonts w:ascii="宋体" w:hAnsi="宋体" w:cs="宋体"/>
                <w:b/>
                <w:color w:val="auto"/>
                <w:sz w:val="21"/>
                <w:szCs w:val="21"/>
                <w:highlight w:val="none"/>
              </w:rPr>
            </w:pPr>
            <w:r>
              <w:rPr>
                <w:rFonts w:hint="eastAsia" w:ascii="宋体" w:hAnsi="宋体" w:cs="宋体"/>
                <w:b/>
                <w:color w:val="auto"/>
                <w:sz w:val="21"/>
                <w:szCs w:val="21"/>
                <w:highlight w:val="none"/>
              </w:rPr>
              <w:t>1</w:t>
            </w:r>
          </w:p>
        </w:tc>
        <w:tc>
          <w:tcPr>
            <w:tcW w:w="1224" w:type="dxa"/>
            <w:tcBorders>
              <w:top w:val="single" w:color="auto" w:sz="4" w:space="0"/>
              <w:left w:val="single" w:color="auto" w:sz="4" w:space="0"/>
              <w:bottom w:val="single" w:color="auto" w:sz="4" w:space="0"/>
              <w:right w:val="single" w:color="auto" w:sz="4" w:space="0"/>
            </w:tcBorders>
            <w:vAlign w:val="center"/>
          </w:tcPr>
          <w:p w14:paraId="23400C3A">
            <w:pPr>
              <w:adjustRightInd w:val="0"/>
              <w:spacing w:line="360" w:lineRule="auto"/>
              <w:jc w:val="center"/>
              <w:textAlignment w:val="baseline"/>
              <w:rPr>
                <w:rFonts w:ascii="宋体" w:hAnsi="宋体" w:cs="宋体"/>
                <w:b/>
                <w:color w:val="auto"/>
                <w:sz w:val="21"/>
                <w:szCs w:val="21"/>
                <w:highlight w:val="none"/>
              </w:rPr>
            </w:pPr>
            <w:r>
              <w:rPr>
                <w:rFonts w:hint="eastAsia" w:ascii="宋体" w:hAnsi="宋体" w:cs="宋体"/>
                <w:b/>
                <w:color w:val="auto"/>
                <w:sz w:val="21"/>
                <w:szCs w:val="21"/>
                <w:highlight w:val="none"/>
              </w:rPr>
              <w:t>价格分</w:t>
            </w:r>
          </w:p>
          <w:p w14:paraId="69512CF5">
            <w:pPr>
              <w:adjustRightInd w:val="0"/>
              <w:spacing w:line="360" w:lineRule="auto"/>
              <w:jc w:val="center"/>
              <w:textAlignment w:val="baseline"/>
              <w:rPr>
                <w:rFonts w:ascii="宋体" w:hAnsi="宋体" w:cs="宋体"/>
                <w:color w:val="auto"/>
                <w:sz w:val="21"/>
                <w:szCs w:val="21"/>
                <w:highlight w:val="none"/>
              </w:rPr>
            </w:pPr>
            <w:r>
              <w:rPr>
                <w:rFonts w:hint="eastAsia" w:ascii="宋体" w:hAnsi="宋体" w:cs="宋体"/>
                <w:b/>
                <w:color w:val="auto"/>
                <w:sz w:val="21"/>
                <w:szCs w:val="21"/>
                <w:highlight w:val="none"/>
              </w:rPr>
              <w:t>（30分）</w:t>
            </w:r>
          </w:p>
        </w:tc>
        <w:tc>
          <w:tcPr>
            <w:tcW w:w="1701" w:type="dxa"/>
            <w:tcBorders>
              <w:top w:val="single" w:color="auto" w:sz="4" w:space="0"/>
              <w:left w:val="single" w:color="auto" w:sz="4" w:space="0"/>
              <w:bottom w:val="single" w:color="auto" w:sz="4" w:space="0"/>
              <w:right w:val="single" w:color="auto" w:sz="4" w:space="0"/>
            </w:tcBorders>
            <w:vAlign w:val="center"/>
          </w:tcPr>
          <w:p w14:paraId="5F1FE76F">
            <w:pPr>
              <w:adjustRightInd w:val="0"/>
              <w:spacing w:line="400" w:lineRule="exact"/>
              <w:jc w:val="center"/>
              <w:textAlignment w:val="baseline"/>
              <w:rPr>
                <w:rFonts w:ascii="宋体" w:hAnsi="宋体" w:cs="宋体"/>
                <w:b/>
                <w:color w:val="auto"/>
                <w:sz w:val="21"/>
                <w:szCs w:val="21"/>
                <w:highlight w:val="none"/>
              </w:rPr>
            </w:pPr>
            <w:r>
              <w:rPr>
                <w:rFonts w:hint="eastAsia" w:ascii="宋体" w:hAnsi="宋体" w:cs="宋体"/>
                <w:b/>
                <w:color w:val="auto"/>
                <w:sz w:val="21"/>
                <w:szCs w:val="21"/>
                <w:highlight w:val="none"/>
              </w:rPr>
              <w:t>投标报价（30分）</w:t>
            </w:r>
          </w:p>
        </w:tc>
        <w:tc>
          <w:tcPr>
            <w:tcW w:w="6000" w:type="dxa"/>
            <w:tcBorders>
              <w:top w:val="single" w:color="auto" w:sz="4" w:space="0"/>
              <w:left w:val="single" w:color="auto" w:sz="4" w:space="0"/>
              <w:bottom w:val="single" w:color="auto" w:sz="4" w:space="0"/>
              <w:right w:val="single" w:color="auto" w:sz="4" w:space="0"/>
            </w:tcBorders>
            <w:vAlign w:val="center"/>
          </w:tcPr>
          <w:p w14:paraId="21FFE028">
            <w:pPr>
              <w:snapToGrid w:val="0"/>
              <w:spacing w:line="400" w:lineRule="exact"/>
              <w:rPr>
                <w:rFonts w:ascii="宋体" w:hAnsi="宋体" w:cs="宋体"/>
                <w:bCs/>
                <w:color w:val="auto"/>
                <w:sz w:val="21"/>
                <w:szCs w:val="21"/>
                <w:highlight w:val="none"/>
              </w:rPr>
            </w:pPr>
            <w:r>
              <w:rPr>
                <w:rFonts w:hint="eastAsia" w:ascii="宋体" w:hAnsi="宋体" w:cs="宋体"/>
                <w:bCs/>
                <w:color w:val="auto"/>
                <w:sz w:val="21"/>
                <w:szCs w:val="21"/>
                <w:highlight w:val="none"/>
              </w:rPr>
              <w:t>（1）评标报价为投标人的投标报价进行政策性扣除后的价格，评标报价只作为评标时使用。最终中标人的中标金额等于投标报价。</w:t>
            </w:r>
          </w:p>
          <w:p w14:paraId="29E3171C">
            <w:pPr>
              <w:snapToGrid w:val="0"/>
              <w:spacing w:line="400" w:lineRule="exact"/>
              <w:rPr>
                <w:rFonts w:ascii="宋体" w:hAnsi="宋体" w:cs="宋体"/>
                <w:bCs/>
                <w:color w:val="auto"/>
                <w:sz w:val="21"/>
                <w:szCs w:val="21"/>
                <w:highlight w:val="none"/>
              </w:rPr>
            </w:pPr>
            <w:r>
              <w:rPr>
                <w:rFonts w:hint="eastAsia" w:ascii="宋体" w:hAnsi="宋体" w:cs="宋体"/>
                <w:bCs/>
                <w:color w:val="auto"/>
                <w:sz w:val="21"/>
                <w:szCs w:val="21"/>
                <w:highlight w:val="none"/>
              </w:rPr>
              <w:t>（2）政策性扣除计算方法。</w:t>
            </w:r>
          </w:p>
          <w:p w14:paraId="39DD625D">
            <w:pPr>
              <w:snapToGrid w:val="0"/>
              <w:spacing w:line="400" w:lineRule="exact"/>
              <w:rPr>
                <w:rFonts w:ascii="宋体" w:hAnsi="宋体" w:cs="宋体"/>
                <w:color w:val="auto"/>
                <w:sz w:val="21"/>
                <w:szCs w:val="21"/>
                <w:highlight w:val="none"/>
              </w:rPr>
            </w:pPr>
            <w:bookmarkStart w:id="141" w:name="_Hlk65858438"/>
            <w:r>
              <w:rPr>
                <w:rFonts w:hint="eastAsia" w:ascii="宋体" w:hAnsi="宋体" w:cs="宋体"/>
                <w:bCs/>
                <w:color w:val="auto"/>
                <w:sz w:val="21"/>
                <w:szCs w:val="21"/>
                <w:highlight w:val="none"/>
              </w:rPr>
              <w:t>根据《政府采购促进中小企业发展管理办法》（财库〔2020〕46号）及</w:t>
            </w:r>
            <w:r>
              <w:rPr>
                <w:rFonts w:hint="eastAsia"/>
                <w:color w:val="auto"/>
                <w:sz w:val="21"/>
                <w:szCs w:val="21"/>
                <w:highlight w:val="none"/>
              </w:rPr>
              <w:t>《广西壮族自治区财政厅关于持续优化政府采购营商环境推动高质量发展的通知》（桂财采〔2024〕55号）</w:t>
            </w:r>
            <w:r>
              <w:rPr>
                <w:rFonts w:hint="eastAsia" w:ascii="宋体" w:hAnsi="宋体" w:cs="宋体"/>
                <w:bCs/>
                <w:color w:val="auto"/>
                <w:sz w:val="21"/>
                <w:szCs w:val="21"/>
                <w:highlight w:val="none"/>
              </w:rPr>
              <w:t>的规定，投标人在其投标文件中提供《中小企业声明函》，且其投标全部货物由小微企业制造的，对其投标报价给予10%的扣除，扣除后的价格为评标报价，即评标报价=投标报价×（1-10%）。除上述情况外，评标报价=投标报价。</w:t>
            </w:r>
            <w:bookmarkEnd w:id="141"/>
          </w:p>
          <w:p w14:paraId="494ABC89">
            <w:pPr>
              <w:snapToGrid w:val="0"/>
              <w:spacing w:line="400" w:lineRule="exact"/>
              <w:rPr>
                <w:rFonts w:ascii="宋体" w:hAnsi="宋体" w:cs="宋体"/>
                <w:bCs/>
                <w:color w:val="auto"/>
                <w:sz w:val="21"/>
                <w:szCs w:val="21"/>
                <w:highlight w:val="none"/>
              </w:rPr>
            </w:pPr>
            <w:r>
              <w:rPr>
                <w:rFonts w:hint="eastAsia" w:ascii="宋体" w:hAnsi="宋体" w:cs="宋体"/>
                <w:bCs/>
                <w:color w:val="auto"/>
                <w:sz w:val="21"/>
                <w:szCs w:val="21"/>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cs="宋体"/>
                <w:color w:val="auto"/>
                <w:sz w:val="21"/>
                <w:szCs w:val="21"/>
                <w:highlight w:val="none"/>
              </w:rPr>
              <w:t>监狱企业参加政府采购活动时，应当提供由省级以上监狱管理局、戒毒管理局(含新疆生产建设兵团)出具的属于监狱企业的证明文件。监狱企业</w:t>
            </w:r>
            <w:r>
              <w:rPr>
                <w:rFonts w:hint="eastAsia" w:ascii="宋体" w:hAnsi="宋体" w:cs="宋体"/>
                <w:bCs/>
                <w:color w:val="auto"/>
                <w:sz w:val="21"/>
                <w:szCs w:val="21"/>
                <w:highlight w:val="none"/>
              </w:rPr>
              <w:t>属于小型、微型企业的，不重复享受政策。</w:t>
            </w:r>
          </w:p>
          <w:p w14:paraId="1EB974ED">
            <w:pPr>
              <w:snapToGrid w:val="0"/>
              <w:spacing w:line="400" w:lineRule="exact"/>
              <w:rPr>
                <w:rFonts w:ascii="宋体" w:hAnsi="宋体" w:cs="宋体"/>
                <w:bCs/>
                <w:color w:val="auto"/>
                <w:sz w:val="21"/>
                <w:szCs w:val="21"/>
                <w:highlight w:val="none"/>
              </w:rPr>
            </w:pPr>
            <w:r>
              <w:rPr>
                <w:rFonts w:hint="eastAsia" w:ascii="宋体" w:hAnsi="宋体" w:cs="宋体"/>
                <w:color w:val="auto"/>
                <w:sz w:val="21"/>
                <w:szCs w:val="21"/>
                <w:highlight w:val="none"/>
              </w:rPr>
              <w:t>（4）按照</w:t>
            </w:r>
            <w:r>
              <w:rPr>
                <w:rFonts w:hint="eastAsia" w:ascii="宋体" w:hAnsi="宋体" w:cs="宋体"/>
                <w:bCs/>
                <w:color w:val="auto"/>
                <w:sz w:val="21"/>
                <w:szCs w:val="21"/>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cs="宋体"/>
                <w:color w:val="auto"/>
                <w:sz w:val="21"/>
                <w:szCs w:val="21"/>
                <w:highlight w:val="none"/>
              </w:rPr>
              <w:t>残疾人福利性单位参加政府采购活动时，应当提供该通知规定的《残疾人福利性单位声明函》，并对声明的真实性负责。</w:t>
            </w:r>
            <w:r>
              <w:rPr>
                <w:rFonts w:hint="eastAsia" w:ascii="宋体" w:hAnsi="宋体" w:cs="宋体"/>
                <w:bCs/>
                <w:color w:val="auto"/>
                <w:sz w:val="21"/>
                <w:szCs w:val="21"/>
                <w:highlight w:val="none"/>
              </w:rPr>
              <w:t>残疾人福利性单位属于小型、微型企业的，不重复享受政策。</w:t>
            </w:r>
          </w:p>
          <w:p w14:paraId="17C8E76C">
            <w:pPr>
              <w:snapToGrid w:val="0"/>
              <w:spacing w:line="400" w:lineRule="exact"/>
              <w:rPr>
                <w:rFonts w:ascii="宋体" w:hAnsi="宋体" w:cs="宋体"/>
                <w:bCs/>
                <w:color w:val="auto"/>
                <w:sz w:val="21"/>
                <w:szCs w:val="21"/>
                <w:highlight w:val="none"/>
              </w:rPr>
            </w:pPr>
            <w:r>
              <w:rPr>
                <w:rFonts w:hint="eastAsia" w:ascii="宋体" w:hAnsi="宋体" w:cs="宋体"/>
                <w:bCs/>
                <w:color w:val="auto"/>
                <w:sz w:val="21"/>
                <w:szCs w:val="21"/>
                <w:highlight w:val="none"/>
              </w:rPr>
              <w:t>（5）满足招标文件要求且评标报价最低的评标报价为评标基准价，其价格分为满分。</w:t>
            </w:r>
          </w:p>
          <w:p w14:paraId="10640DF7">
            <w:pPr>
              <w:spacing w:line="400" w:lineRule="exact"/>
              <w:rPr>
                <w:rFonts w:ascii="宋体" w:hAnsi="宋体" w:cs="宋体"/>
                <w:bCs/>
                <w:color w:val="auto"/>
                <w:sz w:val="21"/>
                <w:szCs w:val="21"/>
                <w:highlight w:val="none"/>
              </w:rPr>
            </w:pPr>
            <w:r>
              <w:rPr>
                <w:rFonts w:hint="eastAsia" w:ascii="宋体" w:hAnsi="宋体" w:cs="宋体"/>
                <w:bCs/>
                <w:color w:val="auto"/>
                <w:sz w:val="21"/>
                <w:szCs w:val="21"/>
                <w:highlight w:val="none"/>
              </w:rPr>
              <w:t xml:space="preserve">（6）价格分计算公式：        </w:t>
            </w:r>
          </w:p>
          <w:p w14:paraId="76D2129F">
            <w:pPr>
              <w:pStyle w:val="25"/>
              <w:spacing w:line="400" w:lineRule="exact"/>
              <w:rPr>
                <w:rFonts w:hAnsi="宋体" w:cs="宋体"/>
                <w:color w:val="auto"/>
                <w:kern w:val="2"/>
                <w:sz w:val="21"/>
                <w:szCs w:val="21"/>
                <w:highlight w:val="none"/>
              </w:rPr>
            </w:pPr>
            <w:r>
              <w:rPr>
                <w:rFonts w:hint="eastAsia" w:hAnsi="宋体" w:cs="宋体"/>
                <w:color w:val="auto"/>
                <w:sz w:val="21"/>
                <w:szCs w:val="21"/>
                <w:highlight w:val="none"/>
              </w:rPr>
              <w:t>价格分</w:t>
            </w:r>
            <w:r>
              <w:rPr>
                <w:rFonts w:hint="eastAsia" w:hAnsi="宋体" w:cs="宋体"/>
                <w:color w:val="auto"/>
                <w:kern w:val="2"/>
                <w:sz w:val="21"/>
                <w:szCs w:val="21"/>
                <w:highlight w:val="none"/>
              </w:rPr>
              <w:t>=(评标基准价／评标报价)×</w:t>
            </w:r>
            <w:r>
              <w:rPr>
                <w:rFonts w:hint="eastAsia" w:hAnsi="宋体" w:cs="宋体"/>
                <w:color w:val="auto"/>
                <w:sz w:val="21"/>
                <w:szCs w:val="21"/>
                <w:highlight w:val="none"/>
              </w:rPr>
              <w:t>30</w:t>
            </w:r>
            <w:r>
              <w:rPr>
                <w:rFonts w:hint="eastAsia" w:hAnsi="宋体" w:cs="宋体"/>
                <w:color w:val="auto"/>
                <w:kern w:val="2"/>
                <w:sz w:val="21"/>
                <w:szCs w:val="21"/>
                <w:highlight w:val="none"/>
              </w:rPr>
              <w:t>分</w:t>
            </w:r>
          </w:p>
        </w:tc>
      </w:tr>
      <w:tr w14:paraId="0BBA8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jc w:val="center"/>
        </w:trPr>
        <w:tc>
          <w:tcPr>
            <w:tcW w:w="525" w:type="dxa"/>
            <w:tcBorders>
              <w:top w:val="single" w:color="auto" w:sz="4" w:space="0"/>
              <w:left w:val="single" w:color="auto" w:sz="4" w:space="0"/>
              <w:right w:val="single" w:color="auto" w:sz="4" w:space="0"/>
            </w:tcBorders>
            <w:vAlign w:val="center"/>
          </w:tcPr>
          <w:p w14:paraId="77F41651">
            <w:pPr>
              <w:adjustRightInd w:val="0"/>
              <w:spacing w:line="360" w:lineRule="auto"/>
              <w:jc w:val="center"/>
              <w:textAlignment w:val="baseline"/>
              <w:rPr>
                <w:rFonts w:ascii="宋体" w:hAnsi="宋体" w:cs="宋体"/>
                <w:b/>
                <w:color w:val="auto"/>
                <w:sz w:val="21"/>
                <w:szCs w:val="21"/>
                <w:highlight w:val="none"/>
              </w:rPr>
            </w:pPr>
            <w:r>
              <w:rPr>
                <w:rFonts w:hint="eastAsia" w:ascii="宋体" w:hAnsi="宋体" w:cs="宋体"/>
                <w:b/>
                <w:color w:val="auto"/>
                <w:sz w:val="21"/>
                <w:szCs w:val="21"/>
                <w:highlight w:val="none"/>
              </w:rPr>
              <w:t>2</w:t>
            </w:r>
          </w:p>
        </w:tc>
        <w:tc>
          <w:tcPr>
            <w:tcW w:w="1224" w:type="dxa"/>
            <w:tcBorders>
              <w:top w:val="single" w:color="auto" w:sz="4" w:space="0"/>
              <w:left w:val="single" w:color="auto" w:sz="4" w:space="0"/>
              <w:right w:val="single" w:color="auto" w:sz="4" w:space="0"/>
            </w:tcBorders>
            <w:vAlign w:val="center"/>
          </w:tcPr>
          <w:p w14:paraId="7E1F9644">
            <w:pPr>
              <w:adjustRightInd w:val="0"/>
              <w:spacing w:line="360" w:lineRule="auto"/>
              <w:ind w:left="-105" w:leftChars="-50" w:right="-105" w:rightChars="-50"/>
              <w:jc w:val="center"/>
              <w:textAlignment w:val="baseline"/>
              <w:rPr>
                <w:rFonts w:ascii="宋体" w:hAnsi="宋体" w:cs="宋体"/>
                <w:b/>
                <w:color w:val="auto"/>
                <w:sz w:val="21"/>
                <w:szCs w:val="21"/>
                <w:highlight w:val="none"/>
              </w:rPr>
            </w:pPr>
            <w:r>
              <w:rPr>
                <w:rFonts w:hint="eastAsia" w:ascii="宋体" w:hAnsi="宋体" w:cs="宋体"/>
                <w:b/>
                <w:color w:val="auto"/>
                <w:sz w:val="21"/>
                <w:szCs w:val="21"/>
                <w:highlight w:val="none"/>
              </w:rPr>
              <w:t>技术分</w:t>
            </w:r>
          </w:p>
          <w:p w14:paraId="150353B5">
            <w:pPr>
              <w:adjustRightInd w:val="0"/>
              <w:spacing w:line="360" w:lineRule="auto"/>
              <w:ind w:left="-105" w:leftChars="-50" w:right="-105" w:rightChars="-50"/>
              <w:jc w:val="center"/>
              <w:textAlignment w:val="baseline"/>
              <w:rPr>
                <w:rFonts w:ascii="宋体" w:hAnsi="宋体" w:cs="宋体"/>
                <w:b/>
                <w:color w:val="auto"/>
                <w:sz w:val="21"/>
                <w:szCs w:val="21"/>
                <w:highlight w:val="none"/>
              </w:rPr>
            </w:pPr>
            <w:r>
              <w:rPr>
                <w:rFonts w:hint="eastAsia" w:ascii="宋体" w:hAnsi="宋体" w:cs="宋体"/>
                <w:b/>
                <w:color w:val="auto"/>
                <w:sz w:val="21"/>
                <w:szCs w:val="21"/>
                <w:highlight w:val="none"/>
              </w:rPr>
              <w:t>（40分）</w:t>
            </w:r>
          </w:p>
        </w:tc>
        <w:tc>
          <w:tcPr>
            <w:tcW w:w="1701" w:type="dxa"/>
            <w:tcBorders>
              <w:top w:val="single" w:color="auto" w:sz="4" w:space="0"/>
              <w:left w:val="single" w:color="auto" w:sz="4" w:space="0"/>
              <w:right w:val="single" w:color="auto" w:sz="4" w:space="0"/>
            </w:tcBorders>
            <w:vAlign w:val="center"/>
          </w:tcPr>
          <w:p w14:paraId="54233772">
            <w:pPr>
              <w:adjustRightInd w:val="0"/>
              <w:spacing w:line="400" w:lineRule="exact"/>
              <w:ind w:left="-105" w:leftChars="-50" w:right="-105" w:rightChars="-50"/>
              <w:jc w:val="center"/>
              <w:textAlignment w:val="baseline"/>
              <w:rPr>
                <w:rFonts w:ascii="宋体" w:hAnsi="宋体" w:cs="宋体"/>
                <w:b/>
                <w:color w:val="auto"/>
                <w:sz w:val="21"/>
                <w:szCs w:val="21"/>
                <w:highlight w:val="none"/>
              </w:rPr>
            </w:pPr>
            <w:r>
              <w:rPr>
                <w:rFonts w:hint="eastAsia" w:ascii="宋体" w:hAnsi="宋体" w:cs="宋体"/>
                <w:b/>
                <w:color w:val="auto"/>
                <w:sz w:val="21"/>
                <w:szCs w:val="21"/>
                <w:highlight w:val="none"/>
              </w:rPr>
              <w:t>技术响应分</w:t>
            </w:r>
          </w:p>
          <w:p w14:paraId="3DF197AB">
            <w:pPr>
              <w:adjustRightInd w:val="0"/>
              <w:spacing w:line="400" w:lineRule="exact"/>
              <w:ind w:left="-105" w:leftChars="-50" w:right="-105" w:rightChars="-50"/>
              <w:jc w:val="center"/>
              <w:textAlignment w:val="baseline"/>
              <w:rPr>
                <w:rFonts w:ascii="宋体" w:hAnsi="宋体" w:cs="宋体"/>
                <w:b/>
                <w:color w:val="auto"/>
                <w:sz w:val="21"/>
                <w:szCs w:val="21"/>
                <w:highlight w:val="none"/>
              </w:rPr>
            </w:pPr>
            <w:r>
              <w:rPr>
                <w:rFonts w:hint="eastAsia" w:ascii="宋体" w:hAnsi="宋体" w:cs="宋体"/>
                <w:b/>
                <w:color w:val="auto"/>
                <w:sz w:val="21"/>
                <w:szCs w:val="21"/>
                <w:highlight w:val="none"/>
              </w:rPr>
              <w:t>（40分）</w:t>
            </w:r>
          </w:p>
        </w:tc>
        <w:tc>
          <w:tcPr>
            <w:tcW w:w="6000" w:type="dxa"/>
            <w:tcBorders>
              <w:top w:val="single" w:color="auto" w:sz="4" w:space="0"/>
              <w:left w:val="single" w:color="auto" w:sz="4" w:space="0"/>
              <w:right w:val="single" w:color="auto" w:sz="4" w:space="0"/>
            </w:tcBorders>
            <w:vAlign w:val="center"/>
          </w:tcPr>
          <w:p w14:paraId="3F8CAD4A">
            <w:pPr>
              <w:pStyle w:val="25"/>
              <w:spacing w:line="360" w:lineRule="exact"/>
              <w:ind w:firstLine="420" w:firstLineChars="200"/>
              <w:outlineLvl w:val="0"/>
              <w:rPr>
                <w:color w:val="auto"/>
                <w:sz w:val="21"/>
                <w:szCs w:val="21"/>
                <w:highlight w:val="none"/>
              </w:rPr>
            </w:pPr>
            <w:r>
              <w:rPr>
                <w:rFonts w:hint="eastAsia"/>
                <w:color w:val="auto"/>
                <w:sz w:val="21"/>
                <w:szCs w:val="21"/>
                <w:highlight w:val="none"/>
              </w:rPr>
              <w:t>经评委独立评审，投标人投标文件满足招标文件全部实质性要求的，得基本分40分；投标人对“采购需求”的“技术要求”中未标注符号的</w:t>
            </w:r>
            <w:r>
              <w:rPr>
                <w:rFonts w:hint="eastAsia"/>
                <w:color w:val="auto"/>
                <w:sz w:val="21"/>
                <w:szCs w:val="21"/>
                <w:highlight w:val="none"/>
                <w:lang w:eastAsia="zh-CN"/>
              </w:rPr>
              <w:t>技术</w:t>
            </w:r>
            <w:r>
              <w:rPr>
                <w:rFonts w:hint="eastAsia"/>
                <w:color w:val="auto"/>
                <w:sz w:val="21"/>
                <w:szCs w:val="21"/>
                <w:highlight w:val="none"/>
              </w:rPr>
              <w:t>参数发生负偏离的，每有一项扣基本分2分；本项累计最多扣40分。</w:t>
            </w:r>
          </w:p>
          <w:p w14:paraId="07389275">
            <w:pPr>
              <w:pStyle w:val="25"/>
              <w:spacing w:line="360" w:lineRule="exact"/>
              <w:ind w:firstLine="422" w:firstLineChars="200"/>
              <w:outlineLvl w:val="0"/>
              <w:rPr>
                <w:rFonts w:hAnsi="宋体" w:cs="宋体"/>
                <w:color w:val="auto"/>
                <w:sz w:val="21"/>
                <w:szCs w:val="21"/>
                <w:highlight w:val="none"/>
              </w:rPr>
            </w:pPr>
            <w:r>
              <w:rPr>
                <w:rFonts w:hint="eastAsia"/>
                <w:b/>
                <w:color w:val="auto"/>
                <w:sz w:val="21"/>
                <w:szCs w:val="21"/>
                <w:highlight w:val="none"/>
              </w:rPr>
              <w:t>注：如招标文件“技术要求”中要求提供相关有效证明材料，投标人未按要求提供证明材料或所提供的证明材料不满足（或不能证明）相应技术参数要求的，相应视为负偏离；投标人投标文件中的响应承诺与证明材料不一致的，以证明材料为准。</w:t>
            </w:r>
          </w:p>
        </w:tc>
      </w:tr>
      <w:tr w14:paraId="583FA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jc w:val="center"/>
        </w:trPr>
        <w:tc>
          <w:tcPr>
            <w:tcW w:w="525" w:type="dxa"/>
            <w:tcBorders>
              <w:top w:val="single" w:color="auto" w:sz="4" w:space="0"/>
              <w:left w:val="single" w:color="auto" w:sz="4" w:space="0"/>
              <w:right w:val="single" w:color="auto" w:sz="4" w:space="0"/>
            </w:tcBorders>
            <w:vAlign w:val="center"/>
          </w:tcPr>
          <w:p w14:paraId="6F900C1B">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3</w:t>
            </w:r>
          </w:p>
        </w:tc>
        <w:tc>
          <w:tcPr>
            <w:tcW w:w="1224" w:type="dxa"/>
            <w:tcBorders>
              <w:top w:val="single" w:color="auto" w:sz="4" w:space="0"/>
              <w:left w:val="single" w:color="auto" w:sz="4" w:space="0"/>
              <w:right w:val="single" w:color="auto" w:sz="4" w:space="0"/>
            </w:tcBorders>
            <w:vAlign w:val="center"/>
          </w:tcPr>
          <w:p w14:paraId="398BD142">
            <w:pPr>
              <w:adjustRightInd w:val="0"/>
              <w:spacing w:line="470" w:lineRule="exact"/>
              <w:jc w:val="center"/>
              <w:textAlignment w:val="baseline"/>
              <w:rPr>
                <w:rFonts w:ascii="宋体" w:hAnsi="宋体" w:cs="宋体"/>
                <w:b/>
                <w:color w:val="auto"/>
                <w:sz w:val="21"/>
                <w:szCs w:val="21"/>
                <w:highlight w:val="none"/>
              </w:rPr>
            </w:pPr>
            <w:r>
              <w:rPr>
                <w:rFonts w:hint="eastAsia" w:ascii="宋体" w:hAnsi="宋体" w:cs="宋体"/>
                <w:b/>
                <w:bCs/>
                <w:color w:val="auto"/>
                <w:sz w:val="21"/>
                <w:szCs w:val="21"/>
                <w:highlight w:val="none"/>
              </w:rPr>
              <w:t>安装实施方案分（10分）</w:t>
            </w:r>
          </w:p>
        </w:tc>
        <w:tc>
          <w:tcPr>
            <w:tcW w:w="7701" w:type="dxa"/>
            <w:gridSpan w:val="2"/>
            <w:tcBorders>
              <w:top w:val="single" w:color="auto" w:sz="4" w:space="0"/>
              <w:left w:val="single" w:color="auto" w:sz="4" w:space="0"/>
              <w:right w:val="single" w:color="auto" w:sz="4" w:space="0"/>
            </w:tcBorders>
            <w:vAlign w:val="center"/>
          </w:tcPr>
          <w:p w14:paraId="0B18D7A6">
            <w:pPr>
              <w:pStyle w:val="25"/>
              <w:spacing w:line="400" w:lineRule="exact"/>
              <w:rPr>
                <w:rFonts w:hAnsi="宋体" w:cs="宋体"/>
                <w:color w:val="auto"/>
                <w:kern w:val="2"/>
                <w:sz w:val="21"/>
                <w:szCs w:val="21"/>
                <w:highlight w:val="none"/>
              </w:rPr>
            </w:pPr>
            <w:r>
              <w:rPr>
                <w:rFonts w:hint="eastAsia" w:hAnsi="宋体" w:cs="宋体"/>
                <w:color w:val="auto"/>
                <w:kern w:val="2"/>
                <w:sz w:val="21"/>
                <w:szCs w:val="21"/>
                <w:highlight w:val="none"/>
              </w:rPr>
              <w:t>评委对投标人提供的安装实施方案（包括但不仅限于：①安装方案；②设备调试方案；③设备试运行方案等）内容进行独立评审并按以下规则独立打分：</w:t>
            </w:r>
          </w:p>
          <w:p w14:paraId="47D6C185">
            <w:pPr>
              <w:pStyle w:val="25"/>
              <w:spacing w:line="400" w:lineRule="exact"/>
              <w:rPr>
                <w:rFonts w:hAnsi="宋体" w:cs="宋体"/>
                <w:color w:val="auto"/>
                <w:kern w:val="2"/>
                <w:sz w:val="21"/>
                <w:szCs w:val="21"/>
                <w:highlight w:val="none"/>
              </w:rPr>
            </w:pPr>
            <w:r>
              <w:rPr>
                <w:rFonts w:hint="eastAsia" w:hAnsi="宋体" w:cs="宋体"/>
                <w:color w:val="auto"/>
                <w:kern w:val="2"/>
                <w:sz w:val="21"/>
                <w:szCs w:val="21"/>
                <w:highlight w:val="none"/>
              </w:rPr>
              <w:t>一档（4分）：三项评审内容有一项经评审具有针对性、可操作性、且内容科学合理的；</w:t>
            </w:r>
          </w:p>
          <w:p w14:paraId="4777BB8D">
            <w:pPr>
              <w:pStyle w:val="25"/>
              <w:spacing w:line="400" w:lineRule="exact"/>
              <w:rPr>
                <w:rFonts w:hAnsi="宋体" w:cs="宋体"/>
                <w:color w:val="auto"/>
                <w:kern w:val="2"/>
                <w:sz w:val="21"/>
                <w:szCs w:val="21"/>
                <w:highlight w:val="none"/>
              </w:rPr>
            </w:pPr>
            <w:r>
              <w:rPr>
                <w:rFonts w:hint="eastAsia" w:hAnsi="宋体" w:cs="宋体"/>
                <w:color w:val="auto"/>
                <w:kern w:val="2"/>
                <w:sz w:val="21"/>
                <w:szCs w:val="21"/>
                <w:highlight w:val="none"/>
              </w:rPr>
              <w:t>二档（7分）：三项评审内容有二项经评审具有针对性、可操作性、且内容科学合理的；</w:t>
            </w:r>
          </w:p>
          <w:p w14:paraId="426157CC">
            <w:pPr>
              <w:pStyle w:val="25"/>
              <w:spacing w:line="400" w:lineRule="exact"/>
              <w:rPr>
                <w:rFonts w:hint="eastAsia" w:hAnsi="宋体" w:cs="宋体"/>
                <w:color w:val="auto"/>
                <w:kern w:val="2"/>
                <w:sz w:val="21"/>
                <w:szCs w:val="21"/>
                <w:highlight w:val="none"/>
              </w:rPr>
            </w:pPr>
            <w:r>
              <w:rPr>
                <w:rFonts w:hint="eastAsia" w:hAnsi="宋体" w:cs="宋体"/>
                <w:color w:val="auto"/>
                <w:kern w:val="2"/>
                <w:sz w:val="21"/>
                <w:szCs w:val="21"/>
                <w:highlight w:val="none"/>
              </w:rPr>
              <w:t>三档（10分）：三项评审内容经评审均具有针对性、可操作性、且内容科学合理的。</w:t>
            </w:r>
          </w:p>
          <w:p w14:paraId="7E00C9AD">
            <w:pPr>
              <w:keepNext w:val="0"/>
              <w:keepLines w:val="0"/>
              <w:pageBreakBefore w:val="0"/>
              <w:widowControl/>
              <w:kinsoku/>
              <w:wordWrap/>
              <w:overflowPunct/>
              <w:topLinePunct w:val="0"/>
              <w:autoSpaceDE/>
              <w:autoSpaceDN/>
              <w:bidi w:val="0"/>
              <w:snapToGrid w:val="0"/>
              <w:spacing w:line="340" w:lineRule="exact"/>
              <w:textAlignment w:val="auto"/>
              <w:rPr>
                <w:color w:val="auto"/>
                <w:sz w:val="21"/>
                <w:szCs w:val="21"/>
                <w:highlight w:val="none"/>
              </w:rPr>
            </w:pPr>
            <w:r>
              <w:rPr>
                <w:rFonts w:hint="eastAsia" w:ascii="宋体" w:hAnsi="宋体" w:cs="宋体"/>
                <w:b/>
                <w:bCs w:val="0"/>
                <w:color w:val="auto"/>
                <w:sz w:val="21"/>
                <w:szCs w:val="21"/>
                <w:highlight w:val="none"/>
              </w:rPr>
              <w:t>注：未提供“</w:t>
            </w:r>
            <w:r>
              <w:rPr>
                <w:rFonts w:hint="eastAsia" w:hAnsi="宋体" w:cs="宋体"/>
                <w:b/>
                <w:bCs w:val="0"/>
                <w:color w:val="auto"/>
                <w:kern w:val="2"/>
                <w:sz w:val="21"/>
                <w:szCs w:val="21"/>
                <w:highlight w:val="none"/>
              </w:rPr>
              <w:t>安装实施方案</w:t>
            </w:r>
            <w:r>
              <w:rPr>
                <w:rFonts w:hint="eastAsia" w:ascii="宋体" w:hAnsi="宋体" w:cs="宋体"/>
                <w:b/>
                <w:bCs w:val="0"/>
                <w:color w:val="auto"/>
                <w:sz w:val="21"/>
                <w:szCs w:val="21"/>
                <w:highlight w:val="none"/>
              </w:rPr>
              <w:t>”或经评委评审未达到上述一档档次标准的，</w:t>
            </w:r>
            <w:r>
              <w:rPr>
                <w:rFonts w:hint="eastAsia" w:hAnsi="宋体" w:cs="宋体"/>
                <w:b/>
                <w:bCs w:val="0"/>
                <w:color w:val="auto"/>
                <w:kern w:val="2"/>
                <w:sz w:val="21"/>
                <w:szCs w:val="21"/>
                <w:highlight w:val="none"/>
              </w:rPr>
              <w:t>安装实施方案</w:t>
            </w:r>
            <w:r>
              <w:rPr>
                <w:rFonts w:hint="eastAsia"/>
                <w:b/>
                <w:bCs w:val="0"/>
                <w:color w:val="auto"/>
                <w:sz w:val="21"/>
                <w:szCs w:val="21"/>
                <w:highlight w:val="none"/>
              </w:rPr>
              <w:t>分</w:t>
            </w:r>
            <w:r>
              <w:rPr>
                <w:rFonts w:hint="eastAsia" w:ascii="宋体" w:hAnsi="宋体" w:cs="宋体"/>
                <w:b/>
                <w:bCs w:val="0"/>
                <w:color w:val="auto"/>
                <w:sz w:val="21"/>
                <w:szCs w:val="21"/>
                <w:highlight w:val="none"/>
              </w:rPr>
              <w:t>不予计分。</w:t>
            </w:r>
          </w:p>
        </w:tc>
      </w:tr>
      <w:tr w14:paraId="55023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jc w:val="center"/>
        </w:trPr>
        <w:tc>
          <w:tcPr>
            <w:tcW w:w="525" w:type="dxa"/>
            <w:tcBorders>
              <w:top w:val="single" w:color="auto" w:sz="4" w:space="0"/>
              <w:left w:val="single" w:color="auto" w:sz="4" w:space="0"/>
              <w:right w:val="single" w:color="auto" w:sz="4" w:space="0"/>
            </w:tcBorders>
            <w:vAlign w:val="center"/>
          </w:tcPr>
          <w:p w14:paraId="73069A57">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4</w:t>
            </w:r>
          </w:p>
        </w:tc>
        <w:tc>
          <w:tcPr>
            <w:tcW w:w="1224" w:type="dxa"/>
            <w:tcBorders>
              <w:top w:val="single" w:color="auto" w:sz="4" w:space="0"/>
              <w:left w:val="single" w:color="auto" w:sz="4" w:space="0"/>
              <w:right w:val="single" w:color="auto" w:sz="4" w:space="0"/>
            </w:tcBorders>
            <w:shd w:val="clear" w:color="auto" w:fill="auto"/>
            <w:vAlign w:val="center"/>
          </w:tcPr>
          <w:p w14:paraId="5113BCA6">
            <w:pPr>
              <w:adjustRightInd w:val="0"/>
              <w:spacing w:line="470" w:lineRule="exact"/>
              <w:jc w:val="center"/>
              <w:textAlignment w:val="baseline"/>
              <w:rPr>
                <w:rFonts w:ascii="宋体" w:hAnsi="宋体" w:cs="宋体"/>
                <w:b/>
                <w:color w:val="auto"/>
                <w:sz w:val="21"/>
                <w:szCs w:val="21"/>
                <w:highlight w:val="none"/>
              </w:rPr>
            </w:pPr>
            <w:r>
              <w:rPr>
                <w:rFonts w:hint="eastAsia" w:ascii="宋体" w:hAnsi="宋体" w:cs="宋体"/>
                <w:b/>
                <w:color w:val="auto"/>
                <w:sz w:val="21"/>
                <w:szCs w:val="21"/>
                <w:highlight w:val="none"/>
              </w:rPr>
              <w:t>增值售后服务方案分（10分）</w:t>
            </w:r>
          </w:p>
        </w:tc>
        <w:tc>
          <w:tcPr>
            <w:tcW w:w="7701" w:type="dxa"/>
            <w:gridSpan w:val="2"/>
            <w:tcBorders>
              <w:top w:val="single" w:color="auto" w:sz="4" w:space="0"/>
              <w:left w:val="single" w:color="auto" w:sz="4" w:space="0"/>
              <w:right w:val="single" w:color="auto" w:sz="4" w:space="0"/>
            </w:tcBorders>
            <w:shd w:val="clear" w:color="auto" w:fill="auto"/>
            <w:vAlign w:val="center"/>
          </w:tcPr>
          <w:p w14:paraId="63207DBC">
            <w:pPr>
              <w:pStyle w:val="25"/>
              <w:spacing w:line="400" w:lineRule="exact"/>
              <w:rPr>
                <w:rFonts w:hAnsi="宋体" w:cs="宋体"/>
                <w:color w:val="auto"/>
                <w:kern w:val="2"/>
                <w:sz w:val="21"/>
                <w:szCs w:val="21"/>
                <w:highlight w:val="none"/>
              </w:rPr>
            </w:pPr>
            <w:r>
              <w:rPr>
                <w:rFonts w:hint="eastAsia" w:hAnsi="宋体" w:cs="宋体"/>
                <w:color w:val="auto"/>
                <w:kern w:val="2"/>
                <w:sz w:val="21"/>
                <w:szCs w:val="21"/>
                <w:highlight w:val="none"/>
              </w:rPr>
              <w:t>评委根据投标人所提供的增值售后服务方案内容【包括但不限于：</w:t>
            </w:r>
            <w:r>
              <w:rPr>
                <w:rFonts w:hint="eastAsia" w:hAnsi="宋体" w:cs="宋体"/>
                <w:color w:val="auto"/>
                <w:sz w:val="21"/>
                <w:szCs w:val="21"/>
                <w:highlight w:val="none"/>
              </w:rPr>
              <w:t>①服务人员的配备、故障出现解决方案，②定期维护 (注明时间)，③技术培训方案，④保修期外维修方案，⑤售后服务措施及其他优惠措施等</w:t>
            </w:r>
            <w:r>
              <w:rPr>
                <w:rFonts w:hint="eastAsia" w:hAnsi="宋体" w:cs="宋体"/>
                <w:color w:val="auto"/>
                <w:kern w:val="2"/>
                <w:sz w:val="21"/>
                <w:szCs w:val="21"/>
                <w:highlight w:val="none"/>
              </w:rPr>
              <w:t>】，按以下方式进行独立评审打分：</w:t>
            </w:r>
          </w:p>
          <w:p w14:paraId="1D311C43">
            <w:pPr>
              <w:pStyle w:val="25"/>
              <w:spacing w:line="360" w:lineRule="exact"/>
              <w:rPr>
                <w:rFonts w:hAnsi="宋体" w:cs="宋体"/>
                <w:color w:val="auto"/>
                <w:sz w:val="21"/>
                <w:szCs w:val="21"/>
                <w:highlight w:val="none"/>
              </w:rPr>
            </w:pPr>
            <w:r>
              <w:rPr>
                <w:rFonts w:hint="eastAsia" w:hAnsi="宋体" w:cs="宋体"/>
                <w:color w:val="auto"/>
                <w:sz w:val="21"/>
                <w:szCs w:val="21"/>
                <w:highlight w:val="none"/>
              </w:rPr>
              <w:t>一档（2分）：五项评审因素有一项内容经评审合理、可行且具有针对性的；</w:t>
            </w:r>
          </w:p>
          <w:p w14:paraId="506E5D82">
            <w:pPr>
              <w:pStyle w:val="25"/>
              <w:spacing w:line="360" w:lineRule="exact"/>
              <w:rPr>
                <w:rFonts w:hAnsi="宋体" w:cs="宋体"/>
                <w:color w:val="auto"/>
                <w:sz w:val="21"/>
                <w:szCs w:val="21"/>
                <w:highlight w:val="none"/>
              </w:rPr>
            </w:pPr>
            <w:r>
              <w:rPr>
                <w:rFonts w:hint="eastAsia" w:hAnsi="宋体" w:cs="宋体"/>
                <w:color w:val="auto"/>
                <w:sz w:val="21"/>
                <w:szCs w:val="21"/>
                <w:highlight w:val="none"/>
              </w:rPr>
              <w:t>二档（4分）：五项评审因素有二项内容经评审合理、可行且具有针对性的；</w:t>
            </w:r>
          </w:p>
          <w:p w14:paraId="623FEA52">
            <w:pPr>
              <w:pStyle w:val="25"/>
              <w:spacing w:line="360" w:lineRule="exact"/>
              <w:outlineLvl w:val="0"/>
              <w:rPr>
                <w:rFonts w:hAnsi="宋体" w:cs="宋体"/>
                <w:color w:val="auto"/>
                <w:sz w:val="21"/>
                <w:szCs w:val="21"/>
                <w:highlight w:val="none"/>
              </w:rPr>
            </w:pPr>
            <w:r>
              <w:rPr>
                <w:rFonts w:hint="eastAsia" w:hAnsi="宋体" w:cs="宋体"/>
                <w:color w:val="auto"/>
                <w:sz w:val="21"/>
                <w:szCs w:val="21"/>
                <w:highlight w:val="none"/>
              </w:rPr>
              <w:t>三档（6分）：五项评审因素有三项内容经评审合理、可行且具有针对性的；</w:t>
            </w:r>
          </w:p>
          <w:p w14:paraId="3533E198">
            <w:pPr>
              <w:pStyle w:val="25"/>
              <w:spacing w:line="360" w:lineRule="exact"/>
              <w:outlineLvl w:val="0"/>
              <w:rPr>
                <w:rFonts w:hAnsi="宋体" w:cs="宋体"/>
                <w:color w:val="auto"/>
                <w:sz w:val="21"/>
                <w:szCs w:val="21"/>
                <w:highlight w:val="none"/>
              </w:rPr>
            </w:pPr>
            <w:r>
              <w:rPr>
                <w:rFonts w:hint="eastAsia" w:hAnsi="宋体" w:cs="宋体"/>
                <w:color w:val="auto"/>
                <w:sz w:val="21"/>
                <w:szCs w:val="21"/>
                <w:highlight w:val="none"/>
              </w:rPr>
              <w:t>四档（8分）：五项评审因素有四项内容经评审合理、可行且具有针对性的；</w:t>
            </w:r>
          </w:p>
          <w:p w14:paraId="61BC4AA3">
            <w:pPr>
              <w:pStyle w:val="25"/>
              <w:spacing w:line="400" w:lineRule="exact"/>
              <w:rPr>
                <w:rFonts w:hint="eastAsia" w:hAnsi="宋体" w:cs="宋体"/>
                <w:color w:val="auto"/>
                <w:sz w:val="21"/>
                <w:szCs w:val="21"/>
                <w:highlight w:val="none"/>
              </w:rPr>
            </w:pPr>
            <w:r>
              <w:rPr>
                <w:rFonts w:hint="eastAsia" w:hAnsi="宋体" w:cs="宋体"/>
                <w:color w:val="auto"/>
                <w:sz w:val="21"/>
                <w:szCs w:val="21"/>
                <w:highlight w:val="none"/>
              </w:rPr>
              <w:t>五档（10分）：五项评审因素均合理、可行且具有针对性的。</w:t>
            </w:r>
          </w:p>
          <w:p w14:paraId="37313CBB">
            <w:pPr>
              <w:pStyle w:val="13"/>
              <w:ind w:left="0" w:leftChars="0" w:firstLine="0" w:firstLineChars="0"/>
              <w:rPr>
                <w:color w:val="auto"/>
                <w:sz w:val="21"/>
                <w:szCs w:val="21"/>
                <w:highlight w:val="none"/>
              </w:rPr>
            </w:pPr>
            <w:r>
              <w:rPr>
                <w:rFonts w:hint="eastAsia" w:ascii="宋体" w:hAnsi="宋体" w:cs="宋体"/>
                <w:b/>
                <w:bCs w:val="0"/>
                <w:color w:val="auto"/>
                <w:sz w:val="21"/>
                <w:szCs w:val="21"/>
                <w:highlight w:val="none"/>
              </w:rPr>
              <w:t>注：未提供“</w:t>
            </w:r>
            <w:r>
              <w:rPr>
                <w:rFonts w:hint="eastAsia" w:ascii="宋体" w:hAnsi="宋体" w:cs="宋体"/>
                <w:b/>
                <w:color w:val="auto"/>
                <w:sz w:val="21"/>
                <w:szCs w:val="21"/>
                <w:highlight w:val="none"/>
              </w:rPr>
              <w:t>增值售后服务方案</w:t>
            </w:r>
            <w:r>
              <w:rPr>
                <w:rFonts w:hint="eastAsia" w:ascii="宋体" w:hAnsi="宋体" w:cs="宋体"/>
                <w:b/>
                <w:bCs w:val="0"/>
                <w:color w:val="auto"/>
                <w:sz w:val="21"/>
                <w:szCs w:val="21"/>
                <w:highlight w:val="none"/>
              </w:rPr>
              <w:t>”或经评委评审未达到上述一档档次标准的，</w:t>
            </w:r>
            <w:r>
              <w:rPr>
                <w:rFonts w:hint="eastAsia" w:ascii="宋体" w:hAnsi="宋体" w:cs="宋体"/>
                <w:b/>
                <w:color w:val="auto"/>
                <w:sz w:val="21"/>
                <w:szCs w:val="21"/>
                <w:highlight w:val="none"/>
              </w:rPr>
              <w:t>增值售后服务方案</w:t>
            </w:r>
            <w:r>
              <w:rPr>
                <w:rFonts w:hint="eastAsia"/>
                <w:b/>
                <w:bCs w:val="0"/>
                <w:color w:val="auto"/>
                <w:sz w:val="21"/>
                <w:szCs w:val="21"/>
                <w:highlight w:val="none"/>
              </w:rPr>
              <w:t>分</w:t>
            </w:r>
            <w:r>
              <w:rPr>
                <w:rFonts w:hint="eastAsia" w:ascii="宋体" w:hAnsi="宋体" w:cs="宋体"/>
                <w:b/>
                <w:bCs w:val="0"/>
                <w:color w:val="auto"/>
                <w:sz w:val="21"/>
                <w:szCs w:val="21"/>
                <w:highlight w:val="none"/>
              </w:rPr>
              <w:t>不予计分。</w:t>
            </w:r>
          </w:p>
        </w:tc>
      </w:tr>
      <w:tr w14:paraId="0A38A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1" w:hRule="atLeast"/>
          <w:jc w:val="center"/>
        </w:trPr>
        <w:tc>
          <w:tcPr>
            <w:tcW w:w="525" w:type="dxa"/>
            <w:tcBorders>
              <w:top w:val="single" w:color="auto" w:sz="4" w:space="0"/>
              <w:left w:val="single" w:color="auto" w:sz="4" w:space="0"/>
              <w:right w:val="single" w:color="auto" w:sz="4" w:space="0"/>
            </w:tcBorders>
            <w:vAlign w:val="center"/>
          </w:tcPr>
          <w:p w14:paraId="76D37E86">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5</w:t>
            </w:r>
          </w:p>
        </w:tc>
        <w:tc>
          <w:tcPr>
            <w:tcW w:w="1224" w:type="dxa"/>
            <w:tcBorders>
              <w:top w:val="single" w:color="auto" w:sz="4" w:space="0"/>
              <w:left w:val="single" w:color="auto" w:sz="4" w:space="0"/>
              <w:right w:val="single" w:color="auto" w:sz="4" w:space="0"/>
            </w:tcBorders>
            <w:vAlign w:val="center"/>
          </w:tcPr>
          <w:p w14:paraId="412AEAD0">
            <w:pPr>
              <w:adjustRightInd w:val="0"/>
              <w:spacing w:line="360" w:lineRule="auto"/>
              <w:jc w:val="center"/>
              <w:textAlignment w:val="baseline"/>
              <w:rPr>
                <w:rFonts w:ascii="宋体" w:hAnsi="宋体" w:cs="宋体"/>
                <w:b/>
                <w:color w:val="auto"/>
                <w:sz w:val="21"/>
                <w:szCs w:val="21"/>
                <w:highlight w:val="none"/>
              </w:rPr>
            </w:pPr>
            <w:r>
              <w:rPr>
                <w:rFonts w:hint="eastAsia" w:ascii="宋体" w:hAnsi="宋体" w:cs="宋体"/>
                <w:b/>
                <w:color w:val="auto"/>
                <w:sz w:val="21"/>
                <w:szCs w:val="21"/>
                <w:highlight w:val="none"/>
              </w:rPr>
              <w:t>履约能力分（8分）</w:t>
            </w:r>
          </w:p>
        </w:tc>
        <w:tc>
          <w:tcPr>
            <w:tcW w:w="7701" w:type="dxa"/>
            <w:gridSpan w:val="2"/>
            <w:tcBorders>
              <w:top w:val="single" w:color="auto" w:sz="4" w:space="0"/>
              <w:left w:val="single" w:color="auto" w:sz="4" w:space="0"/>
              <w:right w:val="single" w:color="auto" w:sz="4" w:space="0"/>
            </w:tcBorders>
            <w:vAlign w:val="center"/>
          </w:tcPr>
          <w:p w14:paraId="214AFC2A">
            <w:pPr>
              <w:pStyle w:val="25"/>
              <w:spacing w:line="400" w:lineRule="exact"/>
              <w:rPr>
                <w:rFonts w:hAnsi="宋体" w:cs="宋体"/>
                <w:color w:val="auto"/>
                <w:kern w:val="2"/>
                <w:sz w:val="21"/>
                <w:szCs w:val="21"/>
                <w:highlight w:val="none"/>
              </w:rPr>
            </w:pPr>
            <w:r>
              <w:rPr>
                <w:rFonts w:hint="eastAsia" w:hAnsi="宋体" w:cs="宋体"/>
                <w:color w:val="auto"/>
                <w:kern w:val="2"/>
                <w:sz w:val="21"/>
                <w:szCs w:val="21"/>
                <w:highlight w:val="none"/>
              </w:rPr>
              <w:t>（1）投标人或所投核心产品生产厂家通过ISO13485医疗器械质量管理体系认证、ISO9001质量管理体系认证且有效的（投标人于投标文件提供相应有效的认证证书复印件，并加盖投标人电子签章，否则不予认可），每提供1项得2分，最多得4分。</w:t>
            </w:r>
          </w:p>
          <w:p w14:paraId="444342CD">
            <w:pPr>
              <w:pStyle w:val="25"/>
              <w:spacing w:line="400" w:lineRule="exact"/>
              <w:rPr>
                <w:rFonts w:hAnsi="宋体" w:cs="宋体"/>
                <w:color w:val="auto"/>
                <w:sz w:val="21"/>
                <w:szCs w:val="21"/>
                <w:highlight w:val="none"/>
              </w:rPr>
            </w:pPr>
            <w:r>
              <w:rPr>
                <w:rFonts w:hint="eastAsia" w:hAnsi="宋体" w:cs="宋体"/>
                <w:color w:val="auto"/>
                <w:kern w:val="2"/>
                <w:sz w:val="21"/>
                <w:szCs w:val="21"/>
                <w:highlight w:val="none"/>
              </w:rPr>
              <w:t>（2）投标人或所投核心产品生产厂家自2021年1月1日以来的具有同类产品销售业绩的（业绩以中标、成交通知书或合同为准，并能清晰反映所销售的产品名称、数量，同一个编号的项目有两个或两个以上的分标中标的只算1个业绩，并加盖投标人电子签章，否则不予认可），每提供1个业绩得2分，最多得4分。</w:t>
            </w:r>
          </w:p>
        </w:tc>
      </w:tr>
      <w:tr w14:paraId="351D1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14:paraId="20B81A0E">
            <w:pPr>
              <w:widowControl/>
              <w:jc w:val="center"/>
              <w:rPr>
                <w:rFonts w:ascii="宋体" w:hAnsi="宋体" w:cs="宋体"/>
                <w:b/>
                <w:color w:val="auto"/>
                <w:sz w:val="21"/>
                <w:szCs w:val="21"/>
                <w:highlight w:val="none"/>
              </w:rPr>
            </w:pPr>
            <w:r>
              <w:rPr>
                <w:rFonts w:hint="eastAsia" w:ascii="宋体" w:hAnsi="宋体" w:cs="宋体"/>
                <w:b/>
                <w:color w:val="auto"/>
                <w:sz w:val="21"/>
                <w:szCs w:val="21"/>
                <w:highlight w:val="none"/>
              </w:rPr>
              <w:t>6</w:t>
            </w:r>
          </w:p>
        </w:tc>
        <w:tc>
          <w:tcPr>
            <w:tcW w:w="1224" w:type="dxa"/>
            <w:tcBorders>
              <w:top w:val="single" w:color="auto" w:sz="4" w:space="0"/>
              <w:left w:val="single" w:color="auto" w:sz="4" w:space="0"/>
              <w:bottom w:val="single" w:color="auto" w:sz="4" w:space="0"/>
              <w:right w:val="single" w:color="auto" w:sz="4" w:space="0"/>
            </w:tcBorders>
            <w:vAlign w:val="center"/>
          </w:tcPr>
          <w:p w14:paraId="509F2823">
            <w:pPr>
              <w:adjustRightInd w:val="0"/>
              <w:spacing w:line="360" w:lineRule="auto"/>
              <w:jc w:val="center"/>
              <w:textAlignment w:val="baseline"/>
              <w:rPr>
                <w:rFonts w:ascii="宋体" w:hAnsi="宋体" w:cs="宋体"/>
                <w:b/>
                <w:color w:val="auto"/>
                <w:sz w:val="21"/>
                <w:szCs w:val="21"/>
                <w:highlight w:val="none"/>
              </w:rPr>
            </w:pPr>
            <w:r>
              <w:rPr>
                <w:rFonts w:hint="eastAsia" w:ascii="宋体" w:hAnsi="宋体" w:cs="宋体"/>
                <w:b/>
                <w:color w:val="auto"/>
                <w:sz w:val="21"/>
                <w:szCs w:val="21"/>
                <w:highlight w:val="none"/>
              </w:rPr>
              <w:t>政策分（2分）</w:t>
            </w:r>
          </w:p>
        </w:tc>
        <w:tc>
          <w:tcPr>
            <w:tcW w:w="7701" w:type="dxa"/>
            <w:gridSpan w:val="2"/>
            <w:tcBorders>
              <w:top w:val="single" w:color="auto" w:sz="4" w:space="0"/>
              <w:left w:val="single" w:color="auto" w:sz="4" w:space="0"/>
              <w:right w:val="single" w:color="auto" w:sz="4" w:space="0"/>
            </w:tcBorders>
            <w:tcMar>
              <w:top w:w="0" w:type="dxa"/>
              <w:left w:w="57" w:type="dxa"/>
              <w:bottom w:w="0" w:type="dxa"/>
              <w:right w:w="57" w:type="dxa"/>
            </w:tcMar>
            <w:vAlign w:val="center"/>
          </w:tcPr>
          <w:p w14:paraId="1D1C7E96">
            <w:pPr>
              <w:pStyle w:val="25"/>
              <w:spacing w:line="400" w:lineRule="exact"/>
              <w:rPr>
                <w:rFonts w:hAnsi="宋体" w:cs="宋体"/>
                <w:color w:val="auto"/>
                <w:kern w:val="2"/>
                <w:sz w:val="21"/>
                <w:szCs w:val="21"/>
                <w:highlight w:val="none"/>
              </w:rPr>
            </w:pPr>
            <w:r>
              <w:rPr>
                <w:rFonts w:hint="eastAsia" w:hAnsi="宋体" w:cs="宋体"/>
                <w:color w:val="auto"/>
                <w:kern w:val="2"/>
                <w:sz w:val="21"/>
                <w:szCs w:val="21"/>
                <w:highlight w:val="none"/>
              </w:rPr>
              <w:t>（1）属于财政部《节能产品政府采购品目清单》内优先采购（清单内未标注“★”的品目）的产品（投标文件中提供有效的认证证书复印件，并加盖投标人电子签章），得1分。</w:t>
            </w:r>
          </w:p>
          <w:p w14:paraId="67740DFA">
            <w:pPr>
              <w:pStyle w:val="25"/>
              <w:spacing w:line="400" w:lineRule="exact"/>
              <w:rPr>
                <w:rFonts w:hAnsi="宋体" w:cs="宋体"/>
                <w:color w:val="auto"/>
                <w:kern w:val="2"/>
                <w:sz w:val="21"/>
                <w:szCs w:val="21"/>
                <w:highlight w:val="none"/>
              </w:rPr>
            </w:pPr>
            <w:r>
              <w:rPr>
                <w:rFonts w:hint="eastAsia" w:hAnsi="宋体" w:cs="宋体"/>
                <w:color w:val="auto"/>
                <w:kern w:val="2"/>
                <w:sz w:val="21"/>
                <w:szCs w:val="21"/>
                <w:highlight w:val="none"/>
              </w:rPr>
              <w:t>（2）属于财政部《环境标志产品政府采购品目清单》内的产品（投标文件中提供有效的认证证书复印件，并加盖投标人电子签章），得1分。</w:t>
            </w:r>
          </w:p>
        </w:tc>
      </w:tr>
      <w:tr w14:paraId="6F6E8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450" w:type="dxa"/>
            <w:gridSpan w:val="4"/>
            <w:tcBorders>
              <w:top w:val="single" w:color="auto" w:sz="4" w:space="0"/>
              <w:left w:val="single" w:color="auto" w:sz="4" w:space="0"/>
              <w:bottom w:val="single" w:color="auto" w:sz="4" w:space="0"/>
              <w:right w:val="single" w:color="auto" w:sz="4" w:space="0"/>
            </w:tcBorders>
            <w:vAlign w:val="center"/>
          </w:tcPr>
          <w:p w14:paraId="2CF392E3">
            <w:pPr>
              <w:rPr>
                <w:rFonts w:ascii="宋体" w:hAnsi="宋体" w:cs="宋体"/>
                <w:b/>
                <w:color w:val="auto"/>
                <w:sz w:val="21"/>
                <w:szCs w:val="21"/>
                <w:highlight w:val="none"/>
              </w:rPr>
            </w:pPr>
            <w:r>
              <w:rPr>
                <w:rFonts w:hint="eastAsia" w:ascii="宋体" w:hAnsi="宋体" w:cs="宋体"/>
                <w:b/>
                <w:bCs/>
                <w:color w:val="auto"/>
                <w:sz w:val="21"/>
                <w:szCs w:val="21"/>
                <w:highlight w:val="none"/>
              </w:rPr>
              <w:t>7.总得分为以上各项评审因素得分合计。</w:t>
            </w:r>
          </w:p>
        </w:tc>
      </w:tr>
    </w:tbl>
    <w:p w14:paraId="23639BE9">
      <w:pPr>
        <w:rPr>
          <w:rFonts w:ascii="宋体" w:hAnsi="宋体" w:cs="宋体"/>
          <w:b/>
          <w:color w:val="auto"/>
          <w:highlight w:val="none"/>
        </w:rPr>
      </w:pPr>
    </w:p>
    <w:p w14:paraId="649E5D45">
      <w:pPr>
        <w:pStyle w:val="25"/>
        <w:spacing w:line="360" w:lineRule="auto"/>
        <w:rPr>
          <w:rFonts w:hAnsi="宋体" w:cs="宋体"/>
          <w:b/>
          <w:color w:val="auto"/>
          <w:sz w:val="21"/>
          <w:highlight w:val="none"/>
        </w:rPr>
      </w:pPr>
    </w:p>
    <w:p w14:paraId="4907305B">
      <w:pPr>
        <w:pStyle w:val="5"/>
        <w:keepNext w:val="0"/>
        <w:keepLines w:val="0"/>
        <w:jc w:val="center"/>
        <w:rPr>
          <w:rFonts w:ascii="宋体" w:hAnsi="宋体" w:cs="宋体"/>
          <w:color w:val="auto"/>
          <w:sz w:val="30"/>
          <w:szCs w:val="30"/>
          <w:highlight w:val="none"/>
        </w:rPr>
      </w:pPr>
      <w:r>
        <w:rPr>
          <w:rFonts w:hint="eastAsia" w:ascii="宋体" w:hAnsi="宋体" w:cs="宋体"/>
          <w:color w:val="auto"/>
          <w:sz w:val="30"/>
          <w:szCs w:val="30"/>
          <w:highlight w:val="none"/>
        </w:rPr>
        <w:t>四、中标候选人推荐</w:t>
      </w:r>
    </w:p>
    <w:p w14:paraId="2551E551">
      <w:pPr>
        <w:pStyle w:val="25"/>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1.评标委员会根据原始评标记录和评标结果编写评标报告，并通过电子交易平台向采购人、采购代理机构提交。</w:t>
      </w:r>
    </w:p>
    <w:p w14:paraId="70E1F322">
      <w:pPr>
        <w:pStyle w:val="25"/>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2.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14:paraId="569CE330">
      <w:pPr>
        <w:pStyle w:val="4"/>
        <w:keepNext w:val="0"/>
        <w:keepLines w:val="0"/>
        <w:jc w:val="center"/>
        <w:rPr>
          <w:rFonts w:ascii="宋体" w:hAnsi="宋体" w:eastAsia="宋体" w:cs="宋体"/>
          <w:color w:val="auto"/>
          <w:highlight w:val="none"/>
        </w:rPr>
      </w:pPr>
      <w:r>
        <w:rPr>
          <w:rFonts w:hint="eastAsia" w:ascii="宋体" w:hAnsi="宋体" w:eastAsia="宋体" w:cs="宋体"/>
          <w:color w:val="auto"/>
          <w:highlight w:val="none"/>
        </w:rPr>
        <w:br w:type="page"/>
      </w:r>
    </w:p>
    <w:p w14:paraId="0A39E548">
      <w:pPr>
        <w:pStyle w:val="4"/>
        <w:keepNext w:val="0"/>
        <w:keepLines w:val="0"/>
        <w:jc w:val="center"/>
        <w:rPr>
          <w:rFonts w:ascii="宋体" w:hAnsi="宋体" w:eastAsia="宋体" w:cs="宋体"/>
          <w:color w:val="auto"/>
          <w:highlight w:val="none"/>
        </w:rPr>
      </w:pPr>
    </w:p>
    <w:p w14:paraId="6DFC02F1">
      <w:pPr>
        <w:rPr>
          <w:rFonts w:ascii="宋体" w:hAnsi="宋体" w:cs="宋体"/>
          <w:color w:val="auto"/>
          <w:highlight w:val="none"/>
        </w:rPr>
      </w:pPr>
    </w:p>
    <w:p w14:paraId="20F45E8A">
      <w:pPr>
        <w:pStyle w:val="19"/>
        <w:rPr>
          <w:rFonts w:ascii="宋体" w:hAnsi="宋体" w:cs="宋体"/>
          <w:color w:val="auto"/>
          <w:highlight w:val="none"/>
        </w:rPr>
      </w:pPr>
    </w:p>
    <w:p w14:paraId="215BA5D7">
      <w:pPr>
        <w:pStyle w:val="19"/>
        <w:rPr>
          <w:rFonts w:ascii="宋体" w:hAnsi="宋体" w:cs="宋体"/>
          <w:color w:val="auto"/>
          <w:highlight w:val="none"/>
        </w:rPr>
      </w:pPr>
    </w:p>
    <w:p w14:paraId="5EA26247">
      <w:pPr>
        <w:pStyle w:val="19"/>
        <w:rPr>
          <w:rFonts w:ascii="宋体" w:hAnsi="宋体" w:cs="宋体"/>
          <w:color w:val="auto"/>
          <w:highlight w:val="none"/>
        </w:rPr>
      </w:pPr>
    </w:p>
    <w:p w14:paraId="631DE513">
      <w:pPr>
        <w:pStyle w:val="19"/>
        <w:rPr>
          <w:rFonts w:ascii="宋体" w:hAnsi="宋体" w:cs="宋体"/>
          <w:color w:val="auto"/>
          <w:highlight w:val="none"/>
        </w:rPr>
      </w:pPr>
    </w:p>
    <w:p w14:paraId="15702DFB">
      <w:pPr>
        <w:pStyle w:val="4"/>
        <w:keepNext w:val="0"/>
        <w:keepLines w:val="0"/>
        <w:jc w:val="center"/>
        <w:rPr>
          <w:rFonts w:ascii="宋体" w:hAnsi="宋体" w:eastAsia="宋体" w:cs="宋体"/>
          <w:color w:val="auto"/>
          <w:highlight w:val="none"/>
        </w:rPr>
      </w:pPr>
    </w:p>
    <w:p w14:paraId="575F320D">
      <w:pPr>
        <w:rPr>
          <w:rFonts w:ascii="宋体" w:hAnsi="宋体" w:cs="宋体"/>
          <w:color w:val="auto"/>
          <w:highlight w:val="none"/>
        </w:rPr>
      </w:pPr>
    </w:p>
    <w:p w14:paraId="54C9983B">
      <w:pPr>
        <w:pStyle w:val="4"/>
        <w:keepNext w:val="0"/>
        <w:keepLines w:val="0"/>
        <w:jc w:val="center"/>
        <w:rPr>
          <w:rFonts w:ascii="宋体" w:hAnsi="宋体" w:eastAsia="宋体" w:cs="宋体"/>
          <w:color w:val="auto"/>
          <w:highlight w:val="none"/>
        </w:rPr>
      </w:pPr>
    </w:p>
    <w:p w14:paraId="17A2BECD">
      <w:pPr>
        <w:pStyle w:val="3"/>
        <w:jc w:val="center"/>
        <w:rPr>
          <w:rFonts w:ascii="宋体" w:hAnsi="宋体" w:cs="宋体"/>
          <w:color w:val="auto"/>
          <w:highlight w:val="none"/>
        </w:rPr>
      </w:pPr>
      <w:bookmarkStart w:id="142" w:name="_Toc74320804"/>
      <w:bookmarkStart w:id="143" w:name="_Toc143259165"/>
      <w:r>
        <w:rPr>
          <w:rFonts w:hint="eastAsia" w:ascii="宋体" w:hAnsi="宋体" w:cs="宋体"/>
          <w:color w:val="auto"/>
          <w:highlight w:val="none"/>
        </w:rPr>
        <w:t>第五章 拟签订的合同文本</w:t>
      </w:r>
      <w:bookmarkEnd w:id="142"/>
      <w:bookmarkEnd w:id="143"/>
    </w:p>
    <w:p w14:paraId="085EFC9F">
      <w:pPr>
        <w:snapToGrid w:val="0"/>
        <w:jc w:val="center"/>
        <w:rPr>
          <w:rFonts w:ascii="宋体" w:hAnsi="宋体" w:cs="宋体"/>
          <w:bCs/>
          <w:color w:val="auto"/>
          <w:sz w:val="32"/>
          <w:szCs w:val="32"/>
          <w:highlight w:val="none"/>
        </w:rPr>
      </w:pPr>
    </w:p>
    <w:p w14:paraId="4C827673">
      <w:pPr>
        <w:snapToGrid w:val="0"/>
        <w:jc w:val="center"/>
        <w:rPr>
          <w:rFonts w:ascii="宋体" w:hAnsi="宋体" w:cs="宋体"/>
          <w:bCs/>
          <w:color w:val="auto"/>
          <w:sz w:val="32"/>
          <w:szCs w:val="32"/>
          <w:highlight w:val="none"/>
        </w:rPr>
      </w:pPr>
    </w:p>
    <w:p w14:paraId="1152AFC8">
      <w:pPr>
        <w:snapToGrid w:val="0"/>
        <w:jc w:val="center"/>
        <w:rPr>
          <w:rFonts w:ascii="宋体" w:hAnsi="宋体" w:cs="宋体"/>
          <w:bCs/>
          <w:color w:val="auto"/>
          <w:sz w:val="32"/>
          <w:szCs w:val="32"/>
          <w:highlight w:val="none"/>
        </w:rPr>
      </w:pPr>
    </w:p>
    <w:p w14:paraId="35D375CC">
      <w:pPr>
        <w:snapToGrid w:val="0"/>
        <w:jc w:val="center"/>
        <w:rPr>
          <w:rFonts w:ascii="宋体" w:hAnsi="宋体" w:cs="宋体"/>
          <w:bCs/>
          <w:color w:val="auto"/>
          <w:sz w:val="32"/>
          <w:szCs w:val="32"/>
          <w:highlight w:val="none"/>
        </w:rPr>
      </w:pPr>
    </w:p>
    <w:p w14:paraId="3FAE944A">
      <w:pPr>
        <w:snapToGrid w:val="0"/>
        <w:jc w:val="center"/>
        <w:rPr>
          <w:rFonts w:ascii="宋体" w:hAnsi="宋体" w:cs="宋体"/>
          <w:bCs/>
          <w:color w:val="auto"/>
          <w:sz w:val="32"/>
          <w:szCs w:val="32"/>
          <w:highlight w:val="none"/>
        </w:rPr>
      </w:pPr>
    </w:p>
    <w:p w14:paraId="09711E66">
      <w:pPr>
        <w:snapToGrid w:val="0"/>
        <w:jc w:val="center"/>
        <w:rPr>
          <w:rFonts w:ascii="宋体" w:hAnsi="宋体" w:cs="宋体"/>
          <w:bCs/>
          <w:color w:val="auto"/>
          <w:sz w:val="32"/>
          <w:szCs w:val="32"/>
          <w:highlight w:val="none"/>
        </w:rPr>
      </w:pPr>
    </w:p>
    <w:p w14:paraId="355217FA">
      <w:pPr>
        <w:snapToGrid w:val="0"/>
        <w:jc w:val="center"/>
        <w:rPr>
          <w:rFonts w:ascii="宋体" w:hAnsi="宋体" w:cs="宋体"/>
          <w:bCs/>
          <w:color w:val="auto"/>
          <w:sz w:val="32"/>
          <w:szCs w:val="32"/>
          <w:highlight w:val="none"/>
        </w:rPr>
      </w:pPr>
    </w:p>
    <w:p w14:paraId="36784887">
      <w:pPr>
        <w:snapToGrid w:val="0"/>
        <w:jc w:val="center"/>
        <w:rPr>
          <w:rFonts w:ascii="宋体" w:hAnsi="宋体" w:cs="宋体"/>
          <w:bCs/>
          <w:color w:val="auto"/>
          <w:sz w:val="32"/>
          <w:szCs w:val="32"/>
          <w:highlight w:val="none"/>
        </w:rPr>
      </w:pPr>
    </w:p>
    <w:p w14:paraId="62FCB8C8">
      <w:pPr>
        <w:snapToGrid w:val="0"/>
        <w:jc w:val="center"/>
        <w:rPr>
          <w:rFonts w:ascii="宋体" w:hAnsi="宋体" w:cs="宋体"/>
          <w:bCs/>
          <w:color w:val="auto"/>
          <w:sz w:val="32"/>
          <w:szCs w:val="32"/>
          <w:highlight w:val="none"/>
        </w:rPr>
      </w:pPr>
    </w:p>
    <w:p w14:paraId="5373794A">
      <w:pPr>
        <w:snapToGrid w:val="0"/>
        <w:jc w:val="center"/>
        <w:rPr>
          <w:rFonts w:ascii="宋体" w:hAnsi="宋体" w:cs="宋体"/>
          <w:bCs/>
          <w:color w:val="auto"/>
          <w:sz w:val="32"/>
          <w:szCs w:val="32"/>
          <w:highlight w:val="none"/>
        </w:rPr>
      </w:pPr>
    </w:p>
    <w:p w14:paraId="60C37C13">
      <w:pPr>
        <w:snapToGrid w:val="0"/>
        <w:jc w:val="center"/>
        <w:rPr>
          <w:rFonts w:ascii="宋体" w:hAnsi="宋体" w:cs="宋体"/>
          <w:bCs/>
          <w:color w:val="auto"/>
          <w:sz w:val="32"/>
          <w:szCs w:val="32"/>
          <w:highlight w:val="none"/>
        </w:rPr>
      </w:pPr>
    </w:p>
    <w:p w14:paraId="655674DB">
      <w:pPr>
        <w:snapToGrid w:val="0"/>
        <w:jc w:val="center"/>
        <w:rPr>
          <w:rFonts w:ascii="宋体" w:hAnsi="宋体" w:cs="宋体"/>
          <w:bCs/>
          <w:color w:val="auto"/>
          <w:sz w:val="32"/>
          <w:szCs w:val="32"/>
          <w:highlight w:val="none"/>
        </w:rPr>
      </w:pPr>
    </w:p>
    <w:p w14:paraId="46F4D605">
      <w:pPr>
        <w:snapToGrid w:val="0"/>
        <w:jc w:val="center"/>
        <w:rPr>
          <w:rFonts w:ascii="宋体" w:hAnsi="宋体" w:cs="宋体"/>
          <w:bCs/>
          <w:color w:val="auto"/>
          <w:sz w:val="32"/>
          <w:szCs w:val="32"/>
          <w:highlight w:val="none"/>
        </w:rPr>
      </w:pPr>
    </w:p>
    <w:p w14:paraId="401E6FFC">
      <w:pPr>
        <w:snapToGrid w:val="0"/>
        <w:spacing w:line="360" w:lineRule="auto"/>
        <w:ind w:firstLine="420" w:firstLineChars="200"/>
        <w:rPr>
          <w:rFonts w:ascii="宋体" w:hAnsi="宋体" w:cs="宋体"/>
          <w:color w:val="auto"/>
          <w:szCs w:val="21"/>
          <w:highlight w:val="none"/>
        </w:rPr>
      </w:pPr>
    </w:p>
    <w:p w14:paraId="7D7B791A">
      <w:pPr>
        <w:rPr>
          <w:rFonts w:ascii="宋体" w:hAnsi="宋体" w:cs="宋体"/>
          <w:color w:val="auto"/>
          <w:szCs w:val="21"/>
          <w:highlight w:val="none"/>
        </w:rPr>
      </w:pPr>
    </w:p>
    <w:p w14:paraId="528C8813">
      <w:pPr>
        <w:spacing w:line="500" w:lineRule="exact"/>
        <w:jc w:val="center"/>
        <w:rPr>
          <w:rFonts w:ascii="宋体" w:hAnsi="宋体"/>
          <w:b/>
          <w:color w:val="auto"/>
          <w:sz w:val="48"/>
          <w:szCs w:val="48"/>
          <w:highlight w:val="none"/>
        </w:rPr>
      </w:pPr>
      <w:bookmarkStart w:id="144" w:name="_Hlk55381736"/>
      <w:r>
        <w:rPr>
          <w:rFonts w:hint="eastAsia" w:ascii="宋体" w:hAnsi="宋体"/>
          <w:b/>
          <w:color w:val="auto"/>
          <w:sz w:val="48"/>
          <w:szCs w:val="48"/>
          <w:highlight w:val="none"/>
        </w:rPr>
        <w:t>医疗器械采购合同</w:t>
      </w:r>
    </w:p>
    <w:p w14:paraId="4EE860C6">
      <w:pPr>
        <w:spacing w:line="400" w:lineRule="exact"/>
        <w:rPr>
          <w:rFonts w:ascii="宋体" w:hAnsi="宋体"/>
          <w:b/>
          <w:color w:val="auto"/>
          <w:sz w:val="24"/>
          <w:highlight w:val="none"/>
        </w:rPr>
      </w:pPr>
    </w:p>
    <w:p w14:paraId="3D04803F">
      <w:pPr>
        <w:spacing w:line="400" w:lineRule="exact"/>
        <w:rPr>
          <w:rFonts w:ascii="宋体" w:hAnsi="宋体" w:cs="宋体"/>
          <w:b/>
          <w:color w:val="auto"/>
          <w:szCs w:val="21"/>
          <w:highlight w:val="none"/>
          <w:u w:val="single"/>
        </w:rPr>
      </w:pPr>
      <w:r>
        <w:rPr>
          <w:rFonts w:hint="eastAsia" w:ascii="宋体" w:hAnsi="宋体" w:cs="宋体"/>
          <w:b/>
          <w:color w:val="auto"/>
          <w:szCs w:val="21"/>
          <w:highlight w:val="none"/>
        </w:rPr>
        <w:t>项目名称：监护仪一批                    合同编号：</w:t>
      </w:r>
      <w:r>
        <w:rPr>
          <w:rFonts w:hint="eastAsia"/>
          <w:strike w:val="0"/>
          <w:dstrike w:val="0"/>
          <w:color w:val="auto"/>
          <w:highlight w:val="none"/>
          <w:u w:val="single"/>
          <w:lang w:val="en-US" w:eastAsia="zh-CN"/>
        </w:rPr>
        <w:t xml:space="preserve">      </w:t>
      </w:r>
      <w:r>
        <w:rPr>
          <w:rFonts w:hint="eastAsia" w:ascii="宋体" w:hAnsi="宋体" w:cs="宋体"/>
          <w:b/>
          <w:bCs/>
          <w:color w:val="auto"/>
          <w:szCs w:val="21"/>
          <w:highlight w:val="none"/>
          <w:u w:val="single"/>
        </w:rPr>
        <w:t xml:space="preserve">           </w:t>
      </w:r>
    </w:p>
    <w:p w14:paraId="58F8E6D6">
      <w:pPr>
        <w:spacing w:line="400" w:lineRule="exact"/>
        <w:rPr>
          <w:rFonts w:ascii="宋体" w:hAnsi="宋体" w:cs="宋体"/>
          <w:b/>
          <w:color w:val="auto"/>
          <w:szCs w:val="21"/>
          <w:highlight w:val="none"/>
        </w:rPr>
      </w:pPr>
      <w:r>
        <w:rPr>
          <w:rFonts w:hint="eastAsia" w:ascii="宋体" w:hAnsi="宋体" w:cs="宋体"/>
          <w:b/>
          <w:color w:val="auto"/>
          <w:szCs w:val="21"/>
          <w:highlight w:val="none"/>
        </w:rPr>
        <w:t xml:space="preserve">甲方：桂林医学院附属医院 </w:t>
      </w:r>
      <w:r>
        <w:rPr>
          <w:rFonts w:hint="eastAsia" w:ascii="宋体" w:hAnsi="宋体" w:cs="宋体"/>
          <w:b/>
          <w:color w:val="auto"/>
          <w:szCs w:val="21"/>
          <w:highlight w:val="none"/>
          <w:u w:val="single"/>
        </w:rPr>
        <w:t xml:space="preserve">      </w:t>
      </w:r>
    </w:p>
    <w:p w14:paraId="498AAB27">
      <w:pPr>
        <w:spacing w:line="400" w:lineRule="exact"/>
        <w:rPr>
          <w:rFonts w:ascii="宋体" w:hAnsi="宋体" w:cs="宋体"/>
          <w:b/>
          <w:color w:val="auto"/>
          <w:szCs w:val="21"/>
          <w:highlight w:val="none"/>
          <w:u w:val="single"/>
        </w:rPr>
      </w:pPr>
      <w:r>
        <w:rPr>
          <w:rFonts w:hint="eastAsia" w:ascii="宋体" w:hAnsi="宋体" w:cs="宋体"/>
          <w:b/>
          <w:color w:val="auto"/>
          <w:szCs w:val="21"/>
          <w:highlight w:val="none"/>
        </w:rPr>
        <w:t>乙方：</w:t>
      </w:r>
      <w:r>
        <w:rPr>
          <w:rFonts w:hint="eastAsia"/>
          <w:strike w:val="0"/>
          <w:dstrike w:val="0"/>
          <w:color w:val="auto"/>
          <w:highlight w:val="none"/>
          <w:u w:val="single"/>
          <w:lang w:val="en-US" w:eastAsia="zh-CN"/>
        </w:rPr>
        <w:t xml:space="preserve">      </w:t>
      </w:r>
      <w:r>
        <w:rPr>
          <w:rFonts w:hint="eastAsia" w:ascii="宋体" w:hAnsi="宋体" w:cs="宋体"/>
          <w:b/>
          <w:bCs/>
          <w:color w:val="auto"/>
          <w:szCs w:val="21"/>
          <w:highlight w:val="none"/>
          <w:u w:val="single"/>
        </w:rPr>
        <w:t xml:space="preserve">           </w:t>
      </w:r>
    </w:p>
    <w:p w14:paraId="759253E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甲乙双方根据中华人民共和国有关法律</w:t>
      </w:r>
      <w:r>
        <w:rPr>
          <w:rFonts w:hint="eastAsia" w:ascii="宋体" w:hAnsi="宋体" w:cs="宋体"/>
          <w:color w:val="auto"/>
          <w:szCs w:val="21"/>
          <w:highlight w:val="none"/>
          <w:lang w:eastAsia="zh-CN"/>
        </w:rPr>
        <w:t>、</w:t>
      </w:r>
      <w:r>
        <w:rPr>
          <w:rFonts w:hint="eastAsia" w:ascii="宋体" w:hAnsi="宋体" w:cs="宋体"/>
          <w:color w:val="auto"/>
          <w:szCs w:val="21"/>
          <w:highlight w:val="none"/>
        </w:rPr>
        <w:t>法规规定：经协商一致，订立本合同，供双方共同遵守：</w:t>
      </w:r>
    </w:p>
    <w:p w14:paraId="2FBE3B26">
      <w:pPr>
        <w:numPr>
          <w:ilvl w:val="0"/>
          <w:numId w:val="8"/>
        </w:numPr>
        <w:spacing w:line="400" w:lineRule="exact"/>
        <w:ind w:right="-105" w:rightChars="-50"/>
        <w:rPr>
          <w:rFonts w:ascii="宋体" w:hAnsi="宋体" w:cs="宋体"/>
          <w:b/>
          <w:color w:val="auto"/>
          <w:szCs w:val="21"/>
          <w:highlight w:val="none"/>
        </w:rPr>
      </w:pPr>
      <w:r>
        <w:rPr>
          <w:rFonts w:hint="eastAsia" w:ascii="宋体" w:hAnsi="宋体" w:cs="宋体"/>
          <w:b/>
          <w:color w:val="auto"/>
          <w:szCs w:val="21"/>
          <w:highlight w:val="none"/>
        </w:rPr>
        <w:t>货物名称、品牌、型号、规格（须与医疗器械注册证一致）、厂家、数量、金额</w:t>
      </w:r>
    </w:p>
    <w:p w14:paraId="217C7A52">
      <w:pPr>
        <w:spacing w:line="400" w:lineRule="exact"/>
        <w:ind w:right="-105" w:rightChars="-50"/>
        <w:rPr>
          <w:rFonts w:hint="default" w:ascii="宋体" w:hAnsi="宋体" w:eastAsia="宋体" w:cs="宋体"/>
          <w:b/>
          <w:color w:val="auto"/>
          <w:szCs w:val="21"/>
          <w:highlight w:val="none"/>
          <w:u w:val="single"/>
          <w:lang w:val="en-US" w:eastAsia="zh-CN"/>
        </w:rPr>
      </w:pPr>
      <w:r>
        <w:rPr>
          <w:rFonts w:hint="eastAsia" w:ascii="宋体" w:hAnsi="宋体" w:cs="宋体"/>
          <w:b/>
          <w:color w:val="auto"/>
          <w:szCs w:val="21"/>
          <w:highlight w:val="none"/>
        </w:rPr>
        <w:t>分标</w:t>
      </w:r>
      <w:r>
        <w:rPr>
          <w:rFonts w:hint="eastAsia" w:ascii="宋体" w:hAnsi="宋体" w:cs="宋体"/>
          <w:b/>
          <w:color w:val="auto"/>
          <w:szCs w:val="21"/>
          <w:highlight w:val="none"/>
          <w:u w:val="single"/>
          <w:lang w:val="en-US" w:eastAsia="zh-CN"/>
        </w:rPr>
        <w:t xml:space="preserve">   </w:t>
      </w:r>
    </w:p>
    <w:tbl>
      <w:tblPr>
        <w:tblStyle w:val="47"/>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015"/>
        <w:gridCol w:w="958"/>
        <w:gridCol w:w="808"/>
        <w:gridCol w:w="680"/>
        <w:gridCol w:w="889"/>
        <w:gridCol w:w="785"/>
        <w:gridCol w:w="1050"/>
        <w:gridCol w:w="819"/>
        <w:gridCol w:w="1175"/>
      </w:tblGrid>
      <w:tr w14:paraId="5B270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859" w:type="dxa"/>
            <w:vAlign w:val="center"/>
          </w:tcPr>
          <w:p w14:paraId="2896FD6B">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项号</w:t>
            </w:r>
          </w:p>
        </w:tc>
        <w:tc>
          <w:tcPr>
            <w:tcW w:w="1015" w:type="dxa"/>
            <w:vAlign w:val="center"/>
          </w:tcPr>
          <w:p w14:paraId="0F795189">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项目名称</w:t>
            </w:r>
          </w:p>
        </w:tc>
        <w:tc>
          <w:tcPr>
            <w:tcW w:w="958" w:type="dxa"/>
            <w:vAlign w:val="center"/>
          </w:tcPr>
          <w:p w14:paraId="0BFCDAA9">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产品名称</w:t>
            </w:r>
          </w:p>
        </w:tc>
        <w:tc>
          <w:tcPr>
            <w:tcW w:w="808" w:type="dxa"/>
            <w:vAlign w:val="center"/>
          </w:tcPr>
          <w:p w14:paraId="1F472F0B">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器材注册证号</w:t>
            </w:r>
          </w:p>
        </w:tc>
        <w:tc>
          <w:tcPr>
            <w:tcW w:w="680" w:type="dxa"/>
            <w:vAlign w:val="center"/>
          </w:tcPr>
          <w:p w14:paraId="17A797F5">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品牌型号</w:t>
            </w:r>
          </w:p>
        </w:tc>
        <w:tc>
          <w:tcPr>
            <w:tcW w:w="889" w:type="dxa"/>
            <w:vAlign w:val="center"/>
          </w:tcPr>
          <w:p w14:paraId="23CD3D4E">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生产厂家</w:t>
            </w:r>
          </w:p>
        </w:tc>
        <w:tc>
          <w:tcPr>
            <w:tcW w:w="785" w:type="dxa"/>
            <w:vAlign w:val="center"/>
          </w:tcPr>
          <w:p w14:paraId="1CE1FB7F">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单位</w:t>
            </w:r>
          </w:p>
        </w:tc>
        <w:tc>
          <w:tcPr>
            <w:tcW w:w="1050" w:type="dxa"/>
            <w:vAlign w:val="center"/>
          </w:tcPr>
          <w:p w14:paraId="2558AD68">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数量</w:t>
            </w:r>
          </w:p>
        </w:tc>
        <w:tc>
          <w:tcPr>
            <w:tcW w:w="819" w:type="dxa"/>
            <w:vAlign w:val="center"/>
          </w:tcPr>
          <w:p w14:paraId="32F3E5D8">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单价（元）</w:t>
            </w:r>
          </w:p>
        </w:tc>
        <w:tc>
          <w:tcPr>
            <w:tcW w:w="1175" w:type="dxa"/>
            <w:vAlign w:val="center"/>
          </w:tcPr>
          <w:p w14:paraId="5BED39CA">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总价（元）</w:t>
            </w:r>
          </w:p>
        </w:tc>
      </w:tr>
      <w:tr w14:paraId="52518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859" w:type="dxa"/>
          </w:tcPr>
          <w:p w14:paraId="5FD53295">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1</w:t>
            </w:r>
          </w:p>
        </w:tc>
        <w:tc>
          <w:tcPr>
            <w:tcW w:w="1015" w:type="dxa"/>
          </w:tcPr>
          <w:p w14:paraId="1ACBE6EB">
            <w:pPr>
              <w:spacing w:line="400" w:lineRule="exact"/>
              <w:jc w:val="center"/>
              <w:rPr>
                <w:rFonts w:ascii="宋体" w:hAnsi="宋体" w:cs="宋体"/>
                <w:b/>
                <w:color w:val="auto"/>
                <w:szCs w:val="21"/>
                <w:highlight w:val="none"/>
              </w:rPr>
            </w:pPr>
          </w:p>
        </w:tc>
        <w:tc>
          <w:tcPr>
            <w:tcW w:w="958" w:type="dxa"/>
            <w:vAlign w:val="center"/>
          </w:tcPr>
          <w:p w14:paraId="4FB66138">
            <w:pPr>
              <w:spacing w:line="400" w:lineRule="exact"/>
              <w:jc w:val="center"/>
              <w:rPr>
                <w:rFonts w:ascii="宋体" w:hAnsi="宋体" w:cs="宋体"/>
                <w:b/>
                <w:color w:val="auto"/>
                <w:szCs w:val="21"/>
                <w:highlight w:val="none"/>
              </w:rPr>
            </w:pPr>
          </w:p>
        </w:tc>
        <w:tc>
          <w:tcPr>
            <w:tcW w:w="808" w:type="dxa"/>
            <w:vAlign w:val="center"/>
          </w:tcPr>
          <w:p w14:paraId="58A6B0C8">
            <w:pPr>
              <w:spacing w:line="400" w:lineRule="exact"/>
              <w:jc w:val="center"/>
              <w:rPr>
                <w:rFonts w:ascii="宋体" w:hAnsi="宋体" w:cs="宋体"/>
                <w:b/>
                <w:color w:val="auto"/>
                <w:szCs w:val="21"/>
                <w:highlight w:val="none"/>
              </w:rPr>
            </w:pPr>
          </w:p>
        </w:tc>
        <w:tc>
          <w:tcPr>
            <w:tcW w:w="680" w:type="dxa"/>
            <w:vAlign w:val="center"/>
          </w:tcPr>
          <w:p w14:paraId="470CAB60">
            <w:pPr>
              <w:spacing w:line="400" w:lineRule="exact"/>
              <w:jc w:val="center"/>
              <w:rPr>
                <w:rFonts w:ascii="宋体" w:hAnsi="宋体" w:cs="宋体"/>
                <w:b/>
                <w:color w:val="auto"/>
                <w:szCs w:val="21"/>
                <w:highlight w:val="none"/>
              </w:rPr>
            </w:pPr>
          </w:p>
        </w:tc>
        <w:tc>
          <w:tcPr>
            <w:tcW w:w="889" w:type="dxa"/>
            <w:vAlign w:val="center"/>
          </w:tcPr>
          <w:p w14:paraId="25B21E2A">
            <w:pPr>
              <w:spacing w:line="400" w:lineRule="exact"/>
              <w:jc w:val="center"/>
              <w:rPr>
                <w:rFonts w:ascii="宋体" w:hAnsi="宋体" w:cs="宋体"/>
                <w:b/>
                <w:color w:val="auto"/>
                <w:szCs w:val="21"/>
                <w:highlight w:val="none"/>
              </w:rPr>
            </w:pPr>
          </w:p>
        </w:tc>
        <w:tc>
          <w:tcPr>
            <w:tcW w:w="785" w:type="dxa"/>
            <w:vAlign w:val="center"/>
          </w:tcPr>
          <w:p w14:paraId="4381348D">
            <w:pPr>
              <w:spacing w:line="400" w:lineRule="exact"/>
              <w:jc w:val="center"/>
              <w:rPr>
                <w:rFonts w:ascii="宋体" w:hAnsi="宋体" w:cs="宋体"/>
                <w:b/>
                <w:color w:val="auto"/>
                <w:szCs w:val="21"/>
                <w:highlight w:val="none"/>
              </w:rPr>
            </w:pPr>
          </w:p>
        </w:tc>
        <w:tc>
          <w:tcPr>
            <w:tcW w:w="1050" w:type="dxa"/>
            <w:vAlign w:val="center"/>
          </w:tcPr>
          <w:p w14:paraId="4464B0E3">
            <w:pPr>
              <w:spacing w:line="400" w:lineRule="exact"/>
              <w:jc w:val="center"/>
              <w:rPr>
                <w:rFonts w:ascii="宋体" w:hAnsi="宋体" w:cs="宋体"/>
                <w:b/>
                <w:bCs/>
                <w:color w:val="auto"/>
                <w:szCs w:val="21"/>
                <w:highlight w:val="none"/>
              </w:rPr>
            </w:pPr>
          </w:p>
        </w:tc>
        <w:tc>
          <w:tcPr>
            <w:tcW w:w="819" w:type="dxa"/>
            <w:vAlign w:val="center"/>
          </w:tcPr>
          <w:p w14:paraId="6CFF2CB5">
            <w:pPr>
              <w:spacing w:line="400" w:lineRule="exact"/>
              <w:jc w:val="center"/>
              <w:rPr>
                <w:rFonts w:ascii="宋体" w:hAnsi="宋体" w:cs="宋体"/>
                <w:b/>
                <w:bCs/>
                <w:color w:val="auto"/>
                <w:szCs w:val="21"/>
                <w:highlight w:val="none"/>
              </w:rPr>
            </w:pPr>
          </w:p>
        </w:tc>
        <w:tc>
          <w:tcPr>
            <w:tcW w:w="1175" w:type="dxa"/>
            <w:vAlign w:val="center"/>
          </w:tcPr>
          <w:p w14:paraId="2FFF7B65">
            <w:pPr>
              <w:spacing w:line="400" w:lineRule="exact"/>
              <w:jc w:val="center"/>
              <w:rPr>
                <w:rFonts w:ascii="宋体" w:hAnsi="宋体" w:cs="宋体"/>
                <w:b/>
                <w:bCs/>
                <w:color w:val="auto"/>
                <w:szCs w:val="21"/>
                <w:highlight w:val="none"/>
              </w:rPr>
            </w:pPr>
          </w:p>
        </w:tc>
      </w:tr>
      <w:tr w14:paraId="1FAC6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859" w:type="dxa"/>
          </w:tcPr>
          <w:p w14:paraId="3B0EA124">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2</w:t>
            </w:r>
          </w:p>
        </w:tc>
        <w:tc>
          <w:tcPr>
            <w:tcW w:w="1015" w:type="dxa"/>
          </w:tcPr>
          <w:p w14:paraId="669226E3">
            <w:pPr>
              <w:spacing w:line="400" w:lineRule="exact"/>
              <w:jc w:val="center"/>
              <w:rPr>
                <w:rFonts w:ascii="宋体" w:hAnsi="宋体" w:cs="宋体"/>
                <w:b/>
                <w:color w:val="auto"/>
                <w:szCs w:val="21"/>
                <w:highlight w:val="none"/>
              </w:rPr>
            </w:pPr>
          </w:p>
        </w:tc>
        <w:tc>
          <w:tcPr>
            <w:tcW w:w="958" w:type="dxa"/>
            <w:vAlign w:val="center"/>
          </w:tcPr>
          <w:p w14:paraId="66DA2EE7">
            <w:pPr>
              <w:spacing w:line="400" w:lineRule="exact"/>
              <w:jc w:val="center"/>
              <w:rPr>
                <w:rFonts w:ascii="宋体" w:hAnsi="宋体" w:cs="宋体"/>
                <w:b/>
                <w:color w:val="auto"/>
                <w:szCs w:val="21"/>
                <w:highlight w:val="none"/>
              </w:rPr>
            </w:pPr>
          </w:p>
        </w:tc>
        <w:tc>
          <w:tcPr>
            <w:tcW w:w="808" w:type="dxa"/>
            <w:vAlign w:val="center"/>
          </w:tcPr>
          <w:p w14:paraId="6FCE9808">
            <w:pPr>
              <w:spacing w:line="400" w:lineRule="exact"/>
              <w:jc w:val="center"/>
              <w:rPr>
                <w:rFonts w:ascii="宋体" w:hAnsi="宋体" w:cs="宋体"/>
                <w:b/>
                <w:color w:val="auto"/>
                <w:szCs w:val="21"/>
                <w:highlight w:val="none"/>
              </w:rPr>
            </w:pPr>
          </w:p>
        </w:tc>
        <w:tc>
          <w:tcPr>
            <w:tcW w:w="680" w:type="dxa"/>
            <w:vAlign w:val="center"/>
          </w:tcPr>
          <w:p w14:paraId="5CF1216C">
            <w:pPr>
              <w:spacing w:line="400" w:lineRule="exact"/>
              <w:jc w:val="center"/>
              <w:rPr>
                <w:rFonts w:ascii="宋体" w:hAnsi="宋体" w:cs="宋体"/>
                <w:b/>
                <w:color w:val="auto"/>
                <w:szCs w:val="21"/>
                <w:highlight w:val="none"/>
              </w:rPr>
            </w:pPr>
          </w:p>
        </w:tc>
        <w:tc>
          <w:tcPr>
            <w:tcW w:w="889" w:type="dxa"/>
            <w:vAlign w:val="center"/>
          </w:tcPr>
          <w:p w14:paraId="299B6D74">
            <w:pPr>
              <w:spacing w:line="400" w:lineRule="exact"/>
              <w:jc w:val="center"/>
              <w:rPr>
                <w:rFonts w:ascii="宋体" w:hAnsi="宋体" w:cs="宋体"/>
                <w:b/>
                <w:color w:val="auto"/>
                <w:szCs w:val="21"/>
                <w:highlight w:val="none"/>
              </w:rPr>
            </w:pPr>
          </w:p>
        </w:tc>
        <w:tc>
          <w:tcPr>
            <w:tcW w:w="785" w:type="dxa"/>
            <w:vAlign w:val="center"/>
          </w:tcPr>
          <w:p w14:paraId="20D4E261">
            <w:pPr>
              <w:spacing w:line="400" w:lineRule="exact"/>
              <w:jc w:val="center"/>
              <w:rPr>
                <w:rFonts w:ascii="宋体" w:hAnsi="宋体" w:cs="宋体"/>
                <w:b/>
                <w:color w:val="auto"/>
                <w:szCs w:val="21"/>
                <w:highlight w:val="none"/>
              </w:rPr>
            </w:pPr>
          </w:p>
        </w:tc>
        <w:tc>
          <w:tcPr>
            <w:tcW w:w="1050" w:type="dxa"/>
            <w:vAlign w:val="center"/>
          </w:tcPr>
          <w:p w14:paraId="22312146">
            <w:pPr>
              <w:spacing w:line="400" w:lineRule="exact"/>
              <w:jc w:val="center"/>
              <w:rPr>
                <w:rFonts w:ascii="宋体" w:hAnsi="宋体" w:cs="宋体"/>
                <w:b/>
                <w:bCs/>
                <w:color w:val="auto"/>
                <w:szCs w:val="21"/>
                <w:highlight w:val="none"/>
              </w:rPr>
            </w:pPr>
          </w:p>
        </w:tc>
        <w:tc>
          <w:tcPr>
            <w:tcW w:w="819" w:type="dxa"/>
            <w:vAlign w:val="center"/>
          </w:tcPr>
          <w:p w14:paraId="30C0C8DE">
            <w:pPr>
              <w:spacing w:line="400" w:lineRule="exact"/>
              <w:jc w:val="center"/>
              <w:rPr>
                <w:rFonts w:ascii="宋体" w:hAnsi="宋体" w:cs="宋体"/>
                <w:b/>
                <w:bCs/>
                <w:color w:val="auto"/>
                <w:szCs w:val="21"/>
                <w:highlight w:val="none"/>
              </w:rPr>
            </w:pPr>
          </w:p>
        </w:tc>
        <w:tc>
          <w:tcPr>
            <w:tcW w:w="1175" w:type="dxa"/>
            <w:vAlign w:val="center"/>
          </w:tcPr>
          <w:p w14:paraId="22008ECC">
            <w:pPr>
              <w:spacing w:line="400" w:lineRule="exact"/>
              <w:jc w:val="center"/>
              <w:rPr>
                <w:rFonts w:ascii="宋体" w:hAnsi="宋体" w:cs="宋体"/>
                <w:b/>
                <w:bCs/>
                <w:color w:val="auto"/>
                <w:szCs w:val="21"/>
                <w:highlight w:val="none"/>
              </w:rPr>
            </w:pPr>
          </w:p>
        </w:tc>
      </w:tr>
      <w:tr w14:paraId="4C404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859" w:type="dxa"/>
          </w:tcPr>
          <w:p w14:paraId="2D1B8C8E">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w:t>
            </w:r>
          </w:p>
        </w:tc>
        <w:tc>
          <w:tcPr>
            <w:tcW w:w="1015" w:type="dxa"/>
          </w:tcPr>
          <w:p w14:paraId="55BDE527">
            <w:pPr>
              <w:spacing w:line="400" w:lineRule="exact"/>
              <w:jc w:val="center"/>
              <w:rPr>
                <w:rFonts w:ascii="宋体" w:hAnsi="宋体" w:cs="宋体"/>
                <w:b/>
                <w:color w:val="auto"/>
                <w:szCs w:val="21"/>
                <w:highlight w:val="none"/>
              </w:rPr>
            </w:pPr>
          </w:p>
        </w:tc>
        <w:tc>
          <w:tcPr>
            <w:tcW w:w="958" w:type="dxa"/>
            <w:vAlign w:val="center"/>
          </w:tcPr>
          <w:p w14:paraId="7FCB12FD">
            <w:pPr>
              <w:spacing w:line="400" w:lineRule="exact"/>
              <w:jc w:val="center"/>
              <w:rPr>
                <w:rFonts w:ascii="宋体" w:hAnsi="宋体" w:cs="宋体"/>
                <w:b/>
                <w:color w:val="auto"/>
                <w:szCs w:val="21"/>
                <w:highlight w:val="none"/>
              </w:rPr>
            </w:pPr>
          </w:p>
        </w:tc>
        <w:tc>
          <w:tcPr>
            <w:tcW w:w="808" w:type="dxa"/>
            <w:vAlign w:val="center"/>
          </w:tcPr>
          <w:p w14:paraId="460FCC14">
            <w:pPr>
              <w:spacing w:line="400" w:lineRule="exact"/>
              <w:jc w:val="center"/>
              <w:rPr>
                <w:rFonts w:ascii="宋体" w:hAnsi="宋体" w:cs="宋体"/>
                <w:b/>
                <w:color w:val="auto"/>
                <w:szCs w:val="21"/>
                <w:highlight w:val="none"/>
              </w:rPr>
            </w:pPr>
          </w:p>
        </w:tc>
        <w:tc>
          <w:tcPr>
            <w:tcW w:w="680" w:type="dxa"/>
            <w:vAlign w:val="center"/>
          </w:tcPr>
          <w:p w14:paraId="77B656E9">
            <w:pPr>
              <w:spacing w:line="400" w:lineRule="exact"/>
              <w:jc w:val="center"/>
              <w:rPr>
                <w:rFonts w:ascii="宋体" w:hAnsi="宋体" w:cs="宋体"/>
                <w:b/>
                <w:color w:val="auto"/>
                <w:szCs w:val="21"/>
                <w:highlight w:val="none"/>
              </w:rPr>
            </w:pPr>
          </w:p>
        </w:tc>
        <w:tc>
          <w:tcPr>
            <w:tcW w:w="889" w:type="dxa"/>
            <w:vAlign w:val="center"/>
          </w:tcPr>
          <w:p w14:paraId="06723E87">
            <w:pPr>
              <w:spacing w:line="400" w:lineRule="exact"/>
              <w:jc w:val="center"/>
              <w:rPr>
                <w:rFonts w:ascii="宋体" w:hAnsi="宋体" w:cs="宋体"/>
                <w:b/>
                <w:color w:val="auto"/>
                <w:szCs w:val="21"/>
                <w:highlight w:val="none"/>
              </w:rPr>
            </w:pPr>
          </w:p>
        </w:tc>
        <w:tc>
          <w:tcPr>
            <w:tcW w:w="785" w:type="dxa"/>
            <w:vAlign w:val="center"/>
          </w:tcPr>
          <w:p w14:paraId="15FE1C91">
            <w:pPr>
              <w:spacing w:line="400" w:lineRule="exact"/>
              <w:jc w:val="center"/>
              <w:rPr>
                <w:rFonts w:ascii="宋体" w:hAnsi="宋体" w:cs="宋体"/>
                <w:b/>
                <w:color w:val="auto"/>
                <w:szCs w:val="21"/>
                <w:highlight w:val="none"/>
              </w:rPr>
            </w:pPr>
          </w:p>
        </w:tc>
        <w:tc>
          <w:tcPr>
            <w:tcW w:w="1050" w:type="dxa"/>
            <w:vAlign w:val="center"/>
          </w:tcPr>
          <w:p w14:paraId="659A7298">
            <w:pPr>
              <w:spacing w:line="400" w:lineRule="exact"/>
              <w:jc w:val="center"/>
              <w:rPr>
                <w:rFonts w:ascii="宋体" w:hAnsi="宋体" w:cs="宋体"/>
                <w:b/>
                <w:bCs/>
                <w:color w:val="auto"/>
                <w:szCs w:val="21"/>
                <w:highlight w:val="none"/>
              </w:rPr>
            </w:pPr>
          </w:p>
        </w:tc>
        <w:tc>
          <w:tcPr>
            <w:tcW w:w="819" w:type="dxa"/>
            <w:vAlign w:val="center"/>
          </w:tcPr>
          <w:p w14:paraId="076E155F">
            <w:pPr>
              <w:spacing w:line="400" w:lineRule="exact"/>
              <w:jc w:val="center"/>
              <w:rPr>
                <w:rFonts w:ascii="宋体" w:hAnsi="宋体" w:cs="宋体"/>
                <w:b/>
                <w:bCs/>
                <w:color w:val="auto"/>
                <w:szCs w:val="21"/>
                <w:highlight w:val="none"/>
              </w:rPr>
            </w:pPr>
          </w:p>
        </w:tc>
        <w:tc>
          <w:tcPr>
            <w:tcW w:w="1175" w:type="dxa"/>
            <w:vAlign w:val="center"/>
          </w:tcPr>
          <w:p w14:paraId="61F12927">
            <w:pPr>
              <w:spacing w:line="400" w:lineRule="exact"/>
              <w:jc w:val="center"/>
              <w:rPr>
                <w:rFonts w:ascii="宋体" w:hAnsi="宋体" w:cs="宋体"/>
                <w:b/>
                <w:bCs/>
                <w:color w:val="auto"/>
                <w:szCs w:val="21"/>
                <w:highlight w:val="none"/>
              </w:rPr>
            </w:pPr>
          </w:p>
        </w:tc>
      </w:tr>
      <w:tr w14:paraId="0817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9038" w:type="dxa"/>
            <w:gridSpan w:val="10"/>
          </w:tcPr>
          <w:p w14:paraId="24D7136D">
            <w:pPr>
              <w:snapToGrid w:val="0"/>
              <w:spacing w:line="400" w:lineRule="exact"/>
              <w:jc w:val="left"/>
              <w:rPr>
                <w:rFonts w:ascii="宋体" w:hAnsi="宋体" w:cs="宋体"/>
                <w:color w:val="auto"/>
                <w:szCs w:val="21"/>
                <w:highlight w:val="none"/>
                <w:shd w:val="clear" w:color="auto" w:fill="FFFFFF"/>
              </w:rPr>
            </w:pPr>
            <w:r>
              <w:rPr>
                <w:rFonts w:hint="eastAsia" w:ascii="宋体" w:hAnsi="宋体" w:cs="宋体"/>
                <w:bCs/>
                <w:color w:val="auto"/>
                <w:szCs w:val="21"/>
                <w:highlight w:val="none"/>
              </w:rPr>
              <w:t>合计金额人民币（大写）：</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小写：¥</w:t>
            </w:r>
            <w:r>
              <w:rPr>
                <w:rFonts w:hint="eastAsia" w:ascii="宋体" w:hAnsi="宋体" w:cs="宋体"/>
                <w:b/>
                <w:bCs/>
                <w:color w:val="auto"/>
                <w:szCs w:val="21"/>
                <w:highlight w:val="none"/>
                <w:u w:val="single"/>
              </w:rPr>
              <w:t xml:space="preserve">             。</w:t>
            </w:r>
          </w:p>
          <w:p w14:paraId="1342969C">
            <w:pPr>
              <w:spacing w:line="400" w:lineRule="exact"/>
              <w:jc w:val="left"/>
              <w:rPr>
                <w:rFonts w:ascii="宋体" w:hAnsi="宋体" w:cs="宋体"/>
                <w:b/>
                <w:bCs/>
                <w:color w:val="auto"/>
                <w:szCs w:val="21"/>
                <w:highlight w:val="none"/>
              </w:rPr>
            </w:pPr>
            <w:r>
              <w:rPr>
                <w:rFonts w:hint="eastAsia" w:ascii="宋体" w:hAnsi="宋体" w:cs="宋体"/>
                <w:color w:val="auto"/>
                <w:szCs w:val="21"/>
                <w:highlight w:val="none"/>
              </w:rPr>
              <w:t>（合计金额包括但不限于货物货款、货物标准附件、备品配件、专用工具、包装、运输、装卸、保险、税金、货到就位和安装、调试、培训、保修</w:t>
            </w:r>
            <w:r>
              <w:rPr>
                <w:rFonts w:hint="eastAsia" w:ascii="宋体" w:hAnsi="宋体" w:cs="宋体"/>
                <w:color w:val="auto"/>
                <w:szCs w:val="21"/>
                <w:highlight w:val="none"/>
                <w:lang w:eastAsia="zh-CN"/>
              </w:rPr>
              <w:t>、</w:t>
            </w:r>
            <w:r>
              <w:rPr>
                <w:rFonts w:hint="eastAsia" w:ascii="宋体" w:hAnsi="宋体" w:cs="宋体"/>
                <w:color w:val="auto"/>
                <w:szCs w:val="21"/>
                <w:highlight w:val="none"/>
                <w:lang w:eastAsia="zh-CN"/>
              </w:rPr>
              <w:t>开发端口及对接</w:t>
            </w:r>
            <w:r>
              <w:rPr>
                <w:rFonts w:hint="eastAsia" w:ascii="宋体" w:hAnsi="宋体" w:cs="宋体"/>
                <w:color w:val="auto"/>
                <w:szCs w:val="21"/>
                <w:highlight w:val="none"/>
              </w:rPr>
              <w:t>等的费用。如招标文件另有规定的，从其规定）</w:t>
            </w:r>
          </w:p>
        </w:tc>
      </w:tr>
    </w:tbl>
    <w:p w14:paraId="49D2FEF8">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二、付款条件及期限：</w:t>
      </w:r>
    </w:p>
    <w:p w14:paraId="01D2312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仪器设备类：本仪器设备验收合格后，乙方开具全额税务发票，甲方在收到发票后转账支付合同款的95%（无息），可采用汇票、云信、供应链、信用证等付款方式。合同款的5%在设备验收合格满1年后的三个月内转账支付（无息）。甲方付款前，乙方未按上述要求开具符合甲方要求的正规财务票据的，甲方有权暂缓或拒付款项且不构成违约。</w:t>
      </w:r>
    </w:p>
    <w:p w14:paraId="1DE54E63">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票据要求：乙方必须按照甲方要求提供真实、有效、合法的正式税务发票。一旦发现乙方提供虚假税务发票，除须向甲方补开合法的税务发票外，须赔偿甲方发票票面金额一倍的违约金，且甲方有权终止合同，乙方不得提出异议，因终止合同而产生的一切损失均由乙方承担。</w:t>
      </w:r>
    </w:p>
    <w:p w14:paraId="277A4588">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三、货物包装、发运及运输</w:t>
      </w:r>
    </w:p>
    <w:p w14:paraId="3C7E1D70">
      <w:pPr>
        <w:spacing w:line="40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1.乙方应在货物发运前对其进行满足于运输距离、防潮、防震、防锈和防破损装卸要求的包装，以保证货物安全运输到达甲方指定地点。</w:t>
      </w:r>
    </w:p>
    <w:p w14:paraId="3F02E62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2.使用说明书、质量检验证明书、随配附件和工具以及清单等一并附于货物内。</w:t>
      </w:r>
    </w:p>
    <w:p w14:paraId="2BB7743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3.乙方负责将货物安全运送到甲方指定地点，并负责清理回收甲方舍弃的相关大件包装, 不另收任何费用。货到甲方前48小时，由乙方通知甲方接货；货到甲方后，乙方应通知甲方进行验收，验收合格，自甲方签字接收之日为乙方交付之日，交付之前一切货物风险由乙方承担。</w:t>
      </w:r>
    </w:p>
    <w:p w14:paraId="6BF2F013">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四、质量要求</w:t>
      </w:r>
    </w:p>
    <w:p w14:paraId="1EF64DF8">
      <w:pPr>
        <w:spacing w:line="400" w:lineRule="exact"/>
        <w:ind w:right="-210" w:rightChars="-100" w:firstLine="420" w:firstLineChars="200"/>
        <w:rPr>
          <w:rFonts w:ascii="宋体" w:hAnsi="宋体" w:cs="宋体"/>
          <w:color w:val="auto"/>
          <w:szCs w:val="21"/>
          <w:highlight w:val="none"/>
        </w:rPr>
      </w:pPr>
      <w:r>
        <w:rPr>
          <w:rFonts w:hint="eastAsia" w:ascii="宋体" w:hAnsi="宋体" w:cs="宋体"/>
          <w:color w:val="auto"/>
          <w:szCs w:val="21"/>
          <w:highlight w:val="none"/>
        </w:rPr>
        <w:t>1.乙方应按规定的货物性能、技术要求、质量标准向甲方提供未经使用的全新产品。</w:t>
      </w:r>
    </w:p>
    <w:p w14:paraId="39D469B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2.乙方提供货物的保修期为：</w:t>
      </w:r>
      <w:r>
        <w:rPr>
          <w:rFonts w:hint="eastAsia"/>
          <w:color w:val="auto"/>
          <w:highlight w:val="none"/>
        </w:rPr>
        <w:t>分标1：</w:t>
      </w:r>
      <w:r>
        <w:rPr>
          <w:rFonts w:hint="eastAsia"/>
          <w:color w:val="auto"/>
          <w:highlight w:val="none"/>
          <w:lang w:val="en-US" w:eastAsia="zh-CN"/>
        </w:rPr>
        <w:t>病人监护仪</w:t>
      </w:r>
      <w:r>
        <w:rPr>
          <w:rFonts w:hint="eastAsia" w:ascii="宋体" w:hAnsi="宋体" w:cs="宋体"/>
          <w:bCs/>
          <w:color w:val="auto"/>
          <w:szCs w:val="21"/>
          <w:highlight w:val="none"/>
        </w:rPr>
        <w:t>保修期</w:t>
      </w:r>
      <w:r>
        <w:rPr>
          <w:rFonts w:hint="eastAsia"/>
          <w:color w:val="auto"/>
          <w:highlight w:val="none"/>
        </w:rPr>
        <w:t>自交货物验收合格之日起至</w:t>
      </w:r>
      <w:r>
        <w:rPr>
          <w:rFonts w:hint="eastAsia"/>
          <w:strike w:val="0"/>
          <w:dstrike w:val="0"/>
          <w:color w:val="auto"/>
          <w:highlight w:val="none"/>
          <w:u w:val="single"/>
          <w:lang w:val="en-US" w:eastAsia="zh-CN"/>
        </w:rPr>
        <w:t xml:space="preserve">   </w:t>
      </w:r>
      <w:r>
        <w:rPr>
          <w:rFonts w:hint="eastAsia"/>
          <w:color w:val="auto"/>
          <w:highlight w:val="none"/>
        </w:rPr>
        <w:t>个月止</w:t>
      </w:r>
      <w:r>
        <w:rPr>
          <w:rFonts w:hint="eastAsia" w:ascii="宋体" w:hAnsi="宋体" w:cs="宋体"/>
          <w:bCs/>
          <w:color w:val="auto"/>
          <w:szCs w:val="21"/>
          <w:highlight w:val="none"/>
          <w:lang w:eastAsia="zh-CN"/>
        </w:rPr>
        <w:t>，</w:t>
      </w:r>
      <w:r>
        <w:rPr>
          <w:rFonts w:hint="eastAsia"/>
          <w:color w:val="auto"/>
          <w:highlight w:val="none"/>
          <w:lang w:val="en-US" w:eastAsia="zh-CN"/>
        </w:rPr>
        <w:t>中心监护系统保修期</w:t>
      </w:r>
      <w:r>
        <w:rPr>
          <w:rFonts w:hint="eastAsia"/>
          <w:color w:val="auto"/>
          <w:highlight w:val="none"/>
        </w:rPr>
        <w:t>自交货物验收合格之日起至</w:t>
      </w:r>
      <w:r>
        <w:rPr>
          <w:rFonts w:hint="eastAsia"/>
          <w:strike w:val="0"/>
          <w:dstrike w:val="0"/>
          <w:color w:val="auto"/>
          <w:highlight w:val="none"/>
          <w:u w:val="single"/>
          <w:lang w:val="en-US" w:eastAsia="zh-CN"/>
        </w:rPr>
        <w:t xml:space="preserve">      </w:t>
      </w:r>
      <w:r>
        <w:rPr>
          <w:rFonts w:hint="eastAsia"/>
          <w:color w:val="auto"/>
          <w:highlight w:val="none"/>
        </w:rPr>
        <w:t>个月止；分标2</w:t>
      </w:r>
      <w:r>
        <w:rPr>
          <w:rFonts w:hint="eastAsia" w:ascii="宋体" w:hAnsi="宋体" w:cs="宋体"/>
          <w:color w:val="auto"/>
          <w:szCs w:val="20"/>
          <w:highlight w:val="none"/>
        </w:rPr>
        <w:t xml:space="preserve"> ：病人监护仪</w:t>
      </w:r>
      <w:r>
        <w:rPr>
          <w:rFonts w:hint="eastAsia" w:ascii="宋体" w:hAnsi="宋体" w:cs="宋体"/>
          <w:bCs/>
          <w:color w:val="auto"/>
          <w:szCs w:val="21"/>
          <w:highlight w:val="none"/>
        </w:rPr>
        <w:t>21台保修期</w:t>
      </w:r>
      <w:r>
        <w:rPr>
          <w:rFonts w:hint="eastAsia"/>
          <w:color w:val="auto"/>
          <w:highlight w:val="none"/>
        </w:rPr>
        <w:t>自交货物验收合格之日起至</w:t>
      </w:r>
      <w:r>
        <w:rPr>
          <w:rFonts w:hint="eastAsia"/>
          <w:strike w:val="0"/>
          <w:dstrike w:val="0"/>
          <w:color w:val="auto"/>
          <w:highlight w:val="none"/>
          <w:u w:val="single"/>
          <w:lang w:val="en-US" w:eastAsia="zh-CN"/>
        </w:rPr>
        <w:t xml:space="preserve">     </w:t>
      </w:r>
      <w:r>
        <w:rPr>
          <w:rFonts w:hint="eastAsia"/>
          <w:color w:val="auto"/>
          <w:highlight w:val="none"/>
        </w:rPr>
        <w:t>个月止</w:t>
      </w:r>
      <w:r>
        <w:rPr>
          <w:rFonts w:hint="eastAsia" w:ascii="宋体" w:hAnsi="宋体" w:cs="宋体"/>
          <w:bCs/>
          <w:color w:val="auto"/>
          <w:szCs w:val="21"/>
          <w:highlight w:val="none"/>
        </w:rPr>
        <w:t>,</w:t>
      </w:r>
      <w:r>
        <w:rPr>
          <w:rFonts w:hint="eastAsia" w:ascii="宋体" w:hAnsi="宋体" w:cs="宋体"/>
          <w:color w:val="auto"/>
          <w:szCs w:val="20"/>
          <w:highlight w:val="none"/>
        </w:rPr>
        <w:t xml:space="preserve"> 遥测监护仪</w:t>
      </w:r>
      <w:r>
        <w:rPr>
          <w:rFonts w:hint="eastAsia" w:ascii="宋体" w:hAnsi="宋体" w:cs="宋体"/>
          <w:bCs/>
          <w:color w:val="auto"/>
          <w:szCs w:val="21"/>
          <w:highlight w:val="none"/>
        </w:rPr>
        <w:t>9台</w:t>
      </w:r>
      <w:r>
        <w:rPr>
          <w:rFonts w:hint="eastAsia"/>
          <w:color w:val="auto"/>
          <w:highlight w:val="none"/>
        </w:rPr>
        <w:t>自交货物验收合格之日起至</w:t>
      </w:r>
      <w:r>
        <w:rPr>
          <w:rFonts w:hint="eastAsia"/>
          <w:strike w:val="0"/>
          <w:dstrike w:val="0"/>
          <w:color w:val="auto"/>
          <w:highlight w:val="none"/>
          <w:u w:val="single"/>
          <w:lang w:val="en-US" w:eastAsia="zh-CN"/>
        </w:rPr>
        <w:t xml:space="preserve">  </w:t>
      </w:r>
      <w:r>
        <w:rPr>
          <w:rFonts w:hint="eastAsia"/>
          <w:color w:val="auto"/>
          <w:highlight w:val="none"/>
        </w:rPr>
        <w:t>个月止</w:t>
      </w:r>
      <w:r>
        <w:rPr>
          <w:rFonts w:hint="eastAsia" w:ascii="宋体" w:hAnsi="宋体" w:cs="宋体"/>
          <w:color w:val="auto"/>
          <w:highlight w:val="none"/>
        </w:rPr>
        <w:t>（保修期从设备验收合格之日起计算）；分标3</w:t>
      </w:r>
      <w:r>
        <w:rPr>
          <w:rFonts w:hint="eastAsia" w:ascii="宋体" w:hAnsi="宋体" w:cs="宋体"/>
          <w:color w:val="auto"/>
          <w:highlight w:val="none"/>
          <w:lang w:eastAsia="zh-CN"/>
        </w:rPr>
        <w:t>：</w:t>
      </w:r>
      <w:r>
        <w:rPr>
          <w:rFonts w:hint="eastAsia"/>
          <w:color w:val="auto"/>
          <w:highlight w:val="none"/>
        </w:rPr>
        <w:t>自交货物验收合格之日起至</w:t>
      </w:r>
      <w:r>
        <w:rPr>
          <w:rFonts w:hint="eastAsia"/>
          <w:strike w:val="0"/>
          <w:dstrike w:val="0"/>
          <w:color w:val="auto"/>
          <w:highlight w:val="none"/>
          <w:u w:val="single"/>
          <w:lang w:val="en-US" w:eastAsia="zh-CN"/>
        </w:rPr>
        <w:t xml:space="preserve">  </w:t>
      </w:r>
      <w:r>
        <w:rPr>
          <w:rFonts w:hint="eastAsia"/>
          <w:color w:val="auto"/>
          <w:highlight w:val="none"/>
        </w:rPr>
        <w:t>个月止</w:t>
      </w:r>
      <w:r>
        <w:rPr>
          <w:rFonts w:hint="eastAsia" w:ascii="宋体" w:hAnsi="宋体" w:cs="宋体"/>
          <w:color w:val="auto"/>
          <w:highlight w:val="none"/>
        </w:rPr>
        <w:t>（保修期从设备验收合格之日起计算）</w:t>
      </w:r>
      <w:r>
        <w:rPr>
          <w:rFonts w:hint="eastAsia"/>
          <w:color w:val="auto"/>
          <w:highlight w:val="none"/>
        </w:rPr>
        <w:t>。</w:t>
      </w:r>
      <w:r>
        <w:rPr>
          <w:rFonts w:hint="eastAsia" w:ascii="宋体" w:hAnsi="宋体" w:cs="宋体"/>
          <w:color w:val="auto"/>
          <w:szCs w:val="21"/>
          <w:highlight w:val="none"/>
        </w:rPr>
        <w:t>（按投标文件中生产厂家或授权代理商承诺的最长保修期为准）。在保修期内因货物本身的质量问题发生故障，乙方应负责免费修理和无条件更换, 并按售后服务承诺书（附件），延长保修期。</w:t>
      </w:r>
    </w:p>
    <w:p w14:paraId="3115697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 保修期内，如在使用过程中发生质量问题，乙方在接到甲方通知后按承诺的时间（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时）内到达甲方现场处理。乙方未在承诺时间内到达处理，每次需按照该设备中标金额的1%支付违约金，违约金总金额不超过该设备总金额的5%，扣款直接以留存的5%合同价款抵扣，不足抵扣的，乙方须承担补足责任。否则乙方需按合同总金额的30%向甲方支付违约金并承担相应的法律责任。</w:t>
      </w:r>
    </w:p>
    <w:p w14:paraId="12C730DF">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五、货物的验收</w:t>
      </w:r>
    </w:p>
    <w:p w14:paraId="579F36D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1.乙方交货前应对产品作出全面检查和对验收文件进行整理列出清单，作为甲方收货验收和使用的技术条件依据，检验的结果应随货物交甲方。</w:t>
      </w:r>
    </w:p>
    <w:p w14:paraId="24E7402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2.甲方对乙方所交货物依照国家有关标准，进行现场验收，性能达到技术要求的给予签收，验收不合格不予签收，后果由乙方负责。</w:t>
      </w:r>
    </w:p>
    <w:p w14:paraId="30AAA51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3.乙方应在货到指定地点安装、调试完毕，确保正常使用，并及时配合甲方验收。</w:t>
      </w:r>
    </w:p>
    <w:p w14:paraId="2B1255AD">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六、交货期及交货方式</w:t>
      </w:r>
    </w:p>
    <w:p w14:paraId="7BB440C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1.交货期：合同签订，接</w:t>
      </w:r>
      <w:r>
        <w:rPr>
          <w:rFonts w:hint="eastAsia" w:ascii="宋体" w:hAnsi="宋体" w:cs="宋体"/>
          <w:color w:val="auto"/>
          <w:szCs w:val="21"/>
          <w:highlight w:val="none"/>
          <w:lang w:eastAsia="zh-CN"/>
        </w:rPr>
        <w:t>到</w:t>
      </w:r>
      <w:r>
        <w:rPr>
          <w:rFonts w:hint="eastAsia" w:ascii="宋体" w:hAnsi="宋体" w:cs="宋体"/>
          <w:color w:val="auto"/>
          <w:szCs w:val="21"/>
          <w:highlight w:val="none"/>
        </w:rPr>
        <w:t>甲方供货通知后</w:t>
      </w:r>
      <w:r>
        <w:rPr>
          <w:rFonts w:hint="eastAsia"/>
          <w:strike w:val="0"/>
          <w:dstrike w:val="0"/>
          <w:color w:val="auto"/>
          <w:highlight w:val="none"/>
          <w:u w:val="single"/>
          <w:lang w:val="en-US" w:eastAsia="zh-CN"/>
        </w:rPr>
        <w:t xml:space="preserve">     </w:t>
      </w:r>
      <w:r>
        <w:rPr>
          <w:rFonts w:hint="eastAsia" w:ascii="宋体" w:hAnsi="宋体" w:cs="宋体"/>
          <w:color w:val="auto"/>
          <w:szCs w:val="21"/>
          <w:highlight w:val="none"/>
        </w:rPr>
        <w:t>个工作日内到货并安装调试完毕，达到正常使用状态。</w:t>
      </w:r>
    </w:p>
    <w:p w14:paraId="6F13310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2.交货方式：现场免费安装调试、培训、器械正常使用，验收合格。</w:t>
      </w:r>
    </w:p>
    <w:p w14:paraId="59024B2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3.交货地点：广西桂林市甲方医院内指定地点。</w:t>
      </w:r>
    </w:p>
    <w:p w14:paraId="7C36A742">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七、售后服务条款</w:t>
      </w:r>
    </w:p>
    <w:p w14:paraId="4ABF579A">
      <w:pPr>
        <w:spacing w:line="400" w:lineRule="exact"/>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1.交钥匙工程：本项目为交钥匙项目。</w:t>
      </w:r>
      <w:r>
        <w:rPr>
          <w:rFonts w:hint="eastAsia" w:ascii="宋体" w:hAnsi="宋体" w:cs="宋体"/>
          <w:color w:val="auto"/>
          <w:szCs w:val="21"/>
          <w:highlight w:val="none"/>
        </w:rPr>
        <w:t>乙方负责产品的安装调试及人员培训。</w:t>
      </w:r>
      <w:r>
        <w:rPr>
          <w:rFonts w:hint="eastAsia" w:ascii="宋体" w:hAnsi="宋体" w:cs="宋体"/>
          <w:color w:val="auto"/>
          <w:kern w:val="0"/>
          <w:szCs w:val="21"/>
          <w:highlight w:val="none"/>
        </w:rPr>
        <w:t>在保修期内，乙方必须保证甲方能够合法应用该器械/</w:t>
      </w:r>
      <w:r>
        <w:rPr>
          <w:rFonts w:hint="eastAsia" w:ascii="宋体" w:hAnsi="宋体" w:cs="宋体"/>
          <w:color w:val="auto"/>
          <w:szCs w:val="21"/>
          <w:highlight w:val="none"/>
        </w:rPr>
        <w:t>试剂</w:t>
      </w:r>
      <w:r>
        <w:rPr>
          <w:rFonts w:hint="eastAsia" w:ascii="宋体" w:hAnsi="宋体" w:cs="宋体"/>
          <w:color w:val="auto"/>
          <w:kern w:val="0"/>
          <w:szCs w:val="21"/>
          <w:highlight w:val="none"/>
        </w:rPr>
        <w:t>，并办理相关证件、手续，产生的费用包含在合同/协议价格中。在此过程中，甲方应当提供必要支持。若可能出现的后续证件、手续，乙方必须提供办理的流程及方法。</w:t>
      </w:r>
    </w:p>
    <w:p w14:paraId="2EE6E334">
      <w:pPr>
        <w:widowControl/>
        <w:shd w:val="clear" w:color="auto" w:fill="FFFFFF"/>
        <w:spacing w:line="360" w:lineRule="atLeas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2.易损零配件和专机专用试剂耗材价格表：本项目合同/协议中，应附易损零配件和专机专用试剂耗材价格表。</w:t>
      </w:r>
    </w:p>
    <w:p w14:paraId="6EF2A445">
      <w:pPr>
        <w:widowControl/>
        <w:shd w:val="clear" w:color="auto" w:fill="FFFFFF"/>
        <w:spacing w:line="360" w:lineRule="atLeas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维修技术支持：乙方一次性免费提供维护手册、维修手册、软件备份、故障代码表、备件清单等维护维修必需的材料和信息，否则不予验收。保修期外，无偿提供维修密码及软件在该项目中的使用权，按合同约定价格提供零部件、以及快速响应的技术支持。</w:t>
      </w:r>
      <w:r>
        <w:rPr>
          <w:rFonts w:hint="eastAsia" w:ascii="宋体" w:hAnsi="宋体" w:cs="宋体"/>
          <w:color w:val="auto"/>
          <w:szCs w:val="21"/>
          <w:highlight w:val="none"/>
        </w:rPr>
        <w:t>保修期外，如在使用过程中发生质量问题，乙方在接到甲方通知后在</w:t>
      </w:r>
      <w:r>
        <w:rPr>
          <w:rFonts w:hint="eastAsia"/>
          <w:strike w:val="0"/>
          <w:dstrike w:val="0"/>
          <w:color w:val="auto"/>
          <w:highlight w:val="none"/>
          <w:u w:val="single"/>
          <w:lang w:val="en-US" w:eastAsia="zh-CN"/>
        </w:rPr>
        <w:t xml:space="preserve">    </w:t>
      </w:r>
      <w:r>
        <w:rPr>
          <w:rFonts w:hint="eastAsia" w:ascii="宋体" w:hAnsi="宋体" w:cs="宋体"/>
          <w:color w:val="auto"/>
          <w:szCs w:val="21"/>
          <w:highlight w:val="none"/>
        </w:rPr>
        <w:t>小时内到达甲方现场处理。</w:t>
      </w:r>
    </w:p>
    <w:p w14:paraId="6874B0D9">
      <w:pPr>
        <w:widowControl/>
        <w:shd w:val="clear" w:color="auto" w:fill="FFFFFF"/>
        <w:spacing w:line="360" w:lineRule="atLeas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4.相关人员培训：标的</w:t>
      </w:r>
      <w:r>
        <w:rPr>
          <w:rFonts w:hint="eastAsia" w:ascii="宋体" w:hAnsi="宋体" w:cs="宋体"/>
          <w:color w:val="auto"/>
          <w:kern w:val="0"/>
          <w:szCs w:val="21"/>
          <w:highlight w:val="none"/>
          <w:u w:val="single"/>
        </w:rPr>
        <w:t>已</w:t>
      </w:r>
      <w:r>
        <w:rPr>
          <w:rFonts w:hint="eastAsia" w:ascii="宋体" w:hAnsi="宋体" w:cs="宋体"/>
          <w:color w:val="auto"/>
          <w:kern w:val="0"/>
          <w:szCs w:val="21"/>
          <w:highlight w:val="none"/>
        </w:rPr>
        <w:t>包含医护人员及工程人员的培训计划费用，其中分标医护人员省</w:t>
      </w:r>
      <w:r>
        <w:rPr>
          <w:rFonts w:hint="eastAsia" w:ascii="宋体" w:hAnsi="宋体" w:cs="宋体"/>
          <w:color w:val="auto"/>
          <w:kern w:val="0"/>
          <w:szCs w:val="21"/>
          <w:highlight w:val="none"/>
          <w:u w:val="single"/>
        </w:rPr>
        <w:t>区内/省区</w:t>
      </w:r>
      <w:r>
        <w:rPr>
          <w:rFonts w:hint="eastAsia" w:ascii="宋体" w:hAnsi="宋体" w:cs="宋体"/>
          <w:color w:val="auto"/>
          <w:kern w:val="0"/>
          <w:szCs w:val="21"/>
          <w:highlight w:val="none"/>
        </w:rPr>
        <w:t>外专项操作培训</w:t>
      </w:r>
      <w:r>
        <w:rPr>
          <w:rFonts w:hint="eastAsia"/>
          <w:strike w:val="0"/>
          <w:dstrike w:val="0"/>
          <w:color w:val="auto"/>
          <w:highlight w:val="none"/>
          <w:u w:val="single"/>
          <w:lang w:val="en-US" w:eastAsia="zh-CN"/>
        </w:rPr>
        <w:t xml:space="preserve">    </w:t>
      </w:r>
      <w:r>
        <w:rPr>
          <w:rFonts w:hint="eastAsia" w:ascii="宋体" w:hAnsi="宋体" w:cs="宋体"/>
          <w:color w:val="auto"/>
          <w:kern w:val="0"/>
          <w:szCs w:val="21"/>
          <w:highlight w:val="none"/>
        </w:rPr>
        <w:t>人次；工程人员</w:t>
      </w:r>
      <w:r>
        <w:rPr>
          <w:rFonts w:hint="eastAsia" w:ascii="宋体" w:hAnsi="宋体" w:cs="宋体"/>
          <w:color w:val="auto"/>
          <w:kern w:val="0"/>
          <w:szCs w:val="21"/>
          <w:highlight w:val="none"/>
          <w:u w:val="single"/>
        </w:rPr>
        <w:t>省区内/省区外</w:t>
      </w:r>
      <w:r>
        <w:rPr>
          <w:rFonts w:hint="eastAsia" w:ascii="宋体" w:hAnsi="宋体" w:cs="宋体"/>
          <w:color w:val="auto"/>
          <w:kern w:val="0"/>
          <w:szCs w:val="21"/>
          <w:highlight w:val="none"/>
        </w:rPr>
        <w:t>专项维保培训</w:t>
      </w:r>
      <w:r>
        <w:rPr>
          <w:rFonts w:hint="eastAsia"/>
          <w:strike w:val="0"/>
          <w:dstrike w:val="0"/>
          <w:color w:val="auto"/>
          <w:highlight w:val="none"/>
          <w:u w:val="single"/>
          <w:lang w:val="en-US" w:eastAsia="zh-CN"/>
        </w:rPr>
        <w:t xml:space="preserve">    </w:t>
      </w:r>
      <w:r>
        <w:rPr>
          <w:rFonts w:hint="eastAsia" w:ascii="宋体" w:hAnsi="宋体" w:cs="宋体"/>
          <w:color w:val="auto"/>
          <w:kern w:val="0"/>
          <w:szCs w:val="21"/>
          <w:highlight w:val="none"/>
        </w:rPr>
        <w:t>人次。</w:t>
      </w:r>
    </w:p>
    <w:p w14:paraId="7CA4E9C5">
      <w:pPr>
        <w:widowControl/>
        <w:shd w:val="clear" w:color="auto" w:fill="FFFFFF"/>
        <w:spacing w:line="360" w:lineRule="atLeas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5.乙方无偿保证甲方获得合同约定范围内所有软件功能，终身单机软件使用权。不得限制硬件配件采购，并在甲方自主更换配件后，无偿帮助甲方恢复原有的软件及系统，使甲方能够正常使用该器械/设备、项目。</w:t>
      </w:r>
    </w:p>
    <w:p w14:paraId="222410D5">
      <w:pPr>
        <w:widowControl/>
        <w:shd w:val="clear" w:color="auto" w:fill="FFFFFF"/>
        <w:spacing w:line="360" w:lineRule="atLeas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6.乙方承诺保修期内，按国家相关规定，执行保养及预防性维护，并提供报告。</w:t>
      </w:r>
    </w:p>
    <w:p w14:paraId="75E00941">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7.在设备规定的使用期限内，乙方必须保证配件供应。</w:t>
      </w:r>
      <w:r>
        <w:rPr>
          <w:rFonts w:hint="eastAsia" w:ascii="宋体" w:hAnsi="宋体" w:cs="宋体"/>
          <w:color w:val="auto"/>
          <w:szCs w:val="21"/>
          <w:highlight w:val="none"/>
        </w:rPr>
        <w:t>并承诺过保修期后的维修及配件更换不需预付款，按照医院正常付款流程办理。</w:t>
      </w:r>
    </w:p>
    <w:p w14:paraId="117B5DD4">
      <w:pPr>
        <w:widowControl/>
        <w:shd w:val="clear" w:color="auto" w:fill="FFFFFF"/>
        <w:spacing w:line="360" w:lineRule="atLeas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8.其他售后服务条款，详见售后服务承诺书。</w:t>
      </w:r>
    </w:p>
    <w:p w14:paraId="6C6A49B1">
      <w:pPr>
        <w:widowControl/>
        <w:shd w:val="clear" w:color="auto" w:fill="FFFFFF"/>
        <w:spacing w:line="360" w:lineRule="atLeas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9.售后服务承诺书原则上须有生产厂家或省级（含省级）以上代理商的盖章。</w:t>
      </w:r>
    </w:p>
    <w:p w14:paraId="3BFECC2A">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八、违约责任：</w:t>
      </w:r>
    </w:p>
    <w:p w14:paraId="3A83973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1.甲方无正当理由拒收的，违约方每天按合同标的</w:t>
      </w:r>
      <w:r>
        <w:rPr>
          <w:rFonts w:hint="eastAsia" w:ascii="宋体" w:hAnsi="宋体" w:cs="宋体"/>
          <w:color w:val="auto"/>
          <w:szCs w:val="21"/>
          <w:highlight w:val="none"/>
          <w:u w:val="single"/>
        </w:rPr>
        <w:t>0.3%</w:t>
      </w:r>
      <w:r>
        <w:rPr>
          <w:rFonts w:hint="eastAsia" w:ascii="宋体" w:hAnsi="宋体" w:cs="宋体"/>
          <w:color w:val="auto"/>
          <w:szCs w:val="21"/>
          <w:highlight w:val="none"/>
        </w:rPr>
        <w:t>支付违约金。</w:t>
      </w:r>
    </w:p>
    <w:p w14:paraId="62CA38E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逾期交付货物的，每逾期一日应支付违约金1000元，乙方逾期超过7天仍不能交货的,甲方有权单方面终止合同，乙方应按合同总金额的30%向甲方支付违约金，造成甲方损失的，由乙方负责赔偿，赔偿范围包括但不限于直接损失、逾期损失、以及维权产生的相关费用。</w:t>
      </w:r>
    </w:p>
    <w:p w14:paraId="3CD801A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乙方货物不符合约定及甲方要求的，须无条件免费予以更换或弥补，由此导致的逾期交付责任由乙方承担；乙方拒绝更换弥补或更换三次仍不能达到甲方要求的，甲方有权解除合同，乙方应按合同总金额的30%向甲方支付违约金并赔偿甲方全部损失</w:t>
      </w:r>
    </w:p>
    <w:p w14:paraId="441CC3B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4.乙方未按约定履行售后服务或维保责任的，每发生一次应向甲方支付违约金1000元，甲方有权自行或委托第三方进行维保，由此产生的全部费用由乙方承担。</w:t>
      </w:r>
    </w:p>
    <w:p w14:paraId="06E7C01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5.乙方提供的投标文件如有虚假，视为乙方根本性违约，甲方有权单方面解除合同，并追究乙方相关法律责任。</w:t>
      </w:r>
    </w:p>
    <w:p w14:paraId="7499CF1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纠纷的解决方式：因合同引起的或与本合同有关的任何争议，由双方当事人协商解决；也可以向有关部门申请调解。协商或调解不成，当事人可依照有关法律规定将争议提交仲裁，或向甲方所在地的人民法院起诉。</w:t>
      </w:r>
    </w:p>
    <w:p w14:paraId="27888F52">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九、本合同一式肆份，甲方执叁份，乙方执壹份。本合同经甲乙双方签字盖章后生效，补充协议含售后服务承诺书等，与本合同具有同等法律效力。如甲乙双方合同条款内容不一致，以甲方存档的文本为正本。</w:t>
      </w:r>
    </w:p>
    <w:p w14:paraId="61A6C4EB">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十、本合同尾部及《廉洁合同》载明的乙方地址及联系人用于接收往来函件及诉讼法律文书，且适用于因本合同履行相关的一切纠纷处理程序（如仲裁、诉讼、执行等）的送达。如有变更乙方需以书面方式通知甲方，未书面通知变更的，凡向合同记载地址或联系方式发送的文件及信息，无论是否实际收到，均视为有效送达。</w:t>
      </w:r>
    </w:p>
    <w:p w14:paraId="235D0A12">
      <w:pPr>
        <w:spacing w:line="400" w:lineRule="exact"/>
        <w:ind w:firstLine="422" w:firstLineChars="200"/>
        <w:rPr>
          <w:rFonts w:ascii="宋体" w:hAnsi="宋体" w:cs="宋体"/>
          <w:b/>
          <w:color w:val="auto"/>
          <w:szCs w:val="21"/>
          <w:highlight w:val="none"/>
        </w:rPr>
      </w:pPr>
    </w:p>
    <w:p w14:paraId="76ACDBDB">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十一、本合同如有未尽事宜，甲乙双方另行协商。</w:t>
      </w:r>
    </w:p>
    <w:p w14:paraId="4AA47F15">
      <w:pPr>
        <w:spacing w:line="40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十二、附件：</w:t>
      </w:r>
    </w:p>
    <w:p w14:paraId="6F0E2BE1">
      <w:pPr>
        <w:spacing w:line="400" w:lineRule="exact"/>
        <w:rPr>
          <w:rFonts w:ascii="宋体" w:hAnsi="宋体" w:cs="宋体"/>
          <w:b/>
          <w:color w:val="auto"/>
          <w:szCs w:val="21"/>
          <w:highlight w:val="none"/>
        </w:rPr>
      </w:pPr>
      <w:r>
        <w:rPr>
          <w:rFonts w:hint="eastAsia" w:ascii="宋体" w:hAnsi="宋体" w:cs="宋体"/>
          <w:b/>
          <w:color w:val="auto"/>
          <w:szCs w:val="21"/>
          <w:highlight w:val="none"/>
        </w:rPr>
        <w:t>附件1：本设备适用耗材、试剂的价格表</w:t>
      </w:r>
    </w:p>
    <w:tbl>
      <w:tblPr>
        <w:tblStyle w:val="47"/>
        <w:tblW w:w="9782"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7"/>
        <w:gridCol w:w="1701"/>
        <w:gridCol w:w="709"/>
        <w:gridCol w:w="2410"/>
        <w:gridCol w:w="425"/>
        <w:gridCol w:w="425"/>
        <w:gridCol w:w="851"/>
        <w:gridCol w:w="1134"/>
      </w:tblGrid>
      <w:tr w14:paraId="0880A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2127" w:type="dxa"/>
            <w:tcBorders>
              <w:top w:val="single" w:color="auto" w:sz="4" w:space="0"/>
              <w:left w:val="single" w:color="auto" w:sz="4" w:space="0"/>
              <w:bottom w:val="single" w:color="auto" w:sz="4" w:space="0"/>
              <w:right w:val="single" w:color="auto" w:sz="4" w:space="0"/>
            </w:tcBorders>
            <w:vAlign w:val="center"/>
          </w:tcPr>
          <w:p w14:paraId="4442D8E0">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耗材、试剂名称</w:t>
            </w:r>
          </w:p>
        </w:tc>
        <w:tc>
          <w:tcPr>
            <w:tcW w:w="1701" w:type="dxa"/>
            <w:tcBorders>
              <w:top w:val="single" w:color="auto" w:sz="4" w:space="0"/>
              <w:left w:val="single" w:color="auto" w:sz="4" w:space="0"/>
              <w:bottom w:val="single" w:color="auto" w:sz="4" w:space="0"/>
              <w:right w:val="single" w:color="auto" w:sz="4" w:space="0"/>
            </w:tcBorders>
            <w:vAlign w:val="center"/>
          </w:tcPr>
          <w:p w14:paraId="619372CD">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产品注册证号</w:t>
            </w:r>
          </w:p>
        </w:tc>
        <w:tc>
          <w:tcPr>
            <w:tcW w:w="709" w:type="dxa"/>
            <w:tcBorders>
              <w:top w:val="single" w:color="auto" w:sz="4" w:space="0"/>
              <w:left w:val="single" w:color="auto" w:sz="4" w:space="0"/>
              <w:bottom w:val="single" w:color="auto" w:sz="4" w:space="0"/>
              <w:right w:val="single" w:color="auto" w:sz="4" w:space="0"/>
            </w:tcBorders>
            <w:vAlign w:val="center"/>
          </w:tcPr>
          <w:p w14:paraId="0CD1FD45">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型号</w:t>
            </w:r>
          </w:p>
          <w:p w14:paraId="34974E7F">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规格</w:t>
            </w:r>
          </w:p>
        </w:tc>
        <w:tc>
          <w:tcPr>
            <w:tcW w:w="2410" w:type="dxa"/>
            <w:tcBorders>
              <w:top w:val="single" w:color="auto" w:sz="4" w:space="0"/>
              <w:left w:val="single" w:color="auto" w:sz="4" w:space="0"/>
              <w:bottom w:val="single" w:color="auto" w:sz="4" w:space="0"/>
              <w:right w:val="single" w:color="auto" w:sz="4" w:space="0"/>
            </w:tcBorders>
            <w:vAlign w:val="center"/>
          </w:tcPr>
          <w:p w14:paraId="6D136335">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生产厂家及品牌</w:t>
            </w:r>
          </w:p>
        </w:tc>
        <w:tc>
          <w:tcPr>
            <w:tcW w:w="425" w:type="dxa"/>
            <w:tcBorders>
              <w:top w:val="single" w:color="auto" w:sz="4" w:space="0"/>
              <w:left w:val="single" w:color="auto" w:sz="4" w:space="0"/>
              <w:bottom w:val="single" w:color="auto" w:sz="4" w:space="0"/>
              <w:right w:val="single" w:color="auto" w:sz="4" w:space="0"/>
            </w:tcBorders>
            <w:vAlign w:val="center"/>
          </w:tcPr>
          <w:p w14:paraId="7369AB7A">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单位</w:t>
            </w:r>
          </w:p>
        </w:tc>
        <w:tc>
          <w:tcPr>
            <w:tcW w:w="425" w:type="dxa"/>
            <w:tcBorders>
              <w:top w:val="single" w:color="auto" w:sz="4" w:space="0"/>
              <w:left w:val="single" w:color="auto" w:sz="4" w:space="0"/>
              <w:bottom w:val="single" w:color="auto" w:sz="4" w:space="0"/>
              <w:right w:val="single" w:color="auto" w:sz="4" w:space="0"/>
            </w:tcBorders>
            <w:vAlign w:val="center"/>
          </w:tcPr>
          <w:p w14:paraId="56E40D71">
            <w:pPr>
              <w:pStyle w:val="33"/>
              <w:pBdr>
                <w:bottom w:val="none" w:color="auto" w:sz="0" w:space="0"/>
              </w:pBdr>
              <w:tabs>
                <w:tab w:val="left" w:pos="420"/>
                <w:tab w:val="center" w:pos="4153"/>
                <w:tab w:val="right" w:pos="8306"/>
                <w:tab w:val="clear" w:pos="0"/>
              </w:tabs>
              <w:snapToGrid/>
              <w:spacing w:line="400" w:lineRule="exact"/>
              <w:rPr>
                <w:rFonts w:ascii="宋体" w:hAnsi="宋体" w:cs="宋体"/>
                <w:b/>
                <w:color w:val="auto"/>
                <w:sz w:val="21"/>
                <w:szCs w:val="21"/>
                <w:highlight w:val="none"/>
              </w:rPr>
            </w:pPr>
            <w:r>
              <w:rPr>
                <w:rFonts w:hint="eastAsia" w:ascii="宋体" w:hAnsi="宋体" w:cs="宋体"/>
                <w:b/>
                <w:color w:val="auto"/>
                <w:sz w:val="21"/>
                <w:szCs w:val="21"/>
                <w:highlight w:val="none"/>
              </w:rPr>
              <w:t>数量</w:t>
            </w:r>
          </w:p>
        </w:tc>
        <w:tc>
          <w:tcPr>
            <w:tcW w:w="851" w:type="dxa"/>
            <w:tcBorders>
              <w:top w:val="single" w:color="auto" w:sz="4" w:space="0"/>
              <w:left w:val="single" w:color="auto" w:sz="4" w:space="0"/>
              <w:bottom w:val="single" w:color="auto" w:sz="4" w:space="0"/>
              <w:right w:val="single" w:color="auto" w:sz="4" w:space="0"/>
            </w:tcBorders>
            <w:vAlign w:val="center"/>
          </w:tcPr>
          <w:p w14:paraId="3CE5477F">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单价</w:t>
            </w:r>
          </w:p>
          <w:p w14:paraId="56D4CC68">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（元）</w:t>
            </w:r>
          </w:p>
        </w:tc>
        <w:tc>
          <w:tcPr>
            <w:tcW w:w="1134" w:type="dxa"/>
            <w:tcBorders>
              <w:top w:val="single" w:color="auto" w:sz="4" w:space="0"/>
              <w:left w:val="single" w:color="auto" w:sz="4" w:space="0"/>
              <w:bottom w:val="single" w:color="auto" w:sz="4" w:space="0"/>
              <w:right w:val="single" w:color="auto" w:sz="4" w:space="0"/>
            </w:tcBorders>
            <w:vAlign w:val="center"/>
          </w:tcPr>
          <w:p w14:paraId="60AA2AF7">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总价（元）</w:t>
            </w:r>
          </w:p>
        </w:tc>
      </w:tr>
      <w:tr w14:paraId="5BCD3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4" w:hRule="atLeast"/>
        </w:trPr>
        <w:tc>
          <w:tcPr>
            <w:tcW w:w="2127" w:type="dxa"/>
            <w:tcBorders>
              <w:top w:val="single" w:color="auto" w:sz="4" w:space="0"/>
              <w:left w:val="single" w:color="auto" w:sz="4" w:space="0"/>
              <w:bottom w:val="single" w:color="auto" w:sz="4" w:space="0"/>
              <w:right w:val="single" w:color="auto" w:sz="4" w:space="0"/>
            </w:tcBorders>
            <w:vAlign w:val="center"/>
          </w:tcPr>
          <w:p w14:paraId="57FA0CB6">
            <w:pPr>
              <w:spacing w:line="400" w:lineRule="exact"/>
              <w:jc w:val="center"/>
              <w:rPr>
                <w:rFonts w:ascii="宋体" w:hAnsi="宋体" w:cs="宋体"/>
                <w:b/>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1BC819B6">
            <w:pPr>
              <w:spacing w:line="400" w:lineRule="exact"/>
              <w:jc w:val="center"/>
              <w:rPr>
                <w:rFonts w:ascii="宋体" w:hAnsi="宋体" w:cs="宋体"/>
                <w:b/>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48636D86">
            <w:pPr>
              <w:spacing w:line="400" w:lineRule="exact"/>
              <w:jc w:val="center"/>
              <w:rPr>
                <w:rFonts w:ascii="宋体" w:hAnsi="宋体" w:cs="宋体"/>
                <w:b/>
                <w:bCs/>
                <w:color w:val="auto"/>
                <w:szCs w:val="21"/>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1AB08898">
            <w:pPr>
              <w:spacing w:line="400" w:lineRule="exact"/>
              <w:jc w:val="center"/>
              <w:rPr>
                <w:rFonts w:ascii="宋体" w:hAnsi="宋体" w:cs="宋体"/>
                <w:b/>
                <w:color w:val="auto"/>
                <w:szCs w:val="21"/>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1DE14BC1">
            <w:pPr>
              <w:spacing w:line="400" w:lineRule="exact"/>
              <w:jc w:val="center"/>
              <w:rPr>
                <w:rFonts w:ascii="宋体" w:hAnsi="宋体" w:cs="宋体"/>
                <w:b/>
                <w:color w:val="auto"/>
                <w:szCs w:val="21"/>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28EDC1FC">
            <w:pPr>
              <w:spacing w:line="400" w:lineRule="exact"/>
              <w:jc w:val="center"/>
              <w:rPr>
                <w:rFonts w:ascii="宋体" w:hAnsi="宋体" w:cs="宋体"/>
                <w:b/>
                <w:bCs/>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13974379">
            <w:pPr>
              <w:spacing w:line="400" w:lineRule="exact"/>
              <w:jc w:val="center"/>
              <w:rPr>
                <w:rFonts w:ascii="宋体" w:hAnsi="宋体" w:cs="宋体"/>
                <w:b/>
                <w:bCs/>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A9B12A9">
            <w:pPr>
              <w:spacing w:line="400" w:lineRule="exact"/>
              <w:jc w:val="center"/>
              <w:rPr>
                <w:rFonts w:ascii="宋体" w:hAnsi="宋体" w:cs="宋体"/>
                <w:b/>
                <w:bCs/>
                <w:color w:val="auto"/>
                <w:szCs w:val="21"/>
                <w:highlight w:val="none"/>
              </w:rPr>
            </w:pPr>
          </w:p>
        </w:tc>
      </w:tr>
    </w:tbl>
    <w:p w14:paraId="2EE68595">
      <w:pPr>
        <w:spacing w:line="400" w:lineRule="exact"/>
        <w:rPr>
          <w:rFonts w:ascii="宋体" w:hAnsi="宋体" w:cs="宋体"/>
          <w:b/>
          <w:color w:val="auto"/>
          <w:szCs w:val="21"/>
          <w:highlight w:val="none"/>
        </w:rPr>
      </w:pPr>
    </w:p>
    <w:p w14:paraId="692A5AEA">
      <w:pPr>
        <w:spacing w:line="400" w:lineRule="exact"/>
        <w:rPr>
          <w:rFonts w:ascii="宋体" w:hAnsi="宋体" w:cs="宋体"/>
          <w:b/>
          <w:color w:val="auto"/>
          <w:szCs w:val="21"/>
          <w:highlight w:val="none"/>
        </w:rPr>
      </w:pPr>
      <w:r>
        <w:rPr>
          <w:rFonts w:hint="eastAsia" w:ascii="宋体" w:hAnsi="宋体" w:cs="宋体"/>
          <w:b/>
          <w:color w:val="auto"/>
          <w:szCs w:val="21"/>
          <w:highlight w:val="none"/>
        </w:rPr>
        <w:t>附件2：本设备易损零配件的价格表</w:t>
      </w:r>
    </w:p>
    <w:tbl>
      <w:tblPr>
        <w:tblStyle w:val="47"/>
        <w:tblW w:w="9782"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7"/>
        <w:gridCol w:w="1701"/>
        <w:gridCol w:w="709"/>
        <w:gridCol w:w="2410"/>
        <w:gridCol w:w="425"/>
        <w:gridCol w:w="425"/>
        <w:gridCol w:w="851"/>
        <w:gridCol w:w="1134"/>
      </w:tblGrid>
      <w:tr w14:paraId="15E666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2127" w:type="dxa"/>
            <w:tcBorders>
              <w:top w:val="single" w:color="auto" w:sz="4" w:space="0"/>
              <w:left w:val="single" w:color="auto" w:sz="4" w:space="0"/>
              <w:bottom w:val="single" w:color="auto" w:sz="4" w:space="0"/>
              <w:right w:val="single" w:color="auto" w:sz="4" w:space="0"/>
            </w:tcBorders>
            <w:vAlign w:val="center"/>
          </w:tcPr>
          <w:p w14:paraId="721CEF7D">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易损配件名称</w:t>
            </w:r>
          </w:p>
        </w:tc>
        <w:tc>
          <w:tcPr>
            <w:tcW w:w="1701" w:type="dxa"/>
            <w:tcBorders>
              <w:top w:val="single" w:color="auto" w:sz="4" w:space="0"/>
              <w:left w:val="single" w:color="auto" w:sz="4" w:space="0"/>
              <w:bottom w:val="single" w:color="auto" w:sz="4" w:space="0"/>
              <w:right w:val="single" w:color="auto" w:sz="4" w:space="0"/>
            </w:tcBorders>
            <w:vAlign w:val="center"/>
          </w:tcPr>
          <w:p w14:paraId="59C60A2C">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产品注册证号</w:t>
            </w:r>
          </w:p>
        </w:tc>
        <w:tc>
          <w:tcPr>
            <w:tcW w:w="709" w:type="dxa"/>
            <w:tcBorders>
              <w:top w:val="single" w:color="auto" w:sz="4" w:space="0"/>
              <w:left w:val="single" w:color="auto" w:sz="4" w:space="0"/>
              <w:bottom w:val="single" w:color="auto" w:sz="4" w:space="0"/>
              <w:right w:val="single" w:color="auto" w:sz="4" w:space="0"/>
            </w:tcBorders>
            <w:vAlign w:val="center"/>
          </w:tcPr>
          <w:p w14:paraId="2DB976FD">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型号</w:t>
            </w:r>
          </w:p>
          <w:p w14:paraId="74A6A698">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规格</w:t>
            </w:r>
          </w:p>
        </w:tc>
        <w:tc>
          <w:tcPr>
            <w:tcW w:w="2410" w:type="dxa"/>
            <w:tcBorders>
              <w:top w:val="single" w:color="auto" w:sz="4" w:space="0"/>
              <w:left w:val="single" w:color="auto" w:sz="4" w:space="0"/>
              <w:bottom w:val="single" w:color="auto" w:sz="4" w:space="0"/>
              <w:right w:val="single" w:color="auto" w:sz="4" w:space="0"/>
            </w:tcBorders>
            <w:vAlign w:val="center"/>
          </w:tcPr>
          <w:p w14:paraId="7C3E60C4">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生产厂家及品牌</w:t>
            </w:r>
          </w:p>
        </w:tc>
        <w:tc>
          <w:tcPr>
            <w:tcW w:w="425" w:type="dxa"/>
            <w:tcBorders>
              <w:top w:val="single" w:color="auto" w:sz="4" w:space="0"/>
              <w:left w:val="single" w:color="auto" w:sz="4" w:space="0"/>
              <w:bottom w:val="single" w:color="auto" w:sz="4" w:space="0"/>
              <w:right w:val="single" w:color="auto" w:sz="4" w:space="0"/>
            </w:tcBorders>
            <w:vAlign w:val="center"/>
          </w:tcPr>
          <w:p w14:paraId="418E79A3">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单位</w:t>
            </w:r>
          </w:p>
        </w:tc>
        <w:tc>
          <w:tcPr>
            <w:tcW w:w="425" w:type="dxa"/>
            <w:tcBorders>
              <w:top w:val="single" w:color="auto" w:sz="4" w:space="0"/>
              <w:left w:val="single" w:color="auto" w:sz="4" w:space="0"/>
              <w:bottom w:val="single" w:color="auto" w:sz="4" w:space="0"/>
              <w:right w:val="single" w:color="auto" w:sz="4" w:space="0"/>
            </w:tcBorders>
            <w:vAlign w:val="center"/>
          </w:tcPr>
          <w:p w14:paraId="62612650">
            <w:pPr>
              <w:pStyle w:val="33"/>
              <w:pBdr>
                <w:bottom w:val="none" w:color="auto" w:sz="0" w:space="0"/>
              </w:pBdr>
              <w:tabs>
                <w:tab w:val="left" w:pos="420"/>
                <w:tab w:val="center" w:pos="4153"/>
                <w:tab w:val="right" w:pos="8306"/>
                <w:tab w:val="clear" w:pos="0"/>
              </w:tabs>
              <w:snapToGrid/>
              <w:spacing w:line="400" w:lineRule="exact"/>
              <w:rPr>
                <w:rFonts w:ascii="宋体" w:hAnsi="宋体" w:cs="宋体"/>
                <w:b/>
                <w:color w:val="auto"/>
                <w:sz w:val="21"/>
                <w:szCs w:val="21"/>
                <w:highlight w:val="none"/>
              </w:rPr>
            </w:pPr>
            <w:r>
              <w:rPr>
                <w:rFonts w:hint="eastAsia" w:ascii="宋体" w:hAnsi="宋体" w:cs="宋体"/>
                <w:b/>
                <w:color w:val="auto"/>
                <w:sz w:val="21"/>
                <w:szCs w:val="21"/>
                <w:highlight w:val="none"/>
              </w:rPr>
              <w:t>数量</w:t>
            </w:r>
          </w:p>
        </w:tc>
        <w:tc>
          <w:tcPr>
            <w:tcW w:w="851" w:type="dxa"/>
            <w:tcBorders>
              <w:top w:val="single" w:color="auto" w:sz="4" w:space="0"/>
              <w:left w:val="single" w:color="auto" w:sz="4" w:space="0"/>
              <w:bottom w:val="single" w:color="auto" w:sz="4" w:space="0"/>
              <w:right w:val="single" w:color="auto" w:sz="4" w:space="0"/>
            </w:tcBorders>
            <w:vAlign w:val="center"/>
          </w:tcPr>
          <w:p w14:paraId="410EE55D">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单价</w:t>
            </w:r>
          </w:p>
          <w:p w14:paraId="45CA3638">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（元）</w:t>
            </w:r>
          </w:p>
        </w:tc>
        <w:tc>
          <w:tcPr>
            <w:tcW w:w="1134" w:type="dxa"/>
            <w:tcBorders>
              <w:top w:val="single" w:color="auto" w:sz="4" w:space="0"/>
              <w:left w:val="single" w:color="auto" w:sz="4" w:space="0"/>
              <w:bottom w:val="single" w:color="auto" w:sz="4" w:space="0"/>
              <w:right w:val="single" w:color="auto" w:sz="4" w:space="0"/>
            </w:tcBorders>
            <w:vAlign w:val="center"/>
          </w:tcPr>
          <w:p w14:paraId="224EB645">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总价（元）</w:t>
            </w:r>
          </w:p>
        </w:tc>
      </w:tr>
      <w:tr w14:paraId="1EB872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4" w:hRule="atLeast"/>
        </w:trPr>
        <w:tc>
          <w:tcPr>
            <w:tcW w:w="2127" w:type="dxa"/>
            <w:tcBorders>
              <w:top w:val="single" w:color="auto" w:sz="4" w:space="0"/>
              <w:left w:val="single" w:color="auto" w:sz="4" w:space="0"/>
              <w:bottom w:val="single" w:color="auto" w:sz="4" w:space="0"/>
              <w:right w:val="single" w:color="auto" w:sz="4" w:space="0"/>
            </w:tcBorders>
            <w:vAlign w:val="center"/>
          </w:tcPr>
          <w:p w14:paraId="2B4D49F8">
            <w:pPr>
              <w:spacing w:line="400" w:lineRule="exact"/>
              <w:jc w:val="center"/>
              <w:rPr>
                <w:rFonts w:ascii="宋体" w:hAnsi="宋体" w:cs="宋体"/>
                <w:b/>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11A7BF4">
            <w:pPr>
              <w:spacing w:line="400" w:lineRule="exact"/>
              <w:jc w:val="center"/>
              <w:rPr>
                <w:rFonts w:ascii="宋体" w:hAnsi="宋体" w:cs="宋体"/>
                <w:b/>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4F8E4630">
            <w:pPr>
              <w:spacing w:line="400" w:lineRule="exact"/>
              <w:jc w:val="center"/>
              <w:rPr>
                <w:rFonts w:ascii="宋体" w:hAnsi="宋体" w:cs="宋体"/>
                <w:b/>
                <w:bCs/>
                <w:color w:val="auto"/>
                <w:szCs w:val="21"/>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049843B9">
            <w:pPr>
              <w:spacing w:line="400" w:lineRule="exact"/>
              <w:jc w:val="center"/>
              <w:rPr>
                <w:rFonts w:ascii="宋体" w:hAnsi="宋体" w:cs="宋体"/>
                <w:b/>
                <w:color w:val="auto"/>
                <w:szCs w:val="21"/>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5FDF9471">
            <w:pPr>
              <w:spacing w:line="400" w:lineRule="exact"/>
              <w:jc w:val="center"/>
              <w:rPr>
                <w:rFonts w:ascii="宋体" w:hAnsi="宋体" w:cs="宋体"/>
                <w:b/>
                <w:color w:val="auto"/>
                <w:szCs w:val="21"/>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1ED4C57F">
            <w:pPr>
              <w:spacing w:line="400" w:lineRule="exact"/>
              <w:jc w:val="center"/>
              <w:rPr>
                <w:rFonts w:ascii="宋体" w:hAnsi="宋体" w:cs="宋体"/>
                <w:b/>
                <w:bCs/>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36CAFB11">
            <w:pPr>
              <w:spacing w:line="400" w:lineRule="exact"/>
              <w:jc w:val="center"/>
              <w:rPr>
                <w:rFonts w:ascii="宋体" w:hAnsi="宋体" w:cs="宋体"/>
                <w:b/>
                <w:bCs/>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D67440B">
            <w:pPr>
              <w:spacing w:line="400" w:lineRule="exact"/>
              <w:jc w:val="center"/>
              <w:rPr>
                <w:rFonts w:ascii="宋体" w:hAnsi="宋体" w:cs="宋体"/>
                <w:b/>
                <w:bCs/>
                <w:color w:val="auto"/>
                <w:szCs w:val="21"/>
                <w:highlight w:val="none"/>
              </w:rPr>
            </w:pPr>
          </w:p>
        </w:tc>
      </w:tr>
    </w:tbl>
    <w:p w14:paraId="62CC4C2E">
      <w:pPr>
        <w:spacing w:line="400" w:lineRule="exact"/>
        <w:rPr>
          <w:rFonts w:ascii="宋体" w:hAnsi="宋体" w:cs="宋体"/>
          <w:b/>
          <w:color w:val="auto"/>
          <w:szCs w:val="21"/>
          <w:highlight w:val="none"/>
        </w:rPr>
      </w:pPr>
    </w:p>
    <w:p w14:paraId="120A5B0F">
      <w:pPr>
        <w:spacing w:line="400" w:lineRule="exact"/>
        <w:rPr>
          <w:rFonts w:ascii="宋体" w:hAnsi="宋体" w:cs="宋体"/>
          <w:b/>
          <w:color w:val="auto"/>
          <w:szCs w:val="21"/>
          <w:highlight w:val="none"/>
        </w:rPr>
      </w:pPr>
    </w:p>
    <w:p w14:paraId="6F85B144">
      <w:pPr>
        <w:spacing w:line="400" w:lineRule="exact"/>
        <w:rPr>
          <w:rFonts w:ascii="宋体" w:hAnsi="宋体" w:cs="宋体"/>
          <w:b/>
          <w:color w:val="auto"/>
          <w:szCs w:val="21"/>
          <w:highlight w:val="none"/>
        </w:rPr>
      </w:pPr>
    </w:p>
    <w:p w14:paraId="2A1CD244">
      <w:pPr>
        <w:spacing w:line="400" w:lineRule="exact"/>
        <w:rPr>
          <w:rFonts w:ascii="宋体" w:hAnsi="宋体" w:cs="宋体"/>
          <w:b/>
          <w:color w:val="auto"/>
          <w:szCs w:val="21"/>
          <w:highlight w:val="none"/>
        </w:rPr>
      </w:pPr>
      <w:r>
        <w:rPr>
          <w:rFonts w:hint="eastAsia" w:ascii="宋体" w:hAnsi="宋体" w:cs="宋体"/>
          <w:b/>
          <w:color w:val="auto"/>
          <w:szCs w:val="21"/>
          <w:highlight w:val="none"/>
        </w:rPr>
        <w:t>附件3：本设备（系统）配置清单</w:t>
      </w:r>
    </w:p>
    <w:tbl>
      <w:tblPr>
        <w:tblStyle w:val="47"/>
        <w:tblW w:w="9756"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418"/>
        <w:gridCol w:w="2977"/>
        <w:gridCol w:w="850"/>
        <w:gridCol w:w="992"/>
        <w:gridCol w:w="1708"/>
        <w:gridCol w:w="960"/>
      </w:tblGrid>
      <w:tr w14:paraId="636D69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8" w:hRule="atLeast"/>
        </w:trPr>
        <w:tc>
          <w:tcPr>
            <w:tcW w:w="851" w:type="dxa"/>
            <w:tcBorders>
              <w:top w:val="single" w:color="auto" w:sz="4" w:space="0"/>
              <w:left w:val="single" w:color="auto" w:sz="4" w:space="0"/>
              <w:bottom w:val="single" w:color="auto" w:sz="4" w:space="0"/>
              <w:right w:val="single" w:color="auto" w:sz="4" w:space="0"/>
            </w:tcBorders>
            <w:vAlign w:val="center"/>
          </w:tcPr>
          <w:p w14:paraId="2360CE32">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418" w:type="dxa"/>
            <w:tcBorders>
              <w:top w:val="single" w:color="auto" w:sz="4" w:space="0"/>
              <w:left w:val="single" w:color="auto" w:sz="4" w:space="0"/>
              <w:bottom w:val="single" w:color="auto" w:sz="4" w:space="0"/>
              <w:right w:val="single" w:color="auto" w:sz="4" w:space="0"/>
            </w:tcBorders>
            <w:vAlign w:val="center"/>
          </w:tcPr>
          <w:p w14:paraId="74F52A43">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部件编号</w:t>
            </w:r>
          </w:p>
        </w:tc>
        <w:tc>
          <w:tcPr>
            <w:tcW w:w="2977" w:type="dxa"/>
            <w:tcBorders>
              <w:top w:val="single" w:color="auto" w:sz="4" w:space="0"/>
              <w:left w:val="single" w:color="auto" w:sz="4" w:space="0"/>
              <w:bottom w:val="single" w:color="auto" w:sz="4" w:space="0"/>
              <w:right w:val="single" w:color="auto" w:sz="4" w:space="0"/>
            </w:tcBorders>
            <w:vAlign w:val="center"/>
          </w:tcPr>
          <w:p w14:paraId="4DEF6D4D">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名称</w:t>
            </w:r>
          </w:p>
        </w:tc>
        <w:tc>
          <w:tcPr>
            <w:tcW w:w="850" w:type="dxa"/>
            <w:tcBorders>
              <w:top w:val="single" w:color="auto" w:sz="4" w:space="0"/>
              <w:left w:val="single" w:color="auto" w:sz="4" w:space="0"/>
              <w:bottom w:val="single" w:color="auto" w:sz="4" w:space="0"/>
              <w:right w:val="single" w:color="auto" w:sz="4" w:space="0"/>
            </w:tcBorders>
            <w:vAlign w:val="center"/>
          </w:tcPr>
          <w:p w14:paraId="1D6A2C2F">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单位</w:t>
            </w:r>
          </w:p>
        </w:tc>
        <w:tc>
          <w:tcPr>
            <w:tcW w:w="992" w:type="dxa"/>
            <w:tcBorders>
              <w:top w:val="single" w:color="auto" w:sz="4" w:space="0"/>
              <w:left w:val="single" w:color="auto" w:sz="4" w:space="0"/>
              <w:bottom w:val="single" w:color="auto" w:sz="4" w:space="0"/>
              <w:right w:val="single" w:color="auto" w:sz="4" w:space="0"/>
            </w:tcBorders>
            <w:vAlign w:val="center"/>
          </w:tcPr>
          <w:p w14:paraId="11E341E7">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数量</w:t>
            </w:r>
          </w:p>
        </w:tc>
        <w:tc>
          <w:tcPr>
            <w:tcW w:w="1708" w:type="dxa"/>
            <w:tcBorders>
              <w:top w:val="single" w:color="auto" w:sz="4" w:space="0"/>
              <w:left w:val="single" w:color="auto" w:sz="4" w:space="0"/>
              <w:bottom w:val="single" w:color="auto" w:sz="4" w:space="0"/>
              <w:right w:val="single" w:color="auto" w:sz="4" w:space="0"/>
            </w:tcBorders>
            <w:vAlign w:val="center"/>
          </w:tcPr>
          <w:p w14:paraId="3936CCFC">
            <w:pPr>
              <w:pStyle w:val="33"/>
              <w:pBdr>
                <w:bottom w:val="none" w:color="auto" w:sz="0" w:space="0"/>
              </w:pBdr>
              <w:tabs>
                <w:tab w:val="left" w:pos="420"/>
                <w:tab w:val="center" w:pos="4153"/>
                <w:tab w:val="right" w:pos="8306"/>
                <w:tab w:val="clear" w:pos="0"/>
              </w:tabs>
              <w:snapToGrid/>
              <w:spacing w:line="400" w:lineRule="exact"/>
              <w:rPr>
                <w:rFonts w:ascii="宋体" w:hAnsi="宋体" w:cs="宋体"/>
                <w:b/>
                <w:color w:val="auto"/>
                <w:sz w:val="21"/>
                <w:szCs w:val="21"/>
                <w:highlight w:val="none"/>
              </w:rPr>
            </w:pPr>
            <w:r>
              <w:rPr>
                <w:rFonts w:hint="eastAsia" w:ascii="宋体" w:hAnsi="宋体" w:cs="宋体"/>
                <w:b/>
                <w:color w:val="auto"/>
                <w:sz w:val="21"/>
                <w:szCs w:val="21"/>
                <w:highlight w:val="none"/>
              </w:rPr>
              <w:t>价格（元）</w:t>
            </w:r>
          </w:p>
        </w:tc>
        <w:tc>
          <w:tcPr>
            <w:tcW w:w="960" w:type="dxa"/>
            <w:tcBorders>
              <w:top w:val="single" w:color="auto" w:sz="4" w:space="0"/>
              <w:left w:val="single" w:color="auto" w:sz="4" w:space="0"/>
              <w:bottom w:val="single" w:color="auto" w:sz="4" w:space="0"/>
              <w:right w:val="single" w:color="auto" w:sz="4" w:space="0"/>
            </w:tcBorders>
            <w:vAlign w:val="center"/>
          </w:tcPr>
          <w:p w14:paraId="27C65B9E">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备注</w:t>
            </w:r>
          </w:p>
        </w:tc>
      </w:tr>
      <w:tr w14:paraId="6662B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6" w:hRule="atLeast"/>
        </w:trPr>
        <w:tc>
          <w:tcPr>
            <w:tcW w:w="851" w:type="dxa"/>
            <w:tcBorders>
              <w:top w:val="single" w:color="auto" w:sz="4" w:space="0"/>
              <w:left w:val="single" w:color="auto" w:sz="4" w:space="0"/>
              <w:bottom w:val="single" w:color="auto" w:sz="4" w:space="0"/>
              <w:right w:val="single" w:color="auto" w:sz="4" w:space="0"/>
            </w:tcBorders>
            <w:vAlign w:val="center"/>
          </w:tcPr>
          <w:p w14:paraId="569A8E2C">
            <w:pPr>
              <w:spacing w:line="400" w:lineRule="exact"/>
              <w:jc w:val="center"/>
              <w:rPr>
                <w:rFonts w:ascii="宋体" w:hAnsi="宋体" w:cs="宋体"/>
                <w:b/>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067DD5EE">
            <w:pPr>
              <w:spacing w:line="400" w:lineRule="exact"/>
              <w:jc w:val="center"/>
              <w:rPr>
                <w:rFonts w:ascii="宋体" w:hAnsi="宋体" w:cs="宋体"/>
                <w:b/>
                <w:color w:val="auto"/>
                <w:szCs w:val="21"/>
                <w:highlight w:val="none"/>
              </w:rPr>
            </w:pPr>
          </w:p>
        </w:tc>
        <w:tc>
          <w:tcPr>
            <w:tcW w:w="2977" w:type="dxa"/>
            <w:tcBorders>
              <w:top w:val="single" w:color="auto" w:sz="4" w:space="0"/>
              <w:left w:val="single" w:color="auto" w:sz="4" w:space="0"/>
              <w:bottom w:val="single" w:color="auto" w:sz="4" w:space="0"/>
              <w:right w:val="single" w:color="auto" w:sz="4" w:space="0"/>
            </w:tcBorders>
            <w:vAlign w:val="center"/>
          </w:tcPr>
          <w:p w14:paraId="39A3DB05">
            <w:pPr>
              <w:jc w:val="center"/>
              <w:rPr>
                <w:b/>
                <w:bCs/>
              </w:rPr>
            </w:pPr>
            <w:r>
              <w:rPr>
                <w:rFonts w:hint="eastAsia"/>
                <w:b/>
                <w:bCs/>
              </w:rPr>
              <w:t>必须填写完整</w:t>
            </w:r>
          </w:p>
        </w:tc>
        <w:tc>
          <w:tcPr>
            <w:tcW w:w="850" w:type="dxa"/>
            <w:tcBorders>
              <w:top w:val="single" w:color="auto" w:sz="4" w:space="0"/>
              <w:left w:val="single" w:color="auto" w:sz="4" w:space="0"/>
              <w:bottom w:val="single" w:color="auto" w:sz="4" w:space="0"/>
              <w:right w:val="single" w:color="auto" w:sz="4" w:space="0"/>
            </w:tcBorders>
            <w:vAlign w:val="center"/>
          </w:tcPr>
          <w:p w14:paraId="6AD7BF9D">
            <w:pPr>
              <w:spacing w:line="400" w:lineRule="exact"/>
              <w:jc w:val="center"/>
              <w:rPr>
                <w:rFonts w:ascii="宋体" w:hAnsi="宋体" w:cs="宋体"/>
                <w:b/>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4E67D0EF">
            <w:pPr>
              <w:spacing w:line="400" w:lineRule="exact"/>
              <w:jc w:val="center"/>
              <w:rPr>
                <w:rFonts w:ascii="宋体" w:hAnsi="宋体" w:cs="宋体"/>
                <w:b/>
                <w:color w:val="auto"/>
                <w:szCs w:val="21"/>
                <w:highlight w:val="none"/>
              </w:rPr>
            </w:pPr>
          </w:p>
        </w:tc>
        <w:tc>
          <w:tcPr>
            <w:tcW w:w="1708" w:type="dxa"/>
            <w:tcBorders>
              <w:top w:val="single" w:color="auto" w:sz="4" w:space="0"/>
              <w:left w:val="single" w:color="auto" w:sz="4" w:space="0"/>
              <w:bottom w:val="single" w:color="auto" w:sz="4" w:space="0"/>
              <w:right w:val="single" w:color="auto" w:sz="4" w:space="0"/>
            </w:tcBorders>
            <w:vAlign w:val="center"/>
          </w:tcPr>
          <w:p w14:paraId="7AB27B38">
            <w:pPr>
              <w:spacing w:line="400" w:lineRule="exact"/>
              <w:jc w:val="center"/>
              <w:rPr>
                <w:rFonts w:ascii="宋体" w:hAnsi="宋体" w:cs="宋体"/>
                <w:b/>
                <w:bCs/>
                <w:color w:val="auto"/>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14:paraId="7769F305">
            <w:pPr>
              <w:spacing w:line="400" w:lineRule="exact"/>
              <w:jc w:val="center"/>
              <w:rPr>
                <w:rFonts w:ascii="宋体" w:hAnsi="宋体" w:cs="宋体"/>
                <w:b/>
                <w:bCs/>
                <w:color w:val="auto"/>
                <w:szCs w:val="21"/>
                <w:highlight w:val="none"/>
              </w:rPr>
            </w:pPr>
          </w:p>
        </w:tc>
      </w:tr>
      <w:tr w14:paraId="65E3CD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6" w:hRule="atLeast"/>
        </w:trPr>
        <w:tc>
          <w:tcPr>
            <w:tcW w:w="851" w:type="dxa"/>
            <w:tcBorders>
              <w:top w:val="single" w:color="auto" w:sz="4" w:space="0"/>
              <w:left w:val="single" w:color="auto" w:sz="4" w:space="0"/>
              <w:bottom w:val="single" w:color="auto" w:sz="4" w:space="0"/>
              <w:right w:val="single" w:color="auto" w:sz="4" w:space="0"/>
            </w:tcBorders>
            <w:vAlign w:val="center"/>
          </w:tcPr>
          <w:p w14:paraId="4FB1C3F5">
            <w:pPr>
              <w:spacing w:line="400" w:lineRule="exact"/>
              <w:jc w:val="center"/>
              <w:rPr>
                <w:rFonts w:ascii="宋体" w:hAnsi="宋体" w:cs="宋体"/>
                <w:b/>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37FC9738">
            <w:pPr>
              <w:spacing w:line="400" w:lineRule="exact"/>
              <w:jc w:val="center"/>
              <w:rPr>
                <w:rFonts w:ascii="宋体" w:hAnsi="宋体" w:cs="宋体"/>
                <w:b/>
                <w:color w:val="auto"/>
                <w:szCs w:val="21"/>
                <w:highlight w:val="none"/>
              </w:rPr>
            </w:pPr>
          </w:p>
        </w:tc>
        <w:tc>
          <w:tcPr>
            <w:tcW w:w="2977" w:type="dxa"/>
            <w:tcBorders>
              <w:top w:val="single" w:color="auto" w:sz="4" w:space="0"/>
              <w:left w:val="single" w:color="auto" w:sz="4" w:space="0"/>
              <w:bottom w:val="single" w:color="auto" w:sz="4" w:space="0"/>
              <w:right w:val="single" w:color="auto" w:sz="4" w:space="0"/>
            </w:tcBorders>
            <w:vAlign w:val="center"/>
          </w:tcPr>
          <w:p w14:paraId="293DDE8B">
            <w:pPr>
              <w:jc w:val="center"/>
              <w:rPr>
                <w:b/>
                <w:bCs/>
              </w:rPr>
            </w:pPr>
            <w:r>
              <w:rPr>
                <w:rFonts w:hint="eastAsia"/>
                <w:b/>
                <w:bCs/>
              </w:rPr>
              <w:t>必须填写完整</w:t>
            </w:r>
          </w:p>
        </w:tc>
        <w:tc>
          <w:tcPr>
            <w:tcW w:w="850" w:type="dxa"/>
            <w:tcBorders>
              <w:top w:val="single" w:color="auto" w:sz="4" w:space="0"/>
              <w:left w:val="single" w:color="auto" w:sz="4" w:space="0"/>
              <w:bottom w:val="single" w:color="auto" w:sz="4" w:space="0"/>
              <w:right w:val="single" w:color="auto" w:sz="4" w:space="0"/>
            </w:tcBorders>
            <w:vAlign w:val="center"/>
          </w:tcPr>
          <w:p w14:paraId="274C8607">
            <w:pPr>
              <w:spacing w:line="400" w:lineRule="exact"/>
              <w:jc w:val="center"/>
              <w:rPr>
                <w:rFonts w:ascii="宋体" w:hAnsi="宋体" w:cs="宋体"/>
                <w:b/>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417C54AA">
            <w:pPr>
              <w:spacing w:line="400" w:lineRule="exact"/>
              <w:jc w:val="center"/>
              <w:rPr>
                <w:rFonts w:ascii="宋体" w:hAnsi="宋体" w:cs="宋体"/>
                <w:b/>
                <w:color w:val="auto"/>
                <w:szCs w:val="21"/>
                <w:highlight w:val="none"/>
              </w:rPr>
            </w:pPr>
          </w:p>
        </w:tc>
        <w:tc>
          <w:tcPr>
            <w:tcW w:w="1708" w:type="dxa"/>
            <w:tcBorders>
              <w:top w:val="single" w:color="auto" w:sz="4" w:space="0"/>
              <w:left w:val="single" w:color="auto" w:sz="4" w:space="0"/>
              <w:bottom w:val="single" w:color="auto" w:sz="4" w:space="0"/>
              <w:right w:val="single" w:color="auto" w:sz="4" w:space="0"/>
            </w:tcBorders>
            <w:vAlign w:val="center"/>
          </w:tcPr>
          <w:p w14:paraId="018548B3">
            <w:pPr>
              <w:spacing w:line="400" w:lineRule="exact"/>
              <w:jc w:val="center"/>
              <w:rPr>
                <w:rFonts w:ascii="宋体" w:hAnsi="宋体" w:cs="宋体"/>
                <w:b/>
                <w:bCs/>
                <w:color w:val="auto"/>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14:paraId="62F6BB55">
            <w:pPr>
              <w:spacing w:line="400" w:lineRule="exact"/>
              <w:jc w:val="center"/>
              <w:rPr>
                <w:rFonts w:ascii="宋体" w:hAnsi="宋体" w:cs="宋体"/>
                <w:b/>
                <w:bCs/>
                <w:color w:val="auto"/>
                <w:szCs w:val="21"/>
                <w:highlight w:val="none"/>
              </w:rPr>
            </w:pPr>
          </w:p>
        </w:tc>
      </w:tr>
      <w:tr w14:paraId="5DE5A5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6" w:hRule="atLeast"/>
        </w:trPr>
        <w:tc>
          <w:tcPr>
            <w:tcW w:w="851" w:type="dxa"/>
            <w:tcBorders>
              <w:top w:val="single" w:color="auto" w:sz="4" w:space="0"/>
              <w:left w:val="single" w:color="auto" w:sz="4" w:space="0"/>
              <w:bottom w:val="single" w:color="auto" w:sz="4" w:space="0"/>
              <w:right w:val="single" w:color="auto" w:sz="4" w:space="0"/>
            </w:tcBorders>
            <w:vAlign w:val="center"/>
          </w:tcPr>
          <w:p w14:paraId="22CC82DA">
            <w:pPr>
              <w:spacing w:line="400" w:lineRule="exact"/>
              <w:jc w:val="center"/>
              <w:rPr>
                <w:rFonts w:ascii="宋体" w:hAnsi="宋体" w:cs="宋体"/>
                <w:b/>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24D9874E">
            <w:pPr>
              <w:spacing w:line="400" w:lineRule="exact"/>
              <w:jc w:val="center"/>
              <w:rPr>
                <w:rFonts w:ascii="宋体" w:hAnsi="宋体" w:cs="宋体"/>
                <w:b/>
                <w:color w:val="auto"/>
                <w:szCs w:val="21"/>
                <w:highlight w:val="none"/>
              </w:rPr>
            </w:pPr>
          </w:p>
        </w:tc>
        <w:tc>
          <w:tcPr>
            <w:tcW w:w="2977" w:type="dxa"/>
            <w:tcBorders>
              <w:top w:val="single" w:color="auto" w:sz="4" w:space="0"/>
              <w:left w:val="single" w:color="auto" w:sz="4" w:space="0"/>
              <w:bottom w:val="single" w:color="auto" w:sz="4" w:space="0"/>
              <w:right w:val="single" w:color="auto" w:sz="4" w:space="0"/>
            </w:tcBorders>
            <w:vAlign w:val="center"/>
          </w:tcPr>
          <w:p w14:paraId="369FD961">
            <w:pPr>
              <w:jc w:val="center"/>
              <w:rPr>
                <w:b/>
                <w:bCs/>
              </w:rPr>
            </w:pPr>
            <w:r>
              <w:rPr>
                <w:rFonts w:hint="eastAsia"/>
                <w:b/>
                <w:bCs/>
              </w:rPr>
              <w:t>必须填写完整</w:t>
            </w:r>
          </w:p>
        </w:tc>
        <w:tc>
          <w:tcPr>
            <w:tcW w:w="850" w:type="dxa"/>
            <w:tcBorders>
              <w:top w:val="single" w:color="auto" w:sz="4" w:space="0"/>
              <w:left w:val="single" w:color="auto" w:sz="4" w:space="0"/>
              <w:bottom w:val="single" w:color="auto" w:sz="4" w:space="0"/>
              <w:right w:val="single" w:color="auto" w:sz="4" w:space="0"/>
            </w:tcBorders>
            <w:vAlign w:val="center"/>
          </w:tcPr>
          <w:p w14:paraId="629A7ED0">
            <w:pPr>
              <w:spacing w:line="400" w:lineRule="exact"/>
              <w:jc w:val="center"/>
              <w:rPr>
                <w:rFonts w:ascii="宋体" w:hAnsi="宋体" w:cs="宋体"/>
                <w:b/>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7B3CE75C">
            <w:pPr>
              <w:spacing w:line="400" w:lineRule="exact"/>
              <w:jc w:val="center"/>
              <w:rPr>
                <w:rFonts w:ascii="宋体" w:hAnsi="宋体" w:cs="宋体"/>
                <w:b/>
                <w:color w:val="auto"/>
                <w:szCs w:val="21"/>
                <w:highlight w:val="none"/>
              </w:rPr>
            </w:pPr>
          </w:p>
        </w:tc>
        <w:tc>
          <w:tcPr>
            <w:tcW w:w="1708" w:type="dxa"/>
            <w:tcBorders>
              <w:top w:val="single" w:color="auto" w:sz="4" w:space="0"/>
              <w:left w:val="single" w:color="auto" w:sz="4" w:space="0"/>
              <w:bottom w:val="single" w:color="auto" w:sz="4" w:space="0"/>
              <w:right w:val="single" w:color="auto" w:sz="4" w:space="0"/>
            </w:tcBorders>
            <w:vAlign w:val="center"/>
          </w:tcPr>
          <w:p w14:paraId="08A0494F">
            <w:pPr>
              <w:spacing w:line="400" w:lineRule="exact"/>
              <w:jc w:val="center"/>
              <w:rPr>
                <w:rFonts w:ascii="宋体" w:hAnsi="宋体" w:cs="宋体"/>
                <w:b/>
                <w:bCs/>
                <w:color w:val="auto"/>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14:paraId="03B7147C">
            <w:pPr>
              <w:spacing w:line="400" w:lineRule="exact"/>
              <w:jc w:val="center"/>
              <w:rPr>
                <w:rFonts w:ascii="宋体" w:hAnsi="宋体" w:cs="宋体"/>
                <w:b/>
                <w:bCs/>
                <w:color w:val="auto"/>
                <w:szCs w:val="21"/>
                <w:highlight w:val="none"/>
              </w:rPr>
            </w:pPr>
          </w:p>
        </w:tc>
      </w:tr>
      <w:tr w14:paraId="553B8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6" w:hRule="atLeast"/>
        </w:trPr>
        <w:tc>
          <w:tcPr>
            <w:tcW w:w="851" w:type="dxa"/>
            <w:tcBorders>
              <w:top w:val="single" w:color="auto" w:sz="4" w:space="0"/>
              <w:left w:val="single" w:color="auto" w:sz="4" w:space="0"/>
              <w:bottom w:val="single" w:color="auto" w:sz="4" w:space="0"/>
              <w:right w:val="single" w:color="auto" w:sz="4" w:space="0"/>
            </w:tcBorders>
            <w:vAlign w:val="center"/>
          </w:tcPr>
          <w:p w14:paraId="0AD6842A">
            <w:pPr>
              <w:spacing w:line="400" w:lineRule="exact"/>
              <w:jc w:val="center"/>
              <w:rPr>
                <w:rFonts w:ascii="宋体" w:hAnsi="宋体" w:cs="宋体"/>
                <w:b/>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7B692763">
            <w:pPr>
              <w:spacing w:line="400" w:lineRule="exact"/>
              <w:jc w:val="center"/>
              <w:rPr>
                <w:rFonts w:ascii="宋体" w:hAnsi="宋体" w:cs="宋体"/>
                <w:b/>
                <w:color w:val="auto"/>
                <w:szCs w:val="21"/>
                <w:highlight w:val="none"/>
              </w:rPr>
            </w:pPr>
          </w:p>
        </w:tc>
        <w:tc>
          <w:tcPr>
            <w:tcW w:w="2977" w:type="dxa"/>
            <w:tcBorders>
              <w:top w:val="single" w:color="auto" w:sz="4" w:space="0"/>
              <w:left w:val="single" w:color="auto" w:sz="4" w:space="0"/>
              <w:bottom w:val="single" w:color="auto" w:sz="4" w:space="0"/>
              <w:right w:val="single" w:color="auto" w:sz="4" w:space="0"/>
            </w:tcBorders>
            <w:vAlign w:val="center"/>
          </w:tcPr>
          <w:p w14:paraId="6E2D1BA9">
            <w:pPr>
              <w:jc w:val="center"/>
              <w:rPr>
                <w:b/>
                <w:bCs/>
              </w:rPr>
            </w:pPr>
            <w:r>
              <w:rPr>
                <w:rFonts w:hint="eastAsia"/>
                <w:b/>
                <w:bCs/>
              </w:rPr>
              <w:t>必须填写完整</w:t>
            </w:r>
          </w:p>
        </w:tc>
        <w:tc>
          <w:tcPr>
            <w:tcW w:w="850" w:type="dxa"/>
            <w:tcBorders>
              <w:top w:val="single" w:color="auto" w:sz="4" w:space="0"/>
              <w:left w:val="single" w:color="auto" w:sz="4" w:space="0"/>
              <w:bottom w:val="single" w:color="auto" w:sz="4" w:space="0"/>
              <w:right w:val="single" w:color="auto" w:sz="4" w:space="0"/>
            </w:tcBorders>
            <w:vAlign w:val="center"/>
          </w:tcPr>
          <w:p w14:paraId="548CD6F1">
            <w:pPr>
              <w:spacing w:line="400" w:lineRule="exact"/>
              <w:jc w:val="center"/>
              <w:rPr>
                <w:rFonts w:ascii="宋体" w:hAnsi="宋体" w:cs="宋体"/>
                <w:b/>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61878582">
            <w:pPr>
              <w:spacing w:line="400" w:lineRule="exact"/>
              <w:jc w:val="center"/>
              <w:rPr>
                <w:rFonts w:ascii="宋体" w:hAnsi="宋体" w:cs="宋体"/>
                <w:b/>
                <w:color w:val="auto"/>
                <w:szCs w:val="21"/>
                <w:highlight w:val="none"/>
              </w:rPr>
            </w:pPr>
          </w:p>
        </w:tc>
        <w:tc>
          <w:tcPr>
            <w:tcW w:w="1708" w:type="dxa"/>
            <w:tcBorders>
              <w:top w:val="single" w:color="auto" w:sz="4" w:space="0"/>
              <w:left w:val="single" w:color="auto" w:sz="4" w:space="0"/>
              <w:bottom w:val="single" w:color="auto" w:sz="4" w:space="0"/>
              <w:right w:val="single" w:color="auto" w:sz="4" w:space="0"/>
            </w:tcBorders>
            <w:vAlign w:val="center"/>
          </w:tcPr>
          <w:p w14:paraId="78552B2C">
            <w:pPr>
              <w:spacing w:line="400" w:lineRule="exact"/>
              <w:jc w:val="center"/>
              <w:rPr>
                <w:rFonts w:ascii="宋体" w:hAnsi="宋体" w:cs="宋体"/>
                <w:b/>
                <w:bCs/>
                <w:color w:val="auto"/>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14:paraId="06FD58E5">
            <w:pPr>
              <w:spacing w:line="400" w:lineRule="exact"/>
              <w:jc w:val="center"/>
              <w:rPr>
                <w:rFonts w:ascii="宋体" w:hAnsi="宋体" w:cs="宋体"/>
                <w:b/>
                <w:bCs/>
                <w:color w:val="auto"/>
                <w:szCs w:val="21"/>
                <w:highlight w:val="none"/>
              </w:rPr>
            </w:pPr>
          </w:p>
        </w:tc>
      </w:tr>
      <w:tr w14:paraId="481F35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6" w:hRule="atLeast"/>
        </w:trPr>
        <w:tc>
          <w:tcPr>
            <w:tcW w:w="851" w:type="dxa"/>
            <w:tcBorders>
              <w:top w:val="single" w:color="auto" w:sz="4" w:space="0"/>
              <w:left w:val="single" w:color="auto" w:sz="4" w:space="0"/>
              <w:bottom w:val="single" w:color="auto" w:sz="4" w:space="0"/>
              <w:right w:val="single" w:color="auto" w:sz="4" w:space="0"/>
            </w:tcBorders>
            <w:vAlign w:val="center"/>
          </w:tcPr>
          <w:p w14:paraId="159CB09C">
            <w:pPr>
              <w:spacing w:line="400" w:lineRule="exact"/>
              <w:jc w:val="center"/>
              <w:rPr>
                <w:rFonts w:ascii="宋体" w:hAnsi="宋体" w:cs="宋体"/>
                <w:b/>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5CA77ED5">
            <w:pPr>
              <w:wordWrap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w:t>
            </w:r>
          </w:p>
        </w:tc>
        <w:tc>
          <w:tcPr>
            <w:tcW w:w="2977" w:type="dxa"/>
            <w:tcBorders>
              <w:top w:val="single" w:color="auto" w:sz="4" w:space="0"/>
              <w:left w:val="single" w:color="auto" w:sz="4" w:space="0"/>
              <w:bottom w:val="single" w:color="auto" w:sz="4" w:space="0"/>
              <w:right w:val="single" w:color="auto" w:sz="4" w:space="0"/>
            </w:tcBorders>
            <w:vAlign w:val="center"/>
          </w:tcPr>
          <w:p w14:paraId="37864782">
            <w:pPr>
              <w:widowControl/>
              <w:wordWrap w:val="0"/>
              <w:jc w:val="center"/>
              <w:rPr>
                <w:rFonts w:ascii="宋体" w:hAnsi="宋体" w:cs="宋体"/>
                <w:b/>
                <w:bCs/>
                <w:color w:val="auto"/>
                <w:szCs w:val="21"/>
                <w:highlight w:val="none"/>
              </w:rPr>
            </w:pPr>
            <w:r>
              <w:rPr>
                <w:rFonts w:hint="eastAsia" w:ascii="宋体" w:hAnsi="宋体" w:cs="宋体"/>
                <w:color w:val="auto"/>
                <w:kern w:val="0"/>
                <w:szCs w:val="21"/>
                <w:highlight w:val="none"/>
              </w:rPr>
              <w:t>使用说明书（不能删）</w:t>
            </w:r>
          </w:p>
        </w:tc>
        <w:tc>
          <w:tcPr>
            <w:tcW w:w="850" w:type="dxa"/>
            <w:tcBorders>
              <w:top w:val="single" w:color="auto" w:sz="4" w:space="0"/>
              <w:left w:val="single" w:color="auto" w:sz="4" w:space="0"/>
              <w:bottom w:val="single" w:color="auto" w:sz="4" w:space="0"/>
              <w:right w:val="single" w:color="auto" w:sz="4" w:space="0"/>
            </w:tcBorders>
            <w:vAlign w:val="center"/>
          </w:tcPr>
          <w:p w14:paraId="1CDD16BF">
            <w:pPr>
              <w:wordWrap w:val="0"/>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套</w:t>
            </w:r>
          </w:p>
        </w:tc>
        <w:tc>
          <w:tcPr>
            <w:tcW w:w="992" w:type="dxa"/>
            <w:tcBorders>
              <w:top w:val="single" w:color="auto" w:sz="4" w:space="0"/>
              <w:left w:val="single" w:color="auto" w:sz="4" w:space="0"/>
              <w:bottom w:val="single" w:color="auto" w:sz="4" w:space="0"/>
              <w:right w:val="single" w:color="auto" w:sz="4" w:space="0"/>
            </w:tcBorders>
            <w:vAlign w:val="center"/>
          </w:tcPr>
          <w:p w14:paraId="13F6C159">
            <w:pPr>
              <w:wordWrap w:val="0"/>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1708" w:type="dxa"/>
            <w:tcBorders>
              <w:top w:val="single" w:color="auto" w:sz="4" w:space="0"/>
              <w:left w:val="single" w:color="auto" w:sz="4" w:space="0"/>
              <w:bottom w:val="single" w:color="auto" w:sz="4" w:space="0"/>
              <w:right w:val="single" w:color="auto" w:sz="4" w:space="0"/>
            </w:tcBorders>
            <w:vAlign w:val="center"/>
          </w:tcPr>
          <w:p w14:paraId="65A43FED">
            <w:pPr>
              <w:spacing w:line="400" w:lineRule="exact"/>
              <w:jc w:val="center"/>
              <w:rPr>
                <w:rFonts w:ascii="宋体" w:hAnsi="宋体" w:cs="宋体"/>
                <w:b/>
                <w:bCs/>
                <w:color w:val="auto"/>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14:paraId="107CAC32">
            <w:pPr>
              <w:spacing w:line="400" w:lineRule="exact"/>
              <w:jc w:val="center"/>
              <w:rPr>
                <w:rFonts w:ascii="宋体" w:hAnsi="宋体" w:cs="宋体"/>
                <w:b/>
                <w:bCs/>
                <w:color w:val="auto"/>
                <w:szCs w:val="21"/>
                <w:highlight w:val="none"/>
              </w:rPr>
            </w:pPr>
          </w:p>
        </w:tc>
      </w:tr>
      <w:tr w14:paraId="11052D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6" w:hRule="atLeast"/>
        </w:trPr>
        <w:tc>
          <w:tcPr>
            <w:tcW w:w="851" w:type="dxa"/>
            <w:tcBorders>
              <w:top w:val="single" w:color="auto" w:sz="4" w:space="0"/>
              <w:left w:val="single" w:color="auto" w:sz="4" w:space="0"/>
              <w:bottom w:val="single" w:color="auto" w:sz="4" w:space="0"/>
              <w:right w:val="single" w:color="auto" w:sz="4" w:space="0"/>
            </w:tcBorders>
            <w:vAlign w:val="center"/>
          </w:tcPr>
          <w:p w14:paraId="7F9EC62F">
            <w:pPr>
              <w:spacing w:line="400" w:lineRule="exact"/>
              <w:jc w:val="center"/>
              <w:rPr>
                <w:rFonts w:ascii="宋体" w:hAnsi="宋体" w:cs="宋体"/>
                <w:b/>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780632AE">
            <w:pPr>
              <w:wordWrap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w:t>
            </w:r>
          </w:p>
        </w:tc>
        <w:tc>
          <w:tcPr>
            <w:tcW w:w="2977" w:type="dxa"/>
            <w:tcBorders>
              <w:top w:val="single" w:color="auto" w:sz="4" w:space="0"/>
              <w:left w:val="single" w:color="auto" w:sz="4" w:space="0"/>
              <w:bottom w:val="single" w:color="auto" w:sz="4" w:space="0"/>
              <w:right w:val="single" w:color="auto" w:sz="4" w:space="0"/>
            </w:tcBorders>
            <w:vAlign w:val="center"/>
          </w:tcPr>
          <w:p w14:paraId="428E08C2">
            <w:pPr>
              <w:widowControl/>
              <w:wordWrap w:val="0"/>
              <w:jc w:val="center"/>
              <w:rPr>
                <w:rFonts w:ascii="宋体" w:hAnsi="宋体" w:cs="宋体"/>
                <w:b/>
                <w:bCs/>
                <w:color w:val="auto"/>
                <w:szCs w:val="21"/>
                <w:highlight w:val="none"/>
              </w:rPr>
            </w:pPr>
            <w:r>
              <w:rPr>
                <w:rFonts w:hint="eastAsia" w:ascii="宋体" w:hAnsi="宋体" w:cs="宋体"/>
                <w:color w:val="auto"/>
                <w:kern w:val="0"/>
                <w:szCs w:val="21"/>
                <w:highlight w:val="none"/>
              </w:rPr>
              <w:t>设备保修卡（不能删）</w:t>
            </w:r>
          </w:p>
        </w:tc>
        <w:tc>
          <w:tcPr>
            <w:tcW w:w="850" w:type="dxa"/>
            <w:tcBorders>
              <w:top w:val="single" w:color="auto" w:sz="4" w:space="0"/>
              <w:left w:val="single" w:color="auto" w:sz="4" w:space="0"/>
              <w:bottom w:val="single" w:color="auto" w:sz="4" w:space="0"/>
              <w:right w:val="single" w:color="auto" w:sz="4" w:space="0"/>
            </w:tcBorders>
            <w:vAlign w:val="center"/>
          </w:tcPr>
          <w:p w14:paraId="0E354220">
            <w:pPr>
              <w:wordWrap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份</w:t>
            </w:r>
          </w:p>
        </w:tc>
        <w:tc>
          <w:tcPr>
            <w:tcW w:w="992" w:type="dxa"/>
            <w:tcBorders>
              <w:top w:val="single" w:color="auto" w:sz="4" w:space="0"/>
              <w:left w:val="single" w:color="auto" w:sz="4" w:space="0"/>
              <w:bottom w:val="single" w:color="auto" w:sz="4" w:space="0"/>
              <w:right w:val="single" w:color="auto" w:sz="4" w:space="0"/>
            </w:tcBorders>
            <w:vAlign w:val="center"/>
          </w:tcPr>
          <w:p w14:paraId="1AFAA054">
            <w:pPr>
              <w:wordWrap w:val="0"/>
              <w:spacing w:line="400" w:lineRule="exact"/>
              <w:jc w:val="center"/>
              <w:rPr>
                <w:rFonts w:ascii="宋体" w:hAnsi="宋体" w:cs="宋体"/>
                <w:b/>
                <w:color w:val="auto"/>
                <w:szCs w:val="21"/>
                <w:highlight w:val="none"/>
              </w:rPr>
            </w:pPr>
            <w:r>
              <w:rPr>
                <w:rFonts w:hint="eastAsia" w:ascii="宋体" w:hAnsi="宋体" w:cs="宋体"/>
                <w:bCs/>
                <w:color w:val="auto"/>
                <w:szCs w:val="21"/>
                <w:highlight w:val="none"/>
              </w:rPr>
              <w:t>1</w:t>
            </w:r>
          </w:p>
        </w:tc>
        <w:tc>
          <w:tcPr>
            <w:tcW w:w="1708" w:type="dxa"/>
            <w:tcBorders>
              <w:top w:val="single" w:color="auto" w:sz="4" w:space="0"/>
              <w:left w:val="single" w:color="auto" w:sz="4" w:space="0"/>
              <w:bottom w:val="single" w:color="auto" w:sz="4" w:space="0"/>
              <w:right w:val="single" w:color="auto" w:sz="4" w:space="0"/>
            </w:tcBorders>
            <w:vAlign w:val="center"/>
          </w:tcPr>
          <w:p w14:paraId="52839E01">
            <w:pPr>
              <w:spacing w:line="400" w:lineRule="exact"/>
              <w:jc w:val="center"/>
              <w:rPr>
                <w:rFonts w:ascii="宋体" w:hAnsi="宋体" w:cs="宋体"/>
                <w:b/>
                <w:bCs/>
                <w:color w:val="auto"/>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14:paraId="1940564B">
            <w:pPr>
              <w:spacing w:line="400" w:lineRule="exact"/>
              <w:jc w:val="center"/>
              <w:rPr>
                <w:rFonts w:ascii="宋体" w:hAnsi="宋体" w:cs="宋体"/>
                <w:b/>
                <w:bCs/>
                <w:color w:val="auto"/>
                <w:szCs w:val="21"/>
                <w:highlight w:val="none"/>
              </w:rPr>
            </w:pPr>
          </w:p>
        </w:tc>
      </w:tr>
      <w:tr w14:paraId="11C4A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6" w:hRule="atLeast"/>
        </w:trPr>
        <w:tc>
          <w:tcPr>
            <w:tcW w:w="851" w:type="dxa"/>
            <w:tcBorders>
              <w:top w:val="single" w:color="auto" w:sz="4" w:space="0"/>
              <w:left w:val="single" w:color="auto" w:sz="4" w:space="0"/>
              <w:bottom w:val="single" w:color="auto" w:sz="4" w:space="0"/>
              <w:right w:val="single" w:color="auto" w:sz="4" w:space="0"/>
            </w:tcBorders>
            <w:vAlign w:val="center"/>
          </w:tcPr>
          <w:p w14:paraId="12DABF88">
            <w:pPr>
              <w:spacing w:line="400" w:lineRule="exact"/>
              <w:jc w:val="center"/>
              <w:rPr>
                <w:rFonts w:ascii="宋体" w:hAnsi="宋体" w:cs="宋体"/>
                <w:b/>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1FB013CB">
            <w:pPr>
              <w:wordWrap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w:t>
            </w:r>
          </w:p>
        </w:tc>
        <w:tc>
          <w:tcPr>
            <w:tcW w:w="2977" w:type="dxa"/>
            <w:tcBorders>
              <w:top w:val="single" w:color="auto" w:sz="4" w:space="0"/>
              <w:left w:val="single" w:color="auto" w:sz="4" w:space="0"/>
              <w:bottom w:val="single" w:color="auto" w:sz="4" w:space="0"/>
              <w:right w:val="single" w:color="auto" w:sz="4" w:space="0"/>
            </w:tcBorders>
            <w:vAlign w:val="center"/>
          </w:tcPr>
          <w:p w14:paraId="2ADDB6F2">
            <w:pPr>
              <w:widowControl/>
              <w:wordWrap w:val="0"/>
              <w:jc w:val="center"/>
              <w:rPr>
                <w:rFonts w:ascii="宋体" w:hAnsi="宋体" w:cs="宋体"/>
                <w:color w:val="auto"/>
                <w:kern w:val="0"/>
                <w:szCs w:val="21"/>
                <w:highlight w:val="none"/>
              </w:rPr>
            </w:pPr>
            <w:r>
              <w:rPr>
                <w:rFonts w:hint="eastAsia" w:ascii="宋体" w:hAnsi="宋体" w:cs="宋体"/>
                <w:color w:val="auto"/>
                <w:kern w:val="0"/>
                <w:szCs w:val="21"/>
                <w:highlight w:val="none"/>
              </w:rPr>
              <w:t>合格证（不能删）</w:t>
            </w:r>
          </w:p>
        </w:tc>
        <w:tc>
          <w:tcPr>
            <w:tcW w:w="850" w:type="dxa"/>
            <w:tcBorders>
              <w:top w:val="single" w:color="auto" w:sz="4" w:space="0"/>
              <w:left w:val="single" w:color="auto" w:sz="4" w:space="0"/>
              <w:bottom w:val="single" w:color="auto" w:sz="4" w:space="0"/>
              <w:right w:val="single" w:color="auto" w:sz="4" w:space="0"/>
            </w:tcBorders>
            <w:vAlign w:val="center"/>
          </w:tcPr>
          <w:p w14:paraId="666F2EE0">
            <w:pPr>
              <w:wordWrap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份</w:t>
            </w:r>
          </w:p>
        </w:tc>
        <w:tc>
          <w:tcPr>
            <w:tcW w:w="992" w:type="dxa"/>
            <w:tcBorders>
              <w:top w:val="single" w:color="auto" w:sz="4" w:space="0"/>
              <w:left w:val="single" w:color="auto" w:sz="4" w:space="0"/>
              <w:bottom w:val="single" w:color="auto" w:sz="4" w:space="0"/>
              <w:right w:val="single" w:color="auto" w:sz="4" w:space="0"/>
            </w:tcBorders>
            <w:vAlign w:val="center"/>
          </w:tcPr>
          <w:p w14:paraId="02ACEBF2">
            <w:pPr>
              <w:wordWrap w:val="0"/>
              <w:spacing w:line="400" w:lineRule="exact"/>
              <w:jc w:val="center"/>
              <w:rPr>
                <w:rFonts w:ascii="宋体" w:hAnsi="宋体" w:cs="宋体"/>
                <w:b/>
                <w:color w:val="auto"/>
                <w:szCs w:val="21"/>
                <w:highlight w:val="none"/>
              </w:rPr>
            </w:pPr>
            <w:r>
              <w:rPr>
                <w:rFonts w:hint="eastAsia" w:ascii="宋体" w:hAnsi="宋体" w:cs="宋体"/>
                <w:bCs/>
                <w:color w:val="auto"/>
                <w:szCs w:val="21"/>
                <w:highlight w:val="none"/>
              </w:rPr>
              <w:t>1</w:t>
            </w:r>
          </w:p>
        </w:tc>
        <w:tc>
          <w:tcPr>
            <w:tcW w:w="1708" w:type="dxa"/>
            <w:tcBorders>
              <w:top w:val="single" w:color="auto" w:sz="4" w:space="0"/>
              <w:left w:val="single" w:color="auto" w:sz="4" w:space="0"/>
              <w:bottom w:val="single" w:color="auto" w:sz="4" w:space="0"/>
              <w:right w:val="single" w:color="auto" w:sz="4" w:space="0"/>
            </w:tcBorders>
            <w:vAlign w:val="center"/>
          </w:tcPr>
          <w:p w14:paraId="52F84B79">
            <w:pPr>
              <w:spacing w:line="400" w:lineRule="exact"/>
              <w:jc w:val="center"/>
              <w:rPr>
                <w:rFonts w:ascii="宋体" w:hAnsi="宋体" w:cs="宋体"/>
                <w:b/>
                <w:bCs/>
                <w:color w:val="auto"/>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14:paraId="1300BB0C">
            <w:pPr>
              <w:spacing w:line="400" w:lineRule="exact"/>
              <w:jc w:val="center"/>
              <w:rPr>
                <w:rFonts w:ascii="宋体" w:hAnsi="宋体" w:cs="宋体"/>
                <w:b/>
                <w:bCs/>
                <w:color w:val="auto"/>
                <w:szCs w:val="21"/>
                <w:highlight w:val="none"/>
              </w:rPr>
            </w:pPr>
          </w:p>
        </w:tc>
      </w:tr>
      <w:tr w14:paraId="71ADB2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6" w:hRule="atLeast"/>
        </w:trPr>
        <w:tc>
          <w:tcPr>
            <w:tcW w:w="851" w:type="dxa"/>
            <w:tcBorders>
              <w:top w:val="single" w:color="auto" w:sz="4" w:space="0"/>
              <w:left w:val="single" w:color="auto" w:sz="4" w:space="0"/>
              <w:bottom w:val="single" w:color="auto" w:sz="4" w:space="0"/>
              <w:right w:val="single" w:color="auto" w:sz="4" w:space="0"/>
            </w:tcBorders>
            <w:vAlign w:val="center"/>
          </w:tcPr>
          <w:p w14:paraId="03D4402D">
            <w:pPr>
              <w:spacing w:line="400" w:lineRule="exact"/>
              <w:jc w:val="center"/>
              <w:rPr>
                <w:rFonts w:ascii="宋体" w:hAnsi="宋体" w:cs="宋体"/>
                <w:b/>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0F9BA4B2">
            <w:pPr>
              <w:wordWrap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w:t>
            </w:r>
          </w:p>
        </w:tc>
        <w:tc>
          <w:tcPr>
            <w:tcW w:w="2977" w:type="dxa"/>
            <w:tcBorders>
              <w:top w:val="single" w:color="auto" w:sz="4" w:space="0"/>
              <w:left w:val="single" w:color="auto" w:sz="4" w:space="0"/>
              <w:bottom w:val="single" w:color="auto" w:sz="4" w:space="0"/>
              <w:right w:val="single" w:color="auto" w:sz="4" w:space="0"/>
            </w:tcBorders>
            <w:vAlign w:val="center"/>
          </w:tcPr>
          <w:p w14:paraId="6D4B6E93">
            <w:pPr>
              <w:widowControl/>
              <w:wordWrap w:val="0"/>
              <w:jc w:val="center"/>
              <w:rPr>
                <w:rFonts w:ascii="宋体" w:hAnsi="宋体" w:cs="宋体"/>
                <w:color w:val="auto"/>
                <w:kern w:val="0"/>
                <w:szCs w:val="21"/>
                <w:highlight w:val="none"/>
              </w:rPr>
            </w:pPr>
            <w:r>
              <w:rPr>
                <w:rFonts w:hint="eastAsia" w:ascii="宋体" w:hAnsi="宋体" w:cs="宋体"/>
                <w:color w:val="auto"/>
                <w:kern w:val="0"/>
                <w:szCs w:val="21"/>
                <w:highlight w:val="none"/>
              </w:rPr>
              <w:t>装箱单（不能删）</w:t>
            </w:r>
          </w:p>
        </w:tc>
        <w:tc>
          <w:tcPr>
            <w:tcW w:w="850" w:type="dxa"/>
            <w:tcBorders>
              <w:top w:val="single" w:color="auto" w:sz="4" w:space="0"/>
              <w:left w:val="single" w:color="auto" w:sz="4" w:space="0"/>
              <w:bottom w:val="single" w:color="auto" w:sz="4" w:space="0"/>
              <w:right w:val="single" w:color="auto" w:sz="4" w:space="0"/>
            </w:tcBorders>
            <w:vAlign w:val="center"/>
          </w:tcPr>
          <w:p w14:paraId="5667A785">
            <w:pPr>
              <w:wordWrap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份</w:t>
            </w:r>
          </w:p>
        </w:tc>
        <w:tc>
          <w:tcPr>
            <w:tcW w:w="992" w:type="dxa"/>
            <w:tcBorders>
              <w:top w:val="single" w:color="auto" w:sz="4" w:space="0"/>
              <w:left w:val="single" w:color="auto" w:sz="4" w:space="0"/>
              <w:bottom w:val="single" w:color="auto" w:sz="4" w:space="0"/>
              <w:right w:val="single" w:color="auto" w:sz="4" w:space="0"/>
            </w:tcBorders>
            <w:vAlign w:val="center"/>
          </w:tcPr>
          <w:p w14:paraId="679A2AE5">
            <w:pPr>
              <w:wordWrap w:val="0"/>
              <w:spacing w:line="400" w:lineRule="exact"/>
              <w:jc w:val="center"/>
              <w:rPr>
                <w:rFonts w:ascii="宋体" w:hAnsi="宋体" w:cs="宋体"/>
                <w:b/>
                <w:color w:val="auto"/>
                <w:szCs w:val="21"/>
                <w:highlight w:val="none"/>
              </w:rPr>
            </w:pPr>
            <w:r>
              <w:rPr>
                <w:rFonts w:hint="eastAsia" w:ascii="宋体" w:hAnsi="宋体" w:cs="宋体"/>
                <w:bCs/>
                <w:color w:val="auto"/>
                <w:szCs w:val="21"/>
                <w:highlight w:val="none"/>
              </w:rPr>
              <w:t>1</w:t>
            </w:r>
          </w:p>
        </w:tc>
        <w:tc>
          <w:tcPr>
            <w:tcW w:w="1708" w:type="dxa"/>
            <w:tcBorders>
              <w:top w:val="single" w:color="auto" w:sz="4" w:space="0"/>
              <w:left w:val="single" w:color="auto" w:sz="4" w:space="0"/>
              <w:bottom w:val="single" w:color="auto" w:sz="4" w:space="0"/>
              <w:right w:val="single" w:color="auto" w:sz="4" w:space="0"/>
            </w:tcBorders>
            <w:vAlign w:val="center"/>
          </w:tcPr>
          <w:p w14:paraId="09709DA0">
            <w:pPr>
              <w:spacing w:line="400" w:lineRule="exact"/>
              <w:jc w:val="center"/>
              <w:rPr>
                <w:rFonts w:ascii="宋体" w:hAnsi="宋体" w:cs="宋体"/>
                <w:b/>
                <w:bCs/>
                <w:color w:val="auto"/>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14:paraId="37CD912B">
            <w:pPr>
              <w:spacing w:line="400" w:lineRule="exact"/>
              <w:jc w:val="center"/>
              <w:rPr>
                <w:rFonts w:ascii="宋体" w:hAnsi="宋体" w:cs="宋体"/>
                <w:b/>
                <w:bCs/>
                <w:color w:val="auto"/>
                <w:szCs w:val="21"/>
                <w:highlight w:val="none"/>
              </w:rPr>
            </w:pPr>
          </w:p>
        </w:tc>
      </w:tr>
    </w:tbl>
    <w:p w14:paraId="79B2999C">
      <w:pPr>
        <w:spacing w:line="400" w:lineRule="exact"/>
        <w:rPr>
          <w:rFonts w:ascii="宋体" w:hAnsi="宋体" w:cs="宋体"/>
          <w:b/>
          <w:color w:val="auto"/>
          <w:szCs w:val="21"/>
          <w:highlight w:val="none"/>
        </w:rPr>
      </w:pPr>
      <w:r>
        <w:rPr>
          <w:rFonts w:hint="eastAsia" w:ascii="宋体" w:hAnsi="宋体" w:cs="宋体"/>
          <w:b/>
          <w:color w:val="auto"/>
          <w:szCs w:val="21"/>
          <w:highlight w:val="none"/>
        </w:rPr>
        <w:t>附件4：售后服务承诺书[</w:t>
      </w:r>
      <w:r>
        <w:rPr>
          <w:rFonts w:hint="eastAsia" w:ascii="宋体" w:hAnsi="宋体" w:cs="宋体"/>
          <w:color w:val="auto"/>
          <w:kern w:val="0"/>
          <w:szCs w:val="21"/>
          <w:highlight w:val="none"/>
        </w:rPr>
        <w:t>原则上须有生产厂家或省级（含省级）以上代理商的盖章]</w:t>
      </w:r>
      <w:r>
        <w:rPr>
          <w:rFonts w:hint="eastAsia" w:ascii="宋体" w:hAnsi="宋体" w:cs="宋体"/>
          <w:b/>
          <w:color w:val="auto"/>
          <w:szCs w:val="21"/>
          <w:highlight w:val="none"/>
        </w:rPr>
        <w:t>。</w:t>
      </w:r>
    </w:p>
    <w:p w14:paraId="1493A9F9">
      <w:pPr>
        <w:spacing w:line="400" w:lineRule="exact"/>
        <w:rPr>
          <w:rFonts w:ascii="宋体" w:hAnsi="宋体" w:cs="宋体"/>
          <w:b/>
          <w:color w:val="auto"/>
          <w:szCs w:val="21"/>
          <w:highlight w:val="none"/>
        </w:rPr>
      </w:pPr>
      <w:r>
        <w:rPr>
          <w:rFonts w:hint="eastAsia" w:ascii="宋体" w:hAnsi="宋体" w:cs="宋体"/>
          <w:b/>
          <w:color w:val="auto"/>
          <w:szCs w:val="21"/>
          <w:highlight w:val="none"/>
        </w:rPr>
        <w:t>附件5：产品医疗器械注册证（如有必须提供，</w:t>
      </w:r>
      <w:r>
        <w:rPr>
          <w:rStyle w:val="55"/>
          <w:rFonts w:hint="eastAsia"/>
          <w:color w:val="auto"/>
          <w:highlight w:val="none"/>
        </w:rPr>
        <w:t>没有</w:t>
      </w:r>
      <w:r>
        <w:rPr>
          <w:rFonts w:hint="eastAsia" w:ascii="宋体" w:hAnsi="宋体" w:cs="宋体"/>
          <w:b/>
          <w:color w:val="auto"/>
          <w:szCs w:val="21"/>
          <w:highlight w:val="none"/>
        </w:rPr>
        <w:t>注册证的请提供设备生产厂家营业执照、医疗器械生产许可证；不属于医疗器械管理的请提供不属于医疗器械管理的证明）。</w:t>
      </w:r>
    </w:p>
    <w:p w14:paraId="51F006DC">
      <w:pPr>
        <w:spacing w:line="400" w:lineRule="exact"/>
        <w:rPr>
          <w:rFonts w:ascii="宋体" w:hAnsi="宋体" w:cs="宋体"/>
          <w:b/>
          <w:color w:val="auto"/>
          <w:szCs w:val="21"/>
          <w:highlight w:val="none"/>
        </w:rPr>
      </w:pPr>
      <w:r>
        <w:rPr>
          <w:rFonts w:hint="eastAsia" w:ascii="宋体" w:hAnsi="宋体" w:cs="宋体"/>
          <w:b/>
          <w:color w:val="auto"/>
          <w:szCs w:val="21"/>
          <w:highlight w:val="none"/>
        </w:rPr>
        <w:t>附件6：供应商的营业执照、医疗器械经营许可证、医疗器械经营备案凭证。</w:t>
      </w:r>
    </w:p>
    <w:p w14:paraId="77204CC6">
      <w:pPr>
        <w:spacing w:line="400" w:lineRule="exact"/>
        <w:rPr>
          <w:rFonts w:ascii="宋体" w:hAnsi="宋体" w:cs="宋体"/>
          <w:b/>
          <w:color w:val="auto"/>
          <w:szCs w:val="21"/>
          <w:highlight w:val="none"/>
        </w:rPr>
      </w:pPr>
      <w:r>
        <w:rPr>
          <w:rFonts w:hint="eastAsia" w:ascii="宋体" w:hAnsi="宋体" w:cs="宋体"/>
          <w:b/>
          <w:color w:val="auto"/>
          <w:szCs w:val="21"/>
          <w:highlight w:val="none"/>
        </w:rPr>
        <w:t>附件7：投标报价</w:t>
      </w:r>
    </w:p>
    <w:p w14:paraId="785C323B">
      <w:pPr>
        <w:spacing w:line="400" w:lineRule="exact"/>
        <w:rPr>
          <w:rFonts w:ascii="宋体" w:hAnsi="宋体" w:cs="宋体"/>
          <w:b/>
          <w:color w:val="auto"/>
          <w:szCs w:val="21"/>
          <w:highlight w:val="none"/>
          <w:u w:val="single"/>
        </w:rPr>
      </w:pPr>
      <w:r>
        <w:rPr>
          <w:rFonts w:hint="eastAsia" w:ascii="宋体" w:hAnsi="宋体" w:cs="宋体"/>
          <w:b/>
          <w:color w:val="auto"/>
          <w:szCs w:val="21"/>
          <w:highlight w:val="none"/>
        </w:rPr>
        <w:t>甲方（盖章）：桂林医学院附属医院       乙方（盖章）：</w:t>
      </w:r>
    </w:p>
    <w:p w14:paraId="11B43472">
      <w:pPr>
        <w:spacing w:line="400" w:lineRule="exact"/>
        <w:rPr>
          <w:rFonts w:ascii="宋体" w:hAnsi="宋体" w:cs="宋体"/>
          <w:b/>
          <w:color w:val="auto"/>
          <w:szCs w:val="21"/>
          <w:highlight w:val="none"/>
        </w:rPr>
      </w:pPr>
      <w:r>
        <w:rPr>
          <w:rFonts w:hint="eastAsia" w:ascii="宋体" w:hAnsi="宋体" w:cs="宋体"/>
          <w:b/>
          <w:color w:val="auto"/>
          <w:szCs w:val="21"/>
          <w:highlight w:val="none"/>
        </w:rPr>
        <w:t>甲方地址：桂林市秀峰区乐群路15号</w:t>
      </w:r>
      <w:r>
        <w:rPr>
          <w:rFonts w:hint="eastAsia" w:ascii="宋体" w:hAnsi="宋体" w:cs="宋体"/>
          <w:b/>
          <w:color w:val="auto"/>
          <w:szCs w:val="21"/>
          <w:highlight w:val="none"/>
        </w:rPr>
        <w:tab/>
      </w:r>
      <w:r>
        <w:rPr>
          <w:rFonts w:hint="eastAsia" w:ascii="宋体" w:hAnsi="宋体" w:cs="宋体"/>
          <w:b/>
          <w:color w:val="auto"/>
          <w:szCs w:val="21"/>
          <w:highlight w:val="none"/>
        </w:rPr>
        <w:t xml:space="preserve">   乙方地址：</w:t>
      </w:r>
    </w:p>
    <w:p w14:paraId="42AACF9B">
      <w:pPr>
        <w:spacing w:line="400" w:lineRule="exact"/>
        <w:ind w:left="5042" w:leftChars="2200" w:hanging="422" w:hangingChars="200"/>
        <w:rPr>
          <w:rFonts w:ascii="宋体" w:hAnsi="宋体" w:cs="宋体"/>
          <w:b/>
          <w:color w:val="auto"/>
          <w:szCs w:val="21"/>
          <w:highlight w:val="none"/>
        </w:rPr>
      </w:pPr>
      <w:r>
        <w:rPr>
          <w:rFonts w:hint="eastAsia" w:ascii="宋体" w:hAnsi="宋体" w:cs="宋体"/>
          <w:b/>
          <w:color w:val="auto"/>
          <w:szCs w:val="21"/>
          <w:highlight w:val="none"/>
        </w:rPr>
        <w:t>银行账号：</w:t>
      </w:r>
    </w:p>
    <w:p w14:paraId="281501C1">
      <w:pPr>
        <w:spacing w:line="400" w:lineRule="exact"/>
        <w:ind w:left="5042" w:leftChars="2200" w:hanging="422" w:hangingChars="200"/>
        <w:rPr>
          <w:rFonts w:ascii="宋体" w:hAnsi="宋体" w:cs="宋体"/>
          <w:b/>
          <w:color w:val="auto"/>
          <w:szCs w:val="21"/>
          <w:highlight w:val="none"/>
        </w:rPr>
      </w:pPr>
      <w:r>
        <w:rPr>
          <w:rFonts w:hint="eastAsia" w:ascii="宋体" w:hAnsi="宋体" w:cs="宋体"/>
          <w:b/>
          <w:color w:val="auto"/>
          <w:szCs w:val="21"/>
          <w:highlight w:val="none"/>
        </w:rPr>
        <w:t>开户行：</w:t>
      </w:r>
    </w:p>
    <w:p w14:paraId="7E328DF5">
      <w:pPr>
        <w:spacing w:line="400" w:lineRule="exact"/>
        <w:rPr>
          <w:rFonts w:ascii="宋体" w:hAnsi="宋体" w:cs="宋体"/>
          <w:b/>
          <w:color w:val="auto"/>
          <w:szCs w:val="21"/>
          <w:highlight w:val="none"/>
        </w:rPr>
      </w:pPr>
      <w:r>
        <w:rPr>
          <w:rFonts w:hint="eastAsia" w:ascii="宋体" w:hAnsi="宋体" w:cs="宋体"/>
          <w:b/>
          <w:color w:val="auto"/>
          <w:szCs w:val="21"/>
          <w:highlight w:val="none"/>
        </w:rPr>
        <w:t>电话：0773-2802050                    电   话：</w:t>
      </w:r>
    </w:p>
    <w:p w14:paraId="6CDE84E6">
      <w:pPr>
        <w:spacing w:line="400" w:lineRule="exact"/>
        <w:rPr>
          <w:rFonts w:ascii="宋体" w:hAnsi="宋体" w:cs="宋体"/>
          <w:b/>
          <w:color w:val="auto"/>
          <w:szCs w:val="21"/>
          <w:highlight w:val="none"/>
        </w:rPr>
      </w:pPr>
      <w:r>
        <w:rPr>
          <w:rFonts w:hint="eastAsia" w:ascii="宋体" w:hAnsi="宋体" w:cs="宋体"/>
          <w:b/>
          <w:color w:val="auto"/>
          <w:szCs w:val="21"/>
          <w:highlight w:val="none"/>
        </w:rPr>
        <w:t>法定代表人：                          法定代表人：</w:t>
      </w:r>
    </w:p>
    <w:p w14:paraId="1463B60D">
      <w:pPr>
        <w:spacing w:line="400" w:lineRule="exact"/>
        <w:rPr>
          <w:rFonts w:ascii="宋体" w:hAnsi="宋体" w:cs="宋体"/>
          <w:b/>
          <w:color w:val="auto"/>
          <w:szCs w:val="21"/>
          <w:highlight w:val="none"/>
        </w:rPr>
      </w:pPr>
      <w:r>
        <w:rPr>
          <w:rFonts w:hint="eastAsia" w:ascii="宋体" w:hAnsi="宋体" w:cs="宋体"/>
          <w:b/>
          <w:color w:val="auto"/>
          <w:szCs w:val="21"/>
          <w:highlight w:val="none"/>
        </w:rPr>
        <w:t>委托代理人：                          委托代理人：</w:t>
      </w:r>
    </w:p>
    <w:p w14:paraId="17130FDA">
      <w:pPr>
        <w:spacing w:line="400" w:lineRule="exact"/>
        <w:rPr>
          <w:rFonts w:ascii="宋体" w:hAnsi="宋体" w:cs="宋体"/>
          <w:b/>
          <w:color w:val="auto"/>
          <w:szCs w:val="21"/>
          <w:highlight w:val="none"/>
        </w:rPr>
      </w:pPr>
      <w:r>
        <w:rPr>
          <w:rFonts w:hint="eastAsia" w:ascii="宋体" w:hAnsi="宋体" w:cs="宋体"/>
          <w:b/>
          <w:color w:val="auto"/>
          <w:szCs w:val="21"/>
          <w:highlight w:val="none"/>
        </w:rPr>
        <w:t>签订日期：202     年   月   日        签订日期：202    年   月   日</w:t>
      </w:r>
    </w:p>
    <w:p w14:paraId="1FA8BB0F">
      <w:pPr>
        <w:spacing w:line="400" w:lineRule="exact"/>
        <w:jc w:val="center"/>
        <w:rPr>
          <w:rFonts w:ascii="宋体" w:hAnsi="宋体"/>
          <w:b/>
          <w:color w:val="auto"/>
          <w:sz w:val="24"/>
          <w:highlight w:val="none"/>
        </w:rPr>
      </w:pPr>
    </w:p>
    <w:p w14:paraId="04AD5A44">
      <w:pPr>
        <w:spacing w:line="400" w:lineRule="exact"/>
        <w:jc w:val="center"/>
        <w:rPr>
          <w:rFonts w:ascii="宋体" w:hAnsi="宋体"/>
          <w:b/>
          <w:color w:val="auto"/>
          <w:sz w:val="24"/>
          <w:highlight w:val="none"/>
        </w:rPr>
      </w:pPr>
    </w:p>
    <w:p w14:paraId="3664368A">
      <w:pPr>
        <w:spacing w:line="400" w:lineRule="exact"/>
        <w:jc w:val="center"/>
        <w:rPr>
          <w:rFonts w:ascii="宋体" w:hAnsi="宋体"/>
          <w:b/>
          <w:color w:val="auto"/>
          <w:sz w:val="24"/>
          <w:highlight w:val="none"/>
        </w:rPr>
      </w:pPr>
    </w:p>
    <w:p w14:paraId="22BF9B5D">
      <w:pPr>
        <w:spacing w:line="400" w:lineRule="exact"/>
        <w:jc w:val="center"/>
        <w:rPr>
          <w:rFonts w:ascii="宋体" w:hAnsi="宋体"/>
          <w:b/>
          <w:color w:val="auto"/>
          <w:sz w:val="24"/>
          <w:highlight w:val="none"/>
        </w:rPr>
      </w:pPr>
    </w:p>
    <w:p w14:paraId="5A326451">
      <w:pPr>
        <w:spacing w:line="400" w:lineRule="exact"/>
        <w:jc w:val="center"/>
        <w:rPr>
          <w:rFonts w:ascii="宋体" w:hAnsi="宋体"/>
          <w:b/>
          <w:color w:val="auto"/>
          <w:sz w:val="24"/>
          <w:highlight w:val="none"/>
        </w:rPr>
      </w:pPr>
    </w:p>
    <w:p w14:paraId="020E0FCB">
      <w:pPr>
        <w:spacing w:line="400" w:lineRule="exact"/>
        <w:jc w:val="center"/>
        <w:rPr>
          <w:rFonts w:ascii="宋体" w:hAnsi="宋体"/>
          <w:b/>
          <w:color w:val="auto"/>
          <w:sz w:val="24"/>
          <w:highlight w:val="none"/>
        </w:rPr>
      </w:pPr>
    </w:p>
    <w:p w14:paraId="579EABA1">
      <w:pPr>
        <w:spacing w:line="400" w:lineRule="exact"/>
        <w:jc w:val="center"/>
        <w:rPr>
          <w:rFonts w:ascii="宋体" w:hAnsi="宋体"/>
          <w:b/>
          <w:color w:val="auto"/>
          <w:sz w:val="24"/>
          <w:highlight w:val="none"/>
        </w:rPr>
      </w:pPr>
    </w:p>
    <w:p w14:paraId="503B2B8D">
      <w:pPr>
        <w:spacing w:line="400" w:lineRule="exact"/>
        <w:jc w:val="center"/>
        <w:rPr>
          <w:rFonts w:ascii="宋体" w:hAnsi="宋体"/>
          <w:b/>
          <w:color w:val="auto"/>
          <w:sz w:val="24"/>
          <w:highlight w:val="none"/>
        </w:rPr>
      </w:pPr>
    </w:p>
    <w:p w14:paraId="42B04F35">
      <w:pPr>
        <w:spacing w:line="400" w:lineRule="exact"/>
        <w:jc w:val="center"/>
        <w:rPr>
          <w:rFonts w:ascii="宋体" w:hAnsi="宋体"/>
          <w:b/>
          <w:color w:val="auto"/>
          <w:sz w:val="24"/>
          <w:highlight w:val="none"/>
        </w:rPr>
      </w:pPr>
    </w:p>
    <w:p w14:paraId="25842D60">
      <w:pPr>
        <w:spacing w:line="400" w:lineRule="exact"/>
        <w:jc w:val="center"/>
        <w:rPr>
          <w:rFonts w:ascii="宋体" w:hAnsi="宋体"/>
          <w:b/>
          <w:color w:val="auto"/>
          <w:sz w:val="24"/>
          <w:highlight w:val="none"/>
        </w:rPr>
      </w:pPr>
    </w:p>
    <w:p w14:paraId="3CAE2978">
      <w:pPr>
        <w:spacing w:line="400" w:lineRule="exact"/>
        <w:jc w:val="center"/>
        <w:rPr>
          <w:rFonts w:ascii="宋体" w:hAnsi="宋体"/>
          <w:b/>
          <w:color w:val="auto"/>
          <w:sz w:val="24"/>
          <w:highlight w:val="none"/>
        </w:rPr>
      </w:pPr>
    </w:p>
    <w:p w14:paraId="65362674">
      <w:pPr>
        <w:spacing w:line="400" w:lineRule="exact"/>
        <w:jc w:val="center"/>
        <w:rPr>
          <w:rFonts w:ascii="宋体" w:hAnsi="宋体"/>
          <w:b/>
          <w:color w:val="auto"/>
          <w:sz w:val="24"/>
          <w:highlight w:val="none"/>
        </w:rPr>
      </w:pPr>
    </w:p>
    <w:p w14:paraId="1DE39B2E">
      <w:pPr>
        <w:spacing w:line="400" w:lineRule="exact"/>
        <w:jc w:val="center"/>
        <w:rPr>
          <w:rFonts w:ascii="宋体" w:hAnsi="宋体"/>
          <w:b/>
          <w:color w:val="auto"/>
          <w:sz w:val="24"/>
          <w:highlight w:val="none"/>
        </w:rPr>
      </w:pPr>
    </w:p>
    <w:p w14:paraId="27492FA4">
      <w:pPr>
        <w:spacing w:line="400" w:lineRule="exact"/>
        <w:jc w:val="center"/>
        <w:rPr>
          <w:rFonts w:ascii="宋体" w:hAnsi="宋体"/>
          <w:b/>
          <w:color w:val="auto"/>
          <w:sz w:val="24"/>
          <w:highlight w:val="none"/>
        </w:rPr>
      </w:pPr>
    </w:p>
    <w:p w14:paraId="1CFDB5BF">
      <w:pPr>
        <w:spacing w:line="400" w:lineRule="exact"/>
        <w:jc w:val="center"/>
        <w:rPr>
          <w:rFonts w:ascii="宋体" w:hAnsi="宋体"/>
          <w:b/>
          <w:color w:val="auto"/>
          <w:sz w:val="24"/>
          <w:highlight w:val="none"/>
        </w:rPr>
      </w:pPr>
    </w:p>
    <w:p w14:paraId="6DFE362D">
      <w:pPr>
        <w:spacing w:line="400" w:lineRule="exact"/>
        <w:jc w:val="center"/>
        <w:rPr>
          <w:rFonts w:ascii="宋体" w:hAnsi="宋体"/>
          <w:b/>
          <w:color w:val="auto"/>
          <w:sz w:val="24"/>
          <w:highlight w:val="none"/>
        </w:rPr>
      </w:pPr>
    </w:p>
    <w:p w14:paraId="48B28B1D">
      <w:pPr>
        <w:spacing w:line="400" w:lineRule="exact"/>
        <w:jc w:val="center"/>
        <w:rPr>
          <w:rFonts w:ascii="宋体" w:hAnsi="宋体"/>
          <w:b/>
          <w:color w:val="auto"/>
          <w:sz w:val="24"/>
          <w:highlight w:val="none"/>
        </w:rPr>
      </w:pPr>
    </w:p>
    <w:p w14:paraId="3122CCCB">
      <w:pPr>
        <w:spacing w:line="400" w:lineRule="exact"/>
        <w:jc w:val="center"/>
        <w:rPr>
          <w:rFonts w:ascii="宋体" w:hAnsi="宋体"/>
          <w:b/>
          <w:color w:val="auto"/>
          <w:sz w:val="24"/>
          <w:highlight w:val="none"/>
        </w:rPr>
      </w:pPr>
      <w:r>
        <w:rPr>
          <w:rFonts w:hint="eastAsia" w:ascii="宋体" w:hAnsi="宋体"/>
          <w:b/>
          <w:color w:val="auto"/>
          <w:sz w:val="24"/>
          <w:highlight w:val="none"/>
        </w:rPr>
        <w:t>医疗卫生机构医药产品廉洁购销合同</w:t>
      </w:r>
    </w:p>
    <w:p w14:paraId="2AAA115F">
      <w:pPr>
        <w:spacing w:line="400" w:lineRule="exact"/>
        <w:ind w:firstLine="1205" w:firstLineChars="500"/>
        <w:rPr>
          <w:rFonts w:ascii="宋体" w:hAnsi="宋体"/>
          <w:b/>
          <w:color w:val="auto"/>
          <w:sz w:val="24"/>
          <w:highlight w:val="none"/>
        </w:rPr>
      </w:pPr>
      <w:r>
        <w:rPr>
          <w:rFonts w:hint="eastAsia" w:ascii="宋体" w:hAnsi="宋体"/>
          <w:b/>
          <w:color w:val="auto"/>
          <w:sz w:val="24"/>
          <w:highlight w:val="none"/>
        </w:rPr>
        <w:t>（含设备、耗材、后勤物资、基建工程、行业服务等）</w:t>
      </w:r>
    </w:p>
    <w:p w14:paraId="0BE13CC8">
      <w:pPr>
        <w:spacing w:line="400" w:lineRule="exact"/>
        <w:rPr>
          <w:rFonts w:ascii="宋体" w:hAnsi="宋体" w:cs="宋体"/>
          <w:b/>
          <w:color w:val="auto"/>
          <w:szCs w:val="21"/>
          <w:highlight w:val="none"/>
        </w:rPr>
      </w:pPr>
      <w:r>
        <w:rPr>
          <w:rFonts w:hint="eastAsia" w:ascii="宋体" w:hAnsi="宋体" w:cs="宋体"/>
          <w:b/>
          <w:color w:val="auto"/>
          <w:szCs w:val="21"/>
          <w:highlight w:val="none"/>
        </w:rPr>
        <w:t>甲方（医疗卫生机构）：桂林医学院附属医院</w:t>
      </w:r>
    </w:p>
    <w:p w14:paraId="4C56FB9A">
      <w:pPr>
        <w:spacing w:line="400" w:lineRule="exact"/>
        <w:rPr>
          <w:rFonts w:ascii="宋体" w:hAnsi="宋体" w:cs="宋体"/>
          <w:b/>
          <w:color w:val="auto"/>
          <w:szCs w:val="21"/>
          <w:highlight w:val="none"/>
        </w:rPr>
      </w:pPr>
      <w:r>
        <w:rPr>
          <w:rFonts w:hint="eastAsia" w:ascii="宋体" w:hAnsi="宋体" w:cs="宋体"/>
          <w:b/>
          <w:color w:val="auto"/>
          <w:szCs w:val="21"/>
          <w:highlight w:val="none"/>
        </w:rPr>
        <w:t>乙方（医药生产经营企业及其代理人）：</w:t>
      </w:r>
      <w:bookmarkStart w:id="154" w:name="_GoBack"/>
      <w:r>
        <w:rPr>
          <w:rFonts w:hint="eastAsia" w:ascii="宋体" w:hAnsi="宋体" w:cs="宋体"/>
          <w:b/>
          <w:color w:val="auto"/>
          <w:szCs w:val="21"/>
          <w:highlight w:val="none"/>
        </w:rPr>
        <w:t>XXXXXXX</w:t>
      </w:r>
      <w:bookmarkEnd w:id="154"/>
    </w:p>
    <w:p w14:paraId="7D5FBA6B">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为进一步加强医疗卫生行风建设，规范医疗卫生机构医药购销行为，有效防范商业贿赂行为，营造公平交易、诚实守信的购销环境，经甲、乙双方协商，同意签订本合同，并共同遵守：</w:t>
      </w:r>
    </w:p>
    <w:p w14:paraId="6F8351BF">
      <w:pPr>
        <w:spacing w:line="380" w:lineRule="exact"/>
        <w:ind w:firstLine="430" w:firstLineChars="205"/>
        <w:rPr>
          <w:rFonts w:ascii="宋体" w:hAnsi="宋体" w:cs="宋体"/>
          <w:color w:val="auto"/>
          <w:szCs w:val="21"/>
          <w:highlight w:val="none"/>
        </w:rPr>
      </w:pPr>
      <w:r>
        <w:rPr>
          <w:rFonts w:hint="eastAsia" w:ascii="宋体" w:hAnsi="宋体" w:cs="宋体"/>
          <w:color w:val="auto"/>
          <w:szCs w:val="21"/>
          <w:highlight w:val="none"/>
        </w:rPr>
        <w:t>一、甲乙双方按照《中华人民共和国民法典》及医药产品购销合同约定购销药品、医用设备、医用耗材试剂等医药产品。</w:t>
      </w:r>
    </w:p>
    <w:p w14:paraId="04A98AB5">
      <w:pPr>
        <w:spacing w:line="380" w:lineRule="exact"/>
        <w:ind w:firstLine="430" w:firstLineChars="205"/>
        <w:rPr>
          <w:rFonts w:ascii="宋体" w:hAnsi="宋体" w:cs="宋体"/>
          <w:color w:val="auto"/>
          <w:szCs w:val="21"/>
          <w:highlight w:val="none"/>
        </w:rPr>
      </w:pPr>
      <w:r>
        <w:rPr>
          <w:rFonts w:hint="eastAsia" w:ascii="宋体" w:hAnsi="宋体" w:cs="宋体"/>
          <w:color w:val="auto"/>
          <w:szCs w:val="21"/>
          <w:highlight w:val="none"/>
        </w:rPr>
        <w:t>二、甲方应当严格执行医药产品购销合同验收、入库制度，对采购医药产品及发票进行查验，不得违反有关规定合同外采购、违价采购或从非规定渠道采购。</w:t>
      </w:r>
    </w:p>
    <w:p w14:paraId="4C4AD4C8">
      <w:pPr>
        <w:spacing w:line="380" w:lineRule="exact"/>
        <w:ind w:firstLine="430" w:firstLineChars="205"/>
        <w:rPr>
          <w:rFonts w:ascii="宋体" w:hAnsi="宋体" w:cs="宋体"/>
          <w:color w:val="auto"/>
          <w:szCs w:val="21"/>
          <w:highlight w:val="none"/>
        </w:rPr>
      </w:pPr>
      <w:r>
        <w:rPr>
          <w:rFonts w:hint="eastAsia" w:ascii="宋体" w:hAnsi="宋体" w:cs="宋体"/>
          <w:color w:val="auto"/>
          <w:szCs w:val="21"/>
          <w:highlight w:val="none"/>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68F1F31F">
      <w:pPr>
        <w:spacing w:line="380" w:lineRule="exact"/>
        <w:ind w:firstLine="430" w:firstLineChars="205"/>
        <w:rPr>
          <w:rFonts w:ascii="宋体" w:hAnsi="宋体" w:cs="宋体"/>
          <w:color w:val="auto"/>
          <w:szCs w:val="21"/>
          <w:highlight w:val="none"/>
        </w:rPr>
      </w:pPr>
      <w:r>
        <w:rPr>
          <w:rFonts w:hint="eastAsia" w:ascii="宋体" w:hAnsi="宋体" w:cs="宋体"/>
          <w:color w:val="auto"/>
          <w:szCs w:val="21"/>
          <w:highlight w:val="none"/>
        </w:rPr>
        <w:t>四、严禁甲方工作人员利用任何途径和方式，为乙方统计医师个人及临床科室有关医药产品用量信息，或为乙方统计提供便利。</w:t>
      </w:r>
    </w:p>
    <w:p w14:paraId="247E0D87">
      <w:pPr>
        <w:spacing w:line="380" w:lineRule="exact"/>
        <w:ind w:firstLine="430" w:firstLineChars="205"/>
        <w:rPr>
          <w:rFonts w:ascii="宋体" w:hAnsi="宋体" w:cs="宋体"/>
          <w:color w:val="auto"/>
          <w:szCs w:val="21"/>
          <w:highlight w:val="none"/>
        </w:rPr>
      </w:pPr>
      <w:r>
        <w:rPr>
          <w:rFonts w:hint="eastAsia" w:ascii="宋体" w:hAnsi="宋体" w:cs="宋体"/>
          <w:color w:val="auto"/>
          <w:szCs w:val="21"/>
          <w:highlight w:val="none"/>
        </w:rPr>
        <w:t>五、乙方不得以回扣、宴请等方式影响甲方工作人员采购或使用医药产品的选择权，不得在学术活动中提供旅游、超标准支付食宿费用。</w:t>
      </w:r>
    </w:p>
    <w:p w14:paraId="451E7B14">
      <w:pPr>
        <w:spacing w:line="380" w:lineRule="exact"/>
        <w:ind w:firstLine="430" w:firstLineChars="205"/>
        <w:rPr>
          <w:rFonts w:ascii="宋体" w:hAnsi="宋体" w:cs="宋体"/>
          <w:color w:val="auto"/>
          <w:szCs w:val="21"/>
          <w:highlight w:val="none"/>
        </w:rPr>
      </w:pPr>
      <w:r>
        <w:rPr>
          <w:rFonts w:hint="eastAsia" w:ascii="宋体" w:hAnsi="宋体" w:cs="宋体"/>
          <w:color w:val="auto"/>
          <w:szCs w:val="21"/>
          <w:highlight w:val="none"/>
        </w:rPr>
        <w:t>六、乙方指定</w:t>
      </w:r>
      <w:r>
        <w:rPr>
          <w:rFonts w:hint="eastAsia" w:ascii="宋体" w:hAnsi="宋体" w:cs="宋体"/>
          <w:color w:val="auto"/>
          <w:szCs w:val="21"/>
          <w:highlight w:val="none"/>
          <w:u w:val="single"/>
        </w:rPr>
        <w:t xml:space="preserve">    姓名</w:t>
      </w:r>
      <w:r>
        <w:rPr>
          <w:rFonts w:hint="eastAsia" w:ascii="宋体" w:hAnsi="宋体" w:cs="宋体"/>
          <w:b/>
          <w:color w:val="auto"/>
          <w:szCs w:val="21"/>
          <w:highlight w:val="none"/>
        </w:rPr>
        <w:t>XXXXXXX</w:t>
      </w:r>
      <w:r>
        <w:rPr>
          <w:rFonts w:hint="eastAsia" w:ascii="宋体" w:hAnsi="宋体" w:cs="宋体"/>
          <w:color w:val="auto"/>
          <w:szCs w:val="21"/>
          <w:highlight w:val="none"/>
          <w:u w:val="single"/>
        </w:rPr>
        <w:t xml:space="preserve">  联系电话  </w:t>
      </w:r>
      <w:r>
        <w:rPr>
          <w:rFonts w:hint="eastAsia" w:ascii="宋体" w:hAnsi="宋体" w:cs="宋体"/>
          <w:b/>
          <w:color w:val="auto"/>
          <w:szCs w:val="21"/>
          <w:highlight w:val="none"/>
        </w:rPr>
        <w:t>XXXXXXX</w:t>
      </w:r>
      <w:r>
        <w:rPr>
          <w:rFonts w:hint="eastAsia" w:ascii="宋体" w:hAnsi="宋体" w:cs="宋体"/>
          <w:color w:val="auto"/>
          <w:szCs w:val="21"/>
          <w:highlight w:val="none"/>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5931BC4F">
      <w:pPr>
        <w:spacing w:line="380" w:lineRule="exact"/>
        <w:ind w:firstLine="430" w:firstLineChars="205"/>
        <w:rPr>
          <w:rFonts w:ascii="宋体" w:hAnsi="宋体" w:cs="宋体"/>
          <w:color w:val="auto"/>
          <w:szCs w:val="21"/>
          <w:highlight w:val="none"/>
        </w:rPr>
      </w:pPr>
      <w:r>
        <w:rPr>
          <w:rFonts w:hint="eastAsia" w:ascii="宋体" w:hAnsi="宋体" w:cs="宋体"/>
          <w:color w:val="auto"/>
          <w:szCs w:val="21"/>
          <w:highlight w:val="none"/>
        </w:rPr>
        <w:t>七、乙方如违反本合同，一经发现，甲方有权终止购销合同，并向有关卫生计生行政部门报告。如乙方被列入商业贿赂不良记录，则按照《国家卫生计生委关于建立医药购销领域商业贿赂不良记录的规定》（国卫法制发[2013]50号）相关规定处理。</w:t>
      </w:r>
    </w:p>
    <w:p w14:paraId="0FA5C3E2">
      <w:pPr>
        <w:spacing w:line="380" w:lineRule="exact"/>
        <w:ind w:firstLine="430" w:firstLineChars="205"/>
        <w:rPr>
          <w:rFonts w:ascii="宋体" w:hAnsi="宋体" w:cs="宋体"/>
          <w:color w:val="auto"/>
          <w:szCs w:val="21"/>
          <w:highlight w:val="none"/>
        </w:rPr>
      </w:pPr>
      <w:r>
        <w:rPr>
          <w:rFonts w:hint="eastAsia" w:ascii="宋体" w:hAnsi="宋体" w:cs="宋体"/>
          <w:color w:val="auto"/>
          <w:szCs w:val="21"/>
          <w:highlight w:val="none"/>
        </w:rPr>
        <w:t>八、本合同作为医药产品购销合同的重要组成部分，与购销合同一并执行，具有同等的法律效力。</w:t>
      </w:r>
    </w:p>
    <w:p w14:paraId="587D537B">
      <w:pPr>
        <w:spacing w:line="380" w:lineRule="exact"/>
        <w:ind w:firstLine="430" w:firstLineChars="205"/>
        <w:rPr>
          <w:rFonts w:ascii="宋体" w:hAnsi="宋体" w:cs="宋体"/>
          <w:color w:val="auto"/>
          <w:szCs w:val="21"/>
          <w:highlight w:val="none"/>
        </w:rPr>
      </w:pPr>
      <w:r>
        <w:rPr>
          <w:rFonts w:hint="eastAsia" w:ascii="宋体" w:hAnsi="宋体" w:cs="宋体"/>
          <w:color w:val="auto"/>
          <w:szCs w:val="21"/>
          <w:highlight w:val="none"/>
        </w:rPr>
        <w:t>九、本合同一式肆份，甲方执叁份，乙方执壹份，并从签订之日起生效。</w:t>
      </w:r>
    </w:p>
    <w:p w14:paraId="5CA96485">
      <w:pPr>
        <w:spacing w:line="400" w:lineRule="exact"/>
        <w:rPr>
          <w:rFonts w:ascii="宋体" w:hAnsi="宋体" w:cs="宋体"/>
          <w:color w:val="auto"/>
          <w:szCs w:val="21"/>
          <w:highlight w:val="none"/>
        </w:rPr>
      </w:pPr>
    </w:p>
    <w:p w14:paraId="38CC09E9">
      <w:pPr>
        <w:spacing w:line="400" w:lineRule="exact"/>
        <w:rPr>
          <w:rFonts w:ascii="宋体" w:hAnsi="宋体" w:cs="宋体"/>
          <w:b/>
          <w:color w:val="auto"/>
          <w:szCs w:val="21"/>
          <w:highlight w:val="none"/>
        </w:rPr>
      </w:pPr>
      <w:r>
        <w:rPr>
          <w:rFonts w:hint="eastAsia" w:ascii="宋体" w:hAnsi="宋体" w:cs="宋体"/>
          <w:b/>
          <w:color w:val="auto"/>
          <w:szCs w:val="21"/>
          <w:highlight w:val="none"/>
        </w:rPr>
        <w:t>甲方（盖章）：桂林医学院附属医院           乙方（盖章）：XXXXXXX</w:t>
      </w:r>
    </w:p>
    <w:p w14:paraId="217B5B74">
      <w:pPr>
        <w:spacing w:line="400" w:lineRule="exact"/>
        <w:rPr>
          <w:rFonts w:ascii="宋体" w:hAnsi="宋体" w:cs="宋体"/>
          <w:b/>
          <w:color w:val="auto"/>
          <w:szCs w:val="21"/>
          <w:highlight w:val="none"/>
        </w:rPr>
      </w:pPr>
      <w:r>
        <w:rPr>
          <w:rFonts w:hint="eastAsia" w:ascii="宋体" w:hAnsi="宋体" w:cs="宋体"/>
          <w:b/>
          <w:color w:val="auto"/>
          <w:szCs w:val="21"/>
          <w:highlight w:val="none"/>
        </w:rPr>
        <w:t>法定代表人（负责人）：                     法定代表人（负责人）：</w:t>
      </w:r>
    </w:p>
    <w:p w14:paraId="1727042E">
      <w:pPr>
        <w:spacing w:line="400" w:lineRule="exact"/>
        <w:rPr>
          <w:rFonts w:ascii="宋体" w:hAnsi="宋体" w:cs="宋体"/>
          <w:b/>
          <w:color w:val="auto"/>
          <w:szCs w:val="21"/>
          <w:highlight w:val="none"/>
          <w:u w:val="single"/>
        </w:rPr>
      </w:pPr>
      <w:r>
        <w:rPr>
          <w:rFonts w:hint="eastAsia" w:ascii="宋体" w:hAnsi="宋体" w:cs="宋体"/>
          <w:b/>
          <w:color w:val="auto"/>
          <w:szCs w:val="21"/>
          <w:highlight w:val="none"/>
        </w:rPr>
        <w:t>经办人签名：                              经办人签名：</w:t>
      </w:r>
    </w:p>
    <w:p w14:paraId="05569627">
      <w:pPr>
        <w:spacing w:line="400" w:lineRule="exact"/>
        <w:rPr>
          <w:rFonts w:ascii="宋体" w:hAnsi="宋体" w:cs="宋体"/>
          <w:b/>
          <w:color w:val="auto"/>
          <w:szCs w:val="21"/>
          <w:highlight w:val="none"/>
        </w:rPr>
      </w:pPr>
      <w:r>
        <w:rPr>
          <w:rFonts w:hint="eastAsia" w:ascii="宋体" w:hAnsi="宋体" w:cs="宋体"/>
          <w:b/>
          <w:color w:val="auto"/>
          <w:szCs w:val="21"/>
          <w:highlight w:val="none"/>
        </w:rPr>
        <w:t>签订日期：202    年   月   日             签订日期：202    年   月   日</w:t>
      </w:r>
    </w:p>
    <w:bookmarkEnd w:id="144"/>
    <w:p w14:paraId="286C1ED2">
      <w:pPr>
        <w:pStyle w:val="46"/>
        <w:ind w:firstLine="640"/>
        <w:rPr>
          <w:rFonts w:ascii="宋体" w:hAnsi="宋体" w:cs="宋体"/>
          <w:bCs/>
          <w:color w:val="auto"/>
          <w:szCs w:val="32"/>
          <w:highlight w:val="none"/>
        </w:rPr>
      </w:pPr>
    </w:p>
    <w:p w14:paraId="7D6F76DE">
      <w:pPr>
        <w:pStyle w:val="46"/>
        <w:ind w:firstLine="640"/>
        <w:rPr>
          <w:rFonts w:ascii="宋体" w:hAnsi="宋体" w:cs="宋体"/>
          <w:bCs/>
          <w:color w:val="auto"/>
          <w:szCs w:val="32"/>
          <w:highlight w:val="none"/>
        </w:rPr>
      </w:pPr>
    </w:p>
    <w:p w14:paraId="4B23741E">
      <w:pPr>
        <w:pStyle w:val="46"/>
        <w:ind w:firstLine="640"/>
        <w:rPr>
          <w:rFonts w:ascii="宋体" w:hAnsi="宋体" w:cs="宋体"/>
          <w:bCs/>
          <w:color w:val="auto"/>
          <w:szCs w:val="32"/>
          <w:highlight w:val="none"/>
        </w:rPr>
      </w:pPr>
    </w:p>
    <w:p w14:paraId="287B74EA">
      <w:pPr>
        <w:pStyle w:val="46"/>
        <w:ind w:firstLine="640"/>
        <w:rPr>
          <w:rFonts w:ascii="宋体" w:hAnsi="宋体" w:cs="宋体"/>
          <w:bCs/>
          <w:color w:val="auto"/>
          <w:szCs w:val="32"/>
          <w:highlight w:val="none"/>
        </w:rPr>
      </w:pPr>
    </w:p>
    <w:p w14:paraId="3C5EBC1C">
      <w:pPr>
        <w:rPr>
          <w:rFonts w:ascii="宋体" w:hAnsi="宋体" w:cs="宋体"/>
          <w:bCs/>
          <w:color w:val="auto"/>
          <w:sz w:val="32"/>
          <w:szCs w:val="32"/>
          <w:highlight w:val="none"/>
        </w:rPr>
      </w:pPr>
    </w:p>
    <w:p w14:paraId="12FFBD13">
      <w:pPr>
        <w:pStyle w:val="4"/>
        <w:rPr>
          <w:rFonts w:ascii="宋体" w:hAnsi="宋体" w:eastAsia="宋体" w:cs="宋体"/>
          <w:color w:val="auto"/>
          <w:highlight w:val="none"/>
        </w:rPr>
      </w:pPr>
    </w:p>
    <w:p w14:paraId="2E79EA79">
      <w:pPr>
        <w:rPr>
          <w:color w:val="auto"/>
          <w:highlight w:val="none"/>
        </w:rPr>
      </w:pPr>
    </w:p>
    <w:p w14:paraId="6CD03142">
      <w:pPr>
        <w:rPr>
          <w:rFonts w:ascii="宋体" w:hAnsi="宋体" w:cs="宋体"/>
          <w:bCs/>
          <w:color w:val="auto"/>
          <w:sz w:val="32"/>
          <w:szCs w:val="32"/>
          <w:highlight w:val="none"/>
        </w:rPr>
      </w:pPr>
    </w:p>
    <w:p w14:paraId="1C1C9BC3">
      <w:pPr>
        <w:rPr>
          <w:rFonts w:ascii="宋体" w:hAnsi="宋体" w:cs="宋体"/>
          <w:bCs/>
          <w:color w:val="auto"/>
          <w:sz w:val="32"/>
          <w:szCs w:val="32"/>
          <w:highlight w:val="none"/>
        </w:rPr>
      </w:pPr>
    </w:p>
    <w:p w14:paraId="28CA55F1">
      <w:pPr>
        <w:rPr>
          <w:rFonts w:ascii="宋体" w:hAnsi="宋体" w:cs="宋体"/>
          <w:bCs/>
          <w:color w:val="auto"/>
          <w:sz w:val="32"/>
          <w:szCs w:val="32"/>
          <w:highlight w:val="none"/>
        </w:rPr>
      </w:pPr>
    </w:p>
    <w:p w14:paraId="36150390">
      <w:pPr>
        <w:rPr>
          <w:rFonts w:ascii="宋体" w:hAnsi="宋体" w:cs="宋体"/>
          <w:bCs/>
          <w:color w:val="auto"/>
          <w:sz w:val="32"/>
          <w:szCs w:val="32"/>
          <w:highlight w:val="none"/>
        </w:rPr>
      </w:pPr>
    </w:p>
    <w:p w14:paraId="4CCBDF31">
      <w:pPr>
        <w:pStyle w:val="3"/>
        <w:jc w:val="center"/>
        <w:rPr>
          <w:rFonts w:ascii="宋体" w:hAnsi="宋体" w:cs="宋体"/>
          <w:color w:val="auto"/>
          <w:highlight w:val="none"/>
        </w:rPr>
      </w:pPr>
      <w:bookmarkStart w:id="145" w:name="_Toc143259166"/>
      <w:bookmarkStart w:id="146" w:name="_Toc74320805"/>
      <w:r>
        <w:rPr>
          <w:rFonts w:hint="eastAsia" w:ascii="宋体" w:hAnsi="宋体" w:cs="宋体"/>
          <w:color w:val="auto"/>
          <w:highlight w:val="none"/>
        </w:rPr>
        <w:t>第六章  投标文件格式</w:t>
      </w:r>
      <w:bookmarkEnd w:id="145"/>
      <w:bookmarkEnd w:id="146"/>
    </w:p>
    <w:p w14:paraId="4FB2A989">
      <w:pPr>
        <w:snapToGrid w:val="0"/>
        <w:spacing w:before="50" w:after="50"/>
        <w:outlineLvl w:val="1"/>
        <w:rPr>
          <w:rFonts w:ascii="宋体" w:hAnsi="宋体" w:cs="宋体"/>
          <w:color w:val="auto"/>
          <w:sz w:val="32"/>
          <w:szCs w:val="20"/>
          <w:highlight w:val="none"/>
        </w:rPr>
      </w:pPr>
    </w:p>
    <w:p w14:paraId="5EEF022B">
      <w:pPr>
        <w:snapToGrid w:val="0"/>
        <w:spacing w:before="50" w:after="50"/>
        <w:outlineLvl w:val="1"/>
        <w:rPr>
          <w:rFonts w:ascii="宋体" w:hAnsi="宋体" w:cs="宋体"/>
          <w:color w:val="auto"/>
          <w:sz w:val="32"/>
          <w:szCs w:val="20"/>
          <w:highlight w:val="none"/>
        </w:rPr>
      </w:pPr>
    </w:p>
    <w:p w14:paraId="38B0C2F9">
      <w:pPr>
        <w:snapToGrid w:val="0"/>
        <w:spacing w:before="50" w:after="50"/>
        <w:outlineLvl w:val="1"/>
        <w:rPr>
          <w:rFonts w:ascii="宋体" w:hAnsi="宋体" w:cs="宋体"/>
          <w:color w:val="auto"/>
          <w:sz w:val="32"/>
          <w:szCs w:val="20"/>
          <w:highlight w:val="none"/>
        </w:rPr>
      </w:pPr>
    </w:p>
    <w:p w14:paraId="5A992609">
      <w:pPr>
        <w:snapToGrid w:val="0"/>
        <w:spacing w:before="50" w:after="50"/>
        <w:outlineLvl w:val="1"/>
        <w:rPr>
          <w:rFonts w:ascii="宋体" w:hAnsi="宋体" w:cs="宋体"/>
          <w:color w:val="auto"/>
          <w:sz w:val="32"/>
          <w:szCs w:val="20"/>
          <w:highlight w:val="none"/>
        </w:rPr>
      </w:pPr>
    </w:p>
    <w:p w14:paraId="4AD7DDC6">
      <w:pPr>
        <w:snapToGrid w:val="0"/>
        <w:spacing w:before="50" w:after="50"/>
        <w:outlineLvl w:val="1"/>
        <w:rPr>
          <w:rFonts w:ascii="宋体" w:hAnsi="宋体" w:cs="宋体"/>
          <w:color w:val="auto"/>
          <w:sz w:val="32"/>
          <w:szCs w:val="20"/>
          <w:highlight w:val="none"/>
        </w:rPr>
      </w:pPr>
    </w:p>
    <w:p w14:paraId="1CAC8B43">
      <w:pPr>
        <w:snapToGrid w:val="0"/>
        <w:spacing w:before="50" w:after="50"/>
        <w:outlineLvl w:val="1"/>
        <w:rPr>
          <w:rFonts w:ascii="宋体" w:hAnsi="宋体" w:cs="宋体"/>
          <w:color w:val="auto"/>
          <w:sz w:val="32"/>
          <w:szCs w:val="20"/>
          <w:highlight w:val="none"/>
        </w:rPr>
      </w:pPr>
    </w:p>
    <w:p w14:paraId="4508545B">
      <w:pPr>
        <w:snapToGrid w:val="0"/>
        <w:spacing w:before="50" w:after="50"/>
        <w:outlineLvl w:val="1"/>
        <w:rPr>
          <w:rFonts w:ascii="宋体" w:hAnsi="宋体" w:cs="宋体"/>
          <w:color w:val="auto"/>
          <w:sz w:val="32"/>
          <w:szCs w:val="20"/>
          <w:highlight w:val="none"/>
        </w:rPr>
      </w:pPr>
    </w:p>
    <w:p w14:paraId="6909C231">
      <w:pPr>
        <w:snapToGrid w:val="0"/>
        <w:spacing w:before="50" w:after="50"/>
        <w:outlineLvl w:val="1"/>
        <w:rPr>
          <w:rFonts w:ascii="宋体" w:hAnsi="宋体" w:cs="宋体"/>
          <w:color w:val="auto"/>
          <w:sz w:val="32"/>
          <w:szCs w:val="20"/>
          <w:highlight w:val="none"/>
        </w:rPr>
      </w:pPr>
    </w:p>
    <w:p w14:paraId="69F6E3FA">
      <w:pPr>
        <w:snapToGrid w:val="0"/>
        <w:spacing w:before="50" w:after="50"/>
        <w:outlineLvl w:val="1"/>
        <w:rPr>
          <w:rFonts w:ascii="宋体" w:hAnsi="宋体" w:cs="宋体"/>
          <w:color w:val="auto"/>
          <w:sz w:val="32"/>
          <w:szCs w:val="20"/>
          <w:highlight w:val="none"/>
        </w:rPr>
      </w:pPr>
    </w:p>
    <w:p w14:paraId="70811120">
      <w:pPr>
        <w:snapToGrid w:val="0"/>
        <w:spacing w:before="50" w:after="50"/>
        <w:outlineLvl w:val="1"/>
        <w:rPr>
          <w:rFonts w:ascii="宋体" w:hAnsi="宋体" w:cs="宋体"/>
          <w:color w:val="auto"/>
          <w:sz w:val="32"/>
          <w:szCs w:val="20"/>
          <w:highlight w:val="none"/>
        </w:rPr>
      </w:pPr>
    </w:p>
    <w:p w14:paraId="205A1A3A">
      <w:pPr>
        <w:snapToGrid w:val="0"/>
        <w:spacing w:before="50" w:after="50"/>
        <w:outlineLvl w:val="1"/>
        <w:rPr>
          <w:rFonts w:ascii="宋体" w:hAnsi="宋体" w:cs="宋体"/>
          <w:color w:val="auto"/>
          <w:sz w:val="32"/>
          <w:szCs w:val="20"/>
          <w:highlight w:val="none"/>
        </w:rPr>
      </w:pPr>
    </w:p>
    <w:p w14:paraId="066392CD">
      <w:pPr>
        <w:snapToGrid w:val="0"/>
        <w:spacing w:before="50" w:after="50"/>
        <w:outlineLvl w:val="1"/>
        <w:rPr>
          <w:rFonts w:ascii="宋体" w:hAnsi="宋体" w:cs="宋体"/>
          <w:color w:val="auto"/>
          <w:sz w:val="32"/>
          <w:szCs w:val="20"/>
          <w:highlight w:val="none"/>
        </w:rPr>
      </w:pPr>
    </w:p>
    <w:p w14:paraId="7A7E9AC0">
      <w:pPr>
        <w:snapToGrid w:val="0"/>
        <w:spacing w:before="50" w:after="50"/>
        <w:outlineLvl w:val="1"/>
        <w:rPr>
          <w:rFonts w:ascii="宋体" w:hAnsi="宋体" w:cs="宋体"/>
          <w:color w:val="auto"/>
          <w:sz w:val="32"/>
          <w:szCs w:val="20"/>
          <w:highlight w:val="none"/>
        </w:rPr>
      </w:pPr>
    </w:p>
    <w:p w14:paraId="2D97D983">
      <w:pPr>
        <w:snapToGrid w:val="0"/>
        <w:spacing w:before="50" w:after="50"/>
        <w:outlineLvl w:val="1"/>
        <w:rPr>
          <w:rFonts w:ascii="宋体" w:hAnsi="宋体" w:cs="宋体"/>
          <w:color w:val="auto"/>
          <w:highlight w:val="none"/>
        </w:rPr>
      </w:pPr>
    </w:p>
    <w:p w14:paraId="63A52A45">
      <w:pPr>
        <w:rPr>
          <w:rFonts w:ascii="宋体" w:hAnsi="宋体" w:cs="宋体"/>
          <w:b/>
          <w:color w:val="auto"/>
          <w:sz w:val="28"/>
          <w:szCs w:val="28"/>
          <w:highlight w:val="none"/>
        </w:rPr>
      </w:pPr>
      <w:bookmarkStart w:id="147" w:name="_Toc19686836"/>
      <w:bookmarkStart w:id="148" w:name="_Toc254970557"/>
      <w:bookmarkStart w:id="149" w:name="_Toc254970698"/>
      <w:r>
        <w:rPr>
          <w:rFonts w:hint="eastAsia" w:ascii="宋体" w:hAnsi="宋体" w:cs="宋体"/>
          <w:b/>
          <w:color w:val="auto"/>
          <w:sz w:val="28"/>
          <w:szCs w:val="28"/>
          <w:highlight w:val="none"/>
        </w:rPr>
        <w:t>一、报价文件格式</w:t>
      </w:r>
      <w:bookmarkEnd w:id="147"/>
    </w:p>
    <w:p w14:paraId="5C58BFC3">
      <w:pPr>
        <w:snapToGrid w:val="0"/>
        <w:spacing w:before="120" w:beforeLines="50" w:after="50" w:line="360" w:lineRule="auto"/>
        <w:ind w:left="142"/>
        <w:jc w:val="left"/>
        <w:rPr>
          <w:rFonts w:ascii="宋体" w:hAnsi="宋体" w:cs="宋体"/>
          <w:b/>
          <w:color w:val="auto"/>
          <w:sz w:val="24"/>
          <w:highlight w:val="none"/>
        </w:rPr>
      </w:pPr>
      <w:r>
        <w:rPr>
          <w:rFonts w:hint="eastAsia" w:ascii="宋体" w:hAnsi="宋体" w:cs="宋体"/>
          <w:b/>
          <w:color w:val="auto"/>
          <w:sz w:val="24"/>
          <w:highlight w:val="none"/>
        </w:rPr>
        <w:t xml:space="preserve">1. 报价文件封面格式： </w:t>
      </w:r>
    </w:p>
    <w:p w14:paraId="034AABCF">
      <w:pPr>
        <w:snapToGrid w:val="0"/>
        <w:spacing w:before="120" w:beforeLines="50" w:after="50" w:line="360" w:lineRule="auto"/>
        <w:ind w:left="142"/>
        <w:jc w:val="center"/>
        <w:rPr>
          <w:rFonts w:ascii="宋体" w:hAnsi="宋体" w:cs="宋体"/>
          <w:bCs/>
          <w:color w:val="auto"/>
          <w:sz w:val="48"/>
          <w:szCs w:val="48"/>
          <w:highlight w:val="none"/>
        </w:rPr>
      </w:pPr>
      <w:r>
        <w:rPr>
          <w:rFonts w:hint="eastAsia" w:ascii="宋体" w:hAnsi="宋体" w:cs="宋体"/>
          <w:bCs/>
          <w:color w:val="auto"/>
          <w:sz w:val="48"/>
          <w:szCs w:val="48"/>
          <w:highlight w:val="none"/>
        </w:rPr>
        <w:t>电子投标文件</w:t>
      </w:r>
    </w:p>
    <w:p w14:paraId="1816F0F6">
      <w:pPr>
        <w:snapToGrid w:val="0"/>
        <w:spacing w:before="120" w:beforeLines="50" w:after="50" w:line="400" w:lineRule="exact"/>
        <w:jc w:val="left"/>
        <w:rPr>
          <w:rFonts w:ascii="宋体" w:hAnsi="宋体" w:cs="宋体"/>
          <w:bCs/>
          <w:color w:val="auto"/>
          <w:sz w:val="48"/>
          <w:szCs w:val="48"/>
          <w:highlight w:val="none"/>
        </w:rPr>
      </w:pPr>
    </w:p>
    <w:p w14:paraId="5EF93CCB">
      <w:pPr>
        <w:snapToGrid w:val="0"/>
        <w:spacing w:before="120" w:beforeLines="50" w:after="50" w:line="40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报  价  文  件</w:t>
      </w:r>
    </w:p>
    <w:p w14:paraId="68216967">
      <w:pPr>
        <w:snapToGrid w:val="0"/>
        <w:spacing w:before="120" w:beforeLines="50" w:after="50" w:line="400" w:lineRule="exact"/>
        <w:rPr>
          <w:rFonts w:ascii="宋体" w:hAnsi="宋体" w:cs="宋体"/>
          <w:bCs/>
          <w:color w:val="auto"/>
          <w:sz w:val="24"/>
          <w:szCs w:val="20"/>
          <w:highlight w:val="none"/>
        </w:rPr>
      </w:pPr>
    </w:p>
    <w:p w14:paraId="4576E2B6">
      <w:pPr>
        <w:snapToGrid w:val="0"/>
        <w:spacing w:before="120" w:beforeLines="50" w:after="50" w:line="400" w:lineRule="exact"/>
        <w:rPr>
          <w:rFonts w:ascii="宋体" w:hAnsi="宋体" w:cs="宋体"/>
          <w:bCs/>
          <w:color w:val="auto"/>
          <w:sz w:val="24"/>
          <w:szCs w:val="20"/>
          <w:highlight w:val="none"/>
        </w:rPr>
      </w:pPr>
    </w:p>
    <w:p w14:paraId="127BEB09">
      <w:pPr>
        <w:snapToGrid w:val="0"/>
        <w:spacing w:before="120" w:beforeLines="50" w:after="50" w:line="400" w:lineRule="exact"/>
        <w:rPr>
          <w:rFonts w:ascii="宋体" w:hAnsi="宋体" w:cs="宋体"/>
          <w:bCs/>
          <w:color w:val="auto"/>
          <w:sz w:val="24"/>
          <w:szCs w:val="20"/>
          <w:highlight w:val="none"/>
        </w:rPr>
      </w:pPr>
    </w:p>
    <w:p w14:paraId="26417DF6">
      <w:pPr>
        <w:snapToGrid w:val="0"/>
        <w:spacing w:before="120" w:beforeLines="50" w:after="50" w:line="400" w:lineRule="exact"/>
        <w:rPr>
          <w:rFonts w:ascii="宋体" w:hAnsi="宋体" w:cs="宋体"/>
          <w:bCs/>
          <w:color w:val="auto"/>
          <w:sz w:val="24"/>
          <w:szCs w:val="20"/>
          <w:highlight w:val="none"/>
        </w:rPr>
      </w:pPr>
    </w:p>
    <w:p w14:paraId="12A832E4">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6BAE8720">
      <w:pPr>
        <w:snapToGrid w:val="0"/>
        <w:spacing w:before="120" w:beforeLines="50" w:after="50" w:line="400" w:lineRule="exact"/>
        <w:ind w:firstLine="360" w:firstLineChars="150"/>
        <w:rPr>
          <w:rFonts w:ascii="宋体" w:hAnsi="宋体" w:cs="宋体"/>
          <w:bCs/>
          <w:color w:val="auto"/>
          <w:sz w:val="24"/>
          <w:highlight w:val="none"/>
        </w:rPr>
      </w:pPr>
    </w:p>
    <w:p w14:paraId="21EBC72F">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3ACC8E72">
      <w:pPr>
        <w:snapToGrid w:val="0"/>
        <w:spacing w:before="120" w:beforeLines="50" w:after="50" w:line="400" w:lineRule="exact"/>
        <w:ind w:firstLine="360" w:firstLineChars="150"/>
        <w:rPr>
          <w:rFonts w:ascii="宋体" w:hAnsi="宋体" w:cs="宋体"/>
          <w:bCs/>
          <w:color w:val="auto"/>
          <w:sz w:val="24"/>
          <w:highlight w:val="none"/>
        </w:rPr>
      </w:pPr>
    </w:p>
    <w:p w14:paraId="7CC8DFA2">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分标号：</w:t>
      </w:r>
    </w:p>
    <w:p w14:paraId="443F0AAD">
      <w:pPr>
        <w:snapToGrid w:val="0"/>
        <w:spacing w:before="120" w:beforeLines="50" w:after="50" w:line="400" w:lineRule="exact"/>
        <w:ind w:firstLine="360" w:firstLineChars="150"/>
        <w:rPr>
          <w:rFonts w:ascii="宋体" w:hAnsi="宋体" w:cs="宋体"/>
          <w:bCs/>
          <w:color w:val="auto"/>
          <w:sz w:val="24"/>
          <w:highlight w:val="none"/>
        </w:rPr>
      </w:pPr>
    </w:p>
    <w:p w14:paraId="551B2546">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079B6A1C">
      <w:pPr>
        <w:snapToGrid w:val="0"/>
        <w:spacing w:before="120" w:beforeLines="50" w:after="50" w:line="400" w:lineRule="exact"/>
        <w:ind w:firstLine="360" w:firstLineChars="150"/>
        <w:rPr>
          <w:rFonts w:ascii="宋体" w:hAnsi="宋体" w:cs="宋体"/>
          <w:bCs/>
          <w:color w:val="auto"/>
          <w:sz w:val="24"/>
          <w:highlight w:val="none"/>
        </w:rPr>
      </w:pPr>
    </w:p>
    <w:p w14:paraId="6C2C4446">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14:paraId="2BEE34F2">
      <w:pPr>
        <w:pStyle w:val="7"/>
        <w:snapToGrid w:val="0"/>
        <w:spacing w:before="50" w:after="50" w:line="400" w:lineRule="exact"/>
        <w:ind w:firstLine="960" w:firstLineChars="400"/>
        <w:rPr>
          <w:rFonts w:ascii="宋体" w:hAnsi="宋体" w:cs="宋体"/>
          <w:bCs/>
          <w:color w:val="auto"/>
          <w:sz w:val="24"/>
          <w:szCs w:val="24"/>
          <w:highlight w:val="none"/>
        </w:rPr>
      </w:pPr>
    </w:p>
    <w:p w14:paraId="22844A17">
      <w:pPr>
        <w:snapToGrid w:val="0"/>
        <w:spacing w:before="120" w:beforeLines="50" w:after="50" w:line="400" w:lineRule="exact"/>
        <w:rPr>
          <w:rFonts w:ascii="宋体" w:hAnsi="宋体" w:cs="宋体"/>
          <w:color w:val="auto"/>
          <w:sz w:val="30"/>
          <w:szCs w:val="20"/>
          <w:highlight w:val="none"/>
        </w:rPr>
      </w:pPr>
      <w:r>
        <w:rPr>
          <w:rFonts w:hint="eastAsia" w:ascii="宋体" w:hAnsi="宋体" w:cs="宋体"/>
          <w:color w:val="auto"/>
          <w:sz w:val="24"/>
          <w:highlight w:val="none"/>
        </w:rPr>
        <w:t xml:space="preserve">                                   年  月  日</w:t>
      </w:r>
    </w:p>
    <w:p w14:paraId="1696DE5C">
      <w:pPr>
        <w:snapToGrid w:val="0"/>
        <w:spacing w:before="120" w:beforeLines="50" w:after="50" w:line="360" w:lineRule="auto"/>
        <w:jc w:val="left"/>
        <w:rPr>
          <w:rFonts w:ascii="宋体" w:hAnsi="宋体" w:cs="宋体"/>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2.</w:t>
      </w:r>
      <w:r>
        <w:rPr>
          <w:rFonts w:hint="eastAsia" w:ascii="宋体" w:hAnsi="宋体" w:cs="宋体"/>
          <w:b/>
          <w:bCs/>
          <w:color w:val="auto"/>
          <w:sz w:val="24"/>
          <w:highlight w:val="none"/>
        </w:rPr>
        <w:t>报价文件目录</w:t>
      </w:r>
    </w:p>
    <w:p w14:paraId="1D9A0422">
      <w:pPr>
        <w:snapToGrid w:val="0"/>
        <w:spacing w:before="50" w:after="120" w:afterLines="50" w:line="360" w:lineRule="auto"/>
        <w:jc w:val="left"/>
        <w:rPr>
          <w:rFonts w:ascii="宋体" w:hAnsi="宋体" w:cs="宋体"/>
          <w:b/>
          <w:color w:val="auto"/>
          <w:sz w:val="24"/>
          <w:highlight w:val="none"/>
        </w:rPr>
      </w:pPr>
      <w:r>
        <w:rPr>
          <w:rFonts w:hint="eastAsia" w:ascii="宋体" w:hAnsi="宋体" w:cs="宋体"/>
          <w:color w:val="auto"/>
          <w:szCs w:val="21"/>
          <w:highlight w:val="none"/>
        </w:rPr>
        <w:t>根据招标文件规定及投标人提供的材料自行编写目录。</w:t>
      </w:r>
    </w:p>
    <w:p w14:paraId="7B2A0A27">
      <w:pPr>
        <w:snapToGrid w:val="0"/>
        <w:spacing w:before="120" w:beforeLines="50" w:after="50"/>
        <w:rPr>
          <w:rFonts w:ascii="宋体" w:hAnsi="宋体" w:cs="宋体"/>
          <w:b/>
          <w:color w:val="auto"/>
          <w:sz w:val="24"/>
          <w:highlight w:val="none"/>
        </w:rPr>
      </w:pPr>
    </w:p>
    <w:p w14:paraId="4C73676D">
      <w:pPr>
        <w:snapToGrid w:val="0"/>
        <w:spacing w:before="120" w:beforeLines="50" w:after="50"/>
        <w:rPr>
          <w:rFonts w:ascii="宋体" w:hAnsi="宋体" w:cs="宋体"/>
          <w:b/>
          <w:color w:val="auto"/>
          <w:sz w:val="24"/>
          <w:highlight w:val="none"/>
        </w:rPr>
      </w:pPr>
    </w:p>
    <w:p w14:paraId="68AC989F">
      <w:pPr>
        <w:snapToGrid w:val="0"/>
        <w:spacing w:before="120" w:beforeLines="50" w:after="50"/>
        <w:rPr>
          <w:rFonts w:ascii="宋体" w:hAnsi="宋体" w:cs="宋体"/>
          <w:b/>
          <w:color w:val="auto"/>
          <w:sz w:val="24"/>
          <w:highlight w:val="none"/>
        </w:rPr>
      </w:pPr>
    </w:p>
    <w:p w14:paraId="3EF56C3D">
      <w:pPr>
        <w:snapToGrid w:val="0"/>
        <w:spacing w:before="120"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3.部分</w:t>
      </w:r>
      <w:r>
        <w:rPr>
          <w:rFonts w:hint="eastAsia" w:ascii="宋体" w:hAnsi="宋体" w:cs="宋体"/>
          <w:b/>
          <w:bCs/>
          <w:color w:val="auto"/>
          <w:sz w:val="24"/>
          <w:highlight w:val="none"/>
        </w:rPr>
        <w:t>报价</w:t>
      </w:r>
      <w:r>
        <w:rPr>
          <w:rFonts w:hint="eastAsia" w:ascii="宋体" w:hAnsi="宋体" w:cs="宋体"/>
          <w:b/>
          <w:color w:val="auto"/>
          <w:sz w:val="24"/>
          <w:highlight w:val="none"/>
        </w:rPr>
        <w:t>文件格式</w:t>
      </w:r>
    </w:p>
    <w:p w14:paraId="2AE14C9D">
      <w:pPr>
        <w:snapToGrid w:val="0"/>
        <w:spacing w:before="120" w:beforeLines="50" w:after="50"/>
        <w:ind w:left="142"/>
        <w:jc w:val="left"/>
        <w:rPr>
          <w:rFonts w:ascii="宋体" w:hAnsi="宋体" w:cs="宋体"/>
          <w:b/>
          <w:color w:val="auto"/>
          <w:sz w:val="24"/>
          <w:highlight w:val="none"/>
        </w:rPr>
      </w:pPr>
    </w:p>
    <w:p w14:paraId="7D8A5AE0">
      <w:pPr>
        <w:snapToGrid w:val="0"/>
        <w:spacing w:before="120"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t>投标函：</w:t>
      </w:r>
    </w:p>
    <w:p w14:paraId="048C43EE">
      <w:pPr>
        <w:snapToGrid w:val="0"/>
        <w:spacing w:before="120" w:beforeLines="50" w:after="50" w:line="360" w:lineRule="auto"/>
        <w:jc w:val="center"/>
        <w:rPr>
          <w:rFonts w:ascii="宋体" w:hAnsi="宋体" w:cs="宋体"/>
          <w:bCs/>
          <w:color w:val="auto"/>
          <w:sz w:val="44"/>
          <w:szCs w:val="44"/>
          <w:highlight w:val="none"/>
        </w:rPr>
      </w:pPr>
      <w:r>
        <w:rPr>
          <w:rFonts w:hint="eastAsia" w:ascii="宋体" w:hAnsi="宋体" w:cs="宋体"/>
          <w:bCs/>
          <w:color w:val="auto"/>
          <w:sz w:val="44"/>
          <w:szCs w:val="44"/>
          <w:highlight w:val="none"/>
        </w:rPr>
        <w:t>投 标 函</w:t>
      </w:r>
    </w:p>
    <w:p w14:paraId="055020E9">
      <w:pPr>
        <w:snapToGrid w:val="0"/>
        <w:spacing w:before="120" w:beforeLines="50" w:after="50" w:line="320" w:lineRule="exact"/>
        <w:jc w:val="center"/>
        <w:rPr>
          <w:rFonts w:ascii="宋体" w:hAnsi="宋体" w:cs="宋体"/>
          <w:b/>
          <w:color w:val="auto"/>
          <w:sz w:val="32"/>
          <w:szCs w:val="32"/>
          <w:highlight w:val="none"/>
        </w:rPr>
      </w:pPr>
    </w:p>
    <w:p w14:paraId="26FA22A7">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3A0ACC74">
      <w:pPr>
        <w:spacing w:line="360" w:lineRule="auto"/>
        <w:ind w:firstLine="480"/>
        <w:contextualSpacing/>
        <w:rPr>
          <w:rFonts w:ascii="宋体" w:hAnsi="宋体" w:cs="宋体"/>
          <w:color w:val="auto"/>
          <w:sz w:val="24"/>
          <w:highlight w:val="none"/>
        </w:rPr>
      </w:pPr>
      <w:r>
        <w:rPr>
          <w:rFonts w:hint="eastAsia" w:ascii="宋体" w:hAnsi="宋体" w:cs="宋体"/>
          <w:color w:val="auto"/>
          <w:sz w:val="24"/>
          <w:highlight w:val="none"/>
        </w:rPr>
        <w:t>根据贵方</w:t>
      </w:r>
      <w:r>
        <w:rPr>
          <w:rFonts w:hint="eastAsia" w:ascii="宋体" w:hAnsi="宋体" w:cs="宋体"/>
          <w:color w:val="auto"/>
          <w:sz w:val="24"/>
          <w:highlight w:val="none"/>
          <w:u w:val="single"/>
        </w:rPr>
        <w:t xml:space="preserve"> 项目名称</w:t>
      </w:r>
      <w:r>
        <w:rPr>
          <w:rFonts w:hint="eastAsia" w:ascii="宋体" w:hAnsi="宋体" w:cs="宋体"/>
          <w:color w:val="auto"/>
          <w:sz w:val="24"/>
          <w:highlight w:val="none"/>
        </w:rPr>
        <w:t>（项目编号：______）的招标公告，签字代表______（姓名）经正式授权并代表投标人______（投标人名称）提交投标文件。</w:t>
      </w:r>
    </w:p>
    <w:p w14:paraId="56EF45A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据此函，我方宣布同意如下：</w:t>
      </w:r>
    </w:p>
    <w:p w14:paraId="109E90F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419A45F5">
      <w:pPr>
        <w:spacing w:line="40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2.我方在投标之前已经完全理解并接受招标文件的各项规定和要求，对招标文件的合理性、合法性不再有异议。</w:t>
      </w:r>
    </w:p>
    <w:p w14:paraId="5A5A8471">
      <w:pPr>
        <w:spacing w:line="40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3.本投标有效期自投标截止之日起180日。</w:t>
      </w:r>
    </w:p>
    <w:p w14:paraId="142CFD88">
      <w:pPr>
        <w:spacing w:line="40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4.如中标，本投标文件至本项目合同履行完毕止均保持有效，我方将按“招标文件”及政府采购法律、法规的规定履行合同责任和义务。</w:t>
      </w:r>
    </w:p>
    <w:p w14:paraId="7483AE91">
      <w:pPr>
        <w:spacing w:line="400" w:lineRule="exact"/>
        <w:ind w:firstLine="420"/>
        <w:rPr>
          <w:rFonts w:ascii="宋体" w:hAnsi="宋体" w:cs="宋体"/>
          <w:color w:val="auto"/>
          <w:kern w:val="0"/>
          <w:sz w:val="24"/>
          <w:highlight w:val="none"/>
        </w:rPr>
      </w:pPr>
      <w:r>
        <w:rPr>
          <w:rFonts w:hint="eastAsia" w:ascii="宋体" w:hAnsi="宋体" w:cs="宋体"/>
          <w:color w:val="auto"/>
          <w:sz w:val="24"/>
          <w:highlight w:val="none"/>
        </w:rPr>
        <w:t>5.我方承诺，</w:t>
      </w:r>
      <w:r>
        <w:rPr>
          <w:rFonts w:hint="eastAsia" w:ascii="宋体" w:hAnsi="宋体" w:cs="宋体"/>
          <w:color w:val="auto"/>
          <w:kern w:val="0"/>
          <w:sz w:val="24"/>
          <w:highlight w:val="none"/>
        </w:rPr>
        <w:t>如我方中标，我方保证按本项目招标文件的规定及标准向贵单位一次性足额支付代理服务费。代理服务费发票我方选择开具：□</w:t>
      </w:r>
      <w:r>
        <w:rPr>
          <w:rFonts w:hint="eastAsia" w:ascii="宋体" w:hAnsi="宋体" w:cs="宋体"/>
          <w:color w:val="auto"/>
          <w:kern w:val="0"/>
          <w:sz w:val="24"/>
          <w:highlight w:val="none"/>
          <w:u w:val="single"/>
        </w:rPr>
        <w:t>增值税普通发票</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增值税专用发票</w:t>
      </w:r>
      <w:r>
        <w:rPr>
          <w:rFonts w:hint="eastAsia" w:ascii="宋体" w:hAnsi="宋体" w:cs="宋体"/>
          <w:color w:val="auto"/>
          <w:kern w:val="0"/>
          <w:sz w:val="24"/>
          <w:highlight w:val="none"/>
        </w:rPr>
        <w:t>，开票信息如下：</w:t>
      </w:r>
    </w:p>
    <w:p w14:paraId="3FE562CA">
      <w:pPr>
        <w:spacing w:line="400" w:lineRule="exact"/>
        <w:ind w:firstLine="420"/>
        <w:rPr>
          <w:rFonts w:ascii="宋体" w:hAnsi="宋体" w:cs="宋体"/>
          <w:color w:val="auto"/>
          <w:kern w:val="0"/>
          <w:sz w:val="24"/>
          <w:highlight w:val="none"/>
        </w:rPr>
      </w:pPr>
      <w:r>
        <w:rPr>
          <w:rFonts w:hint="eastAsia" w:ascii="宋体" w:hAnsi="宋体" w:cs="宋体"/>
          <w:color w:val="auto"/>
          <w:kern w:val="0"/>
          <w:sz w:val="24"/>
          <w:highlight w:val="none"/>
        </w:rPr>
        <w:t>①公司名称：</w:t>
      </w:r>
    </w:p>
    <w:p w14:paraId="58E6AE6F">
      <w:pPr>
        <w:spacing w:line="400" w:lineRule="exact"/>
        <w:ind w:firstLine="420"/>
        <w:rPr>
          <w:rFonts w:ascii="宋体" w:hAnsi="宋体" w:cs="宋体"/>
          <w:color w:val="auto"/>
          <w:kern w:val="0"/>
          <w:sz w:val="24"/>
          <w:highlight w:val="none"/>
        </w:rPr>
      </w:pPr>
      <w:r>
        <w:rPr>
          <w:rFonts w:hint="eastAsia" w:ascii="宋体" w:hAnsi="宋体" w:cs="宋体"/>
          <w:color w:val="auto"/>
          <w:kern w:val="0"/>
          <w:sz w:val="24"/>
          <w:highlight w:val="none"/>
        </w:rPr>
        <w:t>②纳税人识别号：</w:t>
      </w:r>
    </w:p>
    <w:p w14:paraId="36D8E5C8">
      <w:pPr>
        <w:spacing w:line="40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6.我方同意按照贵方要求提供与投标有关的一切数据或者资料。</w:t>
      </w:r>
    </w:p>
    <w:p w14:paraId="68FB3339">
      <w:pPr>
        <w:spacing w:line="40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7.我方向贵方提交的所有投标文件、资料都是准确的和真实的。</w:t>
      </w:r>
    </w:p>
    <w:p w14:paraId="50938031">
      <w:pPr>
        <w:spacing w:line="40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1F3D839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9.根据《中华人民共和国政府采购法实施条例》第五十条要求对政府采购合同进行公告，但政府采购合同中涉及国家秘密、商业秘密的内容除外。我方就对本次投标文件进行注明如下：（两项内容中必须选择一项）</w:t>
      </w:r>
    </w:p>
    <w:p w14:paraId="08EF0E7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□我方本次投标文件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18B04BC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□我方本次投标文件</w:t>
      </w:r>
      <w:r>
        <w:rPr>
          <w:rFonts w:hint="eastAsia" w:ascii="宋体" w:hAnsi="宋体" w:cs="宋体"/>
          <w:color w:val="auto"/>
          <w:kern w:val="0"/>
          <w:sz w:val="24"/>
          <w:highlight w:val="none"/>
        </w:rPr>
        <w:t>涉及商业秘密的内容有：</w:t>
      </w:r>
      <w:r>
        <w:rPr>
          <w:rFonts w:hint="eastAsia" w:ascii="宋体" w:hAnsi="宋体" w:cs="宋体"/>
          <w:color w:val="auto"/>
          <w:sz w:val="24"/>
          <w:highlight w:val="none"/>
          <w:u w:val="single"/>
        </w:rPr>
        <w:t xml:space="preserve">          ；</w:t>
      </w:r>
    </w:p>
    <w:p w14:paraId="13991329">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10.与本投标有关的一切正式往来信函请寄：</w:t>
      </w:r>
    </w:p>
    <w:p w14:paraId="5854BD4B">
      <w:pPr>
        <w:spacing w:line="360" w:lineRule="auto"/>
        <w:ind w:firstLine="480" w:firstLineChars="200"/>
        <w:contextualSpacing/>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_               </w:t>
      </w:r>
      <w:r>
        <w:rPr>
          <w:rFonts w:hint="eastAsia" w:ascii="宋体" w:hAnsi="宋体" w:cs="宋体"/>
          <w:color w:val="auto"/>
          <w:sz w:val="24"/>
          <w:highlight w:val="none"/>
        </w:rPr>
        <w:t>邮编：______</w:t>
      </w:r>
      <w:r>
        <w:rPr>
          <w:rFonts w:hint="eastAsia" w:ascii="宋体" w:hAnsi="宋体" w:cs="宋体"/>
          <w:color w:val="auto"/>
          <w:sz w:val="24"/>
          <w:highlight w:val="none"/>
          <w:u w:val="single"/>
        </w:rPr>
        <w:t xml:space="preserve">               </w:t>
      </w:r>
    </w:p>
    <w:p w14:paraId="574445E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电话：</w:t>
      </w:r>
      <w:r>
        <w:rPr>
          <w:rFonts w:hint="eastAsia" w:ascii="宋体" w:hAnsi="宋体" w:cs="宋体"/>
          <w:color w:val="auto"/>
          <w:sz w:val="24"/>
          <w:highlight w:val="none"/>
          <w:u w:val="single"/>
        </w:rPr>
        <w:t xml:space="preserve">_               </w:t>
      </w:r>
      <w:r>
        <w:rPr>
          <w:rFonts w:hint="eastAsia" w:ascii="宋体" w:hAnsi="宋体" w:cs="宋体"/>
          <w:color w:val="auto"/>
          <w:sz w:val="24"/>
          <w:highlight w:val="none"/>
        </w:rPr>
        <w:t>传真：</w:t>
      </w:r>
      <w:r>
        <w:rPr>
          <w:rFonts w:hint="eastAsia" w:ascii="宋体" w:hAnsi="宋体" w:cs="宋体"/>
          <w:color w:val="auto"/>
          <w:sz w:val="24"/>
          <w:highlight w:val="none"/>
          <w:u w:val="single"/>
        </w:rPr>
        <w:t xml:space="preserve">_               </w:t>
      </w:r>
      <w:r>
        <w:rPr>
          <w:rFonts w:hint="eastAsia" w:ascii="宋体" w:hAnsi="宋体" w:cs="宋体"/>
          <w:color w:val="auto"/>
          <w:sz w:val="24"/>
          <w:highlight w:val="none"/>
        </w:rPr>
        <w:t xml:space="preserve"> 电子邮箱：______</w:t>
      </w:r>
      <w:r>
        <w:rPr>
          <w:rFonts w:hint="eastAsia" w:ascii="宋体" w:hAnsi="宋体" w:cs="宋体"/>
          <w:color w:val="auto"/>
          <w:sz w:val="24"/>
          <w:highlight w:val="none"/>
          <w:u w:val="single"/>
        </w:rPr>
        <w:t xml:space="preserve">              </w:t>
      </w:r>
    </w:p>
    <w:p w14:paraId="76838DAB">
      <w:pPr>
        <w:spacing w:line="360" w:lineRule="auto"/>
        <w:ind w:firstLine="480" w:firstLineChars="200"/>
        <w:contextualSpacing/>
        <w:rPr>
          <w:rFonts w:ascii="宋体" w:hAnsi="宋体" w:cs="宋体"/>
          <w:color w:val="auto"/>
          <w:sz w:val="24"/>
          <w:highlight w:val="none"/>
          <w:u w:val="single"/>
        </w:rPr>
      </w:pPr>
      <w:r>
        <w:rPr>
          <w:rFonts w:hint="eastAsia" w:ascii="宋体" w:hAnsi="宋体" w:cs="宋体"/>
          <w:color w:val="auto"/>
          <w:sz w:val="24"/>
          <w:highlight w:val="none"/>
        </w:rPr>
        <w:t>投标人名称:______</w:t>
      </w:r>
      <w:r>
        <w:rPr>
          <w:rFonts w:hint="eastAsia" w:ascii="宋体" w:hAnsi="宋体" w:cs="宋体"/>
          <w:color w:val="auto"/>
          <w:sz w:val="24"/>
          <w:highlight w:val="none"/>
          <w:u w:val="single"/>
        </w:rPr>
        <w:t xml:space="preserve">            </w:t>
      </w:r>
    </w:p>
    <w:p w14:paraId="58041C9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_               </w:t>
      </w:r>
      <w:r>
        <w:rPr>
          <w:rFonts w:hint="eastAsia" w:ascii="宋体" w:hAnsi="宋体" w:cs="宋体"/>
          <w:color w:val="auto"/>
          <w:sz w:val="24"/>
          <w:highlight w:val="none"/>
        </w:rPr>
        <w:t xml:space="preserve">   银行账号：______</w:t>
      </w:r>
      <w:r>
        <w:rPr>
          <w:rFonts w:hint="eastAsia" w:ascii="宋体" w:hAnsi="宋体" w:cs="宋体"/>
          <w:color w:val="auto"/>
          <w:sz w:val="24"/>
          <w:highlight w:val="none"/>
          <w:u w:val="single"/>
        </w:rPr>
        <w:t xml:space="preserve">               </w:t>
      </w:r>
    </w:p>
    <w:p w14:paraId="1B6DF6FA">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 xml:space="preserve">法定代表人或者委托代理人（签字或者电子签名）:___________ </w:t>
      </w:r>
    </w:p>
    <w:p w14:paraId="0410ABD2">
      <w:pPr>
        <w:pStyle w:val="25"/>
        <w:spacing w:line="360" w:lineRule="auto"/>
        <w:contextualSpacing/>
        <w:jc w:val="center"/>
        <w:rPr>
          <w:rFonts w:hAnsi="宋体" w:cs="宋体"/>
          <w:color w:val="auto"/>
          <w:sz w:val="24"/>
          <w:highlight w:val="none"/>
        </w:rPr>
      </w:pPr>
    </w:p>
    <w:p w14:paraId="063E22C7">
      <w:pPr>
        <w:pStyle w:val="25"/>
        <w:spacing w:line="360" w:lineRule="auto"/>
        <w:contextualSpacing/>
        <w:jc w:val="center"/>
        <w:rPr>
          <w:rFonts w:hAnsi="宋体" w:cs="宋体"/>
          <w:color w:val="auto"/>
          <w:sz w:val="24"/>
          <w:highlight w:val="none"/>
        </w:rPr>
      </w:pPr>
    </w:p>
    <w:p w14:paraId="711FDCFD">
      <w:pPr>
        <w:pStyle w:val="25"/>
        <w:spacing w:line="360" w:lineRule="auto"/>
        <w:contextualSpacing/>
        <w:jc w:val="center"/>
        <w:rPr>
          <w:rFonts w:hAnsi="宋体" w:cs="宋体"/>
          <w:color w:val="auto"/>
          <w:sz w:val="24"/>
          <w:szCs w:val="24"/>
          <w:highlight w:val="none"/>
          <w:u w:val="single"/>
        </w:rPr>
      </w:pPr>
      <w:r>
        <w:rPr>
          <w:rFonts w:hint="eastAsia" w:hAnsi="宋体" w:cs="宋体"/>
          <w:color w:val="auto"/>
          <w:sz w:val="24"/>
          <w:highlight w:val="none"/>
        </w:rPr>
        <w:t>投标人名称（电子签章）：</w:t>
      </w:r>
    </w:p>
    <w:p w14:paraId="4E0C0A22">
      <w:pPr>
        <w:pStyle w:val="25"/>
        <w:spacing w:line="360" w:lineRule="auto"/>
        <w:ind w:firstLine="3360" w:firstLineChars="1400"/>
        <w:contextualSpacing/>
        <w:rPr>
          <w:rFonts w:hAnsi="宋体" w:cs="宋体"/>
          <w:color w:val="auto"/>
          <w:sz w:val="24"/>
          <w:highlight w:val="none"/>
        </w:rPr>
      </w:pPr>
      <w:r>
        <w:rPr>
          <w:rFonts w:hint="eastAsia" w:hAnsi="宋体" w:cs="宋体"/>
          <w:color w:val="auto"/>
          <w:sz w:val="24"/>
          <w:szCs w:val="24"/>
          <w:highlight w:val="none"/>
        </w:rPr>
        <w:t>年  月  日</w:t>
      </w:r>
    </w:p>
    <w:p w14:paraId="5D7BC85D">
      <w:pPr>
        <w:snapToGrid w:val="0"/>
        <w:spacing w:before="120" w:beforeLines="50" w:after="50"/>
        <w:jc w:val="left"/>
        <w:rPr>
          <w:rFonts w:ascii="宋体" w:hAnsi="宋体" w:cs="宋体"/>
          <w:b/>
          <w:color w:val="auto"/>
          <w:sz w:val="24"/>
          <w:szCs w:val="20"/>
          <w:highlight w:val="none"/>
        </w:rPr>
      </w:pPr>
      <w:r>
        <w:rPr>
          <w:rFonts w:hint="eastAsia" w:ascii="宋体" w:hAnsi="宋体" w:cs="宋体"/>
          <w:color w:val="auto"/>
          <w:highlight w:val="none"/>
          <w:u w:val="single"/>
        </w:rPr>
        <w:br w:type="page"/>
      </w:r>
      <w:r>
        <w:rPr>
          <w:rFonts w:hint="eastAsia" w:ascii="宋体" w:hAnsi="宋体" w:cs="宋体"/>
          <w:b/>
          <w:color w:val="auto"/>
          <w:sz w:val="24"/>
          <w:highlight w:val="none"/>
        </w:rPr>
        <w:t>开标一览表</w:t>
      </w:r>
    </w:p>
    <w:p w14:paraId="51157D4C">
      <w:pPr>
        <w:snapToGrid w:val="0"/>
        <w:spacing w:before="50" w:after="50" w:line="340" w:lineRule="exact"/>
        <w:jc w:val="center"/>
        <w:rPr>
          <w:rFonts w:ascii="宋体" w:hAnsi="宋体" w:cs="宋体"/>
          <w:b/>
          <w:color w:val="auto"/>
          <w:sz w:val="30"/>
          <w:highlight w:val="none"/>
        </w:rPr>
      </w:pPr>
      <w:r>
        <w:rPr>
          <w:rFonts w:hint="eastAsia" w:ascii="宋体" w:hAnsi="宋体" w:cs="宋体"/>
          <w:b/>
          <w:color w:val="auto"/>
          <w:sz w:val="30"/>
          <w:highlight w:val="none"/>
        </w:rPr>
        <w:t>开标一览表</w:t>
      </w:r>
    </w:p>
    <w:p w14:paraId="69915888">
      <w:pPr>
        <w:snapToGrid w:val="0"/>
        <w:spacing w:before="50" w:after="50" w:line="340" w:lineRule="exact"/>
        <w:jc w:val="center"/>
        <w:rPr>
          <w:rFonts w:ascii="宋体" w:hAnsi="宋体" w:cs="宋体"/>
          <w:b/>
          <w:color w:val="auto"/>
          <w:sz w:val="30"/>
          <w:szCs w:val="20"/>
          <w:highlight w:val="none"/>
        </w:rPr>
      </w:pPr>
    </w:p>
    <w:p w14:paraId="617C71FB">
      <w:pPr>
        <w:snapToGrid w:val="0"/>
        <w:spacing w:before="50" w:after="50" w:line="340" w:lineRule="exact"/>
        <w:rPr>
          <w:rFonts w:ascii="宋体" w:hAnsi="宋体" w:cs="宋体"/>
          <w:color w:val="auto"/>
          <w:sz w:val="24"/>
          <w:highlight w:val="none"/>
        </w:rPr>
      </w:pPr>
      <w:r>
        <w:rPr>
          <w:rFonts w:hint="eastAsia" w:ascii="宋体" w:hAnsi="宋体" w:cs="宋体"/>
          <w:color w:val="auto"/>
          <w:sz w:val="24"/>
          <w:highlight w:val="none"/>
        </w:rPr>
        <w:t xml:space="preserve">项目名称：                         项目编号：            </w:t>
      </w:r>
    </w:p>
    <w:p w14:paraId="6FBDD7F8">
      <w:pPr>
        <w:snapToGrid w:val="0"/>
        <w:spacing w:before="50" w:after="50" w:line="340" w:lineRule="exact"/>
        <w:rPr>
          <w:rFonts w:ascii="宋体" w:hAnsi="宋体" w:cs="宋体"/>
          <w:color w:val="auto"/>
          <w:sz w:val="24"/>
          <w:highlight w:val="none"/>
        </w:rPr>
      </w:pPr>
      <w:r>
        <w:rPr>
          <w:rFonts w:hint="eastAsia" w:ascii="宋体" w:hAnsi="宋体" w:cs="宋体"/>
          <w:color w:val="auto"/>
          <w:sz w:val="24"/>
          <w:highlight w:val="none"/>
        </w:rPr>
        <w:t xml:space="preserve">投标人名称：                       单位：元    </w:t>
      </w:r>
    </w:p>
    <w:p w14:paraId="3CC1EBD1">
      <w:pPr>
        <w:snapToGrid w:val="0"/>
        <w:spacing w:before="50" w:after="50" w:line="340" w:lineRule="exact"/>
        <w:rPr>
          <w:rFonts w:ascii="宋体" w:hAnsi="宋体" w:cs="宋体"/>
          <w:color w:val="auto"/>
          <w:sz w:val="24"/>
          <w:highlight w:val="none"/>
        </w:rPr>
      </w:pPr>
      <w:r>
        <w:rPr>
          <w:rFonts w:hint="eastAsia" w:ascii="宋体" w:hAnsi="宋体" w:cs="宋体"/>
          <w:color w:val="auto"/>
          <w:sz w:val="24"/>
          <w:highlight w:val="none"/>
        </w:rPr>
        <w:t>分标______</w:t>
      </w:r>
    </w:p>
    <w:tbl>
      <w:tblPr>
        <w:tblStyle w:val="47"/>
        <w:tblW w:w="4931"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4"/>
        <w:gridCol w:w="1358"/>
        <w:gridCol w:w="709"/>
        <w:gridCol w:w="1010"/>
        <w:gridCol w:w="623"/>
        <w:gridCol w:w="875"/>
        <w:gridCol w:w="807"/>
        <w:gridCol w:w="1084"/>
        <w:gridCol w:w="1180"/>
      </w:tblGrid>
      <w:tr w14:paraId="798872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555" w:type="pct"/>
            <w:tcBorders>
              <w:top w:val="single" w:color="auto" w:sz="4" w:space="0"/>
              <w:left w:val="single" w:color="auto" w:sz="4" w:space="0"/>
              <w:bottom w:val="single" w:color="auto" w:sz="4" w:space="0"/>
              <w:right w:val="single" w:color="auto" w:sz="4" w:space="0"/>
            </w:tcBorders>
            <w:vAlign w:val="center"/>
          </w:tcPr>
          <w:p w14:paraId="6BB74D61">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790" w:type="pct"/>
            <w:tcBorders>
              <w:top w:val="single" w:color="auto" w:sz="4" w:space="0"/>
              <w:left w:val="single" w:color="auto" w:sz="4" w:space="0"/>
              <w:bottom w:val="single" w:color="auto" w:sz="4" w:space="0"/>
              <w:right w:val="single" w:color="auto" w:sz="4" w:space="0"/>
            </w:tcBorders>
            <w:vAlign w:val="center"/>
          </w:tcPr>
          <w:p w14:paraId="694FD446">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标的的名称</w:t>
            </w:r>
          </w:p>
        </w:tc>
        <w:tc>
          <w:tcPr>
            <w:tcW w:w="412" w:type="pct"/>
            <w:tcBorders>
              <w:top w:val="single" w:color="auto" w:sz="4" w:space="0"/>
              <w:left w:val="single" w:color="auto" w:sz="4" w:space="0"/>
              <w:bottom w:val="single" w:color="auto" w:sz="4" w:space="0"/>
              <w:right w:val="single" w:color="auto" w:sz="4" w:space="0"/>
            </w:tcBorders>
            <w:vAlign w:val="center"/>
          </w:tcPr>
          <w:p w14:paraId="73EB2AD9">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产地</w:t>
            </w:r>
          </w:p>
        </w:tc>
        <w:tc>
          <w:tcPr>
            <w:tcW w:w="587" w:type="pct"/>
            <w:tcBorders>
              <w:top w:val="single" w:color="auto" w:sz="4" w:space="0"/>
              <w:left w:val="single" w:color="auto" w:sz="4" w:space="0"/>
              <w:bottom w:val="single" w:color="auto" w:sz="4" w:space="0"/>
              <w:right w:val="single" w:color="auto" w:sz="4" w:space="0"/>
            </w:tcBorders>
            <w:vAlign w:val="center"/>
          </w:tcPr>
          <w:p w14:paraId="68A0D9E9">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生产厂家（制造商）</w:t>
            </w:r>
          </w:p>
        </w:tc>
        <w:tc>
          <w:tcPr>
            <w:tcW w:w="362" w:type="pct"/>
            <w:tcBorders>
              <w:top w:val="single" w:color="auto" w:sz="4" w:space="0"/>
              <w:left w:val="single" w:color="auto" w:sz="4" w:space="0"/>
              <w:bottom w:val="single" w:color="auto" w:sz="4" w:space="0"/>
              <w:right w:val="single" w:color="auto" w:sz="4" w:space="0"/>
            </w:tcBorders>
            <w:vAlign w:val="center"/>
          </w:tcPr>
          <w:p w14:paraId="523353A9">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品牌</w:t>
            </w:r>
          </w:p>
        </w:tc>
        <w:tc>
          <w:tcPr>
            <w:tcW w:w="509" w:type="pct"/>
            <w:tcBorders>
              <w:top w:val="single" w:color="auto" w:sz="4" w:space="0"/>
              <w:left w:val="single" w:color="auto" w:sz="4" w:space="0"/>
              <w:bottom w:val="single" w:color="auto" w:sz="4" w:space="0"/>
              <w:right w:val="single" w:color="auto" w:sz="4" w:space="0"/>
            </w:tcBorders>
            <w:vAlign w:val="center"/>
          </w:tcPr>
          <w:p w14:paraId="012C2E48">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469" w:type="pct"/>
            <w:tcBorders>
              <w:top w:val="single" w:color="auto" w:sz="4" w:space="0"/>
              <w:left w:val="single" w:color="auto" w:sz="4" w:space="0"/>
              <w:bottom w:val="single" w:color="auto" w:sz="4" w:space="0"/>
              <w:right w:val="single" w:color="auto" w:sz="4" w:space="0"/>
            </w:tcBorders>
            <w:vAlign w:val="center"/>
          </w:tcPr>
          <w:p w14:paraId="4E1F8CCC">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数量及单位①</w:t>
            </w:r>
          </w:p>
        </w:tc>
        <w:tc>
          <w:tcPr>
            <w:tcW w:w="630" w:type="pct"/>
            <w:tcBorders>
              <w:top w:val="single" w:color="auto" w:sz="4" w:space="0"/>
              <w:left w:val="single" w:color="auto" w:sz="4" w:space="0"/>
              <w:bottom w:val="single" w:color="auto" w:sz="4" w:space="0"/>
              <w:right w:val="single" w:color="auto" w:sz="4" w:space="0"/>
            </w:tcBorders>
            <w:vAlign w:val="center"/>
          </w:tcPr>
          <w:p w14:paraId="4542AE9C">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p w14:paraId="0C04EEFE">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②</w:t>
            </w:r>
          </w:p>
        </w:tc>
        <w:tc>
          <w:tcPr>
            <w:tcW w:w="683" w:type="pct"/>
            <w:tcBorders>
              <w:top w:val="single" w:color="auto" w:sz="4" w:space="0"/>
              <w:left w:val="single" w:color="auto" w:sz="4" w:space="0"/>
              <w:bottom w:val="single" w:color="auto" w:sz="4" w:space="0"/>
              <w:right w:val="single" w:color="auto" w:sz="4" w:space="0"/>
            </w:tcBorders>
            <w:vAlign w:val="center"/>
          </w:tcPr>
          <w:p w14:paraId="0ABE1F14">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w:t>
            </w:r>
          </w:p>
          <w:p w14:paraId="7E60A0BA">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③=①×②</w:t>
            </w:r>
          </w:p>
        </w:tc>
      </w:tr>
      <w:tr w14:paraId="1E6642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555" w:type="pct"/>
            <w:tcBorders>
              <w:top w:val="single" w:color="auto" w:sz="4" w:space="0"/>
              <w:left w:val="single" w:color="auto" w:sz="4" w:space="0"/>
              <w:bottom w:val="single" w:color="auto" w:sz="4" w:space="0"/>
              <w:right w:val="single" w:color="auto" w:sz="4" w:space="0"/>
            </w:tcBorders>
            <w:vAlign w:val="center"/>
          </w:tcPr>
          <w:p w14:paraId="64B99BCD">
            <w:pPr>
              <w:tabs>
                <w:tab w:val="left" w:pos="180"/>
                <w:tab w:val="left" w:pos="1620"/>
              </w:tabs>
              <w:adjustRightInd w:val="0"/>
              <w:snapToGrid w:val="0"/>
              <w:spacing w:line="360" w:lineRule="exact"/>
              <w:jc w:val="center"/>
              <w:rPr>
                <w:rFonts w:ascii="宋体" w:hAnsi="宋体" w:cs="宋体"/>
                <w:b/>
                <w:color w:val="auto"/>
                <w:sz w:val="24"/>
                <w:highlight w:val="none"/>
              </w:rPr>
            </w:pPr>
            <w:r>
              <w:rPr>
                <w:rFonts w:hint="eastAsia" w:ascii="宋体" w:hAnsi="宋体" w:cs="宋体"/>
                <w:b/>
                <w:color w:val="auto"/>
                <w:sz w:val="24"/>
                <w:highlight w:val="none"/>
              </w:rPr>
              <w:t>1</w:t>
            </w:r>
          </w:p>
        </w:tc>
        <w:tc>
          <w:tcPr>
            <w:tcW w:w="790" w:type="pct"/>
            <w:tcBorders>
              <w:top w:val="single" w:color="auto" w:sz="4" w:space="0"/>
              <w:left w:val="single" w:color="auto" w:sz="4" w:space="0"/>
              <w:bottom w:val="single" w:color="auto" w:sz="4" w:space="0"/>
              <w:right w:val="single" w:color="auto" w:sz="4" w:space="0"/>
            </w:tcBorders>
            <w:vAlign w:val="center"/>
          </w:tcPr>
          <w:p w14:paraId="4338D7C2">
            <w:pPr>
              <w:tabs>
                <w:tab w:val="left" w:pos="180"/>
                <w:tab w:val="left" w:pos="1620"/>
              </w:tabs>
              <w:adjustRightInd w:val="0"/>
              <w:snapToGrid w:val="0"/>
              <w:spacing w:line="360" w:lineRule="exact"/>
              <w:jc w:val="center"/>
              <w:rPr>
                <w:rFonts w:ascii="宋体" w:hAnsi="宋体" w:cs="宋体"/>
                <w:b/>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vAlign w:val="center"/>
          </w:tcPr>
          <w:p w14:paraId="0AD1443D">
            <w:pPr>
              <w:snapToGrid w:val="0"/>
              <w:spacing w:before="50" w:after="50" w:line="360" w:lineRule="auto"/>
              <w:jc w:val="center"/>
              <w:rPr>
                <w:rFonts w:ascii="宋体" w:hAnsi="宋体" w:cs="宋体"/>
                <w:b/>
                <w:color w:val="auto"/>
                <w:sz w:val="24"/>
                <w:highlight w:val="none"/>
              </w:rPr>
            </w:pPr>
          </w:p>
        </w:tc>
        <w:tc>
          <w:tcPr>
            <w:tcW w:w="587" w:type="pct"/>
            <w:tcBorders>
              <w:top w:val="single" w:color="auto" w:sz="4" w:space="0"/>
              <w:left w:val="single" w:color="auto" w:sz="4" w:space="0"/>
              <w:bottom w:val="single" w:color="auto" w:sz="4" w:space="0"/>
              <w:right w:val="single" w:color="auto" w:sz="4" w:space="0"/>
            </w:tcBorders>
            <w:vAlign w:val="center"/>
          </w:tcPr>
          <w:p w14:paraId="7BF029F1">
            <w:pPr>
              <w:snapToGrid w:val="0"/>
              <w:spacing w:before="50" w:after="50" w:line="360" w:lineRule="auto"/>
              <w:jc w:val="center"/>
              <w:rPr>
                <w:rFonts w:ascii="宋体" w:hAnsi="宋体" w:cs="宋体"/>
                <w:b/>
                <w:color w:val="auto"/>
                <w:sz w:val="24"/>
                <w:highlight w:val="none"/>
              </w:rPr>
            </w:pPr>
          </w:p>
        </w:tc>
        <w:tc>
          <w:tcPr>
            <w:tcW w:w="362" w:type="pct"/>
            <w:tcBorders>
              <w:top w:val="single" w:color="auto" w:sz="4" w:space="0"/>
              <w:left w:val="single" w:color="auto" w:sz="4" w:space="0"/>
              <w:bottom w:val="single" w:color="auto" w:sz="4" w:space="0"/>
              <w:right w:val="single" w:color="auto" w:sz="4" w:space="0"/>
            </w:tcBorders>
            <w:vAlign w:val="center"/>
          </w:tcPr>
          <w:p w14:paraId="5B9E3EDA">
            <w:pPr>
              <w:snapToGrid w:val="0"/>
              <w:spacing w:before="50" w:after="50" w:line="360" w:lineRule="auto"/>
              <w:rPr>
                <w:rFonts w:ascii="宋体" w:hAnsi="宋体" w:cs="宋体"/>
                <w:color w:val="auto"/>
                <w:sz w:val="24"/>
                <w:highlight w:val="none"/>
              </w:rPr>
            </w:pPr>
          </w:p>
        </w:tc>
        <w:tc>
          <w:tcPr>
            <w:tcW w:w="509" w:type="pct"/>
            <w:tcBorders>
              <w:top w:val="single" w:color="auto" w:sz="4" w:space="0"/>
              <w:left w:val="single" w:color="auto" w:sz="4" w:space="0"/>
              <w:bottom w:val="single" w:color="auto" w:sz="4" w:space="0"/>
              <w:right w:val="single" w:color="auto" w:sz="4" w:space="0"/>
            </w:tcBorders>
          </w:tcPr>
          <w:p w14:paraId="0C364DCD">
            <w:pPr>
              <w:snapToGrid w:val="0"/>
              <w:spacing w:before="50" w:after="50" w:line="360" w:lineRule="auto"/>
              <w:rPr>
                <w:rFonts w:ascii="宋体" w:hAnsi="宋体" w:cs="宋体"/>
                <w:color w:val="auto"/>
                <w:sz w:val="24"/>
                <w:highlight w:val="none"/>
              </w:rPr>
            </w:pPr>
          </w:p>
        </w:tc>
        <w:tc>
          <w:tcPr>
            <w:tcW w:w="469" w:type="pct"/>
            <w:tcBorders>
              <w:top w:val="single" w:color="auto" w:sz="4" w:space="0"/>
              <w:left w:val="single" w:color="auto" w:sz="4" w:space="0"/>
              <w:bottom w:val="single" w:color="auto" w:sz="4" w:space="0"/>
              <w:right w:val="single" w:color="auto" w:sz="4" w:space="0"/>
            </w:tcBorders>
            <w:vAlign w:val="center"/>
          </w:tcPr>
          <w:p w14:paraId="0710315F">
            <w:pPr>
              <w:snapToGrid w:val="0"/>
              <w:spacing w:before="50" w:after="50" w:line="360" w:lineRule="auto"/>
              <w:rPr>
                <w:rFonts w:ascii="宋体" w:hAnsi="宋体" w:cs="宋体"/>
                <w:color w:val="auto"/>
                <w:sz w:val="24"/>
                <w:highlight w:val="none"/>
              </w:rPr>
            </w:pPr>
          </w:p>
        </w:tc>
        <w:tc>
          <w:tcPr>
            <w:tcW w:w="630" w:type="pct"/>
            <w:tcBorders>
              <w:top w:val="single" w:color="auto" w:sz="4" w:space="0"/>
              <w:left w:val="single" w:color="auto" w:sz="4" w:space="0"/>
              <w:bottom w:val="single" w:color="auto" w:sz="4" w:space="0"/>
              <w:right w:val="single" w:color="auto" w:sz="4" w:space="0"/>
            </w:tcBorders>
            <w:vAlign w:val="center"/>
          </w:tcPr>
          <w:p w14:paraId="018D17B3">
            <w:pPr>
              <w:snapToGrid w:val="0"/>
              <w:spacing w:before="50" w:after="50" w:line="360" w:lineRule="auto"/>
              <w:rPr>
                <w:rFonts w:ascii="宋体" w:hAnsi="宋体" w:cs="宋体"/>
                <w:color w:val="auto"/>
                <w:sz w:val="24"/>
                <w:highlight w:val="none"/>
              </w:rPr>
            </w:pPr>
          </w:p>
        </w:tc>
        <w:tc>
          <w:tcPr>
            <w:tcW w:w="683" w:type="pct"/>
            <w:tcBorders>
              <w:top w:val="single" w:color="auto" w:sz="4" w:space="0"/>
              <w:left w:val="single" w:color="auto" w:sz="4" w:space="0"/>
              <w:bottom w:val="single" w:color="auto" w:sz="4" w:space="0"/>
              <w:right w:val="single" w:color="auto" w:sz="4" w:space="0"/>
            </w:tcBorders>
            <w:vAlign w:val="center"/>
          </w:tcPr>
          <w:p w14:paraId="789A5661">
            <w:pPr>
              <w:snapToGrid w:val="0"/>
              <w:spacing w:before="50" w:after="50" w:line="360" w:lineRule="auto"/>
              <w:rPr>
                <w:rFonts w:ascii="宋体" w:hAnsi="宋体" w:cs="宋体"/>
                <w:color w:val="auto"/>
                <w:sz w:val="24"/>
                <w:highlight w:val="none"/>
              </w:rPr>
            </w:pPr>
          </w:p>
        </w:tc>
      </w:tr>
      <w:tr w14:paraId="34DF02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555" w:type="pct"/>
            <w:tcBorders>
              <w:top w:val="single" w:color="auto" w:sz="4" w:space="0"/>
              <w:left w:val="single" w:color="auto" w:sz="4" w:space="0"/>
              <w:bottom w:val="single" w:color="auto" w:sz="4" w:space="0"/>
              <w:right w:val="single" w:color="auto" w:sz="4" w:space="0"/>
            </w:tcBorders>
            <w:vAlign w:val="center"/>
          </w:tcPr>
          <w:p w14:paraId="4C375FB9">
            <w:pPr>
              <w:tabs>
                <w:tab w:val="left" w:pos="180"/>
                <w:tab w:val="left" w:pos="1620"/>
              </w:tabs>
              <w:adjustRightInd w:val="0"/>
              <w:snapToGrid w:val="0"/>
              <w:spacing w:line="360" w:lineRule="exact"/>
              <w:jc w:val="center"/>
              <w:rPr>
                <w:rFonts w:ascii="宋体" w:hAnsi="宋体" w:cs="宋体"/>
                <w:b/>
                <w:color w:val="auto"/>
                <w:sz w:val="24"/>
                <w:highlight w:val="none"/>
              </w:rPr>
            </w:pPr>
            <w:r>
              <w:rPr>
                <w:rFonts w:hint="eastAsia" w:ascii="宋体" w:hAnsi="宋体" w:cs="宋体"/>
                <w:b/>
                <w:color w:val="auto"/>
                <w:sz w:val="24"/>
                <w:highlight w:val="none"/>
              </w:rPr>
              <w:t>2</w:t>
            </w:r>
          </w:p>
        </w:tc>
        <w:tc>
          <w:tcPr>
            <w:tcW w:w="790" w:type="pct"/>
            <w:tcBorders>
              <w:top w:val="single" w:color="auto" w:sz="4" w:space="0"/>
              <w:left w:val="single" w:color="auto" w:sz="4" w:space="0"/>
              <w:bottom w:val="single" w:color="auto" w:sz="4" w:space="0"/>
              <w:right w:val="single" w:color="auto" w:sz="4" w:space="0"/>
            </w:tcBorders>
            <w:vAlign w:val="center"/>
          </w:tcPr>
          <w:p w14:paraId="4D2850B9">
            <w:pPr>
              <w:tabs>
                <w:tab w:val="left" w:pos="180"/>
                <w:tab w:val="left" w:pos="1620"/>
              </w:tabs>
              <w:adjustRightInd w:val="0"/>
              <w:snapToGrid w:val="0"/>
              <w:spacing w:line="360" w:lineRule="exact"/>
              <w:jc w:val="center"/>
              <w:rPr>
                <w:rFonts w:ascii="宋体" w:hAnsi="宋体" w:cs="宋体"/>
                <w:b/>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vAlign w:val="center"/>
          </w:tcPr>
          <w:p w14:paraId="191C9DAE">
            <w:pPr>
              <w:snapToGrid w:val="0"/>
              <w:spacing w:before="50" w:after="50" w:line="360" w:lineRule="auto"/>
              <w:jc w:val="center"/>
              <w:rPr>
                <w:rFonts w:ascii="宋体" w:hAnsi="宋体" w:cs="宋体"/>
                <w:b/>
                <w:color w:val="auto"/>
                <w:sz w:val="24"/>
                <w:highlight w:val="none"/>
              </w:rPr>
            </w:pPr>
          </w:p>
        </w:tc>
        <w:tc>
          <w:tcPr>
            <w:tcW w:w="587" w:type="pct"/>
            <w:tcBorders>
              <w:top w:val="single" w:color="auto" w:sz="4" w:space="0"/>
              <w:left w:val="single" w:color="auto" w:sz="4" w:space="0"/>
              <w:bottom w:val="single" w:color="auto" w:sz="4" w:space="0"/>
              <w:right w:val="single" w:color="auto" w:sz="4" w:space="0"/>
            </w:tcBorders>
            <w:vAlign w:val="center"/>
          </w:tcPr>
          <w:p w14:paraId="51CF2E1F">
            <w:pPr>
              <w:snapToGrid w:val="0"/>
              <w:spacing w:before="50" w:after="50" w:line="360" w:lineRule="auto"/>
              <w:jc w:val="center"/>
              <w:rPr>
                <w:rFonts w:ascii="宋体" w:hAnsi="宋体" w:cs="宋体"/>
                <w:b/>
                <w:color w:val="auto"/>
                <w:sz w:val="24"/>
                <w:highlight w:val="none"/>
              </w:rPr>
            </w:pPr>
          </w:p>
        </w:tc>
        <w:tc>
          <w:tcPr>
            <w:tcW w:w="362" w:type="pct"/>
            <w:tcBorders>
              <w:top w:val="single" w:color="auto" w:sz="4" w:space="0"/>
              <w:left w:val="single" w:color="auto" w:sz="4" w:space="0"/>
              <w:bottom w:val="single" w:color="auto" w:sz="4" w:space="0"/>
              <w:right w:val="single" w:color="auto" w:sz="4" w:space="0"/>
            </w:tcBorders>
            <w:vAlign w:val="center"/>
          </w:tcPr>
          <w:p w14:paraId="7ECAC08A">
            <w:pPr>
              <w:snapToGrid w:val="0"/>
              <w:spacing w:before="50" w:after="50" w:line="360" w:lineRule="auto"/>
              <w:rPr>
                <w:rFonts w:ascii="宋体" w:hAnsi="宋体" w:cs="宋体"/>
                <w:color w:val="auto"/>
                <w:sz w:val="24"/>
                <w:highlight w:val="none"/>
              </w:rPr>
            </w:pPr>
          </w:p>
        </w:tc>
        <w:tc>
          <w:tcPr>
            <w:tcW w:w="509" w:type="pct"/>
            <w:tcBorders>
              <w:top w:val="single" w:color="auto" w:sz="4" w:space="0"/>
              <w:left w:val="single" w:color="auto" w:sz="4" w:space="0"/>
              <w:bottom w:val="single" w:color="auto" w:sz="4" w:space="0"/>
              <w:right w:val="single" w:color="auto" w:sz="4" w:space="0"/>
            </w:tcBorders>
          </w:tcPr>
          <w:p w14:paraId="37E632D7">
            <w:pPr>
              <w:snapToGrid w:val="0"/>
              <w:spacing w:before="50" w:after="50" w:line="360" w:lineRule="auto"/>
              <w:rPr>
                <w:rFonts w:ascii="宋体" w:hAnsi="宋体" w:cs="宋体"/>
                <w:color w:val="auto"/>
                <w:sz w:val="24"/>
                <w:highlight w:val="none"/>
              </w:rPr>
            </w:pPr>
          </w:p>
        </w:tc>
        <w:tc>
          <w:tcPr>
            <w:tcW w:w="469" w:type="pct"/>
            <w:tcBorders>
              <w:top w:val="single" w:color="auto" w:sz="4" w:space="0"/>
              <w:left w:val="single" w:color="auto" w:sz="4" w:space="0"/>
              <w:bottom w:val="single" w:color="auto" w:sz="4" w:space="0"/>
              <w:right w:val="single" w:color="auto" w:sz="4" w:space="0"/>
            </w:tcBorders>
            <w:vAlign w:val="center"/>
          </w:tcPr>
          <w:p w14:paraId="131C6754">
            <w:pPr>
              <w:snapToGrid w:val="0"/>
              <w:spacing w:before="50" w:after="50" w:line="360" w:lineRule="auto"/>
              <w:rPr>
                <w:rFonts w:ascii="宋体" w:hAnsi="宋体" w:cs="宋体"/>
                <w:color w:val="auto"/>
                <w:sz w:val="24"/>
                <w:highlight w:val="none"/>
              </w:rPr>
            </w:pPr>
          </w:p>
        </w:tc>
        <w:tc>
          <w:tcPr>
            <w:tcW w:w="630" w:type="pct"/>
            <w:tcBorders>
              <w:top w:val="single" w:color="auto" w:sz="4" w:space="0"/>
              <w:left w:val="single" w:color="auto" w:sz="4" w:space="0"/>
              <w:bottom w:val="single" w:color="auto" w:sz="4" w:space="0"/>
              <w:right w:val="single" w:color="auto" w:sz="4" w:space="0"/>
            </w:tcBorders>
            <w:vAlign w:val="center"/>
          </w:tcPr>
          <w:p w14:paraId="37B87557">
            <w:pPr>
              <w:snapToGrid w:val="0"/>
              <w:spacing w:before="50" w:after="50" w:line="360" w:lineRule="auto"/>
              <w:rPr>
                <w:rFonts w:ascii="宋体" w:hAnsi="宋体" w:cs="宋体"/>
                <w:color w:val="auto"/>
                <w:sz w:val="24"/>
                <w:highlight w:val="none"/>
              </w:rPr>
            </w:pPr>
          </w:p>
        </w:tc>
        <w:tc>
          <w:tcPr>
            <w:tcW w:w="683" w:type="pct"/>
            <w:tcBorders>
              <w:top w:val="single" w:color="auto" w:sz="4" w:space="0"/>
              <w:left w:val="single" w:color="auto" w:sz="4" w:space="0"/>
              <w:bottom w:val="single" w:color="auto" w:sz="4" w:space="0"/>
              <w:right w:val="single" w:color="auto" w:sz="4" w:space="0"/>
            </w:tcBorders>
            <w:vAlign w:val="center"/>
          </w:tcPr>
          <w:p w14:paraId="2544CAAA">
            <w:pPr>
              <w:snapToGrid w:val="0"/>
              <w:spacing w:before="50" w:after="50" w:line="360" w:lineRule="auto"/>
              <w:rPr>
                <w:rFonts w:ascii="宋体" w:hAnsi="宋体" w:cs="宋体"/>
                <w:color w:val="auto"/>
                <w:sz w:val="24"/>
                <w:highlight w:val="none"/>
              </w:rPr>
            </w:pPr>
          </w:p>
        </w:tc>
      </w:tr>
      <w:tr w14:paraId="75D043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555" w:type="pct"/>
            <w:tcBorders>
              <w:top w:val="single" w:color="auto" w:sz="4" w:space="0"/>
              <w:left w:val="single" w:color="auto" w:sz="4" w:space="0"/>
              <w:bottom w:val="single" w:color="auto" w:sz="4" w:space="0"/>
              <w:right w:val="single" w:color="auto" w:sz="4" w:space="0"/>
            </w:tcBorders>
            <w:vAlign w:val="center"/>
          </w:tcPr>
          <w:p w14:paraId="13D03E7B">
            <w:pPr>
              <w:tabs>
                <w:tab w:val="left" w:pos="180"/>
                <w:tab w:val="left" w:pos="1620"/>
              </w:tabs>
              <w:adjustRightInd w:val="0"/>
              <w:snapToGrid w:val="0"/>
              <w:spacing w:line="360" w:lineRule="exact"/>
              <w:jc w:val="center"/>
              <w:rPr>
                <w:rFonts w:ascii="宋体" w:hAnsi="宋体" w:cs="宋体"/>
                <w:b/>
                <w:color w:val="auto"/>
                <w:sz w:val="24"/>
                <w:highlight w:val="none"/>
              </w:rPr>
            </w:pPr>
            <w:r>
              <w:rPr>
                <w:rFonts w:hint="eastAsia" w:ascii="宋体" w:hAnsi="宋体" w:cs="宋体"/>
                <w:b/>
                <w:color w:val="auto"/>
                <w:sz w:val="24"/>
                <w:highlight w:val="none"/>
              </w:rPr>
              <w:t>......</w:t>
            </w:r>
          </w:p>
        </w:tc>
        <w:tc>
          <w:tcPr>
            <w:tcW w:w="790" w:type="pct"/>
            <w:tcBorders>
              <w:top w:val="single" w:color="auto" w:sz="4" w:space="0"/>
              <w:left w:val="single" w:color="auto" w:sz="4" w:space="0"/>
              <w:bottom w:val="single" w:color="auto" w:sz="4" w:space="0"/>
              <w:right w:val="single" w:color="auto" w:sz="4" w:space="0"/>
            </w:tcBorders>
            <w:vAlign w:val="center"/>
          </w:tcPr>
          <w:p w14:paraId="743695E6">
            <w:pPr>
              <w:tabs>
                <w:tab w:val="left" w:pos="180"/>
                <w:tab w:val="left" w:pos="1620"/>
              </w:tabs>
              <w:adjustRightInd w:val="0"/>
              <w:snapToGrid w:val="0"/>
              <w:spacing w:line="360" w:lineRule="exact"/>
              <w:jc w:val="center"/>
              <w:rPr>
                <w:rFonts w:ascii="宋体" w:hAnsi="宋体" w:cs="宋体"/>
                <w:b/>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vAlign w:val="center"/>
          </w:tcPr>
          <w:p w14:paraId="01C751FA">
            <w:pPr>
              <w:snapToGrid w:val="0"/>
              <w:spacing w:before="50" w:after="50" w:line="360" w:lineRule="auto"/>
              <w:jc w:val="center"/>
              <w:rPr>
                <w:rFonts w:ascii="宋体" w:hAnsi="宋体" w:cs="宋体"/>
                <w:b/>
                <w:color w:val="auto"/>
                <w:sz w:val="24"/>
                <w:highlight w:val="none"/>
              </w:rPr>
            </w:pPr>
          </w:p>
        </w:tc>
        <w:tc>
          <w:tcPr>
            <w:tcW w:w="587" w:type="pct"/>
            <w:tcBorders>
              <w:top w:val="single" w:color="auto" w:sz="4" w:space="0"/>
              <w:left w:val="single" w:color="auto" w:sz="4" w:space="0"/>
              <w:bottom w:val="single" w:color="auto" w:sz="4" w:space="0"/>
              <w:right w:val="single" w:color="auto" w:sz="4" w:space="0"/>
            </w:tcBorders>
            <w:vAlign w:val="center"/>
          </w:tcPr>
          <w:p w14:paraId="6FBA0DCB">
            <w:pPr>
              <w:snapToGrid w:val="0"/>
              <w:spacing w:before="50" w:after="50" w:line="360" w:lineRule="auto"/>
              <w:jc w:val="center"/>
              <w:rPr>
                <w:rFonts w:ascii="宋体" w:hAnsi="宋体" w:cs="宋体"/>
                <w:b/>
                <w:color w:val="auto"/>
                <w:sz w:val="24"/>
                <w:highlight w:val="none"/>
              </w:rPr>
            </w:pPr>
          </w:p>
        </w:tc>
        <w:tc>
          <w:tcPr>
            <w:tcW w:w="362" w:type="pct"/>
            <w:tcBorders>
              <w:top w:val="single" w:color="auto" w:sz="4" w:space="0"/>
              <w:left w:val="single" w:color="auto" w:sz="4" w:space="0"/>
              <w:bottom w:val="single" w:color="auto" w:sz="4" w:space="0"/>
              <w:right w:val="single" w:color="auto" w:sz="4" w:space="0"/>
            </w:tcBorders>
            <w:vAlign w:val="center"/>
          </w:tcPr>
          <w:p w14:paraId="79B6FEE2">
            <w:pPr>
              <w:snapToGrid w:val="0"/>
              <w:spacing w:before="50" w:after="50" w:line="360" w:lineRule="auto"/>
              <w:rPr>
                <w:rFonts w:ascii="宋体" w:hAnsi="宋体" w:cs="宋体"/>
                <w:color w:val="auto"/>
                <w:sz w:val="24"/>
                <w:highlight w:val="none"/>
              </w:rPr>
            </w:pPr>
          </w:p>
        </w:tc>
        <w:tc>
          <w:tcPr>
            <w:tcW w:w="509" w:type="pct"/>
            <w:tcBorders>
              <w:top w:val="single" w:color="auto" w:sz="4" w:space="0"/>
              <w:left w:val="single" w:color="auto" w:sz="4" w:space="0"/>
              <w:bottom w:val="single" w:color="auto" w:sz="4" w:space="0"/>
              <w:right w:val="single" w:color="auto" w:sz="4" w:space="0"/>
            </w:tcBorders>
          </w:tcPr>
          <w:p w14:paraId="72639D7E">
            <w:pPr>
              <w:snapToGrid w:val="0"/>
              <w:spacing w:before="50" w:after="50" w:line="360" w:lineRule="auto"/>
              <w:rPr>
                <w:rFonts w:ascii="宋体" w:hAnsi="宋体" w:cs="宋体"/>
                <w:color w:val="auto"/>
                <w:sz w:val="24"/>
                <w:highlight w:val="none"/>
              </w:rPr>
            </w:pPr>
          </w:p>
        </w:tc>
        <w:tc>
          <w:tcPr>
            <w:tcW w:w="469" w:type="pct"/>
            <w:tcBorders>
              <w:top w:val="single" w:color="auto" w:sz="4" w:space="0"/>
              <w:left w:val="single" w:color="auto" w:sz="4" w:space="0"/>
              <w:bottom w:val="single" w:color="auto" w:sz="4" w:space="0"/>
              <w:right w:val="single" w:color="auto" w:sz="4" w:space="0"/>
            </w:tcBorders>
            <w:vAlign w:val="center"/>
          </w:tcPr>
          <w:p w14:paraId="29021827">
            <w:pPr>
              <w:snapToGrid w:val="0"/>
              <w:spacing w:before="50" w:after="50" w:line="360" w:lineRule="auto"/>
              <w:rPr>
                <w:rFonts w:ascii="宋体" w:hAnsi="宋体" w:cs="宋体"/>
                <w:color w:val="auto"/>
                <w:sz w:val="24"/>
                <w:highlight w:val="none"/>
              </w:rPr>
            </w:pPr>
          </w:p>
        </w:tc>
        <w:tc>
          <w:tcPr>
            <w:tcW w:w="630" w:type="pct"/>
            <w:tcBorders>
              <w:top w:val="single" w:color="auto" w:sz="4" w:space="0"/>
              <w:left w:val="single" w:color="auto" w:sz="4" w:space="0"/>
              <w:bottom w:val="single" w:color="auto" w:sz="4" w:space="0"/>
              <w:right w:val="single" w:color="auto" w:sz="4" w:space="0"/>
            </w:tcBorders>
            <w:vAlign w:val="center"/>
          </w:tcPr>
          <w:p w14:paraId="03BCCFEA">
            <w:pPr>
              <w:snapToGrid w:val="0"/>
              <w:spacing w:before="50" w:after="50" w:line="360" w:lineRule="auto"/>
              <w:rPr>
                <w:rFonts w:ascii="宋体" w:hAnsi="宋体" w:cs="宋体"/>
                <w:color w:val="auto"/>
                <w:sz w:val="24"/>
                <w:highlight w:val="none"/>
              </w:rPr>
            </w:pPr>
          </w:p>
        </w:tc>
        <w:tc>
          <w:tcPr>
            <w:tcW w:w="683" w:type="pct"/>
            <w:tcBorders>
              <w:top w:val="single" w:color="auto" w:sz="4" w:space="0"/>
              <w:left w:val="single" w:color="auto" w:sz="4" w:space="0"/>
              <w:bottom w:val="single" w:color="auto" w:sz="4" w:space="0"/>
              <w:right w:val="single" w:color="auto" w:sz="4" w:space="0"/>
            </w:tcBorders>
            <w:vAlign w:val="center"/>
          </w:tcPr>
          <w:p w14:paraId="318B7D2C">
            <w:pPr>
              <w:snapToGrid w:val="0"/>
              <w:spacing w:before="50" w:after="50" w:line="360" w:lineRule="auto"/>
              <w:rPr>
                <w:rFonts w:ascii="宋体" w:hAnsi="宋体" w:cs="宋体"/>
                <w:color w:val="auto"/>
                <w:sz w:val="24"/>
                <w:highlight w:val="none"/>
              </w:rPr>
            </w:pPr>
          </w:p>
        </w:tc>
      </w:tr>
      <w:tr w14:paraId="717BD9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5000" w:type="pct"/>
            <w:gridSpan w:val="9"/>
            <w:tcBorders>
              <w:top w:val="single" w:color="auto" w:sz="4" w:space="0"/>
              <w:left w:val="single" w:color="auto" w:sz="4" w:space="0"/>
              <w:bottom w:val="single" w:color="auto" w:sz="4" w:space="0"/>
              <w:right w:val="single" w:color="auto" w:sz="4" w:space="0"/>
            </w:tcBorders>
          </w:tcPr>
          <w:p w14:paraId="70A35097">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合计金额大写：人民币______（¥ ______）</w:t>
            </w:r>
          </w:p>
        </w:tc>
      </w:tr>
    </w:tbl>
    <w:p w14:paraId="16D131CF">
      <w:pPr>
        <w:snapToGrid w:val="0"/>
        <w:spacing w:line="280" w:lineRule="exact"/>
        <w:jc w:val="left"/>
        <w:rPr>
          <w:rFonts w:ascii="宋体" w:hAnsi="宋体" w:cs="宋体"/>
          <w:color w:val="auto"/>
          <w:sz w:val="24"/>
          <w:highlight w:val="none"/>
        </w:rPr>
      </w:pPr>
      <w:r>
        <w:rPr>
          <w:rFonts w:hint="eastAsia" w:ascii="宋体" w:hAnsi="宋体" w:cs="宋体"/>
          <w:color w:val="auto"/>
          <w:sz w:val="24"/>
          <w:highlight w:val="none"/>
        </w:rPr>
        <w:t xml:space="preserve">注: </w:t>
      </w:r>
    </w:p>
    <w:p w14:paraId="30236BEC">
      <w:pPr>
        <w:snapToGrid w:val="0"/>
        <w:spacing w:line="2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1.投标人的开标一览表必须加盖供应商CA电子签章并由法定代表人或者委托代理人签字或者电子签名，</w:t>
      </w:r>
      <w:r>
        <w:rPr>
          <w:rFonts w:hint="eastAsia" w:ascii="宋体" w:hAnsi="宋体" w:cs="宋体"/>
          <w:b/>
          <w:color w:val="auto"/>
          <w:sz w:val="24"/>
          <w:highlight w:val="none"/>
        </w:rPr>
        <w:t>否则其投标作无效标处理</w:t>
      </w:r>
      <w:r>
        <w:rPr>
          <w:rFonts w:hint="eastAsia" w:ascii="宋体" w:hAnsi="宋体" w:cs="宋体"/>
          <w:color w:val="auto"/>
          <w:sz w:val="24"/>
          <w:highlight w:val="none"/>
        </w:rPr>
        <w:t>。</w:t>
      </w:r>
    </w:p>
    <w:p w14:paraId="56D2134E">
      <w:pPr>
        <w:snapToGrid w:val="0"/>
        <w:spacing w:line="280" w:lineRule="exact"/>
        <w:ind w:firstLine="480" w:firstLineChars="200"/>
        <w:jc w:val="left"/>
        <w:rPr>
          <w:rFonts w:ascii="宋体" w:hAnsi="宋体" w:cs="宋体"/>
          <w:b/>
          <w:color w:val="auto"/>
          <w:sz w:val="24"/>
          <w:highlight w:val="none"/>
        </w:rPr>
      </w:pPr>
      <w:r>
        <w:rPr>
          <w:rFonts w:hint="eastAsia" w:ascii="宋体" w:hAnsi="宋体" w:cs="宋体"/>
          <w:bCs/>
          <w:color w:val="auto"/>
          <w:sz w:val="24"/>
          <w:highlight w:val="none"/>
        </w:rPr>
        <w:t>2.</w:t>
      </w:r>
      <w:r>
        <w:rPr>
          <w:rFonts w:hint="eastAsia" w:ascii="宋体" w:hAnsi="宋体" w:cs="宋体"/>
          <w:color w:val="auto"/>
          <w:sz w:val="24"/>
          <w:highlight w:val="none"/>
        </w:rPr>
        <w:t>报价一经涂改，应在涂改处加盖投标人公章或者加盖电子签章或者由法定代表人或者委托代理人签字（或者电子签名）</w:t>
      </w:r>
      <w:r>
        <w:rPr>
          <w:rFonts w:hint="eastAsia" w:ascii="宋体" w:hAnsi="宋体" w:cs="宋体"/>
          <w:b/>
          <w:color w:val="auto"/>
          <w:sz w:val="24"/>
          <w:highlight w:val="none"/>
        </w:rPr>
        <w:t>，否则其投标作无效标处理。</w:t>
      </w:r>
    </w:p>
    <w:p w14:paraId="17A0946E">
      <w:pPr>
        <w:snapToGrid w:val="0"/>
        <w:spacing w:line="2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3.招标文件中列明采购专用耗材的，应按招标文件规定的耗材量或者按耗材的常规使用量提供报价。</w:t>
      </w:r>
    </w:p>
    <w:p w14:paraId="050FF19A">
      <w:pPr>
        <w:snapToGrid w:val="0"/>
        <w:spacing w:line="2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4.如为联合体投标，“投标人名称”处必须列明联合体各方名称，并标注联合体牵头人名称，</w:t>
      </w:r>
      <w:r>
        <w:rPr>
          <w:rFonts w:hint="eastAsia" w:ascii="宋体" w:hAnsi="宋体" w:cs="宋体"/>
          <w:b/>
          <w:color w:val="auto"/>
          <w:sz w:val="24"/>
          <w:highlight w:val="none"/>
        </w:rPr>
        <w:t>否则其投标作无效标处理。</w:t>
      </w:r>
    </w:p>
    <w:p w14:paraId="68FEF5D7">
      <w:pPr>
        <w:snapToGrid w:val="0"/>
        <w:spacing w:line="2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5.本项目货物各项号标的的“产地、生产厂家（制造商）、品牌、规格、型号、数量及单位、单价、投标报价”必须如实填写完整，</w:t>
      </w:r>
      <w:r>
        <w:rPr>
          <w:rFonts w:hint="eastAsia" w:ascii="宋体" w:hAnsi="宋体" w:cs="宋体"/>
          <w:b/>
          <w:color w:val="auto"/>
          <w:sz w:val="24"/>
          <w:highlight w:val="none"/>
        </w:rPr>
        <w:t>填写有缺漏的，投标作无效标处理。</w:t>
      </w:r>
    </w:p>
    <w:p w14:paraId="51E32C73">
      <w:pPr>
        <w:snapToGrid w:val="0"/>
        <w:spacing w:line="280" w:lineRule="exact"/>
        <w:ind w:firstLine="456" w:firstLineChars="200"/>
        <w:jc w:val="left"/>
        <w:rPr>
          <w:rFonts w:ascii="宋体" w:hAnsi="宋体" w:cs="宋体"/>
          <w:color w:val="auto"/>
          <w:spacing w:val="-6"/>
          <w:sz w:val="24"/>
          <w:highlight w:val="none"/>
        </w:rPr>
      </w:pPr>
      <w:r>
        <w:rPr>
          <w:rFonts w:hint="eastAsia" w:ascii="宋体" w:hAnsi="宋体" w:cs="宋体"/>
          <w:color w:val="auto"/>
          <w:spacing w:val="-6"/>
          <w:sz w:val="24"/>
          <w:highlight w:val="none"/>
        </w:rPr>
        <w:t>6.如为联合体投标，盖章处须加盖联合体牵头人电子签章，</w:t>
      </w:r>
      <w:r>
        <w:rPr>
          <w:rFonts w:hint="eastAsia" w:ascii="宋体" w:hAnsi="宋体" w:cs="宋体"/>
          <w:b/>
          <w:color w:val="auto"/>
          <w:spacing w:val="-6"/>
          <w:sz w:val="24"/>
          <w:highlight w:val="none"/>
        </w:rPr>
        <w:t>否则其投标作无效标处理。</w:t>
      </w:r>
    </w:p>
    <w:p w14:paraId="6A98F834">
      <w:pPr>
        <w:snapToGrid w:val="0"/>
        <w:spacing w:line="300" w:lineRule="exact"/>
        <w:ind w:firstLine="482" w:firstLineChars="200"/>
        <w:rPr>
          <w:rFonts w:ascii="宋体" w:hAnsi="宋体" w:cs="宋体"/>
          <w:b/>
          <w:color w:val="auto"/>
          <w:sz w:val="24"/>
          <w:highlight w:val="none"/>
        </w:rPr>
      </w:pPr>
    </w:p>
    <w:p w14:paraId="064961D4">
      <w:pPr>
        <w:snapToGrid w:val="0"/>
        <w:spacing w:line="300" w:lineRule="exact"/>
        <w:ind w:left="-2" w:leftChars="-1" w:right="-817" w:rightChars="-389"/>
        <w:rPr>
          <w:rFonts w:ascii="宋体" w:hAnsi="宋体" w:cs="宋体"/>
          <w:color w:val="auto"/>
          <w:sz w:val="24"/>
          <w:highlight w:val="none"/>
          <w:u w:val="single"/>
        </w:rPr>
      </w:pPr>
      <w:r>
        <w:rPr>
          <w:rFonts w:hint="eastAsia" w:ascii="宋体" w:hAnsi="宋体" w:cs="宋体"/>
          <w:color w:val="auto"/>
          <w:sz w:val="24"/>
          <w:highlight w:val="none"/>
        </w:rPr>
        <w:t xml:space="preserve">             法定代表人或者委托代理人（签字或者电子签名）：</w:t>
      </w:r>
    </w:p>
    <w:p w14:paraId="5150C710">
      <w:pPr>
        <w:snapToGrid w:val="0"/>
        <w:spacing w:line="300" w:lineRule="exact"/>
        <w:ind w:left="-3" w:leftChars="-15" w:right="-817" w:rightChars="-389" w:hanging="28" w:hangingChars="12"/>
        <w:rPr>
          <w:rFonts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59B68C94">
      <w:pPr>
        <w:snapToGrid w:val="0"/>
        <w:spacing w:line="300" w:lineRule="exact"/>
        <w:ind w:left="-3" w:leftChars="-15" w:right="-817" w:rightChars="-389" w:hanging="28" w:hangingChars="12"/>
        <w:rPr>
          <w:rFonts w:ascii="宋体" w:hAnsi="宋体" w:cs="宋体"/>
          <w:color w:val="auto"/>
          <w:szCs w:val="21"/>
          <w:highlight w:val="none"/>
        </w:rPr>
      </w:pPr>
      <w:r>
        <w:rPr>
          <w:rFonts w:hint="eastAsia" w:ascii="宋体" w:hAnsi="宋体" w:cs="宋体"/>
          <w:color w:val="auto"/>
          <w:sz w:val="24"/>
          <w:highlight w:val="none"/>
        </w:rPr>
        <w:t xml:space="preserve">                                  日期：    年   月   日</w:t>
      </w:r>
    </w:p>
    <w:p w14:paraId="6381230C">
      <w:pPr>
        <w:rPr>
          <w:rFonts w:ascii="宋体" w:hAnsi="宋体" w:cs="宋体"/>
          <w:b/>
          <w:color w:val="auto"/>
          <w:sz w:val="28"/>
          <w:szCs w:val="28"/>
          <w:highlight w:val="none"/>
        </w:rPr>
      </w:pPr>
      <w:r>
        <w:rPr>
          <w:rFonts w:hint="eastAsia" w:ascii="宋体" w:hAnsi="宋体" w:cs="宋体"/>
          <w:b/>
          <w:bCs/>
          <w:color w:val="auto"/>
          <w:sz w:val="24"/>
          <w:highlight w:val="none"/>
        </w:rPr>
        <w:br w:type="page"/>
      </w:r>
      <w:bookmarkStart w:id="150" w:name="_Toc19686837"/>
      <w:r>
        <w:rPr>
          <w:rFonts w:hint="eastAsia" w:ascii="宋体" w:hAnsi="宋体" w:cs="宋体"/>
          <w:b/>
          <w:color w:val="auto"/>
          <w:sz w:val="28"/>
          <w:szCs w:val="28"/>
          <w:highlight w:val="none"/>
        </w:rPr>
        <w:t>二、资格证明文件格式</w:t>
      </w:r>
      <w:bookmarkEnd w:id="148"/>
      <w:bookmarkEnd w:id="149"/>
      <w:bookmarkEnd w:id="150"/>
    </w:p>
    <w:p w14:paraId="4B4CE2F6">
      <w:pPr>
        <w:numPr>
          <w:ilvl w:val="2"/>
          <w:numId w:val="9"/>
        </w:numPr>
        <w:snapToGrid w:val="0"/>
        <w:spacing w:before="120" w:beforeLines="50" w:after="50" w:line="360" w:lineRule="auto"/>
        <w:ind w:left="0" w:firstLine="0"/>
        <w:jc w:val="left"/>
        <w:rPr>
          <w:rFonts w:ascii="宋体" w:hAnsi="宋体" w:cs="宋体"/>
          <w:b/>
          <w:color w:val="auto"/>
          <w:sz w:val="24"/>
          <w:highlight w:val="none"/>
        </w:rPr>
      </w:pPr>
      <w:r>
        <w:rPr>
          <w:rFonts w:hint="eastAsia" w:ascii="宋体" w:hAnsi="宋体" w:cs="宋体"/>
          <w:b/>
          <w:color w:val="auto"/>
          <w:sz w:val="24"/>
          <w:highlight w:val="none"/>
        </w:rPr>
        <w:t xml:space="preserve">资格证明文件封面格式： </w:t>
      </w:r>
    </w:p>
    <w:p w14:paraId="3C96EC2A">
      <w:pPr>
        <w:snapToGrid w:val="0"/>
        <w:spacing w:before="120" w:beforeLines="50" w:after="50"/>
        <w:jc w:val="center"/>
        <w:rPr>
          <w:rFonts w:ascii="宋体" w:hAnsi="宋体" w:cs="宋体"/>
          <w:bCs/>
          <w:color w:val="auto"/>
          <w:sz w:val="48"/>
          <w:szCs w:val="48"/>
          <w:highlight w:val="none"/>
        </w:rPr>
      </w:pPr>
      <w:r>
        <w:rPr>
          <w:rFonts w:hint="eastAsia" w:ascii="宋体" w:hAnsi="宋体" w:cs="宋体"/>
          <w:bCs/>
          <w:color w:val="auto"/>
          <w:sz w:val="48"/>
          <w:szCs w:val="48"/>
          <w:highlight w:val="none"/>
        </w:rPr>
        <w:t>电子投标文件</w:t>
      </w:r>
    </w:p>
    <w:p w14:paraId="49A12AD2">
      <w:pPr>
        <w:snapToGrid w:val="0"/>
        <w:spacing w:before="120" w:beforeLines="50" w:after="50"/>
        <w:jc w:val="center"/>
        <w:rPr>
          <w:rFonts w:ascii="宋体" w:hAnsi="宋体" w:cs="宋体"/>
          <w:b/>
          <w:color w:val="auto"/>
          <w:sz w:val="24"/>
          <w:szCs w:val="20"/>
          <w:highlight w:val="none"/>
        </w:rPr>
      </w:pPr>
      <w:r>
        <w:rPr>
          <w:rFonts w:hint="eastAsia" w:ascii="宋体" w:hAnsi="宋体" w:cs="宋体"/>
          <w:b/>
          <w:color w:val="auto"/>
          <w:sz w:val="32"/>
          <w:szCs w:val="32"/>
          <w:highlight w:val="none"/>
        </w:rPr>
        <w:t>资格证明文件</w:t>
      </w:r>
    </w:p>
    <w:p w14:paraId="2004A0D7">
      <w:pPr>
        <w:snapToGrid w:val="0"/>
        <w:spacing w:before="120" w:beforeLines="50" w:after="50"/>
        <w:rPr>
          <w:rFonts w:ascii="宋体" w:hAnsi="宋体" w:cs="宋体"/>
          <w:bCs/>
          <w:color w:val="auto"/>
          <w:sz w:val="24"/>
          <w:szCs w:val="20"/>
          <w:highlight w:val="none"/>
        </w:rPr>
      </w:pPr>
    </w:p>
    <w:p w14:paraId="2797E56E">
      <w:pPr>
        <w:snapToGrid w:val="0"/>
        <w:spacing w:before="120" w:beforeLines="50" w:after="50"/>
        <w:rPr>
          <w:rFonts w:ascii="宋体" w:hAnsi="宋体" w:cs="宋体"/>
          <w:bCs/>
          <w:color w:val="auto"/>
          <w:sz w:val="24"/>
          <w:szCs w:val="20"/>
          <w:highlight w:val="none"/>
        </w:rPr>
      </w:pPr>
    </w:p>
    <w:p w14:paraId="67FAA5C7">
      <w:pPr>
        <w:snapToGrid w:val="0"/>
        <w:spacing w:before="120" w:beforeLines="50" w:after="50"/>
        <w:rPr>
          <w:rFonts w:ascii="宋体" w:hAnsi="宋体" w:cs="宋体"/>
          <w:bCs/>
          <w:color w:val="auto"/>
          <w:sz w:val="24"/>
          <w:szCs w:val="20"/>
          <w:highlight w:val="none"/>
        </w:rPr>
      </w:pPr>
    </w:p>
    <w:p w14:paraId="580619A5">
      <w:pPr>
        <w:snapToGrid w:val="0"/>
        <w:spacing w:before="120" w:beforeLines="50" w:after="50"/>
        <w:rPr>
          <w:rFonts w:ascii="宋体" w:hAnsi="宋体" w:cs="宋体"/>
          <w:bCs/>
          <w:color w:val="auto"/>
          <w:sz w:val="24"/>
          <w:szCs w:val="20"/>
          <w:highlight w:val="none"/>
        </w:rPr>
      </w:pPr>
    </w:p>
    <w:p w14:paraId="37057052">
      <w:pPr>
        <w:snapToGrid w:val="0"/>
        <w:spacing w:before="120" w:beforeLines="50" w:after="50"/>
        <w:rPr>
          <w:rFonts w:ascii="宋体" w:hAnsi="宋体" w:cs="宋体"/>
          <w:bCs/>
          <w:color w:val="auto"/>
          <w:sz w:val="24"/>
          <w:szCs w:val="20"/>
          <w:highlight w:val="none"/>
        </w:rPr>
      </w:pPr>
    </w:p>
    <w:p w14:paraId="11490BF1">
      <w:pPr>
        <w:snapToGrid w:val="0"/>
        <w:spacing w:before="120" w:beforeLines="50" w:after="50"/>
        <w:rPr>
          <w:rFonts w:ascii="宋体" w:hAnsi="宋体" w:cs="宋体"/>
          <w:bCs/>
          <w:color w:val="auto"/>
          <w:sz w:val="24"/>
          <w:szCs w:val="20"/>
          <w:highlight w:val="none"/>
        </w:rPr>
      </w:pPr>
    </w:p>
    <w:p w14:paraId="0FA0F70F">
      <w:pPr>
        <w:snapToGrid w:val="0"/>
        <w:spacing w:before="120" w:beforeLines="50" w:after="50"/>
        <w:rPr>
          <w:rFonts w:ascii="宋体" w:hAnsi="宋体" w:cs="宋体"/>
          <w:bCs/>
          <w:color w:val="auto"/>
          <w:sz w:val="24"/>
          <w:szCs w:val="20"/>
          <w:highlight w:val="none"/>
        </w:rPr>
      </w:pPr>
    </w:p>
    <w:p w14:paraId="241F2062">
      <w:pPr>
        <w:snapToGrid w:val="0"/>
        <w:spacing w:before="120"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项目名称：</w:t>
      </w:r>
    </w:p>
    <w:p w14:paraId="382AFF2A">
      <w:pPr>
        <w:snapToGrid w:val="0"/>
        <w:spacing w:before="120" w:beforeLines="50" w:after="50"/>
        <w:ind w:firstLine="540" w:firstLineChars="225"/>
        <w:rPr>
          <w:rFonts w:ascii="宋体" w:hAnsi="宋体" w:cs="宋体"/>
          <w:bCs/>
          <w:color w:val="auto"/>
          <w:sz w:val="24"/>
          <w:szCs w:val="20"/>
          <w:highlight w:val="none"/>
        </w:rPr>
      </w:pPr>
    </w:p>
    <w:p w14:paraId="7F45580D">
      <w:pPr>
        <w:snapToGrid w:val="0"/>
        <w:spacing w:before="120"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p>
    <w:p w14:paraId="05308E15">
      <w:pPr>
        <w:snapToGrid w:val="0"/>
        <w:spacing w:before="120" w:beforeLines="50" w:after="50"/>
        <w:ind w:firstLine="540" w:firstLineChars="225"/>
        <w:rPr>
          <w:rFonts w:ascii="宋体" w:hAnsi="宋体" w:cs="宋体"/>
          <w:bCs/>
          <w:color w:val="auto"/>
          <w:sz w:val="24"/>
          <w:szCs w:val="20"/>
          <w:highlight w:val="none"/>
        </w:rPr>
      </w:pPr>
    </w:p>
    <w:p w14:paraId="21291543">
      <w:pPr>
        <w:pStyle w:val="7"/>
        <w:snapToGrid w:val="0"/>
        <w:spacing w:before="50" w:after="50"/>
        <w:ind w:firstLine="540" w:firstLineChars="225"/>
        <w:rPr>
          <w:rFonts w:ascii="宋体" w:hAnsi="宋体" w:cs="宋体"/>
          <w:bCs/>
          <w:color w:val="auto"/>
          <w:sz w:val="24"/>
          <w:szCs w:val="24"/>
          <w:highlight w:val="none"/>
        </w:rPr>
      </w:pPr>
    </w:p>
    <w:p w14:paraId="3584B5F9">
      <w:pPr>
        <w:pStyle w:val="7"/>
        <w:snapToGrid w:val="0"/>
        <w:spacing w:before="50" w:after="50"/>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4DE15C41">
      <w:pPr>
        <w:pStyle w:val="7"/>
        <w:snapToGrid w:val="0"/>
        <w:spacing w:before="50" w:after="50"/>
        <w:ind w:firstLine="540" w:firstLineChars="225"/>
        <w:rPr>
          <w:rFonts w:ascii="宋体" w:hAnsi="宋体" w:cs="宋体"/>
          <w:bCs/>
          <w:color w:val="auto"/>
          <w:sz w:val="24"/>
          <w:szCs w:val="24"/>
          <w:highlight w:val="none"/>
        </w:rPr>
      </w:pPr>
    </w:p>
    <w:p w14:paraId="1CE90431">
      <w:pPr>
        <w:pStyle w:val="7"/>
        <w:snapToGrid w:val="0"/>
        <w:spacing w:before="50" w:after="50"/>
        <w:ind w:firstLine="960" w:firstLineChars="400"/>
        <w:rPr>
          <w:rFonts w:ascii="宋体" w:hAnsi="宋体" w:cs="宋体"/>
          <w:bCs/>
          <w:color w:val="auto"/>
          <w:sz w:val="24"/>
          <w:szCs w:val="24"/>
          <w:highlight w:val="none"/>
        </w:rPr>
      </w:pPr>
    </w:p>
    <w:p w14:paraId="7E396428">
      <w:pPr>
        <w:snapToGrid w:val="0"/>
        <w:spacing w:before="120" w:beforeLines="50" w:after="50"/>
        <w:ind w:firstLine="645"/>
        <w:jc w:val="center"/>
        <w:rPr>
          <w:rFonts w:ascii="宋体" w:hAnsi="宋体" w:cs="宋体"/>
          <w:color w:val="auto"/>
          <w:sz w:val="24"/>
          <w:highlight w:val="none"/>
        </w:rPr>
      </w:pPr>
      <w:r>
        <w:rPr>
          <w:rFonts w:hint="eastAsia" w:ascii="宋体" w:hAnsi="宋体" w:cs="宋体"/>
          <w:color w:val="auto"/>
          <w:sz w:val="24"/>
          <w:highlight w:val="none"/>
        </w:rPr>
        <w:t>年  月  日</w:t>
      </w:r>
    </w:p>
    <w:p w14:paraId="5BC188BB">
      <w:pPr>
        <w:snapToGrid w:val="0"/>
        <w:spacing w:before="120" w:beforeLines="50" w:after="50"/>
        <w:rPr>
          <w:rFonts w:ascii="宋体" w:hAnsi="宋体" w:cs="宋体"/>
          <w:color w:val="auto"/>
          <w:sz w:val="24"/>
          <w:szCs w:val="20"/>
          <w:highlight w:val="none"/>
        </w:rPr>
      </w:pPr>
    </w:p>
    <w:p w14:paraId="2CAB8570">
      <w:pPr>
        <w:snapToGrid w:val="0"/>
        <w:spacing w:before="120" w:beforeLines="50" w:after="50"/>
        <w:rPr>
          <w:rFonts w:ascii="宋体" w:hAnsi="宋体" w:cs="宋体"/>
          <w:color w:val="auto"/>
          <w:sz w:val="24"/>
          <w:szCs w:val="20"/>
          <w:highlight w:val="none"/>
        </w:rPr>
      </w:pPr>
    </w:p>
    <w:p w14:paraId="6C43B771">
      <w:pPr>
        <w:numPr>
          <w:ilvl w:val="2"/>
          <w:numId w:val="9"/>
        </w:numPr>
        <w:snapToGrid w:val="0"/>
        <w:spacing w:before="120" w:beforeLines="50" w:after="50" w:line="360" w:lineRule="auto"/>
        <w:ind w:left="0" w:firstLine="0"/>
        <w:jc w:val="left"/>
        <w:rPr>
          <w:rFonts w:ascii="宋体" w:hAnsi="宋体" w:cs="宋体"/>
          <w:color w:val="auto"/>
          <w:sz w:val="24"/>
          <w:szCs w:val="20"/>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资格证明文件目录</w:t>
      </w:r>
    </w:p>
    <w:p w14:paraId="041567E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根据招标文件规定及投标人提供的材料自行编写目录。</w:t>
      </w:r>
    </w:p>
    <w:p w14:paraId="422EFB34">
      <w:pPr>
        <w:snapToGrid w:val="0"/>
        <w:spacing w:before="50" w:after="120" w:afterLines="50"/>
        <w:jc w:val="left"/>
        <w:rPr>
          <w:rFonts w:ascii="宋体" w:hAnsi="宋体" w:cs="宋体"/>
          <w:color w:val="auto"/>
          <w:sz w:val="24"/>
          <w:highlight w:val="none"/>
        </w:rPr>
      </w:pPr>
    </w:p>
    <w:p w14:paraId="66092016">
      <w:pPr>
        <w:snapToGrid w:val="0"/>
        <w:spacing w:before="50" w:after="120" w:afterLines="50"/>
        <w:jc w:val="left"/>
        <w:rPr>
          <w:rFonts w:ascii="宋体" w:hAnsi="宋体" w:cs="宋体"/>
          <w:color w:val="auto"/>
          <w:sz w:val="24"/>
          <w:highlight w:val="none"/>
        </w:rPr>
      </w:pPr>
    </w:p>
    <w:p w14:paraId="25FBA3F7">
      <w:pPr>
        <w:snapToGrid w:val="0"/>
        <w:spacing w:before="120" w:beforeLines="50" w:after="50"/>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w:t>
      </w:r>
      <w:r>
        <w:rPr>
          <w:rFonts w:hint="eastAsia" w:ascii="宋体" w:hAnsi="宋体" w:cs="宋体"/>
          <w:b/>
          <w:color w:val="auto"/>
          <w:sz w:val="28"/>
          <w:szCs w:val="28"/>
          <w:highlight w:val="none"/>
        </w:rPr>
        <w:t>投标人直接控股股东信息表</w:t>
      </w:r>
    </w:p>
    <w:p w14:paraId="0CC53C13">
      <w:pPr>
        <w:snapToGrid w:val="0"/>
        <w:spacing w:before="50" w:after="120" w:afterLines="50"/>
        <w:jc w:val="center"/>
        <w:rPr>
          <w:rFonts w:ascii="宋体" w:hAnsi="宋体" w:cs="宋体"/>
          <w:b/>
          <w:color w:val="auto"/>
          <w:sz w:val="28"/>
          <w:szCs w:val="28"/>
          <w:highlight w:val="none"/>
        </w:rPr>
      </w:pPr>
    </w:p>
    <w:p w14:paraId="4655765F">
      <w:pPr>
        <w:snapToGrid w:val="0"/>
        <w:spacing w:before="50" w:after="120" w:afterLines="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投标人直接控股股东信息表</w:t>
      </w:r>
    </w:p>
    <w:tbl>
      <w:tblPr>
        <w:tblStyle w:val="47"/>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2E71C27E">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38E43EE6">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4B4E781D">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0DBE07A1">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1674102C">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54A0F9F1">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14E54D50">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88D2A02">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41E56B5">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129E6C3">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459C4D1">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B5060DD">
            <w:pPr>
              <w:spacing w:line="360" w:lineRule="auto"/>
              <w:jc w:val="center"/>
              <w:rPr>
                <w:rFonts w:ascii="宋体" w:hAnsi="宋体" w:cs="宋体"/>
                <w:color w:val="auto"/>
                <w:kern w:val="0"/>
                <w:sz w:val="24"/>
                <w:highlight w:val="none"/>
              </w:rPr>
            </w:pPr>
          </w:p>
        </w:tc>
      </w:tr>
      <w:tr w14:paraId="64C177F5">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C9C592F">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065A79A">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DACF604">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F9CEE66">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A0139F5">
            <w:pPr>
              <w:spacing w:line="360" w:lineRule="auto"/>
              <w:jc w:val="center"/>
              <w:rPr>
                <w:rFonts w:ascii="宋体" w:hAnsi="宋体" w:cs="宋体"/>
                <w:color w:val="auto"/>
                <w:kern w:val="0"/>
                <w:sz w:val="24"/>
                <w:highlight w:val="none"/>
              </w:rPr>
            </w:pPr>
          </w:p>
        </w:tc>
      </w:tr>
      <w:tr w14:paraId="3771BA0B">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32E3F96">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14A632C">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4C53985">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7C8B00C">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B667FF7">
            <w:pPr>
              <w:spacing w:line="360" w:lineRule="auto"/>
              <w:jc w:val="center"/>
              <w:rPr>
                <w:rFonts w:ascii="宋体" w:hAnsi="宋体" w:cs="宋体"/>
                <w:color w:val="auto"/>
                <w:kern w:val="0"/>
                <w:sz w:val="24"/>
                <w:highlight w:val="none"/>
              </w:rPr>
            </w:pPr>
          </w:p>
        </w:tc>
      </w:tr>
      <w:tr w14:paraId="0845C03B">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C871947">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B628570">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43C23AB">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B56073D">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D3EF848">
            <w:pPr>
              <w:spacing w:line="360" w:lineRule="auto"/>
              <w:jc w:val="center"/>
              <w:rPr>
                <w:rFonts w:ascii="宋体" w:hAnsi="宋体" w:cs="宋体"/>
                <w:color w:val="auto"/>
                <w:kern w:val="0"/>
                <w:sz w:val="24"/>
                <w:highlight w:val="none"/>
              </w:rPr>
            </w:pPr>
          </w:p>
        </w:tc>
      </w:tr>
    </w:tbl>
    <w:p w14:paraId="51647A49">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0A80F2B3">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57E75B8">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6576D304">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3.供应商不存在直接控股股东的，则在“</w:t>
      </w:r>
      <w:r>
        <w:rPr>
          <w:rFonts w:hint="eastAsia" w:ascii="宋体" w:hAnsi="宋体" w:cs="宋体"/>
          <w:b/>
          <w:bCs/>
          <w:color w:val="auto"/>
          <w:kern w:val="0"/>
          <w:sz w:val="24"/>
          <w:highlight w:val="none"/>
        </w:rPr>
        <w:t>直接控股股东名称</w:t>
      </w:r>
      <w:r>
        <w:rPr>
          <w:rFonts w:hint="eastAsia" w:ascii="宋体" w:hAnsi="宋体" w:cs="宋体"/>
          <w:color w:val="auto"/>
          <w:sz w:val="24"/>
          <w:highlight w:val="none"/>
        </w:rPr>
        <w:t>”中填“无”。</w:t>
      </w:r>
    </w:p>
    <w:p w14:paraId="4944646A">
      <w:pPr>
        <w:snapToGrid w:val="0"/>
        <w:spacing w:line="360" w:lineRule="auto"/>
        <w:jc w:val="left"/>
        <w:rPr>
          <w:rFonts w:ascii="宋体" w:hAnsi="宋体" w:cs="宋体"/>
          <w:color w:val="auto"/>
          <w:sz w:val="24"/>
          <w:highlight w:val="none"/>
        </w:rPr>
      </w:pPr>
    </w:p>
    <w:p w14:paraId="25339BCD">
      <w:pPr>
        <w:snapToGrid w:val="0"/>
        <w:spacing w:line="360" w:lineRule="auto"/>
        <w:jc w:val="left"/>
        <w:rPr>
          <w:rFonts w:ascii="宋体" w:hAnsi="宋体" w:cs="宋体"/>
          <w:color w:val="auto"/>
          <w:sz w:val="24"/>
          <w:highlight w:val="none"/>
        </w:rPr>
      </w:pPr>
    </w:p>
    <w:p w14:paraId="0C26F129">
      <w:pPr>
        <w:snapToGrid w:val="0"/>
        <w:spacing w:line="360" w:lineRule="auto"/>
        <w:jc w:val="left"/>
        <w:rPr>
          <w:rFonts w:ascii="宋体" w:hAnsi="宋体" w:cs="宋体"/>
          <w:color w:val="auto"/>
          <w:sz w:val="24"/>
          <w:highlight w:val="none"/>
        </w:rPr>
      </w:pPr>
    </w:p>
    <w:p w14:paraId="38FEBD01">
      <w:pPr>
        <w:snapToGrid w:val="0"/>
        <w:spacing w:line="360" w:lineRule="auto"/>
        <w:ind w:left="-2" w:leftChars="-1" w:right="-817" w:rightChars="-389"/>
        <w:rPr>
          <w:rFonts w:ascii="宋体" w:hAnsi="宋体" w:cs="宋体"/>
          <w:color w:val="auto"/>
          <w:sz w:val="24"/>
          <w:highlight w:val="none"/>
        </w:rPr>
      </w:pPr>
      <w:r>
        <w:rPr>
          <w:rFonts w:hint="eastAsia" w:ascii="宋体" w:hAnsi="宋体" w:cs="宋体"/>
          <w:color w:val="auto"/>
          <w:sz w:val="24"/>
          <w:highlight w:val="none"/>
        </w:rPr>
        <w:t xml:space="preserve">             法定代表人或者委托代理人（签字或者电子签名）：</w:t>
      </w:r>
    </w:p>
    <w:p w14:paraId="3F3067F4">
      <w:pPr>
        <w:snapToGrid w:val="0"/>
        <w:spacing w:line="360" w:lineRule="auto"/>
        <w:ind w:left="-3" w:leftChars="-15" w:right="-817" w:rightChars="-389" w:hanging="28" w:hangingChars="12"/>
        <w:rPr>
          <w:rFonts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417FE726">
      <w:pPr>
        <w:snapToGrid w:val="0"/>
        <w:spacing w:line="360" w:lineRule="auto"/>
        <w:jc w:val="left"/>
        <w:rPr>
          <w:rFonts w:ascii="宋体" w:hAnsi="宋体" w:cs="宋体"/>
          <w:color w:val="auto"/>
          <w:szCs w:val="21"/>
          <w:highlight w:val="none"/>
        </w:rPr>
      </w:pPr>
      <w:r>
        <w:rPr>
          <w:rFonts w:hint="eastAsia" w:ascii="宋体" w:hAnsi="宋体" w:cs="宋体"/>
          <w:color w:val="auto"/>
          <w:sz w:val="24"/>
          <w:highlight w:val="none"/>
        </w:rPr>
        <w:t xml:space="preserve">                                    日期：    年   月   日</w:t>
      </w:r>
    </w:p>
    <w:p w14:paraId="1500B818">
      <w:pPr>
        <w:snapToGrid w:val="0"/>
        <w:jc w:val="center"/>
        <w:rPr>
          <w:rFonts w:ascii="宋体" w:hAnsi="宋体" w:cs="宋体"/>
          <w:b/>
          <w:color w:val="auto"/>
          <w:sz w:val="28"/>
          <w:szCs w:val="28"/>
          <w:highlight w:val="none"/>
        </w:rPr>
      </w:pPr>
    </w:p>
    <w:p w14:paraId="3C0F81C2">
      <w:pPr>
        <w:snapToGrid w:val="0"/>
        <w:spacing w:line="360" w:lineRule="auto"/>
        <w:jc w:val="left"/>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24"/>
          <w:highlight w:val="none"/>
        </w:rPr>
        <w:t>4.</w:t>
      </w:r>
      <w:r>
        <w:rPr>
          <w:rFonts w:hint="eastAsia" w:ascii="宋体" w:hAnsi="宋体" w:cs="宋体"/>
          <w:b/>
          <w:color w:val="auto"/>
          <w:sz w:val="28"/>
          <w:szCs w:val="28"/>
          <w:highlight w:val="none"/>
        </w:rPr>
        <w:t>投标人直接管理关系信息表</w:t>
      </w:r>
    </w:p>
    <w:p w14:paraId="3D9BA527">
      <w:pPr>
        <w:snapToGrid w:val="0"/>
        <w:spacing w:line="360" w:lineRule="auto"/>
        <w:jc w:val="center"/>
        <w:rPr>
          <w:rFonts w:ascii="宋体" w:hAnsi="宋体" w:cs="宋体"/>
          <w:color w:val="auto"/>
          <w:sz w:val="32"/>
          <w:szCs w:val="32"/>
          <w:highlight w:val="none"/>
        </w:rPr>
      </w:pPr>
      <w:r>
        <w:rPr>
          <w:rFonts w:hint="eastAsia" w:ascii="宋体" w:hAnsi="宋体" w:cs="宋体"/>
          <w:b/>
          <w:color w:val="auto"/>
          <w:sz w:val="32"/>
          <w:szCs w:val="32"/>
          <w:highlight w:val="none"/>
        </w:rPr>
        <w:t>投标人直接管理关系信息表</w:t>
      </w:r>
    </w:p>
    <w:tbl>
      <w:tblPr>
        <w:tblStyle w:val="47"/>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63E2AC59">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4E0F2844">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0F72A024">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0E893F93">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74D8AB5C">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1CAA3D3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5FF2B73">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E17EDA6">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CBBB726">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A6EAB90">
            <w:pPr>
              <w:spacing w:line="360" w:lineRule="auto"/>
              <w:jc w:val="center"/>
              <w:rPr>
                <w:rFonts w:ascii="宋体" w:hAnsi="宋体" w:cs="宋体"/>
                <w:color w:val="auto"/>
                <w:kern w:val="0"/>
                <w:sz w:val="24"/>
                <w:highlight w:val="none"/>
              </w:rPr>
            </w:pPr>
          </w:p>
        </w:tc>
      </w:tr>
      <w:tr w14:paraId="0823D632">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1C9603E">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83C093C">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B5990CF">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D0CF38B">
            <w:pPr>
              <w:spacing w:line="360" w:lineRule="auto"/>
              <w:jc w:val="center"/>
              <w:rPr>
                <w:rFonts w:ascii="宋体" w:hAnsi="宋体" w:cs="宋体"/>
                <w:color w:val="auto"/>
                <w:kern w:val="0"/>
                <w:sz w:val="24"/>
                <w:highlight w:val="none"/>
              </w:rPr>
            </w:pPr>
          </w:p>
        </w:tc>
      </w:tr>
      <w:tr w14:paraId="06E8FBBD">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5F95297">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793C3CC">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C315478">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5C65103">
            <w:pPr>
              <w:spacing w:line="360" w:lineRule="auto"/>
              <w:jc w:val="center"/>
              <w:rPr>
                <w:rFonts w:ascii="宋体" w:hAnsi="宋体" w:cs="宋体"/>
                <w:color w:val="auto"/>
                <w:kern w:val="0"/>
                <w:sz w:val="24"/>
                <w:highlight w:val="none"/>
              </w:rPr>
            </w:pPr>
          </w:p>
        </w:tc>
      </w:tr>
      <w:tr w14:paraId="16B9268A">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25E76B4">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E4EAC6B">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733F378">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51550E1">
            <w:pPr>
              <w:spacing w:line="360" w:lineRule="auto"/>
              <w:jc w:val="center"/>
              <w:rPr>
                <w:rFonts w:ascii="宋体" w:hAnsi="宋体" w:cs="宋体"/>
                <w:color w:val="auto"/>
                <w:kern w:val="0"/>
                <w:sz w:val="24"/>
                <w:highlight w:val="none"/>
              </w:rPr>
            </w:pPr>
          </w:p>
        </w:tc>
      </w:tr>
    </w:tbl>
    <w:p w14:paraId="5F13B663">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113FA33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53C7C416">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410E043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3.供应商不存在直接管理关系的，则在“</w:t>
      </w:r>
      <w:r>
        <w:rPr>
          <w:rFonts w:hint="eastAsia" w:ascii="宋体" w:hAnsi="宋体" w:cs="宋体"/>
          <w:b/>
          <w:bCs/>
          <w:color w:val="auto"/>
          <w:kern w:val="0"/>
          <w:sz w:val="24"/>
          <w:highlight w:val="none"/>
        </w:rPr>
        <w:t>直接管理关系单位名称</w:t>
      </w:r>
      <w:r>
        <w:rPr>
          <w:rFonts w:hint="eastAsia" w:ascii="宋体" w:hAnsi="宋体" w:cs="宋体"/>
          <w:color w:val="auto"/>
          <w:sz w:val="24"/>
          <w:highlight w:val="none"/>
        </w:rPr>
        <w:t>”中填“无”。</w:t>
      </w:r>
    </w:p>
    <w:p w14:paraId="53B4B22B">
      <w:pPr>
        <w:snapToGrid w:val="0"/>
        <w:spacing w:line="360" w:lineRule="auto"/>
        <w:jc w:val="left"/>
        <w:rPr>
          <w:rFonts w:ascii="宋体" w:hAnsi="宋体" w:cs="宋体"/>
          <w:color w:val="auto"/>
          <w:sz w:val="24"/>
          <w:highlight w:val="none"/>
        </w:rPr>
      </w:pPr>
    </w:p>
    <w:p w14:paraId="7A597459">
      <w:pPr>
        <w:snapToGrid w:val="0"/>
        <w:spacing w:line="360" w:lineRule="auto"/>
        <w:jc w:val="left"/>
        <w:rPr>
          <w:rFonts w:ascii="宋体" w:hAnsi="宋体" w:cs="宋体"/>
          <w:color w:val="auto"/>
          <w:sz w:val="24"/>
          <w:highlight w:val="none"/>
        </w:rPr>
      </w:pPr>
    </w:p>
    <w:p w14:paraId="2A1E922A">
      <w:pPr>
        <w:snapToGrid w:val="0"/>
        <w:spacing w:line="360" w:lineRule="auto"/>
        <w:jc w:val="left"/>
        <w:rPr>
          <w:rFonts w:ascii="宋体" w:hAnsi="宋体" w:cs="宋体"/>
          <w:color w:val="auto"/>
          <w:sz w:val="24"/>
          <w:highlight w:val="none"/>
        </w:rPr>
      </w:pPr>
    </w:p>
    <w:p w14:paraId="6A0290E6">
      <w:pPr>
        <w:snapToGrid w:val="0"/>
        <w:spacing w:line="360" w:lineRule="auto"/>
        <w:jc w:val="left"/>
        <w:rPr>
          <w:rFonts w:ascii="宋体" w:hAnsi="宋体" w:cs="宋体"/>
          <w:color w:val="auto"/>
          <w:sz w:val="24"/>
          <w:highlight w:val="none"/>
        </w:rPr>
      </w:pPr>
    </w:p>
    <w:p w14:paraId="77234575">
      <w:pPr>
        <w:snapToGrid w:val="0"/>
        <w:spacing w:line="360" w:lineRule="auto"/>
        <w:ind w:left="-2" w:leftChars="-1" w:right="-817" w:rightChars="-389"/>
        <w:rPr>
          <w:rFonts w:ascii="宋体" w:hAnsi="宋体" w:cs="宋体"/>
          <w:color w:val="auto"/>
          <w:sz w:val="24"/>
          <w:highlight w:val="none"/>
        </w:rPr>
      </w:pPr>
      <w:r>
        <w:rPr>
          <w:rFonts w:hint="eastAsia" w:ascii="宋体" w:hAnsi="宋体" w:cs="宋体"/>
          <w:color w:val="auto"/>
          <w:sz w:val="24"/>
          <w:highlight w:val="none"/>
        </w:rPr>
        <w:t xml:space="preserve">            法定代表人或者委托代理人（签字或者电子签名）：</w:t>
      </w:r>
    </w:p>
    <w:p w14:paraId="2185B03A">
      <w:pPr>
        <w:snapToGrid w:val="0"/>
        <w:spacing w:line="360" w:lineRule="auto"/>
        <w:ind w:left="-3" w:leftChars="-15" w:right="-817" w:rightChars="-389" w:hanging="28" w:hangingChars="12"/>
        <w:rPr>
          <w:rFonts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3594ADB5">
      <w:pPr>
        <w:snapToGrid w:val="0"/>
        <w:spacing w:line="360" w:lineRule="auto"/>
        <w:ind w:right="480" w:firstLine="240" w:firstLineChars="100"/>
        <w:jc w:val="left"/>
        <w:rPr>
          <w:rFonts w:ascii="宋体" w:hAnsi="宋体" w:cs="宋体"/>
          <w:color w:val="auto"/>
          <w:szCs w:val="21"/>
          <w:highlight w:val="none"/>
        </w:rPr>
      </w:pPr>
      <w:r>
        <w:rPr>
          <w:rFonts w:hint="eastAsia" w:ascii="宋体" w:hAnsi="宋体" w:cs="宋体"/>
          <w:color w:val="auto"/>
          <w:sz w:val="24"/>
          <w:highlight w:val="none"/>
        </w:rPr>
        <w:t xml:space="preserve">                                日期：    年   月   日</w:t>
      </w:r>
    </w:p>
    <w:p w14:paraId="19A61EA2">
      <w:pPr>
        <w:snapToGrid w:val="0"/>
        <w:spacing w:before="120" w:beforeLines="50" w:after="50"/>
        <w:jc w:val="left"/>
        <w:rPr>
          <w:rFonts w:ascii="宋体" w:hAnsi="宋体" w:cs="宋体"/>
          <w:b/>
          <w:color w:val="auto"/>
          <w:sz w:val="24"/>
          <w:szCs w:val="20"/>
          <w:highlight w:val="none"/>
        </w:rPr>
      </w:pPr>
    </w:p>
    <w:p w14:paraId="4FE4E562">
      <w:pPr>
        <w:snapToGrid w:val="0"/>
        <w:spacing w:line="360" w:lineRule="auto"/>
        <w:ind w:right="480" w:firstLine="210" w:firstLineChars="100"/>
        <w:jc w:val="left"/>
        <w:rPr>
          <w:rFonts w:ascii="宋体" w:hAnsi="宋体" w:cs="宋体"/>
          <w:color w:val="auto"/>
          <w:szCs w:val="21"/>
          <w:highlight w:val="none"/>
        </w:rPr>
      </w:pPr>
    </w:p>
    <w:p w14:paraId="0ED96B29">
      <w:pPr>
        <w:snapToGrid w:val="0"/>
        <w:spacing w:before="120" w:beforeLines="50" w:after="50"/>
        <w:jc w:val="left"/>
        <w:rPr>
          <w:rFonts w:ascii="宋体" w:hAnsi="宋体" w:cs="宋体"/>
          <w:b/>
          <w:color w:val="auto"/>
          <w:sz w:val="24"/>
          <w:szCs w:val="20"/>
          <w:highlight w:val="none"/>
        </w:rPr>
      </w:pPr>
    </w:p>
    <w:p w14:paraId="349CC002">
      <w:pPr>
        <w:snapToGrid w:val="0"/>
        <w:spacing w:before="120" w:beforeLines="50" w:after="50"/>
        <w:jc w:val="left"/>
        <w:rPr>
          <w:rFonts w:ascii="宋体" w:hAnsi="宋体" w:cs="宋体"/>
          <w:b/>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5.投标声明</w:t>
      </w:r>
    </w:p>
    <w:p w14:paraId="34D6F9B8">
      <w:pPr>
        <w:snapToGrid w:val="0"/>
        <w:spacing w:before="50" w:after="120" w:afterLines="50"/>
        <w:jc w:val="left"/>
        <w:rPr>
          <w:rFonts w:ascii="宋体" w:hAnsi="宋体" w:cs="宋体"/>
          <w:color w:val="auto"/>
          <w:highlight w:val="none"/>
        </w:rPr>
      </w:pPr>
    </w:p>
    <w:p w14:paraId="5B3D8BCD">
      <w:pPr>
        <w:snapToGrid w:val="0"/>
        <w:spacing w:before="50" w:after="120" w:afterLines="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投标声明</w:t>
      </w:r>
    </w:p>
    <w:p w14:paraId="21AAA88C">
      <w:pPr>
        <w:spacing w:line="400" w:lineRule="exact"/>
        <w:contextualSpacing/>
        <w:jc w:val="left"/>
        <w:rPr>
          <w:rFonts w:ascii="宋体" w:hAnsi="宋体" w:cs="宋体"/>
          <w:color w:val="auto"/>
          <w:sz w:val="24"/>
          <w:highlight w:val="none"/>
        </w:rPr>
      </w:pPr>
      <w:r>
        <w:rPr>
          <w:rFonts w:hint="eastAsia" w:ascii="宋体" w:hAnsi="宋体" w:cs="宋体"/>
          <w:color w:val="auto"/>
          <w:sz w:val="24"/>
          <w:highlight w:val="none"/>
        </w:rPr>
        <w:t>（采购人名称）：</w:t>
      </w:r>
    </w:p>
    <w:p w14:paraId="6D5F28A4">
      <w:pPr>
        <w:spacing w:line="400" w:lineRule="exact"/>
        <w:ind w:firstLine="523" w:firstLineChars="218"/>
        <w:contextualSpacing/>
        <w:jc w:val="left"/>
        <w:rPr>
          <w:rFonts w:ascii="宋体" w:hAnsi="宋体" w:cs="宋体"/>
          <w:color w:val="auto"/>
          <w:sz w:val="24"/>
          <w:highlight w:val="none"/>
        </w:rPr>
      </w:pPr>
      <w:r>
        <w:rPr>
          <w:rFonts w:hint="eastAsia" w:ascii="宋体" w:hAnsi="宋体" w:cs="宋体"/>
          <w:color w:val="auto"/>
          <w:sz w:val="24"/>
          <w:highlight w:val="none"/>
        </w:rPr>
        <w:t>我方参加贵单位组织项目</w:t>
      </w:r>
      <w:r>
        <w:rPr>
          <w:rFonts w:hint="eastAsia" w:ascii="宋体" w:hAnsi="宋体" w:cs="宋体"/>
          <w:color w:val="auto"/>
          <w:sz w:val="24"/>
          <w:highlight w:val="none"/>
          <w:u w:val="single"/>
        </w:rPr>
        <w:t xml:space="preserve">_               </w:t>
      </w: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_               </w:t>
      </w:r>
      <w:r>
        <w:rPr>
          <w:rFonts w:hint="eastAsia" w:ascii="宋体" w:hAnsi="宋体" w:cs="宋体"/>
          <w:color w:val="auto"/>
          <w:sz w:val="24"/>
          <w:highlight w:val="none"/>
        </w:rPr>
        <w:t>）的政府采购活动。我方在此郑重声明：</w:t>
      </w:r>
    </w:p>
    <w:p w14:paraId="3CAD1EFC">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34EF5E8E">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2.我方不是为本次采购项目提供整体设计、规范编制或者项目管理、监理、检测等服务的供应商。</w:t>
      </w:r>
    </w:p>
    <w:p w14:paraId="3BF0E695">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 我方承诺符合《中华人民共和国政府采购法》第二十二条规定：</w:t>
      </w:r>
    </w:p>
    <w:p w14:paraId="1992469C">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（一）具有独立承担民事责任的能力；</w:t>
      </w:r>
    </w:p>
    <w:p w14:paraId="4059064B">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（二）具有良好的商业信誉和健全的财务会计制度；</w:t>
      </w:r>
    </w:p>
    <w:p w14:paraId="4F964213">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（三）具有履行合同所必需的设备和专业技术能力；</w:t>
      </w:r>
    </w:p>
    <w:p w14:paraId="7945F097">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（四）有依法缴纳税收和社会保障资金的良好记录；</w:t>
      </w:r>
    </w:p>
    <w:p w14:paraId="676CE1DD">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（五）参加政府采购活动前三年内，在经营活动中没有重大违法记录；</w:t>
      </w:r>
    </w:p>
    <w:p w14:paraId="36C1D89F">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（六）法律、行政法规规定的其他条件。</w:t>
      </w:r>
    </w:p>
    <w:p w14:paraId="674C8781">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4.以上事项如有虚假或者隐瞒，我方愿意承担一切后果，并不再寻求任何旨在减轻或者免除法律责任的辩解。</w:t>
      </w:r>
    </w:p>
    <w:p w14:paraId="716C3026">
      <w:pPr>
        <w:spacing w:line="400" w:lineRule="exact"/>
        <w:contextualSpacing/>
        <w:jc w:val="left"/>
        <w:rPr>
          <w:rFonts w:ascii="宋体" w:hAnsi="宋体" w:cs="宋体"/>
          <w:color w:val="auto"/>
          <w:sz w:val="24"/>
          <w:highlight w:val="none"/>
        </w:rPr>
      </w:pPr>
      <w:r>
        <w:rPr>
          <w:rFonts w:hint="eastAsia" w:ascii="宋体" w:hAnsi="宋体" w:cs="宋体"/>
          <w:color w:val="auto"/>
          <w:sz w:val="24"/>
          <w:highlight w:val="none"/>
        </w:rPr>
        <w:t xml:space="preserve">    特此承诺。</w:t>
      </w:r>
    </w:p>
    <w:p w14:paraId="2DB977AB">
      <w:pPr>
        <w:spacing w:line="400" w:lineRule="exact"/>
        <w:contextualSpacing/>
        <w:jc w:val="left"/>
        <w:rPr>
          <w:rFonts w:ascii="宋体" w:hAnsi="宋体" w:cs="宋体"/>
          <w:color w:val="auto"/>
          <w:sz w:val="24"/>
          <w:highlight w:val="none"/>
        </w:rPr>
      </w:pPr>
      <w:r>
        <w:rPr>
          <w:rFonts w:hint="eastAsia" w:ascii="宋体" w:hAnsi="宋体" w:cs="宋体"/>
          <w:color w:val="auto"/>
          <w:sz w:val="24"/>
          <w:highlight w:val="none"/>
        </w:rPr>
        <w:t xml:space="preserve">                     法定代表人或者委托代理人</w:t>
      </w:r>
      <w:r>
        <w:rPr>
          <w:rFonts w:hint="eastAsia" w:ascii="宋体" w:hAnsi="宋体" w:cs="宋体"/>
          <w:color w:val="auto"/>
          <w:spacing w:val="20"/>
          <w:sz w:val="24"/>
          <w:highlight w:val="none"/>
        </w:rPr>
        <w:t>（签字或者电子签名）：</w:t>
      </w:r>
    </w:p>
    <w:p w14:paraId="58C0AFB7">
      <w:pPr>
        <w:spacing w:line="400" w:lineRule="exact"/>
        <w:contextualSpacing/>
        <w:jc w:val="left"/>
        <w:rPr>
          <w:rFonts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0F43FE33">
      <w:pPr>
        <w:spacing w:line="400" w:lineRule="exact"/>
        <w:contextualSpacing/>
        <w:jc w:val="left"/>
        <w:rPr>
          <w:rFonts w:ascii="宋体" w:hAnsi="宋体" w:cs="宋体"/>
          <w:color w:val="auto"/>
          <w:highlight w:val="none"/>
        </w:rPr>
      </w:pPr>
      <w:r>
        <w:rPr>
          <w:rFonts w:hint="eastAsia" w:ascii="宋体" w:hAnsi="宋体" w:cs="宋体"/>
          <w:color w:val="auto"/>
          <w:sz w:val="24"/>
          <w:highlight w:val="none"/>
        </w:rPr>
        <w:t xml:space="preserve">                                                  年    月    日</w:t>
      </w:r>
    </w:p>
    <w:p w14:paraId="0BB2C140">
      <w:pPr>
        <w:spacing w:line="440" w:lineRule="exact"/>
        <w:contextualSpacing/>
        <w:rPr>
          <w:rFonts w:ascii="宋体" w:hAnsi="宋体" w:cs="宋体"/>
          <w:b/>
          <w:color w:val="auto"/>
          <w:sz w:val="24"/>
          <w:highlight w:val="none"/>
        </w:rPr>
      </w:pPr>
      <w:bookmarkStart w:id="151" w:name="_Toc19686838"/>
      <w:r>
        <w:rPr>
          <w:rFonts w:hint="eastAsia" w:ascii="宋体" w:hAnsi="宋体" w:cs="宋体"/>
          <w:b/>
          <w:color w:val="auto"/>
          <w:sz w:val="24"/>
          <w:highlight w:val="none"/>
        </w:rPr>
        <w:t>注：如为联合体投标，盖章处须加盖联合体牵头人电子签章并由联合体各方法定代表人分别签字或者盖章或者电子签名，否则投标无效。</w:t>
      </w:r>
    </w:p>
    <w:p w14:paraId="7C9324E1">
      <w:pPr>
        <w:rPr>
          <w:rFonts w:ascii="宋体" w:hAnsi="宋体" w:cs="宋体"/>
          <w:b/>
          <w:color w:val="auto"/>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三、商务文件格式</w:t>
      </w:r>
      <w:bookmarkEnd w:id="151"/>
    </w:p>
    <w:p w14:paraId="4935F317">
      <w:pPr>
        <w:snapToGrid w:val="0"/>
        <w:spacing w:before="120" w:beforeLines="50" w:after="50"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1.商务文件封面格式： </w:t>
      </w:r>
    </w:p>
    <w:p w14:paraId="21F88ED3">
      <w:pPr>
        <w:snapToGrid w:val="0"/>
        <w:spacing w:before="120" w:beforeLines="50" w:after="50"/>
        <w:jc w:val="center"/>
        <w:rPr>
          <w:rFonts w:ascii="宋体" w:hAnsi="宋体" w:cs="宋体"/>
          <w:color w:val="auto"/>
          <w:sz w:val="24"/>
          <w:highlight w:val="none"/>
        </w:rPr>
      </w:pPr>
      <w:r>
        <w:rPr>
          <w:rFonts w:hint="eastAsia" w:ascii="宋体" w:hAnsi="宋体" w:cs="宋体"/>
          <w:bCs/>
          <w:color w:val="auto"/>
          <w:sz w:val="48"/>
          <w:szCs w:val="48"/>
          <w:highlight w:val="none"/>
        </w:rPr>
        <w:t>电子投标文件</w:t>
      </w:r>
    </w:p>
    <w:p w14:paraId="09FBBEA4">
      <w:pPr>
        <w:snapToGrid w:val="0"/>
        <w:spacing w:before="120"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商  务  文  件</w:t>
      </w:r>
    </w:p>
    <w:p w14:paraId="3A4BE522">
      <w:pPr>
        <w:snapToGrid w:val="0"/>
        <w:spacing w:before="120" w:beforeLines="50" w:after="50"/>
        <w:rPr>
          <w:rFonts w:ascii="宋体" w:hAnsi="宋体" w:cs="宋体"/>
          <w:bCs/>
          <w:color w:val="auto"/>
          <w:sz w:val="24"/>
          <w:szCs w:val="20"/>
          <w:highlight w:val="none"/>
        </w:rPr>
      </w:pPr>
    </w:p>
    <w:p w14:paraId="3D4BA310">
      <w:pPr>
        <w:snapToGrid w:val="0"/>
        <w:spacing w:before="120"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项目名称：</w:t>
      </w:r>
    </w:p>
    <w:p w14:paraId="18E122C8">
      <w:pPr>
        <w:snapToGrid w:val="0"/>
        <w:spacing w:before="120" w:beforeLines="50" w:after="50"/>
        <w:ind w:firstLine="540" w:firstLineChars="225"/>
        <w:rPr>
          <w:rFonts w:ascii="宋体" w:hAnsi="宋体" w:cs="宋体"/>
          <w:bCs/>
          <w:color w:val="auto"/>
          <w:sz w:val="24"/>
          <w:szCs w:val="20"/>
          <w:highlight w:val="none"/>
        </w:rPr>
      </w:pPr>
    </w:p>
    <w:p w14:paraId="122144BC">
      <w:pPr>
        <w:snapToGrid w:val="0"/>
        <w:spacing w:before="120"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p>
    <w:p w14:paraId="41A57B9A">
      <w:pPr>
        <w:snapToGrid w:val="0"/>
        <w:spacing w:before="120" w:beforeLines="50" w:after="50"/>
        <w:ind w:firstLine="540" w:firstLineChars="225"/>
        <w:rPr>
          <w:rFonts w:ascii="宋体" w:hAnsi="宋体" w:cs="宋体"/>
          <w:bCs/>
          <w:color w:val="auto"/>
          <w:sz w:val="24"/>
          <w:szCs w:val="20"/>
          <w:highlight w:val="none"/>
        </w:rPr>
      </w:pPr>
    </w:p>
    <w:p w14:paraId="57B49D04">
      <w:pPr>
        <w:snapToGrid w:val="0"/>
        <w:spacing w:before="120" w:beforeLines="50" w:after="50"/>
        <w:ind w:firstLine="540" w:firstLineChars="225"/>
        <w:rPr>
          <w:rFonts w:ascii="宋体" w:hAnsi="宋体" w:cs="宋体"/>
          <w:bCs/>
          <w:color w:val="auto"/>
          <w:sz w:val="24"/>
          <w:szCs w:val="20"/>
          <w:highlight w:val="none"/>
        </w:rPr>
      </w:pPr>
    </w:p>
    <w:p w14:paraId="003FC1F4">
      <w:pPr>
        <w:pStyle w:val="7"/>
        <w:snapToGrid w:val="0"/>
        <w:spacing w:before="50" w:after="50"/>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2C60CF55">
      <w:pPr>
        <w:pStyle w:val="7"/>
        <w:snapToGrid w:val="0"/>
        <w:spacing w:before="50" w:after="50"/>
        <w:ind w:firstLine="540" w:firstLineChars="225"/>
        <w:rPr>
          <w:rFonts w:ascii="宋体" w:hAnsi="宋体" w:cs="宋体"/>
          <w:bCs/>
          <w:color w:val="auto"/>
          <w:sz w:val="24"/>
          <w:szCs w:val="24"/>
          <w:highlight w:val="none"/>
        </w:rPr>
      </w:pPr>
    </w:p>
    <w:p w14:paraId="573D3D2E">
      <w:pPr>
        <w:pStyle w:val="7"/>
        <w:snapToGrid w:val="0"/>
        <w:spacing w:before="50" w:after="50"/>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投标人地址：</w:t>
      </w:r>
    </w:p>
    <w:p w14:paraId="1B333DD5">
      <w:pPr>
        <w:pStyle w:val="7"/>
        <w:snapToGrid w:val="0"/>
        <w:spacing w:before="50" w:after="50"/>
        <w:ind w:firstLine="960" w:firstLineChars="400"/>
        <w:rPr>
          <w:rFonts w:ascii="宋体" w:hAnsi="宋体" w:cs="宋体"/>
          <w:bCs/>
          <w:color w:val="auto"/>
          <w:sz w:val="24"/>
          <w:szCs w:val="24"/>
          <w:highlight w:val="none"/>
        </w:rPr>
      </w:pPr>
    </w:p>
    <w:p w14:paraId="662EAC68">
      <w:pPr>
        <w:snapToGrid w:val="0"/>
        <w:spacing w:before="120" w:beforeLines="50" w:after="50"/>
        <w:ind w:firstLine="645"/>
        <w:rPr>
          <w:rFonts w:ascii="宋体" w:hAnsi="宋体" w:cs="宋体"/>
          <w:color w:val="auto"/>
          <w:sz w:val="24"/>
          <w:highlight w:val="none"/>
        </w:rPr>
      </w:pPr>
      <w:r>
        <w:rPr>
          <w:rFonts w:hint="eastAsia" w:ascii="宋体" w:hAnsi="宋体" w:cs="宋体"/>
          <w:color w:val="auto"/>
          <w:sz w:val="24"/>
          <w:highlight w:val="none"/>
        </w:rPr>
        <w:t xml:space="preserve">                        年  月  日</w:t>
      </w:r>
    </w:p>
    <w:p w14:paraId="50C1D55D">
      <w:pPr>
        <w:snapToGrid w:val="0"/>
        <w:spacing w:before="120" w:beforeLines="50" w:after="50"/>
        <w:rPr>
          <w:rFonts w:ascii="宋体" w:hAnsi="宋体" w:cs="宋体"/>
          <w:color w:val="auto"/>
          <w:sz w:val="24"/>
          <w:szCs w:val="20"/>
          <w:highlight w:val="none"/>
        </w:rPr>
      </w:pPr>
    </w:p>
    <w:p w14:paraId="6CAF5A01">
      <w:pPr>
        <w:snapToGrid w:val="0"/>
        <w:spacing w:line="360" w:lineRule="auto"/>
        <w:jc w:val="left"/>
        <w:rPr>
          <w:rFonts w:ascii="宋体" w:hAnsi="宋体" w:cs="宋体"/>
          <w:b/>
          <w:color w:val="auto"/>
          <w:sz w:val="24"/>
          <w:highlight w:val="none"/>
        </w:rPr>
      </w:pPr>
      <w:r>
        <w:rPr>
          <w:rFonts w:hint="eastAsia" w:ascii="宋体" w:hAnsi="宋体" w:cs="宋体"/>
          <w:color w:val="auto"/>
          <w:sz w:val="24"/>
          <w:szCs w:val="20"/>
          <w:highlight w:val="none"/>
        </w:rPr>
        <w:br w:type="page"/>
      </w:r>
      <w:r>
        <w:rPr>
          <w:rFonts w:hint="eastAsia" w:ascii="宋体" w:hAnsi="宋体" w:cs="宋体"/>
          <w:b/>
          <w:color w:val="auto"/>
          <w:sz w:val="24"/>
          <w:highlight w:val="none"/>
        </w:rPr>
        <w:t>2.商务文件目录</w:t>
      </w:r>
    </w:p>
    <w:p w14:paraId="196A7C0E">
      <w:pPr>
        <w:snapToGrid w:val="0"/>
        <w:spacing w:before="50" w:after="120" w:afterLines="50" w:line="360" w:lineRule="auto"/>
        <w:ind w:firstLine="560" w:firstLineChars="200"/>
        <w:jc w:val="left"/>
        <w:rPr>
          <w:rFonts w:ascii="宋体" w:hAnsi="宋体" w:cs="宋体"/>
          <w:b/>
          <w:bCs/>
          <w:color w:val="auto"/>
          <w:sz w:val="32"/>
          <w:szCs w:val="32"/>
          <w:highlight w:val="none"/>
        </w:rPr>
      </w:pPr>
      <w:r>
        <w:rPr>
          <w:rFonts w:hint="eastAsia" w:ascii="宋体" w:hAnsi="宋体" w:cs="宋体"/>
          <w:color w:val="auto"/>
          <w:sz w:val="28"/>
          <w:szCs w:val="28"/>
          <w:highlight w:val="none"/>
        </w:rPr>
        <w:t>根据招标文件规定及投标人提供的材料自行编写目录。</w:t>
      </w:r>
    </w:p>
    <w:p w14:paraId="00A4DE33">
      <w:pPr>
        <w:snapToGrid w:val="0"/>
        <w:spacing w:before="50" w:after="120" w:afterLines="50"/>
        <w:jc w:val="left"/>
        <w:rPr>
          <w:rFonts w:ascii="宋体" w:hAnsi="宋体" w:cs="宋体"/>
          <w:color w:val="auto"/>
          <w:highlight w:val="none"/>
        </w:rPr>
      </w:pPr>
    </w:p>
    <w:p w14:paraId="60142112">
      <w:pPr>
        <w:snapToGrid w:val="0"/>
        <w:spacing w:before="120" w:beforeLines="50" w:after="50"/>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3.部分商务文件格式</w:t>
      </w:r>
    </w:p>
    <w:p w14:paraId="635E96FC">
      <w:pPr>
        <w:snapToGrid w:val="0"/>
        <w:spacing w:before="120" w:beforeLines="50" w:after="50"/>
        <w:jc w:val="left"/>
        <w:rPr>
          <w:rFonts w:ascii="宋体" w:hAnsi="宋体" w:cs="宋体"/>
          <w:b/>
          <w:color w:val="auto"/>
          <w:sz w:val="24"/>
          <w:highlight w:val="none"/>
        </w:rPr>
      </w:pPr>
    </w:p>
    <w:p w14:paraId="54146F77">
      <w:pPr>
        <w:snapToGrid w:val="0"/>
        <w:spacing w:before="120" w:beforeLines="50" w:after="50"/>
        <w:jc w:val="left"/>
        <w:rPr>
          <w:rFonts w:ascii="宋体" w:hAnsi="宋体" w:cs="宋体"/>
          <w:b/>
          <w:color w:val="auto"/>
          <w:sz w:val="24"/>
          <w:highlight w:val="none"/>
        </w:rPr>
      </w:pPr>
      <w:r>
        <w:rPr>
          <w:rFonts w:hint="eastAsia" w:ascii="宋体" w:hAnsi="宋体" w:cs="宋体"/>
          <w:b/>
          <w:color w:val="auto"/>
          <w:sz w:val="24"/>
          <w:highlight w:val="none"/>
        </w:rPr>
        <w:t>投标人参加本项目无围标串标行为的承诺</w:t>
      </w:r>
    </w:p>
    <w:p w14:paraId="645C49AA">
      <w:pPr>
        <w:spacing w:line="360" w:lineRule="auto"/>
        <w:ind w:left="420"/>
        <w:contextualSpacing/>
        <w:jc w:val="center"/>
        <w:rPr>
          <w:rFonts w:ascii="宋体" w:hAnsi="宋体" w:cs="宋体"/>
          <w:b/>
          <w:color w:val="auto"/>
          <w:sz w:val="24"/>
          <w:highlight w:val="none"/>
        </w:rPr>
      </w:pPr>
      <w:r>
        <w:rPr>
          <w:rFonts w:hint="eastAsia" w:ascii="宋体" w:hAnsi="宋体" w:cs="宋体"/>
          <w:bCs/>
          <w:color w:val="auto"/>
          <w:spacing w:val="-11"/>
          <w:sz w:val="44"/>
          <w:szCs w:val="44"/>
          <w:highlight w:val="none"/>
        </w:rPr>
        <w:t>投标人参加本项目无围标串标行为的承诺函</w:t>
      </w:r>
    </w:p>
    <w:p w14:paraId="4CD9614A">
      <w:pPr>
        <w:spacing w:line="400" w:lineRule="exact"/>
        <w:contextualSpacing/>
        <w:jc w:val="left"/>
        <w:rPr>
          <w:rFonts w:ascii="宋体" w:hAnsi="宋体" w:cs="宋体"/>
          <w:b/>
          <w:color w:val="auto"/>
          <w:sz w:val="24"/>
          <w:highlight w:val="none"/>
        </w:rPr>
      </w:pPr>
      <w:r>
        <w:rPr>
          <w:rFonts w:hint="eastAsia" w:ascii="宋体" w:hAnsi="宋体" w:cs="宋体"/>
          <w:b/>
          <w:color w:val="auto"/>
          <w:sz w:val="24"/>
          <w:highlight w:val="none"/>
        </w:rPr>
        <w:t>一、我方承诺无下列相互串通投标的情形：</w:t>
      </w:r>
    </w:p>
    <w:p w14:paraId="3FB97FEC">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1.不同投标人的投标文件由同一单位或者个人编制；</w:t>
      </w:r>
    </w:p>
    <w:p w14:paraId="29414630">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2.不同投标人委托同一单位或者个人办理投标事宜；</w:t>
      </w:r>
    </w:p>
    <w:p w14:paraId="772E2229">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3.不同的投标人的投标文件载明的项目管理员为同一个人；</w:t>
      </w:r>
    </w:p>
    <w:p w14:paraId="169E68B9">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4.不同投标人的投标文件异常一致或者投标报价呈规律性差异；</w:t>
      </w:r>
    </w:p>
    <w:p w14:paraId="1079C27D">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5.不同投标人的投标文件相互混装；</w:t>
      </w:r>
    </w:p>
    <w:p w14:paraId="5FC923D2">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6.不同投标人的投标保证金从同一单位或者个人账户转出。</w:t>
      </w:r>
    </w:p>
    <w:p w14:paraId="51129D4B">
      <w:pPr>
        <w:spacing w:line="400" w:lineRule="exact"/>
        <w:contextualSpacing/>
        <w:jc w:val="left"/>
        <w:rPr>
          <w:rFonts w:ascii="宋体" w:hAnsi="宋体" w:cs="宋体"/>
          <w:color w:val="auto"/>
          <w:sz w:val="24"/>
          <w:highlight w:val="none"/>
        </w:rPr>
      </w:pPr>
      <w:r>
        <w:rPr>
          <w:rFonts w:hint="eastAsia" w:ascii="宋体" w:hAnsi="宋体" w:cs="宋体"/>
          <w:b/>
          <w:color w:val="auto"/>
          <w:sz w:val="24"/>
          <w:highlight w:val="none"/>
        </w:rPr>
        <w:t>二、我方承诺无下列恶意串通的情形：</w:t>
      </w:r>
    </w:p>
    <w:p w14:paraId="492B1BD6">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1.投标人直接或者间接从采购人或者采购代理机构处获得其他投标人的相关信息并修改其投标文件或者响应文件；</w:t>
      </w:r>
    </w:p>
    <w:p w14:paraId="50964D01">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2.投标人按照采购人或者采购代理机构的授意撤换、修改投标文件或者响应文件；</w:t>
      </w:r>
    </w:p>
    <w:p w14:paraId="2924B827">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3.投标人之间协商报价、技术方案等投标文件或者响应文件的实质性内容；</w:t>
      </w:r>
    </w:p>
    <w:p w14:paraId="6D1EC883">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4.属于同一集团、协会、商会等组织成员的投标人按照该组织要求协同参加政府采购活动；</w:t>
      </w:r>
    </w:p>
    <w:p w14:paraId="4357F31C">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14:paraId="48DC54A5">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6.投标人之间商定部分投标人放弃参加政府采购活动或者放弃中标；</w:t>
      </w:r>
    </w:p>
    <w:p w14:paraId="56DC5D5D">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7.投标人与采购人或者采购代理机构之间、投标人相互之间，为谋求特定投标人中标或者排斥其他投标人的其他串通行为。</w:t>
      </w:r>
    </w:p>
    <w:p w14:paraId="5B05BAB7">
      <w:pPr>
        <w:spacing w:line="400" w:lineRule="exact"/>
        <w:ind w:firstLine="472" w:firstLineChars="196"/>
        <w:contextualSpacing/>
        <w:jc w:val="left"/>
        <w:rPr>
          <w:rFonts w:ascii="宋体" w:hAnsi="宋体" w:cs="宋体"/>
          <w:b/>
          <w:color w:val="auto"/>
          <w:sz w:val="24"/>
          <w:highlight w:val="none"/>
        </w:rPr>
      </w:pPr>
      <w:r>
        <w:rPr>
          <w:rFonts w:hint="eastAsia" w:ascii="宋体" w:hAnsi="宋体" w:cs="宋体"/>
          <w:b/>
          <w:color w:val="auto"/>
          <w:sz w:val="24"/>
          <w:highlight w:val="none"/>
        </w:rPr>
        <w:t>以上情形一经核查属实，我方愿意承担一切后果，并不再寻求任何旨在减轻或者免除法律责任的辩解。</w:t>
      </w:r>
    </w:p>
    <w:p w14:paraId="17512291">
      <w:pPr>
        <w:pStyle w:val="25"/>
        <w:spacing w:line="440" w:lineRule="exact"/>
        <w:ind w:firstLine="6840" w:firstLineChars="2850"/>
        <w:contextualSpacing/>
        <w:rPr>
          <w:rFonts w:hAnsi="宋体" w:cs="宋体"/>
          <w:color w:val="auto"/>
          <w:sz w:val="24"/>
          <w:szCs w:val="24"/>
          <w:highlight w:val="none"/>
        </w:rPr>
      </w:pPr>
    </w:p>
    <w:p w14:paraId="0DCA537E">
      <w:pPr>
        <w:pStyle w:val="25"/>
        <w:spacing w:line="440" w:lineRule="exact"/>
        <w:contextualSpacing/>
        <w:jc w:val="center"/>
        <w:rPr>
          <w:rFonts w:hAnsi="宋体" w:cs="宋体"/>
          <w:color w:val="auto"/>
          <w:sz w:val="24"/>
          <w:szCs w:val="24"/>
          <w:highlight w:val="none"/>
        </w:rPr>
      </w:pPr>
      <w:r>
        <w:rPr>
          <w:rFonts w:hint="eastAsia" w:hAnsi="宋体" w:cs="宋体"/>
          <w:color w:val="auto"/>
          <w:sz w:val="24"/>
          <w:szCs w:val="24"/>
          <w:highlight w:val="none"/>
        </w:rPr>
        <w:t>投标人名称（电子签章）</w:t>
      </w:r>
    </w:p>
    <w:p w14:paraId="2516723B">
      <w:pPr>
        <w:pStyle w:val="25"/>
        <w:spacing w:line="440" w:lineRule="exact"/>
        <w:ind w:firstLine="4200" w:firstLineChars="1750"/>
        <w:contextualSpacing/>
        <w:rPr>
          <w:rFonts w:hAnsi="宋体" w:cs="宋体"/>
          <w:color w:val="auto"/>
          <w:sz w:val="24"/>
          <w:highlight w:val="none"/>
        </w:rPr>
      </w:pPr>
      <w:r>
        <w:rPr>
          <w:rFonts w:hint="eastAsia" w:hAnsi="宋体" w:cs="宋体"/>
          <w:color w:val="auto"/>
          <w:sz w:val="24"/>
          <w:highlight w:val="none"/>
        </w:rPr>
        <w:t>年   月   日</w:t>
      </w:r>
    </w:p>
    <w:p w14:paraId="3B9618E6">
      <w:pPr>
        <w:snapToGrid w:val="0"/>
        <w:spacing w:before="120" w:beforeLines="50" w:after="50"/>
        <w:jc w:val="left"/>
        <w:rPr>
          <w:rFonts w:ascii="宋体" w:hAnsi="宋体" w:cs="宋体"/>
          <w:b/>
          <w:color w:val="auto"/>
          <w:sz w:val="24"/>
          <w:highlight w:val="none"/>
        </w:rPr>
      </w:pPr>
    </w:p>
    <w:p w14:paraId="391A9824">
      <w:pPr>
        <w:snapToGrid w:val="0"/>
        <w:spacing w:before="120" w:beforeLines="50" w:after="50"/>
        <w:jc w:val="left"/>
        <w:rPr>
          <w:rFonts w:ascii="宋体" w:hAnsi="宋体" w:cs="宋体"/>
          <w:b/>
          <w:color w:val="auto"/>
          <w:sz w:val="24"/>
          <w:szCs w:val="20"/>
          <w:highlight w:val="none"/>
        </w:rPr>
      </w:pPr>
      <w:r>
        <w:rPr>
          <w:rFonts w:hint="eastAsia" w:ascii="宋体" w:hAnsi="宋体" w:cs="宋体"/>
          <w:b/>
          <w:color w:val="auto"/>
          <w:sz w:val="24"/>
          <w:highlight w:val="none"/>
        </w:rPr>
        <w:t>法定代表人身份证明</w:t>
      </w:r>
    </w:p>
    <w:p w14:paraId="20E640BA">
      <w:pPr>
        <w:spacing w:before="240" w:beforeLines="100" w:after="120" w:afterLines="50"/>
        <w:ind w:left="540"/>
        <w:jc w:val="center"/>
        <w:rPr>
          <w:rFonts w:ascii="宋体" w:hAnsi="宋体" w:cs="宋体"/>
          <w:bCs/>
          <w:color w:val="auto"/>
          <w:sz w:val="44"/>
          <w:szCs w:val="44"/>
          <w:highlight w:val="none"/>
        </w:rPr>
      </w:pPr>
      <w:r>
        <w:rPr>
          <w:rFonts w:hint="eastAsia" w:ascii="宋体" w:hAnsi="宋体" w:cs="宋体"/>
          <w:bCs/>
          <w:color w:val="auto"/>
          <w:sz w:val="44"/>
          <w:szCs w:val="44"/>
          <w:highlight w:val="none"/>
        </w:rPr>
        <w:t>法定代表人身份证明</w:t>
      </w:r>
    </w:p>
    <w:p w14:paraId="28D6E08A">
      <w:pPr>
        <w:spacing w:line="500" w:lineRule="exact"/>
        <w:ind w:left="540"/>
        <w:rPr>
          <w:rFonts w:ascii="宋体" w:hAnsi="宋体" w:cs="宋体"/>
          <w:color w:val="auto"/>
          <w:sz w:val="24"/>
          <w:highlight w:val="none"/>
        </w:rPr>
      </w:pPr>
      <w:r>
        <w:rPr>
          <w:rFonts w:hint="eastAsia" w:ascii="宋体" w:hAnsi="宋体" w:cs="宋体"/>
          <w:color w:val="auto"/>
          <w:sz w:val="24"/>
          <w:highlight w:val="none"/>
        </w:rPr>
        <w:t>投 标 人：______</w:t>
      </w:r>
      <w:r>
        <w:rPr>
          <w:rFonts w:hint="eastAsia" w:ascii="宋体" w:hAnsi="宋体" w:cs="宋体"/>
          <w:color w:val="auto"/>
          <w:sz w:val="24"/>
          <w:highlight w:val="none"/>
          <w:u w:val="single"/>
        </w:rPr>
        <w:t xml:space="preserve">              </w:t>
      </w:r>
    </w:p>
    <w:p w14:paraId="17A0FD15">
      <w:pPr>
        <w:spacing w:line="500" w:lineRule="exact"/>
        <w:ind w:left="54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_</w:t>
      </w:r>
      <w:r>
        <w:rPr>
          <w:rFonts w:hint="eastAsia" w:ascii="宋体" w:hAnsi="宋体" w:cs="宋体"/>
          <w:color w:val="auto"/>
          <w:sz w:val="24"/>
          <w:highlight w:val="none"/>
        </w:rPr>
        <w:t>______</w:t>
      </w:r>
      <w:r>
        <w:rPr>
          <w:rFonts w:hint="eastAsia" w:ascii="宋体" w:hAnsi="宋体" w:cs="宋体"/>
          <w:color w:val="auto"/>
          <w:sz w:val="24"/>
          <w:highlight w:val="none"/>
          <w:u w:val="single"/>
        </w:rPr>
        <w:t xml:space="preserve">              </w:t>
      </w:r>
    </w:p>
    <w:p w14:paraId="7BD01FFF">
      <w:pPr>
        <w:spacing w:line="500" w:lineRule="exact"/>
        <w:ind w:left="54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_               </w:t>
      </w:r>
      <w:r>
        <w:rPr>
          <w:rFonts w:hint="eastAsia" w:ascii="宋体" w:hAnsi="宋体" w:cs="宋体"/>
          <w:color w:val="auto"/>
          <w:sz w:val="24"/>
          <w:highlight w:val="none"/>
        </w:rPr>
        <w:t>性      别：______</w:t>
      </w:r>
      <w:r>
        <w:rPr>
          <w:rFonts w:hint="eastAsia" w:ascii="宋体" w:hAnsi="宋体" w:cs="宋体"/>
          <w:color w:val="auto"/>
          <w:sz w:val="24"/>
          <w:highlight w:val="none"/>
          <w:u w:val="single"/>
        </w:rPr>
        <w:t xml:space="preserve">              </w:t>
      </w:r>
    </w:p>
    <w:p w14:paraId="38F43567">
      <w:pPr>
        <w:spacing w:line="500" w:lineRule="exact"/>
        <w:ind w:left="540"/>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_               </w:t>
      </w:r>
      <w:r>
        <w:rPr>
          <w:rFonts w:hint="eastAsia" w:ascii="宋体" w:hAnsi="宋体" w:cs="宋体"/>
          <w:color w:val="auto"/>
          <w:sz w:val="24"/>
          <w:highlight w:val="none"/>
        </w:rPr>
        <w:t>职      务：______</w:t>
      </w:r>
      <w:r>
        <w:rPr>
          <w:rFonts w:hint="eastAsia" w:ascii="宋体" w:hAnsi="宋体" w:cs="宋体"/>
          <w:color w:val="auto"/>
          <w:sz w:val="24"/>
          <w:highlight w:val="none"/>
          <w:u w:val="single"/>
        </w:rPr>
        <w:t xml:space="preserve">               </w:t>
      </w:r>
    </w:p>
    <w:p w14:paraId="79992C69">
      <w:pPr>
        <w:spacing w:line="500" w:lineRule="exact"/>
        <w:ind w:left="540"/>
        <w:rPr>
          <w:rFonts w:ascii="宋体" w:hAnsi="宋体" w:cs="宋体"/>
          <w:color w:val="auto"/>
          <w:sz w:val="24"/>
          <w:highlight w:val="none"/>
        </w:rPr>
      </w:pPr>
      <w:r>
        <w:rPr>
          <w:rFonts w:hint="eastAsia" w:ascii="宋体" w:hAnsi="宋体" w:cs="宋体"/>
          <w:color w:val="auto"/>
          <w:sz w:val="24"/>
          <w:highlight w:val="none"/>
        </w:rPr>
        <w:t>身份证号码：______</w:t>
      </w:r>
      <w:r>
        <w:rPr>
          <w:rFonts w:hint="eastAsia" w:ascii="宋体" w:hAnsi="宋体" w:cs="宋体"/>
          <w:color w:val="auto"/>
          <w:sz w:val="24"/>
          <w:highlight w:val="none"/>
          <w:u w:val="single"/>
        </w:rPr>
        <w:t xml:space="preserve">              </w:t>
      </w:r>
    </w:p>
    <w:p w14:paraId="00E63395">
      <w:pPr>
        <w:spacing w:line="500" w:lineRule="exact"/>
        <w:ind w:left="54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（投标人名称）              </w:t>
      </w:r>
      <w:r>
        <w:rPr>
          <w:rFonts w:hint="eastAsia" w:ascii="宋体" w:hAnsi="宋体" w:cs="宋体"/>
          <w:color w:val="auto"/>
          <w:sz w:val="24"/>
          <w:highlight w:val="none"/>
        </w:rPr>
        <w:t>的法定代表人。</w:t>
      </w:r>
    </w:p>
    <w:p w14:paraId="16D6BA6E">
      <w:pPr>
        <w:spacing w:line="500" w:lineRule="exact"/>
        <w:ind w:left="540"/>
        <w:rPr>
          <w:rFonts w:ascii="宋体" w:hAnsi="宋体" w:cs="宋体"/>
          <w:color w:val="auto"/>
          <w:sz w:val="24"/>
          <w:highlight w:val="none"/>
        </w:rPr>
      </w:pPr>
      <w:r>
        <w:rPr>
          <w:rFonts w:hint="eastAsia" w:ascii="宋体" w:hAnsi="宋体" w:cs="宋体"/>
          <w:color w:val="auto"/>
          <w:sz w:val="24"/>
          <w:highlight w:val="none"/>
        </w:rPr>
        <w:t>特此证明。</w:t>
      </w:r>
    </w:p>
    <w:p w14:paraId="5FB3D546">
      <w:pPr>
        <w:spacing w:line="500" w:lineRule="exact"/>
        <w:ind w:left="540"/>
        <w:rPr>
          <w:rFonts w:ascii="宋体" w:hAnsi="宋体" w:cs="宋体"/>
          <w:color w:val="auto"/>
          <w:sz w:val="24"/>
          <w:highlight w:val="none"/>
        </w:rPr>
      </w:pPr>
    </w:p>
    <w:p w14:paraId="77401209">
      <w:pPr>
        <w:spacing w:line="500" w:lineRule="exact"/>
        <w:ind w:left="540"/>
        <w:rPr>
          <w:rFonts w:ascii="宋体" w:hAnsi="宋体" w:cs="宋体"/>
          <w:color w:val="auto"/>
          <w:sz w:val="24"/>
          <w:highlight w:val="none"/>
        </w:rPr>
      </w:pPr>
    </w:p>
    <w:p w14:paraId="7E553C84">
      <w:pPr>
        <w:spacing w:line="500" w:lineRule="exact"/>
        <w:ind w:left="540"/>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5BB1A50E">
      <w:pPr>
        <w:spacing w:line="500" w:lineRule="exact"/>
        <w:ind w:left="540"/>
        <w:rPr>
          <w:rFonts w:ascii="宋体" w:hAnsi="宋体" w:cs="宋体"/>
          <w:color w:val="auto"/>
          <w:sz w:val="24"/>
          <w:highlight w:val="none"/>
        </w:rPr>
      </w:pPr>
    </w:p>
    <w:p w14:paraId="28906F86">
      <w:pPr>
        <w:spacing w:line="500" w:lineRule="exact"/>
        <w:ind w:left="540"/>
        <w:jc w:val="right"/>
        <w:rPr>
          <w:rFonts w:ascii="宋体" w:hAnsi="宋体" w:cs="宋体"/>
          <w:color w:val="auto"/>
          <w:sz w:val="24"/>
          <w:highlight w:val="none"/>
        </w:rPr>
      </w:pPr>
      <w:r>
        <w:rPr>
          <w:rFonts w:hint="eastAsia" w:ascii="宋体" w:hAnsi="宋体" w:cs="宋体"/>
          <w:color w:val="auto"/>
          <w:sz w:val="24"/>
          <w:highlight w:val="none"/>
        </w:rPr>
        <w:t>投标人名称（电子签章）</w:t>
      </w:r>
    </w:p>
    <w:p w14:paraId="102FA6CF">
      <w:pPr>
        <w:spacing w:line="500" w:lineRule="exact"/>
        <w:ind w:left="540"/>
        <w:jc w:val="right"/>
        <w:rPr>
          <w:rFonts w:ascii="宋体" w:hAnsi="宋体" w:cs="宋体"/>
          <w:color w:val="auto"/>
          <w:sz w:val="24"/>
          <w:highlight w:val="none"/>
        </w:rPr>
      </w:pPr>
    </w:p>
    <w:p w14:paraId="266476F3">
      <w:pPr>
        <w:wordWrap w:val="0"/>
        <w:snapToGrid w:val="0"/>
        <w:spacing w:before="120" w:beforeLines="50" w:after="50"/>
        <w:ind w:left="540"/>
        <w:jc w:val="right"/>
        <w:rPr>
          <w:rFonts w:ascii="宋体" w:hAnsi="宋体" w:cs="宋体"/>
          <w:color w:val="auto"/>
          <w:sz w:val="24"/>
          <w:highlight w:val="none"/>
        </w:rPr>
      </w:pPr>
      <w:r>
        <w:rPr>
          <w:rFonts w:hint="eastAsia" w:ascii="宋体" w:hAnsi="宋体" w:cs="宋体"/>
          <w:color w:val="auto"/>
          <w:sz w:val="24"/>
          <w:highlight w:val="none"/>
        </w:rPr>
        <w:t>年  月  日</w:t>
      </w:r>
    </w:p>
    <w:p w14:paraId="3F4C2327">
      <w:pPr>
        <w:snapToGrid w:val="0"/>
        <w:spacing w:before="120" w:beforeLines="50" w:after="50"/>
        <w:jc w:val="center"/>
        <w:rPr>
          <w:rFonts w:ascii="宋体" w:hAnsi="宋体" w:cs="宋体"/>
          <w:b/>
          <w:color w:val="auto"/>
          <w:sz w:val="24"/>
          <w:highlight w:val="none"/>
        </w:rPr>
      </w:pPr>
    </w:p>
    <w:p w14:paraId="5DC5262E">
      <w:pPr>
        <w:snapToGrid w:val="0"/>
        <w:spacing w:before="120" w:beforeLines="50" w:after="50"/>
        <w:jc w:val="left"/>
        <w:rPr>
          <w:rFonts w:ascii="宋体" w:hAnsi="宋体" w:cs="宋体"/>
          <w:b/>
          <w:color w:val="auto"/>
          <w:sz w:val="24"/>
          <w:szCs w:val="20"/>
          <w:highlight w:val="none"/>
        </w:rPr>
      </w:pPr>
      <w:r>
        <w:rPr>
          <w:rFonts w:hint="eastAsia" w:ascii="宋体" w:hAnsi="宋体" w:cs="宋体"/>
          <w:color w:val="auto"/>
          <w:sz w:val="24"/>
          <w:highlight w:val="none"/>
        </w:rPr>
        <w:t>注：自然人投标的无需提供</w:t>
      </w:r>
    </w:p>
    <w:p w14:paraId="603FB8A4">
      <w:pPr>
        <w:snapToGrid w:val="0"/>
        <w:spacing w:before="120" w:beforeLines="50" w:after="50"/>
        <w:jc w:val="left"/>
        <w:rPr>
          <w:rFonts w:ascii="宋体" w:hAnsi="宋体" w:cs="宋体"/>
          <w:b/>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授权委托书格式</w:t>
      </w:r>
    </w:p>
    <w:p w14:paraId="4E83E90C">
      <w:pPr>
        <w:snapToGrid w:val="0"/>
        <w:spacing w:before="120" w:beforeLines="50" w:after="50"/>
        <w:jc w:val="center"/>
        <w:rPr>
          <w:rFonts w:ascii="宋体" w:hAnsi="宋体" w:cs="宋体"/>
          <w:b/>
          <w:color w:val="auto"/>
          <w:sz w:val="44"/>
          <w:szCs w:val="44"/>
          <w:highlight w:val="none"/>
        </w:rPr>
      </w:pPr>
    </w:p>
    <w:p w14:paraId="47810F6C">
      <w:pPr>
        <w:spacing w:line="360" w:lineRule="auto"/>
        <w:contextualSpacing/>
        <w:jc w:val="center"/>
        <w:rPr>
          <w:rFonts w:ascii="宋体" w:hAnsi="宋体" w:cs="宋体"/>
          <w:bCs/>
          <w:color w:val="auto"/>
          <w:sz w:val="44"/>
          <w:szCs w:val="44"/>
          <w:highlight w:val="none"/>
        </w:rPr>
      </w:pPr>
      <w:r>
        <w:rPr>
          <w:rFonts w:hint="eastAsia" w:ascii="宋体" w:hAnsi="宋体" w:cs="宋体"/>
          <w:bCs/>
          <w:color w:val="auto"/>
          <w:sz w:val="44"/>
          <w:szCs w:val="44"/>
          <w:highlight w:val="none"/>
        </w:rPr>
        <w:t>授权委托书</w:t>
      </w:r>
    </w:p>
    <w:p w14:paraId="0D465175">
      <w:pPr>
        <w:spacing w:line="360" w:lineRule="auto"/>
        <w:contextualSpacing/>
        <w:jc w:val="center"/>
        <w:rPr>
          <w:rFonts w:ascii="宋体" w:hAnsi="宋体" w:cs="宋体"/>
          <w:bCs/>
          <w:color w:val="auto"/>
          <w:sz w:val="32"/>
          <w:szCs w:val="32"/>
          <w:highlight w:val="none"/>
        </w:rPr>
      </w:pPr>
      <w:r>
        <w:rPr>
          <w:rFonts w:hint="eastAsia" w:ascii="宋体" w:hAnsi="宋体" w:cs="宋体"/>
          <w:bCs/>
          <w:color w:val="auto"/>
          <w:sz w:val="32"/>
          <w:szCs w:val="32"/>
          <w:highlight w:val="none"/>
        </w:rPr>
        <w:t>（非联合体投标格式）</w:t>
      </w:r>
    </w:p>
    <w:p w14:paraId="394C1AF1">
      <w:pPr>
        <w:spacing w:line="360" w:lineRule="auto"/>
        <w:contextualSpacing/>
        <w:jc w:val="center"/>
        <w:rPr>
          <w:rFonts w:ascii="宋体" w:hAnsi="宋体" w:cs="宋体"/>
          <w:bCs/>
          <w:color w:val="auto"/>
          <w:sz w:val="24"/>
          <w:highlight w:val="none"/>
        </w:rPr>
      </w:pPr>
      <w:r>
        <w:rPr>
          <w:rFonts w:hint="eastAsia" w:ascii="宋体" w:hAnsi="宋体" w:cs="宋体"/>
          <w:bCs/>
          <w:color w:val="auto"/>
          <w:sz w:val="32"/>
          <w:szCs w:val="32"/>
          <w:highlight w:val="none"/>
        </w:rPr>
        <w:t>（如有委托时）</w:t>
      </w:r>
    </w:p>
    <w:p w14:paraId="577464D7">
      <w:pPr>
        <w:spacing w:line="440" w:lineRule="exact"/>
        <w:contextualSpacing/>
        <w:jc w:val="center"/>
        <w:rPr>
          <w:rFonts w:ascii="宋体" w:hAnsi="宋体" w:cs="宋体"/>
          <w:b/>
          <w:color w:val="auto"/>
          <w:sz w:val="24"/>
          <w:highlight w:val="none"/>
        </w:rPr>
      </w:pPr>
    </w:p>
    <w:p w14:paraId="5903D941">
      <w:pPr>
        <w:spacing w:line="440" w:lineRule="exact"/>
        <w:contextualSpacing/>
        <w:rPr>
          <w:rFonts w:ascii="宋体" w:hAnsi="宋体" w:cs="宋体"/>
          <w:b/>
          <w:bCs/>
          <w:color w:val="auto"/>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502940AF">
      <w:pPr>
        <w:spacing w:line="440" w:lineRule="exact"/>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我（姓名）</w:t>
      </w:r>
      <w:r>
        <w:rPr>
          <w:rFonts w:hint="eastAsia" w:ascii="宋体" w:hAnsi="宋体" w:cs="宋体"/>
          <w:color w:val="auto"/>
          <w:sz w:val="24"/>
          <w:highlight w:val="none"/>
          <w:u w:val="single"/>
        </w:rPr>
        <w:t xml:space="preserve">_               </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_               </w:t>
      </w:r>
      <w:r>
        <w:rPr>
          <w:rFonts w:hint="eastAsia" w:ascii="宋体" w:hAnsi="宋体" w:cs="宋体"/>
          <w:color w:val="auto"/>
          <w:sz w:val="24"/>
          <w:highlight w:val="none"/>
        </w:rPr>
        <w:t>（投标人名称）的法定代表人，现授权委托</w:t>
      </w:r>
      <w:r>
        <w:rPr>
          <w:rFonts w:hint="eastAsia" w:ascii="宋体" w:hAnsi="宋体" w:cs="宋体"/>
          <w:color w:val="auto"/>
          <w:sz w:val="24"/>
          <w:highlight w:val="none"/>
          <w:u w:val="single"/>
        </w:rPr>
        <w:t xml:space="preserve">              （姓名）</w:t>
      </w:r>
      <w:r>
        <w:rPr>
          <w:rFonts w:hint="eastAsia" w:ascii="宋体" w:hAnsi="宋体" w:cs="宋体"/>
          <w:color w:val="auto"/>
          <w:sz w:val="24"/>
          <w:highlight w:val="none"/>
        </w:rPr>
        <w:t>以我方的名义参加项目的投标活动，并代表我方全权办理针对上述项目的所有采购程序和环节的具体事务和签署相关文件。</w:t>
      </w:r>
    </w:p>
    <w:p w14:paraId="32C92132">
      <w:pPr>
        <w:spacing w:line="440" w:lineRule="exact"/>
        <w:contextualSpacing/>
        <w:rPr>
          <w:rFonts w:ascii="宋体" w:hAnsi="宋体" w:cs="宋体"/>
          <w:color w:val="auto"/>
          <w:sz w:val="24"/>
          <w:highlight w:val="none"/>
        </w:rPr>
      </w:pPr>
      <w:r>
        <w:rPr>
          <w:rFonts w:hint="eastAsia" w:ascii="宋体" w:hAnsi="宋体" w:cs="宋体"/>
          <w:color w:val="auto"/>
          <w:sz w:val="24"/>
          <w:highlight w:val="none"/>
        </w:rPr>
        <w:t xml:space="preserve">    我方对委托代理人的签字或者电子签名事项负全部责任。</w:t>
      </w:r>
    </w:p>
    <w:p w14:paraId="547D3BA1">
      <w:pPr>
        <w:spacing w:line="440" w:lineRule="exact"/>
        <w:ind w:firstLine="480"/>
        <w:contextualSpacing/>
        <w:rPr>
          <w:rFonts w:ascii="宋体" w:hAnsi="宋体" w:cs="宋体"/>
          <w:color w:val="auto"/>
          <w:sz w:val="24"/>
          <w:highlight w:val="none"/>
        </w:rPr>
      </w:pPr>
      <w:r>
        <w:rPr>
          <w:rFonts w:hint="eastAsia" w:ascii="宋体" w:hAnsi="宋体" w:cs="宋体"/>
          <w:color w:val="auto"/>
          <w:sz w:val="24"/>
          <w:highlight w:val="none"/>
          <w:u w:val="single"/>
        </w:rPr>
        <w:t>本授权书自签署之日起生效，在撤销授权的书面通知以前，本授权书一直有效。委托代理人在授权书有效期内签署的所有文件不因授权的撤销而失效。</w:t>
      </w:r>
    </w:p>
    <w:p w14:paraId="0A3754AF">
      <w:pPr>
        <w:spacing w:line="440" w:lineRule="exact"/>
        <w:ind w:firstLine="480"/>
        <w:contextualSpacing/>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09570C14">
      <w:pPr>
        <w:spacing w:line="440" w:lineRule="exact"/>
        <w:ind w:firstLine="480"/>
        <w:contextualSpacing/>
        <w:rPr>
          <w:rFonts w:ascii="宋体" w:hAnsi="宋体" w:cs="宋体"/>
          <w:color w:val="auto"/>
          <w:sz w:val="24"/>
          <w:highlight w:val="none"/>
        </w:rPr>
      </w:pPr>
      <w:r>
        <w:rPr>
          <w:rFonts w:hint="eastAsia" w:ascii="宋体" w:hAnsi="宋体" w:cs="宋体"/>
          <w:color w:val="auto"/>
          <w:sz w:val="24"/>
          <w:highlight w:val="none"/>
        </w:rPr>
        <w:t>附：法定代表人身份证明及委托代理人有效身份证正反面复印件</w:t>
      </w:r>
    </w:p>
    <w:p w14:paraId="22534960">
      <w:pPr>
        <w:spacing w:line="440" w:lineRule="exact"/>
        <w:contextualSpacing/>
        <w:rPr>
          <w:rFonts w:ascii="宋体" w:hAnsi="宋体" w:cs="宋体"/>
          <w:color w:val="auto"/>
          <w:sz w:val="24"/>
          <w:highlight w:val="none"/>
        </w:rPr>
      </w:pPr>
    </w:p>
    <w:p w14:paraId="10589B9F">
      <w:pPr>
        <w:spacing w:line="440" w:lineRule="exact"/>
        <w:contextualSpacing/>
        <w:rPr>
          <w:rFonts w:ascii="宋体" w:hAnsi="宋体" w:cs="宋体"/>
          <w:color w:val="auto"/>
          <w:sz w:val="24"/>
          <w:highlight w:val="none"/>
        </w:rPr>
      </w:pPr>
      <w:r>
        <w:rPr>
          <w:rFonts w:hint="eastAsia" w:ascii="宋体" w:hAnsi="宋体" w:cs="宋体"/>
          <w:color w:val="auto"/>
          <w:sz w:val="24"/>
          <w:highlight w:val="none"/>
        </w:rPr>
        <w:t>委托代理人（签字或者电子签名）：</w:t>
      </w:r>
    </w:p>
    <w:p w14:paraId="33DBBC1E">
      <w:pPr>
        <w:spacing w:line="440" w:lineRule="exact"/>
        <w:contextualSpacing/>
        <w:rPr>
          <w:rFonts w:ascii="宋体" w:hAnsi="宋体" w:cs="宋体"/>
          <w:color w:val="auto"/>
          <w:sz w:val="24"/>
          <w:highlight w:val="none"/>
          <w:u w:val="single"/>
        </w:rPr>
      </w:pPr>
      <w:r>
        <w:rPr>
          <w:rFonts w:hint="eastAsia" w:ascii="宋体" w:hAnsi="宋体" w:cs="宋体"/>
          <w:color w:val="auto"/>
          <w:sz w:val="24"/>
          <w:highlight w:val="none"/>
        </w:rPr>
        <w:t>委托代理人身份证号码：</w:t>
      </w:r>
    </w:p>
    <w:p w14:paraId="785400F7">
      <w:pPr>
        <w:spacing w:line="440" w:lineRule="exact"/>
        <w:contextualSpacing/>
        <w:rPr>
          <w:rFonts w:ascii="宋体" w:hAnsi="宋体" w:cs="宋体"/>
          <w:color w:val="auto"/>
          <w:sz w:val="24"/>
          <w:highlight w:val="none"/>
          <w:u w:val="single"/>
        </w:rPr>
      </w:pPr>
      <w:r>
        <w:rPr>
          <w:rFonts w:hint="eastAsia" w:ascii="宋体" w:hAnsi="宋体" w:cs="宋体"/>
          <w:color w:val="auto"/>
          <w:sz w:val="24"/>
          <w:highlight w:val="none"/>
        </w:rPr>
        <w:t>法定代表人（签字或者盖章或者电子签名）：</w:t>
      </w:r>
    </w:p>
    <w:p w14:paraId="530E2E2F">
      <w:pPr>
        <w:spacing w:line="440" w:lineRule="exact"/>
        <w:contextualSpacing/>
        <w:rPr>
          <w:rFonts w:ascii="宋体" w:hAnsi="宋体" w:cs="宋体"/>
          <w:color w:val="auto"/>
          <w:sz w:val="24"/>
          <w:highlight w:val="none"/>
        </w:rPr>
      </w:pPr>
    </w:p>
    <w:p w14:paraId="1D468B44">
      <w:pPr>
        <w:spacing w:line="440" w:lineRule="exact"/>
        <w:contextualSpacing/>
        <w:jc w:val="center"/>
        <w:rPr>
          <w:rFonts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7EC10ED6">
      <w:pPr>
        <w:spacing w:line="440" w:lineRule="exact"/>
        <w:contextualSpacing/>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64DC9999">
      <w:pPr>
        <w:spacing w:line="440" w:lineRule="exact"/>
        <w:contextualSpacing/>
        <w:rPr>
          <w:rFonts w:ascii="宋体" w:hAnsi="宋体" w:cs="宋体"/>
          <w:color w:val="auto"/>
          <w:sz w:val="24"/>
          <w:highlight w:val="none"/>
        </w:rPr>
      </w:pPr>
      <w:r>
        <w:rPr>
          <w:rFonts w:hint="eastAsia" w:ascii="宋体" w:hAnsi="宋体" w:cs="宋体"/>
          <w:color w:val="auto"/>
          <w:sz w:val="24"/>
          <w:highlight w:val="none"/>
        </w:rPr>
        <w:t>注：1.</w:t>
      </w:r>
      <w:bookmarkStart w:id="152" w:name="_Hlk65851555"/>
      <w:bookmarkStart w:id="153" w:name="_Hlk65851620"/>
      <w:r>
        <w:rPr>
          <w:rFonts w:hint="eastAsia" w:ascii="宋体" w:hAnsi="宋体" w:cs="宋体"/>
          <w:color w:val="auto"/>
          <w:sz w:val="24"/>
          <w:highlight w:val="none"/>
        </w:rPr>
        <w:t>法定代表人必须在授权委托书上签字或者盖章或者电子签名</w:t>
      </w:r>
      <w:bookmarkEnd w:id="152"/>
      <w:r>
        <w:rPr>
          <w:rFonts w:hint="eastAsia" w:ascii="宋体" w:hAnsi="宋体" w:cs="宋体"/>
          <w:color w:val="auto"/>
          <w:sz w:val="24"/>
          <w:highlight w:val="none"/>
        </w:rPr>
        <w:t>，委托代理人必须在授权委托书上签字或者电子签名，</w:t>
      </w:r>
      <w:r>
        <w:rPr>
          <w:rFonts w:hint="eastAsia" w:ascii="宋体" w:hAnsi="宋体" w:cs="宋体"/>
          <w:b/>
          <w:bCs/>
          <w:color w:val="auto"/>
          <w:sz w:val="24"/>
          <w:highlight w:val="none"/>
        </w:rPr>
        <w:t>否则按无效投标处理</w:t>
      </w:r>
      <w:r>
        <w:rPr>
          <w:rFonts w:hint="eastAsia" w:ascii="宋体" w:hAnsi="宋体" w:cs="宋体"/>
          <w:color w:val="auto"/>
          <w:sz w:val="24"/>
          <w:highlight w:val="none"/>
        </w:rPr>
        <w:t>；</w:t>
      </w:r>
      <w:bookmarkEnd w:id="153"/>
    </w:p>
    <w:p w14:paraId="2A65AEC1">
      <w:pPr>
        <w:spacing w:line="44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2.法人、其他组织投标时“我方”是指“我单位”，自然人投标时“我方”是指“本人”。</w:t>
      </w:r>
    </w:p>
    <w:p w14:paraId="2F1E8508">
      <w:pPr>
        <w:snapToGrid w:val="0"/>
        <w:spacing w:before="120" w:beforeLines="50" w:after="50"/>
        <w:ind w:firstLine="566" w:firstLineChars="236"/>
        <w:jc w:val="center"/>
        <w:rPr>
          <w:rFonts w:ascii="宋体" w:hAnsi="宋体" w:cs="宋体"/>
          <w:color w:val="auto"/>
          <w:sz w:val="44"/>
          <w:szCs w:val="44"/>
          <w:highlight w:val="none"/>
        </w:rPr>
      </w:pPr>
      <w:r>
        <w:rPr>
          <w:rFonts w:hint="eastAsia" w:ascii="宋体" w:hAnsi="宋体" w:cs="宋体"/>
          <w:color w:val="auto"/>
          <w:sz w:val="24"/>
          <w:highlight w:val="none"/>
        </w:rPr>
        <w:br w:type="page"/>
      </w:r>
      <w:r>
        <w:rPr>
          <w:rFonts w:hint="eastAsia" w:ascii="宋体" w:hAnsi="宋体" w:cs="宋体"/>
          <w:color w:val="auto"/>
          <w:sz w:val="44"/>
          <w:szCs w:val="44"/>
          <w:highlight w:val="none"/>
        </w:rPr>
        <w:t>授权委托书</w:t>
      </w:r>
    </w:p>
    <w:p w14:paraId="619F5B11">
      <w:pPr>
        <w:snapToGrid w:val="0"/>
        <w:spacing w:before="120" w:beforeLines="50" w:after="50"/>
        <w:ind w:firstLine="755" w:firstLineChars="236"/>
        <w:jc w:val="center"/>
        <w:rPr>
          <w:rFonts w:ascii="宋体" w:hAnsi="宋体" w:cs="宋体"/>
          <w:color w:val="auto"/>
          <w:sz w:val="32"/>
          <w:szCs w:val="32"/>
          <w:highlight w:val="none"/>
        </w:rPr>
      </w:pPr>
      <w:r>
        <w:rPr>
          <w:rFonts w:hint="eastAsia" w:ascii="宋体" w:hAnsi="宋体" w:cs="宋体"/>
          <w:color w:val="auto"/>
          <w:sz w:val="32"/>
          <w:szCs w:val="32"/>
          <w:highlight w:val="none"/>
        </w:rPr>
        <w:t>（联合体投标格式）</w:t>
      </w:r>
    </w:p>
    <w:p w14:paraId="5376A5A7">
      <w:pPr>
        <w:snapToGrid w:val="0"/>
        <w:spacing w:before="120" w:beforeLines="50" w:after="50"/>
        <w:ind w:firstLine="755" w:firstLineChars="236"/>
        <w:jc w:val="center"/>
        <w:rPr>
          <w:rFonts w:ascii="宋体" w:hAnsi="宋体" w:cs="宋体"/>
          <w:color w:val="auto"/>
          <w:sz w:val="24"/>
          <w:highlight w:val="none"/>
        </w:rPr>
      </w:pPr>
      <w:r>
        <w:rPr>
          <w:rFonts w:hint="eastAsia" w:ascii="宋体" w:hAnsi="宋体" w:cs="宋体"/>
          <w:color w:val="auto"/>
          <w:sz w:val="32"/>
          <w:szCs w:val="32"/>
          <w:highlight w:val="none"/>
        </w:rPr>
        <w:t>（如有委托时）</w:t>
      </w:r>
    </w:p>
    <w:p w14:paraId="7891B131">
      <w:pPr>
        <w:spacing w:line="440" w:lineRule="exact"/>
        <w:contextualSpacing/>
        <w:jc w:val="left"/>
        <w:rPr>
          <w:rFonts w:ascii="宋体" w:hAnsi="宋体" w:cs="宋体"/>
          <w:color w:val="auto"/>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78695FC8">
      <w:pPr>
        <w:spacing w:line="440" w:lineRule="exact"/>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 xml:space="preserve">根据 </w:t>
      </w:r>
      <w:r>
        <w:rPr>
          <w:rFonts w:hint="eastAsia" w:ascii="宋体" w:hAnsi="宋体" w:cs="宋体"/>
          <w:color w:val="auto"/>
          <w:sz w:val="24"/>
          <w:highlight w:val="none"/>
          <w:u w:val="single"/>
        </w:rPr>
        <w:t xml:space="preserve"> （牵头人名称）</w:t>
      </w:r>
      <w:r>
        <w:rPr>
          <w:rFonts w:hint="eastAsia" w:ascii="宋体" w:hAnsi="宋体" w:cs="宋体"/>
          <w:color w:val="auto"/>
          <w:sz w:val="24"/>
          <w:highlight w:val="none"/>
        </w:rPr>
        <w:t>与</w:t>
      </w:r>
      <w:r>
        <w:rPr>
          <w:rFonts w:hint="eastAsia" w:ascii="宋体" w:hAnsi="宋体" w:cs="宋体"/>
          <w:color w:val="auto"/>
          <w:sz w:val="24"/>
          <w:highlight w:val="none"/>
          <w:u w:val="single"/>
        </w:rPr>
        <w:t>（联合体其他成员名称）</w:t>
      </w:r>
      <w:r>
        <w:rPr>
          <w:rFonts w:hint="eastAsia" w:ascii="宋体" w:hAnsi="宋体" w:cs="宋体"/>
          <w:color w:val="auto"/>
          <w:sz w:val="24"/>
          <w:highlight w:val="none"/>
        </w:rPr>
        <w:t>签订的《联合体投标协议书》的内容，</w:t>
      </w:r>
      <w:r>
        <w:rPr>
          <w:rFonts w:hint="eastAsia" w:ascii="宋体" w:hAnsi="宋体" w:cs="宋体"/>
          <w:color w:val="auto"/>
          <w:sz w:val="24"/>
          <w:highlight w:val="none"/>
          <w:u w:val="single"/>
        </w:rPr>
        <w:t>（牵头人名称）</w:t>
      </w:r>
      <w:r>
        <w:rPr>
          <w:rFonts w:hint="eastAsia" w:ascii="宋体" w:hAnsi="宋体" w:cs="宋体"/>
          <w:color w:val="auto"/>
          <w:sz w:val="24"/>
          <w:highlight w:val="none"/>
        </w:rPr>
        <w:t>的法定代表人</w:t>
      </w:r>
      <w:r>
        <w:rPr>
          <w:rFonts w:hint="eastAsia" w:ascii="宋体" w:hAnsi="宋体" w:cs="宋体"/>
          <w:color w:val="auto"/>
          <w:sz w:val="24"/>
          <w:highlight w:val="none"/>
          <w:u w:val="single"/>
        </w:rPr>
        <w:t>（姓名）</w:t>
      </w:r>
      <w:r>
        <w:rPr>
          <w:rFonts w:hint="eastAsia" w:ascii="宋体" w:hAnsi="宋体" w:cs="宋体"/>
          <w:color w:val="auto"/>
          <w:sz w:val="24"/>
          <w:highlight w:val="none"/>
        </w:rPr>
        <w:t>现授权委托</w:t>
      </w:r>
      <w:r>
        <w:rPr>
          <w:rFonts w:hint="eastAsia" w:ascii="宋体" w:hAnsi="宋体" w:cs="宋体"/>
          <w:color w:val="auto"/>
          <w:sz w:val="24"/>
          <w:highlight w:val="none"/>
          <w:u w:val="single"/>
        </w:rPr>
        <w:t xml:space="preserve">              （姓名）</w:t>
      </w:r>
      <w:r>
        <w:rPr>
          <w:rFonts w:hint="eastAsia" w:ascii="宋体" w:hAnsi="宋体" w:cs="宋体"/>
          <w:color w:val="auto"/>
          <w:sz w:val="24"/>
          <w:highlight w:val="none"/>
        </w:rPr>
        <w:t>以我方的名义参加项目的投标活动，并代表我方全权办理针对上述项目的所有采购程序和环节的具体事务和签署相关文件。</w:t>
      </w:r>
    </w:p>
    <w:p w14:paraId="38299646">
      <w:pPr>
        <w:spacing w:line="440" w:lineRule="exact"/>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我方对委托代理人的签字或者电子签名事项负全部责任。</w:t>
      </w:r>
    </w:p>
    <w:p w14:paraId="0AA55473">
      <w:pPr>
        <w:spacing w:line="440" w:lineRule="exact"/>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655A06B2">
      <w:pPr>
        <w:spacing w:line="440" w:lineRule="exact"/>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38EF1818">
      <w:pPr>
        <w:spacing w:line="440" w:lineRule="exact"/>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附：牵头人法定代表人身份证明及委托代理人有效身份证正反面复印件</w:t>
      </w:r>
    </w:p>
    <w:p w14:paraId="034F2255">
      <w:pPr>
        <w:spacing w:line="440" w:lineRule="exact"/>
        <w:ind w:firstLine="566" w:firstLineChars="236"/>
        <w:contextualSpacing/>
        <w:rPr>
          <w:rFonts w:ascii="宋体" w:hAnsi="宋体" w:cs="宋体"/>
          <w:color w:val="auto"/>
          <w:sz w:val="24"/>
          <w:highlight w:val="none"/>
        </w:rPr>
      </w:pPr>
    </w:p>
    <w:p w14:paraId="08EB2820">
      <w:pPr>
        <w:spacing w:line="440" w:lineRule="exact"/>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牵头人法定代表人（签字或者盖章或者电子签名）：</w:t>
      </w:r>
    </w:p>
    <w:p w14:paraId="23F7B3CB">
      <w:pPr>
        <w:spacing w:line="440" w:lineRule="exact"/>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牵头人（电子签章）：</w:t>
      </w:r>
    </w:p>
    <w:p w14:paraId="70178FB8">
      <w:pPr>
        <w:spacing w:line="440" w:lineRule="exact"/>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日期：    年   月   日</w:t>
      </w:r>
    </w:p>
    <w:p w14:paraId="01DB855B">
      <w:pPr>
        <w:spacing w:line="440" w:lineRule="exact"/>
        <w:ind w:firstLine="566" w:firstLineChars="236"/>
        <w:contextualSpacing/>
        <w:rPr>
          <w:rFonts w:ascii="宋体" w:hAnsi="宋体" w:cs="宋体"/>
          <w:color w:val="auto"/>
          <w:sz w:val="24"/>
          <w:highlight w:val="none"/>
        </w:rPr>
      </w:pPr>
    </w:p>
    <w:p w14:paraId="6CDC48E0">
      <w:pPr>
        <w:spacing w:line="440" w:lineRule="exact"/>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被授权人（签字或者电子签名）：</w:t>
      </w:r>
    </w:p>
    <w:p w14:paraId="09A22D55">
      <w:pPr>
        <w:spacing w:line="440" w:lineRule="exact"/>
        <w:ind w:firstLine="566" w:firstLineChars="236"/>
        <w:contextualSpacing/>
        <w:rPr>
          <w:rFonts w:ascii="宋体" w:hAnsi="宋体" w:cs="宋体"/>
          <w:color w:val="auto"/>
          <w:sz w:val="32"/>
          <w:szCs w:val="32"/>
          <w:highlight w:val="none"/>
        </w:rPr>
      </w:pPr>
      <w:r>
        <w:rPr>
          <w:rFonts w:hint="eastAsia" w:ascii="宋体" w:hAnsi="宋体" w:cs="宋体"/>
          <w:color w:val="auto"/>
          <w:sz w:val="24"/>
          <w:highlight w:val="none"/>
        </w:rPr>
        <w:t>日期：    年   月   日</w:t>
      </w:r>
    </w:p>
    <w:p w14:paraId="61C0169D">
      <w:pPr>
        <w:spacing w:line="440" w:lineRule="exact"/>
        <w:contextualSpacing/>
        <w:rPr>
          <w:rFonts w:ascii="宋体" w:hAnsi="宋体" w:cs="宋体"/>
          <w:color w:val="auto"/>
          <w:sz w:val="24"/>
          <w:highlight w:val="none"/>
        </w:rPr>
      </w:pPr>
      <w:r>
        <w:rPr>
          <w:rFonts w:hint="eastAsia" w:ascii="宋体" w:hAnsi="宋体" w:cs="宋体"/>
          <w:color w:val="auto"/>
          <w:sz w:val="24"/>
          <w:highlight w:val="none"/>
        </w:rPr>
        <w:t>注：1.法定代表人必须在授权委托书上签字或者盖章或者电子签名，委托代理人必须在授权委托书上签字或者电子签名，</w:t>
      </w:r>
      <w:r>
        <w:rPr>
          <w:rFonts w:hint="eastAsia" w:ascii="宋体" w:hAnsi="宋体" w:cs="宋体"/>
          <w:b/>
          <w:bCs/>
          <w:color w:val="auto"/>
          <w:sz w:val="24"/>
          <w:highlight w:val="none"/>
        </w:rPr>
        <w:t>否则按无效投标处理</w:t>
      </w:r>
      <w:r>
        <w:rPr>
          <w:rFonts w:hint="eastAsia" w:ascii="宋体" w:hAnsi="宋体" w:cs="宋体"/>
          <w:color w:val="auto"/>
          <w:sz w:val="24"/>
          <w:highlight w:val="none"/>
        </w:rPr>
        <w:t>；</w:t>
      </w:r>
    </w:p>
    <w:p w14:paraId="25D99AD5">
      <w:pPr>
        <w:spacing w:line="44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2.法人、其他组织投标时“我方”是指“我单位”，自然人投标时“我方”是指“本人”。</w:t>
      </w:r>
    </w:p>
    <w:p w14:paraId="06279F49">
      <w:pPr>
        <w:snapToGrid w:val="0"/>
        <w:spacing w:before="50" w:after="120" w:afterLines="50"/>
        <w:jc w:val="left"/>
        <w:rPr>
          <w:rFonts w:ascii="宋体" w:hAnsi="宋体" w:cs="宋体"/>
          <w:color w:val="auto"/>
          <w:sz w:val="2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701" w:right="1701" w:bottom="1701" w:left="1701" w:header="851" w:footer="992" w:gutter="0"/>
          <w:pgNumType w:start="0"/>
          <w:cols w:space="720" w:num="1"/>
          <w:titlePg/>
          <w:docGrid w:linePitch="312" w:charSpace="0"/>
        </w:sectPr>
      </w:pPr>
    </w:p>
    <w:p w14:paraId="4146ECC3">
      <w:pPr>
        <w:rPr>
          <w:rFonts w:ascii="宋体" w:hAnsi="宋体" w:cs="宋体"/>
          <w:color w:val="auto"/>
          <w:sz w:val="24"/>
          <w:highlight w:val="none"/>
        </w:rPr>
      </w:pPr>
    </w:p>
    <w:p w14:paraId="0DF5D2B2">
      <w:pPr>
        <w:rPr>
          <w:rFonts w:ascii="宋体" w:hAnsi="宋体" w:cs="宋体"/>
          <w:b/>
          <w:color w:val="auto"/>
          <w:sz w:val="24"/>
          <w:szCs w:val="20"/>
          <w:highlight w:val="none"/>
        </w:rPr>
      </w:pPr>
      <w:r>
        <w:rPr>
          <w:rFonts w:hint="eastAsia" w:ascii="宋体" w:hAnsi="宋体" w:cs="宋体"/>
          <w:b/>
          <w:color w:val="auto"/>
          <w:sz w:val="24"/>
          <w:highlight w:val="none"/>
        </w:rPr>
        <w:t>商务要求承诺响应表格式</w:t>
      </w:r>
    </w:p>
    <w:p w14:paraId="01D98616">
      <w:pPr>
        <w:snapToGrid w:val="0"/>
        <w:spacing w:before="50"/>
        <w:jc w:val="left"/>
        <w:rPr>
          <w:rFonts w:ascii="宋体" w:hAnsi="宋体" w:cs="宋体"/>
          <w:color w:val="auto"/>
          <w:sz w:val="24"/>
          <w:highlight w:val="none"/>
          <w:u w:val="single"/>
        </w:rPr>
      </w:pPr>
      <w:r>
        <w:rPr>
          <w:rFonts w:hint="eastAsia" w:ascii="宋体" w:hAnsi="宋体" w:cs="宋体"/>
          <w:color w:val="auto"/>
          <w:sz w:val="24"/>
          <w:highlight w:val="none"/>
        </w:rPr>
        <w:t>分标</w:t>
      </w:r>
    </w:p>
    <w:tbl>
      <w:tblPr>
        <w:tblStyle w:val="47"/>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52"/>
        <w:gridCol w:w="5495"/>
      </w:tblGrid>
      <w:tr w14:paraId="2D6180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2552" w:type="dxa"/>
            <w:tcBorders>
              <w:top w:val="single" w:color="auto" w:sz="4" w:space="0"/>
              <w:left w:val="single" w:color="auto" w:sz="4" w:space="0"/>
              <w:bottom w:val="single" w:color="auto" w:sz="4" w:space="0"/>
              <w:right w:val="single" w:color="auto" w:sz="4" w:space="0"/>
            </w:tcBorders>
            <w:vAlign w:val="center"/>
          </w:tcPr>
          <w:p w14:paraId="217DA228">
            <w:pPr>
              <w:snapToGrid w:val="0"/>
              <w:spacing w:before="120" w:beforeLines="50"/>
              <w:jc w:val="center"/>
              <w:rPr>
                <w:rFonts w:ascii="宋体" w:hAnsi="宋体" w:cs="宋体"/>
                <w:color w:val="auto"/>
                <w:sz w:val="24"/>
                <w:highlight w:val="none"/>
              </w:rPr>
            </w:pPr>
            <w:r>
              <w:rPr>
                <w:rFonts w:hint="eastAsia" w:ascii="宋体" w:hAnsi="宋体" w:cs="宋体"/>
                <w:color w:val="auto"/>
                <w:sz w:val="24"/>
                <w:highlight w:val="none"/>
              </w:rPr>
              <w:t>项目</w:t>
            </w:r>
          </w:p>
        </w:tc>
        <w:tc>
          <w:tcPr>
            <w:tcW w:w="5495" w:type="dxa"/>
            <w:tcBorders>
              <w:top w:val="single" w:color="auto" w:sz="4" w:space="0"/>
              <w:left w:val="single" w:color="auto" w:sz="4" w:space="0"/>
              <w:bottom w:val="single" w:color="auto" w:sz="4" w:space="0"/>
              <w:right w:val="single" w:color="auto" w:sz="4" w:space="0"/>
            </w:tcBorders>
            <w:vAlign w:val="center"/>
          </w:tcPr>
          <w:p w14:paraId="3EBD5055">
            <w:pPr>
              <w:snapToGrid w:val="0"/>
              <w:spacing w:before="120" w:beforeLines="50"/>
              <w:jc w:val="center"/>
              <w:rPr>
                <w:rFonts w:ascii="宋体" w:hAnsi="宋体" w:cs="宋体"/>
                <w:color w:val="auto"/>
                <w:sz w:val="24"/>
                <w:highlight w:val="none"/>
              </w:rPr>
            </w:pPr>
            <w:r>
              <w:rPr>
                <w:rFonts w:hint="eastAsia" w:ascii="宋体" w:hAnsi="宋体" w:cs="宋体"/>
                <w:color w:val="auto"/>
                <w:sz w:val="24"/>
                <w:highlight w:val="none"/>
              </w:rPr>
              <w:t>投标人对应“招标文件商务要求”的详细承诺响应</w:t>
            </w:r>
          </w:p>
        </w:tc>
      </w:tr>
      <w:tr w14:paraId="172083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2552" w:type="dxa"/>
            <w:tcBorders>
              <w:top w:val="single" w:color="auto" w:sz="4" w:space="0"/>
              <w:left w:val="single" w:color="auto" w:sz="4" w:space="0"/>
              <w:bottom w:val="single" w:color="auto" w:sz="4" w:space="0"/>
              <w:right w:val="single" w:color="auto" w:sz="4" w:space="0"/>
            </w:tcBorders>
            <w:vAlign w:val="center"/>
          </w:tcPr>
          <w:p w14:paraId="720309DA">
            <w:pPr>
              <w:snapToGrid w:val="0"/>
              <w:spacing w:before="120" w:beforeLines="50"/>
              <w:jc w:val="center"/>
              <w:rPr>
                <w:rFonts w:ascii="宋体" w:hAnsi="宋体" w:cs="宋体"/>
                <w:color w:val="auto"/>
                <w:sz w:val="24"/>
                <w:highlight w:val="none"/>
              </w:rPr>
            </w:pPr>
            <w:r>
              <w:rPr>
                <w:rFonts w:hint="eastAsia" w:ascii="宋体" w:hAnsi="宋体" w:cs="宋体"/>
                <w:color w:val="auto"/>
                <w:sz w:val="24"/>
                <w:highlight w:val="none"/>
              </w:rPr>
              <w:t>（一）售后服务基本要求</w:t>
            </w:r>
          </w:p>
        </w:tc>
        <w:tc>
          <w:tcPr>
            <w:tcW w:w="5495" w:type="dxa"/>
            <w:tcBorders>
              <w:top w:val="single" w:color="auto" w:sz="4" w:space="0"/>
              <w:left w:val="single" w:color="auto" w:sz="4" w:space="0"/>
              <w:bottom w:val="single" w:color="auto" w:sz="4" w:space="0"/>
              <w:right w:val="single" w:color="auto" w:sz="4" w:space="0"/>
            </w:tcBorders>
          </w:tcPr>
          <w:p w14:paraId="3B390903">
            <w:pPr>
              <w:snapToGrid w:val="0"/>
              <w:spacing w:before="120" w:beforeLines="50"/>
              <w:jc w:val="center"/>
              <w:rPr>
                <w:rFonts w:ascii="宋体" w:hAnsi="宋体" w:cs="宋体"/>
                <w:color w:val="auto"/>
                <w:sz w:val="24"/>
                <w:highlight w:val="none"/>
              </w:rPr>
            </w:pPr>
          </w:p>
        </w:tc>
      </w:tr>
      <w:tr w14:paraId="1FA1BD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2552" w:type="dxa"/>
            <w:tcBorders>
              <w:top w:val="single" w:color="auto" w:sz="4" w:space="0"/>
              <w:left w:val="single" w:color="auto" w:sz="4" w:space="0"/>
              <w:bottom w:val="single" w:color="auto" w:sz="4" w:space="0"/>
              <w:right w:val="single" w:color="auto" w:sz="4" w:space="0"/>
            </w:tcBorders>
            <w:vAlign w:val="center"/>
          </w:tcPr>
          <w:p w14:paraId="5E8D0FA0">
            <w:pPr>
              <w:snapToGrid w:val="0"/>
              <w:spacing w:before="120" w:beforeLines="50"/>
              <w:jc w:val="center"/>
              <w:rPr>
                <w:rFonts w:ascii="宋体" w:hAnsi="宋体" w:cs="宋体"/>
                <w:color w:val="auto"/>
                <w:sz w:val="24"/>
                <w:highlight w:val="none"/>
              </w:rPr>
            </w:pPr>
            <w:r>
              <w:rPr>
                <w:rFonts w:hint="eastAsia" w:ascii="宋体" w:hAnsi="宋体" w:cs="宋体"/>
                <w:color w:val="auto"/>
                <w:sz w:val="24"/>
                <w:highlight w:val="none"/>
              </w:rPr>
              <w:t>（二）合同签订时间</w:t>
            </w:r>
          </w:p>
        </w:tc>
        <w:tc>
          <w:tcPr>
            <w:tcW w:w="5495" w:type="dxa"/>
            <w:tcBorders>
              <w:top w:val="single" w:color="auto" w:sz="4" w:space="0"/>
              <w:left w:val="single" w:color="auto" w:sz="4" w:space="0"/>
              <w:bottom w:val="single" w:color="auto" w:sz="4" w:space="0"/>
              <w:right w:val="single" w:color="auto" w:sz="4" w:space="0"/>
            </w:tcBorders>
          </w:tcPr>
          <w:p w14:paraId="650C96A0">
            <w:pPr>
              <w:snapToGrid w:val="0"/>
              <w:spacing w:before="120" w:beforeLines="50"/>
              <w:ind w:left="43"/>
              <w:jc w:val="center"/>
              <w:rPr>
                <w:rFonts w:ascii="宋体" w:hAnsi="宋体" w:cs="宋体"/>
                <w:color w:val="auto"/>
                <w:sz w:val="24"/>
                <w:highlight w:val="none"/>
              </w:rPr>
            </w:pPr>
          </w:p>
        </w:tc>
      </w:tr>
      <w:tr w14:paraId="5F3578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2552" w:type="dxa"/>
            <w:tcBorders>
              <w:top w:val="single" w:color="auto" w:sz="4" w:space="0"/>
              <w:left w:val="single" w:color="auto" w:sz="4" w:space="0"/>
              <w:bottom w:val="single" w:color="auto" w:sz="4" w:space="0"/>
              <w:right w:val="single" w:color="auto" w:sz="4" w:space="0"/>
            </w:tcBorders>
            <w:vAlign w:val="center"/>
          </w:tcPr>
          <w:p w14:paraId="3470E69C">
            <w:pPr>
              <w:snapToGrid w:val="0"/>
              <w:spacing w:before="120" w:beforeLines="50"/>
              <w:jc w:val="center"/>
              <w:rPr>
                <w:rFonts w:ascii="宋体" w:hAnsi="宋体" w:cs="宋体"/>
                <w:color w:val="auto"/>
                <w:sz w:val="24"/>
                <w:highlight w:val="none"/>
              </w:rPr>
            </w:pPr>
            <w:r>
              <w:rPr>
                <w:rFonts w:hint="eastAsia" w:ascii="宋体" w:hAnsi="宋体" w:cs="宋体"/>
                <w:color w:val="auto"/>
                <w:sz w:val="24"/>
                <w:highlight w:val="none"/>
              </w:rPr>
              <w:t>（三）交付时间和地点</w:t>
            </w:r>
          </w:p>
        </w:tc>
        <w:tc>
          <w:tcPr>
            <w:tcW w:w="5495" w:type="dxa"/>
            <w:tcBorders>
              <w:top w:val="single" w:color="auto" w:sz="4" w:space="0"/>
              <w:left w:val="single" w:color="auto" w:sz="4" w:space="0"/>
              <w:bottom w:val="single" w:color="auto" w:sz="4" w:space="0"/>
              <w:right w:val="single" w:color="auto" w:sz="4" w:space="0"/>
            </w:tcBorders>
          </w:tcPr>
          <w:p w14:paraId="792DA55B">
            <w:pPr>
              <w:snapToGrid w:val="0"/>
              <w:spacing w:before="120" w:beforeLines="50"/>
              <w:jc w:val="center"/>
              <w:rPr>
                <w:rFonts w:ascii="宋体" w:hAnsi="宋体" w:cs="宋体"/>
                <w:color w:val="auto"/>
                <w:sz w:val="24"/>
                <w:highlight w:val="none"/>
              </w:rPr>
            </w:pPr>
          </w:p>
        </w:tc>
      </w:tr>
      <w:tr w14:paraId="2DF768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2552" w:type="dxa"/>
            <w:tcBorders>
              <w:top w:val="single" w:color="auto" w:sz="4" w:space="0"/>
              <w:left w:val="single" w:color="auto" w:sz="4" w:space="0"/>
              <w:bottom w:val="single" w:color="auto" w:sz="4" w:space="0"/>
              <w:right w:val="single" w:color="auto" w:sz="4" w:space="0"/>
            </w:tcBorders>
            <w:vAlign w:val="center"/>
          </w:tcPr>
          <w:p w14:paraId="016964E1">
            <w:pPr>
              <w:snapToGrid w:val="0"/>
              <w:spacing w:before="120" w:beforeLines="50"/>
              <w:jc w:val="center"/>
              <w:rPr>
                <w:rFonts w:ascii="宋体" w:hAnsi="宋体" w:cs="宋体"/>
                <w:color w:val="auto"/>
                <w:sz w:val="24"/>
                <w:highlight w:val="none"/>
              </w:rPr>
            </w:pPr>
            <w:r>
              <w:rPr>
                <w:rFonts w:hint="eastAsia" w:ascii="宋体" w:hAnsi="宋体" w:cs="宋体"/>
                <w:color w:val="auto"/>
                <w:sz w:val="24"/>
                <w:highlight w:val="none"/>
              </w:rPr>
              <w:t>（四）付款方式</w:t>
            </w:r>
          </w:p>
        </w:tc>
        <w:tc>
          <w:tcPr>
            <w:tcW w:w="5495" w:type="dxa"/>
            <w:tcBorders>
              <w:top w:val="single" w:color="auto" w:sz="4" w:space="0"/>
              <w:left w:val="single" w:color="auto" w:sz="4" w:space="0"/>
              <w:bottom w:val="single" w:color="auto" w:sz="4" w:space="0"/>
              <w:right w:val="single" w:color="auto" w:sz="4" w:space="0"/>
            </w:tcBorders>
          </w:tcPr>
          <w:p w14:paraId="7697D8B8">
            <w:pPr>
              <w:snapToGrid w:val="0"/>
              <w:spacing w:before="120" w:beforeLines="50"/>
              <w:jc w:val="center"/>
              <w:rPr>
                <w:rFonts w:ascii="宋体" w:hAnsi="宋体" w:cs="宋体"/>
                <w:color w:val="auto"/>
                <w:sz w:val="24"/>
                <w:highlight w:val="none"/>
              </w:rPr>
            </w:pPr>
          </w:p>
        </w:tc>
      </w:tr>
      <w:tr w14:paraId="33B1A6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2552" w:type="dxa"/>
            <w:tcBorders>
              <w:top w:val="single" w:color="auto" w:sz="4" w:space="0"/>
              <w:left w:val="single" w:color="auto" w:sz="4" w:space="0"/>
              <w:bottom w:val="single" w:color="auto" w:sz="4" w:space="0"/>
              <w:right w:val="single" w:color="auto" w:sz="4" w:space="0"/>
            </w:tcBorders>
            <w:vAlign w:val="center"/>
          </w:tcPr>
          <w:p w14:paraId="66A835F4">
            <w:pPr>
              <w:snapToGrid w:val="0"/>
              <w:spacing w:before="120" w:beforeLines="50"/>
              <w:jc w:val="center"/>
              <w:rPr>
                <w:rFonts w:ascii="宋体" w:hAnsi="宋体" w:cs="宋体"/>
                <w:color w:val="auto"/>
                <w:sz w:val="24"/>
                <w:highlight w:val="none"/>
              </w:rPr>
            </w:pPr>
            <w:r>
              <w:rPr>
                <w:rFonts w:hint="eastAsia" w:ascii="宋体" w:hAnsi="宋体" w:cs="宋体"/>
                <w:color w:val="auto"/>
                <w:sz w:val="24"/>
                <w:highlight w:val="none"/>
              </w:rPr>
              <w:t>（五）包装和运输</w:t>
            </w:r>
          </w:p>
        </w:tc>
        <w:tc>
          <w:tcPr>
            <w:tcW w:w="5495" w:type="dxa"/>
            <w:tcBorders>
              <w:top w:val="single" w:color="auto" w:sz="4" w:space="0"/>
              <w:left w:val="single" w:color="auto" w:sz="4" w:space="0"/>
              <w:bottom w:val="single" w:color="auto" w:sz="4" w:space="0"/>
              <w:right w:val="single" w:color="auto" w:sz="4" w:space="0"/>
            </w:tcBorders>
          </w:tcPr>
          <w:p w14:paraId="016849BA">
            <w:pPr>
              <w:snapToGrid w:val="0"/>
              <w:spacing w:before="120" w:beforeLines="50"/>
              <w:jc w:val="center"/>
              <w:rPr>
                <w:rFonts w:ascii="宋体" w:hAnsi="宋体" w:cs="宋体"/>
                <w:color w:val="auto"/>
                <w:sz w:val="24"/>
                <w:highlight w:val="none"/>
              </w:rPr>
            </w:pPr>
          </w:p>
        </w:tc>
      </w:tr>
      <w:tr w14:paraId="3109A6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2552" w:type="dxa"/>
            <w:tcBorders>
              <w:top w:val="single" w:color="auto" w:sz="4" w:space="0"/>
              <w:left w:val="single" w:color="auto" w:sz="4" w:space="0"/>
              <w:bottom w:val="single" w:color="auto" w:sz="4" w:space="0"/>
              <w:right w:val="single" w:color="auto" w:sz="4" w:space="0"/>
            </w:tcBorders>
            <w:vAlign w:val="center"/>
          </w:tcPr>
          <w:p w14:paraId="562FEA00">
            <w:pPr>
              <w:snapToGrid w:val="0"/>
              <w:spacing w:before="120" w:beforeLines="50"/>
              <w:jc w:val="center"/>
              <w:rPr>
                <w:rFonts w:ascii="宋体" w:hAnsi="宋体" w:cs="宋体"/>
                <w:color w:val="auto"/>
                <w:sz w:val="24"/>
                <w:highlight w:val="none"/>
              </w:rPr>
            </w:pPr>
            <w:r>
              <w:rPr>
                <w:rFonts w:hint="eastAsia" w:ascii="宋体" w:hAnsi="宋体" w:cs="宋体"/>
                <w:color w:val="auto"/>
                <w:sz w:val="24"/>
                <w:highlight w:val="none"/>
              </w:rPr>
              <w:t>（六）保险</w:t>
            </w:r>
          </w:p>
        </w:tc>
        <w:tc>
          <w:tcPr>
            <w:tcW w:w="5495" w:type="dxa"/>
            <w:tcBorders>
              <w:top w:val="single" w:color="auto" w:sz="4" w:space="0"/>
              <w:left w:val="single" w:color="auto" w:sz="4" w:space="0"/>
              <w:bottom w:val="single" w:color="auto" w:sz="4" w:space="0"/>
              <w:right w:val="single" w:color="auto" w:sz="4" w:space="0"/>
            </w:tcBorders>
          </w:tcPr>
          <w:p w14:paraId="122C69EF">
            <w:pPr>
              <w:snapToGrid w:val="0"/>
              <w:spacing w:before="120" w:beforeLines="50"/>
              <w:jc w:val="center"/>
              <w:rPr>
                <w:rFonts w:ascii="宋体" w:hAnsi="宋体" w:cs="宋体"/>
                <w:color w:val="auto"/>
                <w:sz w:val="24"/>
                <w:highlight w:val="none"/>
              </w:rPr>
            </w:pPr>
          </w:p>
        </w:tc>
      </w:tr>
      <w:tr w14:paraId="4B8B31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52" w:type="dxa"/>
            <w:tcBorders>
              <w:top w:val="single" w:color="auto" w:sz="4" w:space="0"/>
              <w:left w:val="single" w:color="auto" w:sz="4" w:space="0"/>
              <w:bottom w:val="single" w:color="auto" w:sz="4" w:space="0"/>
              <w:right w:val="single" w:color="auto" w:sz="4" w:space="0"/>
            </w:tcBorders>
            <w:vAlign w:val="center"/>
          </w:tcPr>
          <w:p w14:paraId="4577EC02">
            <w:pPr>
              <w:snapToGrid w:val="0"/>
              <w:spacing w:before="120" w:beforeLines="50"/>
              <w:jc w:val="center"/>
              <w:rPr>
                <w:rFonts w:ascii="宋体" w:hAnsi="宋体" w:cs="宋体"/>
                <w:color w:val="auto"/>
                <w:sz w:val="24"/>
                <w:highlight w:val="none"/>
              </w:rPr>
            </w:pPr>
            <w:r>
              <w:rPr>
                <w:rFonts w:hint="eastAsia" w:ascii="宋体" w:hAnsi="宋体" w:cs="宋体"/>
                <w:color w:val="auto"/>
                <w:sz w:val="24"/>
                <w:highlight w:val="none"/>
              </w:rPr>
              <w:t>（七）验收标准</w:t>
            </w:r>
          </w:p>
        </w:tc>
        <w:tc>
          <w:tcPr>
            <w:tcW w:w="5495" w:type="dxa"/>
            <w:tcBorders>
              <w:top w:val="single" w:color="auto" w:sz="4" w:space="0"/>
              <w:left w:val="single" w:color="auto" w:sz="4" w:space="0"/>
              <w:bottom w:val="single" w:color="auto" w:sz="4" w:space="0"/>
              <w:right w:val="single" w:color="auto" w:sz="4" w:space="0"/>
            </w:tcBorders>
          </w:tcPr>
          <w:p w14:paraId="75102A99">
            <w:pPr>
              <w:snapToGrid w:val="0"/>
              <w:spacing w:before="120" w:beforeLines="50"/>
              <w:jc w:val="center"/>
              <w:rPr>
                <w:rFonts w:ascii="宋体" w:hAnsi="宋体" w:cs="宋体"/>
                <w:color w:val="auto"/>
                <w:sz w:val="24"/>
                <w:highlight w:val="none"/>
              </w:rPr>
            </w:pPr>
          </w:p>
        </w:tc>
      </w:tr>
      <w:tr w14:paraId="501D27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2552" w:type="dxa"/>
            <w:tcBorders>
              <w:top w:val="single" w:color="auto" w:sz="4" w:space="0"/>
              <w:left w:val="single" w:color="auto" w:sz="4" w:space="0"/>
              <w:bottom w:val="single" w:color="auto" w:sz="4" w:space="0"/>
              <w:right w:val="single" w:color="auto" w:sz="4" w:space="0"/>
            </w:tcBorders>
            <w:vAlign w:val="center"/>
          </w:tcPr>
          <w:p w14:paraId="6B1FA780">
            <w:pPr>
              <w:snapToGrid w:val="0"/>
              <w:spacing w:before="120" w:beforeLines="50"/>
              <w:jc w:val="center"/>
              <w:rPr>
                <w:rFonts w:ascii="宋体" w:hAnsi="宋体" w:cs="宋体"/>
                <w:color w:val="auto"/>
                <w:sz w:val="24"/>
                <w:highlight w:val="none"/>
              </w:rPr>
            </w:pPr>
            <w:r>
              <w:rPr>
                <w:rFonts w:hint="eastAsia" w:ascii="宋体" w:hAnsi="宋体" w:cs="宋体"/>
                <w:color w:val="auto"/>
                <w:sz w:val="24"/>
                <w:highlight w:val="none"/>
              </w:rPr>
              <w:t>（八）知识产权</w:t>
            </w:r>
          </w:p>
        </w:tc>
        <w:tc>
          <w:tcPr>
            <w:tcW w:w="5495" w:type="dxa"/>
            <w:tcBorders>
              <w:top w:val="single" w:color="auto" w:sz="4" w:space="0"/>
              <w:left w:val="single" w:color="auto" w:sz="4" w:space="0"/>
              <w:bottom w:val="single" w:color="auto" w:sz="4" w:space="0"/>
              <w:right w:val="single" w:color="auto" w:sz="4" w:space="0"/>
            </w:tcBorders>
          </w:tcPr>
          <w:p w14:paraId="7F498289">
            <w:pPr>
              <w:snapToGrid w:val="0"/>
              <w:spacing w:before="120" w:beforeLines="50"/>
              <w:jc w:val="center"/>
              <w:rPr>
                <w:rFonts w:ascii="宋体" w:hAnsi="宋体" w:cs="宋体"/>
                <w:color w:val="auto"/>
                <w:sz w:val="24"/>
                <w:highlight w:val="none"/>
              </w:rPr>
            </w:pPr>
          </w:p>
        </w:tc>
      </w:tr>
      <w:tr w14:paraId="6C109F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2552" w:type="dxa"/>
            <w:tcBorders>
              <w:top w:val="single" w:color="auto" w:sz="4" w:space="0"/>
              <w:left w:val="single" w:color="auto" w:sz="4" w:space="0"/>
              <w:bottom w:val="single" w:color="auto" w:sz="4" w:space="0"/>
              <w:right w:val="single" w:color="auto" w:sz="4" w:space="0"/>
            </w:tcBorders>
            <w:vAlign w:val="center"/>
          </w:tcPr>
          <w:p w14:paraId="7BBB6BAF">
            <w:pPr>
              <w:snapToGrid w:val="0"/>
              <w:spacing w:before="120" w:beforeLines="50"/>
              <w:jc w:val="center"/>
              <w:rPr>
                <w:rFonts w:ascii="宋体" w:hAnsi="宋体" w:cs="宋体"/>
                <w:color w:val="auto"/>
                <w:sz w:val="24"/>
                <w:highlight w:val="none"/>
              </w:rPr>
            </w:pPr>
            <w:r>
              <w:rPr>
                <w:rFonts w:hint="eastAsia" w:ascii="宋体" w:hAnsi="宋体" w:cs="宋体"/>
                <w:color w:val="auto"/>
                <w:sz w:val="24"/>
                <w:highlight w:val="none"/>
              </w:rPr>
              <w:t>（九）违约责任</w:t>
            </w:r>
          </w:p>
        </w:tc>
        <w:tc>
          <w:tcPr>
            <w:tcW w:w="5495" w:type="dxa"/>
            <w:tcBorders>
              <w:top w:val="single" w:color="auto" w:sz="4" w:space="0"/>
              <w:left w:val="single" w:color="auto" w:sz="4" w:space="0"/>
              <w:bottom w:val="single" w:color="auto" w:sz="4" w:space="0"/>
              <w:right w:val="single" w:color="auto" w:sz="4" w:space="0"/>
            </w:tcBorders>
          </w:tcPr>
          <w:p w14:paraId="1EA19CF1">
            <w:pPr>
              <w:snapToGrid w:val="0"/>
              <w:spacing w:before="120" w:beforeLines="50"/>
              <w:jc w:val="center"/>
              <w:rPr>
                <w:rFonts w:ascii="宋体" w:hAnsi="宋体" w:cs="宋体"/>
                <w:color w:val="auto"/>
                <w:sz w:val="24"/>
                <w:highlight w:val="none"/>
              </w:rPr>
            </w:pPr>
          </w:p>
        </w:tc>
      </w:tr>
      <w:tr w14:paraId="0F9125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2552" w:type="dxa"/>
            <w:tcBorders>
              <w:top w:val="single" w:color="auto" w:sz="4" w:space="0"/>
              <w:left w:val="single" w:color="auto" w:sz="4" w:space="0"/>
              <w:bottom w:val="single" w:color="auto" w:sz="4" w:space="0"/>
              <w:right w:val="single" w:color="auto" w:sz="4" w:space="0"/>
            </w:tcBorders>
            <w:vAlign w:val="center"/>
          </w:tcPr>
          <w:p w14:paraId="6667F3B1">
            <w:pPr>
              <w:snapToGrid w:val="0"/>
              <w:spacing w:before="120" w:beforeLines="50"/>
              <w:jc w:val="center"/>
              <w:rPr>
                <w:rFonts w:ascii="宋体" w:hAnsi="宋体" w:cs="宋体"/>
                <w:color w:val="auto"/>
                <w:sz w:val="24"/>
                <w:highlight w:val="none"/>
              </w:rPr>
            </w:pPr>
            <w:r>
              <w:rPr>
                <w:rFonts w:hint="eastAsia" w:ascii="宋体" w:hAnsi="宋体" w:cs="宋体"/>
                <w:color w:val="auto"/>
                <w:sz w:val="24"/>
                <w:highlight w:val="none"/>
              </w:rPr>
              <w:t>（十）医疗器械管理相应有效证明材料</w:t>
            </w:r>
          </w:p>
        </w:tc>
        <w:tc>
          <w:tcPr>
            <w:tcW w:w="5495" w:type="dxa"/>
            <w:tcBorders>
              <w:top w:val="single" w:color="auto" w:sz="4" w:space="0"/>
              <w:left w:val="single" w:color="auto" w:sz="4" w:space="0"/>
              <w:bottom w:val="single" w:color="auto" w:sz="4" w:space="0"/>
              <w:right w:val="single" w:color="auto" w:sz="4" w:space="0"/>
            </w:tcBorders>
          </w:tcPr>
          <w:p w14:paraId="4FF8356A">
            <w:pPr>
              <w:snapToGrid w:val="0"/>
              <w:spacing w:before="120" w:beforeLines="50"/>
              <w:jc w:val="center"/>
              <w:rPr>
                <w:rFonts w:ascii="宋体" w:hAnsi="宋体" w:cs="宋体"/>
                <w:color w:val="auto"/>
                <w:sz w:val="24"/>
                <w:highlight w:val="none"/>
              </w:rPr>
            </w:pPr>
          </w:p>
        </w:tc>
      </w:tr>
      <w:tr w14:paraId="737834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2552" w:type="dxa"/>
            <w:tcBorders>
              <w:top w:val="single" w:color="auto" w:sz="4" w:space="0"/>
              <w:left w:val="single" w:color="auto" w:sz="4" w:space="0"/>
              <w:bottom w:val="single" w:color="auto" w:sz="4" w:space="0"/>
              <w:right w:val="single" w:color="auto" w:sz="4" w:space="0"/>
            </w:tcBorders>
            <w:vAlign w:val="center"/>
          </w:tcPr>
          <w:p w14:paraId="2ABB4913">
            <w:pPr>
              <w:snapToGrid w:val="0"/>
              <w:spacing w:before="120" w:beforeLines="50"/>
              <w:jc w:val="center"/>
              <w:rPr>
                <w:rFonts w:ascii="宋体" w:hAnsi="宋体" w:cs="宋体"/>
                <w:color w:val="auto"/>
                <w:sz w:val="24"/>
                <w:highlight w:val="none"/>
              </w:rPr>
            </w:pPr>
            <w:r>
              <w:rPr>
                <w:rFonts w:hint="eastAsia" w:ascii="宋体" w:hAnsi="宋体" w:cs="宋体"/>
                <w:color w:val="auto"/>
                <w:sz w:val="24"/>
                <w:highlight w:val="none"/>
              </w:rPr>
              <w:t>（十一）进口产品说明</w:t>
            </w:r>
          </w:p>
        </w:tc>
        <w:tc>
          <w:tcPr>
            <w:tcW w:w="5495" w:type="dxa"/>
            <w:tcBorders>
              <w:top w:val="single" w:color="auto" w:sz="4" w:space="0"/>
              <w:left w:val="single" w:color="auto" w:sz="4" w:space="0"/>
              <w:bottom w:val="single" w:color="auto" w:sz="4" w:space="0"/>
              <w:right w:val="single" w:color="auto" w:sz="4" w:space="0"/>
            </w:tcBorders>
          </w:tcPr>
          <w:p w14:paraId="01832503">
            <w:pPr>
              <w:snapToGrid w:val="0"/>
              <w:spacing w:before="120" w:beforeLines="50"/>
              <w:jc w:val="center"/>
              <w:rPr>
                <w:rFonts w:ascii="宋体" w:hAnsi="宋体" w:cs="宋体"/>
                <w:color w:val="auto"/>
                <w:sz w:val="24"/>
                <w:highlight w:val="none"/>
              </w:rPr>
            </w:pPr>
          </w:p>
        </w:tc>
      </w:tr>
      <w:tr w14:paraId="30C5B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2552" w:type="dxa"/>
            <w:tcBorders>
              <w:top w:val="single" w:color="auto" w:sz="4" w:space="0"/>
              <w:left w:val="single" w:color="auto" w:sz="4" w:space="0"/>
              <w:bottom w:val="single" w:color="auto" w:sz="4" w:space="0"/>
              <w:right w:val="single" w:color="auto" w:sz="4" w:space="0"/>
            </w:tcBorders>
            <w:vAlign w:val="center"/>
          </w:tcPr>
          <w:p w14:paraId="717A9177">
            <w:pPr>
              <w:snapToGrid w:val="0"/>
              <w:spacing w:before="120" w:beforeLines="50"/>
              <w:jc w:val="center"/>
              <w:rPr>
                <w:rFonts w:ascii="宋体" w:hAnsi="宋体" w:cs="宋体"/>
                <w:color w:val="auto"/>
                <w:sz w:val="24"/>
                <w:highlight w:val="none"/>
              </w:rPr>
            </w:pPr>
            <w:r>
              <w:rPr>
                <w:rFonts w:hint="eastAsia" w:ascii="宋体" w:hAnsi="宋体" w:cs="宋体"/>
                <w:color w:val="auto"/>
                <w:sz w:val="24"/>
                <w:highlight w:val="none"/>
              </w:rPr>
              <w:t>（十二）采购预算及最高限价</w:t>
            </w:r>
          </w:p>
        </w:tc>
        <w:tc>
          <w:tcPr>
            <w:tcW w:w="5495" w:type="dxa"/>
            <w:tcBorders>
              <w:top w:val="single" w:color="auto" w:sz="4" w:space="0"/>
              <w:left w:val="single" w:color="auto" w:sz="4" w:space="0"/>
              <w:bottom w:val="single" w:color="auto" w:sz="4" w:space="0"/>
              <w:right w:val="single" w:color="auto" w:sz="4" w:space="0"/>
            </w:tcBorders>
          </w:tcPr>
          <w:p w14:paraId="1BC61738">
            <w:pPr>
              <w:snapToGrid w:val="0"/>
              <w:spacing w:before="120" w:beforeLines="50"/>
              <w:jc w:val="center"/>
              <w:rPr>
                <w:rFonts w:ascii="宋体" w:hAnsi="宋体" w:cs="宋体"/>
                <w:color w:val="auto"/>
                <w:sz w:val="24"/>
                <w:highlight w:val="none"/>
              </w:rPr>
            </w:pPr>
          </w:p>
        </w:tc>
      </w:tr>
    </w:tbl>
    <w:p w14:paraId="3D237DF2">
      <w:pPr>
        <w:pStyle w:val="18"/>
        <w:spacing w:line="360" w:lineRule="exact"/>
        <w:rPr>
          <w:rFonts w:ascii="宋体" w:hAnsi="宋体" w:cs="宋体"/>
          <w:color w:val="auto"/>
          <w:highlight w:val="none"/>
        </w:rPr>
      </w:pPr>
      <w:r>
        <w:rPr>
          <w:rFonts w:hint="eastAsia" w:ascii="宋体" w:hAnsi="宋体" w:cs="宋体"/>
          <w:color w:val="auto"/>
          <w:highlight w:val="none"/>
        </w:rPr>
        <w:t>注：</w:t>
      </w:r>
    </w:p>
    <w:p w14:paraId="1B13F441">
      <w:pPr>
        <w:pStyle w:val="20"/>
        <w:spacing w:line="360" w:lineRule="exact"/>
        <w:ind w:firstLine="0" w:firstLineChars="0"/>
        <w:rPr>
          <w:rFonts w:ascii="宋体" w:hAnsi="宋体" w:eastAsia="宋体" w:cs="宋体"/>
          <w:color w:val="auto"/>
          <w:szCs w:val="32"/>
          <w:highlight w:val="none"/>
        </w:rPr>
      </w:pPr>
      <w:r>
        <w:rPr>
          <w:rFonts w:hint="eastAsia" w:ascii="宋体" w:hAnsi="宋体" w:eastAsia="宋体" w:cs="宋体"/>
          <w:color w:val="auto"/>
          <w:sz w:val="24"/>
          <w:szCs w:val="24"/>
          <w:highlight w:val="none"/>
        </w:rPr>
        <w:t>说明：应对照招标文件“第二章 采购需求”中的商务要求逐条作明确的投标响应。</w:t>
      </w:r>
    </w:p>
    <w:p w14:paraId="2138922D">
      <w:pPr>
        <w:snapToGrid w:val="0"/>
        <w:spacing w:before="50" w:after="50" w:line="360" w:lineRule="exact"/>
        <w:rPr>
          <w:rFonts w:ascii="宋体" w:hAnsi="宋体" w:cs="宋体"/>
          <w:color w:val="auto"/>
          <w:sz w:val="24"/>
          <w:highlight w:val="none"/>
        </w:rPr>
      </w:pPr>
    </w:p>
    <w:p w14:paraId="554640A7">
      <w:pPr>
        <w:snapToGrid w:val="0"/>
        <w:spacing w:before="50" w:after="50" w:line="360" w:lineRule="exact"/>
        <w:rPr>
          <w:rFonts w:ascii="宋体" w:hAnsi="宋体" w:cs="宋体"/>
          <w:color w:val="auto"/>
          <w:spacing w:val="20"/>
          <w:sz w:val="24"/>
          <w:highlight w:val="none"/>
          <w:u w:val="single"/>
        </w:rPr>
      </w:pPr>
      <w:r>
        <w:rPr>
          <w:rFonts w:hint="eastAsia" w:ascii="宋体" w:hAnsi="宋体" w:cs="宋体"/>
          <w:color w:val="auto"/>
          <w:sz w:val="24"/>
          <w:highlight w:val="none"/>
        </w:rPr>
        <w:t>法定代表人或者委托代理人（签字或者电子签名）</w:t>
      </w:r>
      <w:r>
        <w:rPr>
          <w:rFonts w:hint="eastAsia" w:ascii="宋体" w:hAnsi="宋体" w:cs="宋体"/>
          <w:color w:val="auto"/>
          <w:spacing w:val="20"/>
          <w:sz w:val="24"/>
          <w:highlight w:val="none"/>
        </w:rPr>
        <w:t>：</w:t>
      </w:r>
    </w:p>
    <w:p w14:paraId="0EE3C0C0">
      <w:pPr>
        <w:snapToGrid w:val="0"/>
        <w:spacing w:before="120" w:beforeLines="50" w:line="360" w:lineRule="exact"/>
        <w:rPr>
          <w:rFonts w:ascii="宋体" w:hAnsi="宋体" w:cs="宋体"/>
          <w:color w:val="auto"/>
          <w:spacing w:val="20"/>
          <w:sz w:val="24"/>
          <w:highlight w:val="none"/>
        </w:rPr>
      </w:pPr>
      <w:r>
        <w:rPr>
          <w:rFonts w:hint="eastAsia" w:ascii="宋体" w:hAnsi="宋体" w:cs="宋体"/>
          <w:color w:val="auto"/>
          <w:spacing w:val="20"/>
          <w:sz w:val="24"/>
          <w:highlight w:val="none"/>
        </w:rPr>
        <w:t>投标人名称（电子签章）：</w:t>
      </w:r>
    </w:p>
    <w:p w14:paraId="75872730">
      <w:pPr>
        <w:snapToGrid w:val="0"/>
        <w:spacing w:before="120" w:beforeLines="50" w:line="360" w:lineRule="exact"/>
        <w:rPr>
          <w:rFonts w:ascii="宋体" w:hAnsi="宋体" w:cs="宋体"/>
          <w:color w:val="auto"/>
          <w:spacing w:val="20"/>
          <w:sz w:val="24"/>
          <w:highlight w:val="none"/>
        </w:rPr>
      </w:pPr>
      <w:r>
        <w:rPr>
          <w:rFonts w:hint="eastAsia" w:ascii="宋体" w:hAnsi="宋体" w:cs="宋体"/>
          <w:color w:val="auto"/>
          <w:spacing w:val="20"/>
          <w:sz w:val="24"/>
          <w:highlight w:val="none"/>
        </w:rPr>
        <w:t>日  期：</w:t>
      </w:r>
    </w:p>
    <w:p w14:paraId="1E7CE4A6">
      <w:pPr>
        <w:snapToGrid w:val="0"/>
        <w:spacing w:before="120" w:beforeLines="50"/>
        <w:rPr>
          <w:rFonts w:ascii="宋体" w:hAnsi="宋体" w:cs="宋体"/>
          <w:b/>
          <w:color w:val="auto"/>
          <w:sz w:val="24"/>
          <w:highlight w:val="none"/>
        </w:rPr>
      </w:pPr>
    </w:p>
    <w:p w14:paraId="5D2EE1C8">
      <w:pPr>
        <w:snapToGrid w:val="0"/>
        <w:spacing w:before="120" w:beforeLines="50"/>
        <w:rPr>
          <w:rFonts w:ascii="宋体" w:hAnsi="宋体" w:cs="宋体"/>
          <w:b/>
          <w:color w:val="auto"/>
          <w:sz w:val="24"/>
          <w:highlight w:val="none"/>
        </w:rPr>
      </w:pPr>
    </w:p>
    <w:p w14:paraId="79A1CCB8">
      <w:pPr>
        <w:snapToGrid w:val="0"/>
        <w:spacing w:before="120" w:beforeLines="50"/>
        <w:rPr>
          <w:rFonts w:ascii="宋体" w:hAnsi="宋体" w:cs="宋体"/>
          <w:b/>
          <w:color w:val="auto"/>
          <w:sz w:val="24"/>
          <w:highlight w:val="none"/>
        </w:rPr>
      </w:pPr>
      <w:r>
        <w:rPr>
          <w:rFonts w:hint="eastAsia" w:ascii="宋体" w:hAnsi="宋体" w:cs="宋体"/>
          <w:b/>
          <w:color w:val="auto"/>
          <w:sz w:val="24"/>
          <w:highlight w:val="none"/>
        </w:rPr>
        <w:t>安装实施方案格式</w:t>
      </w:r>
    </w:p>
    <w:p w14:paraId="058A31D2">
      <w:pPr>
        <w:snapToGrid w:val="0"/>
        <w:spacing w:before="120" w:beforeLines="50"/>
        <w:jc w:val="center"/>
        <w:rPr>
          <w:rFonts w:ascii="宋体" w:hAnsi="宋体" w:cs="宋体"/>
          <w:b/>
          <w:color w:val="auto"/>
          <w:sz w:val="36"/>
          <w:szCs w:val="36"/>
          <w:highlight w:val="none"/>
        </w:rPr>
      </w:pPr>
      <w:r>
        <w:rPr>
          <w:rFonts w:hint="eastAsia" w:ascii="宋体" w:hAnsi="宋体" w:cs="宋体"/>
          <w:b/>
          <w:color w:val="auto"/>
          <w:sz w:val="36"/>
          <w:szCs w:val="36"/>
          <w:highlight w:val="none"/>
        </w:rPr>
        <w:t>分标安装实施方案方案</w:t>
      </w:r>
    </w:p>
    <w:p w14:paraId="35B4B5B8">
      <w:pPr>
        <w:snapToGrid w:val="0"/>
        <w:spacing w:before="120" w:beforeLines="50"/>
        <w:rPr>
          <w:rFonts w:ascii="宋体" w:hAnsi="宋体" w:cs="宋体"/>
          <w:bCs/>
          <w:color w:val="auto"/>
          <w:szCs w:val="21"/>
          <w:highlight w:val="none"/>
        </w:rPr>
      </w:pPr>
      <w:r>
        <w:rPr>
          <w:rFonts w:hint="eastAsia" w:ascii="宋体" w:hAnsi="宋体" w:cs="宋体"/>
          <w:bCs/>
          <w:color w:val="auto"/>
          <w:szCs w:val="21"/>
          <w:highlight w:val="none"/>
        </w:rPr>
        <w:t>一、安装方案</w:t>
      </w:r>
    </w:p>
    <w:p w14:paraId="0E8F420C">
      <w:pPr>
        <w:snapToGrid w:val="0"/>
        <w:spacing w:before="120" w:beforeLines="50"/>
        <w:rPr>
          <w:rFonts w:ascii="宋体" w:hAnsi="宋体" w:cs="宋体"/>
          <w:bCs/>
          <w:color w:val="auto"/>
          <w:szCs w:val="21"/>
          <w:highlight w:val="none"/>
        </w:rPr>
      </w:pPr>
      <w:r>
        <w:rPr>
          <w:rFonts w:hint="eastAsia" w:ascii="宋体" w:hAnsi="宋体" w:cs="宋体"/>
          <w:bCs/>
          <w:color w:val="auto"/>
          <w:szCs w:val="21"/>
          <w:highlight w:val="none"/>
        </w:rPr>
        <w:t>.......</w:t>
      </w:r>
    </w:p>
    <w:p w14:paraId="22F2BC24">
      <w:pPr>
        <w:snapToGrid w:val="0"/>
        <w:spacing w:before="120" w:beforeLines="50"/>
        <w:rPr>
          <w:rFonts w:ascii="宋体" w:hAnsi="宋体" w:cs="宋体"/>
          <w:bCs/>
          <w:color w:val="auto"/>
          <w:szCs w:val="21"/>
          <w:highlight w:val="none"/>
        </w:rPr>
      </w:pPr>
    </w:p>
    <w:p w14:paraId="092ED59F">
      <w:pPr>
        <w:snapToGrid w:val="0"/>
        <w:spacing w:before="120" w:beforeLines="50"/>
        <w:rPr>
          <w:rFonts w:ascii="宋体" w:hAnsi="宋体" w:cs="宋体"/>
          <w:bCs/>
          <w:color w:val="auto"/>
          <w:szCs w:val="21"/>
          <w:highlight w:val="none"/>
        </w:rPr>
      </w:pPr>
      <w:r>
        <w:rPr>
          <w:rFonts w:hint="eastAsia" w:ascii="宋体" w:hAnsi="宋体" w:cs="宋体"/>
          <w:bCs/>
          <w:color w:val="auto"/>
          <w:szCs w:val="21"/>
          <w:highlight w:val="none"/>
        </w:rPr>
        <w:t>二、设备调试方案</w:t>
      </w:r>
    </w:p>
    <w:p w14:paraId="12F20ACC">
      <w:pPr>
        <w:snapToGrid w:val="0"/>
        <w:spacing w:before="120" w:beforeLines="50"/>
        <w:rPr>
          <w:rFonts w:ascii="宋体" w:hAnsi="宋体" w:cs="宋体"/>
          <w:bCs/>
          <w:color w:val="auto"/>
          <w:szCs w:val="21"/>
          <w:highlight w:val="none"/>
        </w:rPr>
      </w:pPr>
      <w:r>
        <w:rPr>
          <w:rFonts w:hint="eastAsia" w:ascii="宋体" w:hAnsi="宋体" w:cs="宋体"/>
          <w:bCs/>
          <w:color w:val="auto"/>
          <w:szCs w:val="21"/>
          <w:highlight w:val="none"/>
        </w:rPr>
        <w:t>.......</w:t>
      </w:r>
    </w:p>
    <w:p w14:paraId="736746C3">
      <w:pPr>
        <w:snapToGrid w:val="0"/>
        <w:spacing w:before="120" w:beforeLines="50"/>
        <w:rPr>
          <w:rFonts w:ascii="宋体" w:hAnsi="宋体" w:cs="宋体"/>
          <w:bCs/>
          <w:color w:val="auto"/>
          <w:szCs w:val="21"/>
          <w:highlight w:val="none"/>
        </w:rPr>
      </w:pPr>
    </w:p>
    <w:p w14:paraId="70E5E44A">
      <w:pPr>
        <w:snapToGrid w:val="0"/>
        <w:spacing w:before="120" w:beforeLines="50"/>
        <w:rPr>
          <w:rFonts w:ascii="宋体" w:hAnsi="宋体" w:cs="宋体"/>
          <w:bCs/>
          <w:color w:val="auto"/>
          <w:szCs w:val="21"/>
          <w:highlight w:val="none"/>
        </w:rPr>
      </w:pPr>
      <w:r>
        <w:rPr>
          <w:rFonts w:hint="eastAsia" w:ascii="宋体" w:hAnsi="宋体" w:cs="宋体"/>
          <w:bCs/>
          <w:color w:val="auto"/>
          <w:szCs w:val="21"/>
          <w:highlight w:val="none"/>
        </w:rPr>
        <w:t>三、设备试运行方案等</w:t>
      </w:r>
    </w:p>
    <w:p w14:paraId="0F6D68CA">
      <w:pPr>
        <w:snapToGrid w:val="0"/>
        <w:spacing w:before="120" w:beforeLines="50"/>
        <w:rPr>
          <w:rFonts w:ascii="宋体" w:hAnsi="宋体" w:cs="宋体"/>
          <w:bCs/>
          <w:color w:val="auto"/>
          <w:szCs w:val="21"/>
          <w:highlight w:val="none"/>
        </w:rPr>
      </w:pPr>
      <w:r>
        <w:rPr>
          <w:rFonts w:hint="eastAsia" w:ascii="宋体" w:hAnsi="宋体" w:cs="宋体"/>
          <w:bCs/>
          <w:color w:val="auto"/>
          <w:szCs w:val="21"/>
          <w:highlight w:val="none"/>
        </w:rPr>
        <w:t>.......</w:t>
      </w:r>
    </w:p>
    <w:p w14:paraId="50110F94">
      <w:pPr>
        <w:snapToGrid w:val="0"/>
        <w:spacing w:before="50" w:after="50"/>
        <w:rPr>
          <w:rFonts w:ascii="宋体" w:hAnsi="宋体" w:cs="宋体"/>
          <w:color w:val="auto"/>
          <w:sz w:val="24"/>
          <w:highlight w:val="none"/>
        </w:rPr>
      </w:pPr>
    </w:p>
    <w:p w14:paraId="125ADBFF">
      <w:pPr>
        <w:snapToGrid w:val="0"/>
        <w:spacing w:before="50" w:after="50"/>
        <w:rPr>
          <w:rFonts w:ascii="宋体" w:hAnsi="宋体" w:cs="宋体"/>
          <w:color w:val="auto"/>
          <w:sz w:val="24"/>
          <w:highlight w:val="none"/>
        </w:rPr>
      </w:pPr>
    </w:p>
    <w:p w14:paraId="4032BB21">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法定代表人或者委托代理人（签字或者电子签名）</w:t>
      </w:r>
      <w:r>
        <w:rPr>
          <w:rFonts w:hint="eastAsia" w:ascii="宋体" w:hAnsi="宋体" w:cs="宋体"/>
          <w:color w:val="auto"/>
          <w:spacing w:val="20"/>
          <w:sz w:val="24"/>
          <w:highlight w:val="none"/>
        </w:rPr>
        <w:t>：</w:t>
      </w:r>
    </w:p>
    <w:p w14:paraId="575C952E">
      <w:pPr>
        <w:snapToGrid w:val="0"/>
        <w:spacing w:before="120" w:beforeLines="50"/>
        <w:rPr>
          <w:rFonts w:ascii="宋体" w:hAnsi="宋体" w:cs="宋体"/>
          <w:color w:val="auto"/>
          <w:spacing w:val="20"/>
          <w:sz w:val="24"/>
          <w:highlight w:val="none"/>
        </w:rPr>
      </w:pPr>
      <w:r>
        <w:rPr>
          <w:rFonts w:hint="eastAsia" w:ascii="宋体" w:hAnsi="宋体" w:cs="宋体"/>
          <w:color w:val="auto"/>
          <w:spacing w:val="20"/>
          <w:sz w:val="24"/>
          <w:highlight w:val="none"/>
        </w:rPr>
        <w:t>投标人名称（电子签章）：</w:t>
      </w:r>
    </w:p>
    <w:p w14:paraId="3EC27A91">
      <w:pPr>
        <w:snapToGrid w:val="0"/>
        <w:spacing w:before="120" w:beforeLines="50"/>
        <w:rPr>
          <w:rFonts w:ascii="宋体" w:hAnsi="宋体" w:cs="宋体"/>
          <w:color w:val="auto"/>
          <w:spacing w:val="20"/>
          <w:sz w:val="24"/>
          <w:highlight w:val="none"/>
          <w:u w:val="single"/>
        </w:rPr>
      </w:pPr>
      <w:r>
        <w:rPr>
          <w:rFonts w:hint="eastAsia" w:ascii="宋体" w:hAnsi="宋体" w:cs="宋体"/>
          <w:color w:val="auto"/>
          <w:spacing w:val="20"/>
          <w:sz w:val="24"/>
          <w:highlight w:val="none"/>
        </w:rPr>
        <w:t>日  期：</w:t>
      </w:r>
    </w:p>
    <w:p w14:paraId="3D3F7873">
      <w:pPr>
        <w:pStyle w:val="57"/>
        <w:ind w:firstLine="420"/>
        <w:rPr>
          <w:rFonts w:ascii="宋体" w:hAnsi="宋体" w:cs="宋体"/>
          <w:color w:val="auto"/>
          <w:highlight w:val="none"/>
        </w:rPr>
      </w:pPr>
    </w:p>
    <w:p w14:paraId="003CD8CD">
      <w:pPr>
        <w:snapToGrid w:val="0"/>
        <w:spacing w:before="120" w:beforeLines="50"/>
        <w:rPr>
          <w:rFonts w:ascii="宋体" w:hAnsi="宋体" w:cs="宋体"/>
          <w:color w:val="auto"/>
          <w:spacing w:val="20"/>
          <w:sz w:val="24"/>
          <w:highlight w:val="none"/>
          <w:u w:val="single"/>
        </w:rPr>
      </w:pPr>
      <w:r>
        <w:rPr>
          <w:rFonts w:hint="eastAsia" w:ascii="宋体" w:hAnsi="宋体" w:cs="宋体"/>
          <w:b/>
          <w:color w:val="auto"/>
          <w:sz w:val="24"/>
          <w:highlight w:val="none"/>
        </w:rPr>
        <w:t>增值售后服务方案格式</w:t>
      </w:r>
    </w:p>
    <w:p w14:paraId="7F5C2638">
      <w:pPr>
        <w:snapToGrid w:val="0"/>
        <w:spacing w:before="120" w:beforeLines="50"/>
        <w:jc w:val="center"/>
        <w:rPr>
          <w:rFonts w:ascii="宋体" w:hAnsi="宋体" w:cs="宋体"/>
          <w:b/>
          <w:color w:val="auto"/>
          <w:sz w:val="36"/>
          <w:szCs w:val="36"/>
          <w:highlight w:val="none"/>
        </w:rPr>
      </w:pPr>
    </w:p>
    <w:p w14:paraId="47F63D8A">
      <w:pPr>
        <w:snapToGrid w:val="0"/>
        <w:spacing w:before="120" w:beforeLines="50"/>
        <w:jc w:val="center"/>
        <w:rPr>
          <w:rFonts w:ascii="宋体" w:hAnsi="宋体" w:cs="宋体"/>
          <w:b/>
          <w:color w:val="auto"/>
          <w:spacing w:val="20"/>
          <w:sz w:val="36"/>
          <w:szCs w:val="36"/>
          <w:highlight w:val="none"/>
          <w:u w:val="single"/>
        </w:rPr>
      </w:pPr>
      <w:r>
        <w:rPr>
          <w:rFonts w:hint="eastAsia" w:ascii="宋体" w:hAnsi="宋体" w:cs="宋体"/>
          <w:b/>
          <w:color w:val="auto"/>
          <w:sz w:val="36"/>
          <w:szCs w:val="36"/>
          <w:highlight w:val="none"/>
        </w:rPr>
        <w:t>分标增值售后服务方案</w:t>
      </w:r>
    </w:p>
    <w:p w14:paraId="1B23F271">
      <w:pPr>
        <w:snapToGrid w:val="0"/>
        <w:spacing w:before="120" w:beforeLines="50"/>
        <w:rPr>
          <w:rFonts w:ascii="宋体" w:hAnsi="宋体" w:cs="宋体"/>
          <w:bCs/>
          <w:color w:val="auto"/>
          <w:szCs w:val="21"/>
          <w:highlight w:val="none"/>
        </w:rPr>
      </w:pPr>
      <w:r>
        <w:rPr>
          <w:rFonts w:hint="eastAsia" w:ascii="宋体" w:hAnsi="宋体" w:cs="宋体"/>
          <w:bCs/>
          <w:color w:val="auto"/>
          <w:szCs w:val="21"/>
          <w:highlight w:val="none"/>
        </w:rPr>
        <w:t>一、到达故障现场时间、故障出现解决方案</w:t>
      </w:r>
    </w:p>
    <w:p w14:paraId="51E689AA">
      <w:pPr>
        <w:snapToGrid w:val="0"/>
        <w:spacing w:before="120" w:beforeLines="50"/>
        <w:rPr>
          <w:rFonts w:ascii="宋体" w:hAnsi="宋体" w:cs="宋体"/>
          <w:bCs/>
          <w:color w:val="auto"/>
          <w:szCs w:val="21"/>
          <w:highlight w:val="none"/>
        </w:rPr>
      </w:pPr>
      <w:r>
        <w:rPr>
          <w:rFonts w:hint="eastAsia" w:ascii="宋体" w:hAnsi="宋体" w:cs="宋体"/>
          <w:b/>
          <w:bCs/>
          <w:color w:val="auto"/>
          <w:szCs w:val="21"/>
          <w:highlight w:val="none"/>
        </w:rPr>
        <w:t>.......</w:t>
      </w:r>
    </w:p>
    <w:p w14:paraId="7A10715A">
      <w:pPr>
        <w:snapToGrid w:val="0"/>
        <w:spacing w:before="120" w:beforeLines="50"/>
        <w:rPr>
          <w:rFonts w:ascii="宋体" w:hAnsi="宋体" w:cs="宋体"/>
          <w:bCs/>
          <w:color w:val="auto"/>
          <w:szCs w:val="21"/>
          <w:highlight w:val="none"/>
        </w:rPr>
      </w:pPr>
      <w:r>
        <w:rPr>
          <w:rFonts w:hint="eastAsia" w:ascii="宋体" w:hAnsi="宋体" w:cs="宋体"/>
          <w:bCs/>
          <w:color w:val="auto"/>
          <w:szCs w:val="21"/>
          <w:highlight w:val="none"/>
        </w:rPr>
        <w:t>二、定期维护 (注明时间)</w:t>
      </w:r>
    </w:p>
    <w:p w14:paraId="68663A28">
      <w:pPr>
        <w:snapToGrid w:val="0"/>
        <w:spacing w:before="120" w:beforeLines="50"/>
        <w:rPr>
          <w:rFonts w:ascii="宋体" w:hAnsi="宋体" w:cs="宋体"/>
          <w:bCs/>
          <w:color w:val="auto"/>
          <w:szCs w:val="21"/>
          <w:highlight w:val="none"/>
        </w:rPr>
      </w:pPr>
      <w:r>
        <w:rPr>
          <w:rFonts w:hint="eastAsia" w:ascii="宋体" w:hAnsi="宋体" w:cs="宋体"/>
          <w:b/>
          <w:bCs/>
          <w:color w:val="auto"/>
          <w:szCs w:val="21"/>
          <w:highlight w:val="none"/>
        </w:rPr>
        <w:t>.......</w:t>
      </w:r>
    </w:p>
    <w:p w14:paraId="317AACBE">
      <w:pPr>
        <w:snapToGrid w:val="0"/>
        <w:spacing w:before="120" w:beforeLines="50"/>
        <w:rPr>
          <w:rFonts w:ascii="宋体" w:hAnsi="宋体" w:cs="宋体"/>
          <w:bCs/>
          <w:color w:val="auto"/>
          <w:szCs w:val="21"/>
          <w:highlight w:val="none"/>
        </w:rPr>
      </w:pPr>
      <w:r>
        <w:rPr>
          <w:rFonts w:hint="eastAsia" w:ascii="宋体" w:hAnsi="宋体" w:cs="宋体"/>
          <w:bCs/>
          <w:color w:val="auto"/>
          <w:szCs w:val="21"/>
          <w:highlight w:val="none"/>
        </w:rPr>
        <w:t>三、技术培训方案</w:t>
      </w:r>
    </w:p>
    <w:p w14:paraId="4D0CCC47">
      <w:pPr>
        <w:snapToGrid w:val="0"/>
        <w:spacing w:before="120" w:beforeLines="50"/>
        <w:rPr>
          <w:rFonts w:ascii="宋体" w:hAnsi="宋体" w:cs="宋体"/>
          <w:bCs/>
          <w:color w:val="auto"/>
          <w:szCs w:val="21"/>
          <w:highlight w:val="none"/>
        </w:rPr>
      </w:pPr>
      <w:r>
        <w:rPr>
          <w:rFonts w:hint="eastAsia" w:ascii="宋体" w:hAnsi="宋体" w:cs="宋体"/>
          <w:b/>
          <w:bCs/>
          <w:color w:val="auto"/>
          <w:szCs w:val="21"/>
          <w:highlight w:val="none"/>
        </w:rPr>
        <w:t>.......</w:t>
      </w:r>
    </w:p>
    <w:p w14:paraId="582FDC78">
      <w:pPr>
        <w:snapToGrid w:val="0"/>
        <w:spacing w:before="120" w:beforeLines="50"/>
        <w:rPr>
          <w:rFonts w:ascii="宋体" w:hAnsi="宋体" w:cs="宋体"/>
          <w:bCs/>
          <w:color w:val="auto"/>
          <w:szCs w:val="21"/>
          <w:highlight w:val="none"/>
        </w:rPr>
      </w:pPr>
      <w:r>
        <w:rPr>
          <w:rFonts w:hint="eastAsia" w:ascii="宋体" w:hAnsi="宋体" w:cs="宋体"/>
          <w:bCs/>
          <w:color w:val="auto"/>
          <w:szCs w:val="21"/>
          <w:highlight w:val="none"/>
        </w:rPr>
        <w:t>四、保修期外维修方案</w:t>
      </w:r>
    </w:p>
    <w:p w14:paraId="59643F7F">
      <w:pPr>
        <w:snapToGrid w:val="0"/>
        <w:spacing w:before="120" w:beforeLines="50"/>
        <w:rPr>
          <w:rFonts w:ascii="宋体" w:hAnsi="宋体" w:cs="宋体"/>
          <w:bCs/>
          <w:color w:val="auto"/>
          <w:szCs w:val="21"/>
          <w:highlight w:val="none"/>
        </w:rPr>
      </w:pPr>
      <w:r>
        <w:rPr>
          <w:rFonts w:hint="eastAsia" w:ascii="宋体" w:hAnsi="宋体" w:cs="宋体"/>
          <w:b/>
          <w:bCs/>
          <w:color w:val="auto"/>
          <w:szCs w:val="21"/>
          <w:highlight w:val="none"/>
        </w:rPr>
        <w:t>.......</w:t>
      </w:r>
    </w:p>
    <w:p w14:paraId="102E8CA0">
      <w:pPr>
        <w:snapToGrid w:val="0"/>
        <w:spacing w:before="120" w:beforeLines="50"/>
        <w:rPr>
          <w:rFonts w:ascii="宋体" w:hAnsi="宋体" w:cs="宋体"/>
          <w:bCs/>
          <w:color w:val="auto"/>
          <w:szCs w:val="21"/>
          <w:highlight w:val="none"/>
        </w:rPr>
      </w:pPr>
      <w:r>
        <w:rPr>
          <w:rFonts w:hint="eastAsia" w:ascii="宋体" w:hAnsi="宋体" w:cs="宋体"/>
          <w:bCs/>
          <w:color w:val="auto"/>
          <w:szCs w:val="21"/>
          <w:highlight w:val="none"/>
        </w:rPr>
        <w:t>五、售后服务措施及其他优惠措施</w:t>
      </w:r>
    </w:p>
    <w:p w14:paraId="12F13790">
      <w:pPr>
        <w:snapToGrid w:val="0"/>
        <w:spacing w:before="120" w:beforeLines="50"/>
        <w:rPr>
          <w:rFonts w:ascii="宋体" w:hAnsi="宋体" w:cs="宋体"/>
          <w:bCs/>
          <w:color w:val="auto"/>
          <w:szCs w:val="21"/>
          <w:highlight w:val="none"/>
        </w:rPr>
      </w:pPr>
      <w:r>
        <w:rPr>
          <w:rFonts w:hint="eastAsia" w:ascii="宋体" w:hAnsi="宋体" w:cs="宋体"/>
          <w:b/>
          <w:bCs/>
          <w:color w:val="auto"/>
          <w:szCs w:val="21"/>
          <w:highlight w:val="none"/>
        </w:rPr>
        <w:t>.......</w:t>
      </w:r>
    </w:p>
    <w:p w14:paraId="24126F53">
      <w:pPr>
        <w:snapToGrid w:val="0"/>
        <w:spacing w:before="120" w:beforeLines="50"/>
        <w:rPr>
          <w:rFonts w:ascii="宋体" w:hAnsi="宋体" w:cs="宋体"/>
          <w:color w:val="auto"/>
          <w:sz w:val="24"/>
          <w:szCs w:val="20"/>
          <w:highlight w:val="none"/>
        </w:rPr>
      </w:pPr>
    </w:p>
    <w:p w14:paraId="434F78E1">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法定代表人或者委托代理人（签字或者电子签名）</w:t>
      </w:r>
      <w:r>
        <w:rPr>
          <w:rFonts w:hint="eastAsia" w:ascii="宋体" w:hAnsi="宋体" w:cs="宋体"/>
          <w:color w:val="auto"/>
          <w:spacing w:val="20"/>
          <w:sz w:val="24"/>
          <w:highlight w:val="none"/>
        </w:rPr>
        <w:t>：</w:t>
      </w:r>
    </w:p>
    <w:p w14:paraId="286C6C5C">
      <w:pPr>
        <w:snapToGrid w:val="0"/>
        <w:spacing w:before="120" w:beforeLines="50"/>
        <w:rPr>
          <w:rFonts w:ascii="宋体" w:hAnsi="宋体" w:cs="宋体"/>
          <w:color w:val="auto"/>
          <w:spacing w:val="20"/>
          <w:sz w:val="24"/>
          <w:highlight w:val="none"/>
        </w:rPr>
      </w:pPr>
      <w:r>
        <w:rPr>
          <w:rFonts w:hint="eastAsia" w:ascii="宋体" w:hAnsi="宋体" w:cs="宋体"/>
          <w:color w:val="auto"/>
          <w:spacing w:val="20"/>
          <w:sz w:val="24"/>
          <w:highlight w:val="none"/>
        </w:rPr>
        <w:t>投标人名称（电子签章）：</w:t>
      </w:r>
    </w:p>
    <w:p w14:paraId="7DFAAE5C">
      <w:pPr>
        <w:snapToGrid w:val="0"/>
        <w:spacing w:before="120" w:beforeLines="50"/>
        <w:rPr>
          <w:rFonts w:ascii="宋体" w:hAnsi="宋体" w:cs="宋体"/>
          <w:color w:val="auto"/>
          <w:spacing w:val="20"/>
          <w:sz w:val="24"/>
          <w:highlight w:val="none"/>
          <w:u w:val="single"/>
        </w:rPr>
      </w:pPr>
      <w:r>
        <w:rPr>
          <w:rFonts w:hint="eastAsia" w:ascii="宋体" w:hAnsi="宋体" w:cs="宋体"/>
          <w:color w:val="auto"/>
          <w:spacing w:val="20"/>
          <w:sz w:val="24"/>
          <w:highlight w:val="none"/>
        </w:rPr>
        <w:t>日  期：</w:t>
      </w:r>
    </w:p>
    <w:p w14:paraId="1E4B8A3D">
      <w:pPr>
        <w:snapToGrid w:val="0"/>
        <w:spacing w:before="120" w:beforeLines="50" w:after="50"/>
        <w:jc w:val="left"/>
        <w:rPr>
          <w:rFonts w:ascii="宋体" w:hAnsi="宋体" w:cs="宋体"/>
          <w:b/>
          <w:color w:val="auto"/>
          <w:sz w:val="24"/>
          <w:highlight w:val="none"/>
        </w:rPr>
      </w:pPr>
      <w:r>
        <w:rPr>
          <w:rFonts w:hint="eastAsia" w:ascii="宋体" w:hAnsi="宋体" w:cs="宋体"/>
          <w:b/>
          <w:color w:val="auto"/>
          <w:sz w:val="24"/>
          <w:highlight w:val="none"/>
        </w:rPr>
        <w:t>投标人业绩证明材料</w:t>
      </w:r>
    </w:p>
    <w:p w14:paraId="11568F2A">
      <w:pPr>
        <w:pStyle w:val="36"/>
        <w:snapToGrid w:val="0"/>
        <w:ind w:left="480" w:hanging="480"/>
        <w:rPr>
          <w:rFonts w:ascii="宋体" w:hAnsi="宋体" w:cs="宋体"/>
          <w:color w:val="auto"/>
          <w:sz w:val="24"/>
          <w:highlight w:val="none"/>
        </w:rPr>
      </w:pPr>
    </w:p>
    <w:p w14:paraId="00A1D1C0">
      <w:pPr>
        <w:pStyle w:val="36"/>
        <w:snapToGrid w:val="0"/>
        <w:ind w:left="480" w:hanging="480"/>
        <w:rPr>
          <w:rFonts w:ascii="宋体" w:hAnsi="宋体" w:cs="宋体"/>
          <w:color w:val="auto"/>
          <w:sz w:val="24"/>
          <w:highlight w:val="none"/>
        </w:rPr>
      </w:pPr>
      <w:r>
        <w:rPr>
          <w:rFonts w:hint="eastAsia" w:ascii="宋体" w:hAnsi="宋体" w:cs="宋体"/>
          <w:color w:val="auto"/>
          <w:sz w:val="24"/>
          <w:highlight w:val="none"/>
        </w:rPr>
        <w:t xml:space="preserve">业绩情况一览表格式： </w:t>
      </w:r>
    </w:p>
    <w:tbl>
      <w:tblPr>
        <w:tblStyle w:val="4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32"/>
        <w:gridCol w:w="1770"/>
        <w:gridCol w:w="1770"/>
        <w:gridCol w:w="2856"/>
      </w:tblGrid>
      <w:tr w14:paraId="55522D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50" w:type="pct"/>
            <w:vMerge w:val="restart"/>
            <w:tcBorders>
              <w:top w:val="single" w:color="auto" w:sz="4" w:space="0"/>
              <w:left w:val="single" w:color="auto" w:sz="4" w:space="0"/>
              <w:bottom w:val="single" w:color="auto" w:sz="4" w:space="0"/>
              <w:right w:val="single" w:color="auto" w:sz="4" w:space="0"/>
            </w:tcBorders>
            <w:vAlign w:val="center"/>
          </w:tcPr>
          <w:p w14:paraId="2FF46333">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采购人名称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72CBC1C4">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55FADCA2">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合同金额</w:t>
            </w:r>
          </w:p>
          <w:p w14:paraId="415E2DC1">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（万元）</w:t>
            </w:r>
          </w:p>
        </w:tc>
        <w:tc>
          <w:tcPr>
            <w:tcW w:w="1674" w:type="pct"/>
            <w:vMerge w:val="restart"/>
            <w:tcBorders>
              <w:top w:val="single" w:color="auto" w:sz="4" w:space="0"/>
              <w:left w:val="single" w:color="auto" w:sz="4" w:space="0"/>
              <w:bottom w:val="single" w:color="auto" w:sz="4" w:space="0"/>
              <w:right w:val="single" w:color="auto" w:sz="4" w:space="0"/>
            </w:tcBorders>
            <w:vAlign w:val="center"/>
          </w:tcPr>
          <w:p w14:paraId="2FF3FFD0">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采购人联系人及</w:t>
            </w:r>
          </w:p>
          <w:p w14:paraId="7E63F96A">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联系电话</w:t>
            </w:r>
          </w:p>
        </w:tc>
      </w:tr>
      <w:tr w14:paraId="2A80C8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50" w:type="pct"/>
            <w:vMerge w:val="continue"/>
            <w:tcBorders>
              <w:top w:val="single" w:color="auto" w:sz="4" w:space="0"/>
              <w:left w:val="single" w:color="auto" w:sz="4" w:space="0"/>
              <w:bottom w:val="single" w:color="auto" w:sz="4" w:space="0"/>
              <w:right w:val="single" w:color="auto" w:sz="4" w:space="0"/>
            </w:tcBorders>
            <w:vAlign w:val="center"/>
          </w:tcPr>
          <w:p w14:paraId="5C19A8F5">
            <w:pPr>
              <w:jc w:val="left"/>
              <w:rPr>
                <w:rFonts w:ascii="宋体" w:hAnsi="宋体" w:cs="宋体"/>
                <w:color w:val="auto"/>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368AA5EB">
            <w:pPr>
              <w:jc w:val="left"/>
              <w:rPr>
                <w:rFonts w:ascii="宋体" w:hAnsi="宋体" w:cs="宋体"/>
                <w:color w:val="auto"/>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1FB03EF9">
            <w:pPr>
              <w:jc w:val="left"/>
              <w:rPr>
                <w:rFonts w:ascii="宋体" w:hAnsi="宋体" w:cs="宋体"/>
                <w:color w:val="auto"/>
                <w:sz w:val="24"/>
                <w:highlight w:val="none"/>
              </w:rPr>
            </w:pPr>
          </w:p>
        </w:tc>
        <w:tc>
          <w:tcPr>
            <w:tcW w:w="1674" w:type="pct"/>
            <w:vMerge w:val="continue"/>
            <w:tcBorders>
              <w:top w:val="single" w:color="auto" w:sz="4" w:space="0"/>
              <w:left w:val="single" w:color="auto" w:sz="4" w:space="0"/>
              <w:bottom w:val="single" w:color="auto" w:sz="4" w:space="0"/>
              <w:right w:val="single" w:color="auto" w:sz="4" w:space="0"/>
            </w:tcBorders>
            <w:vAlign w:val="center"/>
          </w:tcPr>
          <w:p w14:paraId="2855CBDF">
            <w:pPr>
              <w:jc w:val="left"/>
              <w:rPr>
                <w:rFonts w:ascii="宋体" w:hAnsi="宋体" w:cs="宋体"/>
                <w:color w:val="auto"/>
                <w:sz w:val="24"/>
                <w:highlight w:val="none"/>
              </w:rPr>
            </w:pPr>
          </w:p>
        </w:tc>
      </w:tr>
      <w:tr w14:paraId="16D736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tcPr>
          <w:p w14:paraId="43EFAABA">
            <w:pPr>
              <w:snapToGrid w:val="0"/>
              <w:spacing w:line="24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47968246">
            <w:pPr>
              <w:snapToGrid w:val="0"/>
              <w:spacing w:line="24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5F2A6C7F">
            <w:pPr>
              <w:snapToGrid w:val="0"/>
              <w:spacing w:line="240" w:lineRule="exact"/>
              <w:jc w:val="left"/>
              <w:rPr>
                <w:rFonts w:ascii="宋体" w:hAnsi="宋体" w:cs="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6A634C34">
            <w:pPr>
              <w:snapToGrid w:val="0"/>
              <w:spacing w:line="240" w:lineRule="exact"/>
              <w:jc w:val="left"/>
              <w:rPr>
                <w:rFonts w:ascii="宋体" w:hAnsi="宋体" w:cs="宋体"/>
                <w:color w:val="auto"/>
                <w:sz w:val="24"/>
                <w:highlight w:val="none"/>
              </w:rPr>
            </w:pPr>
          </w:p>
        </w:tc>
      </w:tr>
      <w:tr w14:paraId="2B0A88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4CB24FB7">
            <w:pPr>
              <w:snapToGrid w:val="0"/>
              <w:spacing w:before="50" w:after="120" w:afterLines="50" w:line="40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2B3B4985">
            <w:pPr>
              <w:snapToGrid w:val="0"/>
              <w:spacing w:before="50" w:after="120" w:afterLines="50" w:line="40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4C264FDF">
            <w:pPr>
              <w:snapToGrid w:val="0"/>
              <w:spacing w:before="50" w:after="120" w:afterLines="50" w:line="400" w:lineRule="exact"/>
              <w:jc w:val="left"/>
              <w:rPr>
                <w:rFonts w:ascii="宋体" w:hAnsi="宋体" w:cs="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13544D86">
            <w:pPr>
              <w:snapToGrid w:val="0"/>
              <w:spacing w:before="50" w:after="120" w:afterLines="50" w:line="400" w:lineRule="exact"/>
              <w:jc w:val="left"/>
              <w:rPr>
                <w:rFonts w:ascii="宋体" w:hAnsi="宋体" w:cs="宋体"/>
                <w:color w:val="auto"/>
                <w:sz w:val="24"/>
                <w:highlight w:val="none"/>
              </w:rPr>
            </w:pPr>
          </w:p>
        </w:tc>
      </w:tr>
      <w:tr w14:paraId="17F579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tcPr>
          <w:p w14:paraId="6AF9B2F8">
            <w:pPr>
              <w:snapToGrid w:val="0"/>
              <w:spacing w:before="50" w:after="120" w:afterLines="50" w:line="40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56807D06">
            <w:pPr>
              <w:snapToGrid w:val="0"/>
              <w:spacing w:before="50" w:after="120" w:afterLines="50" w:line="40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72C1527C">
            <w:pPr>
              <w:snapToGrid w:val="0"/>
              <w:spacing w:before="50" w:after="120" w:afterLines="50" w:line="400" w:lineRule="exact"/>
              <w:jc w:val="left"/>
              <w:rPr>
                <w:rFonts w:ascii="宋体" w:hAnsi="宋体" w:cs="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39A2763D">
            <w:pPr>
              <w:snapToGrid w:val="0"/>
              <w:spacing w:before="50" w:after="120" w:afterLines="50" w:line="400" w:lineRule="exact"/>
              <w:jc w:val="left"/>
              <w:rPr>
                <w:rFonts w:ascii="宋体" w:hAnsi="宋体" w:cs="宋体"/>
                <w:color w:val="auto"/>
                <w:sz w:val="24"/>
                <w:highlight w:val="none"/>
              </w:rPr>
            </w:pPr>
          </w:p>
        </w:tc>
      </w:tr>
      <w:tr w14:paraId="0C4981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4361070E">
            <w:pPr>
              <w:snapToGrid w:val="0"/>
              <w:spacing w:before="50" w:after="120" w:afterLines="50" w:line="40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39F8831F">
            <w:pPr>
              <w:snapToGrid w:val="0"/>
              <w:spacing w:before="50" w:after="120" w:afterLines="50" w:line="40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4024A301">
            <w:pPr>
              <w:snapToGrid w:val="0"/>
              <w:spacing w:before="50" w:after="120" w:afterLines="50" w:line="400" w:lineRule="exact"/>
              <w:jc w:val="left"/>
              <w:rPr>
                <w:rFonts w:ascii="宋体" w:hAnsi="宋体" w:cs="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3782DE02">
            <w:pPr>
              <w:snapToGrid w:val="0"/>
              <w:spacing w:before="50" w:after="120" w:afterLines="50" w:line="400" w:lineRule="exact"/>
              <w:jc w:val="left"/>
              <w:rPr>
                <w:rFonts w:ascii="宋体" w:hAnsi="宋体" w:cs="宋体"/>
                <w:color w:val="auto"/>
                <w:sz w:val="24"/>
                <w:highlight w:val="none"/>
              </w:rPr>
            </w:pPr>
          </w:p>
        </w:tc>
      </w:tr>
      <w:tr w14:paraId="5D0CF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04483A8E">
            <w:pPr>
              <w:snapToGrid w:val="0"/>
              <w:spacing w:before="50" w:after="120" w:afterLines="50" w:line="40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23FDD08E">
            <w:pPr>
              <w:snapToGrid w:val="0"/>
              <w:spacing w:before="50" w:after="120" w:afterLines="50" w:line="40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12D08D02">
            <w:pPr>
              <w:snapToGrid w:val="0"/>
              <w:spacing w:before="50" w:after="120" w:afterLines="50" w:line="400" w:lineRule="exact"/>
              <w:jc w:val="left"/>
              <w:rPr>
                <w:rFonts w:ascii="宋体" w:hAnsi="宋体" w:cs="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5BF16FC9">
            <w:pPr>
              <w:snapToGrid w:val="0"/>
              <w:spacing w:before="50" w:after="120" w:afterLines="50" w:line="400" w:lineRule="exact"/>
              <w:jc w:val="left"/>
              <w:rPr>
                <w:rFonts w:ascii="宋体" w:hAnsi="宋体" w:cs="宋体"/>
                <w:color w:val="auto"/>
                <w:sz w:val="24"/>
                <w:highlight w:val="none"/>
              </w:rPr>
            </w:pPr>
          </w:p>
        </w:tc>
      </w:tr>
    </w:tbl>
    <w:p w14:paraId="74609290">
      <w:pPr>
        <w:pStyle w:val="15"/>
        <w:spacing w:before="0" w:after="0" w:line="360" w:lineRule="auto"/>
        <w:contextualSpacing/>
        <w:rPr>
          <w:rFonts w:ascii="宋体" w:hAnsi="宋体" w:eastAsia="宋体" w:cs="宋体"/>
          <w:color w:val="auto"/>
          <w:sz w:val="24"/>
          <w:szCs w:val="24"/>
          <w:highlight w:val="none"/>
        </w:rPr>
      </w:pPr>
    </w:p>
    <w:p w14:paraId="518755F7">
      <w:pPr>
        <w:pStyle w:val="15"/>
        <w:spacing w:before="0" w:after="0" w:line="360" w:lineRule="auto"/>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highlight w:val="none"/>
        </w:rPr>
        <w:t>投标人根据评标标准具体要求附业绩证明材料。</w:t>
      </w:r>
    </w:p>
    <w:p w14:paraId="18C6600F">
      <w:pPr>
        <w:pStyle w:val="15"/>
        <w:spacing w:before="0" w:after="0" w:line="360" w:lineRule="auto"/>
        <w:contextualSpacing/>
        <w:jc w:val="lef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法定代表人或者委托代理人（签字或者电子签名）：</w:t>
      </w:r>
      <w:r>
        <w:rPr>
          <w:rFonts w:hint="eastAsia" w:ascii="宋体" w:hAnsi="宋体" w:eastAsia="宋体" w:cs="宋体"/>
          <w:color w:val="auto"/>
          <w:sz w:val="24"/>
          <w:szCs w:val="24"/>
          <w:highlight w:val="none"/>
          <w:u w:val="single"/>
        </w:rPr>
        <w:t>　　　　　</w:t>
      </w:r>
    </w:p>
    <w:p w14:paraId="7E4F2093">
      <w:pPr>
        <w:spacing w:line="360" w:lineRule="auto"/>
        <w:ind w:right="480"/>
        <w:contextualSpacing/>
        <w:jc w:val="left"/>
        <w:rPr>
          <w:rFonts w:ascii="宋体" w:hAnsi="宋体" w:cs="宋体"/>
          <w:color w:val="auto"/>
          <w:sz w:val="24"/>
          <w:szCs w:val="20"/>
          <w:highlight w:val="none"/>
        </w:rPr>
      </w:pPr>
      <w:r>
        <w:rPr>
          <w:rFonts w:hint="eastAsia" w:ascii="宋体" w:hAnsi="宋体" w:cs="宋体"/>
          <w:color w:val="auto"/>
          <w:sz w:val="24"/>
          <w:highlight w:val="none"/>
        </w:rPr>
        <w:t>投标人名称（电子签章）：                                                               年    月    日</w:t>
      </w:r>
    </w:p>
    <w:p w14:paraId="41977908">
      <w:pPr>
        <w:snapToGrid w:val="0"/>
        <w:spacing w:before="50"/>
        <w:ind w:firstLine="480" w:firstLineChars="200"/>
        <w:jc w:val="left"/>
        <w:rPr>
          <w:rFonts w:ascii="宋体" w:hAnsi="宋体" w:cs="宋体"/>
          <w:color w:val="auto"/>
          <w:sz w:val="24"/>
          <w:szCs w:val="20"/>
          <w:highlight w:val="none"/>
        </w:rPr>
      </w:pPr>
    </w:p>
    <w:p w14:paraId="23321E13">
      <w:pPr>
        <w:snapToGrid w:val="0"/>
        <w:spacing w:before="50"/>
        <w:jc w:val="left"/>
        <w:rPr>
          <w:rFonts w:ascii="宋体" w:hAnsi="宋体" w:cs="宋体"/>
          <w:color w:val="auto"/>
          <w:sz w:val="24"/>
          <w:highlight w:val="none"/>
        </w:rPr>
      </w:pPr>
    </w:p>
    <w:p w14:paraId="555A0877">
      <w:pPr>
        <w:snapToGrid w:val="0"/>
        <w:spacing w:before="120" w:beforeLines="50"/>
        <w:rPr>
          <w:rFonts w:ascii="宋体" w:hAnsi="宋体" w:cs="宋体"/>
          <w:color w:val="auto"/>
          <w:sz w:val="24"/>
          <w:szCs w:val="20"/>
          <w:highlight w:val="none"/>
        </w:rPr>
        <w:sectPr>
          <w:pgSz w:w="11906" w:h="16838"/>
          <w:pgMar w:top="1440" w:right="1797" w:bottom="1440" w:left="1797" w:header="851" w:footer="992" w:gutter="0"/>
          <w:cols w:space="720" w:num="1"/>
          <w:docGrid w:linePitch="312" w:charSpace="0"/>
        </w:sectPr>
      </w:pPr>
    </w:p>
    <w:p w14:paraId="576D0B41">
      <w:pPr>
        <w:rPr>
          <w:rFonts w:ascii="宋体" w:hAnsi="宋体" w:cs="宋体"/>
          <w:b/>
          <w:color w:val="auto"/>
          <w:sz w:val="28"/>
          <w:szCs w:val="28"/>
          <w:highlight w:val="none"/>
        </w:rPr>
      </w:pPr>
      <w:r>
        <w:rPr>
          <w:rFonts w:hint="eastAsia" w:ascii="宋体" w:hAnsi="宋体" w:cs="宋体"/>
          <w:b/>
          <w:color w:val="auto"/>
          <w:sz w:val="28"/>
          <w:szCs w:val="28"/>
          <w:highlight w:val="none"/>
        </w:rPr>
        <w:t>四、技术文件格式</w:t>
      </w:r>
    </w:p>
    <w:p w14:paraId="24DD1ED5">
      <w:pPr>
        <w:snapToGrid w:val="0"/>
        <w:spacing w:before="120"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t xml:space="preserve">1. 技术文件封面格式： </w:t>
      </w:r>
    </w:p>
    <w:p w14:paraId="2F8C29FA">
      <w:pPr>
        <w:snapToGrid w:val="0"/>
        <w:spacing w:before="120" w:beforeLines="50" w:after="50" w:line="360" w:lineRule="auto"/>
        <w:ind w:left="142"/>
        <w:jc w:val="center"/>
        <w:rPr>
          <w:rFonts w:ascii="宋体" w:hAnsi="宋体" w:cs="宋体"/>
          <w:bCs/>
          <w:color w:val="auto"/>
          <w:sz w:val="48"/>
          <w:szCs w:val="48"/>
          <w:highlight w:val="none"/>
        </w:rPr>
      </w:pPr>
      <w:r>
        <w:rPr>
          <w:rFonts w:hint="eastAsia" w:ascii="宋体" w:hAnsi="宋体" w:cs="宋体"/>
          <w:bCs/>
          <w:color w:val="auto"/>
          <w:sz w:val="48"/>
          <w:szCs w:val="48"/>
          <w:highlight w:val="none"/>
        </w:rPr>
        <w:t>电子投标文件</w:t>
      </w:r>
    </w:p>
    <w:p w14:paraId="1AC3C3BA">
      <w:pPr>
        <w:snapToGrid w:val="0"/>
        <w:spacing w:before="120" w:beforeLines="50" w:after="5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技术文件</w:t>
      </w:r>
    </w:p>
    <w:p w14:paraId="382405B2">
      <w:pPr>
        <w:snapToGrid w:val="0"/>
        <w:spacing w:before="120" w:beforeLines="50" w:after="50"/>
        <w:rPr>
          <w:rFonts w:ascii="宋体" w:hAnsi="宋体" w:cs="宋体"/>
          <w:bCs/>
          <w:color w:val="auto"/>
          <w:sz w:val="24"/>
          <w:szCs w:val="20"/>
          <w:highlight w:val="none"/>
        </w:rPr>
      </w:pPr>
    </w:p>
    <w:p w14:paraId="313BA577">
      <w:pPr>
        <w:snapToGrid w:val="0"/>
        <w:spacing w:before="120" w:beforeLines="50" w:after="50" w:line="400" w:lineRule="exact"/>
        <w:ind w:firstLine="360" w:firstLineChars="150"/>
        <w:rPr>
          <w:rFonts w:ascii="宋体" w:hAnsi="宋体" w:cs="宋体"/>
          <w:bCs/>
          <w:color w:val="auto"/>
          <w:sz w:val="24"/>
          <w:szCs w:val="20"/>
          <w:highlight w:val="none"/>
        </w:rPr>
      </w:pPr>
      <w:r>
        <w:rPr>
          <w:rFonts w:hint="eastAsia" w:ascii="宋体" w:hAnsi="宋体" w:cs="宋体"/>
          <w:bCs/>
          <w:color w:val="auto"/>
          <w:sz w:val="24"/>
          <w:highlight w:val="none"/>
        </w:rPr>
        <w:t xml:space="preserve">项目名称： </w:t>
      </w:r>
    </w:p>
    <w:p w14:paraId="3D7E752F">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4922D9B2">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4D2AA4D6">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14:paraId="7CF33FAF">
      <w:pPr>
        <w:snapToGrid w:val="0"/>
        <w:spacing w:before="120" w:beforeLines="50" w:after="50"/>
        <w:ind w:firstLine="645"/>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412587AF">
      <w:pPr>
        <w:snapToGrid w:val="0"/>
        <w:spacing w:before="120" w:beforeLines="50" w:after="50"/>
        <w:ind w:firstLine="645"/>
        <w:jc w:val="center"/>
        <w:rPr>
          <w:rFonts w:ascii="宋体" w:hAnsi="宋体" w:cs="宋体"/>
          <w:color w:val="auto"/>
          <w:sz w:val="24"/>
          <w:szCs w:val="20"/>
          <w:highlight w:val="none"/>
        </w:rPr>
      </w:pPr>
    </w:p>
    <w:p w14:paraId="08BF2A6E">
      <w:pPr>
        <w:snapToGrid w:val="0"/>
        <w:spacing w:before="120" w:beforeLines="50" w:after="50"/>
        <w:ind w:left="142"/>
        <w:jc w:val="left"/>
        <w:rPr>
          <w:rFonts w:ascii="宋体" w:hAnsi="宋体" w:cs="宋体"/>
          <w:b/>
          <w:color w:val="auto"/>
          <w:sz w:val="24"/>
          <w:highlight w:val="none"/>
        </w:rPr>
      </w:pPr>
      <w:r>
        <w:rPr>
          <w:rFonts w:hint="eastAsia" w:ascii="宋体" w:hAnsi="宋体" w:cs="宋体"/>
          <w:b/>
          <w:bCs/>
          <w:color w:val="auto"/>
          <w:sz w:val="24"/>
          <w:highlight w:val="none"/>
        </w:rPr>
        <w:br w:type="page"/>
      </w:r>
      <w:r>
        <w:rPr>
          <w:rFonts w:hint="eastAsia" w:ascii="宋体" w:hAnsi="宋体" w:cs="宋体"/>
          <w:b/>
          <w:color w:val="auto"/>
          <w:sz w:val="24"/>
          <w:highlight w:val="none"/>
        </w:rPr>
        <w:t>2.技术文件目录</w:t>
      </w:r>
    </w:p>
    <w:p w14:paraId="2F024E03">
      <w:pPr>
        <w:snapToGrid w:val="0"/>
        <w:spacing w:before="50" w:after="120" w:afterLines="50"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根据招标文件规定及投标人提供的材料自行编写目录。</w:t>
      </w:r>
    </w:p>
    <w:p w14:paraId="5A78B021">
      <w:pPr>
        <w:snapToGrid w:val="0"/>
        <w:spacing w:before="120"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 部分技术文件格式</w:t>
      </w:r>
    </w:p>
    <w:p w14:paraId="63DB2D29">
      <w:pPr>
        <w:snapToGrid w:val="0"/>
        <w:spacing w:before="120" w:beforeLines="50" w:after="50"/>
        <w:ind w:left="142"/>
        <w:jc w:val="left"/>
        <w:rPr>
          <w:rFonts w:ascii="宋体" w:hAnsi="宋体" w:cs="宋体"/>
          <w:b/>
          <w:color w:val="auto"/>
          <w:sz w:val="24"/>
          <w:highlight w:val="none"/>
        </w:rPr>
      </w:pPr>
    </w:p>
    <w:p w14:paraId="456786E5">
      <w:pPr>
        <w:snapToGrid w:val="0"/>
        <w:spacing w:before="120"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t>技术要求偏离表</w:t>
      </w:r>
    </w:p>
    <w:p w14:paraId="20F3D1C5">
      <w:pPr>
        <w:snapToGrid w:val="0"/>
        <w:spacing w:before="120" w:beforeLines="50" w:after="50"/>
        <w:ind w:left="142"/>
        <w:jc w:val="left"/>
        <w:rPr>
          <w:rFonts w:ascii="宋体" w:hAnsi="宋体" w:cs="宋体"/>
          <w:b/>
          <w:color w:val="auto"/>
          <w:sz w:val="24"/>
          <w:highlight w:val="none"/>
        </w:rPr>
      </w:pPr>
    </w:p>
    <w:p w14:paraId="131C5C41">
      <w:pPr>
        <w:snapToGrid w:val="0"/>
        <w:spacing w:before="120"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技术要求偏离表</w:t>
      </w:r>
    </w:p>
    <w:p w14:paraId="4541DD15">
      <w:pPr>
        <w:snapToGrid w:val="0"/>
        <w:spacing w:before="120" w:beforeLines="50" w:after="50"/>
        <w:ind w:left="142"/>
        <w:rPr>
          <w:rFonts w:ascii="宋体" w:hAnsi="宋体" w:cs="宋体"/>
          <w:color w:val="auto"/>
          <w:sz w:val="24"/>
          <w:szCs w:val="21"/>
          <w:highlight w:val="none"/>
          <w:u w:val="single"/>
        </w:rPr>
      </w:pPr>
      <w:r>
        <w:rPr>
          <w:rFonts w:hint="eastAsia" w:ascii="宋体" w:hAnsi="宋体" w:cs="宋体"/>
          <w:color w:val="auto"/>
          <w:sz w:val="24"/>
          <w:szCs w:val="21"/>
          <w:highlight w:val="none"/>
        </w:rPr>
        <w:t>分标</w:t>
      </w:r>
    </w:p>
    <w:tbl>
      <w:tblPr>
        <w:tblStyle w:val="47"/>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2303"/>
        <w:gridCol w:w="1834"/>
        <w:gridCol w:w="2181"/>
        <w:gridCol w:w="1934"/>
      </w:tblGrid>
      <w:tr w14:paraId="2A7EB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55" w:type="dxa"/>
            <w:vAlign w:val="center"/>
          </w:tcPr>
          <w:p w14:paraId="1D144632">
            <w:pPr>
              <w:pStyle w:val="25"/>
              <w:spacing w:line="400" w:lineRule="exact"/>
              <w:jc w:val="center"/>
              <w:rPr>
                <w:rFonts w:hAnsi="宋体" w:cs="宋体"/>
                <w:color w:val="auto"/>
                <w:kern w:val="2"/>
                <w:sz w:val="24"/>
                <w:highlight w:val="none"/>
              </w:rPr>
            </w:pPr>
            <w:r>
              <w:rPr>
                <w:rFonts w:hint="eastAsia" w:hAnsi="宋体" w:cs="宋体"/>
                <w:color w:val="auto"/>
                <w:kern w:val="2"/>
                <w:sz w:val="24"/>
                <w:highlight w:val="none"/>
              </w:rPr>
              <w:t>项号</w:t>
            </w:r>
          </w:p>
        </w:tc>
        <w:tc>
          <w:tcPr>
            <w:tcW w:w="2303" w:type="dxa"/>
            <w:vAlign w:val="center"/>
          </w:tcPr>
          <w:p w14:paraId="5ABC0C7E">
            <w:pPr>
              <w:pStyle w:val="25"/>
              <w:spacing w:line="400" w:lineRule="exact"/>
              <w:jc w:val="center"/>
              <w:rPr>
                <w:rFonts w:hAnsi="宋体" w:cs="宋体"/>
                <w:color w:val="auto"/>
                <w:kern w:val="2"/>
                <w:sz w:val="24"/>
                <w:highlight w:val="none"/>
              </w:rPr>
            </w:pPr>
            <w:r>
              <w:rPr>
                <w:rFonts w:hint="eastAsia" w:hAnsi="宋体" w:cs="宋体"/>
                <w:color w:val="auto"/>
                <w:kern w:val="2"/>
                <w:sz w:val="24"/>
                <w:highlight w:val="none"/>
              </w:rPr>
              <w:t>标的的名称</w:t>
            </w:r>
          </w:p>
        </w:tc>
        <w:tc>
          <w:tcPr>
            <w:tcW w:w="1834" w:type="dxa"/>
            <w:vAlign w:val="center"/>
          </w:tcPr>
          <w:p w14:paraId="7924F238">
            <w:pPr>
              <w:pStyle w:val="25"/>
              <w:spacing w:line="400" w:lineRule="exact"/>
              <w:jc w:val="center"/>
              <w:rPr>
                <w:rFonts w:hAnsi="宋体" w:cs="宋体"/>
                <w:color w:val="auto"/>
                <w:kern w:val="2"/>
                <w:sz w:val="24"/>
                <w:highlight w:val="none"/>
              </w:rPr>
            </w:pPr>
            <w:r>
              <w:rPr>
                <w:rFonts w:hint="eastAsia" w:hAnsi="宋体" w:cs="宋体"/>
                <w:color w:val="auto"/>
                <w:kern w:val="2"/>
                <w:sz w:val="24"/>
                <w:highlight w:val="none"/>
              </w:rPr>
              <w:t>技术要求</w:t>
            </w:r>
          </w:p>
        </w:tc>
        <w:tc>
          <w:tcPr>
            <w:tcW w:w="2181" w:type="dxa"/>
            <w:vAlign w:val="center"/>
          </w:tcPr>
          <w:p w14:paraId="4F810133">
            <w:pPr>
              <w:pStyle w:val="25"/>
              <w:spacing w:line="400" w:lineRule="exact"/>
              <w:jc w:val="center"/>
              <w:rPr>
                <w:rFonts w:hAnsi="宋体" w:cs="宋体"/>
                <w:color w:val="auto"/>
                <w:kern w:val="2"/>
                <w:sz w:val="24"/>
                <w:highlight w:val="none"/>
              </w:rPr>
            </w:pPr>
            <w:r>
              <w:rPr>
                <w:rFonts w:hint="eastAsia" w:hAnsi="宋体" w:cs="宋体"/>
                <w:color w:val="auto"/>
                <w:kern w:val="2"/>
                <w:sz w:val="24"/>
                <w:highlight w:val="none"/>
              </w:rPr>
              <w:t>投标响应</w:t>
            </w:r>
          </w:p>
        </w:tc>
        <w:tc>
          <w:tcPr>
            <w:tcW w:w="1934" w:type="dxa"/>
            <w:vAlign w:val="center"/>
          </w:tcPr>
          <w:p w14:paraId="606E9E35">
            <w:pPr>
              <w:pStyle w:val="25"/>
              <w:spacing w:line="400" w:lineRule="exact"/>
              <w:jc w:val="center"/>
              <w:rPr>
                <w:rFonts w:hAnsi="宋体" w:cs="宋体"/>
                <w:color w:val="auto"/>
                <w:kern w:val="2"/>
                <w:sz w:val="24"/>
                <w:highlight w:val="none"/>
              </w:rPr>
            </w:pPr>
            <w:r>
              <w:rPr>
                <w:rFonts w:hint="eastAsia" w:hAnsi="宋体" w:cs="宋体"/>
                <w:color w:val="auto"/>
                <w:kern w:val="2"/>
                <w:sz w:val="24"/>
                <w:highlight w:val="none"/>
              </w:rPr>
              <w:t>偏离说明</w:t>
            </w:r>
          </w:p>
        </w:tc>
      </w:tr>
      <w:tr w14:paraId="3A641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5B85616C">
            <w:pPr>
              <w:pStyle w:val="25"/>
              <w:spacing w:line="600" w:lineRule="exact"/>
              <w:jc w:val="center"/>
              <w:rPr>
                <w:rFonts w:hAnsi="宋体" w:cs="宋体"/>
                <w:color w:val="auto"/>
                <w:kern w:val="2"/>
                <w:sz w:val="24"/>
                <w:highlight w:val="none"/>
              </w:rPr>
            </w:pPr>
            <w:r>
              <w:rPr>
                <w:rFonts w:hint="eastAsia" w:hAnsi="宋体" w:cs="宋体"/>
                <w:color w:val="auto"/>
                <w:kern w:val="2"/>
                <w:sz w:val="24"/>
                <w:highlight w:val="none"/>
              </w:rPr>
              <w:t>1</w:t>
            </w:r>
          </w:p>
        </w:tc>
        <w:tc>
          <w:tcPr>
            <w:tcW w:w="2303" w:type="dxa"/>
            <w:vAlign w:val="center"/>
          </w:tcPr>
          <w:p w14:paraId="4E19EE01">
            <w:pPr>
              <w:pStyle w:val="25"/>
              <w:spacing w:line="600" w:lineRule="exact"/>
              <w:jc w:val="center"/>
              <w:rPr>
                <w:rFonts w:hAnsi="宋体" w:cs="宋体"/>
                <w:color w:val="auto"/>
                <w:kern w:val="2"/>
                <w:sz w:val="24"/>
                <w:highlight w:val="none"/>
              </w:rPr>
            </w:pPr>
          </w:p>
        </w:tc>
        <w:tc>
          <w:tcPr>
            <w:tcW w:w="1834" w:type="dxa"/>
            <w:vAlign w:val="center"/>
          </w:tcPr>
          <w:p w14:paraId="5F108396">
            <w:pPr>
              <w:pStyle w:val="25"/>
              <w:spacing w:line="600" w:lineRule="exact"/>
              <w:jc w:val="center"/>
              <w:rPr>
                <w:rFonts w:hAnsi="宋体" w:cs="宋体"/>
                <w:color w:val="auto"/>
                <w:kern w:val="2"/>
                <w:sz w:val="24"/>
                <w:highlight w:val="none"/>
              </w:rPr>
            </w:pPr>
          </w:p>
        </w:tc>
        <w:tc>
          <w:tcPr>
            <w:tcW w:w="2181" w:type="dxa"/>
            <w:vAlign w:val="center"/>
          </w:tcPr>
          <w:p w14:paraId="309C0654">
            <w:pPr>
              <w:pStyle w:val="25"/>
              <w:spacing w:line="600" w:lineRule="exact"/>
              <w:jc w:val="center"/>
              <w:rPr>
                <w:rFonts w:hAnsi="宋体" w:cs="宋体"/>
                <w:color w:val="auto"/>
                <w:kern w:val="2"/>
                <w:sz w:val="24"/>
                <w:highlight w:val="none"/>
              </w:rPr>
            </w:pPr>
          </w:p>
        </w:tc>
        <w:tc>
          <w:tcPr>
            <w:tcW w:w="1934" w:type="dxa"/>
            <w:vAlign w:val="center"/>
          </w:tcPr>
          <w:p w14:paraId="214E9FE4">
            <w:pPr>
              <w:pStyle w:val="25"/>
              <w:spacing w:line="600" w:lineRule="exact"/>
              <w:jc w:val="center"/>
              <w:rPr>
                <w:rFonts w:hAnsi="宋体" w:cs="宋体"/>
                <w:color w:val="auto"/>
                <w:kern w:val="2"/>
                <w:sz w:val="24"/>
                <w:highlight w:val="none"/>
              </w:rPr>
            </w:pPr>
          </w:p>
        </w:tc>
      </w:tr>
      <w:tr w14:paraId="3E1E8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7C334186">
            <w:pPr>
              <w:pStyle w:val="25"/>
              <w:spacing w:line="600" w:lineRule="exact"/>
              <w:jc w:val="center"/>
              <w:rPr>
                <w:rFonts w:hAnsi="宋体" w:cs="宋体"/>
                <w:color w:val="auto"/>
                <w:kern w:val="2"/>
                <w:sz w:val="24"/>
                <w:highlight w:val="none"/>
              </w:rPr>
            </w:pPr>
            <w:r>
              <w:rPr>
                <w:rFonts w:hint="eastAsia" w:hAnsi="宋体" w:cs="宋体"/>
                <w:color w:val="auto"/>
                <w:kern w:val="2"/>
                <w:sz w:val="24"/>
                <w:highlight w:val="none"/>
              </w:rPr>
              <w:t>2</w:t>
            </w:r>
          </w:p>
        </w:tc>
        <w:tc>
          <w:tcPr>
            <w:tcW w:w="2303" w:type="dxa"/>
            <w:vAlign w:val="center"/>
          </w:tcPr>
          <w:p w14:paraId="26FD56DF">
            <w:pPr>
              <w:pStyle w:val="25"/>
              <w:spacing w:line="600" w:lineRule="exact"/>
              <w:jc w:val="center"/>
              <w:rPr>
                <w:rFonts w:hAnsi="宋体" w:cs="宋体"/>
                <w:color w:val="auto"/>
                <w:kern w:val="2"/>
                <w:sz w:val="24"/>
                <w:highlight w:val="none"/>
              </w:rPr>
            </w:pPr>
          </w:p>
        </w:tc>
        <w:tc>
          <w:tcPr>
            <w:tcW w:w="1834" w:type="dxa"/>
            <w:vAlign w:val="center"/>
          </w:tcPr>
          <w:p w14:paraId="7318AEA7">
            <w:pPr>
              <w:pStyle w:val="25"/>
              <w:spacing w:line="600" w:lineRule="exact"/>
              <w:jc w:val="center"/>
              <w:rPr>
                <w:rFonts w:hAnsi="宋体" w:cs="宋体"/>
                <w:color w:val="auto"/>
                <w:kern w:val="2"/>
                <w:sz w:val="24"/>
                <w:highlight w:val="none"/>
              </w:rPr>
            </w:pPr>
          </w:p>
        </w:tc>
        <w:tc>
          <w:tcPr>
            <w:tcW w:w="2181" w:type="dxa"/>
            <w:vAlign w:val="center"/>
          </w:tcPr>
          <w:p w14:paraId="709EAF4D">
            <w:pPr>
              <w:pStyle w:val="25"/>
              <w:spacing w:line="600" w:lineRule="exact"/>
              <w:jc w:val="center"/>
              <w:rPr>
                <w:rFonts w:hAnsi="宋体" w:cs="宋体"/>
                <w:color w:val="auto"/>
                <w:kern w:val="2"/>
                <w:sz w:val="24"/>
                <w:highlight w:val="none"/>
              </w:rPr>
            </w:pPr>
          </w:p>
        </w:tc>
        <w:tc>
          <w:tcPr>
            <w:tcW w:w="1934" w:type="dxa"/>
            <w:vAlign w:val="center"/>
          </w:tcPr>
          <w:p w14:paraId="0FFF2741">
            <w:pPr>
              <w:pStyle w:val="25"/>
              <w:spacing w:line="600" w:lineRule="exact"/>
              <w:jc w:val="center"/>
              <w:rPr>
                <w:rFonts w:hAnsi="宋体" w:cs="宋体"/>
                <w:color w:val="auto"/>
                <w:kern w:val="2"/>
                <w:sz w:val="24"/>
                <w:highlight w:val="none"/>
              </w:rPr>
            </w:pPr>
          </w:p>
        </w:tc>
      </w:tr>
      <w:tr w14:paraId="31C45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4FBE3098">
            <w:pPr>
              <w:pStyle w:val="25"/>
              <w:spacing w:line="600" w:lineRule="exact"/>
              <w:jc w:val="center"/>
              <w:rPr>
                <w:rFonts w:hAnsi="宋体" w:cs="宋体"/>
                <w:color w:val="auto"/>
                <w:kern w:val="2"/>
                <w:sz w:val="24"/>
                <w:highlight w:val="none"/>
              </w:rPr>
            </w:pPr>
            <w:r>
              <w:rPr>
                <w:rFonts w:hint="eastAsia" w:hAnsi="宋体" w:cs="宋体"/>
                <w:color w:val="auto"/>
                <w:kern w:val="2"/>
                <w:sz w:val="24"/>
                <w:highlight w:val="none"/>
              </w:rPr>
              <w:t>......</w:t>
            </w:r>
          </w:p>
        </w:tc>
        <w:tc>
          <w:tcPr>
            <w:tcW w:w="2303" w:type="dxa"/>
            <w:vAlign w:val="center"/>
          </w:tcPr>
          <w:p w14:paraId="09178121">
            <w:pPr>
              <w:pStyle w:val="25"/>
              <w:spacing w:line="600" w:lineRule="exact"/>
              <w:jc w:val="center"/>
              <w:rPr>
                <w:rFonts w:hAnsi="宋体" w:cs="宋体"/>
                <w:color w:val="auto"/>
                <w:kern w:val="2"/>
                <w:sz w:val="24"/>
                <w:highlight w:val="none"/>
              </w:rPr>
            </w:pPr>
          </w:p>
        </w:tc>
        <w:tc>
          <w:tcPr>
            <w:tcW w:w="1834" w:type="dxa"/>
            <w:vAlign w:val="center"/>
          </w:tcPr>
          <w:p w14:paraId="77EA323D">
            <w:pPr>
              <w:pStyle w:val="25"/>
              <w:spacing w:line="600" w:lineRule="exact"/>
              <w:jc w:val="center"/>
              <w:rPr>
                <w:rFonts w:hAnsi="宋体" w:cs="宋体"/>
                <w:color w:val="auto"/>
                <w:kern w:val="2"/>
                <w:sz w:val="24"/>
                <w:highlight w:val="none"/>
              </w:rPr>
            </w:pPr>
          </w:p>
        </w:tc>
        <w:tc>
          <w:tcPr>
            <w:tcW w:w="2181" w:type="dxa"/>
            <w:vAlign w:val="center"/>
          </w:tcPr>
          <w:p w14:paraId="222D7F7D">
            <w:pPr>
              <w:pStyle w:val="25"/>
              <w:spacing w:line="600" w:lineRule="exact"/>
              <w:jc w:val="center"/>
              <w:rPr>
                <w:rFonts w:hAnsi="宋体" w:cs="宋体"/>
                <w:color w:val="auto"/>
                <w:kern w:val="2"/>
                <w:sz w:val="24"/>
                <w:highlight w:val="none"/>
              </w:rPr>
            </w:pPr>
          </w:p>
        </w:tc>
        <w:tc>
          <w:tcPr>
            <w:tcW w:w="1934" w:type="dxa"/>
            <w:vAlign w:val="center"/>
          </w:tcPr>
          <w:p w14:paraId="537C5BCE">
            <w:pPr>
              <w:pStyle w:val="25"/>
              <w:spacing w:line="600" w:lineRule="exact"/>
              <w:jc w:val="center"/>
              <w:rPr>
                <w:rFonts w:hAnsi="宋体" w:cs="宋体"/>
                <w:color w:val="auto"/>
                <w:kern w:val="2"/>
                <w:sz w:val="24"/>
                <w:highlight w:val="none"/>
              </w:rPr>
            </w:pPr>
          </w:p>
        </w:tc>
      </w:tr>
    </w:tbl>
    <w:p w14:paraId="43F92D89">
      <w:pPr>
        <w:pStyle w:val="18"/>
        <w:rPr>
          <w:rFonts w:ascii="宋体" w:hAnsi="宋体" w:cs="宋体"/>
          <w:color w:val="auto"/>
          <w:highlight w:val="none"/>
        </w:rPr>
      </w:pPr>
      <w:r>
        <w:rPr>
          <w:rFonts w:hint="eastAsia" w:ascii="宋体" w:hAnsi="宋体" w:cs="宋体"/>
          <w:color w:val="auto"/>
          <w:highlight w:val="none"/>
        </w:rPr>
        <w:t>注：</w:t>
      </w:r>
    </w:p>
    <w:p w14:paraId="7830324F">
      <w:pPr>
        <w:pStyle w:val="20"/>
        <w:spacing w:line="360" w:lineRule="auto"/>
        <w:ind w:firstLine="0" w:firstLineChars="0"/>
        <w:rPr>
          <w:rFonts w:ascii="宋体" w:hAnsi="宋体" w:eastAsia="宋体" w:cs="宋体"/>
          <w:color w:val="auto"/>
          <w:szCs w:val="32"/>
          <w:highlight w:val="none"/>
        </w:rPr>
      </w:pPr>
      <w:r>
        <w:rPr>
          <w:rFonts w:hint="eastAsia" w:ascii="宋体" w:hAnsi="宋体" w:eastAsia="宋体" w:cs="宋体"/>
          <w:color w:val="auto"/>
          <w:sz w:val="24"/>
          <w:szCs w:val="24"/>
          <w:highlight w:val="none"/>
        </w:rPr>
        <w:t>1. 说明：应对照招标文件“第二章 采购需求”中的“技术要求”逐条作明确的投标响应，并作出偏离说明。</w:t>
      </w:r>
    </w:p>
    <w:p w14:paraId="22E38220">
      <w:pPr>
        <w:pStyle w:val="18"/>
        <w:spacing w:line="360" w:lineRule="auto"/>
        <w:rPr>
          <w:rFonts w:ascii="宋体" w:hAnsi="宋体" w:cs="宋体"/>
          <w:b w:val="0"/>
          <w:bCs w:val="0"/>
          <w:color w:val="auto"/>
          <w:highlight w:val="none"/>
        </w:rPr>
      </w:pPr>
      <w:r>
        <w:rPr>
          <w:rFonts w:hint="eastAsia" w:ascii="宋体" w:hAnsi="宋体" w:cs="宋体"/>
          <w:b w:val="0"/>
          <w:bCs w:val="0"/>
          <w:color w:val="auto"/>
          <w:highlight w:val="none"/>
        </w:rPr>
        <w:t>2.投标人根据投标货物的性能指标，对照招标文件技术要求，在“偏离说明”中注明“</w:t>
      </w:r>
      <w:r>
        <w:rPr>
          <w:rFonts w:hint="eastAsia" w:ascii="宋体" w:hAnsi="宋体" w:cs="宋体"/>
          <w:color w:val="auto"/>
          <w:highlight w:val="none"/>
        </w:rPr>
        <w:t>正偏离</w:t>
      </w:r>
      <w:r>
        <w:rPr>
          <w:rFonts w:hint="eastAsia" w:ascii="宋体" w:hAnsi="宋体" w:cs="宋体"/>
          <w:b w:val="0"/>
          <w:bCs w:val="0"/>
          <w:color w:val="auto"/>
          <w:highlight w:val="none"/>
        </w:rPr>
        <w:t>”、“</w:t>
      </w:r>
      <w:r>
        <w:rPr>
          <w:rFonts w:hint="eastAsia" w:ascii="宋体" w:hAnsi="宋体" w:cs="宋体"/>
          <w:color w:val="auto"/>
          <w:highlight w:val="none"/>
        </w:rPr>
        <w:t>负偏离</w:t>
      </w:r>
      <w:r>
        <w:rPr>
          <w:rFonts w:hint="eastAsia" w:ascii="宋体" w:hAnsi="宋体" w:cs="宋体"/>
          <w:b w:val="0"/>
          <w:bCs w:val="0"/>
          <w:color w:val="auto"/>
          <w:highlight w:val="none"/>
        </w:rPr>
        <w:t>”或者“</w:t>
      </w:r>
      <w:r>
        <w:rPr>
          <w:rFonts w:hint="eastAsia" w:ascii="宋体" w:hAnsi="宋体" w:cs="宋体"/>
          <w:color w:val="auto"/>
          <w:highlight w:val="none"/>
        </w:rPr>
        <w:t>无偏离</w:t>
      </w:r>
      <w:r>
        <w:rPr>
          <w:rFonts w:hint="eastAsia" w:ascii="宋体" w:hAnsi="宋体" w:cs="宋体"/>
          <w:b w:val="0"/>
          <w:bCs w:val="0"/>
          <w:color w:val="auto"/>
          <w:highlight w:val="none"/>
        </w:rPr>
        <w:t>”。既不属于“</w:t>
      </w:r>
      <w:r>
        <w:rPr>
          <w:rFonts w:hint="eastAsia" w:ascii="宋体" w:hAnsi="宋体" w:cs="宋体"/>
          <w:color w:val="auto"/>
          <w:highlight w:val="none"/>
        </w:rPr>
        <w:t>正偏离</w:t>
      </w:r>
      <w:r>
        <w:rPr>
          <w:rFonts w:hint="eastAsia" w:ascii="宋体" w:hAnsi="宋体" w:cs="宋体"/>
          <w:b w:val="0"/>
          <w:bCs w:val="0"/>
          <w:color w:val="auto"/>
          <w:highlight w:val="none"/>
        </w:rPr>
        <w:t>”也不属于“</w:t>
      </w:r>
      <w:r>
        <w:rPr>
          <w:rFonts w:hint="eastAsia" w:ascii="宋体" w:hAnsi="宋体" w:cs="宋体"/>
          <w:color w:val="auto"/>
          <w:highlight w:val="none"/>
        </w:rPr>
        <w:t>负偏离</w:t>
      </w:r>
      <w:r>
        <w:rPr>
          <w:rFonts w:hint="eastAsia" w:ascii="宋体" w:hAnsi="宋体" w:cs="宋体"/>
          <w:b w:val="0"/>
          <w:bCs w:val="0"/>
          <w:color w:val="auto"/>
          <w:highlight w:val="none"/>
        </w:rPr>
        <w:t>”即为“</w:t>
      </w:r>
      <w:r>
        <w:rPr>
          <w:rFonts w:hint="eastAsia" w:ascii="宋体" w:hAnsi="宋体" w:cs="宋体"/>
          <w:color w:val="auto"/>
          <w:highlight w:val="none"/>
        </w:rPr>
        <w:t>无偏离</w:t>
      </w:r>
      <w:r>
        <w:rPr>
          <w:rFonts w:hint="eastAsia" w:ascii="宋体" w:hAnsi="宋体" w:cs="宋体"/>
          <w:b w:val="0"/>
          <w:bCs w:val="0"/>
          <w:color w:val="auto"/>
          <w:highlight w:val="none"/>
        </w:rPr>
        <w:t>”。</w:t>
      </w:r>
    </w:p>
    <w:p w14:paraId="2ABBD51A">
      <w:pPr>
        <w:pStyle w:val="20"/>
        <w:spacing w:line="360" w:lineRule="auto"/>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认为其投标响应有正偏离的，请在技术要求偏离表中列明，且在投标文件中提供投标产品的彩页或国家认可的有资质的第三方检测机构出具的检测报告复印件或产品生产厂家出具的技术参数说明证明作为佐证，以上佐证材料均需加盖生产厂家或代理商（附生产厂家授权资料）公章。</w:t>
      </w:r>
    </w:p>
    <w:p w14:paraId="05A7E92F">
      <w:pPr>
        <w:pStyle w:val="20"/>
        <w:spacing w:line="360" w:lineRule="auto"/>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 如技术要求偏离表中的投标响应与佐证材料不一致的，以佐证材料为准。</w:t>
      </w:r>
    </w:p>
    <w:p w14:paraId="1E81D72A">
      <w:pPr>
        <w:snapToGrid w:val="0"/>
        <w:spacing w:before="50" w:after="50" w:line="360" w:lineRule="auto"/>
        <w:rPr>
          <w:rFonts w:ascii="宋体" w:hAnsi="宋体" w:cs="宋体"/>
          <w:color w:val="auto"/>
          <w:sz w:val="24"/>
          <w:highlight w:val="none"/>
        </w:rPr>
      </w:pPr>
    </w:p>
    <w:p w14:paraId="191EC601">
      <w:pPr>
        <w:snapToGrid w:val="0"/>
        <w:spacing w:before="50" w:after="50" w:line="360" w:lineRule="auto"/>
        <w:rPr>
          <w:rFonts w:ascii="宋体" w:hAnsi="宋体" w:cs="宋体"/>
          <w:color w:val="auto"/>
          <w:spacing w:val="20"/>
          <w:sz w:val="24"/>
          <w:highlight w:val="none"/>
          <w:u w:val="single"/>
        </w:rPr>
      </w:pPr>
      <w:r>
        <w:rPr>
          <w:rFonts w:hint="eastAsia" w:ascii="宋体" w:hAnsi="宋体" w:cs="宋体"/>
          <w:color w:val="auto"/>
          <w:sz w:val="24"/>
          <w:highlight w:val="none"/>
        </w:rPr>
        <w:t>法定代表人或者委托代理人</w:t>
      </w:r>
      <w:r>
        <w:rPr>
          <w:rFonts w:hint="eastAsia" w:ascii="宋体" w:hAnsi="宋体" w:cs="宋体"/>
          <w:color w:val="auto"/>
          <w:spacing w:val="20"/>
          <w:sz w:val="24"/>
          <w:highlight w:val="none"/>
        </w:rPr>
        <w:t>（签字或者电子签名）：</w:t>
      </w:r>
    </w:p>
    <w:p w14:paraId="113EEC19">
      <w:pPr>
        <w:snapToGrid w:val="0"/>
        <w:spacing w:before="50" w:after="50" w:line="360" w:lineRule="auto"/>
        <w:rPr>
          <w:rFonts w:ascii="宋体" w:hAnsi="宋体" w:cs="宋体"/>
          <w:color w:val="auto"/>
          <w:spacing w:val="20"/>
          <w:sz w:val="24"/>
          <w:highlight w:val="none"/>
        </w:rPr>
      </w:pPr>
      <w:r>
        <w:rPr>
          <w:rFonts w:hint="eastAsia" w:ascii="宋体" w:hAnsi="宋体" w:cs="宋体"/>
          <w:color w:val="auto"/>
          <w:spacing w:val="20"/>
          <w:sz w:val="24"/>
          <w:highlight w:val="none"/>
        </w:rPr>
        <w:t>投标人名称（电子签章）：</w:t>
      </w:r>
    </w:p>
    <w:p w14:paraId="689DB1C6">
      <w:pPr>
        <w:snapToGrid w:val="0"/>
        <w:spacing w:before="50" w:after="50" w:line="360" w:lineRule="auto"/>
        <w:rPr>
          <w:rFonts w:ascii="宋体" w:hAnsi="宋体" w:cs="宋体"/>
          <w:color w:val="auto"/>
          <w:spacing w:val="20"/>
          <w:sz w:val="24"/>
          <w:highlight w:val="none"/>
          <w:u w:val="single"/>
        </w:rPr>
      </w:pPr>
      <w:r>
        <w:rPr>
          <w:rFonts w:hint="eastAsia" w:ascii="宋体" w:hAnsi="宋体" w:cs="宋体"/>
          <w:color w:val="auto"/>
          <w:spacing w:val="20"/>
          <w:sz w:val="24"/>
          <w:highlight w:val="none"/>
        </w:rPr>
        <w:t>日 期：</w:t>
      </w:r>
    </w:p>
    <w:p w14:paraId="050AF103">
      <w:pPr>
        <w:snapToGrid w:val="0"/>
        <w:spacing w:before="50" w:after="50" w:line="360" w:lineRule="auto"/>
        <w:rPr>
          <w:rFonts w:ascii="宋体" w:hAnsi="宋体" w:cs="宋体"/>
          <w:color w:val="auto"/>
          <w:sz w:val="24"/>
          <w:szCs w:val="20"/>
          <w:highlight w:val="none"/>
        </w:rPr>
      </w:pPr>
    </w:p>
    <w:p w14:paraId="1DE93DAF">
      <w:pPr>
        <w:snapToGrid w:val="0"/>
        <w:spacing w:before="120"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p>
    <w:p w14:paraId="289F36E7">
      <w:pPr>
        <w:snapToGrid w:val="0"/>
        <w:spacing w:before="120" w:beforeLines="50" w:after="50"/>
        <w:ind w:left="142"/>
        <w:jc w:val="left"/>
        <w:rPr>
          <w:rFonts w:ascii="宋体" w:hAnsi="宋体" w:cs="宋体"/>
          <w:color w:val="auto"/>
          <w:sz w:val="24"/>
          <w:szCs w:val="20"/>
          <w:highlight w:val="none"/>
        </w:rPr>
      </w:pPr>
      <w:r>
        <w:rPr>
          <w:rFonts w:hint="eastAsia" w:ascii="宋体" w:hAnsi="宋体" w:cs="宋体"/>
          <w:b/>
          <w:color w:val="auto"/>
          <w:sz w:val="24"/>
          <w:highlight w:val="none"/>
        </w:rPr>
        <w:t>设备性能配置清单</w:t>
      </w:r>
    </w:p>
    <w:p w14:paraId="316AD2D8">
      <w:pPr>
        <w:snapToGrid w:val="0"/>
        <w:spacing w:before="120" w:beforeLines="50" w:after="50"/>
        <w:ind w:left="142"/>
        <w:jc w:val="left"/>
        <w:rPr>
          <w:rFonts w:ascii="宋体" w:hAnsi="宋体" w:cs="宋体"/>
          <w:b/>
          <w:color w:val="auto"/>
          <w:sz w:val="24"/>
          <w:highlight w:val="none"/>
        </w:rPr>
      </w:pPr>
    </w:p>
    <w:p w14:paraId="14DF2D2E">
      <w:pPr>
        <w:snapToGrid w:val="0"/>
        <w:spacing w:before="120"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设备性能配置清单</w:t>
      </w:r>
    </w:p>
    <w:p w14:paraId="4451988E">
      <w:pPr>
        <w:snapToGrid w:val="0"/>
        <w:spacing w:before="120" w:beforeLines="50" w:after="50"/>
        <w:ind w:left="142"/>
        <w:rPr>
          <w:rFonts w:ascii="宋体" w:hAnsi="宋体" w:cs="宋体"/>
          <w:b/>
          <w:color w:val="auto"/>
          <w:sz w:val="32"/>
          <w:szCs w:val="32"/>
          <w:highlight w:val="none"/>
        </w:rPr>
      </w:pPr>
      <w:r>
        <w:rPr>
          <w:rFonts w:hint="eastAsia" w:ascii="宋体" w:hAnsi="宋体" w:cs="宋体"/>
          <w:color w:val="auto"/>
          <w:sz w:val="24"/>
          <w:szCs w:val="21"/>
          <w:highlight w:val="none"/>
        </w:rPr>
        <w:t>分标</w:t>
      </w:r>
    </w:p>
    <w:tbl>
      <w:tblPr>
        <w:tblStyle w:val="47"/>
        <w:tblW w:w="457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36"/>
        <w:gridCol w:w="1266"/>
        <w:gridCol w:w="920"/>
        <w:gridCol w:w="828"/>
        <w:gridCol w:w="1413"/>
        <w:gridCol w:w="461"/>
        <w:gridCol w:w="581"/>
        <w:gridCol w:w="1402"/>
      </w:tblGrid>
      <w:tr w14:paraId="4B2EDE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99" w:type="pct"/>
            <w:tcBorders>
              <w:top w:val="single" w:color="auto" w:sz="4" w:space="0"/>
              <w:left w:val="single" w:color="auto" w:sz="4" w:space="0"/>
              <w:bottom w:val="single" w:color="auto" w:sz="4" w:space="0"/>
              <w:right w:val="single" w:color="auto" w:sz="4" w:space="0"/>
            </w:tcBorders>
            <w:vAlign w:val="center"/>
          </w:tcPr>
          <w:p w14:paraId="28ADCBDB">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序号</w:t>
            </w:r>
          </w:p>
        </w:tc>
        <w:tc>
          <w:tcPr>
            <w:tcW w:w="810" w:type="pct"/>
            <w:tcBorders>
              <w:top w:val="single" w:color="auto" w:sz="4" w:space="0"/>
              <w:left w:val="single" w:color="auto" w:sz="4" w:space="0"/>
              <w:bottom w:val="single" w:color="auto" w:sz="4" w:space="0"/>
              <w:right w:val="single" w:color="auto" w:sz="4" w:space="0"/>
            </w:tcBorders>
            <w:vAlign w:val="center"/>
          </w:tcPr>
          <w:p w14:paraId="2E33F90F">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货物名称</w:t>
            </w:r>
          </w:p>
        </w:tc>
        <w:tc>
          <w:tcPr>
            <w:tcW w:w="589" w:type="pct"/>
            <w:tcBorders>
              <w:top w:val="single" w:color="auto" w:sz="4" w:space="0"/>
              <w:left w:val="single" w:color="auto" w:sz="4" w:space="0"/>
              <w:bottom w:val="single" w:color="auto" w:sz="4" w:space="0"/>
              <w:right w:val="single" w:color="auto" w:sz="4" w:space="0"/>
            </w:tcBorders>
            <w:vAlign w:val="center"/>
          </w:tcPr>
          <w:p w14:paraId="0E2057C5">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数量及单位</w:t>
            </w:r>
          </w:p>
        </w:tc>
        <w:tc>
          <w:tcPr>
            <w:tcW w:w="530" w:type="pct"/>
            <w:tcBorders>
              <w:top w:val="single" w:color="auto" w:sz="4" w:space="0"/>
              <w:left w:val="single" w:color="auto" w:sz="4" w:space="0"/>
              <w:bottom w:val="single" w:color="auto" w:sz="4" w:space="0"/>
              <w:right w:val="single" w:color="auto" w:sz="4" w:space="0"/>
            </w:tcBorders>
            <w:vAlign w:val="center"/>
          </w:tcPr>
          <w:p w14:paraId="68A998D8">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品牌</w:t>
            </w:r>
          </w:p>
        </w:tc>
        <w:tc>
          <w:tcPr>
            <w:tcW w:w="904" w:type="pct"/>
            <w:tcBorders>
              <w:top w:val="single" w:color="auto" w:sz="4" w:space="0"/>
              <w:left w:val="single" w:color="auto" w:sz="4" w:space="0"/>
              <w:bottom w:val="single" w:color="auto" w:sz="4" w:space="0"/>
              <w:right w:val="single" w:color="auto" w:sz="4" w:space="0"/>
            </w:tcBorders>
          </w:tcPr>
          <w:p w14:paraId="7916FD31">
            <w:pPr>
              <w:snapToGrid w:val="0"/>
              <w:spacing w:before="50" w:after="50"/>
              <w:jc w:val="center"/>
              <w:rPr>
                <w:rFonts w:ascii="宋体" w:hAnsi="宋体" w:cs="宋体"/>
                <w:color w:val="auto"/>
                <w:sz w:val="24"/>
                <w:highlight w:val="none"/>
              </w:rPr>
            </w:pPr>
          </w:p>
          <w:p w14:paraId="5828CAF7">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规格型号</w:t>
            </w:r>
          </w:p>
        </w:tc>
        <w:tc>
          <w:tcPr>
            <w:tcW w:w="295" w:type="pct"/>
            <w:tcBorders>
              <w:top w:val="single" w:color="auto" w:sz="4" w:space="0"/>
              <w:left w:val="single" w:color="auto" w:sz="4" w:space="0"/>
              <w:bottom w:val="single" w:color="auto" w:sz="4" w:space="0"/>
              <w:right w:val="single" w:color="auto" w:sz="4" w:space="0"/>
            </w:tcBorders>
            <w:vAlign w:val="center"/>
          </w:tcPr>
          <w:p w14:paraId="45AE27E9">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制造商</w:t>
            </w:r>
          </w:p>
        </w:tc>
        <w:tc>
          <w:tcPr>
            <w:tcW w:w="372" w:type="pct"/>
            <w:tcBorders>
              <w:top w:val="single" w:color="auto" w:sz="4" w:space="0"/>
              <w:left w:val="single" w:color="auto" w:sz="4" w:space="0"/>
              <w:bottom w:val="single" w:color="auto" w:sz="4" w:space="0"/>
              <w:right w:val="single" w:color="auto" w:sz="4" w:space="0"/>
            </w:tcBorders>
            <w:vAlign w:val="center"/>
          </w:tcPr>
          <w:p w14:paraId="7A160B52">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产地</w:t>
            </w:r>
          </w:p>
        </w:tc>
        <w:tc>
          <w:tcPr>
            <w:tcW w:w="897" w:type="pct"/>
            <w:tcBorders>
              <w:top w:val="single" w:color="auto" w:sz="4" w:space="0"/>
              <w:left w:val="single" w:color="auto" w:sz="4" w:space="0"/>
              <w:bottom w:val="single" w:color="auto" w:sz="4" w:space="0"/>
              <w:right w:val="single" w:color="auto" w:sz="4" w:space="0"/>
            </w:tcBorders>
            <w:vAlign w:val="center"/>
          </w:tcPr>
          <w:p w14:paraId="0FD773D6">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参数性能、指标及配置</w:t>
            </w:r>
          </w:p>
        </w:tc>
      </w:tr>
      <w:tr w14:paraId="5E21FF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599" w:type="pct"/>
            <w:tcBorders>
              <w:top w:val="single" w:color="auto" w:sz="4" w:space="0"/>
              <w:left w:val="single" w:color="auto" w:sz="4" w:space="0"/>
              <w:bottom w:val="single" w:color="auto" w:sz="4" w:space="0"/>
              <w:right w:val="single" w:color="auto" w:sz="4" w:space="0"/>
            </w:tcBorders>
            <w:vAlign w:val="center"/>
          </w:tcPr>
          <w:p w14:paraId="4B8C13B8">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1</w:t>
            </w:r>
          </w:p>
        </w:tc>
        <w:tc>
          <w:tcPr>
            <w:tcW w:w="810" w:type="pct"/>
            <w:tcBorders>
              <w:top w:val="single" w:color="auto" w:sz="4" w:space="0"/>
              <w:left w:val="single" w:color="auto" w:sz="4" w:space="0"/>
              <w:bottom w:val="single" w:color="auto" w:sz="4" w:space="0"/>
              <w:right w:val="single" w:color="auto" w:sz="4" w:space="0"/>
            </w:tcBorders>
            <w:vAlign w:val="center"/>
          </w:tcPr>
          <w:p w14:paraId="38C38310">
            <w:pPr>
              <w:tabs>
                <w:tab w:val="left" w:pos="180"/>
                <w:tab w:val="left" w:pos="1620"/>
              </w:tabs>
              <w:adjustRightInd w:val="0"/>
              <w:snapToGrid w:val="0"/>
              <w:spacing w:line="360" w:lineRule="exact"/>
              <w:jc w:val="center"/>
              <w:rPr>
                <w:rFonts w:ascii="宋体" w:hAnsi="宋体" w:cs="宋体"/>
                <w:color w:val="auto"/>
                <w:sz w:val="24"/>
                <w:highlight w:val="none"/>
              </w:rPr>
            </w:pPr>
          </w:p>
        </w:tc>
        <w:tc>
          <w:tcPr>
            <w:tcW w:w="589" w:type="pct"/>
            <w:tcBorders>
              <w:top w:val="single" w:color="auto" w:sz="4" w:space="0"/>
              <w:left w:val="single" w:color="auto" w:sz="4" w:space="0"/>
              <w:bottom w:val="single" w:color="auto" w:sz="4" w:space="0"/>
              <w:right w:val="single" w:color="auto" w:sz="4" w:space="0"/>
            </w:tcBorders>
          </w:tcPr>
          <w:p w14:paraId="06FFC1C1">
            <w:pPr>
              <w:snapToGrid w:val="0"/>
              <w:spacing w:before="50" w:after="50"/>
              <w:jc w:val="center"/>
              <w:rPr>
                <w:rFonts w:ascii="宋体" w:hAnsi="宋体" w:cs="宋体"/>
                <w:color w:val="auto"/>
                <w:sz w:val="24"/>
                <w:highlight w:val="none"/>
              </w:rPr>
            </w:pPr>
          </w:p>
        </w:tc>
        <w:tc>
          <w:tcPr>
            <w:tcW w:w="530" w:type="pct"/>
            <w:tcBorders>
              <w:top w:val="single" w:color="auto" w:sz="4" w:space="0"/>
              <w:left w:val="single" w:color="auto" w:sz="4" w:space="0"/>
              <w:bottom w:val="single" w:color="auto" w:sz="4" w:space="0"/>
              <w:right w:val="single" w:color="auto" w:sz="4" w:space="0"/>
            </w:tcBorders>
            <w:vAlign w:val="center"/>
          </w:tcPr>
          <w:p w14:paraId="078D3932">
            <w:pPr>
              <w:snapToGrid w:val="0"/>
              <w:spacing w:before="50" w:after="50"/>
              <w:jc w:val="center"/>
              <w:rPr>
                <w:rFonts w:ascii="宋体" w:hAnsi="宋体" w:cs="宋体"/>
                <w:color w:val="auto"/>
                <w:sz w:val="24"/>
                <w:highlight w:val="none"/>
              </w:rPr>
            </w:pPr>
          </w:p>
        </w:tc>
        <w:tc>
          <w:tcPr>
            <w:tcW w:w="904" w:type="pct"/>
            <w:tcBorders>
              <w:top w:val="single" w:color="auto" w:sz="4" w:space="0"/>
              <w:left w:val="single" w:color="auto" w:sz="4" w:space="0"/>
              <w:bottom w:val="single" w:color="auto" w:sz="4" w:space="0"/>
              <w:right w:val="single" w:color="auto" w:sz="4" w:space="0"/>
            </w:tcBorders>
          </w:tcPr>
          <w:p w14:paraId="4EBA3A4B">
            <w:pPr>
              <w:snapToGrid w:val="0"/>
              <w:spacing w:before="50" w:after="50"/>
              <w:jc w:val="center"/>
              <w:rPr>
                <w:rFonts w:ascii="宋体" w:hAnsi="宋体" w:cs="宋体"/>
                <w:color w:val="auto"/>
                <w:sz w:val="24"/>
                <w:highlight w:val="none"/>
              </w:rPr>
            </w:pPr>
          </w:p>
        </w:tc>
        <w:tc>
          <w:tcPr>
            <w:tcW w:w="295" w:type="pct"/>
            <w:tcBorders>
              <w:top w:val="single" w:color="auto" w:sz="4" w:space="0"/>
              <w:left w:val="single" w:color="auto" w:sz="4" w:space="0"/>
              <w:bottom w:val="single" w:color="auto" w:sz="4" w:space="0"/>
              <w:right w:val="single" w:color="auto" w:sz="4" w:space="0"/>
            </w:tcBorders>
            <w:vAlign w:val="center"/>
          </w:tcPr>
          <w:p w14:paraId="107FC8E6">
            <w:pPr>
              <w:snapToGrid w:val="0"/>
              <w:spacing w:before="50" w:after="50"/>
              <w:jc w:val="center"/>
              <w:rPr>
                <w:rFonts w:ascii="宋体" w:hAnsi="宋体" w:cs="宋体"/>
                <w:color w:val="auto"/>
                <w:sz w:val="24"/>
                <w:highlight w:val="none"/>
              </w:rPr>
            </w:pPr>
          </w:p>
        </w:tc>
        <w:tc>
          <w:tcPr>
            <w:tcW w:w="372" w:type="pct"/>
            <w:tcBorders>
              <w:top w:val="single" w:color="auto" w:sz="4" w:space="0"/>
              <w:left w:val="single" w:color="auto" w:sz="4" w:space="0"/>
              <w:bottom w:val="single" w:color="auto" w:sz="4" w:space="0"/>
              <w:right w:val="single" w:color="auto" w:sz="4" w:space="0"/>
            </w:tcBorders>
            <w:vAlign w:val="center"/>
          </w:tcPr>
          <w:p w14:paraId="5AA16047">
            <w:pPr>
              <w:snapToGrid w:val="0"/>
              <w:spacing w:before="50" w:after="50"/>
              <w:jc w:val="center"/>
              <w:rPr>
                <w:rFonts w:ascii="宋体" w:hAnsi="宋体" w:cs="宋体"/>
                <w:color w:val="auto"/>
                <w:sz w:val="24"/>
                <w:highlight w:val="none"/>
              </w:rPr>
            </w:pPr>
          </w:p>
        </w:tc>
        <w:tc>
          <w:tcPr>
            <w:tcW w:w="897" w:type="pct"/>
            <w:tcBorders>
              <w:top w:val="single" w:color="auto" w:sz="4" w:space="0"/>
              <w:left w:val="single" w:color="auto" w:sz="4" w:space="0"/>
              <w:bottom w:val="single" w:color="auto" w:sz="4" w:space="0"/>
              <w:right w:val="single" w:color="auto" w:sz="4" w:space="0"/>
            </w:tcBorders>
            <w:vAlign w:val="center"/>
          </w:tcPr>
          <w:p w14:paraId="6E63E075">
            <w:pPr>
              <w:snapToGrid w:val="0"/>
              <w:spacing w:before="50" w:after="50"/>
              <w:jc w:val="center"/>
              <w:rPr>
                <w:rFonts w:ascii="宋体" w:hAnsi="宋体" w:cs="宋体"/>
                <w:color w:val="auto"/>
                <w:sz w:val="24"/>
                <w:highlight w:val="none"/>
              </w:rPr>
            </w:pPr>
          </w:p>
        </w:tc>
      </w:tr>
      <w:tr w14:paraId="41D317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599" w:type="pct"/>
            <w:tcBorders>
              <w:top w:val="single" w:color="auto" w:sz="4" w:space="0"/>
              <w:left w:val="single" w:color="auto" w:sz="4" w:space="0"/>
              <w:bottom w:val="single" w:color="auto" w:sz="4" w:space="0"/>
              <w:right w:val="single" w:color="auto" w:sz="4" w:space="0"/>
            </w:tcBorders>
            <w:vAlign w:val="center"/>
          </w:tcPr>
          <w:p w14:paraId="0EEF2F09">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2</w:t>
            </w:r>
          </w:p>
        </w:tc>
        <w:tc>
          <w:tcPr>
            <w:tcW w:w="810" w:type="pct"/>
            <w:tcBorders>
              <w:top w:val="single" w:color="auto" w:sz="4" w:space="0"/>
              <w:left w:val="single" w:color="auto" w:sz="4" w:space="0"/>
              <w:bottom w:val="single" w:color="auto" w:sz="4" w:space="0"/>
              <w:right w:val="single" w:color="auto" w:sz="4" w:space="0"/>
            </w:tcBorders>
            <w:vAlign w:val="center"/>
          </w:tcPr>
          <w:p w14:paraId="4EDA8A69">
            <w:pPr>
              <w:tabs>
                <w:tab w:val="left" w:pos="180"/>
                <w:tab w:val="left" w:pos="1620"/>
              </w:tabs>
              <w:adjustRightInd w:val="0"/>
              <w:snapToGrid w:val="0"/>
              <w:spacing w:line="360" w:lineRule="exact"/>
              <w:jc w:val="center"/>
              <w:rPr>
                <w:rFonts w:ascii="宋体" w:hAnsi="宋体" w:cs="宋体"/>
                <w:color w:val="auto"/>
                <w:sz w:val="24"/>
                <w:highlight w:val="none"/>
              </w:rPr>
            </w:pPr>
          </w:p>
        </w:tc>
        <w:tc>
          <w:tcPr>
            <w:tcW w:w="589" w:type="pct"/>
            <w:tcBorders>
              <w:top w:val="single" w:color="auto" w:sz="4" w:space="0"/>
              <w:left w:val="single" w:color="auto" w:sz="4" w:space="0"/>
              <w:bottom w:val="single" w:color="auto" w:sz="4" w:space="0"/>
              <w:right w:val="single" w:color="auto" w:sz="4" w:space="0"/>
            </w:tcBorders>
          </w:tcPr>
          <w:p w14:paraId="082A62F1">
            <w:pPr>
              <w:snapToGrid w:val="0"/>
              <w:spacing w:before="50" w:after="50"/>
              <w:jc w:val="center"/>
              <w:rPr>
                <w:rFonts w:ascii="宋体" w:hAnsi="宋体" w:cs="宋体"/>
                <w:color w:val="auto"/>
                <w:sz w:val="24"/>
                <w:highlight w:val="none"/>
              </w:rPr>
            </w:pPr>
          </w:p>
        </w:tc>
        <w:tc>
          <w:tcPr>
            <w:tcW w:w="530" w:type="pct"/>
            <w:tcBorders>
              <w:top w:val="single" w:color="auto" w:sz="4" w:space="0"/>
              <w:left w:val="single" w:color="auto" w:sz="4" w:space="0"/>
              <w:bottom w:val="single" w:color="auto" w:sz="4" w:space="0"/>
              <w:right w:val="single" w:color="auto" w:sz="4" w:space="0"/>
            </w:tcBorders>
            <w:vAlign w:val="center"/>
          </w:tcPr>
          <w:p w14:paraId="143D03AC">
            <w:pPr>
              <w:snapToGrid w:val="0"/>
              <w:spacing w:before="50" w:after="50"/>
              <w:jc w:val="center"/>
              <w:rPr>
                <w:rFonts w:ascii="宋体" w:hAnsi="宋体" w:cs="宋体"/>
                <w:color w:val="auto"/>
                <w:sz w:val="24"/>
                <w:highlight w:val="none"/>
              </w:rPr>
            </w:pPr>
          </w:p>
        </w:tc>
        <w:tc>
          <w:tcPr>
            <w:tcW w:w="904" w:type="pct"/>
            <w:tcBorders>
              <w:top w:val="single" w:color="auto" w:sz="4" w:space="0"/>
              <w:left w:val="single" w:color="auto" w:sz="4" w:space="0"/>
              <w:bottom w:val="single" w:color="auto" w:sz="4" w:space="0"/>
              <w:right w:val="single" w:color="auto" w:sz="4" w:space="0"/>
            </w:tcBorders>
          </w:tcPr>
          <w:p w14:paraId="4BB27FF8">
            <w:pPr>
              <w:snapToGrid w:val="0"/>
              <w:spacing w:before="50" w:after="50"/>
              <w:jc w:val="center"/>
              <w:rPr>
                <w:rFonts w:ascii="宋体" w:hAnsi="宋体" w:cs="宋体"/>
                <w:color w:val="auto"/>
                <w:sz w:val="24"/>
                <w:highlight w:val="none"/>
              </w:rPr>
            </w:pPr>
          </w:p>
        </w:tc>
        <w:tc>
          <w:tcPr>
            <w:tcW w:w="295" w:type="pct"/>
            <w:tcBorders>
              <w:top w:val="single" w:color="auto" w:sz="4" w:space="0"/>
              <w:left w:val="single" w:color="auto" w:sz="4" w:space="0"/>
              <w:bottom w:val="single" w:color="auto" w:sz="4" w:space="0"/>
              <w:right w:val="single" w:color="auto" w:sz="4" w:space="0"/>
            </w:tcBorders>
            <w:vAlign w:val="center"/>
          </w:tcPr>
          <w:p w14:paraId="1B2D438A">
            <w:pPr>
              <w:snapToGrid w:val="0"/>
              <w:spacing w:before="50" w:after="50"/>
              <w:jc w:val="center"/>
              <w:rPr>
                <w:rFonts w:ascii="宋体" w:hAnsi="宋体" w:cs="宋体"/>
                <w:color w:val="auto"/>
                <w:sz w:val="24"/>
                <w:highlight w:val="none"/>
              </w:rPr>
            </w:pPr>
          </w:p>
        </w:tc>
        <w:tc>
          <w:tcPr>
            <w:tcW w:w="372" w:type="pct"/>
            <w:tcBorders>
              <w:top w:val="single" w:color="auto" w:sz="4" w:space="0"/>
              <w:left w:val="single" w:color="auto" w:sz="4" w:space="0"/>
              <w:bottom w:val="single" w:color="auto" w:sz="4" w:space="0"/>
              <w:right w:val="single" w:color="auto" w:sz="4" w:space="0"/>
            </w:tcBorders>
            <w:vAlign w:val="center"/>
          </w:tcPr>
          <w:p w14:paraId="212B433B">
            <w:pPr>
              <w:snapToGrid w:val="0"/>
              <w:spacing w:before="50" w:after="50"/>
              <w:jc w:val="center"/>
              <w:rPr>
                <w:rFonts w:ascii="宋体" w:hAnsi="宋体" w:cs="宋体"/>
                <w:color w:val="auto"/>
                <w:sz w:val="24"/>
                <w:highlight w:val="none"/>
              </w:rPr>
            </w:pPr>
          </w:p>
        </w:tc>
        <w:tc>
          <w:tcPr>
            <w:tcW w:w="897" w:type="pct"/>
            <w:tcBorders>
              <w:top w:val="single" w:color="auto" w:sz="4" w:space="0"/>
              <w:left w:val="single" w:color="auto" w:sz="4" w:space="0"/>
              <w:bottom w:val="single" w:color="auto" w:sz="4" w:space="0"/>
              <w:right w:val="single" w:color="auto" w:sz="4" w:space="0"/>
            </w:tcBorders>
            <w:vAlign w:val="center"/>
          </w:tcPr>
          <w:p w14:paraId="53352CF0">
            <w:pPr>
              <w:snapToGrid w:val="0"/>
              <w:spacing w:before="50" w:after="50"/>
              <w:jc w:val="center"/>
              <w:rPr>
                <w:rFonts w:ascii="宋体" w:hAnsi="宋体" w:cs="宋体"/>
                <w:color w:val="auto"/>
                <w:sz w:val="24"/>
                <w:highlight w:val="none"/>
              </w:rPr>
            </w:pPr>
          </w:p>
        </w:tc>
      </w:tr>
      <w:tr w14:paraId="320AD8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599" w:type="pct"/>
            <w:tcBorders>
              <w:top w:val="single" w:color="auto" w:sz="4" w:space="0"/>
              <w:left w:val="single" w:color="auto" w:sz="4" w:space="0"/>
              <w:bottom w:val="single" w:color="auto" w:sz="4" w:space="0"/>
              <w:right w:val="single" w:color="auto" w:sz="4" w:space="0"/>
            </w:tcBorders>
            <w:vAlign w:val="center"/>
          </w:tcPr>
          <w:p w14:paraId="247A5AE8">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3</w:t>
            </w:r>
          </w:p>
        </w:tc>
        <w:tc>
          <w:tcPr>
            <w:tcW w:w="810" w:type="pct"/>
            <w:tcBorders>
              <w:top w:val="single" w:color="auto" w:sz="4" w:space="0"/>
              <w:left w:val="single" w:color="auto" w:sz="4" w:space="0"/>
              <w:bottom w:val="single" w:color="auto" w:sz="4" w:space="0"/>
              <w:right w:val="single" w:color="auto" w:sz="4" w:space="0"/>
            </w:tcBorders>
            <w:vAlign w:val="center"/>
          </w:tcPr>
          <w:p w14:paraId="7886B9AD">
            <w:pPr>
              <w:tabs>
                <w:tab w:val="left" w:pos="180"/>
                <w:tab w:val="left" w:pos="1620"/>
              </w:tabs>
              <w:adjustRightInd w:val="0"/>
              <w:snapToGrid w:val="0"/>
              <w:spacing w:line="360" w:lineRule="exact"/>
              <w:jc w:val="center"/>
              <w:rPr>
                <w:rFonts w:ascii="宋体" w:hAnsi="宋体" w:cs="宋体"/>
                <w:color w:val="auto"/>
                <w:sz w:val="24"/>
                <w:highlight w:val="none"/>
              </w:rPr>
            </w:pPr>
          </w:p>
        </w:tc>
        <w:tc>
          <w:tcPr>
            <w:tcW w:w="589" w:type="pct"/>
            <w:tcBorders>
              <w:top w:val="single" w:color="auto" w:sz="4" w:space="0"/>
              <w:left w:val="single" w:color="auto" w:sz="4" w:space="0"/>
              <w:bottom w:val="single" w:color="auto" w:sz="4" w:space="0"/>
              <w:right w:val="single" w:color="auto" w:sz="4" w:space="0"/>
            </w:tcBorders>
          </w:tcPr>
          <w:p w14:paraId="6C467050">
            <w:pPr>
              <w:snapToGrid w:val="0"/>
              <w:spacing w:before="50" w:after="50"/>
              <w:jc w:val="center"/>
              <w:rPr>
                <w:rFonts w:ascii="宋体" w:hAnsi="宋体" w:cs="宋体"/>
                <w:color w:val="auto"/>
                <w:sz w:val="24"/>
                <w:highlight w:val="none"/>
              </w:rPr>
            </w:pPr>
          </w:p>
        </w:tc>
        <w:tc>
          <w:tcPr>
            <w:tcW w:w="530" w:type="pct"/>
            <w:tcBorders>
              <w:top w:val="single" w:color="auto" w:sz="4" w:space="0"/>
              <w:left w:val="single" w:color="auto" w:sz="4" w:space="0"/>
              <w:bottom w:val="single" w:color="auto" w:sz="4" w:space="0"/>
              <w:right w:val="single" w:color="auto" w:sz="4" w:space="0"/>
            </w:tcBorders>
            <w:vAlign w:val="center"/>
          </w:tcPr>
          <w:p w14:paraId="5D4D08FF">
            <w:pPr>
              <w:snapToGrid w:val="0"/>
              <w:spacing w:before="50" w:after="50"/>
              <w:jc w:val="center"/>
              <w:rPr>
                <w:rFonts w:ascii="宋体" w:hAnsi="宋体" w:cs="宋体"/>
                <w:color w:val="auto"/>
                <w:sz w:val="24"/>
                <w:highlight w:val="none"/>
              </w:rPr>
            </w:pPr>
          </w:p>
        </w:tc>
        <w:tc>
          <w:tcPr>
            <w:tcW w:w="904" w:type="pct"/>
            <w:tcBorders>
              <w:top w:val="single" w:color="auto" w:sz="4" w:space="0"/>
              <w:left w:val="single" w:color="auto" w:sz="4" w:space="0"/>
              <w:bottom w:val="single" w:color="auto" w:sz="4" w:space="0"/>
              <w:right w:val="single" w:color="auto" w:sz="4" w:space="0"/>
            </w:tcBorders>
          </w:tcPr>
          <w:p w14:paraId="46FDB9E1">
            <w:pPr>
              <w:snapToGrid w:val="0"/>
              <w:spacing w:before="50" w:after="50"/>
              <w:jc w:val="center"/>
              <w:rPr>
                <w:rFonts w:ascii="宋体" w:hAnsi="宋体" w:cs="宋体"/>
                <w:color w:val="auto"/>
                <w:sz w:val="24"/>
                <w:highlight w:val="none"/>
              </w:rPr>
            </w:pPr>
          </w:p>
        </w:tc>
        <w:tc>
          <w:tcPr>
            <w:tcW w:w="295" w:type="pct"/>
            <w:tcBorders>
              <w:top w:val="single" w:color="auto" w:sz="4" w:space="0"/>
              <w:left w:val="single" w:color="auto" w:sz="4" w:space="0"/>
              <w:bottom w:val="single" w:color="auto" w:sz="4" w:space="0"/>
              <w:right w:val="single" w:color="auto" w:sz="4" w:space="0"/>
            </w:tcBorders>
            <w:vAlign w:val="center"/>
          </w:tcPr>
          <w:p w14:paraId="1B98F49B">
            <w:pPr>
              <w:snapToGrid w:val="0"/>
              <w:spacing w:before="50" w:after="50"/>
              <w:jc w:val="center"/>
              <w:rPr>
                <w:rFonts w:ascii="宋体" w:hAnsi="宋体" w:cs="宋体"/>
                <w:color w:val="auto"/>
                <w:sz w:val="24"/>
                <w:highlight w:val="none"/>
              </w:rPr>
            </w:pPr>
          </w:p>
        </w:tc>
        <w:tc>
          <w:tcPr>
            <w:tcW w:w="372" w:type="pct"/>
            <w:tcBorders>
              <w:top w:val="single" w:color="auto" w:sz="4" w:space="0"/>
              <w:left w:val="single" w:color="auto" w:sz="4" w:space="0"/>
              <w:bottom w:val="single" w:color="auto" w:sz="4" w:space="0"/>
              <w:right w:val="single" w:color="auto" w:sz="4" w:space="0"/>
            </w:tcBorders>
            <w:vAlign w:val="center"/>
          </w:tcPr>
          <w:p w14:paraId="5A1790BC">
            <w:pPr>
              <w:snapToGrid w:val="0"/>
              <w:spacing w:before="50" w:after="50"/>
              <w:jc w:val="center"/>
              <w:rPr>
                <w:rFonts w:ascii="宋体" w:hAnsi="宋体" w:cs="宋体"/>
                <w:color w:val="auto"/>
                <w:sz w:val="24"/>
                <w:highlight w:val="none"/>
              </w:rPr>
            </w:pPr>
          </w:p>
        </w:tc>
        <w:tc>
          <w:tcPr>
            <w:tcW w:w="897" w:type="pct"/>
            <w:tcBorders>
              <w:top w:val="single" w:color="auto" w:sz="4" w:space="0"/>
              <w:left w:val="single" w:color="auto" w:sz="4" w:space="0"/>
              <w:bottom w:val="single" w:color="auto" w:sz="4" w:space="0"/>
              <w:right w:val="single" w:color="auto" w:sz="4" w:space="0"/>
            </w:tcBorders>
            <w:vAlign w:val="center"/>
          </w:tcPr>
          <w:p w14:paraId="33FA79B9">
            <w:pPr>
              <w:snapToGrid w:val="0"/>
              <w:spacing w:before="50" w:after="50"/>
              <w:jc w:val="center"/>
              <w:rPr>
                <w:rFonts w:ascii="宋体" w:hAnsi="宋体" w:cs="宋体"/>
                <w:color w:val="auto"/>
                <w:sz w:val="24"/>
                <w:highlight w:val="none"/>
              </w:rPr>
            </w:pPr>
          </w:p>
        </w:tc>
      </w:tr>
      <w:tr w14:paraId="23F7F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599" w:type="pct"/>
            <w:tcBorders>
              <w:top w:val="single" w:color="auto" w:sz="4" w:space="0"/>
              <w:left w:val="single" w:color="auto" w:sz="4" w:space="0"/>
              <w:bottom w:val="single" w:color="auto" w:sz="4" w:space="0"/>
              <w:right w:val="single" w:color="auto" w:sz="4" w:space="0"/>
            </w:tcBorders>
            <w:vAlign w:val="center"/>
          </w:tcPr>
          <w:p w14:paraId="6B4EF059">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w:t>
            </w:r>
          </w:p>
        </w:tc>
        <w:tc>
          <w:tcPr>
            <w:tcW w:w="810" w:type="pct"/>
            <w:tcBorders>
              <w:top w:val="single" w:color="auto" w:sz="4" w:space="0"/>
              <w:left w:val="single" w:color="auto" w:sz="4" w:space="0"/>
              <w:bottom w:val="single" w:color="auto" w:sz="4" w:space="0"/>
              <w:right w:val="single" w:color="auto" w:sz="4" w:space="0"/>
            </w:tcBorders>
            <w:vAlign w:val="center"/>
          </w:tcPr>
          <w:p w14:paraId="2EC92D41">
            <w:pPr>
              <w:snapToGrid w:val="0"/>
              <w:spacing w:line="320" w:lineRule="exact"/>
              <w:jc w:val="center"/>
              <w:rPr>
                <w:rFonts w:ascii="宋体" w:hAnsi="宋体" w:cs="宋体"/>
                <w:color w:val="auto"/>
                <w:sz w:val="24"/>
                <w:highlight w:val="none"/>
              </w:rPr>
            </w:pPr>
          </w:p>
        </w:tc>
        <w:tc>
          <w:tcPr>
            <w:tcW w:w="589" w:type="pct"/>
            <w:tcBorders>
              <w:top w:val="single" w:color="auto" w:sz="4" w:space="0"/>
              <w:left w:val="single" w:color="auto" w:sz="4" w:space="0"/>
              <w:bottom w:val="single" w:color="auto" w:sz="4" w:space="0"/>
              <w:right w:val="single" w:color="auto" w:sz="4" w:space="0"/>
            </w:tcBorders>
          </w:tcPr>
          <w:p w14:paraId="7D2DAFE7">
            <w:pPr>
              <w:snapToGrid w:val="0"/>
              <w:spacing w:before="50" w:after="50"/>
              <w:jc w:val="center"/>
              <w:rPr>
                <w:rFonts w:ascii="宋体" w:hAnsi="宋体" w:cs="宋体"/>
                <w:color w:val="auto"/>
                <w:sz w:val="24"/>
                <w:highlight w:val="none"/>
              </w:rPr>
            </w:pPr>
          </w:p>
        </w:tc>
        <w:tc>
          <w:tcPr>
            <w:tcW w:w="530" w:type="pct"/>
            <w:tcBorders>
              <w:top w:val="single" w:color="auto" w:sz="4" w:space="0"/>
              <w:left w:val="single" w:color="auto" w:sz="4" w:space="0"/>
              <w:bottom w:val="single" w:color="auto" w:sz="4" w:space="0"/>
              <w:right w:val="single" w:color="auto" w:sz="4" w:space="0"/>
            </w:tcBorders>
            <w:vAlign w:val="center"/>
          </w:tcPr>
          <w:p w14:paraId="36C99266">
            <w:pPr>
              <w:snapToGrid w:val="0"/>
              <w:spacing w:before="50" w:after="50"/>
              <w:jc w:val="center"/>
              <w:rPr>
                <w:rFonts w:ascii="宋体" w:hAnsi="宋体" w:cs="宋体"/>
                <w:color w:val="auto"/>
                <w:sz w:val="24"/>
                <w:highlight w:val="none"/>
              </w:rPr>
            </w:pPr>
          </w:p>
        </w:tc>
        <w:tc>
          <w:tcPr>
            <w:tcW w:w="904" w:type="pct"/>
            <w:tcBorders>
              <w:top w:val="single" w:color="auto" w:sz="4" w:space="0"/>
              <w:left w:val="single" w:color="auto" w:sz="4" w:space="0"/>
              <w:bottom w:val="single" w:color="auto" w:sz="4" w:space="0"/>
              <w:right w:val="single" w:color="auto" w:sz="4" w:space="0"/>
            </w:tcBorders>
          </w:tcPr>
          <w:p w14:paraId="45DBC3E2">
            <w:pPr>
              <w:snapToGrid w:val="0"/>
              <w:spacing w:before="50" w:after="50"/>
              <w:jc w:val="center"/>
              <w:rPr>
                <w:rFonts w:ascii="宋体" w:hAnsi="宋体" w:cs="宋体"/>
                <w:color w:val="auto"/>
                <w:sz w:val="24"/>
                <w:highlight w:val="none"/>
              </w:rPr>
            </w:pPr>
          </w:p>
        </w:tc>
        <w:tc>
          <w:tcPr>
            <w:tcW w:w="295" w:type="pct"/>
            <w:tcBorders>
              <w:top w:val="single" w:color="auto" w:sz="4" w:space="0"/>
              <w:left w:val="single" w:color="auto" w:sz="4" w:space="0"/>
              <w:bottom w:val="single" w:color="auto" w:sz="4" w:space="0"/>
              <w:right w:val="single" w:color="auto" w:sz="4" w:space="0"/>
            </w:tcBorders>
            <w:vAlign w:val="center"/>
          </w:tcPr>
          <w:p w14:paraId="3E7C0C8F">
            <w:pPr>
              <w:snapToGrid w:val="0"/>
              <w:spacing w:before="50" w:after="50"/>
              <w:jc w:val="center"/>
              <w:rPr>
                <w:rFonts w:ascii="宋体" w:hAnsi="宋体" w:cs="宋体"/>
                <w:color w:val="auto"/>
                <w:sz w:val="24"/>
                <w:highlight w:val="none"/>
              </w:rPr>
            </w:pPr>
          </w:p>
        </w:tc>
        <w:tc>
          <w:tcPr>
            <w:tcW w:w="372" w:type="pct"/>
            <w:tcBorders>
              <w:top w:val="single" w:color="auto" w:sz="4" w:space="0"/>
              <w:left w:val="single" w:color="auto" w:sz="4" w:space="0"/>
              <w:bottom w:val="single" w:color="auto" w:sz="4" w:space="0"/>
              <w:right w:val="single" w:color="auto" w:sz="4" w:space="0"/>
            </w:tcBorders>
            <w:vAlign w:val="center"/>
          </w:tcPr>
          <w:p w14:paraId="0E58B90A">
            <w:pPr>
              <w:snapToGrid w:val="0"/>
              <w:spacing w:before="50" w:after="50"/>
              <w:jc w:val="center"/>
              <w:rPr>
                <w:rFonts w:ascii="宋体" w:hAnsi="宋体" w:cs="宋体"/>
                <w:color w:val="auto"/>
                <w:sz w:val="24"/>
                <w:highlight w:val="none"/>
              </w:rPr>
            </w:pPr>
          </w:p>
        </w:tc>
        <w:tc>
          <w:tcPr>
            <w:tcW w:w="897" w:type="pct"/>
            <w:tcBorders>
              <w:top w:val="single" w:color="auto" w:sz="4" w:space="0"/>
              <w:left w:val="single" w:color="auto" w:sz="4" w:space="0"/>
              <w:bottom w:val="single" w:color="auto" w:sz="4" w:space="0"/>
              <w:right w:val="single" w:color="auto" w:sz="4" w:space="0"/>
            </w:tcBorders>
            <w:vAlign w:val="center"/>
          </w:tcPr>
          <w:p w14:paraId="237F8A65">
            <w:pPr>
              <w:snapToGrid w:val="0"/>
              <w:spacing w:before="50" w:after="50"/>
              <w:jc w:val="center"/>
              <w:rPr>
                <w:rFonts w:ascii="宋体" w:hAnsi="宋体" w:cs="宋体"/>
                <w:color w:val="auto"/>
                <w:sz w:val="24"/>
                <w:highlight w:val="none"/>
              </w:rPr>
            </w:pPr>
          </w:p>
        </w:tc>
      </w:tr>
    </w:tbl>
    <w:p w14:paraId="3A8729E1">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备注：</w:t>
      </w:r>
    </w:p>
    <w:p w14:paraId="298B1025">
      <w:pPr>
        <w:spacing w:line="360" w:lineRule="auto"/>
        <w:ind w:firstLine="480" w:firstLineChars="200"/>
        <w:contextualSpacing/>
        <w:rPr>
          <w:rFonts w:ascii="宋体" w:hAnsi="宋体" w:cs="宋体"/>
          <w:b/>
          <w:color w:val="auto"/>
          <w:sz w:val="24"/>
          <w:highlight w:val="none"/>
        </w:rPr>
      </w:pPr>
      <w:r>
        <w:rPr>
          <w:rFonts w:hint="eastAsia" w:ascii="宋体" w:hAnsi="宋体" w:cs="宋体"/>
          <w:color w:val="auto"/>
          <w:sz w:val="24"/>
          <w:highlight w:val="none"/>
        </w:rPr>
        <w:t>以上设备性能配置清单中“货物名称、数量及单位、品牌、规格型号、制造商、产地、参数性能、指标及配置”必须如实填写完整，品牌、规格型号没有则填无</w:t>
      </w:r>
      <w:r>
        <w:rPr>
          <w:rFonts w:hint="eastAsia" w:ascii="宋体" w:hAnsi="宋体" w:cs="宋体"/>
          <w:b/>
          <w:color w:val="auto"/>
          <w:sz w:val="24"/>
          <w:highlight w:val="none"/>
        </w:rPr>
        <w:t>。</w:t>
      </w:r>
    </w:p>
    <w:p w14:paraId="29071048">
      <w:pPr>
        <w:spacing w:line="360" w:lineRule="auto"/>
        <w:ind w:firstLine="480" w:firstLineChars="200"/>
        <w:contextualSpacing/>
        <w:rPr>
          <w:rFonts w:ascii="宋体" w:hAnsi="宋体" w:cs="宋体"/>
          <w:color w:val="auto"/>
          <w:sz w:val="24"/>
          <w:highlight w:val="none"/>
        </w:rPr>
      </w:pPr>
    </w:p>
    <w:p w14:paraId="489BF8D0">
      <w:pPr>
        <w:spacing w:line="360" w:lineRule="auto"/>
        <w:contextualSpacing/>
        <w:rPr>
          <w:rFonts w:ascii="宋体" w:hAnsi="宋体" w:cs="宋体"/>
          <w:color w:val="auto"/>
          <w:spacing w:val="20"/>
          <w:sz w:val="24"/>
          <w:highlight w:val="none"/>
          <w:u w:val="single"/>
        </w:rPr>
      </w:pPr>
      <w:r>
        <w:rPr>
          <w:rFonts w:hint="eastAsia" w:ascii="宋体" w:hAnsi="宋体" w:cs="宋体"/>
          <w:color w:val="auto"/>
          <w:sz w:val="24"/>
          <w:highlight w:val="none"/>
        </w:rPr>
        <w:t>法定代表人或者委托代理人</w:t>
      </w:r>
      <w:r>
        <w:rPr>
          <w:rFonts w:hint="eastAsia" w:ascii="宋体" w:hAnsi="宋体" w:cs="宋体"/>
          <w:color w:val="auto"/>
          <w:spacing w:val="20"/>
          <w:sz w:val="24"/>
          <w:highlight w:val="none"/>
        </w:rPr>
        <w:t>（签字或者电子签名）：</w:t>
      </w:r>
    </w:p>
    <w:p w14:paraId="2C58A3A9">
      <w:pPr>
        <w:spacing w:line="360" w:lineRule="auto"/>
        <w:contextualSpacing/>
        <w:rPr>
          <w:rFonts w:ascii="宋体" w:hAnsi="宋体" w:cs="宋体"/>
          <w:color w:val="auto"/>
          <w:spacing w:val="20"/>
          <w:sz w:val="24"/>
          <w:highlight w:val="none"/>
        </w:rPr>
      </w:pPr>
      <w:r>
        <w:rPr>
          <w:rFonts w:hint="eastAsia" w:ascii="宋体" w:hAnsi="宋体" w:cs="宋体"/>
          <w:color w:val="auto"/>
          <w:spacing w:val="20"/>
          <w:sz w:val="24"/>
          <w:highlight w:val="none"/>
        </w:rPr>
        <w:t>投标人名称（电子签章）：</w:t>
      </w:r>
    </w:p>
    <w:p w14:paraId="69ED947C">
      <w:pPr>
        <w:spacing w:line="360" w:lineRule="auto"/>
        <w:contextualSpacing/>
        <w:rPr>
          <w:rFonts w:ascii="宋体" w:hAnsi="宋体" w:cs="宋体"/>
          <w:color w:val="auto"/>
          <w:sz w:val="24"/>
          <w:szCs w:val="20"/>
          <w:highlight w:val="none"/>
        </w:rPr>
      </w:pPr>
      <w:r>
        <w:rPr>
          <w:rFonts w:hint="eastAsia" w:ascii="宋体" w:hAnsi="宋体" w:cs="宋体"/>
          <w:color w:val="auto"/>
          <w:spacing w:val="20"/>
          <w:sz w:val="24"/>
          <w:highlight w:val="none"/>
        </w:rPr>
        <w:t>日  期：</w:t>
      </w:r>
    </w:p>
    <w:p w14:paraId="567D14B5">
      <w:pPr>
        <w:snapToGrid w:val="0"/>
        <w:spacing w:before="50" w:after="120" w:afterLines="50"/>
        <w:jc w:val="left"/>
        <w:rPr>
          <w:rFonts w:ascii="宋体" w:hAnsi="宋体" w:cs="宋体"/>
          <w:color w:val="auto"/>
          <w:sz w:val="24"/>
          <w:szCs w:val="20"/>
          <w:highlight w:val="none"/>
        </w:rPr>
      </w:pPr>
    </w:p>
    <w:p w14:paraId="22AB778E">
      <w:pPr>
        <w:snapToGrid w:val="0"/>
        <w:spacing w:before="50" w:after="120" w:afterLines="50"/>
        <w:jc w:val="left"/>
        <w:rPr>
          <w:rFonts w:ascii="宋体" w:hAnsi="宋体" w:cs="宋体"/>
          <w:color w:val="auto"/>
          <w:sz w:val="24"/>
          <w:szCs w:val="20"/>
          <w:highlight w:val="none"/>
        </w:rPr>
      </w:pPr>
    </w:p>
    <w:p w14:paraId="6A262B67">
      <w:pPr>
        <w:pStyle w:val="19"/>
        <w:rPr>
          <w:rFonts w:ascii="宋体" w:hAnsi="宋体" w:cs="宋体"/>
          <w:color w:val="auto"/>
          <w:szCs w:val="20"/>
          <w:highlight w:val="none"/>
        </w:rPr>
      </w:pPr>
    </w:p>
    <w:p w14:paraId="58D36B54">
      <w:pPr>
        <w:pStyle w:val="19"/>
        <w:rPr>
          <w:rFonts w:ascii="宋体" w:hAnsi="宋体" w:cs="宋体"/>
          <w:color w:val="auto"/>
          <w:szCs w:val="20"/>
          <w:highlight w:val="none"/>
        </w:rPr>
      </w:pPr>
    </w:p>
    <w:p w14:paraId="5F22A275">
      <w:pPr>
        <w:pStyle w:val="19"/>
        <w:rPr>
          <w:rFonts w:ascii="宋体" w:hAnsi="宋体" w:cs="宋体"/>
          <w:color w:val="auto"/>
          <w:szCs w:val="20"/>
          <w:highlight w:val="none"/>
        </w:rPr>
      </w:pPr>
    </w:p>
    <w:p w14:paraId="61E18BCF">
      <w:pPr>
        <w:pStyle w:val="19"/>
        <w:rPr>
          <w:rFonts w:ascii="宋体" w:hAnsi="宋体" w:cs="宋体"/>
          <w:color w:val="auto"/>
          <w:szCs w:val="20"/>
          <w:highlight w:val="none"/>
        </w:rPr>
      </w:pPr>
    </w:p>
    <w:p w14:paraId="6E73318C">
      <w:pPr>
        <w:pStyle w:val="19"/>
        <w:rPr>
          <w:rFonts w:ascii="宋体" w:hAnsi="宋体" w:cs="宋体"/>
          <w:color w:val="auto"/>
          <w:szCs w:val="20"/>
          <w:highlight w:val="none"/>
        </w:rPr>
      </w:pPr>
    </w:p>
    <w:p w14:paraId="58BDF56A">
      <w:pPr>
        <w:pStyle w:val="19"/>
        <w:rPr>
          <w:rFonts w:ascii="宋体" w:hAnsi="宋体" w:cs="宋体"/>
          <w:color w:val="auto"/>
          <w:szCs w:val="20"/>
          <w:highlight w:val="none"/>
        </w:rPr>
      </w:pPr>
    </w:p>
    <w:p w14:paraId="220B8072">
      <w:pPr>
        <w:pStyle w:val="19"/>
        <w:rPr>
          <w:rFonts w:ascii="宋体" w:hAnsi="宋体" w:cs="宋体"/>
          <w:color w:val="auto"/>
          <w:szCs w:val="20"/>
          <w:highlight w:val="none"/>
        </w:rPr>
      </w:pPr>
    </w:p>
    <w:p w14:paraId="0CB2BDE2">
      <w:pPr>
        <w:pStyle w:val="19"/>
        <w:rPr>
          <w:rFonts w:ascii="宋体" w:hAnsi="宋体" w:cs="宋体"/>
          <w:color w:val="auto"/>
          <w:szCs w:val="20"/>
          <w:highlight w:val="none"/>
        </w:rPr>
      </w:pPr>
    </w:p>
    <w:p w14:paraId="19B79BDC">
      <w:pPr>
        <w:pStyle w:val="19"/>
        <w:rPr>
          <w:rFonts w:ascii="宋体" w:hAnsi="宋体" w:cs="宋体"/>
          <w:color w:val="auto"/>
          <w:szCs w:val="20"/>
          <w:highlight w:val="none"/>
        </w:rPr>
      </w:pPr>
    </w:p>
    <w:p w14:paraId="6DB268E5">
      <w:pPr>
        <w:pStyle w:val="19"/>
        <w:rPr>
          <w:rFonts w:ascii="宋体" w:hAnsi="宋体" w:cs="宋体"/>
          <w:color w:val="auto"/>
          <w:highlight w:val="none"/>
        </w:rPr>
      </w:pPr>
    </w:p>
    <w:p w14:paraId="42AC1BF0">
      <w:pPr>
        <w:rPr>
          <w:rFonts w:ascii="宋体" w:hAnsi="宋体" w:cs="宋体"/>
          <w:color w:val="auto"/>
          <w:highlight w:val="none"/>
        </w:rPr>
      </w:pPr>
    </w:p>
    <w:p w14:paraId="1D96C956">
      <w:pPr>
        <w:pStyle w:val="19"/>
        <w:rPr>
          <w:rFonts w:ascii="宋体" w:hAnsi="宋体" w:cs="宋体"/>
          <w:color w:val="auto"/>
          <w:highlight w:val="none"/>
        </w:rPr>
      </w:pPr>
    </w:p>
    <w:p w14:paraId="4F7205DE">
      <w:pPr>
        <w:rPr>
          <w:rFonts w:ascii="宋体" w:hAnsi="宋体" w:cs="宋体"/>
          <w:color w:val="auto"/>
          <w:highlight w:val="none"/>
        </w:rPr>
      </w:pPr>
    </w:p>
    <w:p w14:paraId="2C47E628">
      <w:pPr>
        <w:pStyle w:val="46"/>
        <w:ind w:firstLine="640"/>
        <w:rPr>
          <w:color w:val="auto"/>
          <w:highlight w:val="none"/>
        </w:rPr>
      </w:pPr>
    </w:p>
    <w:p w14:paraId="5B4B1193">
      <w:pPr>
        <w:snapToGrid w:val="0"/>
        <w:spacing w:before="120"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t>项目实施人员一览表</w:t>
      </w:r>
    </w:p>
    <w:p w14:paraId="319A8C7E">
      <w:pPr>
        <w:snapToGrid w:val="0"/>
        <w:spacing w:before="120"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项目实施人员一览表</w:t>
      </w:r>
    </w:p>
    <w:p w14:paraId="44C45161">
      <w:pPr>
        <w:snapToGrid w:val="0"/>
        <w:spacing w:before="120" w:beforeLines="50" w:after="50"/>
        <w:ind w:left="142"/>
        <w:jc w:val="left"/>
        <w:rPr>
          <w:rFonts w:ascii="宋体" w:hAnsi="宋体" w:cs="宋体"/>
          <w:b/>
          <w:color w:val="auto"/>
          <w:sz w:val="32"/>
          <w:szCs w:val="32"/>
          <w:highlight w:val="none"/>
        </w:rPr>
      </w:pPr>
      <w:r>
        <w:rPr>
          <w:rFonts w:hint="eastAsia" w:ascii="宋体" w:hAnsi="宋体" w:cs="宋体"/>
          <w:color w:val="auto"/>
          <w:sz w:val="24"/>
          <w:szCs w:val="21"/>
          <w:highlight w:val="none"/>
        </w:rPr>
        <w:t>分标</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26A98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AB7FB78">
            <w:pPr>
              <w:snapToGrid w:val="0"/>
              <w:spacing w:before="50" w:after="12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姓名</w:t>
            </w:r>
          </w:p>
        </w:tc>
        <w:tc>
          <w:tcPr>
            <w:tcW w:w="709" w:type="dxa"/>
            <w:vAlign w:val="center"/>
          </w:tcPr>
          <w:p w14:paraId="290DC79D">
            <w:pPr>
              <w:snapToGrid w:val="0"/>
              <w:spacing w:before="50" w:after="12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职务</w:t>
            </w:r>
          </w:p>
        </w:tc>
        <w:tc>
          <w:tcPr>
            <w:tcW w:w="1701" w:type="dxa"/>
            <w:vAlign w:val="center"/>
          </w:tcPr>
          <w:p w14:paraId="661FC8AD">
            <w:pPr>
              <w:snapToGrid w:val="0"/>
              <w:spacing w:before="50" w:after="12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专业技术资格（职称）或者职业资格或者执业资格证或者其他证书</w:t>
            </w:r>
          </w:p>
        </w:tc>
        <w:tc>
          <w:tcPr>
            <w:tcW w:w="1420" w:type="dxa"/>
            <w:vAlign w:val="center"/>
          </w:tcPr>
          <w:p w14:paraId="2D9FA34C">
            <w:pPr>
              <w:snapToGrid w:val="0"/>
              <w:spacing w:before="50" w:after="12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证书编号</w:t>
            </w:r>
          </w:p>
        </w:tc>
        <w:tc>
          <w:tcPr>
            <w:tcW w:w="1698" w:type="dxa"/>
            <w:vAlign w:val="center"/>
          </w:tcPr>
          <w:p w14:paraId="49AB2167">
            <w:pPr>
              <w:snapToGrid w:val="0"/>
              <w:spacing w:before="50" w:after="12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参加本单位</w:t>
            </w:r>
          </w:p>
          <w:p w14:paraId="6BB2F8B9">
            <w:pPr>
              <w:snapToGrid w:val="0"/>
              <w:spacing w:before="50" w:after="12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工作时间</w:t>
            </w:r>
          </w:p>
        </w:tc>
        <w:tc>
          <w:tcPr>
            <w:tcW w:w="1843" w:type="dxa"/>
            <w:vAlign w:val="center"/>
          </w:tcPr>
          <w:p w14:paraId="2A4CC701">
            <w:pPr>
              <w:snapToGrid w:val="0"/>
              <w:spacing w:before="50" w:after="12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劳动合同编号</w:t>
            </w:r>
          </w:p>
        </w:tc>
      </w:tr>
      <w:tr w14:paraId="130E0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1A6BE94">
            <w:pPr>
              <w:snapToGrid w:val="0"/>
              <w:spacing w:before="50" w:after="120" w:afterLines="50"/>
              <w:jc w:val="center"/>
              <w:rPr>
                <w:rFonts w:ascii="宋体" w:hAnsi="宋体" w:cs="宋体"/>
                <w:color w:val="auto"/>
                <w:sz w:val="24"/>
                <w:szCs w:val="20"/>
                <w:highlight w:val="none"/>
              </w:rPr>
            </w:pPr>
          </w:p>
        </w:tc>
        <w:tc>
          <w:tcPr>
            <w:tcW w:w="709" w:type="dxa"/>
            <w:vAlign w:val="center"/>
          </w:tcPr>
          <w:p w14:paraId="128E11D1">
            <w:pPr>
              <w:snapToGrid w:val="0"/>
              <w:spacing w:before="50" w:after="120" w:afterLines="50"/>
              <w:jc w:val="center"/>
              <w:rPr>
                <w:rFonts w:ascii="宋体" w:hAnsi="宋体" w:cs="宋体"/>
                <w:color w:val="auto"/>
                <w:sz w:val="24"/>
                <w:szCs w:val="20"/>
                <w:highlight w:val="none"/>
              </w:rPr>
            </w:pPr>
          </w:p>
        </w:tc>
        <w:tc>
          <w:tcPr>
            <w:tcW w:w="1701" w:type="dxa"/>
            <w:vAlign w:val="center"/>
          </w:tcPr>
          <w:p w14:paraId="590F4995">
            <w:pPr>
              <w:snapToGrid w:val="0"/>
              <w:spacing w:before="50" w:after="120" w:afterLines="50"/>
              <w:jc w:val="center"/>
              <w:rPr>
                <w:rFonts w:ascii="宋体" w:hAnsi="宋体" w:cs="宋体"/>
                <w:color w:val="auto"/>
                <w:sz w:val="24"/>
                <w:szCs w:val="20"/>
                <w:highlight w:val="none"/>
              </w:rPr>
            </w:pPr>
          </w:p>
        </w:tc>
        <w:tc>
          <w:tcPr>
            <w:tcW w:w="1420" w:type="dxa"/>
            <w:vAlign w:val="center"/>
          </w:tcPr>
          <w:p w14:paraId="4125932A">
            <w:pPr>
              <w:snapToGrid w:val="0"/>
              <w:spacing w:before="50" w:after="120" w:afterLines="50"/>
              <w:jc w:val="center"/>
              <w:rPr>
                <w:rFonts w:ascii="宋体" w:hAnsi="宋体" w:cs="宋体"/>
                <w:color w:val="auto"/>
                <w:sz w:val="24"/>
                <w:szCs w:val="20"/>
                <w:highlight w:val="none"/>
              </w:rPr>
            </w:pPr>
          </w:p>
        </w:tc>
        <w:tc>
          <w:tcPr>
            <w:tcW w:w="1698" w:type="dxa"/>
            <w:vAlign w:val="center"/>
          </w:tcPr>
          <w:p w14:paraId="24ABB7C5">
            <w:pPr>
              <w:snapToGrid w:val="0"/>
              <w:spacing w:before="50" w:after="120" w:afterLines="50"/>
              <w:jc w:val="center"/>
              <w:rPr>
                <w:rFonts w:ascii="宋体" w:hAnsi="宋体" w:cs="宋体"/>
                <w:color w:val="auto"/>
                <w:sz w:val="24"/>
                <w:szCs w:val="20"/>
                <w:highlight w:val="none"/>
              </w:rPr>
            </w:pPr>
          </w:p>
        </w:tc>
        <w:tc>
          <w:tcPr>
            <w:tcW w:w="1843" w:type="dxa"/>
            <w:vAlign w:val="center"/>
          </w:tcPr>
          <w:p w14:paraId="50504224">
            <w:pPr>
              <w:snapToGrid w:val="0"/>
              <w:spacing w:before="50" w:after="120" w:afterLines="50"/>
              <w:jc w:val="center"/>
              <w:rPr>
                <w:rFonts w:ascii="宋体" w:hAnsi="宋体" w:cs="宋体"/>
                <w:color w:val="auto"/>
                <w:sz w:val="24"/>
                <w:szCs w:val="20"/>
                <w:highlight w:val="none"/>
              </w:rPr>
            </w:pPr>
          </w:p>
        </w:tc>
      </w:tr>
      <w:tr w14:paraId="0361C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33F2FC1">
            <w:pPr>
              <w:snapToGrid w:val="0"/>
              <w:spacing w:before="50" w:after="120" w:afterLines="50"/>
              <w:jc w:val="center"/>
              <w:rPr>
                <w:rFonts w:ascii="宋体" w:hAnsi="宋体" w:cs="宋体"/>
                <w:color w:val="auto"/>
                <w:sz w:val="24"/>
                <w:szCs w:val="20"/>
                <w:highlight w:val="none"/>
              </w:rPr>
            </w:pPr>
          </w:p>
        </w:tc>
        <w:tc>
          <w:tcPr>
            <w:tcW w:w="709" w:type="dxa"/>
            <w:vAlign w:val="center"/>
          </w:tcPr>
          <w:p w14:paraId="7A8879F0">
            <w:pPr>
              <w:snapToGrid w:val="0"/>
              <w:spacing w:before="50" w:after="120" w:afterLines="50"/>
              <w:jc w:val="center"/>
              <w:rPr>
                <w:rFonts w:ascii="宋体" w:hAnsi="宋体" w:cs="宋体"/>
                <w:color w:val="auto"/>
                <w:sz w:val="24"/>
                <w:szCs w:val="20"/>
                <w:highlight w:val="none"/>
              </w:rPr>
            </w:pPr>
          </w:p>
        </w:tc>
        <w:tc>
          <w:tcPr>
            <w:tcW w:w="1701" w:type="dxa"/>
            <w:vAlign w:val="center"/>
          </w:tcPr>
          <w:p w14:paraId="714B998F">
            <w:pPr>
              <w:snapToGrid w:val="0"/>
              <w:spacing w:before="50" w:after="120" w:afterLines="50"/>
              <w:jc w:val="center"/>
              <w:rPr>
                <w:rFonts w:ascii="宋体" w:hAnsi="宋体" w:cs="宋体"/>
                <w:color w:val="auto"/>
                <w:sz w:val="24"/>
                <w:szCs w:val="20"/>
                <w:highlight w:val="none"/>
              </w:rPr>
            </w:pPr>
          </w:p>
        </w:tc>
        <w:tc>
          <w:tcPr>
            <w:tcW w:w="1420" w:type="dxa"/>
            <w:vAlign w:val="center"/>
          </w:tcPr>
          <w:p w14:paraId="09AB8BDE">
            <w:pPr>
              <w:snapToGrid w:val="0"/>
              <w:spacing w:before="50" w:after="120" w:afterLines="50"/>
              <w:jc w:val="center"/>
              <w:rPr>
                <w:rFonts w:ascii="宋体" w:hAnsi="宋体" w:cs="宋体"/>
                <w:color w:val="auto"/>
                <w:sz w:val="24"/>
                <w:szCs w:val="20"/>
                <w:highlight w:val="none"/>
              </w:rPr>
            </w:pPr>
          </w:p>
        </w:tc>
        <w:tc>
          <w:tcPr>
            <w:tcW w:w="1698" w:type="dxa"/>
            <w:vAlign w:val="center"/>
          </w:tcPr>
          <w:p w14:paraId="7B7EE89E">
            <w:pPr>
              <w:snapToGrid w:val="0"/>
              <w:spacing w:before="50" w:after="120" w:afterLines="50"/>
              <w:jc w:val="center"/>
              <w:rPr>
                <w:rFonts w:ascii="宋体" w:hAnsi="宋体" w:cs="宋体"/>
                <w:color w:val="auto"/>
                <w:sz w:val="24"/>
                <w:szCs w:val="20"/>
                <w:highlight w:val="none"/>
              </w:rPr>
            </w:pPr>
          </w:p>
        </w:tc>
        <w:tc>
          <w:tcPr>
            <w:tcW w:w="1843" w:type="dxa"/>
            <w:vAlign w:val="center"/>
          </w:tcPr>
          <w:p w14:paraId="568C503F">
            <w:pPr>
              <w:snapToGrid w:val="0"/>
              <w:spacing w:before="50" w:after="120" w:afterLines="50"/>
              <w:jc w:val="center"/>
              <w:rPr>
                <w:rFonts w:ascii="宋体" w:hAnsi="宋体" w:cs="宋体"/>
                <w:color w:val="auto"/>
                <w:sz w:val="24"/>
                <w:szCs w:val="20"/>
                <w:highlight w:val="none"/>
              </w:rPr>
            </w:pPr>
          </w:p>
        </w:tc>
      </w:tr>
      <w:tr w14:paraId="0A03B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08A04BE">
            <w:pPr>
              <w:snapToGrid w:val="0"/>
              <w:spacing w:before="50" w:after="120" w:afterLines="50"/>
              <w:jc w:val="center"/>
              <w:rPr>
                <w:rFonts w:ascii="宋体" w:hAnsi="宋体" w:cs="宋体"/>
                <w:color w:val="auto"/>
                <w:sz w:val="24"/>
                <w:szCs w:val="20"/>
                <w:highlight w:val="none"/>
              </w:rPr>
            </w:pPr>
          </w:p>
        </w:tc>
        <w:tc>
          <w:tcPr>
            <w:tcW w:w="709" w:type="dxa"/>
            <w:vAlign w:val="center"/>
          </w:tcPr>
          <w:p w14:paraId="07109FA0">
            <w:pPr>
              <w:snapToGrid w:val="0"/>
              <w:spacing w:before="50" w:after="120" w:afterLines="50"/>
              <w:jc w:val="center"/>
              <w:rPr>
                <w:rFonts w:ascii="宋体" w:hAnsi="宋体" w:cs="宋体"/>
                <w:color w:val="auto"/>
                <w:sz w:val="24"/>
                <w:szCs w:val="20"/>
                <w:highlight w:val="none"/>
              </w:rPr>
            </w:pPr>
          </w:p>
        </w:tc>
        <w:tc>
          <w:tcPr>
            <w:tcW w:w="1701" w:type="dxa"/>
            <w:vAlign w:val="center"/>
          </w:tcPr>
          <w:p w14:paraId="12DD578C">
            <w:pPr>
              <w:snapToGrid w:val="0"/>
              <w:spacing w:before="50" w:after="120" w:afterLines="50"/>
              <w:jc w:val="center"/>
              <w:rPr>
                <w:rFonts w:ascii="宋体" w:hAnsi="宋体" w:cs="宋体"/>
                <w:color w:val="auto"/>
                <w:sz w:val="24"/>
                <w:szCs w:val="20"/>
                <w:highlight w:val="none"/>
              </w:rPr>
            </w:pPr>
          </w:p>
        </w:tc>
        <w:tc>
          <w:tcPr>
            <w:tcW w:w="1420" w:type="dxa"/>
            <w:vAlign w:val="center"/>
          </w:tcPr>
          <w:p w14:paraId="2368AF8A">
            <w:pPr>
              <w:snapToGrid w:val="0"/>
              <w:spacing w:before="50" w:after="120" w:afterLines="50"/>
              <w:jc w:val="center"/>
              <w:rPr>
                <w:rFonts w:ascii="宋体" w:hAnsi="宋体" w:cs="宋体"/>
                <w:color w:val="auto"/>
                <w:sz w:val="24"/>
                <w:szCs w:val="20"/>
                <w:highlight w:val="none"/>
              </w:rPr>
            </w:pPr>
          </w:p>
        </w:tc>
        <w:tc>
          <w:tcPr>
            <w:tcW w:w="1698" w:type="dxa"/>
            <w:vAlign w:val="center"/>
          </w:tcPr>
          <w:p w14:paraId="521F2C68">
            <w:pPr>
              <w:snapToGrid w:val="0"/>
              <w:spacing w:before="50" w:after="120" w:afterLines="50"/>
              <w:jc w:val="center"/>
              <w:rPr>
                <w:rFonts w:ascii="宋体" w:hAnsi="宋体" w:cs="宋体"/>
                <w:color w:val="auto"/>
                <w:sz w:val="24"/>
                <w:szCs w:val="20"/>
                <w:highlight w:val="none"/>
              </w:rPr>
            </w:pPr>
          </w:p>
        </w:tc>
        <w:tc>
          <w:tcPr>
            <w:tcW w:w="1843" w:type="dxa"/>
            <w:vAlign w:val="center"/>
          </w:tcPr>
          <w:p w14:paraId="4F057B2F">
            <w:pPr>
              <w:snapToGrid w:val="0"/>
              <w:spacing w:before="50" w:after="120" w:afterLines="50"/>
              <w:jc w:val="center"/>
              <w:rPr>
                <w:rFonts w:ascii="宋体" w:hAnsi="宋体" w:cs="宋体"/>
                <w:color w:val="auto"/>
                <w:sz w:val="24"/>
                <w:szCs w:val="20"/>
                <w:highlight w:val="none"/>
              </w:rPr>
            </w:pPr>
          </w:p>
        </w:tc>
      </w:tr>
    </w:tbl>
    <w:p w14:paraId="31C42BC8">
      <w:pPr>
        <w:snapToGrid w:val="0"/>
        <w:spacing w:before="50" w:after="120" w:afterLines="50"/>
        <w:jc w:val="left"/>
        <w:rPr>
          <w:rFonts w:ascii="宋体" w:hAnsi="宋体" w:cs="宋体"/>
          <w:color w:val="auto"/>
          <w:sz w:val="24"/>
          <w:szCs w:val="20"/>
          <w:highlight w:val="none"/>
        </w:rPr>
      </w:pPr>
    </w:p>
    <w:p w14:paraId="4874B152">
      <w:pPr>
        <w:spacing w:line="360" w:lineRule="auto"/>
        <w:contextualSpacing/>
        <w:jc w:val="left"/>
        <w:rPr>
          <w:rFonts w:ascii="宋体" w:hAnsi="宋体" w:cs="宋体"/>
          <w:color w:val="auto"/>
          <w:sz w:val="24"/>
          <w:szCs w:val="20"/>
          <w:highlight w:val="none"/>
        </w:rPr>
      </w:pPr>
      <w:r>
        <w:rPr>
          <w:rFonts w:hint="eastAsia" w:ascii="宋体" w:hAnsi="宋体" w:cs="宋体"/>
          <w:color w:val="auto"/>
          <w:sz w:val="24"/>
          <w:szCs w:val="20"/>
          <w:highlight w:val="none"/>
        </w:rPr>
        <w:t>注：</w:t>
      </w:r>
    </w:p>
    <w:p w14:paraId="169B1AFB">
      <w:pPr>
        <w:spacing w:line="360" w:lineRule="auto"/>
        <w:contextualSpacing/>
        <w:jc w:val="left"/>
        <w:rPr>
          <w:rFonts w:ascii="宋体" w:hAnsi="宋体" w:cs="宋体"/>
          <w:color w:val="auto"/>
          <w:sz w:val="24"/>
          <w:szCs w:val="20"/>
          <w:highlight w:val="none"/>
        </w:rPr>
      </w:pPr>
      <w:r>
        <w:rPr>
          <w:rFonts w:hint="eastAsia" w:ascii="宋体" w:hAnsi="宋体" w:cs="宋体"/>
          <w:color w:val="auto"/>
          <w:sz w:val="24"/>
          <w:szCs w:val="20"/>
          <w:highlight w:val="none"/>
        </w:rPr>
        <w:t>1.在填写时，如本表格不适合投标单位的实际情况，可根据本表格式自行制表填写。</w:t>
      </w:r>
    </w:p>
    <w:p w14:paraId="06A593A6">
      <w:pPr>
        <w:spacing w:line="360" w:lineRule="auto"/>
        <w:contextualSpacing/>
        <w:jc w:val="left"/>
        <w:rPr>
          <w:rFonts w:ascii="宋体" w:hAnsi="宋体" w:cs="宋体"/>
          <w:color w:val="auto"/>
          <w:sz w:val="24"/>
          <w:szCs w:val="20"/>
          <w:highlight w:val="none"/>
        </w:rPr>
      </w:pPr>
      <w:r>
        <w:rPr>
          <w:rFonts w:hint="eastAsia" w:ascii="宋体" w:hAnsi="宋体" w:cs="宋体"/>
          <w:color w:val="auto"/>
          <w:sz w:val="24"/>
          <w:szCs w:val="20"/>
          <w:highlight w:val="none"/>
        </w:rPr>
        <w:t>2.投标人应当附本表所列证书的复印件并加盖供应商CA电子签章。</w:t>
      </w:r>
    </w:p>
    <w:p w14:paraId="21AA5991">
      <w:pPr>
        <w:spacing w:line="360" w:lineRule="auto"/>
        <w:contextualSpacing/>
        <w:jc w:val="left"/>
        <w:rPr>
          <w:rFonts w:ascii="宋体" w:hAnsi="宋体" w:cs="宋体"/>
          <w:color w:val="auto"/>
          <w:sz w:val="24"/>
          <w:szCs w:val="20"/>
          <w:highlight w:val="none"/>
        </w:rPr>
      </w:pPr>
    </w:p>
    <w:p w14:paraId="6CD9EECA">
      <w:pPr>
        <w:spacing w:line="360" w:lineRule="auto"/>
        <w:contextualSpacing/>
        <w:jc w:val="left"/>
        <w:rPr>
          <w:rFonts w:ascii="宋体" w:hAnsi="宋体" w:cs="宋体"/>
          <w:color w:val="auto"/>
          <w:sz w:val="24"/>
          <w:szCs w:val="20"/>
          <w:highlight w:val="none"/>
        </w:rPr>
      </w:pPr>
    </w:p>
    <w:p w14:paraId="49122FD0">
      <w:pPr>
        <w:spacing w:line="360" w:lineRule="auto"/>
        <w:contextualSpacing/>
        <w:rPr>
          <w:rFonts w:ascii="宋体" w:hAnsi="宋体" w:cs="宋体"/>
          <w:color w:val="auto"/>
          <w:spacing w:val="20"/>
          <w:sz w:val="24"/>
          <w:szCs w:val="20"/>
          <w:highlight w:val="none"/>
          <w:u w:val="single"/>
        </w:rPr>
      </w:pPr>
      <w:r>
        <w:rPr>
          <w:rFonts w:hint="eastAsia" w:ascii="宋体" w:hAnsi="宋体" w:cs="宋体"/>
          <w:color w:val="auto"/>
          <w:sz w:val="24"/>
          <w:highlight w:val="none"/>
        </w:rPr>
        <w:t>法定代表人或者委托代理人</w:t>
      </w:r>
      <w:r>
        <w:rPr>
          <w:rFonts w:hint="eastAsia" w:ascii="宋体" w:hAnsi="宋体" w:cs="宋体"/>
          <w:color w:val="auto"/>
          <w:spacing w:val="20"/>
          <w:sz w:val="24"/>
          <w:highlight w:val="none"/>
        </w:rPr>
        <w:t>（签字或者电子签名）：</w:t>
      </w:r>
    </w:p>
    <w:p w14:paraId="37716FD9">
      <w:pPr>
        <w:spacing w:line="360" w:lineRule="auto"/>
        <w:contextualSpacing/>
        <w:jc w:val="left"/>
        <w:rPr>
          <w:rFonts w:ascii="宋体" w:hAnsi="宋体" w:cs="宋体"/>
          <w:color w:val="auto"/>
          <w:spacing w:val="20"/>
          <w:sz w:val="24"/>
          <w:highlight w:val="none"/>
        </w:rPr>
      </w:pPr>
      <w:r>
        <w:rPr>
          <w:rFonts w:hint="eastAsia" w:ascii="宋体" w:hAnsi="宋体" w:cs="宋体"/>
          <w:color w:val="auto"/>
          <w:spacing w:val="20"/>
          <w:sz w:val="24"/>
          <w:highlight w:val="none"/>
        </w:rPr>
        <w:t>投标人名称（电子签章）：</w:t>
      </w:r>
    </w:p>
    <w:p w14:paraId="6FB37D79">
      <w:pPr>
        <w:spacing w:line="360" w:lineRule="auto"/>
        <w:contextualSpacing/>
        <w:jc w:val="left"/>
        <w:rPr>
          <w:rFonts w:ascii="宋体" w:hAnsi="宋体" w:cs="宋体"/>
          <w:color w:val="auto"/>
          <w:sz w:val="24"/>
          <w:szCs w:val="20"/>
          <w:highlight w:val="none"/>
        </w:rPr>
      </w:pPr>
      <w:r>
        <w:rPr>
          <w:rFonts w:hint="eastAsia" w:ascii="宋体" w:hAnsi="宋体" w:cs="宋体"/>
          <w:color w:val="auto"/>
          <w:spacing w:val="20"/>
          <w:sz w:val="24"/>
          <w:highlight w:val="none"/>
        </w:rPr>
        <w:t>日 期：</w:t>
      </w:r>
    </w:p>
    <w:p w14:paraId="03DCC268">
      <w:pPr>
        <w:snapToGrid w:val="0"/>
        <w:spacing w:before="50" w:after="120" w:afterLines="50"/>
        <w:jc w:val="left"/>
        <w:rPr>
          <w:rFonts w:ascii="宋体" w:hAnsi="宋体" w:cs="宋体"/>
          <w:color w:val="auto"/>
          <w:sz w:val="24"/>
          <w:szCs w:val="20"/>
          <w:highlight w:val="none"/>
        </w:rPr>
      </w:pPr>
    </w:p>
    <w:p w14:paraId="1093511E">
      <w:pPr>
        <w:snapToGrid w:val="0"/>
        <w:spacing w:before="120"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选配件、专用耗材、售后服务优惠表</w:t>
      </w:r>
    </w:p>
    <w:p w14:paraId="5F1A339D">
      <w:pPr>
        <w:snapToGrid w:val="0"/>
        <w:spacing w:before="120" w:beforeLines="50" w:after="50"/>
        <w:ind w:left="142"/>
        <w:jc w:val="left"/>
        <w:rPr>
          <w:rFonts w:ascii="宋体" w:hAnsi="宋体" w:cs="宋体"/>
          <w:b/>
          <w:color w:val="auto"/>
          <w:sz w:val="24"/>
          <w:highlight w:val="none"/>
        </w:rPr>
      </w:pPr>
    </w:p>
    <w:p w14:paraId="396603BD">
      <w:pPr>
        <w:snapToGrid w:val="0"/>
        <w:spacing w:before="120"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选配件、专用耗材、售后服务优惠表</w:t>
      </w:r>
    </w:p>
    <w:p w14:paraId="0E124DBC">
      <w:pPr>
        <w:snapToGrid w:val="0"/>
        <w:spacing w:before="120" w:beforeLines="50" w:after="50"/>
        <w:ind w:left="142"/>
        <w:rPr>
          <w:rFonts w:ascii="宋体" w:hAnsi="宋体" w:cs="宋体"/>
          <w:b/>
          <w:color w:val="auto"/>
          <w:sz w:val="32"/>
          <w:szCs w:val="32"/>
          <w:highlight w:val="none"/>
        </w:rPr>
      </w:pPr>
      <w:r>
        <w:rPr>
          <w:rFonts w:hint="eastAsia" w:ascii="宋体" w:hAnsi="宋体" w:cs="宋体"/>
          <w:color w:val="auto"/>
          <w:sz w:val="24"/>
          <w:szCs w:val="21"/>
          <w:highlight w:val="none"/>
        </w:rPr>
        <w:t>分标</w:t>
      </w:r>
    </w:p>
    <w:tbl>
      <w:tblPr>
        <w:tblStyle w:val="4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14:paraId="35962B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15C49E8">
            <w:pPr>
              <w:pStyle w:val="25"/>
              <w:snapToGrid w:val="0"/>
              <w:spacing w:before="295" w:after="295"/>
              <w:jc w:val="center"/>
              <w:rPr>
                <w:rFonts w:hAnsi="宋体" w:cs="宋体"/>
                <w:color w:val="auto"/>
                <w:kern w:val="2"/>
                <w:sz w:val="24"/>
                <w:highlight w:val="none"/>
              </w:rPr>
            </w:pPr>
            <w:r>
              <w:rPr>
                <w:rFonts w:hint="eastAsia" w:hAnsi="宋体" w:cs="宋体"/>
                <w:color w:val="auto"/>
                <w:kern w:val="2"/>
                <w:sz w:val="24"/>
                <w:highlight w:val="none"/>
              </w:rPr>
              <w:t>序号</w:t>
            </w:r>
          </w:p>
        </w:tc>
        <w:tc>
          <w:tcPr>
            <w:tcW w:w="2700" w:type="dxa"/>
            <w:tcBorders>
              <w:top w:val="single" w:color="auto" w:sz="4" w:space="0"/>
              <w:left w:val="single" w:color="auto" w:sz="4" w:space="0"/>
              <w:bottom w:val="single" w:color="auto" w:sz="2" w:space="0"/>
              <w:right w:val="single" w:color="auto" w:sz="4" w:space="0"/>
            </w:tcBorders>
            <w:vAlign w:val="center"/>
          </w:tcPr>
          <w:p w14:paraId="20E08F79">
            <w:pPr>
              <w:pStyle w:val="25"/>
              <w:snapToGrid w:val="0"/>
              <w:spacing w:before="295" w:after="295"/>
              <w:jc w:val="center"/>
              <w:rPr>
                <w:rFonts w:hAnsi="宋体" w:cs="宋体"/>
                <w:color w:val="auto"/>
                <w:kern w:val="2"/>
                <w:sz w:val="24"/>
                <w:highlight w:val="none"/>
              </w:rPr>
            </w:pPr>
            <w:r>
              <w:rPr>
                <w:rFonts w:hint="eastAsia" w:hAnsi="宋体" w:cs="宋体"/>
                <w:color w:val="auto"/>
                <w:kern w:val="2"/>
                <w:sz w:val="24"/>
                <w:highlight w:val="none"/>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14:paraId="1874247A">
            <w:pPr>
              <w:pStyle w:val="25"/>
              <w:snapToGrid w:val="0"/>
              <w:spacing w:before="295" w:after="295"/>
              <w:jc w:val="center"/>
              <w:rPr>
                <w:rFonts w:hAnsi="宋体" w:cs="宋体"/>
                <w:color w:val="auto"/>
                <w:kern w:val="2"/>
                <w:sz w:val="24"/>
                <w:highlight w:val="none"/>
              </w:rPr>
            </w:pPr>
            <w:r>
              <w:rPr>
                <w:rFonts w:hint="eastAsia" w:hAnsi="宋体" w:cs="宋体"/>
                <w:color w:val="auto"/>
                <w:kern w:val="2"/>
                <w:sz w:val="24"/>
                <w:highlight w:val="none"/>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276944A9">
            <w:pPr>
              <w:pStyle w:val="25"/>
              <w:snapToGrid w:val="0"/>
              <w:spacing w:before="295" w:after="295"/>
              <w:jc w:val="center"/>
              <w:rPr>
                <w:rFonts w:hAnsi="宋体" w:cs="宋体"/>
                <w:color w:val="auto"/>
                <w:kern w:val="2"/>
                <w:sz w:val="24"/>
                <w:highlight w:val="none"/>
              </w:rPr>
            </w:pPr>
            <w:r>
              <w:rPr>
                <w:rFonts w:hint="eastAsia" w:hAnsi="宋体" w:cs="宋体"/>
                <w:color w:val="auto"/>
                <w:kern w:val="2"/>
                <w:sz w:val="24"/>
                <w:highlight w:val="none"/>
              </w:rPr>
              <w:t>单价</w:t>
            </w:r>
          </w:p>
        </w:tc>
        <w:tc>
          <w:tcPr>
            <w:tcW w:w="2340" w:type="dxa"/>
            <w:tcBorders>
              <w:top w:val="single" w:color="auto" w:sz="4" w:space="0"/>
              <w:left w:val="single" w:color="auto" w:sz="4" w:space="0"/>
              <w:bottom w:val="single" w:color="auto" w:sz="2" w:space="0"/>
              <w:right w:val="single" w:color="auto" w:sz="4" w:space="0"/>
            </w:tcBorders>
            <w:vAlign w:val="center"/>
          </w:tcPr>
          <w:p w14:paraId="73F73E26">
            <w:pPr>
              <w:pStyle w:val="25"/>
              <w:snapToGrid w:val="0"/>
              <w:spacing w:before="295" w:after="295"/>
              <w:jc w:val="center"/>
              <w:rPr>
                <w:rFonts w:hAnsi="宋体" w:cs="宋体"/>
                <w:color w:val="auto"/>
                <w:kern w:val="2"/>
                <w:sz w:val="24"/>
                <w:highlight w:val="none"/>
              </w:rPr>
            </w:pPr>
            <w:r>
              <w:rPr>
                <w:rFonts w:hint="eastAsia" w:hAnsi="宋体" w:cs="宋体"/>
                <w:color w:val="auto"/>
                <w:kern w:val="2"/>
                <w:sz w:val="24"/>
                <w:highlight w:val="none"/>
              </w:rPr>
              <w:t>比市场价优惠率（%）</w:t>
            </w:r>
          </w:p>
        </w:tc>
      </w:tr>
      <w:tr w14:paraId="739E68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3FB8A310">
            <w:pPr>
              <w:pStyle w:val="25"/>
              <w:snapToGrid w:val="0"/>
              <w:spacing w:before="295" w:after="295"/>
              <w:jc w:val="center"/>
              <w:rPr>
                <w:rFonts w:hAnsi="宋体" w:cs="宋体"/>
                <w:color w:val="auto"/>
                <w:kern w:val="2"/>
                <w:sz w:val="24"/>
                <w:highlight w:val="none"/>
              </w:rPr>
            </w:pPr>
            <w:r>
              <w:rPr>
                <w:rFonts w:hint="eastAsia" w:hAnsi="宋体" w:cs="宋体"/>
                <w:color w:val="auto"/>
                <w:kern w:val="2"/>
                <w:sz w:val="24"/>
                <w:highlight w:val="none"/>
              </w:rPr>
              <w:t>1</w:t>
            </w:r>
          </w:p>
        </w:tc>
        <w:tc>
          <w:tcPr>
            <w:tcW w:w="2700" w:type="dxa"/>
            <w:tcBorders>
              <w:top w:val="single" w:color="auto" w:sz="2" w:space="0"/>
              <w:left w:val="single" w:color="auto" w:sz="2" w:space="0"/>
              <w:bottom w:val="single" w:color="auto" w:sz="6" w:space="0"/>
              <w:right w:val="single" w:color="auto" w:sz="4" w:space="0"/>
            </w:tcBorders>
            <w:vAlign w:val="center"/>
          </w:tcPr>
          <w:p w14:paraId="2EB3B254">
            <w:pPr>
              <w:pStyle w:val="25"/>
              <w:snapToGrid w:val="0"/>
              <w:spacing w:before="295" w:after="295"/>
              <w:jc w:val="center"/>
              <w:rPr>
                <w:rFonts w:hAnsi="宋体" w:cs="宋体"/>
                <w:color w:val="auto"/>
                <w:kern w:val="2"/>
                <w:sz w:val="24"/>
                <w:highlight w:val="none"/>
              </w:rPr>
            </w:pPr>
          </w:p>
        </w:tc>
        <w:tc>
          <w:tcPr>
            <w:tcW w:w="1440" w:type="dxa"/>
            <w:tcBorders>
              <w:top w:val="single" w:color="auto" w:sz="2" w:space="0"/>
              <w:left w:val="single" w:color="auto" w:sz="4" w:space="0"/>
              <w:bottom w:val="single" w:color="auto" w:sz="6" w:space="0"/>
              <w:right w:val="single" w:color="auto" w:sz="6" w:space="0"/>
            </w:tcBorders>
            <w:vAlign w:val="center"/>
          </w:tcPr>
          <w:p w14:paraId="1E5EDDD0">
            <w:pPr>
              <w:pStyle w:val="25"/>
              <w:snapToGrid w:val="0"/>
              <w:spacing w:before="295" w:after="295"/>
              <w:jc w:val="center"/>
              <w:rPr>
                <w:rFonts w:hAnsi="宋体" w:cs="宋体"/>
                <w:color w:val="auto"/>
                <w:kern w:val="2"/>
                <w:sz w:val="24"/>
                <w:highlight w:val="none"/>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28F12D16">
            <w:pPr>
              <w:pStyle w:val="25"/>
              <w:snapToGrid w:val="0"/>
              <w:spacing w:before="295" w:after="295"/>
              <w:jc w:val="center"/>
              <w:rPr>
                <w:rFonts w:hAnsi="宋体" w:cs="宋体"/>
                <w:color w:val="auto"/>
                <w:kern w:val="2"/>
                <w:sz w:val="24"/>
                <w:highlight w:val="none"/>
              </w:rPr>
            </w:pPr>
          </w:p>
        </w:tc>
        <w:tc>
          <w:tcPr>
            <w:tcW w:w="2340" w:type="dxa"/>
            <w:tcBorders>
              <w:top w:val="single" w:color="auto" w:sz="2" w:space="0"/>
              <w:left w:val="single" w:color="auto" w:sz="6" w:space="0"/>
              <w:bottom w:val="single" w:color="auto" w:sz="6" w:space="0"/>
              <w:right w:val="single" w:color="auto" w:sz="2" w:space="0"/>
            </w:tcBorders>
            <w:vAlign w:val="center"/>
          </w:tcPr>
          <w:p w14:paraId="641EE53A">
            <w:pPr>
              <w:pStyle w:val="25"/>
              <w:snapToGrid w:val="0"/>
              <w:spacing w:before="295" w:after="295"/>
              <w:jc w:val="center"/>
              <w:rPr>
                <w:rFonts w:hAnsi="宋体" w:cs="宋体"/>
                <w:color w:val="auto"/>
                <w:kern w:val="2"/>
                <w:sz w:val="24"/>
                <w:highlight w:val="none"/>
              </w:rPr>
            </w:pPr>
          </w:p>
        </w:tc>
      </w:tr>
      <w:tr w14:paraId="3DDCD9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2C47799D">
            <w:pPr>
              <w:pStyle w:val="25"/>
              <w:snapToGrid w:val="0"/>
              <w:spacing w:before="295" w:after="295"/>
              <w:jc w:val="center"/>
              <w:rPr>
                <w:rFonts w:hAnsi="宋体" w:cs="宋体"/>
                <w:color w:val="auto"/>
                <w:kern w:val="2"/>
                <w:sz w:val="24"/>
                <w:highlight w:val="none"/>
              </w:rPr>
            </w:pPr>
            <w:r>
              <w:rPr>
                <w:rFonts w:hint="eastAsia" w:hAnsi="宋体" w:cs="宋体"/>
                <w:color w:val="auto"/>
                <w:kern w:val="2"/>
                <w:sz w:val="24"/>
                <w:highlight w:val="none"/>
              </w:rPr>
              <w:t>2</w:t>
            </w:r>
          </w:p>
        </w:tc>
        <w:tc>
          <w:tcPr>
            <w:tcW w:w="2700" w:type="dxa"/>
            <w:tcBorders>
              <w:top w:val="single" w:color="auto" w:sz="6" w:space="0"/>
              <w:left w:val="single" w:color="auto" w:sz="2" w:space="0"/>
              <w:bottom w:val="single" w:color="auto" w:sz="6" w:space="0"/>
              <w:right w:val="single" w:color="auto" w:sz="4" w:space="0"/>
            </w:tcBorders>
            <w:vAlign w:val="center"/>
          </w:tcPr>
          <w:p w14:paraId="01EFFD80">
            <w:pPr>
              <w:pStyle w:val="25"/>
              <w:snapToGrid w:val="0"/>
              <w:spacing w:before="295" w:after="295"/>
              <w:jc w:val="center"/>
              <w:rPr>
                <w:rFonts w:hAnsi="宋体" w:cs="宋体"/>
                <w:color w:val="auto"/>
                <w:kern w:val="2"/>
                <w:sz w:val="24"/>
                <w:highlight w:val="none"/>
              </w:rPr>
            </w:pPr>
          </w:p>
        </w:tc>
        <w:tc>
          <w:tcPr>
            <w:tcW w:w="1440" w:type="dxa"/>
            <w:tcBorders>
              <w:top w:val="single" w:color="auto" w:sz="6" w:space="0"/>
              <w:left w:val="single" w:color="auto" w:sz="4" w:space="0"/>
              <w:bottom w:val="single" w:color="auto" w:sz="6" w:space="0"/>
              <w:right w:val="single" w:color="auto" w:sz="6" w:space="0"/>
            </w:tcBorders>
            <w:vAlign w:val="center"/>
          </w:tcPr>
          <w:p w14:paraId="15E1BE39">
            <w:pPr>
              <w:pStyle w:val="25"/>
              <w:snapToGrid w:val="0"/>
              <w:spacing w:before="295" w:after="295"/>
              <w:jc w:val="center"/>
              <w:rPr>
                <w:rFonts w:hAnsi="宋体" w:cs="宋体"/>
                <w:color w:val="auto"/>
                <w:kern w:val="2"/>
                <w:sz w:val="24"/>
                <w:highlight w:val="none"/>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2B4966C7">
            <w:pPr>
              <w:pStyle w:val="25"/>
              <w:snapToGrid w:val="0"/>
              <w:spacing w:before="295" w:after="295"/>
              <w:jc w:val="center"/>
              <w:rPr>
                <w:rFonts w:hAnsi="宋体" w:cs="宋体"/>
                <w:color w:val="auto"/>
                <w:kern w:val="2"/>
                <w:sz w:val="24"/>
                <w:highlight w:val="none"/>
              </w:rPr>
            </w:pPr>
          </w:p>
        </w:tc>
        <w:tc>
          <w:tcPr>
            <w:tcW w:w="2340" w:type="dxa"/>
            <w:tcBorders>
              <w:top w:val="single" w:color="auto" w:sz="6" w:space="0"/>
              <w:left w:val="single" w:color="auto" w:sz="6" w:space="0"/>
              <w:bottom w:val="single" w:color="auto" w:sz="6" w:space="0"/>
              <w:right w:val="single" w:color="auto" w:sz="2" w:space="0"/>
            </w:tcBorders>
            <w:vAlign w:val="center"/>
          </w:tcPr>
          <w:p w14:paraId="07B42220">
            <w:pPr>
              <w:pStyle w:val="25"/>
              <w:snapToGrid w:val="0"/>
              <w:spacing w:before="295" w:after="295"/>
              <w:jc w:val="center"/>
              <w:rPr>
                <w:rFonts w:hAnsi="宋体" w:cs="宋体"/>
                <w:color w:val="auto"/>
                <w:kern w:val="2"/>
                <w:sz w:val="24"/>
                <w:highlight w:val="none"/>
              </w:rPr>
            </w:pPr>
          </w:p>
        </w:tc>
      </w:tr>
      <w:tr w14:paraId="2444B4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2AD35565">
            <w:pPr>
              <w:pStyle w:val="25"/>
              <w:snapToGrid w:val="0"/>
              <w:spacing w:before="295" w:after="295"/>
              <w:jc w:val="center"/>
              <w:rPr>
                <w:rFonts w:hAnsi="宋体" w:cs="宋体"/>
                <w:color w:val="auto"/>
                <w:kern w:val="2"/>
                <w:sz w:val="24"/>
                <w:highlight w:val="none"/>
              </w:rPr>
            </w:pPr>
            <w:r>
              <w:rPr>
                <w:rFonts w:hint="eastAsia" w:hAnsi="宋体" w:cs="宋体"/>
                <w:color w:val="auto"/>
                <w:kern w:val="2"/>
                <w:sz w:val="24"/>
                <w:highlight w:val="none"/>
              </w:rPr>
              <w:t>3</w:t>
            </w:r>
          </w:p>
        </w:tc>
        <w:tc>
          <w:tcPr>
            <w:tcW w:w="2700" w:type="dxa"/>
            <w:tcBorders>
              <w:top w:val="single" w:color="auto" w:sz="6" w:space="0"/>
              <w:left w:val="single" w:color="auto" w:sz="2" w:space="0"/>
              <w:bottom w:val="single" w:color="auto" w:sz="6" w:space="0"/>
              <w:right w:val="single" w:color="auto" w:sz="4" w:space="0"/>
            </w:tcBorders>
            <w:vAlign w:val="center"/>
          </w:tcPr>
          <w:p w14:paraId="32A7DFC9">
            <w:pPr>
              <w:pStyle w:val="25"/>
              <w:snapToGrid w:val="0"/>
              <w:spacing w:before="295" w:after="295"/>
              <w:jc w:val="center"/>
              <w:rPr>
                <w:rFonts w:hAnsi="宋体" w:cs="宋体"/>
                <w:color w:val="auto"/>
                <w:kern w:val="2"/>
                <w:sz w:val="24"/>
                <w:highlight w:val="none"/>
              </w:rPr>
            </w:pPr>
          </w:p>
        </w:tc>
        <w:tc>
          <w:tcPr>
            <w:tcW w:w="1440" w:type="dxa"/>
            <w:tcBorders>
              <w:top w:val="single" w:color="auto" w:sz="6" w:space="0"/>
              <w:left w:val="single" w:color="auto" w:sz="4" w:space="0"/>
              <w:bottom w:val="single" w:color="auto" w:sz="6" w:space="0"/>
              <w:right w:val="single" w:color="auto" w:sz="6" w:space="0"/>
            </w:tcBorders>
            <w:vAlign w:val="center"/>
          </w:tcPr>
          <w:p w14:paraId="02112BAD">
            <w:pPr>
              <w:pStyle w:val="25"/>
              <w:snapToGrid w:val="0"/>
              <w:spacing w:before="295" w:after="295"/>
              <w:jc w:val="center"/>
              <w:rPr>
                <w:rFonts w:hAnsi="宋体" w:cs="宋体"/>
                <w:color w:val="auto"/>
                <w:kern w:val="2"/>
                <w:sz w:val="24"/>
                <w:highlight w:val="none"/>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06A80C12">
            <w:pPr>
              <w:pStyle w:val="25"/>
              <w:snapToGrid w:val="0"/>
              <w:spacing w:before="295" w:after="295"/>
              <w:jc w:val="center"/>
              <w:rPr>
                <w:rFonts w:hAnsi="宋体" w:cs="宋体"/>
                <w:color w:val="auto"/>
                <w:kern w:val="2"/>
                <w:sz w:val="24"/>
                <w:highlight w:val="none"/>
              </w:rPr>
            </w:pPr>
          </w:p>
        </w:tc>
        <w:tc>
          <w:tcPr>
            <w:tcW w:w="2340" w:type="dxa"/>
            <w:tcBorders>
              <w:top w:val="single" w:color="auto" w:sz="6" w:space="0"/>
              <w:left w:val="single" w:color="auto" w:sz="6" w:space="0"/>
              <w:bottom w:val="single" w:color="auto" w:sz="6" w:space="0"/>
              <w:right w:val="single" w:color="auto" w:sz="2" w:space="0"/>
            </w:tcBorders>
            <w:vAlign w:val="center"/>
          </w:tcPr>
          <w:p w14:paraId="0C0CB4D8">
            <w:pPr>
              <w:pStyle w:val="25"/>
              <w:snapToGrid w:val="0"/>
              <w:spacing w:before="295" w:after="295"/>
              <w:jc w:val="center"/>
              <w:rPr>
                <w:rFonts w:hAnsi="宋体" w:cs="宋体"/>
                <w:color w:val="auto"/>
                <w:kern w:val="2"/>
                <w:sz w:val="24"/>
                <w:highlight w:val="none"/>
              </w:rPr>
            </w:pPr>
          </w:p>
        </w:tc>
      </w:tr>
    </w:tbl>
    <w:p w14:paraId="46FCCE40">
      <w:pPr>
        <w:spacing w:line="360" w:lineRule="auto"/>
        <w:contextualSpacing/>
        <w:rPr>
          <w:rFonts w:ascii="宋体" w:hAnsi="宋体" w:cs="宋体"/>
          <w:color w:val="auto"/>
          <w:sz w:val="24"/>
          <w:highlight w:val="none"/>
        </w:rPr>
      </w:pPr>
    </w:p>
    <w:p w14:paraId="6F976711">
      <w:pPr>
        <w:spacing w:line="360" w:lineRule="auto"/>
        <w:contextualSpacing/>
        <w:rPr>
          <w:rFonts w:ascii="宋体" w:hAnsi="宋体" w:cs="宋体"/>
          <w:color w:val="auto"/>
          <w:spacing w:val="20"/>
          <w:sz w:val="24"/>
          <w:highlight w:val="none"/>
          <w:u w:val="single"/>
        </w:rPr>
      </w:pPr>
      <w:r>
        <w:rPr>
          <w:rFonts w:hint="eastAsia" w:ascii="宋体" w:hAnsi="宋体" w:cs="宋体"/>
          <w:color w:val="auto"/>
          <w:sz w:val="24"/>
          <w:highlight w:val="none"/>
        </w:rPr>
        <w:t>法定代表人或者委托代理人</w:t>
      </w:r>
      <w:r>
        <w:rPr>
          <w:rFonts w:hint="eastAsia" w:ascii="宋体" w:hAnsi="宋体" w:cs="宋体"/>
          <w:color w:val="auto"/>
          <w:spacing w:val="20"/>
          <w:sz w:val="24"/>
          <w:highlight w:val="none"/>
        </w:rPr>
        <w:t>（签字或者电子签名）：</w:t>
      </w:r>
    </w:p>
    <w:p w14:paraId="4844016A">
      <w:pPr>
        <w:spacing w:line="360" w:lineRule="auto"/>
        <w:contextualSpacing/>
        <w:jc w:val="left"/>
        <w:rPr>
          <w:rFonts w:ascii="宋体" w:hAnsi="宋体" w:cs="宋体"/>
          <w:color w:val="auto"/>
          <w:spacing w:val="20"/>
          <w:sz w:val="24"/>
          <w:highlight w:val="none"/>
        </w:rPr>
      </w:pPr>
      <w:r>
        <w:rPr>
          <w:rFonts w:hint="eastAsia" w:ascii="宋体" w:hAnsi="宋体" w:cs="宋体"/>
          <w:color w:val="auto"/>
          <w:spacing w:val="20"/>
          <w:sz w:val="24"/>
          <w:highlight w:val="none"/>
        </w:rPr>
        <w:t>投标人名称（电子签章）：</w:t>
      </w:r>
    </w:p>
    <w:p w14:paraId="6D0C0DF8">
      <w:pPr>
        <w:spacing w:line="360" w:lineRule="auto"/>
        <w:contextualSpacing/>
        <w:jc w:val="left"/>
        <w:rPr>
          <w:rFonts w:ascii="宋体" w:hAnsi="宋体" w:cs="宋体"/>
          <w:color w:val="auto"/>
          <w:sz w:val="24"/>
          <w:szCs w:val="20"/>
          <w:highlight w:val="none"/>
        </w:rPr>
      </w:pPr>
      <w:r>
        <w:rPr>
          <w:rFonts w:hint="eastAsia" w:ascii="宋体" w:hAnsi="宋体" w:cs="宋体"/>
          <w:color w:val="auto"/>
          <w:spacing w:val="20"/>
          <w:sz w:val="24"/>
          <w:highlight w:val="none"/>
        </w:rPr>
        <w:t>日 期：</w:t>
      </w:r>
    </w:p>
    <w:p w14:paraId="6DD8544B">
      <w:pPr>
        <w:snapToGrid w:val="0"/>
        <w:spacing w:before="50" w:after="120" w:afterLines="50"/>
        <w:jc w:val="left"/>
        <w:rPr>
          <w:rFonts w:ascii="宋体" w:hAnsi="宋体" w:cs="宋体"/>
          <w:color w:val="auto"/>
          <w:sz w:val="24"/>
          <w:szCs w:val="20"/>
          <w:highlight w:val="none"/>
        </w:rPr>
      </w:pPr>
    </w:p>
    <w:p w14:paraId="58D99CCE">
      <w:pPr>
        <w:rPr>
          <w:rFonts w:ascii="宋体" w:hAnsi="宋体" w:cs="宋体"/>
          <w:b/>
          <w:color w:val="auto"/>
          <w:sz w:val="28"/>
          <w:szCs w:val="28"/>
          <w:highlight w:val="none"/>
        </w:rPr>
      </w:pPr>
      <w:r>
        <w:rPr>
          <w:rFonts w:hint="eastAsia" w:ascii="宋体" w:hAnsi="宋体" w:cs="宋体"/>
          <w:b/>
          <w:bCs/>
          <w:color w:val="auto"/>
          <w:sz w:val="24"/>
          <w:highlight w:val="none"/>
        </w:rPr>
        <w:br w:type="page"/>
      </w:r>
      <w:r>
        <w:rPr>
          <w:rFonts w:hint="eastAsia" w:ascii="宋体" w:hAnsi="宋体" w:cs="宋体"/>
          <w:b/>
          <w:color w:val="auto"/>
          <w:sz w:val="28"/>
          <w:szCs w:val="28"/>
          <w:highlight w:val="none"/>
        </w:rPr>
        <w:t>五、其他文书、文件格式</w:t>
      </w:r>
    </w:p>
    <w:p w14:paraId="0A7A9D41">
      <w:pPr>
        <w:snapToGrid w:val="0"/>
        <w:spacing w:before="120" w:beforeLines="50" w:after="50"/>
        <w:ind w:left="142"/>
        <w:jc w:val="left"/>
        <w:rPr>
          <w:rFonts w:ascii="宋体" w:hAnsi="宋体" w:cs="宋体"/>
          <w:b/>
          <w:color w:val="auto"/>
          <w:spacing w:val="20"/>
          <w:sz w:val="24"/>
          <w:highlight w:val="none"/>
        </w:rPr>
      </w:pPr>
      <w:r>
        <w:rPr>
          <w:rFonts w:hint="eastAsia" w:ascii="宋体" w:hAnsi="宋体" w:cs="宋体"/>
          <w:b/>
          <w:color w:val="auto"/>
          <w:spacing w:val="20"/>
          <w:sz w:val="24"/>
          <w:highlight w:val="none"/>
        </w:rPr>
        <w:t>1.联合投标协议书格式</w:t>
      </w:r>
    </w:p>
    <w:p w14:paraId="6ADC76D4">
      <w:pPr>
        <w:pStyle w:val="7"/>
        <w:overflowPunct w:val="0"/>
        <w:jc w:val="center"/>
        <w:rPr>
          <w:rFonts w:ascii="宋体" w:hAnsi="宋体" w:cs="宋体"/>
          <w:color w:val="auto"/>
          <w:sz w:val="44"/>
          <w:szCs w:val="44"/>
          <w:highlight w:val="none"/>
        </w:rPr>
      </w:pPr>
    </w:p>
    <w:p w14:paraId="51709245">
      <w:pPr>
        <w:pStyle w:val="7"/>
        <w:overflowPunct w:val="0"/>
        <w:jc w:val="center"/>
        <w:rPr>
          <w:rFonts w:ascii="宋体" w:hAnsi="宋体" w:cs="宋体"/>
          <w:color w:val="auto"/>
          <w:sz w:val="44"/>
          <w:szCs w:val="44"/>
          <w:highlight w:val="none"/>
        </w:rPr>
      </w:pPr>
      <w:r>
        <w:rPr>
          <w:rFonts w:hint="eastAsia" w:ascii="宋体" w:hAnsi="宋体" w:cs="宋体"/>
          <w:color w:val="auto"/>
          <w:sz w:val="44"/>
          <w:szCs w:val="44"/>
          <w:highlight w:val="none"/>
        </w:rPr>
        <w:t>联合体协议书</w:t>
      </w:r>
    </w:p>
    <w:p w14:paraId="1DCC2E9E">
      <w:pPr>
        <w:pStyle w:val="7"/>
        <w:overflowPunct w:val="0"/>
        <w:rPr>
          <w:rFonts w:ascii="宋体" w:hAnsi="宋体" w:cs="宋体"/>
          <w:color w:val="auto"/>
          <w:sz w:val="24"/>
          <w:highlight w:val="none"/>
        </w:rPr>
      </w:pPr>
    </w:p>
    <w:p w14:paraId="548EB0CA">
      <w:pPr>
        <w:pStyle w:val="7"/>
        <w:overflowPunct w:val="0"/>
        <w:spacing w:line="360" w:lineRule="auto"/>
        <w:contextualSpacing/>
        <w:rPr>
          <w:rFonts w:ascii="宋体" w:hAnsi="宋体" w:cs="宋体"/>
          <w:color w:val="auto"/>
          <w:sz w:val="24"/>
          <w:highlight w:val="none"/>
        </w:rPr>
      </w:pPr>
      <w:r>
        <w:rPr>
          <w:rFonts w:hint="eastAsia" w:ascii="宋体" w:hAnsi="宋体" w:cs="宋体"/>
          <w:color w:val="auto"/>
          <w:sz w:val="24"/>
          <w:highlight w:val="none"/>
          <w:u w:val="single"/>
        </w:rPr>
        <w:tab/>
      </w:r>
      <w:r>
        <w:rPr>
          <w:rFonts w:hint="eastAsia" w:ascii="宋体" w:hAnsi="宋体" w:cs="宋体"/>
          <w:color w:val="auto"/>
          <w:sz w:val="24"/>
          <w:highlight w:val="none"/>
        </w:rPr>
        <w:t>（所有成员单位名称）自愿组成</w:t>
      </w:r>
      <w:r>
        <w:rPr>
          <w:rFonts w:hint="eastAsia" w:ascii="宋体" w:hAnsi="宋体" w:cs="宋体"/>
          <w:color w:val="auto"/>
          <w:sz w:val="24"/>
          <w:highlight w:val="none"/>
          <w:u w:val="single"/>
        </w:rPr>
        <w:tab/>
      </w:r>
      <w:r>
        <w:rPr>
          <w:rFonts w:hint="eastAsia" w:ascii="宋体" w:hAnsi="宋体" w:cs="宋体"/>
          <w:color w:val="auto"/>
          <w:sz w:val="24"/>
          <w:highlight w:val="none"/>
        </w:rPr>
        <w:t>（联合体名称）联合体，共同参加</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（项目名称）</w:t>
      </w:r>
      <w:r>
        <w:rPr>
          <w:rFonts w:hint="eastAsia" w:ascii="宋体" w:hAnsi="宋体" w:cs="宋体"/>
          <w:color w:val="auto"/>
          <w:sz w:val="24"/>
          <w:highlight w:val="none"/>
        </w:rPr>
        <w:t>采购招标项目投标。现就联合体投标事宜订立如下协议。</w:t>
      </w:r>
    </w:p>
    <w:p w14:paraId="49A4691E">
      <w:pPr>
        <w:pStyle w:val="7"/>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 xml:space="preserve">1.  </w:t>
      </w:r>
      <w:r>
        <w:rPr>
          <w:rFonts w:hint="eastAsia" w:ascii="宋体" w:hAnsi="宋体" w:cs="宋体"/>
          <w:color w:val="auto"/>
          <w:sz w:val="24"/>
          <w:highlight w:val="none"/>
          <w:u w:val="single"/>
        </w:rPr>
        <w:tab/>
      </w:r>
      <w:r>
        <w:rPr>
          <w:rFonts w:hint="eastAsia" w:ascii="宋体" w:hAnsi="宋体" w:cs="宋体"/>
          <w:color w:val="auto"/>
          <w:sz w:val="24"/>
          <w:highlight w:val="none"/>
        </w:rPr>
        <w:t>（某成员单位名称）为</w:t>
      </w:r>
      <w:r>
        <w:rPr>
          <w:rFonts w:hint="eastAsia" w:ascii="宋体" w:hAnsi="宋体" w:cs="宋体"/>
          <w:color w:val="auto"/>
          <w:sz w:val="24"/>
          <w:highlight w:val="none"/>
          <w:u w:val="single"/>
        </w:rPr>
        <w:tab/>
      </w:r>
      <w:r>
        <w:rPr>
          <w:rFonts w:hint="eastAsia" w:ascii="宋体" w:hAnsi="宋体" w:cs="宋体"/>
          <w:color w:val="auto"/>
          <w:sz w:val="24"/>
          <w:highlight w:val="none"/>
        </w:rPr>
        <w:t>（联合体名称）牵头人。</w:t>
      </w:r>
    </w:p>
    <w:p w14:paraId="79C83A78">
      <w:pPr>
        <w:pStyle w:val="7"/>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2.联合体各成员授权牵头人代表联合体参加投标活动，签署文件及对文件的盖章，提交和接收相关的资料、信息及指示，进行合同谈判活动，负责合同实施阶段的组织和协调工作，以及处理与本招标项目有关的一切事宜。</w:t>
      </w:r>
    </w:p>
    <w:p w14:paraId="17A8E644">
      <w:pPr>
        <w:pStyle w:val="7"/>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3.联合体牵头人在本项目中签署和盖章的一切文件和处理的一切事宜，联合体各成员均予以承认。联合体各成员将严格按照招标文件、投标文件和合同的要求全面履行义务，并向招标人承担连带责任。</w:t>
      </w:r>
    </w:p>
    <w:p w14:paraId="62CD7579">
      <w:pPr>
        <w:pStyle w:val="7"/>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4.联合体各成员单位内部的职责分工如下：</w:t>
      </w:r>
      <w:r>
        <w:rPr>
          <w:rFonts w:hint="eastAsia" w:ascii="宋体" w:hAnsi="宋体" w:cs="宋体"/>
          <w:color w:val="auto"/>
          <w:sz w:val="24"/>
          <w:highlight w:val="none"/>
          <w:u w:val="single"/>
        </w:rPr>
        <w:tab/>
      </w:r>
      <w:r>
        <w:rPr>
          <w:rFonts w:hint="eastAsia" w:ascii="宋体" w:hAnsi="宋体" w:cs="宋体"/>
          <w:color w:val="auto"/>
          <w:sz w:val="24"/>
          <w:highlight w:val="none"/>
        </w:rPr>
        <w:t>。</w:t>
      </w:r>
    </w:p>
    <w:p w14:paraId="1AD0510D">
      <w:pPr>
        <w:pStyle w:val="7"/>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5.本协议书自所有成员单位法定代表人或者其委托代理人签字（或者电子签名）或者盖公章之日起生效，合同履行完毕后自动失效。</w:t>
      </w:r>
    </w:p>
    <w:p w14:paraId="73DAE166">
      <w:pPr>
        <w:pStyle w:val="7"/>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6.本协议书一式</w:t>
      </w:r>
      <w:r>
        <w:rPr>
          <w:rFonts w:hint="eastAsia" w:ascii="宋体" w:hAnsi="宋体" w:cs="宋体"/>
          <w:color w:val="auto"/>
          <w:sz w:val="24"/>
          <w:highlight w:val="none"/>
          <w:u w:val="single"/>
        </w:rPr>
        <w:tab/>
      </w:r>
      <w:r>
        <w:rPr>
          <w:rFonts w:hint="eastAsia" w:ascii="宋体" w:hAnsi="宋体" w:cs="宋体"/>
          <w:color w:val="auto"/>
          <w:sz w:val="24"/>
          <w:highlight w:val="none"/>
        </w:rPr>
        <w:t>份，联合体成员和招标人各执一份。</w:t>
      </w:r>
    </w:p>
    <w:p w14:paraId="73F2871E">
      <w:pPr>
        <w:pStyle w:val="7"/>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注：本协议书应附法定代表人身份证明；有委托代理的，应附授权委托书（格式自拟）。</w:t>
      </w:r>
    </w:p>
    <w:p w14:paraId="161D4434">
      <w:pPr>
        <w:pStyle w:val="7"/>
        <w:overflowPunct w:val="0"/>
        <w:spacing w:line="360" w:lineRule="auto"/>
        <w:ind w:firstLineChars="175"/>
        <w:contextualSpacing/>
        <w:rPr>
          <w:rFonts w:ascii="宋体" w:hAnsi="宋体" w:cs="宋体"/>
          <w:color w:val="auto"/>
          <w:sz w:val="24"/>
          <w:highlight w:val="none"/>
        </w:rPr>
      </w:pPr>
    </w:p>
    <w:p w14:paraId="6FFB8C99">
      <w:pPr>
        <w:pStyle w:val="7"/>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联合体牵头人名称（电子签章）：</w:t>
      </w:r>
    </w:p>
    <w:p w14:paraId="70666D1F">
      <w:pPr>
        <w:pStyle w:val="7"/>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法定代表人或者其委托代理人：</w:t>
      </w:r>
      <w:r>
        <w:rPr>
          <w:rFonts w:hint="eastAsia" w:ascii="宋体" w:hAnsi="宋体" w:cs="宋体"/>
          <w:color w:val="auto"/>
          <w:sz w:val="24"/>
          <w:highlight w:val="none"/>
        </w:rPr>
        <w:tab/>
      </w:r>
      <w:r>
        <w:rPr>
          <w:rFonts w:hint="eastAsia" w:ascii="宋体" w:hAnsi="宋体" w:cs="宋体"/>
          <w:color w:val="auto"/>
          <w:sz w:val="24"/>
          <w:highlight w:val="none"/>
        </w:rPr>
        <w:t>（签字或者电子签名）</w:t>
      </w:r>
    </w:p>
    <w:p w14:paraId="42698DC9">
      <w:pPr>
        <w:pStyle w:val="7"/>
        <w:overflowPunct w:val="0"/>
        <w:spacing w:line="360" w:lineRule="auto"/>
        <w:ind w:firstLineChars="175"/>
        <w:contextualSpacing/>
        <w:rPr>
          <w:rFonts w:ascii="宋体" w:hAnsi="宋体" w:cs="宋体"/>
          <w:color w:val="auto"/>
          <w:sz w:val="24"/>
          <w:highlight w:val="none"/>
        </w:rPr>
      </w:pPr>
    </w:p>
    <w:p w14:paraId="1861ED13">
      <w:pPr>
        <w:pStyle w:val="7"/>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联合体成员名称（盖公章或者电子签章）：</w:t>
      </w:r>
    </w:p>
    <w:p w14:paraId="3603C428">
      <w:pPr>
        <w:pStyle w:val="7"/>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法定代表人或者其委托代理人：</w:t>
      </w:r>
      <w:r>
        <w:rPr>
          <w:rFonts w:hint="eastAsia" w:ascii="宋体" w:hAnsi="宋体" w:cs="宋体"/>
          <w:color w:val="auto"/>
          <w:sz w:val="24"/>
          <w:highlight w:val="none"/>
        </w:rPr>
        <w:tab/>
      </w:r>
      <w:r>
        <w:rPr>
          <w:rFonts w:hint="eastAsia" w:ascii="宋体" w:hAnsi="宋体" w:cs="宋体"/>
          <w:color w:val="auto"/>
          <w:sz w:val="24"/>
          <w:highlight w:val="none"/>
        </w:rPr>
        <w:t>（签字或者电子签名）</w:t>
      </w:r>
    </w:p>
    <w:p w14:paraId="6BCA185A">
      <w:pPr>
        <w:pStyle w:val="7"/>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w:t>
      </w:r>
    </w:p>
    <w:p w14:paraId="61894BB9">
      <w:pPr>
        <w:pStyle w:val="7"/>
        <w:overflowPunct w:val="0"/>
        <w:spacing w:line="360" w:lineRule="auto"/>
        <w:ind w:firstLineChars="175"/>
        <w:contextualSpacing/>
        <w:rPr>
          <w:rFonts w:ascii="宋体" w:hAnsi="宋体" w:cs="宋体"/>
          <w:color w:val="auto"/>
          <w:sz w:val="24"/>
          <w:highlight w:val="none"/>
        </w:rPr>
      </w:pPr>
    </w:p>
    <w:p w14:paraId="154E0681">
      <w:pPr>
        <w:pStyle w:val="7"/>
        <w:overflowPunct w:val="0"/>
        <w:spacing w:line="360" w:lineRule="auto"/>
        <w:ind w:firstLineChars="175"/>
        <w:contextualSpacing/>
        <w:jc w:val="right"/>
        <w:rPr>
          <w:rFonts w:ascii="宋体" w:hAnsi="宋体" w:cs="宋体"/>
          <w:b/>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年</w:t>
      </w:r>
      <w:r>
        <w:rPr>
          <w:rFonts w:hint="eastAsia" w:ascii="宋体" w:hAnsi="宋体" w:cs="宋体"/>
          <w:color w:val="auto"/>
          <w:sz w:val="24"/>
          <w:highlight w:val="none"/>
        </w:rPr>
        <w:tab/>
      </w:r>
      <w:r>
        <w:rPr>
          <w:rFonts w:hint="eastAsia" w:ascii="宋体" w:hAnsi="宋体" w:cs="宋体"/>
          <w:color w:val="auto"/>
          <w:sz w:val="24"/>
          <w:highlight w:val="none"/>
        </w:rPr>
        <w:t>月</w:t>
      </w:r>
      <w:r>
        <w:rPr>
          <w:rFonts w:hint="eastAsia" w:ascii="宋体" w:hAnsi="宋体" w:cs="宋体"/>
          <w:color w:val="auto"/>
          <w:sz w:val="24"/>
          <w:highlight w:val="none"/>
        </w:rPr>
        <w:tab/>
      </w:r>
      <w:r>
        <w:rPr>
          <w:rFonts w:hint="eastAsia" w:ascii="宋体" w:hAnsi="宋体" w:cs="宋体"/>
          <w:color w:val="auto"/>
          <w:sz w:val="24"/>
          <w:highlight w:val="none"/>
        </w:rPr>
        <w:t>日</w:t>
      </w:r>
    </w:p>
    <w:p w14:paraId="6663B749">
      <w:pPr>
        <w:snapToGrid w:val="0"/>
        <w:spacing w:before="120" w:beforeLines="50" w:after="50"/>
        <w:jc w:val="left"/>
        <w:rPr>
          <w:rFonts w:ascii="宋体" w:hAnsi="宋体" w:cs="宋体"/>
          <w:b/>
          <w:color w:val="auto"/>
          <w:sz w:val="24"/>
          <w:highlight w:val="none"/>
        </w:rPr>
      </w:pPr>
    </w:p>
    <w:p w14:paraId="5CE09995">
      <w:pPr>
        <w:snapToGrid w:val="0"/>
        <w:spacing w:before="120" w:beforeLines="50" w:after="50"/>
        <w:jc w:val="left"/>
        <w:rPr>
          <w:rFonts w:ascii="宋体" w:hAnsi="宋体" w:cs="宋体"/>
          <w:color w:val="auto"/>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2.中小企业声明函格式</w:t>
      </w:r>
    </w:p>
    <w:p w14:paraId="7BD2AB1F">
      <w:pPr>
        <w:rPr>
          <w:rFonts w:ascii="宋体" w:hAnsi="宋体" w:cs="宋体"/>
          <w:color w:val="auto"/>
          <w:highlight w:val="none"/>
        </w:rPr>
      </w:pPr>
    </w:p>
    <w:p w14:paraId="64369F99">
      <w:pPr>
        <w:jc w:val="center"/>
        <w:rPr>
          <w:rFonts w:ascii="宋体" w:hAnsi="宋体" w:cs="宋体"/>
          <w:color w:val="auto"/>
          <w:sz w:val="44"/>
          <w:szCs w:val="44"/>
          <w:highlight w:val="none"/>
        </w:rPr>
      </w:pPr>
      <w:r>
        <w:rPr>
          <w:rFonts w:hint="eastAsia" w:ascii="宋体" w:hAnsi="宋体" w:cs="宋体"/>
          <w:color w:val="auto"/>
          <w:sz w:val="44"/>
          <w:szCs w:val="44"/>
          <w:highlight w:val="none"/>
        </w:rPr>
        <w:t>中小企业声明函（货物）</w:t>
      </w:r>
    </w:p>
    <w:p w14:paraId="34529E9E">
      <w:pPr>
        <w:spacing w:before="2" w:line="500" w:lineRule="exact"/>
        <w:rPr>
          <w:rFonts w:ascii="宋体" w:hAnsi="宋体" w:cs="宋体"/>
          <w:b/>
          <w:bCs/>
          <w:color w:val="auto"/>
          <w:sz w:val="27"/>
          <w:szCs w:val="27"/>
          <w:highlight w:val="none"/>
        </w:rPr>
      </w:pPr>
    </w:p>
    <w:p w14:paraId="581B2D65">
      <w:pPr>
        <w:pStyle w:val="19"/>
        <w:spacing w:line="360" w:lineRule="auto"/>
        <w:ind w:left="-426" w:leftChars="-203" w:right="142" w:firstLine="480" w:firstLineChars="200"/>
        <w:contextualSpacing/>
        <w:rPr>
          <w:rFonts w:ascii="宋体" w:hAnsi="宋体" w:cs="宋体"/>
          <w:color w:val="auto"/>
          <w:kern w:val="24"/>
          <w:highlight w:val="none"/>
        </w:rPr>
      </w:pPr>
      <w:r>
        <w:rPr>
          <w:rFonts w:hint="eastAsia" w:ascii="宋体" w:hAnsi="宋体" w:cs="宋体"/>
          <w:color w:val="auto"/>
          <w:kern w:val="24"/>
          <w:highlight w:val="none"/>
        </w:rPr>
        <w:t>本公司（联合体）郑重声明，根据《政府采购促进中小企业发展管理办法》（财库﹝2020﹞46号）的规定，本公司（联合体）参加</w:t>
      </w:r>
      <w:r>
        <w:rPr>
          <w:rFonts w:hint="eastAsia" w:ascii="宋体" w:hAnsi="宋体" w:cs="宋体"/>
          <w:color w:val="auto"/>
          <w:kern w:val="24"/>
          <w:highlight w:val="none"/>
          <w:u w:val="single"/>
        </w:rPr>
        <w:t>（单位名称）</w:t>
      </w:r>
      <w:r>
        <w:rPr>
          <w:rFonts w:hint="eastAsia" w:ascii="宋体" w:hAnsi="宋体" w:cs="宋体"/>
          <w:color w:val="auto"/>
          <w:kern w:val="24"/>
          <w:highlight w:val="none"/>
        </w:rPr>
        <w:t>的</w:t>
      </w:r>
      <w:r>
        <w:rPr>
          <w:rFonts w:hint="eastAsia" w:ascii="宋体" w:hAnsi="宋体" w:cs="宋体"/>
          <w:color w:val="auto"/>
          <w:kern w:val="24"/>
          <w:highlight w:val="none"/>
          <w:u w:val="single"/>
        </w:rPr>
        <w:t>（项目名称）</w:t>
      </w:r>
      <w:r>
        <w:rPr>
          <w:rFonts w:hint="eastAsia" w:ascii="宋体" w:hAnsi="宋体" w:cs="宋体"/>
          <w:color w:val="auto"/>
          <w:kern w:val="24"/>
          <w:highlight w:val="none"/>
        </w:rPr>
        <w:t>采购活动，提供的货物全部由符合政策要求的中小企业制造。相关企业（含联合体中的中小企业、签订分包意向协议的中小企业）的具体情况如下：</w:t>
      </w:r>
    </w:p>
    <w:p w14:paraId="3F3E0136">
      <w:pPr>
        <w:tabs>
          <w:tab w:val="left" w:pos="1384"/>
          <w:tab w:val="left" w:pos="4562"/>
          <w:tab w:val="left" w:pos="6803"/>
        </w:tabs>
        <w:spacing w:line="360" w:lineRule="auto"/>
        <w:ind w:left="-426" w:right="-58" w:firstLine="655"/>
        <w:contextualSpacing/>
        <w:rPr>
          <w:rFonts w:ascii="宋体" w:hAnsi="宋体" w:cs="宋体"/>
          <w:color w:val="auto"/>
          <w:kern w:val="24"/>
          <w:sz w:val="24"/>
          <w:highlight w:val="none"/>
        </w:rPr>
      </w:pPr>
      <w:r>
        <w:rPr>
          <w:rFonts w:hint="eastAsia" w:ascii="宋体" w:hAnsi="宋体" w:cs="宋体"/>
          <w:color w:val="auto"/>
          <w:kern w:val="24"/>
          <w:sz w:val="24"/>
          <w:highlight w:val="none"/>
        </w:rPr>
        <w:t>1.</w:t>
      </w:r>
      <w:r>
        <w:rPr>
          <w:rFonts w:hint="eastAsia" w:ascii="宋体" w:hAnsi="宋体" w:cs="宋体"/>
          <w:color w:val="auto"/>
          <w:kern w:val="24"/>
          <w:sz w:val="24"/>
          <w:highlight w:val="none"/>
          <w:u w:val="single"/>
        </w:rPr>
        <w:t>（标的名称）</w:t>
      </w:r>
      <w:r>
        <w:rPr>
          <w:rFonts w:hint="eastAsia" w:ascii="宋体" w:hAnsi="宋体" w:cs="宋体"/>
          <w:color w:val="auto"/>
          <w:kern w:val="24"/>
          <w:sz w:val="24"/>
          <w:highlight w:val="none"/>
        </w:rPr>
        <w:t>，属于</w:t>
      </w:r>
      <w:r>
        <w:rPr>
          <w:rFonts w:hint="eastAsia" w:ascii="宋体" w:hAnsi="宋体" w:cs="宋体"/>
          <w:color w:val="auto"/>
          <w:kern w:val="24"/>
          <w:sz w:val="24"/>
          <w:highlight w:val="none"/>
          <w:u w:val="single"/>
        </w:rPr>
        <w:t>（采购文件中明确的所属行业）</w:t>
      </w:r>
      <w:r>
        <w:rPr>
          <w:rFonts w:hint="eastAsia" w:ascii="宋体" w:hAnsi="宋体" w:cs="宋体"/>
          <w:color w:val="auto"/>
          <w:kern w:val="24"/>
          <w:sz w:val="24"/>
          <w:highlight w:val="none"/>
        </w:rPr>
        <w:t>行业；制造商为</w:t>
      </w:r>
      <w:r>
        <w:rPr>
          <w:rFonts w:hint="eastAsia" w:ascii="宋体" w:hAnsi="宋体" w:cs="宋体"/>
          <w:color w:val="auto"/>
          <w:kern w:val="24"/>
          <w:sz w:val="24"/>
          <w:highlight w:val="none"/>
          <w:u w:val="single"/>
        </w:rPr>
        <w:t>（企业名称）</w:t>
      </w:r>
      <w:r>
        <w:rPr>
          <w:rFonts w:hint="eastAsia" w:ascii="宋体" w:hAnsi="宋体" w:cs="宋体"/>
          <w:color w:val="auto"/>
          <w:kern w:val="24"/>
          <w:sz w:val="24"/>
          <w:highlight w:val="none"/>
        </w:rPr>
        <w:t>，从业人员人，营业收入为万元，资产总额为万元，属于</w:t>
      </w:r>
      <w:r>
        <w:rPr>
          <w:rFonts w:hint="eastAsia" w:ascii="宋体" w:hAnsi="宋体" w:cs="宋体"/>
          <w:color w:val="auto"/>
          <w:kern w:val="24"/>
          <w:sz w:val="24"/>
          <w:highlight w:val="none"/>
          <w:u w:val="single"/>
        </w:rPr>
        <w:t>（中型企业、小型企业、微型企业）</w:t>
      </w:r>
      <w:r>
        <w:rPr>
          <w:rFonts w:hint="eastAsia" w:ascii="宋体" w:hAnsi="宋体" w:cs="宋体"/>
          <w:color w:val="auto"/>
          <w:kern w:val="24"/>
          <w:sz w:val="24"/>
          <w:highlight w:val="none"/>
        </w:rPr>
        <w:t>；</w:t>
      </w:r>
    </w:p>
    <w:p w14:paraId="73C0DD64">
      <w:pPr>
        <w:tabs>
          <w:tab w:val="left" w:pos="1065"/>
          <w:tab w:val="left" w:pos="6477"/>
        </w:tabs>
        <w:spacing w:line="360" w:lineRule="auto"/>
        <w:ind w:left="-426" w:right="-58" w:firstLine="655"/>
        <w:contextualSpacing/>
        <w:rPr>
          <w:rFonts w:ascii="宋体" w:hAnsi="宋体" w:cs="宋体"/>
          <w:color w:val="auto"/>
          <w:kern w:val="24"/>
          <w:sz w:val="24"/>
          <w:highlight w:val="none"/>
        </w:rPr>
      </w:pPr>
      <w:r>
        <w:rPr>
          <w:rFonts w:hint="eastAsia" w:ascii="宋体" w:hAnsi="宋体" w:cs="宋体"/>
          <w:color w:val="auto"/>
          <w:kern w:val="24"/>
          <w:sz w:val="24"/>
          <w:highlight w:val="none"/>
        </w:rPr>
        <w:t>2.</w:t>
      </w:r>
      <w:r>
        <w:rPr>
          <w:rFonts w:hint="eastAsia" w:ascii="宋体" w:hAnsi="宋体" w:cs="宋体"/>
          <w:color w:val="auto"/>
          <w:kern w:val="24"/>
          <w:sz w:val="24"/>
          <w:highlight w:val="none"/>
          <w:u w:val="single"/>
        </w:rPr>
        <w:t>（标的名称）</w:t>
      </w:r>
      <w:r>
        <w:rPr>
          <w:rFonts w:hint="eastAsia" w:ascii="宋体" w:hAnsi="宋体" w:cs="宋体"/>
          <w:color w:val="auto"/>
          <w:kern w:val="24"/>
          <w:sz w:val="24"/>
          <w:highlight w:val="none"/>
        </w:rPr>
        <w:t>，属于</w:t>
      </w:r>
      <w:r>
        <w:rPr>
          <w:rFonts w:hint="eastAsia" w:ascii="宋体" w:hAnsi="宋体" w:cs="宋体"/>
          <w:color w:val="auto"/>
          <w:kern w:val="24"/>
          <w:sz w:val="24"/>
          <w:highlight w:val="none"/>
          <w:u w:val="single"/>
        </w:rPr>
        <w:t>（采购文件中明确的所属行业）</w:t>
      </w:r>
      <w:r>
        <w:rPr>
          <w:rFonts w:hint="eastAsia" w:ascii="宋体" w:hAnsi="宋体" w:cs="宋体"/>
          <w:color w:val="auto"/>
          <w:kern w:val="24"/>
          <w:sz w:val="24"/>
          <w:highlight w:val="none"/>
        </w:rPr>
        <w:t>行业；制造商为</w:t>
      </w:r>
      <w:r>
        <w:rPr>
          <w:rFonts w:hint="eastAsia" w:ascii="宋体" w:hAnsi="宋体" w:cs="宋体"/>
          <w:color w:val="auto"/>
          <w:kern w:val="24"/>
          <w:sz w:val="24"/>
          <w:highlight w:val="none"/>
          <w:u w:val="single"/>
        </w:rPr>
        <w:t>（企业名称）</w:t>
      </w:r>
      <w:r>
        <w:rPr>
          <w:rFonts w:hint="eastAsia" w:ascii="宋体" w:hAnsi="宋体" w:cs="宋体"/>
          <w:color w:val="auto"/>
          <w:kern w:val="24"/>
          <w:sz w:val="24"/>
          <w:highlight w:val="none"/>
        </w:rPr>
        <w:t>，从业人员人，营业收入为万元，资产总额为万元，属于</w:t>
      </w:r>
      <w:r>
        <w:rPr>
          <w:rFonts w:hint="eastAsia" w:ascii="宋体" w:hAnsi="宋体" w:cs="宋体"/>
          <w:color w:val="auto"/>
          <w:kern w:val="24"/>
          <w:sz w:val="24"/>
          <w:highlight w:val="none"/>
          <w:u w:val="single"/>
        </w:rPr>
        <w:t>（中型企业、小型企业、微型企业）</w:t>
      </w:r>
      <w:r>
        <w:rPr>
          <w:rFonts w:hint="eastAsia" w:ascii="宋体" w:hAnsi="宋体" w:cs="宋体"/>
          <w:color w:val="auto"/>
          <w:kern w:val="24"/>
          <w:sz w:val="24"/>
          <w:highlight w:val="none"/>
        </w:rPr>
        <w:t>；</w:t>
      </w:r>
    </w:p>
    <w:p w14:paraId="2DDD942C">
      <w:pPr>
        <w:pStyle w:val="19"/>
        <w:spacing w:line="360" w:lineRule="auto"/>
        <w:ind w:left="142" w:right="142"/>
        <w:contextualSpacing/>
        <w:rPr>
          <w:rFonts w:ascii="宋体" w:hAnsi="宋体" w:cs="宋体"/>
          <w:color w:val="auto"/>
          <w:kern w:val="24"/>
          <w:highlight w:val="none"/>
        </w:rPr>
      </w:pPr>
      <w:r>
        <w:rPr>
          <w:rFonts w:hint="eastAsia" w:ascii="宋体" w:hAnsi="宋体" w:cs="宋体"/>
          <w:color w:val="auto"/>
          <w:kern w:val="24"/>
          <w:highlight w:val="none"/>
        </w:rPr>
        <w:t xml:space="preserve">…… </w:t>
      </w:r>
    </w:p>
    <w:p w14:paraId="1EC5E471">
      <w:pPr>
        <w:pStyle w:val="19"/>
        <w:spacing w:line="360" w:lineRule="auto"/>
        <w:ind w:left="-405" w:leftChars="-193" w:right="142" w:firstLine="453" w:firstLineChars="189"/>
        <w:contextualSpacing/>
        <w:rPr>
          <w:rFonts w:ascii="宋体" w:hAnsi="宋体" w:cs="宋体"/>
          <w:color w:val="auto"/>
          <w:kern w:val="24"/>
          <w:highlight w:val="none"/>
        </w:rPr>
      </w:pPr>
      <w:r>
        <w:rPr>
          <w:rFonts w:hint="eastAsia" w:ascii="宋体" w:hAnsi="宋体" w:cs="宋体"/>
          <w:color w:val="auto"/>
          <w:kern w:val="24"/>
          <w:highlight w:val="none"/>
        </w:rPr>
        <w:t>以上企业，不属于大企业的分支机构，不存在控股股东为大企业的情形，也不存在与大企业的负责人为同一人的情形。</w:t>
      </w:r>
    </w:p>
    <w:p w14:paraId="5F7850B3">
      <w:pPr>
        <w:pStyle w:val="19"/>
        <w:spacing w:line="360" w:lineRule="auto"/>
        <w:ind w:left="-426" w:right="142" w:firstLine="567"/>
        <w:contextualSpacing/>
        <w:rPr>
          <w:rFonts w:ascii="宋体" w:hAnsi="宋体" w:cs="宋体"/>
          <w:color w:val="auto"/>
          <w:kern w:val="24"/>
          <w:highlight w:val="none"/>
        </w:rPr>
      </w:pPr>
      <w:r>
        <w:rPr>
          <w:rFonts w:hint="eastAsia" w:ascii="宋体" w:hAnsi="宋体" w:cs="宋体"/>
          <w:color w:val="auto"/>
          <w:kern w:val="24"/>
          <w:highlight w:val="none"/>
        </w:rPr>
        <w:t>本企业对上述声明内容的真实性负责。如有虚假，将依法承担相应责任。</w:t>
      </w:r>
    </w:p>
    <w:p w14:paraId="44936908">
      <w:pPr>
        <w:pStyle w:val="19"/>
        <w:spacing w:line="360" w:lineRule="auto"/>
        <w:ind w:left="3960" w:right="1808"/>
        <w:contextualSpacing/>
        <w:rPr>
          <w:rFonts w:ascii="宋体" w:hAnsi="宋体" w:cs="宋体"/>
          <w:color w:val="auto"/>
          <w:kern w:val="24"/>
          <w:highlight w:val="none"/>
        </w:rPr>
      </w:pPr>
    </w:p>
    <w:p w14:paraId="491F4E99">
      <w:pPr>
        <w:pStyle w:val="19"/>
        <w:spacing w:line="360" w:lineRule="auto"/>
        <w:ind w:left="3960" w:right="1808"/>
        <w:contextualSpacing/>
        <w:rPr>
          <w:rFonts w:ascii="宋体" w:hAnsi="宋体" w:cs="宋体"/>
          <w:color w:val="auto"/>
          <w:kern w:val="24"/>
          <w:highlight w:val="none"/>
        </w:rPr>
      </w:pPr>
      <w:r>
        <w:rPr>
          <w:rFonts w:hint="eastAsia" w:ascii="宋体" w:hAnsi="宋体" w:cs="宋体"/>
          <w:color w:val="auto"/>
          <w:kern w:val="24"/>
          <w:highlight w:val="none"/>
        </w:rPr>
        <w:t xml:space="preserve">企业名称（电子签章）： </w:t>
      </w:r>
    </w:p>
    <w:p w14:paraId="44AF7DFF">
      <w:pPr>
        <w:pStyle w:val="19"/>
        <w:spacing w:line="360" w:lineRule="auto"/>
        <w:ind w:left="3960" w:right="1808"/>
        <w:contextualSpacing/>
        <w:rPr>
          <w:rFonts w:ascii="宋体" w:hAnsi="宋体" w:cs="宋体"/>
          <w:color w:val="auto"/>
          <w:kern w:val="24"/>
          <w:highlight w:val="none"/>
        </w:rPr>
      </w:pPr>
      <w:r>
        <w:rPr>
          <w:rFonts w:hint="eastAsia" w:ascii="宋体" w:hAnsi="宋体" w:cs="宋体"/>
          <w:color w:val="auto"/>
          <w:kern w:val="24"/>
          <w:highlight w:val="none"/>
        </w:rPr>
        <w:t>日期：</w:t>
      </w:r>
    </w:p>
    <w:p w14:paraId="6F716BD5">
      <w:pPr>
        <w:pStyle w:val="19"/>
        <w:spacing w:line="360" w:lineRule="auto"/>
        <w:ind w:left="3960" w:right="1808"/>
        <w:contextualSpacing/>
        <w:rPr>
          <w:rFonts w:ascii="宋体" w:hAnsi="宋体" w:cs="宋体"/>
          <w:color w:val="auto"/>
          <w:kern w:val="24"/>
          <w:highlight w:val="none"/>
        </w:rPr>
      </w:pPr>
    </w:p>
    <w:p w14:paraId="03ED27D0">
      <w:pPr>
        <w:pStyle w:val="19"/>
        <w:spacing w:line="360" w:lineRule="auto"/>
        <w:ind w:left="3960" w:right="1808"/>
        <w:contextualSpacing/>
        <w:rPr>
          <w:rFonts w:ascii="宋体" w:hAnsi="宋体" w:cs="宋体"/>
          <w:color w:val="auto"/>
          <w:kern w:val="24"/>
          <w:highlight w:val="none"/>
        </w:rPr>
      </w:pPr>
    </w:p>
    <w:p w14:paraId="5C33F668">
      <w:pPr>
        <w:pStyle w:val="19"/>
        <w:spacing w:line="360" w:lineRule="auto"/>
        <w:ind w:left="-426" w:right="142" w:firstLine="567"/>
        <w:contextualSpacing/>
        <w:rPr>
          <w:rFonts w:ascii="宋体" w:hAnsi="宋体" w:cs="宋体"/>
          <w:color w:val="auto"/>
          <w:kern w:val="24"/>
          <w:highlight w:val="none"/>
        </w:rPr>
      </w:pPr>
      <w:r>
        <w:rPr>
          <w:rFonts w:hint="eastAsia" w:ascii="宋体" w:hAnsi="宋体" w:cs="宋体"/>
          <w:color w:val="auto"/>
          <w:kern w:val="24"/>
          <w:highlight w:val="none"/>
        </w:rPr>
        <w:t>注：享受《政府采购促进中小企业发展管理办法》（财库〔2020〕46号）规定的中小企业扶持政策的，采购人、采购代理机构应当随中标结果公开中标人的《中小企业声明函》。从业人员、营业收入、资产总额填报上一年度数据，无上一年度数据的新成立企业可不填报。</w:t>
      </w:r>
    </w:p>
    <w:p w14:paraId="523E6F66">
      <w:pPr>
        <w:snapToGrid w:val="0"/>
        <w:spacing w:before="120"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3.残疾人福利性单位声明函格式</w:t>
      </w:r>
    </w:p>
    <w:p w14:paraId="6367CA39">
      <w:pPr>
        <w:spacing w:line="588" w:lineRule="exact"/>
        <w:jc w:val="center"/>
        <w:rPr>
          <w:rFonts w:ascii="宋体" w:hAnsi="宋体" w:cs="宋体"/>
          <w:b/>
          <w:color w:val="auto"/>
          <w:spacing w:val="6"/>
          <w:sz w:val="32"/>
          <w:szCs w:val="32"/>
          <w:highlight w:val="none"/>
        </w:rPr>
      </w:pPr>
    </w:p>
    <w:p w14:paraId="2FFF220E">
      <w:pPr>
        <w:spacing w:line="588" w:lineRule="exact"/>
        <w:jc w:val="center"/>
        <w:rPr>
          <w:rFonts w:ascii="宋体" w:hAnsi="宋体" w:cs="宋体"/>
          <w:bCs/>
          <w:color w:val="auto"/>
          <w:spacing w:val="6"/>
          <w:sz w:val="44"/>
          <w:szCs w:val="44"/>
          <w:highlight w:val="none"/>
        </w:rPr>
      </w:pPr>
      <w:r>
        <w:rPr>
          <w:rFonts w:hint="eastAsia" w:ascii="宋体" w:hAnsi="宋体" w:cs="宋体"/>
          <w:bCs/>
          <w:color w:val="auto"/>
          <w:spacing w:val="6"/>
          <w:sz w:val="44"/>
          <w:szCs w:val="44"/>
          <w:highlight w:val="none"/>
        </w:rPr>
        <w:t>残疾人福利性单位声明函</w:t>
      </w:r>
    </w:p>
    <w:p w14:paraId="7B420CC2">
      <w:pPr>
        <w:spacing w:line="360" w:lineRule="auto"/>
        <w:contextualSpacing/>
        <w:rPr>
          <w:rFonts w:ascii="宋体" w:hAnsi="宋体" w:cs="宋体"/>
          <w:bCs/>
          <w:color w:val="auto"/>
          <w:spacing w:val="6"/>
          <w:sz w:val="30"/>
          <w:szCs w:val="30"/>
          <w:highlight w:val="none"/>
        </w:rPr>
      </w:pPr>
    </w:p>
    <w:p w14:paraId="543F14D7">
      <w:pPr>
        <w:spacing w:line="360" w:lineRule="auto"/>
        <w:ind w:firstLine="504" w:firstLineChars="200"/>
        <w:contextualSpacing/>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 141</w:t>
      </w:r>
      <w:r>
        <w:rPr>
          <w:rFonts w:hint="eastAsia" w:ascii="宋体" w:hAnsi="宋体" w:cs="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cs="宋体"/>
          <w:color w:val="auto"/>
          <w:spacing w:val="-6"/>
          <w:sz w:val="24"/>
          <w:highlight w:val="none"/>
        </w:rPr>
        <w:t>疾人福利性单位制造的货物（不包括使用非残疾人福利性单位注册商标的货物）。</w:t>
      </w:r>
    </w:p>
    <w:p w14:paraId="7498EBB8">
      <w:pPr>
        <w:spacing w:line="360" w:lineRule="auto"/>
        <w:ind w:firstLine="504" w:firstLineChars="200"/>
        <w:contextualSpacing/>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14:paraId="35057902">
      <w:pPr>
        <w:spacing w:line="360" w:lineRule="auto"/>
        <w:ind w:firstLine="504" w:firstLineChars="200"/>
        <w:contextualSpacing/>
        <w:rPr>
          <w:rFonts w:ascii="宋体" w:hAnsi="宋体" w:cs="宋体"/>
          <w:color w:val="auto"/>
          <w:spacing w:val="6"/>
          <w:sz w:val="24"/>
          <w:highlight w:val="none"/>
        </w:rPr>
      </w:pPr>
    </w:p>
    <w:p w14:paraId="114F0BDD">
      <w:pPr>
        <w:spacing w:line="360" w:lineRule="auto"/>
        <w:ind w:firstLine="504" w:firstLineChars="200"/>
        <w:contextualSpacing/>
        <w:rPr>
          <w:rFonts w:ascii="宋体" w:hAnsi="宋体" w:cs="宋体"/>
          <w:color w:val="auto"/>
          <w:spacing w:val="6"/>
          <w:sz w:val="24"/>
          <w:highlight w:val="none"/>
        </w:rPr>
      </w:pPr>
    </w:p>
    <w:p w14:paraId="1CCAE28A">
      <w:pPr>
        <w:tabs>
          <w:tab w:val="left" w:pos="4860"/>
        </w:tabs>
        <w:spacing w:line="360" w:lineRule="auto"/>
        <w:ind w:right="1560" w:firstLine="504" w:firstLineChars="200"/>
        <w:contextualSpacing/>
        <w:jc w:val="center"/>
        <w:rPr>
          <w:rFonts w:ascii="宋体" w:hAnsi="宋体" w:cs="宋体"/>
          <w:color w:val="auto"/>
          <w:spacing w:val="6"/>
          <w:sz w:val="24"/>
          <w:highlight w:val="none"/>
        </w:rPr>
      </w:pPr>
      <w:r>
        <w:rPr>
          <w:rFonts w:hint="eastAsia" w:ascii="宋体" w:hAnsi="宋体" w:cs="宋体"/>
          <w:color w:val="auto"/>
          <w:spacing w:val="6"/>
          <w:sz w:val="24"/>
          <w:highlight w:val="none"/>
        </w:rPr>
        <w:t>单位名称（电子签章）：</w:t>
      </w:r>
    </w:p>
    <w:p w14:paraId="2D89ECB4">
      <w:pPr>
        <w:tabs>
          <w:tab w:val="left" w:pos="4860"/>
        </w:tabs>
        <w:spacing w:line="360" w:lineRule="auto"/>
        <w:ind w:right="1560" w:firstLine="504" w:firstLineChars="200"/>
        <w:contextualSpacing/>
        <w:jc w:val="center"/>
        <w:rPr>
          <w:rFonts w:ascii="宋体" w:hAnsi="宋体" w:cs="宋体"/>
          <w:color w:val="auto"/>
          <w:spacing w:val="6"/>
          <w:sz w:val="24"/>
          <w:highlight w:val="none"/>
        </w:rPr>
      </w:pPr>
      <w:r>
        <w:rPr>
          <w:rFonts w:hint="eastAsia" w:ascii="宋体" w:hAnsi="宋体" w:cs="宋体"/>
          <w:color w:val="auto"/>
          <w:spacing w:val="6"/>
          <w:sz w:val="24"/>
          <w:highlight w:val="none"/>
        </w:rPr>
        <w:t>日  期：</w:t>
      </w:r>
    </w:p>
    <w:p w14:paraId="5119718C">
      <w:pPr>
        <w:spacing w:line="360" w:lineRule="auto"/>
        <w:contextualSpacing/>
        <w:rPr>
          <w:rFonts w:ascii="宋体" w:hAnsi="宋体" w:cs="宋体"/>
          <w:color w:val="auto"/>
          <w:sz w:val="24"/>
          <w:highlight w:val="none"/>
        </w:rPr>
      </w:pPr>
    </w:p>
    <w:p w14:paraId="69D6B7BD">
      <w:pPr>
        <w:spacing w:line="360" w:lineRule="auto"/>
        <w:contextualSpacing/>
        <w:rPr>
          <w:rFonts w:ascii="宋体" w:hAnsi="宋体" w:cs="宋体"/>
          <w:color w:val="auto"/>
          <w:sz w:val="24"/>
          <w:highlight w:val="none"/>
        </w:rPr>
      </w:pPr>
    </w:p>
    <w:p w14:paraId="78B29100">
      <w:pPr>
        <w:spacing w:line="360" w:lineRule="auto"/>
        <w:contextualSpacing/>
        <w:rPr>
          <w:rFonts w:ascii="宋体" w:hAnsi="宋体" w:cs="宋体"/>
          <w:color w:val="auto"/>
          <w:sz w:val="24"/>
          <w:highlight w:val="none"/>
        </w:rPr>
      </w:pPr>
    </w:p>
    <w:p w14:paraId="18546B11">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6E4F2ACC">
      <w:pPr>
        <w:spacing w:line="360" w:lineRule="auto"/>
        <w:jc w:val="lef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color w:val="auto"/>
          <w:sz w:val="24"/>
          <w:highlight w:val="none"/>
        </w:rPr>
        <w:t>4.质疑函（格式）</w:t>
      </w:r>
    </w:p>
    <w:p w14:paraId="03FCA501">
      <w:pPr>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质疑函（格式）</w:t>
      </w:r>
    </w:p>
    <w:p w14:paraId="1D8B454F">
      <w:pPr>
        <w:pStyle w:val="25"/>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一、质疑供应商基本信息：</w:t>
      </w:r>
    </w:p>
    <w:p w14:paraId="3FEE807B">
      <w:pPr>
        <w:pStyle w:val="2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质疑供应商：</w:t>
      </w:r>
      <w:r>
        <w:rPr>
          <w:rFonts w:hint="eastAsia" w:hAnsi="宋体" w:cs="宋体"/>
          <w:color w:val="auto"/>
          <w:sz w:val="24"/>
          <w:szCs w:val="24"/>
          <w:highlight w:val="none"/>
          <w:u w:val="single"/>
        </w:rPr>
        <w:t>　　　　　</w:t>
      </w:r>
    </w:p>
    <w:p w14:paraId="52AC3061">
      <w:pPr>
        <w:pStyle w:val="2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color w:val="auto"/>
          <w:sz w:val="24"/>
          <w:szCs w:val="24"/>
          <w:highlight w:val="none"/>
          <w:u w:val="single"/>
        </w:rPr>
        <w:t>　　　　　</w:t>
      </w:r>
      <w:r>
        <w:rPr>
          <w:rFonts w:hint="eastAsia" w:hAnsi="宋体" w:cs="宋体"/>
          <w:bCs/>
          <w:color w:val="auto"/>
          <w:sz w:val="24"/>
          <w:szCs w:val="24"/>
          <w:highlight w:val="none"/>
        </w:rPr>
        <w:t>邮编：</w:t>
      </w:r>
      <w:r>
        <w:rPr>
          <w:rFonts w:hint="eastAsia" w:hAnsi="宋体" w:cs="宋体"/>
          <w:color w:val="auto"/>
          <w:sz w:val="24"/>
          <w:szCs w:val="24"/>
          <w:highlight w:val="none"/>
          <w:u w:val="single"/>
        </w:rPr>
        <w:t>　　　　　</w:t>
      </w:r>
    </w:p>
    <w:p w14:paraId="56ACAFDE">
      <w:pPr>
        <w:pStyle w:val="2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color w:val="auto"/>
          <w:sz w:val="24"/>
          <w:szCs w:val="24"/>
          <w:highlight w:val="none"/>
          <w:u w:val="single"/>
        </w:rPr>
        <w:t>　　　　　</w:t>
      </w:r>
      <w:r>
        <w:rPr>
          <w:rFonts w:hint="eastAsia" w:hAnsi="宋体" w:cs="宋体"/>
          <w:bCs/>
          <w:color w:val="auto"/>
          <w:sz w:val="24"/>
          <w:szCs w:val="24"/>
          <w:highlight w:val="none"/>
        </w:rPr>
        <w:t>联系电话：</w:t>
      </w:r>
      <w:r>
        <w:rPr>
          <w:rFonts w:hint="eastAsia" w:hAnsi="宋体" w:cs="宋体"/>
          <w:color w:val="auto"/>
          <w:sz w:val="24"/>
          <w:szCs w:val="24"/>
          <w:highlight w:val="none"/>
          <w:u w:val="single"/>
        </w:rPr>
        <w:t>　　　　　</w:t>
      </w:r>
    </w:p>
    <w:p w14:paraId="0D197CEF">
      <w:pPr>
        <w:pStyle w:val="2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授权代表：</w:t>
      </w:r>
      <w:r>
        <w:rPr>
          <w:rFonts w:hint="eastAsia" w:hAnsi="宋体" w:cs="宋体"/>
          <w:color w:val="auto"/>
          <w:sz w:val="24"/>
          <w:szCs w:val="24"/>
          <w:highlight w:val="none"/>
          <w:u w:val="single"/>
        </w:rPr>
        <w:t>　　　　　</w:t>
      </w:r>
    </w:p>
    <w:p w14:paraId="50404621">
      <w:pPr>
        <w:pStyle w:val="2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联系电话：</w:t>
      </w:r>
      <w:r>
        <w:rPr>
          <w:rFonts w:hint="eastAsia" w:hAnsi="宋体" w:cs="宋体"/>
          <w:color w:val="auto"/>
          <w:sz w:val="24"/>
          <w:szCs w:val="24"/>
          <w:highlight w:val="none"/>
          <w:u w:val="single"/>
        </w:rPr>
        <w:t>　　　　　</w:t>
      </w:r>
    </w:p>
    <w:p w14:paraId="6BF20378">
      <w:pPr>
        <w:pStyle w:val="2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color w:val="auto"/>
          <w:sz w:val="24"/>
          <w:szCs w:val="24"/>
          <w:highlight w:val="none"/>
          <w:u w:val="single"/>
        </w:rPr>
        <w:t>　　　　　</w:t>
      </w:r>
      <w:r>
        <w:rPr>
          <w:rFonts w:hint="eastAsia" w:hAnsi="宋体" w:cs="宋体"/>
          <w:bCs/>
          <w:color w:val="auto"/>
          <w:sz w:val="24"/>
          <w:szCs w:val="24"/>
          <w:highlight w:val="none"/>
        </w:rPr>
        <w:t>邮编：</w:t>
      </w:r>
      <w:r>
        <w:rPr>
          <w:rFonts w:hint="eastAsia" w:hAnsi="宋体" w:cs="宋体"/>
          <w:color w:val="auto"/>
          <w:sz w:val="24"/>
          <w:szCs w:val="24"/>
          <w:highlight w:val="none"/>
          <w:u w:val="single"/>
        </w:rPr>
        <w:t>　　　　　</w:t>
      </w:r>
    </w:p>
    <w:p w14:paraId="767F0AD0">
      <w:pPr>
        <w:pStyle w:val="25"/>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二、质疑项目基本情况：</w:t>
      </w:r>
    </w:p>
    <w:p w14:paraId="6C43E807">
      <w:pPr>
        <w:pStyle w:val="25"/>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项目的名称：</w:t>
      </w:r>
      <w:r>
        <w:rPr>
          <w:rFonts w:hint="eastAsia" w:hAnsi="宋体" w:cs="宋体"/>
          <w:color w:val="auto"/>
          <w:sz w:val="24"/>
          <w:szCs w:val="24"/>
          <w:highlight w:val="none"/>
          <w:u w:val="single"/>
        </w:rPr>
        <w:t>　　　　　</w:t>
      </w:r>
    </w:p>
    <w:p w14:paraId="7144CAC9">
      <w:pPr>
        <w:pStyle w:val="25"/>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项目的编号：</w:t>
      </w:r>
      <w:r>
        <w:rPr>
          <w:rFonts w:hint="eastAsia" w:hAnsi="宋体" w:cs="宋体"/>
          <w:color w:val="auto"/>
          <w:sz w:val="24"/>
          <w:szCs w:val="24"/>
          <w:highlight w:val="none"/>
          <w:u w:val="single"/>
        </w:rPr>
        <w:t>　　　　　</w:t>
      </w:r>
    </w:p>
    <w:p w14:paraId="32CD460A">
      <w:pPr>
        <w:pStyle w:val="2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采购人名称：</w:t>
      </w:r>
      <w:r>
        <w:rPr>
          <w:rFonts w:hint="eastAsia" w:hAnsi="宋体" w:cs="宋体"/>
          <w:color w:val="auto"/>
          <w:sz w:val="24"/>
          <w:szCs w:val="24"/>
          <w:highlight w:val="none"/>
          <w:u w:val="single"/>
        </w:rPr>
        <w:t>　　　　　</w:t>
      </w:r>
    </w:p>
    <w:p w14:paraId="41FF53E1">
      <w:pPr>
        <w:pStyle w:val="2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质疑事项：</w:t>
      </w:r>
      <w:r>
        <w:rPr>
          <w:rFonts w:hint="eastAsia" w:hAnsi="宋体" w:cs="宋体"/>
          <w:color w:val="auto"/>
          <w:sz w:val="24"/>
          <w:szCs w:val="24"/>
          <w:highlight w:val="none"/>
          <w:u w:val="single"/>
        </w:rPr>
        <w:t>　　　　　</w:t>
      </w:r>
    </w:p>
    <w:p w14:paraId="63E1EFDB">
      <w:pPr>
        <w:pStyle w:val="25"/>
        <w:spacing w:line="360" w:lineRule="auto"/>
        <w:ind w:left="25" w:leftChars="12" w:firstLine="352" w:firstLineChars="147"/>
        <w:rPr>
          <w:rFonts w:hAnsi="宋体" w:cs="宋体"/>
          <w:color w:val="auto"/>
          <w:sz w:val="24"/>
          <w:szCs w:val="24"/>
          <w:highlight w:val="none"/>
        </w:rPr>
      </w:pPr>
      <w:r>
        <w:rPr>
          <w:rFonts w:hint="eastAsia" w:hAnsi="宋体" w:cs="宋体"/>
          <w:color w:val="auto"/>
          <w:sz w:val="24"/>
          <w:szCs w:val="24"/>
          <w:highlight w:val="none"/>
        </w:rPr>
        <w:t>□采购文件   采购文件获取日期：</w:t>
      </w:r>
    </w:p>
    <w:p w14:paraId="79FB9F3E">
      <w:pPr>
        <w:pStyle w:val="25"/>
        <w:spacing w:line="360" w:lineRule="auto"/>
        <w:ind w:left="25" w:leftChars="12" w:firstLine="352" w:firstLineChars="147"/>
        <w:rPr>
          <w:rFonts w:hAnsi="宋体" w:cs="宋体"/>
          <w:color w:val="auto"/>
          <w:sz w:val="24"/>
          <w:szCs w:val="24"/>
          <w:highlight w:val="none"/>
        </w:rPr>
      </w:pPr>
      <w:r>
        <w:rPr>
          <w:rFonts w:hint="eastAsia" w:hAnsi="宋体" w:cs="宋体"/>
          <w:color w:val="auto"/>
          <w:sz w:val="24"/>
          <w:szCs w:val="24"/>
          <w:highlight w:val="none"/>
        </w:rPr>
        <w:t xml:space="preserve">□采购过程   </w:t>
      </w:r>
    </w:p>
    <w:p w14:paraId="25A63266">
      <w:pPr>
        <w:pStyle w:val="25"/>
        <w:spacing w:line="360" w:lineRule="auto"/>
        <w:ind w:left="25" w:leftChars="12" w:firstLine="352" w:firstLineChars="147"/>
        <w:rPr>
          <w:rFonts w:hAnsi="宋体" w:cs="宋体"/>
          <w:bCs/>
          <w:color w:val="auto"/>
          <w:sz w:val="24"/>
          <w:szCs w:val="24"/>
          <w:highlight w:val="none"/>
          <w:u w:val="single"/>
        </w:rPr>
      </w:pPr>
      <w:r>
        <w:rPr>
          <w:rFonts w:hint="eastAsia" w:hAnsi="宋体" w:cs="宋体"/>
          <w:color w:val="auto"/>
          <w:sz w:val="24"/>
          <w:szCs w:val="24"/>
          <w:highlight w:val="none"/>
        </w:rPr>
        <w:t xml:space="preserve">□采购结果   </w:t>
      </w:r>
    </w:p>
    <w:p w14:paraId="3211A212">
      <w:pPr>
        <w:pStyle w:val="25"/>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三、质疑事项具体内容</w:t>
      </w:r>
    </w:p>
    <w:p w14:paraId="77CE590A">
      <w:pPr>
        <w:pStyle w:val="2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质疑事项1：</w:t>
      </w:r>
    </w:p>
    <w:p w14:paraId="36D66A90">
      <w:pPr>
        <w:pStyle w:val="2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事实依据：</w:t>
      </w:r>
    </w:p>
    <w:p w14:paraId="65B65235">
      <w:pPr>
        <w:pStyle w:val="2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法律依据：</w:t>
      </w:r>
    </w:p>
    <w:p w14:paraId="21A8D498">
      <w:pPr>
        <w:pStyle w:val="2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质疑事项2</w:t>
      </w:r>
    </w:p>
    <w:p w14:paraId="0B3C6F5F">
      <w:pPr>
        <w:pStyle w:val="2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w:t>
      </w:r>
    </w:p>
    <w:p w14:paraId="0152A369">
      <w:pPr>
        <w:pStyle w:val="2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四、与质疑事项相关的质疑请求：</w:t>
      </w:r>
    </w:p>
    <w:p w14:paraId="0D95FBB1">
      <w:pPr>
        <w:pStyle w:val="2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请求：</w:t>
      </w:r>
    </w:p>
    <w:p w14:paraId="6F8F9398">
      <w:pPr>
        <w:pStyle w:val="25"/>
        <w:spacing w:line="360" w:lineRule="auto"/>
        <w:ind w:left="25" w:leftChars="12" w:firstLine="352" w:firstLineChars="147"/>
        <w:rPr>
          <w:rFonts w:hAnsi="宋体" w:cs="宋体"/>
          <w:color w:val="auto"/>
          <w:sz w:val="24"/>
          <w:szCs w:val="24"/>
          <w:highlight w:val="none"/>
        </w:rPr>
      </w:pPr>
    </w:p>
    <w:p w14:paraId="752D896F">
      <w:pPr>
        <w:pStyle w:val="2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签字（签章）：                                       公章：</w:t>
      </w:r>
    </w:p>
    <w:p w14:paraId="38E1E459">
      <w:pPr>
        <w:pStyle w:val="25"/>
        <w:spacing w:line="360" w:lineRule="auto"/>
        <w:ind w:left="25" w:leftChars="12" w:firstLine="352" w:firstLineChars="147"/>
        <w:rPr>
          <w:rFonts w:hAnsi="宋体" w:cs="宋体"/>
          <w:color w:val="auto"/>
          <w:sz w:val="24"/>
          <w:szCs w:val="24"/>
          <w:highlight w:val="none"/>
        </w:rPr>
      </w:pPr>
    </w:p>
    <w:p w14:paraId="1F643485">
      <w:pPr>
        <w:pStyle w:val="2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日期：</w:t>
      </w:r>
    </w:p>
    <w:p w14:paraId="5FD47C04">
      <w:pPr>
        <w:pStyle w:val="25"/>
        <w:snapToGrid w:val="0"/>
        <w:spacing w:line="360" w:lineRule="auto"/>
        <w:rPr>
          <w:rFonts w:hAnsi="宋体" w:cs="宋体"/>
          <w:b/>
          <w:color w:val="auto"/>
          <w:sz w:val="24"/>
          <w:szCs w:val="24"/>
          <w:highlight w:val="none"/>
        </w:rPr>
      </w:pPr>
    </w:p>
    <w:p w14:paraId="259120CF">
      <w:pPr>
        <w:pStyle w:val="25"/>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说明：</w:t>
      </w:r>
    </w:p>
    <w:p w14:paraId="551CD0A3">
      <w:pPr>
        <w:pStyle w:val="25"/>
        <w:spacing w:line="360" w:lineRule="auto"/>
        <w:ind w:left="25" w:leftChars="12" w:firstLine="354" w:firstLineChars="147"/>
        <w:rPr>
          <w:rFonts w:hAnsi="宋体" w:cs="宋体"/>
          <w:b/>
          <w:bCs/>
          <w:color w:val="auto"/>
          <w:sz w:val="24"/>
          <w:szCs w:val="24"/>
          <w:highlight w:val="none"/>
        </w:rPr>
      </w:pPr>
      <w:r>
        <w:rPr>
          <w:rFonts w:hint="eastAsia" w:hAnsi="宋体" w:cs="宋体"/>
          <w:b/>
          <w:color w:val="auto"/>
          <w:sz w:val="24"/>
          <w:szCs w:val="24"/>
          <w:highlight w:val="none"/>
        </w:rPr>
        <w:t>1.供应商提出质疑时，应提交质疑函和必要的证明材料</w:t>
      </w:r>
      <w:r>
        <w:rPr>
          <w:rFonts w:hint="eastAsia" w:hAnsi="宋体" w:cs="宋体"/>
          <w:b/>
          <w:bCs/>
          <w:color w:val="auto"/>
          <w:sz w:val="24"/>
          <w:szCs w:val="24"/>
          <w:highlight w:val="none"/>
        </w:rPr>
        <w:t>。</w:t>
      </w:r>
    </w:p>
    <w:p w14:paraId="444599B7">
      <w:pPr>
        <w:pStyle w:val="25"/>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105AFD4">
      <w:pPr>
        <w:pStyle w:val="25"/>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3.质疑函的质疑事项应具体、明确，并有必要的事实依据和法律依据。</w:t>
      </w:r>
    </w:p>
    <w:p w14:paraId="6A6E6A14">
      <w:pPr>
        <w:pStyle w:val="25"/>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4.质疑函的质疑请求应与质疑事项相关。</w:t>
      </w:r>
    </w:p>
    <w:p w14:paraId="68B5D02C">
      <w:pPr>
        <w:pStyle w:val="25"/>
        <w:spacing w:line="360" w:lineRule="auto"/>
        <w:ind w:left="25" w:leftChars="12" w:firstLine="354" w:firstLineChars="147"/>
        <w:rPr>
          <w:rFonts w:hAnsi="宋体" w:cs="宋体"/>
          <w:b/>
          <w:color w:val="auto"/>
          <w:highlight w:val="none"/>
        </w:rPr>
      </w:pPr>
      <w:r>
        <w:rPr>
          <w:rFonts w:hint="eastAsia" w:hAnsi="宋体" w:cs="宋体"/>
          <w:b/>
          <w:color w:val="auto"/>
          <w:sz w:val="24"/>
          <w:szCs w:val="24"/>
          <w:highlight w:val="none"/>
        </w:rPr>
        <w:t>5.质疑供应商为法人或者其他组织的，质疑函应由法定代表人、主要负责人，或者其授权代表签字或者盖章，并加盖公章。</w:t>
      </w:r>
    </w:p>
    <w:p w14:paraId="03F5D146">
      <w:pPr>
        <w:pStyle w:val="25"/>
        <w:snapToGrid w:val="0"/>
        <w:rPr>
          <w:rFonts w:hAnsi="宋体" w:cs="宋体"/>
          <w:b/>
          <w:color w:val="auto"/>
          <w:sz w:val="24"/>
          <w:szCs w:val="24"/>
          <w:highlight w:val="none"/>
        </w:rPr>
      </w:pPr>
    </w:p>
    <w:p w14:paraId="2AEF7040">
      <w:pPr>
        <w:spacing w:line="360" w:lineRule="auto"/>
        <w:jc w:val="left"/>
        <w:rPr>
          <w:rFonts w:ascii="宋体" w:hAnsi="宋体" w:cs="宋体"/>
          <w:b/>
          <w:bCs/>
          <w:color w:val="auto"/>
          <w:sz w:val="32"/>
          <w:szCs w:val="32"/>
          <w:highlight w:val="none"/>
        </w:rPr>
      </w:pPr>
      <w:r>
        <w:rPr>
          <w:rFonts w:hint="eastAsia" w:ascii="宋体" w:hAnsi="宋体" w:cs="宋体"/>
          <w:color w:val="auto"/>
          <w:sz w:val="44"/>
          <w:highlight w:val="none"/>
        </w:rPr>
        <w:br w:type="page"/>
      </w:r>
      <w:r>
        <w:rPr>
          <w:rFonts w:hint="eastAsia" w:ascii="宋体" w:hAnsi="宋体" w:cs="宋体"/>
          <w:b/>
          <w:color w:val="auto"/>
          <w:sz w:val="24"/>
          <w:highlight w:val="none"/>
        </w:rPr>
        <w:t>5.投诉书（格式）</w:t>
      </w:r>
    </w:p>
    <w:p w14:paraId="23D0B589">
      <w:pPr>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投诉书（格式）</w:t>
      </w:r>
    </w:p>
    <w:p w14:paraId="0B66F6C7">
      <w:pPr>
        <w:pStyle w:val="25"/>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一、投诉相关主体基本情况：</w:t>
      </w:r>
    </w:p>
    <w:p w14:paraId="49A5DD1D">
      <w:pPr>
        <w:pStyle w:val="25"/>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投标人：</w:t>
      </w:r>
      <w:r>
        <w:rPr>
          <w:rFonts w:hint="eastAsia" w:hAnsi="宋体" w:cs="宋体"/>
          <w:color w:val="auto"/>
          <w:sz w:val="24"/>
          <w:szCs w:val="24"/>
          <w:highlight w:val="none"/>
          <w:u w:val="single"/>
        </w:rPr>
        <w:t>　　　　　</w:t>
      </w:r>
    </w:p>
    <w:p w14:paraId="4ABAFF57">
      <w:pPr>
        <w:pStyle w:val="25"/>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color w:val="auto"/>
          <w:sz w:val="24"/>
          <w:szCs w:val="24"/>
          <w:highlight w:val="none"/>
          <w:u w:val="single"/>
        </w:rPr>
        <w:t>　　　　　</w:t>
      </w:r>
      <w:r>
        <w:rPr>
          <w:rFonts w:hint="eastAsia" w:hAnsi="宋体" w:cs="宋体"/>
          <w:bCs/>
          <w:color w:val="auto"/>
          <w:sz w:val="24"/>
          <w:szCs w:val="24"/>
          <w:highlight w:val="none"/>
        </w:rPr>
        <w:t>邮编：</w:t>
      </w:r>
      <w:r>
        <w:rPr>
          <w:rFonts w:hint="eastAsia" w:hAnsi="宋体" w:cs="宋体"/>
          <w:color w:val="auto"/>
          <w:sz w:val="24"/>
          <w:szCs w:val="24"/>
          <w:highlight w:val="none"/>
          <w:u w:val="single"/>
        </w:rPr>
        <w:t>　　　　　</w:t>
      </w:r>
    </w:p>
    <w:p w14:paraId="3A9EB8DE">
      <w:pPr>
        <w:pStyle w:val="25"/>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法定代表人/主要负责人：</w:t>
      </w:r>
      <w:r>
        <w:rPr>
          <w:rFonts w:hint="eastAsia" w:hAnsi="宋体" w:cs="宋体"/>
          <w:color w:val="auto"/>
          <w:sz w:val="24"/>
          <w:szCs w:val="24"/>
          <w:highlight w:val="none"/>
          <w:u w:val="single"/>
        </w:rPr>
        <w:t>　　　　　</w:t>
      </w:r>
    </w:p>
    <w:p w14:paraId="73D6F09D">
      <w:pPr>
        <w:pStyle w:val="25"/>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联系电话：</w:t>
      </w:r>
      <w:r>
        <w:rPr>
          <w:rFonts w:hint="eastAsia" w:hAnsi="宋体" w:cs="宋体"/>
          <w:color w:val="auto"/>
          <w:sz w:val="24"/>
          <w:szCs w:val="24"/>
          <w:highlight w:val="none"/>
          <w:u w:val="single"/>
        </w:rPr>
        <w:t>　　　　　</w:t>
      </w:r>
    </w:p>
    <w:p w14:paraId="371DAFF1">
      <w:pPr>
        <w:pStyle w:val="25"/>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授权代表：</w:t>
      </w:r>
      <w:r>
        <w:rPr>
          <w:rFonts w:hint="eastAsia" w:hAnsi="宋体" w:cs="宋体"/>
          <w:color w:val="auto"/>
          <w:sz w:val="24"/>
          <w:szCs w:val="24"/>
          <w:highlight w:val="none"/>
          <w:u w:val="single"/>
        </w:rPr>
        <w:t>　　　　　</w:t>
      </w:r>
      <w:r>
        <w:rPr>
          <w:rFonts w:hint="eastAsia" w:hAnsi="宋体" w:cs="宋体"/>
          <w:bCs/>
          <w:color w:val="auto"/>
          <w:sz w:val="24"/>
          <w:szCs w:val="24"/>
          <w:highlight w:val="none"/>
        </w:rPr>
        <w:t>联系电话：</w:t>
      </w:r>
      <w:r>
        <w:rPr>
          <w:rFonts w:hint="eastAsia" w:hAnsi="宋体" w:cs="宋体"/>
          <w:color w:val="auto"/>
          <w:sz w:val="24"/>
          <w:szCs w:val="24"/>
          <w:highlight w:val="none"/>
          <w:u w:val="single"/>
        </w:rPr>
        <w:t>　　　　　</w:t>
      </w:r>
    </w:p>
    <w:p w14:paraId="1522F08E">
      <w:pPr>
        <w:pStyle w:val="25"/>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color w:val="auto"/>
          <w:sz w:val="24"/>
          <w:szCs w:val="24"/>
          <w:highlight w:val="none"/>
          <w:u w:val="single"/>
        </w:rPr>
        <w:t>　　　　　</w:t>
      </w:r>
    </w:p>
    <w:p w14:paraId="75A6894F">
      <w:pPr>
        <w:pStyle w:val="25"/>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color w:val="auto"/>
          <w:sz w:val="24"/>
          <w:szCs w:val="24"/>
          <w:highlight w:val="none"/>
          <w:u w:val="single"/>
        </w:rPr>
        <w:t>　　　　　</w:t>
      </w:r>
    </w:p>
    <w:p w14:paraId="1BA1A0AF">
      <w:pPr>
        <w:pStyle w:val="25"/>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被投诉人1：</w:t>
      </w:r>
      <w:r>
        <w:rPr>
          <w:rFonts w:hint="eastAsia" w:hAnsi="宋体" w:cs="宋体"/>
          <w:color w:val="auto"/>
          <w:sz w:val="24"/>
          <w:szCs w:val="24"/>
          <w:highlight w:val="none"/>
          <w:u w:val="single"/>
        </w:rPr>
        <w:t>　　　　　</w:t>
      </w:r>
    </w:p>
    <w:p w14:paraId="431BC20E">
      <w:pPr>
        <w:pStyle w:val="25"/>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color w:val="auto"/>
          <w:sz w:val="24"/>
          <w:szCs w:val="24"/>
          <w:highlight w:val="none"/>
          <w:u w:val="single"/>
        </w:rPr>
        <w:t>　　　　　</w:t>
      </w:r>
    </w:p>
    <w:p w14:paraId="64A7815C">
      <w:pPr>
        <w:pStyle w:val="25"/>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color w:val="auto"/>
          <w:sz w:val="24"/>
          <w:szCs w:val="24"/>
          <w:highlight w:val="none"/>
          <w:u w:val="single"/>
        </w:rPr>
        <w:t>　　　　　</w:t>
      </w:r>
    </w:p>
    <w:p w14:paraId="55B4EFBA">
      <w:pPr>
        <w:pStyle w:val="25"/>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联系人：</w:t>
      </w:r>
      <w:r>
        <w:rPr>
          <w:rFonts w:hint="eastAsia" w:hAnsi="宋体" w:cs="宋体"/>
          <w:color w:val="auto"/>
          <w:sz w:val="24"/>
          <w:szCs w:val="24"/>
          <w:highlight w:val="none"/>
          <w:u w:val="single"/>
        </w:rPr>
        <w:t>　　　　　</w:t>
      </w:r>
      <w:r>
        <w:rPr>
          <w:rFonts w:hint="eastAsia" w:hAnsi="宋体" w:cs="宋体"/>
          <w:bCs/>
          <w:color w:val="auto"/>
          <w:sz w:val="24"/>
          <w:szCs w:val="24"/>
          <w:highlight w:val="none"/>
        </w:rPr>
        <w:t>联系电话：</w:t>
      </w:r>
      <w:r>
        <w:rPr>
          <w:rFonts w:hint="eastAsia" w:hAnsi="宋体" w:cs="宋体"/>
          <w:color w:val="auto"/>
          <w:sz w:val="24"/>
          <w:szCs w:val="24"/>
          <w:highlight w:val="none"/>
          <w:u w:val="single"/>
        </w:rPr>
        <w:t>　　　　　</w:t>
      </w:r>
    </w:p>
    <w:p w14:paraId="38E4575B">
      <w:pPr>
        <w:pStyle w:val="25"/>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被投诉人2：</w:t>
      </w:r>
      <w:r>
        <w:rPr>
          <w:rFonts w:hint="eastAsia" w:hAnsi="宋体" w:cs="宋体"/>
          <w:color w:val="auto"/>
          <w:sz w:val="24"/>
          <w:szCs w:val="24"/>
          <w:highlight w:val="none"/>
          <w:u w:val="single"/>
        </w:rPr>
        <w:t>　　　　　</w:t>
      </w:r>
    </w:p>
    <w:p w14:paraId="7410106C">
      <w:pPr>
        <w:pStyle w:val="25"/>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w:t>
      </w:r>
    </w:p>
    <w:p w14:paraId="7DC8F6CA">
      <w:pPr>
        <w:pStyle w:val="25"/>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相关供应商：</w:t>
      </w:r>
      <w:r>
        <w:rPr>
          <w:rFonts w:hint="eastAsia" w:hAnsi="宋体" w:cs="宋体"/>
          <w:color w:val="auto"/>
          <w:sz w:val="24"/>
          <w:szCs w:val="24"/>
          <w:highlight w:val="none"/>
          <w:u w:val="single"/>
        </w:rPr>
        <w:t>　　　　　</w:t>
      </w:r>
    </w:p>
    <w:p w14:paraId="500A84AC">
      <w:pPr>
        <w:pStyle w:val="25"/>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color w:val="auto"/>
          <w:sz w:val="24"/>
          <w:szCs w:val="24"/>
          <w:highlight w:val="none"/>
          <w:u w:val="single"/>
        </w:rPr>
        <w:t>　　　　　</w:t>
      </w:r>
      <w:r>
        <w:rPr>
          <w:rFonts w:hint="eastAsia" w:hAnsi="宋体" w:cs="宋体"/>
          <w:bCs/>
          <w:color w:val="auto"/>
          <w:sz w:val="24"/>
          <w:szCs w:val="24"/>
          <w:highlight w:val="none"/>
        </w:rPr>
        <w:t>邮编：</w:t>
      </w:r>
      <w:r>
        <w:rPr>
          <w:rFonts w:hint="eastAsia" w:hAnsi="宋体" w:cs="宋体"/>
          <w:color w:val="auto"/>
          <w:sz w:val="24"/>
          <w:szCs w:val="24"/>
          <w:highlight w:val="none"/>
          <w:u w:val="single"/>
        </w:rPr>
        <w:t>　　　　　</w:t>
      </w:r>
    </w:p>
    <w:p w14:paraId="0E34C66E">
      <w:pPr>
        <w:pStyle w:val="25"/>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color w:val="auto"/>
          <w:sz w:val="24"/>
          <w:szCs w:val="24"/>
          <w:highlight w:val="none"/>
          <w:u w:val="single"/>
        </w:rPr>
        <w:t>　　　　　</w:t>
      </w:r>
      <w:r>
        <w:rPr>
          <w:rFonts w:hint="eastAsia" w:hAnsi="宋体" w:cs="宋体"/>
          <w:bCs/>
          <w:color w:val="auto"/>
          <w:sz w:val="24"/>
          <w:szCs w:val="24"/>
          <w:highlight w:val="none"/>
        </w:rPr>
        <w:t>联系电话：</w:t>
      </w:r>
      <w:r>
        <w:rPr>
          <w:rFonts w:hint="eastAsia" w:hAnsi="宋体" w:cs="宋体"/>
          <w:color w:val="auto"/>
          <w:sz w:val="24"/>
          <w:szCs w:val="24"/>
          <w:highlight w:val="none"/>
          <w:u w:val="single"/>
        </w:rPr>
        <w:t>　　　　　</w:t>
      </w:r>
    </w:p>
    <w:p w14:paraId="799593CB">
      <w:pPr>
        <w:pStyle w:val="25"/>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二、投诉项目基本情况：</w:t>
      </w:r>
    </w:p>
    <w:p w14:paraId="448426CE">
      <w:pPr>
        <w:pStyle w:val="25"/>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项目的名称：</w:t>
      </w:r>
      <w:r>
        <w:rPr>
          <w:rFonts w:hint="eastAsia" w:hAnsi="宋体" w:cs="宋体"/>
          <w:color w:val="auto"/>
          <w:sz w:val="24"/>
          <w:szCs w:val="24"/>
          <w:highlight w:val="none"/>
          <w:u w:val="single"/>
        </w:rPr>
        <w:t>　　　　　</w:t>
      </w:r>
    </w:p>
    <w:p w14:paraId="5E94F710">
      <w:pPr>
        <w:pStyle w:val="25"/>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项目的编号：</w:t>
      </w:r>
      <w:r>
        <w:rPr>
          <w:rFonts w:hint="eastAsia" w:hAnsi="宋体" w:cs="宋体"/>
          <w:color w:val="auto"/>
          <w:sz w:val="24"/>
          <w:szCs w:val="24"/>
          <w:highlight w:val="none"/>
          <w:u w:val="single"/>
        </w:rPr>
        <w:t>　　　　　</w:t>
      </w:r>
    </w:p>
    <w:p w14:paraId="4174B54C">
      <w:pPr>
        <w:pStyle w:val="25"/>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采购人名称：</w:t>
      </w:r>
      <w:r>
        <w:rPr>
          <w:rFonts w:hint="eastAsia" w:hAnsi="宋体" w:cs="宋体"/>
          <w:color w:val="auto"/>
          <w:sz w:val="24"/>
          <w:szCs w:val="24"/>
          <w:highlight w:val="none"/>
          <w:u w:val="single"/>
        </w:rPr>
        <w:t>　　　　　</w:t>
      </w:r>
    </w:p>
    <w:p w14:paraId="64FF1773">
      <w:pPr>
        <w:pStyle w:val="25"/>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代理机构名称：</w:t>
      </w:r>
      <w:r>
        <w:rPr>
          <w:rFonts w:hint="eastAsia" w:hAnsi="宋体" w:cs="宋体"/>
          <w:color w:val="auto"/>
          <w:sz w:val="24"/>
          <w:szCs w:val="24"/>
          <w:highlight w:val="none"/>
          <w:u w:val="single"/>
        </w:rPr>
        <w:t>　　　　　</w:t>
      </w:r>
    </w:p>
    <w:p w14:paraId="172FB84E">
      <w:pPr>
        <w:pStyle w:val="25"/>
        <w:spacing w:line="360" w:lineRule="auto"/>
        <w:ind w:left="25" w:leftChars="12" w:firstLine="472" w:firstLineChars="197"/>
        <w:rPr>
          <w:rFonts w:hAnsi="宋体" w:cs="宋体"/>
          <w:bCs/>
          <w:color w:val="auto"/>
          <w:sz w:val="24"/>
          <w:szCs w:val="24"/>
          <w:highlight w:val="none"/>
          <w:u w:val="single"/>
        </w:rPr>
      </w:pPr>
      <w:r>
        <w:rPr>
          <w:rFonts w:hint="eastAsia" w:hAnsi="宋体" w:cs="宋体"/>
          <w:bCs/>
          <w:color w:val="auto"/>
          <w:sz w:val="24"/>
          <w:szCs w:val="24"/>
          <w:highlight w:val="none"/>
        </w:rPr>
        <w:t>采购文件公告：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 xml:space="preserve">      公告期限：</w:t>
      </w:r>
    </w:p>
    <w:p w14:paraId="20D48F3F">
      <w:pPr>
        <w:pStyle w:val="25"/>
        <w:spacing w:line="360" w:lineRule="auto"/>
        <w:ind w:left="25" w:leftChars="12" w:firstLine="472" w:firstLineChars="197"/>
        <w:rPr>
          <w:rFonts w:hAnsi="宋体" w:cs="宋体"/>
          <w:b/>
          <w:color w:val="auto"/>
          <w:sz w:val="24"/>
          <w:szCs w:val="24"/>
          <w:highlight w:val="none"/>
        </w:rPr>
      </w:pPr>
      <w:r>
        <w:rPr>
          <w:rFonts w:hint="eastAsia" w:hAnsi="宋体" w:cs="宋体"/>
          <w:bCs/>
          <w:color w:val="auto"/>
          <w:sz w:val="24"/>
          <w:szCs w:val="24"/>
          <w:highlight w:val="none"/>
        </w:rPr>
        <w:t>采购结果公告：</w:t>
      </w:r>
      <w:r>
        <w:rPr>
          <w:rFonts w:hint="eastAsia" w:hAnsi="宋体" w:cs="宋体"/>
          <w:bCs/>
          <w:color w:val="auto"/>
          <w:sz w:val="24"/>
          <w:szCs w:val="24"/>
          <w:highlight w:val="none"/>
          <w:u w:val="single"/>
        </w:rPr>
        <w:t xml:space="preserve">是/否 </w:t>
      </w:r>
      <w:r>
        <w:rPr>
          <w:rFonts w:hint="eastAsia" w:hAnsi="宋体" w:cs="宋体"/>
          <w:bCs/>
          <w:color w:val="auto"/>
          <w:sz w:val="24"/>
          <w:szCs w:val="24"/>
          <w:highlight w:val="none"/>
        </w:rPr>
        <w:t xml:space="preserve">     公告期限：</w:t>
      </w:r>
    </w:p>
    <w:p w14:paraId="31E0D5EE">
      <w:pPr>
        <w:pStyle w:val="25"/>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三、质疑基本情况</w:t>
      </w:r>
    </w:p>
    <w:p w14:paraId="017DCBA0">
      <w:pPr>
        <w:pStyle w:val="25"/>
        <w:spacing w:line="360" w:lineRule="auto"/>
        <w:ind w:left="25" w:leftChars="12" w:firstLine="480" w:firstLineChars="200"/>
        <w:rPr>
          <w:rFonts w:hAnsi="宋体" w:cs="宋体"/>
          <w:color w:val="auto"/>
          <w:sz w:val="24"/>
          <w:szCs w:val="24"/>
          <w:highlight w:val="none"/>
        </w:rPr>
      </w:pPr>
      <w:r>
        <w:rPr>
          <w:rFonts w:hint="eastAsia" w:hAnsi="宋体" w:cs="宋体"/>
          <w:color w:val="auto"/>
          <w:sz w:val="24"/>
          <w:szCs w:val="24"/>
          <w:highlight w:val="none"/>
        </w:rPr>
        <w:t>投诉人于年月日，向提出质疑，质疑事项为：</w:t>
      </w:r>
    </w:p>
    <w:p w14:paraId="7D2E76E0">
      <w:pPr>
        <w:pStyle w:val="25"/>
        <w:spacing w:line="360" w:lineRule="auto"/>
        <w:ind w:firstLine="241"/>
        <w:rPr>
          <w:rFonts w:hAnsi="宋体" w:cs="宋体"/>
          <w:bCs/>
          <w:color w:val="auto"/>
          <w:sz w:val="24"/>
          <w:szCs w:val="24"/>
          <w:highlight w:val="none"/>
          <w:u w:val="single"/>
        </w:rPr>
      </w:pPr>
    </w:p>
    <w:p w14:paraId="3B754EC9">
      <w:pPr>
        <w:pStyle w:val="25"/>
        <w:spacing w:line="360" w:lineRule="auto"/>
        <w:ind w:firstLine="241"/>
        <w:rPr>
          <w:rFonts w:hAnsi="宋体" w:cs="宋体"/>
          <w:bCs/>
          <w:color w:val="auto"/>
          <w:sz w:val="24"/>
          <w:szCs w:val="24"/>
          <w:highlight w:val="none"/>
          <w:u w:val="single"/>
        </w:rPr>
      </w:pPr>
    </w:p>
    <w:p w14:paraId="28B8F1AD">
      <w:pPr>
        <w:pStyle w:val="25"/>
        <w:spacing w:line="360" w:lineRule="auto"/>
        <w:ind w:firstLine="480" w:firstLineChars="200"/>
        <w:rPr>
          <w:rFonts w:hAnsi="宋体" w:cs="宋体"/>
          <w:color w:val="auto"/>
          <w:sz w:val="24"/>
          <w:szCs w:val="24"/>
          <w:highlight w:val="none"/>
        </w:rPr>
      </w:pPr>
      <w:r>
        <w:rPr>
          <w:rFonts w:hint="eastAsia" w:hAnsi="宋体" w:cs="宋体"/>
          <w:bCs/>
          <w:color w:val="auto"/>
          <w:sz w:val="24"/>
          <w:szCs w:val="24"/>
          <w:highlight w:val="none"/>
          <w:u w:val="single"/>
        </w:rPr>
        <w:t>采购人/代理机构</w:t>
      </w:r>
      <w:r>
        <w:rPr>
          <w:rFonts w:hint="eastAsia" w:hAnsi="宋体" w:cs="宋体"/>
          <w:bCs/>
          <w:color w:val="auto"/>
          <w:sz w:val="24"/>
          <w:szCs w:val="24"/>
          <w:highlight w:val="none"/>
        </w:rPr>
        <w:t>于</w:t>
      </w:r>
      <w:r>
        <w:rPr>
          <w:rFonts w:hint="eastAsia" w:hAnsi="宋体" w:cs="宋体"/>
          <w:color w:val="auto"/>
          <w:sz w:val="24"/>
          <w:szCs w:val="24"/>
          <w:highlight w:val="none"/>
        </w:rPr>
        <w:t>年月日，</w:t>
      </w:r>
      <w:r>
        <w:rPr>
          <w:rFonts w:hint="eastAsia" w:hAnsi="宋体" w:cs="宋体"/>
          <w:bCs/>
          <w:color w:val="auto"/>
          <w:sz w:val="24"/>
          <w:szCs w:val="24"/>
          <w:highlight w:val="none"/>
        </w:rPr>
        <w:t xml:space="preserve">就质疑事项作出了答复/没有在法定期限内作出答复。                                                                                             </w:t>
      </w:r>
    </w:p>
    <w:p w14:paraId="0C20BE39">
      <w:pPr>
        <w:pStyle w:val="25"/>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四、投诉事项具体内容</w:t>
      </w:r>
    </w:p>
    <w:p w14:paraId="7699628C">
      <w:pPr>
        <w:pStyle w:val="25"/>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投诉事项1：</w:t>
      </w:r>
    </w:p>
    <w:p w14:paraId="5DF2E31A">
      <w:pPr>
        <w:pStyle w:val="25"/>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事实依据：</w:t>
      </w:r>
    </w:p>
    <w:p w14:paraId="5D50155E">
      <w:pPr>
        <w:pStyle w:val="25"/>
        <w:spacing w:line="360" w:lineRule="auto"/>
        <w:ind w:left="25" w:leftChars="12" w:firstLine="472" w:firstLineChars="197"/>
        <w:rPr>
          <w:rFonts w:hAnsi="宋体" w:cs="宋体"/>
          <w:color w:val="auto"/>
          <w:sz w:val="24"/>
          <w:szCs w:val="24"/>
          <w:highlight w:val="none"/>
        </w:rPr>
      </w:pPr>
    </w:p>
    <w:p w14:paraId="24B03C83">
      <w:pPr>
        <w:pStyle w:val="25"/>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法律依据：</w:t>
      </w:r>
    </w:p>
    <w:p w14:paraId="03806D8D">
      <w:pPr>
        <w:pStyle w:val="25"/>
        <w:spacing w:line="360" w:lineRule="auto"/>
        <w:ind w:left="25" w:leftChars="12" w:firstLine="352" w:firstLineChars="147"/>
        <w:rPr>
          <w:rFonts w:hAnsi="宋体" w:cs="宋体"/>
          <w:bCs/>
          <w:color w:val="auto"/>
          <w:sz w:val="24"/>
          <w:szCs w:val="24"/>
          <w:highlight w:val="none"/>
          <w:u w:val="single"/>
        </w:rPr>
      </w:pPr>
    </w:p>
    <w:p w14:paraId="29679A7D">
      <w:pPr>
        <w:pStyle w:val="25"/>
        <w:spacing w:line="360" w:lineRule="auto"/>
        <w:ind w:left="25" w:leftChars="12" w:firstLine="472" w:firstLineChars="197"/>
        <w:rPr>
          <w:rFonts w:hAnsi="宋体" w:cs="宋体"/>
          <w:bCs/>
          <w:color w:val="auto"/>
          <w:sz w:val="24"/>
          <w:szCs w:val="24"/>
          <w:highlight w:val="none"/>
        </w:rPr>
      </w:pPr>
      <w:r>
        <w:rPr>
          <w:rFonts w:hint="eastAsia" w:hAnsi="宋体" w:cs="宋体"/>
          <w:color w:val="auto"/>
          <w:sz w:val="24"/>
          <w:szCs w:val="24"/>
          <w:highlight w:val="none"/>
        </w:rPr>
        <w:t xml:space="preserve">投诉事项2  </w:t>
      </w:r>
    </w:p>
    <w:p w14:paraId="26B0835A">
      <w:pPr>
        <w:pStyle w:val="25"/>
        <w:spacing w:line="360" w:lineRule="auto"/>
        <w:ind w:left="25" w:leftChars="12" w:firstLine="472" w:firstLineChars="197"/>
        <w:rPr>
          <w:rFonts w:hAnsi="宋体" w:cs="宋体"/>
          <w:bCs/>
          <w:color w:val="auto"/>
          <w:sz w:val="24"/>
          <w:szCs w:val="24"/>
          <w:highlight w:val="none"/>
        </w:rPr>
      </w:pPr>
      <w:r>
        <w:rPr>
          <w:rFonts w:hint="eastAsia" w:hAnsi="宋体" w:cs="宋体"/>
          <w:bCs/>
          <w:color w:val="auto"/>
          <w:sz w:val="24"/>
          <w:szCs w:val="24"/>
          <w:highlight w:val="none"/>
        </w:rPr>
        <w:t>……</w:t>
      </w:r>
    </w:p>
    <w:p w14:paraId="39A21E96">
      <w:pPr>
        <w:pStyle w:val="25"/>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五、与投诉事项相关的投诉请求：</w:t>
      </w:r>
    </w:p>
    <w:p w14:paraId="4CA02F32">
      <w:pPr>
        <w:pStyle w:val="2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请求：</w:t>
      </w:r>
    </w:p>
    <w:p w14:paraId="0EA7B789">
      <w:pPr>
        <w:pStyle w:val="25"/>
        <w:spacing w:line="360" w:lineRule="auto"/>
        <w:ind w:left="25" w:leftChars="12" w:firstLine="352" w:firstLineChars="147"/>
        <w:rPr>
          <w:rFonts w:hAnsi="宋体" w:cs="宋体"/>
          <w:color w:val="auto"/>
          <w:sz w:val="24"/>
          <w:szCs w:val="24"/>
          <w:highlight w:val="none"/>
        </w:rPr>
      </w:pPr>
    </w:p>
    <w:p w14:paraId="361E6611">
      <w:pPr>
        <w:pStyle w:val="2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签字（签章）：                                       公章：</w:t>
      </w:r>
    </w:p>
    <w:p w14:paraId="33E78F19">
      <w:pPr>
        <w:pStyle w:val="25"/>
        <w:spacing w:line="360" w:lineRule="auto"/>
        <w:ind w:left="25" w:leftChars="12" w:firstLine="352" w:firstLineChars="147"/>
        <w:rPr>
          <w:rFonts w:hAnsi="宋体" w:cs="宋体"/>
          <w:color w:val="auto"/>
          <w:sz w:val="24"/>
          <w:szCs w:val="24"/>
          <w:highlight w:val="none"/>
        </w:rPr>
      </w:pPr>
    </w:p>
    <w:p w14:paraId="1D11A5AE">
      <w:pPr>
        <w:pStyle w:val="2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日期：</w:t>
      </w:r>
    </w:p>
    <w:p w14:paraId="50176F82">
      <w:pPr>
        <w:pStyle w:val="25"/>
        <w:spacing w:line="360" w:lineRule="auto"/>
        <w:ind w:left="25" w:leftChars="12"/>
        <w:rPr>
          <w:rFonts w:hAnsi="宋体" w:cs="宋体"/>
          <w:b/>
          <w:color w:val="auto"/>
          <w:sz w:val="24"/>
          <w:szCs w:val="24"/>
          <w:highlight w:val="none"/>
        </w:rPr>
      </w:pPr>
      <w:r>
        <w:rPr>
          <w:rFonts w:hint="eastAsia" w:hAnsi="宋体" w:cs="宋体"/>
          <w:b/>
          <w:color w:val="auto"/>
          <w:sz w:val="24"/>
          <w:szCs w:val="24"/>
          <w:highlight w:val="none"/>
        </w:rPr>
        <w:t>说明：</w:t>
      </w:r>
    </w:p>
    <w:p w14:paraId="76323267">
      <w:pPr>
        <w:pStyle w:val="25"/>
        <w:spacing w:line="360" w:lineRule="auto"/>
        <w:ind w:left="25" w:leftChars="12" w:firstLine="354" w:firstLineChars="147"/>
        <w:rPr>
          <w:rFonts w:hAnsi="宋体" w:cs="宋体"/>
          <w:b/>
          <w:bCs/>
          <w:color w:val="auto"/>
          <w:sz w:val="24"/>
          <w:szCs w:val="24"/>
          <w:highlight w:val="none"/>
        </w:rPr>
      </w:pPr>
      <w:r>
        <w:rPr>
          <w:rFonts w:hint="eastAsia" w:hAnsi="宋体" w:cs="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cs="宋体"/>
          <w:b/>
          <w:bCs/>
          <w:color w:val="auto"/>
          <w:sz w:val="24"/>
          <w:szCs w:val="24"/>
          <w:highlight w:val="none"/>
        </w:rPr>
        <w:t>。</w:t>
      </w:r>
    </w:p>
    <w:p w14:paraId="2532DFF7">
      <w:pPr>
        <w:pStyle w:val="25"/>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8F3574D">
      <w:pPr>
        <w:pStyle w:val="25"/>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3.投诉书应简要列明质疑事项，质疑函、质疑答复等作为附件材料提供。</w:t>
      </w:r>
    </w:p>
    <w:p w14:paraId="190BF9E3">
      <w:pPr>
        <w:pStyle w:val="25"/>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4.投诉书的投诉事项应具体、明确，并有必要的事实依据和法律依据。</w:t>
      </w:r>
    </w:p>
    <w:p w14:paraId="46CF90B0">
      <w:pPr>
        <w:pStyle w:val="25"/>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5.投诉书的投诉请求应与投诉事项相关。</w:t>
      </w:r>
    </w:p>
    <w:p w14:paraId="0C90349A">
      <w:pPr>
        <w:pStyle w:val="25"/>
        <w:spacing w:line="360" w:lineRule="auto"/>
        <w:ind w:left="25" w:leftChars="12" w:firstLine="354" w:firstLineChars="147"/>
        <w:rPr>
          <w:rFonts w:hAnsi="宋体" w:cs="宋体"/>
          <w:b/>
          <w:color w:val="auto"/>
          <w:highlight w:val="none"/>
        </w:rPr>
      </w:pPr>
      <w:r>
        <w:rPr>
          <w:rFonts w:hint="eastAsia" w:hAnsi="宋体" w:cs="宋体"/>
          <w:b/>
          <w:color w:val="auto"/>
          <w:sz w:val="24"/>
          <w:szCs w:val="24"/>
          <w:highlight w:val="none"/>
        </w:rPr>
        <w:t>6.投诉人为法人或者其他组织的，投诉书应由法定代表人、主要负责人，或者其授权代表签字或者盖章，并加盖公章。</w:t>
      </w:r>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entury">
    <w:panose1 w:val="02040604050505020304"/>
    <w:charset w:val="00"/>
    <w:family w:val="roman"/>
    <w:pitch w:val="default"/>
    <w:sig w:usb0="00000287" w:usb1="00000000" w:usb2="00000000" w:usb3="00000000" w:csb0="2000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ADD15">
    <w:pPr>
      <w:pStyle w:val="31"/>
      <w:jc w:val="center"/>
    </w:pPr>
    <w:r>
      <w:fldChar w:fldCharType="begin"/>
    </w:r>
    <w:r>
      <w:instrText xml:space="preserve"> PAGE   \* MERGEFORMAT </w:instrText>
    </w:r>
    <w:r>
      <w:fldChar w:fldCharType="separate"/>
    </w:r>
    <w:r>
      <w:rPr>
        <w:lang w:val="zh-CN"/>
      </w:rPr>
      <w:t>16</w:t>
    </w:r>
    <w:r>
      <w:rPr>
        <w:lang w:val="zh-CN"/>
      </w:rPr>
      <w:fldChar w:fldCharType="end"/>
    </w:r>
  </w:p>
  <w:p w14:paraId="186D06F6">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CA2BE">
    <w:pPr>
      <w:pStyle w:val="31"/>
      <w:framePr w:wrap="around" w:vAnchor="text" w:hAnchor="margin" w:xAlign="center" w:y="1"/>
      <w:rPr>
        <w:rStyle w:val="52"/>
      </w:rPr>
    </w:pPr>
    <w:r>
      <w:fldChar w:fldCharType="begin"/>
    </w:r>
    <w:r>
      <w:rPr>
        <w:rStyle w:val="52"/>
      </w:rPr>
      <w:instrText xml:space="preserve">PAGE  </w:instrText>
    </w:r>
    <w:r>
      <w:fldChar w:fldCharType="end"/>
    </w:r>
  </w:p>
  <w:p w14:paraId="1684DD8B">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98C05">
    <w:pPr>
      <w:pStyle w:val="31"/>
      <w:jc w:val="center"/>
    </w:pPr>
    <w:r>
      <w:fldChar w:fldCharType="begin"/>
    </w:r>
    <w:r>
      <w:instrText xml:space="preserve">PAGE   \* MERGEFORMAT</w:instrText>
    </w:r>
    <w:r>
      <w:fldChar w:fldCharType="separate"/>
    </w:r>
    <w:r>
      <w:rPr>
        <w:lang w:val="zh-CN"/>
      </w:rPr>
      <w:t>0</w:t>
    </w:r>
    <w:r>
      <w:rPr>
        <w:lang w:val="zh-CN"/>
      </w:rPr>
      <w:fldChar w:fldCharType="end"/>
    </w:r>
  </w:p>
  <w:p w14:paraId="26EEB22E">
    <w:pPr>
      <w:pStyle w:val="31"/>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35953">
    <w:pPr>
      <w:pStyle w:val="31"/>
      <w:jc w:val="center"/>
    </w:pPr>
    <w:r>
      <w:fldChar w:fldCharType="begin"/>
    </w:r>
    <w:r>
      <w:instrText xml:space="preserve"> PAGE   \* MERGEFORMAT </w:instrText>
    </w:r>
    <w:r>
      <w:fldChar w:fldCharType="separate"/>
    </w:r>
    <w:r>
      <w:rPr>
        <w:lang w:val="zh-CN"/>
      </w:rPr>
      <w:t>134</w:t>
    </w:r>
    <w:r>
      <w:rPr>
        <w:lang w:val="zh-CN"/>
      </w:rPr>
      <w:fldChar w:fldCharType="end"/>
    </w:r>
  </w:p>
  <w:p w14:paraId="6CB6C76E">
    <w:pPr>
      <w:pStyle w:val="3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254B5">
    <w:pPr>
      <w:pStyle w:val="31"/>
      <w:framePr w:wrap="around" w:vAnchor="text" w:hAnchor="margin" w:xAlign="center" w:y="1"/>
      <w:rPr>
        <w:rStyle w:val="52"/>
      </w:rPr>
    </w:pPr>
    <w:r>
      <w:fldChar w:fldCharType="begin"/>
    </w:r>
    <w:r>
      <w:rPr>
        <w:rStyle w:val="52"/>
      </w:rPr>
      <w:instrText xml:space="preserve">PAGE  </w:instrText>
    </w:r>
    <w:r>
      <w:fldChar w:fldCharType="end"/>
    </w:r>
  </w:p>
  <w:p w14:paraId="3AE6CBA2">
    <w:pPr>
      <w:pStyle w:val="3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42A2D">
    <w:pPr>
      <w:pStyle w:val="31"/>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80B58">
    <w:pPr>
      <w:pStyle w:val="33"/>
      <w:pBdr>
        <w:bottom w:val="none" w:color="auto" w:sz="0" w:space="0"/>
      </w:pBdr>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396230" cy="4782185"/>
          <wp:effectExtent l="0" t="0" r="13970" b="18415"/>
          <wp:wrapNone/>
          <wp:docPr id="4" name="WordPictureWatermark96546633" descr="集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96546633" descr="集团logo"/>
                  <pic:cNvPicPr>
                    <a:picLocks noChangeAspect="1"/>
                  </pic:cNvPicPr>
                </pic:nvPicPr>
                <pic:blipFill>
                  <a:blip r:embed="rId1">
                    <a:lum bright="70001" contrast="-70000"/>
                  </a:blip>
                  <a:stretch>
                    <a:fillRect/>
                  </a:stretch>
                </pic:blipFill>
                <pic:spPr>
                  <a:xfrm>
                    <a:off x="0" y="0"/>
                    <a:ext cx="5396230" cy="478218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FEEAE">
    <w:pPr>
      <w:pStyle w:val="33"/>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396230" cy="4782185"/>
          <wp:effectExtent l="0" t="0" r="13970" b="18415"/>
          <wp:wrapNone/>
          <wp:docPr id="3" name="WordPictureWatermark96546632" descr="集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96546632" descr="集团logo"/>
                  <pic:cNvPicPr>
                    <a:picLocks noChangeAspect="1"/>
                  </pic:cNvPicPr>
                </pic:nvPicPr>
                <pic:blipFill>
                  <a:blip r:embed="rId1">
                    <a:lum bright="70001" contrast="-70000"/>
                  </a:blip>
                  <a:stretch>
                    <a:fillRect/>
                  </a:stretch>
                </pic:blipFill>
                <pic:spPr>
                  <a:xfrm>
                    <a:off x="0" y="0"/>
                    <a:ext cx="5396230" cy="478218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38C45">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396230" cy="4782185"/>
          <wp:effectExtent l="0" t="0" r="13970" b="18415"/>
          <wp:wrapNone/>
          <wp:docPr id="1" name="WordPictureWatermark96546631" descr="集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96546631" descr="集团logo"/>
                  <pic:cNvPicPr>
                    <a:picLocks noChangeAspect="1"/>
                  </pic:cNvPicPr>
                </pic:nvPicPr>
                <pic:blipFill>
                  <a:blip r:embed="rId1">
                    <a:lum bright="70001" contrast="-70000"/>
                  </a:blip>
                  <a:stretch>
                    <a:fillRect/>
                  </a:stretch>
                </pic:blipFill>
                <pic:spPr>
                  <a:xfrm>
                    <a:off x="0" y="0"/>
                    <a:ext cx="5396230" cy="478218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8DFF7">
    <w:pPr>
      <w:pStyle w:val="33"/>
      <w:pBdr>
        <w:bottom w:val="none" w:color="auto" w:sz="0" w:space="0"/>
      </w:pBdr>
    </w:pPr>
    <w:r>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5396230" cy="4782185"/>
          <wp:effectExtent l="0" t="0" r="13970" b="18415"/>
          <wp:wrapNone/>
          <wp:docPr id="7" name="WordPictureWatermark96546636" descr="集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96546636" descr="集团logo"/>
                  <pic:cNvPicPr>
                    <a:picLocks noChangeAspect="1"/>
                  </pic:cNvPicPr>
                </pic:nvPicPr>
                <pic:blipFill>
                  <a:blip r:embed="rId1">
                    <a:lum bright="70001" contrast="-70000"/>
                  </a:blip>
                  <a:stretch>
                    <a:fillRect/>
                  </a:stretch>
                </pic:blipFill>
                <pic:spPr>
                  <a:xfrm>
                    <a:off x="0" y="0"/>
                    <a:ext cx="5396230" cy="4782185"/>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D30BB">
    <w:pPr>
      <w:pStyle w:val="33"/>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396230" cy="4782185"/>
          <wp:effectExtent l="0" t="0" r="13970" b="18415"/>
          <wp:wrapNone/>
          <wp:docPr id="6" name="WordPictureWatermark96546635" descr="集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96546635" descr="集团logo"/>
                  <pic:cNvPicPr>
                    <a:picLocks noChangeAspect="1"/>
                  </pic:cNvPicPr>
                </pic:nvPicPr>
                <pic:blipFill>
                  <a:blip r:embed="rId1">
                    <a:lum bright="70001" contrast="-70000"/>
                  </a:blip>
                  <a:stretch>
                    <a:fillRect/>
                  </a:stretch>
                </pic:blipFill>
                <pic:spPr>
                  <a:xfrm>
                    <a:off x="0" y="0"/>
                    <a:ext cx="5396230" cy="4782185"/>
                  </a:xfrm>
                  <a:prstGeom prst="rect">
                    <a:avLst/>
                  </a:prstGeom>
                  <a:noFill/>
                  <a:ln>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41DCB">
    <w:pPr>
      <w:pStyle w:val="33"/>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396230" cy="4782185"/>
          <wp:effectExtent l="0" t="0" r="13970" b="18415"/>
          <wp:wrapNone/>
          <wp:docPr id="5" name="WordPictureWatermark96546634" descr="集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96546634" descr="集团logo"/>
                  <pic:cNvPicPr>
                    <a:picLocks noChangeAspect="1"/>
                  </pic:cNvPicPr>
                </pic:nvPicPr>
                <pic:blipFill>
                  <a:blip r:embed="rId1">
                    <a:lum bright="70001" contrast="-70000"/>
                  </a:blip>
                  <a:stretch>
                    <a:fillRect/>
                  </a:stretch>
                </pic:blipFill>
                <pic:spPr>
                  <a:xfrm>
                    <a:off x="0" y="0"/>
                    <a:ext cx="5396230" cy="478218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2B8DB7"/>
    <w:multiLevelType w:val="singleLevel"/>
    <w:tmpl w:val="FE2B8DB7"/>
    <w:lvl w:ilvl="0" w:tentative="0">
      <w:start w:val="4"/>
      <w:numFmt w:val="decimal"/>
      <w:lvlText w:val="%1."/>
      <w:lvlJc w:val="left"/>
      <w:pPr>
        <w:tabs>
          <w:tab w:val="left" w:pos="312"/>
        </w:tabs>
      </w:pPr>
    </w:lvl>
  </w:abstractNum>
  <w:abstractNum w:abstractNumId="1">
    <w:nsid w:val="FFFFFF7E"/>
    <w:multiLevelType w:val="singleLevel"/>
    <w:tmpl w:val="FFFFFF7E"/>
    <w:lvl w:ilvl="0" w:tentative="0">
      <w:start w:val="1"/>
      <w:numFmt w:val="decimal"/>
      <w:pStyle w:val="21"/>
      <w:lvlText w:val="%1."/>
      <w:lvlJc w:val="left"/>
      <w:pPr>
        <w:tabs>
          <w:tab w:val="left" w:pos="1200"/>
        </w:tabs>
        <w:ind w:left="1200" w:hanging="360"/>
      </w:pPr>
    </w:lvl>
  </w:abstractNum>
  <w:abstractNum w:abstractNumId="2">
    <w:nsid w:val="206B6802"/>
    <w:multiLevelType w:val="singleLevel"/>
    <w:tmpl w:val="206B6802"/>
    <w:lvl w:ilvl="0" w:tentative="0">
      <w:start w:val="1"/>
      <w:numFmt w:val="chineseCounting"/>
      <w:suff w:val="nothing"/>
      <w:lvlText w:val="%1、"/>
      <w:lvlJc w:val="left"/>
      <w:rPr>
        <w:rFonts w:hint="eastAsia"/>
      </w:rPr>
    </w:lvl>
  </w:abstractNum>
  <w:abstractNum w:abstractNumId="3">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4">
    <w:nsid w:val="4C601917"/>
    <w:multiLevelType w:val="singleLevel"/>
    <w:tmpl w:val="4C601917"/>
    <w:lvl w:ilvl="0" w:tentative="0">
      <w:start w:val="1"/>
      <w:numFmt w:val="decimal"/>
      <w:suff w:val="nothing"/>
      <w:lvlText w:val="（%1）"/>
      <w:lvlJc w:val="left"/>
      <w:pPr>
        <w:ind w:left="-2"/>
      </w:pPr>
    </w:lvl>
  </w:abstractNum>
  <w:abstractNum w:abstractNumId="5">
    <w:nsid w:val="5FABD14B"/>
    <w:multiLevelType w:val="singleLevel"/>
    <w:tmpl w:val="5FABD14B"/>
    <w:lvl w:ilvl="0" w:tentative="0">
      <w:start w:val="1"/>
      <w:numFmt w:val="decimal"/>
      <w:suff w:val="nothing"/>
      <w:lvlText w:val="（%1）"/>
      <w:lvlJc w:val="left"/>
    </w:lvl>
  </w:abstractNum>
  <w:abstractNum w:abstractNumId="6">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7">
    <w:nsid w:val="7E66D773"/>
    <w:multiLevelType w:val="singleLevel"/>
    <w:tmpl w:val="7E66D773"/>
    <w:lvl w:ilvl="0" w:tentative="0">
      <w:start w:val="1"/>
      <w:numFmt w:val="decimal"/>
      <w:lvlText w:val="%1."/>
      <w:lvlJc w:val="left"/>
      <w:pPr>
        <w:tabs>
          <w:tab w:val="left" w:pos="312"/>
        </w:tabs>
      </w:pPr>
    </w:lvl>
  </w:abstractNum>
  <w:num w:numId="1">
    <w:abstractNumId w:val="3"/>
  </w:num>
  <w:num w:numId="2">
    <w:abstractNumId w:val="1"/>
  </w:num>
  <w:num w:numId="3">
    <w:abstractNumId w:val="0"/>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NotTrackFormatting/>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yODMxYTE0ZTc0ZGU3Y2QwODc3MzYzN2Q1YmNiM2EifQ=="/>
  </w:docVars>
  <w:rsids>
    <w:rsidRoot w:val="00020F00"/>
    <w:rsid w:val="0000085D"/>
    <w:rsid w:val="00006992"/>
    <w:rsid w:val="00010DCE"/>
    <w:rsid w:val="0001215A"/>
    <w:rsid w:val="000132CA"/>
    <w:rsid w:val="000142A5"/>
    <w:rsid w:val="00015B66"/>
    <w:rsid w:val="00015FCE"/>
    <w:rsid w:val="00020F00"/>
    <w:rsid w:val="00021F25"/>
    <w:rsid w:val="00023308"/>
    <w:rsid w:val="00026981"/>
    <w:rsid w:val="00027DBC"/>
    <w:rsid w:val="0003133C"/>
    <w:rsid w:val="000327B8"/>
    <w:rsid w:val="00033446"/>
    <w:rsid w:val="00033B41"/>
    <w:rsid w:val="00034752"/>
    <w:rsid w:val="000353E4"/>
    <w:rsid w:val="00035989"/>
    <w:rsid w:val="00036B9E"/>
    <w:rsid w:val="00040F42"/>
    <w:rsid w:val="00041E6B"/>
    <w:rsid w:val="00042D99"/>
    <w:rsid w:val="00044A6B"/>
    <w:rsid w:val="00047682"/>
    <w:rsid w:val="00050200"/>
    <w:rsid w:val="0005021C"/>
    <w:rsid w:val="0005070D"/>
    <w:rsid w:val="000514D1"/>
    <w:rsid w:val="000528BD"/>
    <w:rsid w:val="00052CC8"/>
    <w:rsid w:val="00056C35"/>
    <w:rsid w:val="000574F6"/>
    <w:rsid w:val="000579FA"/>
    <w:rsid w:val="00060307"/>
    <w:rsid w:val="00063225"/>
    <w:rsid w:val="00063BFA"/>
    <w:rsid w:val="00070C84"/>
    <w:rsid w:val="00071E99"/>
    <w:rsid w:val="00072814"/>
    <w:rsid w:val="00072ABD"/>
    <w:rsid w:val="00080927"/>
    <w:rsid w:val="00087BFC"/>
    <w:rsid w:val="00087E08"/>
    <w:rsid w:val="00091E6C"/>
    <w:rsid w:val="00093253"/>
    <w:rsid w:val="00094BEA"/>
    <w:rsid w:val="00095FB5"/>
    <w:rsid w:val="000A0961"/>
    <w:rsid w:val="000A1E59"/>
    <w:rsid w:val="000A5B6E"/>
    <w:rsid w:val="000A63DC"/>
    <w:rsid w:val="000A69FD"/>
    <w:rsid w:val="000A7BFF"/>
    <w:rsid w:val="000C1598"/>
    <w:rsid w:val="000C277E"/>
    <w:rsid w:val="000C2C36"/>
    <w:rsid w:val="000C4440"/>
    <w:rsid w:val="000C58D5"/>
    <w:rsid w:val="000C75D7"/>
    <w:rsid w:val="000D0251"/>
    <w:rsid w:val="000D48B9"/>
    <w:rsid w:val="000D5418"/>
    <w:rsid w:val="000D6326"/>
    <w:rsid w:val="000E02D5"/>
    <w:rsid w:val="000E098F"/>
    <w:rsid w:val="000E1703"/>
    <w:rsid w:val="000E177C"/>
    <w:rsid w:val="000E3E97"/>
    <w:rsid w:val="000E4D51"/>
    <w:rsid w:val="000E5771"/>
    <w:rsid w:val="000E61A4"/>
    <w:rsid w:val="000F29B5"/>
    <w:rsid w:val="000F3896"/>
    <w:rsid w:val="000F3EF2"/>
    <w:rsid w:val="000F6003"/>
    <w:rsid w:val="000F625A"/>
    <w:rsid w:val="000F7AED"/>
    <w:rsid w:val="00100162"/>
    <w:rsid w:val="001039D2"/>
    <w:rsid w:val="00103C69"/>
    <w:rsid w:val="00105357"/>
    <w:rsid w:val="0010758F"/>
    <w:rsid w:val="00111762"/>
    <w:rsid w:val="00111996"/>
    <w:rsid w:val="00112630"/>
    <w:rsid w:val="001137DD"/>
    <w:rsid w:val="00113980"/>
    <w:rsid w:val="001163B5"/>
    <w:rsid w:val="00120D55"/>
    <w:rsid w:val="001222C7"/>
    <w:rsid w:val="00124C13"/>
    <w:rsid w:val="00127169"/>
    <w:rsid w:val="0013265A"/>
    <w:rsid w:val="00133278"/>
    <w:rsid w:val="00133E97"/>
    <w:rsid w:val="00134464"/>
    <w:rsid w:val="00135F6B"/>
    <w:rsid w:val="001416C9"/>
    <w:rsid w:val="00141DA6"/>
    <w:rsid w:val="00141FC9"/>
    <w:rsid w:val="0014219C"/>
    <w:rsid w:val="001424B8"/>
    <w:rsid w:val="00143A9F"/>
    <w:rsid w:val="0015163C"/>
    <w:rsid w:val="001519A7"/>
    <w:rsid w:val="00152E9A"/>
    <w:rsid w:val="001535B9"/>
    <w:rsid w:val="0015737C"/>
    <w:rsid w:val="00160ADF"/>
    <w:rsid w:val="001629C9"/>
    <w:rsid w:val="00164293"/>
    <w:rsid w:val="00164384"/>
    <w:rsid w:val="001660CD"/>
    <w:rsid w:val="001663CF"/>
    <w:rsid w:val="00171C9C"/>
    <w:rsid w:val="00177BD1"/>
    <w:rsid w:val="00180580"/>
    <w:rsid w:val="001869E2"/>
    <w:rsid w:val="0019018C"/>
    <w:rsid w:val="00190B0A"/>
    <w:rsid w:val="00190C47"/>
    <w:rsid w:val="00191030"/>
    <w:rsid w:val="00191420"/>
    <w:rsid w:val="00192B8A"/>
    <w:rsid w:val="001A108D"/>
    <w:rsid w:val="001A33FD"/>
    <w:rsid w:val="001A3C80"/>
    <w:rsid w:val="001A758D"/>
    <w:rsid w:val="001B0143"/>
    <w:rsid w:val="001B3624"/>
    <w:rsid w:val="001B3D35"/>
    <w:rsid w:val="001B7D14"/>
    <w:rsid w:val="001C0306"/>
    <w:rsid w:val="001C1E54"/>
    <w:rsid w:val="001C2C0F"/>
    <w:rsid w:val="001C2E55"/>
    <w:rsid w:val="001C3725"/>
    <w:rsid w:val="001C3BA8"/>
    <w:rsid w:val="001C41A3"/>
    <w:rsid w:val="001C61E4"/>
    <w:rsid w:val="001C6EC3"/>
    <w:rsid w:val="001D2553"/>
    <w:rsid w:val="001D2AA1"/>
    <w:rsid w:val="001D33BF"/>
    <w:rsid w:val="001E035E"/>
    <w:rsid w:val="001E0460"/>
    <w:rsid w:val="001E0A6B"/>
    <w:rsid w:val="001E0F94"/>
    <w:rsid w:val="001E1DDC"/>
    <w:rsid w:val="001E2B78"/>
    <w:rsid w:val="001E2D52"/>
    <w:rsid w:val="001E3255"/>
    <w:rsid w:val="001E41CB"/>
    <w:rsid w:val="001E4BA6"/>
    <w:rsid w:val="001E58F4"/>
    <w:rsid w:val="001F0380"/>
    <w:rsid w:val="001F0BFB"/>
    <w:rsid w:val="001F409D"/>
    <w:rsid w:val="001F5ACF"/>
    <w:rsid w:val="001F7C7D"/>
    <w:rsid w:val="00201942"/>
    <w:rsid w:val="00201C6D"/>
    <w:rsid w:val="00201E1C"/>
    <w:rsid w:val="00202426"/>
    <w:rsid w:val="00205421"/>
    <w:rsid w:val="002070B3"/>
    <w:rsid w:val="00213DEC"/>
    <w:rsid w:val="00213FD7"/>
    <w:rsid w:val="0021562B"/>
    <w:rsid w:val="00217530"/>
    <w:rsid w:val="00217891"/>
    <w:rsid w:val="00217A7A"/>
    <w:rsid w:val="002204FF"/>
    <w:rsid w:val="002220C2"/>
    <w:rsid w:val="00224446"/>
    <w:rsid w:val="00225AC8"/>
    <w:rsid w:val="00225B3B"/>
    <w:rsid w:val="00226E5C"/>
    <w:rsid w:val="0022787E"/>
    <w:rsid w:val="00227D6A"/>
    <w:rsid w:val="00230B60"/>
    <w:rsid w:val="002336CC"/>
    <w:rsid w:val="0023388A"/>
    <w:rsid w:val="00235B6A"/>
    <w:rsid w:val="002414D0"/>
    <w:rsid w:val="00241715"/>
    <w:rsid w:val="002425AA"/>
    <w:rsid w:val="00243C04"/>
    <w:rsid w:val="002464A4"/>
    <w:rsid w:val="002465F2"/>
    <w:rsid w:val="00246993"/>
    <w:rsid w:val="00246C53"/>
    <w:rsid w:val="002526EF"/>
    <w:rsid w:val="00252E9B"/>
    <w:rsid w:val="00253FC5"/>
    <w:rsid w:val="00254598"/>
    <w:rsid w:val="002554C8"/>
    <w:rsid w:val="00255656"/>
    <w:rsid w:val="002560BD"/>
    <w:rsid w:val="00260145"/>
    <w:rsid w:val="00265FA2"/>
    <w:rsid w:val="00267915"/>
    <w:rsid w:val="0027060D"/>
    <w:rsid w:val="00270C14"/>
    <w:rsid w:val="00271254"/>
    <w:rsid w:val="00271270"/>
    <w:rsid w:val="00272611"/>
    <w:rsid w:val="00274C3B"/>
    <w:rsid w:val="00276F4B"/>
    <w:rsid w:val="002776BC"/>
    <w:rsid w:val="00277C14"/>
    <w:rsid w:val="002806E7"/>
    <w:rsid w:val="00280A7B"/>
    <w:rsid w:val="00281DE5"/>
    <w:rsid w:val="0028309A"/>
    <w:rsid w:val="00284BE5"/>
    <w:rsid w:val="0028557F"/>
    <w:rsid w:val="00285B0C"/>
    <w:rsid w:val="002868B5"/>
    <w:rsid w:val="0028750A"/>
    <w:rsid w:val="00287535"/>
    <w:rsid w:val="00291BE9"/>
    <w:rsid w:val="00291E2B"/>
    <w:rsid w:val="002932B9"/>
    <w:rsid w:val="00296C17"/>
    <w:rsid w:val="002974BF"/>
    <w:rsid w:val="002A12AE"/>
    <w:rsid w:val="002A1A59"/>
    <w:rsid w:val="002A32CB"/>
    <w:rsid w:val="002A4B46"/>
    <w:rsid w:val="002A7670"/>
    <w:rsid w:val="002B295E"/>
    <w:rsid w:val="002B2E91"/>
    <w:rsid w:val="002B4042"/>
    <w:rsid w:val="002B524C"/>
    <w:rsid w:val="002B56EB"/>
    <w:rsid w:val="002B68EC"/>
    <w:rsid w:val="002C0EAE"/>
    <w:rsid w:val="002C1477"/>
    <w:rsid w:val="002C47D2"/>
    <w:rsid w:val="002C4912"/>
    <w:rsid w:val="002C772D"/>
    <w:rsid w:val="002D033C"/>
    <w:rsid w:val="002D41D5"/>
    <w:rsid w:val="002D468B"/>
    <w:rsid w:val="002D758E"/>
    <w:rsid w:val="002D7F90"/>
    <w:rsid w:val="002E25B5"/>
    <w:rsid w:val="002E484B"/>
    <w:rsid w:val="002E7C69"/>
    <w:rsid w:val="002F1167"/>
    <w:rsid w:val="002F19EE"/>
    <w:rsid w:val="002F1F82"/>
    <w:rsid w:val="002F3360"/>
    <w:rsid w:val="002F4817"/>
    <w:rsid w:val="002F4DD2"/>
    <w:rsid w:val="002F5172"/>
    <w:rsid w:val="002F5BCF"/>
    <w:rsid w:val="002F7114"/>
    <w:rsid w:val="0030133C"/>
    <w:rsid w:val="00301F2E"/>
    <w:rsid w:val="00304303"/>
    <w:rsid w:val="0030459B"/>
    <w:rsid w:val="00304B01"/>
    <w:rsid w:val="00306458"/>
    <w:rsid w:val="003102B7"/>
    <w:rsid w:val="00313126"/>
    <w:rsid w:val="003158F6"/>
    <w:rsid w:val="00315A70"/>
    <w:rsid w:val="003166BB"/>
    <w:rsid w:val="00316826"/>
    <w:rsid w:val="00321CF6"/>
    <w:rsid w:val="00323A95"/>
    <w:rsid w:val="00327489"/>
    <w:rsid w:val="0033087B"/>
    <w:rsid w:val="003327CC"/>
    <w:rsid w:val="00333F85"/>
    <w:rsid w:val="00334114"/>
    <w:rsid w:val="00337929"/>
    <w:rsid w:val="00341A50"/>
    <w:rsid w:val="003420B8"/>
    <w:rsid w:val="00346AA8"/>
    <w:rsid w:val="003479D4"/>
    <w:rsid w:val="00351E02"/>
    <w:rsid w:val="0035205B"/>
    <w:rsid w:val="00352BD6"/>
    <w:rsid w:val="00352C59"/>
    <w:rsid w:val="00352E50"/>
    <w:rsid w:val="00352FD8"/>
    <w:rsid w:val="00353B06"/>
    <w:rsid w:val="003564A4"/>
    <w:rsid w:val="0035659D"/>
    <w:rsid w:val="0035660C"/>
    <w:rsid w:val="00356C18"/>
    <w:rsid w:val="00364131"/>
    <w:rsid w:val="003647D9"/>
    <w:rsid w:val="00366125"/>
    <w:rsid w:val="00366FF2"/>
    <w:rsid w:val="00371E76"/>
    <w:rsid w:val="003729B7"/>
    <w:rsid w:val="003749B7"/>
    <w:rsid w:val="003752CA"/>
    <w:rsid w:val="003762F4"/>
    <w:rsid w:val="003763A4"/>
    <w:rsid w:val="00380273"/>
    <w:rsid w:val="00380528"/>
    <w:rsid w:val="003825AA"/>
    <w:rsid w:val="0038368A"/>
    <w:rsid w:val="00383EDC"/>
    <w:rsid w:val="0038496E"/>
    <w:rsid w:val="00384AB5"/>
    <w:rsid w:val="00385C8D"/>
    <w:rsid w:val="00387BFE"/>
    <w:rsid w:val="00387CB4"/>
    <w:rsid w:val="00392B7B"/>
    <w:rsid w:val="003947CB"/>
    <w:rsid w:val="003A015C"/>
    <w:rsid w:val="003A0AA6"/>
    <w:rsid w:val="003A2D15"/>
    <w:rsid w:val="003A32F4"/>
    <w:rsid w:val="003A5203"/>
    <w:rsid w:val="003A7B59"/>
    <w:rsid w:val="003B156B"/>
    <w:rsid w:val="003B1A2A"/>
    <w:rsid w:val="003B207F"/>
    <w:rsid w:val="003B2979"/>
    <w:rsid w:val="003B41BB"/>
    <w:rsid w:val="003C1979"/>
    <w:rsid w:val="003C37DE"/>
    <w:rsid w:val="003C3C09"/>
    <w:rsid w:val="003C4AC1"/>
    <w:rsid w:val="003C54FF"/>
    <w:rsid w:val="003C5689"/>
    <w:rsid w:val="003C629F"/>
    <w:rsid w:val="003C633B"/>
    <w:rsid w:val="003C7104"/>
    <w:rsid w:val="003D045E"/>
    <w:rsid w:val="003D0534"/>
    <w:rsid w:val="003D3535"/>
    <w:rsid w:val="003D3C4F"/>
    <w:rsid w:val="003D3E61"/>
    <w:rsid w:val="003D47FE"/>
    <w:rsid w:val="003D7203"/>
    <w:rsid w:val="003E0CE2"/>
    <w:rsid w:val="003E2501"/>
    <w:rsid w:val="003E3706"/>
    <w:rsid w:val="003E6DCC"/>
    <w:rsid w:val="003E6E24"/>
    <w:rsid w:val="003F463C"/>
    <w:rsid w:val="003F4FCC"/>
    <w:rsid w:val="003F55EA"/>
    <w:rsid w:val="003F60F3"/>
    <w:rsid w:val="003F7DBC"/>
    <w:rsid w:val="004009F3"/>
    <w:rsid w:val="00401A2E"/>
    <w:rsid w:val="00401A4D"/>
    <w:rsid w:val="00403331"/>
    <w:rsid w:val="00404D5C"/>
    <w:rsid w:val="0040503B"/>
    <w:rsid w:val="004057A1"/>
    <w:rsid w:val="00405A90"/>
    <w:rsid w:val="004064E9"/>
    <w:rsid w:val="004066F2"/>
    <w:rsid w:val="004114A6"/>
    <w:rsid w:val="004120D9"/>
    <w:rsid w:val="00412262"/>
    <w:rsid w:val="0041257C"/>
    <w:rsid w:val="0041301D"/>
    <w:rsid w:val="00415B30"/>
    <w:rsid w:val="00416830"/>
    <w:rsid w:val="00416B33"/>
    <w:rsid w:val="004170FF"/>
    <w:rsid w:val="00417528"/>
    <w:rsid w:val="004245C0"/>
    <w:rsid w:val="00424B15"/>
    <w:rsid w:val="00424BD1"/>
    <w:rsid w:val="0043241E"/>
    <w:rsid w:val="00432B55"/>
    <w:rsid w:val="00436B8A"/>
    <w:rsid w:val="004420E7"/>
    <w:rsid w:val="00442C87"/>
    <w:rsid w:val="0044393D"/>
    <w:rsid w:val="0044412A"/>
    <w:rsid w:val="004450D0"/>
    <w:rsid w:val="0044686D"/>
    <w:rsid w:val="00450D4D"/>
    <w:rsid w:val="00451C52"/>
    <w:rsid w:val="00452648"/>
    <w:rsid w:val="00454CD8"/>
    <w:rsid w:val="0045582A"/>
    <w:rsid w:val="00455948"/>
    <w:rsid w:val="00457A5E"/>
    <w:rsid w:val="00460760"/>
    <w:rsid w:val="004607A8"/>
    <w:rsid w:val="00460C30"/>
    <w:rsid w:val="00460EE6"/>
    <w:rsid w:val="00463318"/>
    <w:rsid w:val="004645FD"/>
    <w:rsid w:val="00465C04"/>
    <w:rsid w:val="00466419"/>
    <w:rsid w:val="00466A2C"/>
    <w:rsid w:val="00466B2E"/>
    <w:rsid w:val="00466E27"/>
    <w:rsid w:val="00470A20"/>
    <w:rsid w:val="00471913"/>
    <w:rsid w:val="0047216E"/>
    <w:rsid w:val="0047230F"/>
    <w:rsid w:val="00472F70"/>
    <w:rsid w:val="004742BD"/>
    <w:rsid w:val="00475481"/>
    <w:rsid w:val="00476FCE"/>
    <w:rsid w:val="004818C0"/>
    <w:rsid w:val="00481F5D"/>
    <w:rsid w:val="00482050"/>
    <w:rsid w:val="00482946"/>
    <w:rsid w:val="00484E7B"/>
    <w:rsid w:val="004861BB"/>
    <w:rsid w:val="004862B8"/>
    <w:rsid w:val="004863FD"/>
    <w:rsid w:val="0048721D"/>
    <w:rsid w:val="00492558"/>
    <w:rsid w:val="0049410C"/>
    <w:rsid w:val="00495CB0"/>
    <w:rsid w:val="004A081D"/>
    <w:rsid w:val="004A3E0C"/>
    <w:rsid w:val="004A3F6D"/>
    <w:rsid w:val="004A3FDF"/>
    <w:rsid w:val="004A4E35"/>
    <w:rsid w:val="004A65D5"/>
    <w:rsid w:val="004A6DF2"/>
    <w:rsid w:val="004A7498"/>
    <w:rsid w:val="004B0612"/>
    <w:rsid w:val="004B10BF"/>
    <w:rsid w:val="004B152A"/>
    <w:rsid w:val="004B3052"/>
    <w:rsid w:val="004B3D83"/>
    <w:rsid w:val="004B69E0"/>
    <w:rsid w:val="004C0162"/>
    <w:rsid w:val="004C1DCA"/>
    <w:rsid w:val="004C4CFB"/>
    <w:rsid w:val="004C628E"/>
    <w:rsid w:val="004D030E"/>
    <w:rsid w:val="004D2E1D"/>
    <w:rsid w:val="004D3259"/>
    <w:rsid w:val="004D3E38"/>
    <w:rsid w:val="004D3FC0"/>
    <w:rsid w:val="004D416F"/>
    <w:rsid w:val="004D6B37"/>
    <w:rsid w:val="004E102E"/>
    <w:rsid w:val="004E2ED2"/>
    <w:rsid w:val="004E3FCA"/>
    <w:rsid w:val="004E444B"/>
    <w:rsid w:val="004E5E43"/>
    <w:rsid w:val="004E6117"/>
    <w:rsid w:val="004F01FD"/>
    <w:rsid w:val="004F0AC5"/>
    <w:rsid w:val="004F0D13"/>
    <w:rsid w:val="004F39D2"/>
    <w:rsid w:val="004F401E"/>
    <w:rsid w:val="004F608C"/>
    <w:rsid w:val="004F7DB4"/>
    <w:rsid w:val="00500A0A"/>
    <w:rsid w:val="00500A81"/>
    <w:rsid w:val="00503F12"/>
    <w:rsid w:val="00506FA9"/>
    <w:rsid w:val="005104FD"/>
    <w:rsid w:val="00511EAC"/>
    <w:rsid w:val="00512F6D"/>
    <w:rsid w:val="00513886"/>
    <w:rsid w:val="0051461C"/>
    <w:rsid w:val="00515C8B"/>
    <w:rsid w:val="00517F6F"/>
    <w:rsid w:val="00523608"/>
    <w:rsid w:val="005239D4"/>
    <w:rsid w:val="00523B45"/>
    <w:rsid w:val="00525767"/>
    <w:rsid w:val="005259CF"/>
    <w:rsid w:val="00525AA4"/>
    <w:rsid w:val="00530EA8"/>
    <w:rsid w:val="005320E5"/>
    <w:rsid w:val="00534C82"/>
    <w:rsid w:val="0053536E"/>
    <w:rsid w:val="00537958"/>
    <w:rsid w:val="00540C26"/>
    <w:rsid w:val="00542887"/>
    <w:rsid w:val="00545668"/>
    <w:rsid w:val="00545A18"/>
    <w:rsid w:val="005462B0"/>
    <w:rsid w:val="00547513"/>
    <w:rsid w:val="00550640"/>
    <w:rsid w:val="00551FDF"/>
    <w:rsid w:val="00552CBA"/>
    <w:rsid w:val="00553A4A"/>
    <w:rsid w:val="00553C26"/>
    <w:rsid w:val="0055453C"/>
    <w:rsid w:val="0055699B"/>
    <w:rsid w:val="00556C5F"/>
    <w:rsid w:val="005622CE"/>
    <w:rsid w:val="005625B0"/>
    <w:rsid w:val="005645B6"/>
    <w:rsid w:val="00564844"/>
    <w:rsid w:val="0056487F"/>
    <w:rsid w:val="005651BD"/>
    <w:rsid w:val="005663AC"/>
    <w:rsid w:val="00572214"/>
    <w:rsid w:val="005736B8"/>
    <w:rsid w:val="00573990"/>
    <w:rsid w:val="0057737E"/>
    <w:rsid w:val="00577408"/>
    <w:rsid w:val="00577479"/>
    <w:rsid w:val="0058151E"/>
    <w:rsid w:val="005816CF"/>
    <w:rsid w:val="005822B6"/>
    <w:rsid w:val="00583AAE"/>
    <w:rsid w:val="0058555B"/>
    <w:rsid w:val="00585B66"/>
    <w:rsid w:val="00587846"/>
    <w:rsid w:val="0059071B"/>
    <w:rsid w:val="00590DBC"/>
    <w:rsid w:val="00590FAF"/>
    <w:rsid w:val="005914DB"/>
    <w:rsid w:val="00592690"/>
    <w:rsid w:val="00592A26"/>
    <w:rsid w:val="00593E48"/>
    <w:rsid w:val="005A0C23"/>
    <w:rsid w:val="005A2DCF"/>
    <w:rsid w:val="005A30A9"/>
    <w:rsid w:val="005A4BBA"/>
    <w:rsid w:val="005A4E33"/>
    <w:rsid w:val="005B0387"/>
    <w:rsid w:val="005B0AA2"/>
    <w:rsid w:val="005B2925"/>
    <w:rsid w:val="005B2C44"/>
    <w:rsid w:val="005B3FD6"/>
    <w:rsid w:val="005B6AF7"/>
    <w:rsid w:val="005C0211"/>
    <w:rsid w:val="005C0742"/>
    <w:rsid w:val="005C4679"/>
    <w:rsid w:val="005C5CFC"/>
    <w:rsid w:val="005C7DDF"/>
    <w:rsid w:val="005D0173"/>
    <w:rsid w:val="005D44B2"/>
    <w:rsid w:val="005D4A9B"/>
    <w:rsid w:val="005D5245"/>
    <w:rsid w:val="005D5EA7"/>
    <w:rsid w:val="005D74D8"/>
    <w:rsid w:val="005D7DCD"/>
    <w:rsid w:val="005D7DDC"/>
    <w:rsid w:val="005E17CF"/>
    <w:rsid w:val="005E1809"/>
    <w:rsid w:val="005E204B"/>
    <w:rsid w:val="005E3275"/>
    <w:rsid w:val="005E5EE9"/>
    <w:rsid w:val="005F1D27"/>
    <w:rsid w:val="005F231D"/>
    <w:rsid w:val="005F2890"/>
    <w:rsid w:val="005F2F88"/>
    <w:rsid w:val="005F3EF8"/>
    <w:rsid w:val="005F44B7"/>
    <w:rsid w:val="005F481F"/>
    <w:rsid w:val="005F53E6"/>
    <w:rsid w:val="005F6B05"/>
    <w:rsid w:val="005F6C8A"/>
    <w:rsid w:val="005F75A7"/>
    <w:rsid w:val="005F7B62"/>
    <w:rsid w:val="006001E4"/>
    <w:rsid w:val="00602FBF"/>
    <w:rsid w:val="00603898"/>
    <w:rsid w:val="00604105"/>
    <w:rsid w:val="006053F7"/>
    <w:rsid w:val="00607CC4"/>
    <w:rsid w:val="006100D2"/>
    <w:rsid w:val="00610A28"/>
    <w:rsid w:val="006127A4"/>
    <w:rsid w:val="006128D0"/>
    <w:rsid w:val="00613F99"/>
    <w:rsid w:val="00615673"/>
    <w:rsid w:val="00615972"/>
    <w:rsid w:val="0061687E"/>
    <w:rsid w:val="006169CB"/>
    <w:rsid w:val="0062063C"/>
    <w:rsid w:val="00621153"/>
    <w:rsid w:val="00621CB7"/>
    <w:rsid w:val="00622D8A"/>
    <w:rsid w:val="0062323D"/>
    <w:rsid w:val="00623C55"/>
    <w:rsid w:val="00625812"/>
    <w:rsid w:val="006265ED"/>
    <w:rsid w:val="00630220"/>
    <w:rsid w:val="006310EB"/>
    <w:rsid w:val="006313F3"/>
    <w:rsid w:val="006348BB"/>
    <w:rsid w:val="00635519"/>
    <w:rsid w:val="006363EF"/>
    <w:rsid w:val="00636416"/>
    <w:rsid w:val="006374BD"/>
    <w:rsid w:val="00640DBC"/>
    <w:rsid w:val="00643590"/>
    <w:rsid w:val="00646433"/>
    <w:rsid w:val="00651D62"/>
    <w:rsid w:val="006522FC"/>
    <w:rsid w:val="00652944"/>
    <w:rsid w:val="00654283"/>
    <w:rsid w:val="0065547E"/>
    <w:rsid w:val="00655BCB"/>
    <w:rsid w:val="00657BB4"/>
    <w:rsid w:val="006601C3"/>
    <w:rsid w:val="006622D5"/>
    <w:rsid w:val="0066267A"/>
    <w:rsid w:val="0066447A"/>
    <w:rsid w:val="00666353"/>
    <w:rsid w:val="00670C2C"/>
    <w:rsid w:val="0067387D"/>
    <w:rsid w:val="00676091"/>
    <w:rsid w:val="00676258"/>
    <w:rsid w:val="0068003D"/>
    <w:rsid w:val="00681585"/>
    <w:rsid w:val="00681F9A"/>
    <w:rsid w:val="006828F8"/>
    <w:rsid w:val="006835DD"/>
    <w:rsid w:val="00683C55"/>
    <w:rsid w:val="00684B8B"/>
    <w:rsid w:val="006856CA"/>
    <w:rsid w:val="00687BD4"/>
    <w:rsid w:val="00691241"/>
    <w:rsid w:val="006927BE"/>
    <w:rsid w:val="00694196"/>
    <w:rsid w:val="00695292"/>
    <w:rsid w:val="006952B2"/>
    <w:rsid w:val="00695650"/>
    <w:rsid w:val="00695F25"/>
    <w:rsid w:val="00696442"/>
    <w:rsid w:val="00696C05"/>
    <w:rsid w:val="006A0129"/>
    <w:rsid w:val="006A162E"/>
    <w:rsid w:val="006A2E08"/>
    <w:rsid w:val="006A49A6"/>
    <w:rsid w:val="006A4A82"/>
    <w:rsid w:val="006B4415"/>
    <w:rsid w:val="006B7965"/>
    <w:rsid w:val="006C1A41"/>
    <w:rsid w:val="006C1A8D"/>
    <w:rsid w:val="006C1AE5"/>
    <w:rsid w:val="006C3C17"/>
    <w:rsid w:val="006C690E"/>
    <w:rsid w:val="006C76FE"/>
    <w:rsid w:val="006D19EA"/>
    <w:rsid w:val="006D2F8B"/>
    <w:rsid w:val="006D3182"/>
    <w:rsid w:val="006D5A39"/>
    <w:rsid w:val="006D6A33"/>
    <w:rsid w:val="006E0743"/>
    <w:rsid w:val="006E34EA"/>
    <w:rsid w:val="006E3D89"/>
    <w:rsid w:val="006E657A"/>
    <w:rsid w:val="006E6711"/>
    <w:rsid w:val="006F0C90"/>
    <w:rsid w:val="006F1628"/>
    <w:rsid w:val="006F625E"/>
    <w:rsid w:val="007046FB"/>
    <w:rsid w:val="00704D13"/>
    <w:rsid w:val="007054B1"/>
    <w:rsid w:val="007079A6"/>
    <w:rsid w:val="00707BC9"/>
    <w:rsid w:val="00707F41"/>
    <w:rsid w:val="00711A7B"/>
    <w:rsid w:val="007142FD"/>
    <w:rsid w:val="0071636D"/>
    <w:rsid w:val="007163D5"/>
    <w:rsid w:val="007166B0"/>
    <w:rsid w:val="00717972"/>
    <w:rsid w:val="00720481"/>
    <w:rsid w:val="00721574"/>
    <w:rsid w:val="0072234C"/>
    <w:rsid w:val="00724530"/>
    <w:rsid w:val="00727097"/>
    <w:rsid w:val="00727976"/>
    <w:rsid w:val="00730E3D"/>
    <w:rsid w:val="00733221"/>
    <w:rsid w:val="0073377D"/>
    <w:rsid w:val="00734C28"/>
    <w:rsid w:val="00737852"/>
    <w:rsid w:val="00737CB9"/>
    <w:rsid w:val="007406FD"/>
    <w:rsid w:val="00745A9A"/>
    <w:rsid w:val="00746921"/>
    <w:rsid w:val="007475D6"/>
    <w:rsid w:val="00750C8D"/>
    <w:rsid w:val="007518A3"/>
    <w:rsid w:val="00752101"/>
    <w:rsid w:val="00752ED9"/>
    <w:rsid w:val="007532DD"/>
    <w:rsid w:val="00755548"/>
    <w:rsid w:val="00755867"/>
    <w:rsid w:val="007558FE"/>
    <w:rsid w:val="00756394"/>
    <w:rsid w:val="00756542"/>
    <w:rsid w:val="00757C10"/>
    <w:rsid w:val="00760693"/>
    <w:rsid w:val="00762896"/>
    <w:rsid w:val="00762B4A"/>
    <w:rsid w:val="007637B3"/>
    <w:rsid w:val="0076545F"/>
    <w:rsid w:val="00765989"/>
    <w:rsid w:val="00767E6E"/>
    <w:rsid w:val="00770ADA"/>
    <w:rsid w:val="0077301F"/>
    <w:rsid w:val="007735FA"/>
    <w:rsid w:val="00773C03"/>
    <w:rsid w:val="00774C34"/>
    <w:rsid w:val="007750A3"/>
    <w:rsid w:val="00776A3F"/>
    <w:rsid w:val="00776BE2"/>
    <w:rsid w:val="007770D0"/>
    <w:rsid w:val="00780099"/>
    <w:rsid w:val="007802E6"/>
    <w:rsid w:val="007818B5"/>
    <w:rsid w:val="0078202F"/>
    <w:rsid w:val="007836C2"/>
    <w:rsid w:val="00787981"/>
    <w:rsid w:val="00790071"/>
    <w:rsid w:val="00791B02"/>
    <w:rsid w:val="0079306F"/>
    <w:rsid w:val="00793546"/>
    <w:rsid w:val="00793FEA"/>
    <w:rsid w:val="00794807"/>
    <w:rsid w:val="0079575B"/>
    <w:rsid w:val="0079733D"/>
    <w:rsid w:val="007A2349"/>
    <w:rsid w:val="007A2FB7"/>
    <w:rsid w:val="007A4178"/>
    <w:rsid w:val="007A5050"/>
    <w:rsid w:val="007A59AA"/>
    <w:rsid w:val="007A602D"/>
    <w:rsid w:val="007A6BBA"/>
    <w:rsid w:val="007A7CC7"/>
    <w:rsid w:val="007B0CF6"/>
    <w:rsid w:val="007B0D3F"/>
    <w:rsid w:val="007B1185"/>
    <w:rsid w:val="007B2519"/>
    <w:rsid w:val="007B36A8"/>
    <w:rsid w:val="007B3A10"/>
    <w:rsid w:val="007B4FF9"/>
    <w:rsid w:val="007C04A2"/>
    <w:rsid w:val="007C1104"/>
    <w:rsid w:val="007C15DE"/>
    <w:rsid w:val="007C4685"/>
    <w:rsid w:val="007C4D66"/>
    <w:rsid w:val="007C51BD"/>
    <w:rsid w:val="007C58C6"/>
    <w:rsid w:val="007C5D1D"/>
    <w:rsid w:val="007C790B"/>
    <w:rsid w:val="007D18B5"/>
    <w:rsid w:val="007D1C33"/>
    <w:rsid w:val="007D2E1E"/>
    <w:rsid w:val="007D4CD4"/>
    <w:rsid w:val="007D51EC"/>
    <w:rsid w:val="007D5490"/>
    <w:rsid w:val="007D56FB"/>
    <w:rsid w:val="007D725E"/>
    <w:rsid w:val="007D7E23"/>
    <w:rsid w:val="007E3885"/>
    <w:rsid w:val="007E53F4"/>
    <w:rsid w:val="007E7832"/>
    <w:rsid w:val="007F1FD2"/>
    <w:rsid w:val="007F493B"/>
    <w:rsid w:val="007F5670"/>
    <w:rsid w:val="007F5AF4"/>
    <w:rsid w:val="007F671C"/>
    <w:rsid w:val="00800546"/>
    <w:rsid w:val="0080111A"/>
    <w:rsid w:val="00801E5F"/>
    <w:rsid w:val="008023EE"/>
    <w:rsid w:val="00802446"/>
    <w:rsid w:val="0080328C"/>
    <w:rsid w:val="00803F48"/>
    <w:rsid w:val="00804520"/>
    <w:rsid w:val="00804F0D"/>
    <w:rsid w:val="00805A64"/>
    <w:rsid w:val="00805E5B"/>
    <w:rsid w:val="00805F2A"/>
    <w:rsid w:val="00807728"/>
    <w:rsid w:val="008117F7"/>
    <w:rsid w:val="00813FCD"/>
    <w:rsid w:val="00815C12"/>
    <w:rsid w:val="00816FCD"/>
    <w:rsid w:val="008206F4"/>
    <w:rsid w:val="0082290A"/>
    <w:rsid w:val="008246D8"/>
    <w:rsid w:val="00825BFE"/>
    <w:rsid w:val="00826A24"/>
    <w:rsid w:val="0083161F"/>
    <w:rsid w:val="008354DA"/>
    <w:rsid w:val="008374A5"/>
    <w:rsid w:val="00837F59"/>
    <w:rsid w:val="008419D4"/>
    <w:rsid w:val="00846176"/>
    <w:rsid w:val="00846959"/>
    <w:rsid w:val="00846D58"/>
    <w:rsid w:val="00847112"/>
    <w:rsid w:val="00850A76"/>
    <w:rsid w:val="008518E9"/>
    <w:rsid w:val="00851F77"/>
    <w:rsid w:val="00853CF1"/>
    <w:rsid w:val="00853F90"/>
    <w:rsid w:val="00854287"/>
    <w:rsid w:val="00854CD7"/>
    <w:rsid w:val="008560DC"/>
    <w:rsid w:val="0085675E"/>
    <w:rsid w:val="008608CE"/>
    <w:rsid w:val="00863FA0"/>
    <w:rsid w:val="008642AD"/>
    <w:rsid w:val="00864767"/>
    <w:rsid w:val="008658C1"/>
    <w:rsid w:val="00871420"/>
    <w:rsid w:val="0087284F"/>
    <w:rsid w:val="00873B39"/>
    <w:rsid w:val="00874F0A"/>
    <w:rsid w:val="0087537F"/>
    <w:rsid w:val="00875790"/>
    <w:rsid w:val="0088274C"/>
    <w:rsid w:val="0088553F"/>
    <w:rsid w:val="0088566E"/>
    <w:rsid w:val="00887AE8"/>
    <w:rsid w:val="00890A44"/>
    <w:rsid w:val="008952B1"/>
    <w:rsid w:val="00895D42"/>
    <w:rsid w:val="008A092E"/>
    <w:rsid w:val="008A0A21"/>
    <w:rsid w:val="008A0A2B"/>
    <w:rsid w:val="008A1271"/>
    <w:rsid w:val="008A139B"/>
    <w:rsid w:val="008A19CC"/>
    <w:rsid w:val="008A34A5"/>
    <w:rsid w:val="008A65A0"/>
    <w:rsid w:val="008B0AE4"/>
    <w:rsid w:val="008B386D"/>
    <w:rsid w:val="008B419D"/>
    <w:rsid w:val="008B49BE"/>
    <w:rsid w:val="008B5E1A"/>
    <w:rsid w:val="008C01CC"/>
    <w:rsid w:val="008C0841"/>
    <w:rsid w:val="008C320E"/>
    <w:rsid w:val="008C39B7"/>
    <w:rsid w:val="008C41BA"/>
    <w:rsid w:val="008C4745"/>
    <w:rsid w:val="008C4853"/>
    <w:rsid w:val="008C6CE3"/>
    <w:rsid w:val="008C70A4"/>
    <w:rsid w:val="008D61F0"/>
    <w:rsid w:val="008D6230"/>
    <w:rsid w:val="008E0BC0"/>
    <w:rsid w:val="008E0D93"/>
    <w:rsid w:val="008E1730"/>
    <w:rsid w:val="008E396D"/>
    <w:rsid w:val="008E5D9B"/>
    <w:rsid w:val="008E6BBD"/>
    <w:rsid w:val="008F1A37"/>
    <w:rsid w:val="008F1C7A"/>
    <w:rsid w:val="008F451C"/>
    <w:rsid w:val="008F68A8"/>
    <w:rsid w:val="009002D9"/>
    <w:rsid w:val="0090030F"/>
    <w:rsid w:val="00901117"/>
    <w:rsid w:val="00901F02"/>
    <w:rsid w:val="00901FAF"/>
    <w:rsid w:val="00903821"/>
    <w:rsid w:val="00903E8B"/>
    <w:rsid w:val="00904039"/>
    <w:rsid w:val="00906B23"/>
    <w:rsid w:val="009076DA"/>
    <w:rsid w:val="00907A72"/>
    <w:rsid w:val="00907FC8"/>
    <w:rsid w:val="00912121"/>
    <w:rsid w:val="00912206"/>
    <w:rsid w:val="00912500"/>
    <w:rsid w:val="009130B6"/>
    <w:rsid w:val="009137DE"/>
    <w:rsid w:val="0091551B"/>
    <w:rsid w:val="0091583A"/>
    <w:rsid w:val="00915DBE"/>
    <w:rsid w:val="00916271"/>
    <w:rsid w:val="00921ECE"/>
    <w:rsid w:val="00922188"/>
    <w:rsid w:val="00923524"/>
    <w:rsid w:val="00924DE2"/>
    <w:rsid w:val="00925B65"/>
    <w:rsid w:val="0092697C"/>
    <w:rsid w:val="00927437"/>
    <w:rsid w:val="00927CEA"/>
    <w:rsid w:val="0093183D"/>
    <w:rsid w:val="009324BB"/>
    <w:rsid w:val="0093345B"/>
    <w:rsid w:val="009365FC"/>
    <w:rsid w:val="009373A8"/>
    <w:rsid w:val="0094046D"/>
    <w:rsid w:val="009404DF"/>
    <w:rsid w:val="009425C8"/>
    <w:rsid w:val="009457D8"/>
    <w:rsid w:val="00951493"/>
    <w:rsid w:val="009517BB"/>
    <w:rsid w:val="00953B67"/>
    <w:rsid w:val="009552B5"/>
    <w:rsid w:val="00955DCE"/>
    <w:rsid w:val="00957384"/>
    <w:rsid w:val="009573D8"/>
    <w:rsid w:val="00957E28"/>
    <w:rsid w:val="00961749"/>
    <w:rsid w:val="00962015"/>
    <w:rsid w:val="00973168"/>
    <w:rsid w:val="00974DF1"/>
    <w:rsid w:val="009818AD"/>
    <w:rsid w:val="00981B72"/>
    <w:rsid w:val="009845EA"/>
    <w:rsid w:val="00984CC4"/>
    <w:rsid w:val="00986494"/>
    <w:rsid w:val="00990067"/>
    <w:rsid w:val="0099202B"/>
    <w:rsid w:val="00992DE9"/>
    <w:rsid w:val="009941A7"/>
    <w:rsid w:val="00994284"/>
    <w:rsid w:val="009A3960"/>
    <w:rsid w:val="009A3A59"/>
    <w:rsid w:val="009A45A8"/>
    <w:rsid w:val="009B13B5"/>
    <w:rsid w:val="009B2101"/>
    <w:rsid w:val="009B3489"/>
    <w:rsid w:val="009B55B3"/>
    <w:rsid w:val="009B620F"/>
    <w:rsid w:val="009B6850"/>
    <w:rsid w:val="009B6E58"/>
    <w:rsid w:val="009B6E7D"/>
    <w:rsid w:val="009B73FD"/>
    <w:rsid w:val="009B7A8F"/>
    <w:rsid w:val="009C0EA9"/>
    <w:rsid w:val="009C3F3C"/>
    <w:rsid w:val="009C56AE"/>
    <w:rsid w:val="009C5841"/>
    <w:rsid w:val="009C6617"/>
    <w:rsid w:val="009C7D1E"/>
    <w:rsid w:val="009D127F"/>
    <w:rsid w:val="009D4A4F"/>
    <w:rsid w:val="009D56DA"/>
    <w:rsid w:val="009E3F57"/>
    <w:rsid w:val="009E4836"/>
    <w:rsid w:val="009E4BDC"/>
    <w:rsid w:val="009E7F2B"/>
    <w:rsid w:val="009F1690"/>
    <w:rsid w:val="009F1EAD"/>
    <w:rsid w:val="009F37F6"/>
    <w:rsid w:val="009F425E"/>
    <w:rsid w:val="009F64A7"/>
    <w:rsid w:val="009F6559"/>
    <w:rsid w:val="009F734C"/>
    <w:rsid w:val="00A02076"/>
    <w:rsid w:val="00A023C8"/>
    <w:rsid w:val="00A02514"/>
    <w:rsid w:val="00A0420D"/>
    <w:rsid w:val="00A04629"/>
    <w:rsid w:val="00A05D8A"/>
    <w:rsid w:val="00A07C88"/>
    <w:rsid w:val="00A117BD"/>
    <w:rsid w:val="00A11CFA"/>
    <w:rsid w:val="00A1241B"/>
    <w:rsid w:val="00A12961"/>
    <w:rsid w:val="00A12CA4"/>
    <w:rsid w:val="00A138AE"/>
    <w:rsid w:val="00A13C40"/>
    <w:rsid w:val="00A142C3"/>
    <w:rsid w:val="00A14CD2"/>
    <w:rsid w:val="00A16817"/>
    <w:rsid w:val="00A21D38"/>
    <w:rsid w:val="00A225E2"/>
    <w:rsid w:val="00A22B96"/>
    <w:rsid w:val="00A24EC8"/>
    <w:rsid w:val="00A27D0B"/>
    <w:rsid w:val="00A31012"/>
    <w:rsid w:val="00A33FDF"/>
    <w:rsid w:val="00A34E30"/>
    <w:rsid w:val="00A3582D"/>
    <w:rsid w:val="00A35A46"/>
    <w:rsid w:val="00A35CCD"/>
    <w:rsid w:val="00A37807"/>
    <w:rsid w:val="00A37EDB"/>
    <w:rsid w:val="00A4051A"/>
    <w:rsid w:val="00A42E4E"/>
    <w:rsid w:val="00A45060"/>
    <w:rsid w:val="00A456B5"/>
    <w:rsid w:val="00A45F5F"/>
    <w:rsid w:val="00A46AE6"/>
    <w:rsid w:val="00A4765F"/>
    <w:rsid w:val="00A47FE7"/>
    <w:rsid w:val="00A51CC8"/>
    <w:rsid w:val="00A55E24"/>
    <w:rsid w:val="00A562C1"/>
    <w:rsid w:val="00A576CB"/>
    <w:rsid w:val="00A617AF"/>
    <w:rsid w:val="00A61B65"/>
    <w:rsid w:val="00A62967"/>
    <w:rsid w:val="00A638A7"/>
    <w:rsid w:val="00A63947"/>
    <w:rsid w:val="00A6462A"/>
    <w:rsid w:val="00A64861"/>
    <w:rsid w:val="00A65855"/>
    <w:rsid w:val="00A658A4"/>
    <w:rsid w:val="00A65F03"/>
    <w:rsid w:val="00A663C7"/>
    <w:rsid w:val="00A666B1"/>
    <w:rsid w:val="00A71C4A"/>
    <w:rsid w:val="00A723DE"/>
    <w:rsid w:val="00A72E9B"/>
    <w:rsid w:val="00A757EB"/>
    <w:rsid w:val="00A759C2"/>
    <w:rsid w:val="00A76022"/>
    <w:rsid w:val="00A85C54"/>
    <w:rsid w:val="00A87139"/>
    <w:rsid w:val="00A90A7A"/>
    <w:rsid w:val="00A91E23"/>
    <w:rsid w:val="00A92724"/>
    <w:rsid w:val="00A927F9"/>
    <w:rsid w:val="00A92C8F"/>
    <w:rsid w:val="00A92F8C"/>
    <w:rsid w:val="00A95E23"/>
    <w:rsid w:val="00A97042"/>
    <w:rsid w:val="00AA2F00"/>
    <w:rsid w:val="00AA3273"/>
    <w:rsid w:val="00AA3D6A"/>
    <w:rsid w:val="00AA4349"/>
    <w:rsid w:val="00AA5266"/>
    <w:rsid w:val="00AA5C73"/>
    <w:rsid w:val="00AA686D"/>
    <w:rsid w:val="00AB28AC"/>
    <w:rsid w:val="00AB4015"/>
    <w:rsid w:val="00AB422A"/>
    <w:rsid w:val="00AC13BE"/>
    <w:rsid w:val="00AC2F87"/>
    <w:rsid w:val="00AC314D"/>
    <w:rsid w:val="00AD0DCD"/>
    <w:rsid w:val="00AD167E"/>
    <w:rsid w:val="00AD5B97"/>
    <w:rsid w:val="00AD6D51"/>
    <w:rsid w:val="00AE02EE"/>
    <w:rsid w:val="00AE28C9"/>
    <w:rsid w:val="00AE4AC6"/>
    <w:rsid w:val="00AE506F"/>
    <w:rsid w:val="00AE5141"/>
    <w:rsid w:val="00AE7119"/>
    <w:rsid w:val="00AF0435"/>
    <w:rsid w:val="00AF4012"/>
    <w:rsid w:val="00AF46B2"/>
    <w:rsid w:val="00AF55B6"/>
    <w:rsid w:val="00AF5602"/>
    <w:rsid w:val="00AF5768"/>
    <w:rsid w:val="00B02A5A"/>
    <w:rsid w:val="00B10C19"/>
    <w:rsid w:val="00B16A84"/>
    <w:rsid w:val="00B16E4B"/>
    <w:rsid w:val="00B1770A"/>
    <w:rsid w:val="00B27A1F"/>
    <w:rsid w:val="00B31898"/>
    <w:rsid w:val="00B32265"/>
    <w:rsid w:val="00B3614C"/>
    <w:rsid w:val="00B37238"/>
    <w:rsid w:val="00B378C5"/>
    <w:rsid w:val="00B4035F"/>
    <w:rsid w:val="00B40FE4"/>
    <w:rsid w:val="00B447F2"/>
    <w:rsid w:val="00B44D86"/>
    <w:rsid w:val="00B47B47"/>
    <w:rsid w:val="00B51149"/>
    <w:rsid w:val="00B52D3C"/>
    <w:rsid w:val="00B54004"/>
    <w:rsid w:val="00B54646"/>
    <w:rsid w:val="00B55E93"/>
    <w:rsid w:val="00B62626"/>
    <w:rsid w:val="00B6394D"/>
    <w:rsid w:val="00B71C81"/>
    <w:rsid w:val="00B72B8D"/>
    <w:rsid w:val="00B72DAA"/>
    <w:rsid w:val="00B747A6"/>
    <w:rsid w:val="00B82FA4"/>
    <w:rsid w:val="00B8541F"/>
    <w:rsid w:val="00B86F8C"/>
    <w:rsid w:val="00B87258"/>
    <w:rsid w:val="00B8751A"/>
    <w:rsid w:val="00B90035"/>
    <w:rsid w:val="00B905F1"/>
    <w:rsid w:val="00B9416D"/>
    <w:rsid w:val="00B9542F"/>
    <w:rsid w:val="00B96475"/>
    <w:rsid w:val="00BA311B"/>
    <w:rsid w:val="00BA3A97"/>
    <w:rsid w:val="00BA5121"/>
    <w:rsid w:val="00BA62AC"/>
    <w:rsid w:val="00BB182D"/>
    <w:rsid w:val="00BB216D"/>
    <w:rsid w:val="00BB2F6A"/>
    <w:rsid w:val="00BB2FA9"/>
    <w:rsid w:val="00BB396C"/>
    <w:rsid w:val="00BB40A6"/>
    <w:rsid w:val="00BB4804"/>
    <w:rsid w:val="00BB4F18"/>
    <w:rsid w:val="00BB54B7"/>
    <w:rsid w:val="00BB62A8"/>
    <w:rsid w:val="00BC05AC"/>
    <w:rsid w:val="00BC3993"/>
    <w:rsid w:val="00BC424D"/>
    <w:rsid w:val="00BD4AAD"/>
    <w:rsid w:val="00BD7444"/>
    <w:rsid w:val="00BE08D4"/>
    <w:rsid w:val="00BE1AF5"/>
    <w:rsid w:val="00BE1B6D"/>
    <w:rsid w:val="00BE4184"/>
    <w:rsid w:val="00BE469F"/>
    <w:rsid w:val="00BE58A0"/>
    <w:rsid w:val="00BE5A21"/>
    <w:rsid w:val="00BE746B"/>
    <w:rsid w:val="00BE7DEE"/>
    <w:rsid w:val="00BF02E1"/>
    <w:rsid w:val="00BF1929"/>
    <w:rsid w:val="00BF3DD0"/>
    <w:rsid w:val="00BF4B68"/>
    <w:rsid w:val="00BF5C31"/>
    <w:rsid w:val="00BF696E"/>
    <w:rsid w:val="00BF6FFF"/>
    <w:rsid w:val="00C00DB6"/>
    <w:rsid w:val="00C014E8"/>
    <w:rsid w:val="00C01E63"/>
    <w:rsid w:val="00C02CA6"/>
    <w:rsid w:val="00C03421"/>
    <w:rsid w:val="00C036DA"/>
    <w:rsid w:val="00C039E0"/>
    <w:rsid w:val="00C042B1"/>
    <w:rsid w:val="00C0542E"/>
    <w:rsid w:val="00C05CD7"/>
    <w:rsid w:val="00C06218"/>
    <w:rsid w:val="00C07EC6"/>
    <w:rsid w:val="00C118F5"/>
    <w:rsid w:val="00C136DD"/>
    <w:rsid w:val="00C154D8"/>
    <w:rsid w:val="00C23D63"/>
    <w:rsid w:val="00C26BCF"/>
    <w:rsid w:val="00C276E8"/>
    <w:rsid w:val="00C30B74"/>
    <w:rsid w:val="00C33F3A"/>
    <w:rsid w:val="00C34B52"/>
    <w:rsid w:val="00C34CD7"/>
    <w:rsid w:val="00C36413"/>
    <w:rsid w:val="00C3681E"/>
    <w:rsid w:val="00C42F86"/>
    <w:rsid w:val="00C43C5D"/>
    <w:rsid w:val="00C47A4A"/>
    <w:rsid w:val="00C51156"/>
    <w:rsid w:val="00C5152D"/>
    <w:rsid w:val="00C5198C"/>
    <w:rsid w:val="00C53AD3"/>
    <w:rsid w:val="00C56D87"/>
    <w:rsid w:val="00C574D8"/>
    <w:rsid w:val="00C607F8"/>
    <w:rsid w:val="00C6551F"/>
    <w:rsid w:val="00C65DAC"/>
    <w:rsid w:val="00C664AD"/>
    <w:rsid w:val="00C7192B"/>
    <w:rsid w:val="00C72DDD"/>
    <w:rsid w:val="00C7457C"/>
    <w:rsid w:val="00C74E9D"/>
    <w:rsid w:val="00C74EC8"/>
    <w:rsid w:val="00C760F3"/>
    <w:rsid w:val="00C76823"/>
    <w:rsid w:val="00C82523"/>
    <w:rsid w:val="00C83214"/>
    <w:rsid w:val="00C83D1A"/>
    <w:rsid w:val="00C927F1"/>
    <w:rsid w:val="00C930AB"/>
    <w:rsid w:val="00C93BE5"/>
    <w:rsid w:val="00C947C9"/>
    <w:rsid w:val="00C95856"/>
    <w:rsid w:val="00C96128"/>
    <w:rsid w:val="00C97E67"/>
    <w:rsid w:val="00CA0552"/>
    <w:rsid w:val="00CA36CB"/>
    <w:rsid w:val="00CA3E1D"/>
    <w:rsid w:val="00CA508A"/>
    <w:rsid w:val="00CA5817"/>
    <w:rsid w:val="00CA613C"/>
    <w:rsid w:val="00CB00A4"/>
    <w:rsid w:val="00CB1189"/>
    <w:rsid w:val="00CB1649"/>
    <w:rsid w:val="00CB29D5"/>
    <w:rsid w:val="00CB46B3"/>
    <w:rsid w:val="00CB7073"/>
    <w:rsid w:val="00CB7B2E"/>
    <w:rsid w:val="00CC0B70"/>
    <w:rsid w:val="00CC1E85"/>
    <w:rsid w:val="00CC30F7"/>
    <w:rsid w:val="00CC3211"/>
    <w:rsid w:val="00CC38C8"/>
    <w:rsid w:val="00CD01D3"/>
    <w:rsid w:val="00CD5961"/>
    <w:rsid w:val="00CD74A6"/>
    <w:rsid w:val="00CD79A1"/>
    <w:rsid w:val="00CE4DC8"/>
    <w:rsid w:val="00CE6308"/>
    <w:rsid w:val="00CE7975"/>
    <w:rsid w:val="00CF0E93"/>
    <w:rsid w:val="00CF23C5"/>
    <w:rsid w:val="00CF6073"/>
    <w:rsid w:val="00CF6327"/>
    <w:rsid w:val="00CF7303"/>
    <w:rsid w:val="00CF7979"/>
    <w:rsid w:val="00CF7C03"/>
    <w:rsid w:val="00D03DC4"/>
    <w:rsid w:val="00D04BD2"/>
    <w:rsid w:val="00D05DD5"/>
    <w:rsid w:val="00D06304"/>
    <w:rsid w:val="00D07E2D"/>
    <w:rsid w:val="00D1130B"/>
    <w:rsid w:val="00D11A9A"/>
    <w:rsid w:val="00D158FC"/>
    <w:rsid w:val="00D15FCF"/>
    <w:rsid w:val="00D20CCC"/>
    <w:rsid w:val="00D21B02"/>
    <w:rsid w:val="00D22467"/>
    <w:rsid w:val="00D24653"/>
    <w:rsid w:val="00D25CE8"/>
    <w:rsid w:val="00D25D06"/>
    <w:rsid w:val="00D276B3"/>
    <w:rsid w:val="00D30254"/>
    <w:rsid w:val="00D316B7"/>
    <w:rsid w:val="00D33A34"/>
    <w:rsid w:val="00D34227"/>
    <w:rsid w:val="00D35428"/>
    <w:rsid w:val="00D3620C"/>
    <w:rsid w:val="00D3705F"/>
    <w:rsid w:val="00D40802"/>
    <w:rsid w:val="00D40A62"/>
    <w:rsid w:val="00D427F0"/>
    <w:rsid w:val="00D44680"/>
    <w:rsid w:val="00D45A2F"/>
    <w:rsid w:val="00D516FB"/>
    <w:rsid w:val="00D51D5E"/>
    <w:rsid w:val="00D54D84"/>
    <w:rsid w:val="00D5544D"/>
    <w:rsid w:val="00D55503"/>
    <w:rsid w:val="00D612F1"/>
    <w:rsid w:val="00D6249A"/>
    <w:rsid w:val="00D66EB9"/>
    <w:rsid w:val="00D670C6"/>
    <w:rsid w:val="00D70763"/>
    <w:rsid w:val="00D71277"/>
    <w:rsid w:val="00D71555"/>
    <w:rsid w:val="00D72155"/>
    <w:rsid w:val="00D74D94"/>
    <w:rsid w:val="00D775EE"/>
    <w:rsid w:val="00D81150"/>
    <w:rsid w:val="00D82D69"/>
    <w:rsid w:val="00D82E2D"/>
    <w:rsid w:val="00D832E5"/>
    <w:rsid w:val="00D858B6"/>
    <w:rsid w:val="00D85C50"/>
    <w:rsid w:val="00D85E10"/>
    <w:rsid w:val="00D85E81"/>
    <w:rsid w:val="00D9557F"/>
    <w:rsid w:val="00D972C4"/>
    <w:rsid w:val="00D9750B"/>
    <w:rsid w:val="00D97610"/>
    <w:rsid w:val="00D9781A"/>
    <w:rsid w:val="00DA174B"/>
    <w:rsid w:val="00DA2776"/>
    <w:rsid w:val="00DA2F12"/>
    <w:rsid w:val="00DA2FDA"/>
    <w:rsid w:val="00DB0259"/>
    <w:rsid w:val="00DB0529"/>
    <w:rsid w:val="00DB193C"/>
    <w:rsid w:val="00DB1F40"/>
    <w:rsid w:val="00DB3488"/>
    <w:rsid w:val="00DB4111"/>
    <w:rsid w:val="00DB45E4"/>
    <w:rsid w:val="00DB561B"/>
    <w:rsid w:val="00DB7DFD"/>
    <w:rsid w:val="00DC7B32"/>
    <w:rsid w:val="00DD0136"/>
    <w:rsid w:val="00DD01CE"/>
    <w:rsid w:val="00DD2C52"/>
    <w:rsid w:val="00DD42B6"/>
    <w:rsid w:val="00DD4F14"/>
    <w:rsid w:val="00DD53BA"/>
    <w:rsid w:val="00DD7223"/>
    <w:rsid w:val="00DD7362"/>
    <w:rsid w:val="00DD788B"/>
    <w:rsid w:val="00DE0C89"/>
    <w:rsid w:val="00DE10E7"/>
    <w:rsid w:val="00DE1A90"/>
    <w:rsid w:val="00DE217A"/>
    <w:rsid w:val="00DE253F"/>
    <w:rsid w:val="00DE4E8F"/>
    <w:rsid w:val="00DE7445"/>
    <w:rsid w:val="00DF04EE"/>
    <w:rsid w:val="00DF1115"/>
    <w:rsid w:val="00DF1EA8"/>
    <w:rsid w:val="00DF2C6B"/>
    <w:rsid w:val="00DF2CAC"/>
    <w:rsid w:val="00DF75D3"/>
    <w:rsid w:val="00E02D5E"/>
    <w:rsid w:val="00E04C70"/>
    <w:rsid w:val="00E0567F"/>
    <w:rsid w:val="00E0626B"/>
    <w:rsid w:val="00E1182F"/>
    <w:rsid w:val="00E126A3"/>
    <w:rsid w:val="00E155BD"/>
    <w:rsid w:val="00E16F4C"/>
    <w:rsid w:val="00E16FEB"/>
    <w:rsid w:val="00E1736F"/>
    <w:rsid w:val="00E2070D"/>
    <w:rsid w:val="00E213B8"/>
    <w:rsid w:val="00E23758"/>
    <w:rsid w:val="00E238A1"/>
    <w:rsid w:val="00E2602A"/>
    <w:rsid w:val="00E26BB6"/>
    <w:rsid w:val="00E30FF0"/>
    <w:rsid w:val="00E31154"/>
    <w:rsid w:val="00E32733"/>
    <w:rsid w:val="00E32F65"/>
    <w:rsid w:val="00E36B48"/>
    <w:rsid w:val="00E40A60"/>
    <w:rsid w:val="00E430E9"/>
    <w:rsid w:val="00E4325F"/>
    <w:rsid w:val="00E47CCC"/>
    <w:rsid w:val="00E50E2C"/>
    <w:rsid w:val="00E51C43"/>
    <w:rsid w:val="00E52ABE"/>
    <w:rsid w:val="00E60088"/>
    <w:rsid w:val="00E64072"/>
    <w:rsid w:val="00E64A44"/>
    <w:rsid w:val="00E6627D"/>
    <w:rsid w:val="00E6741F"/>
    <w:rsid w:val="00E67A1A"/>
    <w:rsid w:val="00E771F3"/>
    <w:rsid w:val="00E779E7"/>
    <w:rsid w:val="00E77B17"/>
    <w:rsid w:val="00E81313"/>
    <w:rsid w:val="00E81B31"/>
    <w:rsid w:val="00E832A8"/>
    <w:rsid w:val="00E873D1"/>
    <w:rsid w:val="00E87C36"/>
    <w:rsid w:val="00E900C5"/>
    <w:rsid w:val="00E90A01"/>
    <w:rsid w:val="00E90ACF"/>
    <w:rsid w:val="00E948E6"/>
    <w:rsid w:val="00E9666A"/>
    <w:rsid w:val="00E97135"/>
    <w:rsid w:val="00EA1C86"/>
    <w:rsid w:val="00EA2CB4"/>
    <w:rsid w:val="00EA54FD"/>
    <w:rsid w:val="00EB01B2"/>
    <w:rsid w:val="00EB01FB"/>
    <w:rsid w:val="00EB0261"/>
    <w:rsid w:val="00EB1BD6"/>
    <w:rsid w:val="00EB4776"/>
    <w:rsid w:val="00EB4C40"/>
    <w:rsid w:val="00EB74BB"/>
    <w:rsid w:val="00EC16B4"/>
    <w:rsid w:val="00EC1E28"/>
    <w:rsid w:val="00EC2415"/>
    <w:rsid w:val="00EC34E7"/>
    <w:rsid w:val="00EC42BD"/>
    <w:rsid w:val="00EC5ED0"/>
    <w:rsid w:val="00EC63AE"/>
    <w:rsid w:val="00EC6C21"/>
    <w:rsid w:val="00EC7658"/>
    <w:rsid w:val="00ED0593"/>
    <w:rsid w:val="00ED4D13"/>
    <w:rsid w:val="00EE0E49"/>
    <w:rsid w:val="00EE1169"/>
    <w:rsid w:val="00EE5615"/>
    <w:rsid w:val="00EF1B3C"/>
    <w:rsid w:val="00EF3454"/>
    <w:rsid w:val="00EF5559"/>
    <w:rsid w:val="00EF64B1"/>
    <w:rsid w:val="00EF7B0D"/>
    <w:rsid w:val="00F007C9"/>
    <w:rsid w:val="00F009DB"/>
    <w:rsid w:val="00F02762"/>
    <w:rsid w:val="00F041D5"/>
    <w:rsid w:val="00F043F4"/>
    <w:rsid w:val="00F04CFF"/>
    <w:rsid w:val="00F0501C"/>
    <w:rsid w:val="00F05770"/>
    <w:rsid w:val="00F120B7"/>
    <w:rsid w:val="00F14B76"/>
    <w:rsid w:val="00F244B7"/>
    <w:rsid w:val="00F3082A"/>
    <w:rsid w:val="00F31C57"/>
    <w:rsid w:val="00F36674"/>
    <w:rsid w:val="00F402B5"/>
    <w:rsid w:val="00F40959"/>
    <w:rsid w:val="00F40B12"/>
    <w:rsid w:val="00F40F93"/>
    <w:rsid w:val="00F42CAA"/>
    <w:rsid w:val="00F43B88"/>
    <w:rsid w:val="00F442EF"/>
    <w:rsid w:val="00F47D7C"/>
    <w:rsid w:val="00F50010"/>
    <w:rsid w:val="00F506D1"/>
    <w:rsid w:val="00F51045"/>
    <w:rsid w:val="00F5404F"/>
    <w:rsid w:val="00F54A7F"/>
    <w:rsid w:val="00F55D50"/>
    <w:rsid w:val="00F57D77"/>
    <w:rsid w:val="00F604D8"/>
    <w:rsid w:val="00F62B70"/>
    <w:rsid w:val="00F6395A"/>
    <w:rsid w:val="00F651C1"/>
    <w:rsid w:val="00F67CE7"/>
    <w:rsid w:val="00F70643"/>
    <w:rsid w:val="00F70707"/>
    <w:rsid w:val="00F717E7"/>
    <w:rsid w:val="00F71EA6"/>
    <w:rsid w:val="00F7395A"/>
    <w:rsid w:val="00F74997"/>
    <w:rsid w:val="00F762C7"/>
    <w:rsid w:val="00F76C86"/>
    <w:rsid w:val="00F77918"/>
    <w:rsid w:val="00F77A44"/>
    <w:rsid w:val="00F8058C"/>
    <w:rsid w:val="00F8077A"/>
    <w:rsid w:val="00F818BB"/>
    <w:rsid w:val="00F81A8C"/>
    <w:rsid w:val="00F82039"/>
    <w:rsid w:val="00F8283E"/>
    <w:rsid w:val="00F85470"/>
    <w:rsid w:val="00F86412"/>
    <w:rsid w:val="00F87E31"/>
    <w:rsid w:val="00F9594B"/>
    <w:rsid w:val="00F9598B"/>
    <w:rsid w:val="00F97844"/>
    <w:rsid w:val="00FA52F1"/>
    <w:rsid w:val="00FA617F"/>
    <w:rsid w:val="00FA7280"/>
    <w:rsid w:val="00FB0F48"/>
    <w:rsid w:val="00FB1CB7"/>
    <w:rsid w:val="00FB2377"/>
    <w:rsid w:val="00FB2A4D"/>
    <w:rsid w:val="00FB2BE6"/>
    <w:rsid w:val="00FB37B5"/>
    <w:rsid w:val="00FB4052"/>
    <w:rsid w:val="00FB446C"/>
    <w:rsid w:val="00FB7DB8"/>
    <w:rsid w:val="00FC1158"/>
    <w:rsid w:val="00FC1203"/>
    <w:rsid w:val="00FC4947"/>
    <w:rsid w:val="00FC4A0A"/>
    <w:rsid w:val="00FC5050"/>
    <w:rsid w:val="00FC675A"/>
    <w:rsid w:val="00FC68A3"/>
    <w:rsid w:val="00FD0B54"/>
    <w:rsid w:val="00FD15A4"/>
    <w:rsid w:val="00FD3D19"/>
    <w:rsid w:val="00FD6403"/>
    <w:rsid w:val="00FD7B95"/>
    <w:rsid w:val="00FE1340"/>
    <w:rsid w:val="00FE3E7B"/>
    <w:rsid w:val="00FE435C"/>
    <w:rsid w:val="00FE7CC5"/>
    <w:rsid w:val="00FF2782"/>
    <w:rsid w:val="00FF295A"/>
    <w:rsid w:val="00FF2A6F"/>
    <w:rsid w:val="00FF3FCD"/>
    <w:rsid w:val="00FF4C02"/>
    <w:rsid w:val="00FF5B50"/>
    <w:rsid w:val="00FF5EF9"/>
    <w:rsid w:val="00FF6B9B"/>
    <w:rsid w:val="00FF6F0A"/>
    <w:rsid w:val="00FF729B"/>
    <w:rsid w:val="010E70F1"/>
    <w:rsid w:val="011B0745"/>
    <w:rsid w:val="0129403A"/>
    <w:rsid w:val="01693DA9"/>
    <w:rsid w:val="01826A17"/>
    <w:rsid w:val="01B77866"/>
    <w:rsid w:val="01C33986"/>
    <w:rsid w:val="01CF2F0F"/>
    <w:rsid w:val="01DC2959"/>
    <w:rsid w:val="022C2E9B"/>
    <w:rsid w:val="025837A5"/>
    <w:rsid w:val="025909DE"/>
    <w:rsid w:val="029E24B5"/>
    <w:rsid w:val="02D13D4F"/>
    <w:rsid w:val="02F456F2"/>
    <w:rsid w:val="032441FD"/>
    <w:rsid w:val="039504BE"/>
    <w:rsid w:val="0398674A"/>
    <w:rsid w:val="03CB0F7B"/>
    <w:rsid w:val="045A77D7"/>
    <w:rsid w:val="049251C3"/>
    <w:rsid w:val="04FF11CA"/>
    <w:rsid w:val="05424FE6"/>
    <w:rsid w:val="05921EE8"/>
    <w:rsid w:val="05BC1DCB"/>
    <w:rsid w:val="05F11169"/>
    <w:rsid w:val="06527826"/>
    <w:rsid w:val="06556C41"/>
    <w:rsid w:val="06A718B6"/>
    <w:rsid w:val="06AB256C"/>
    <w:rsid w:val="06B036DE"/>
    <w:rsid w:val="07027CB2"/>
    <w:rsid w:val="07346F7A"/>
    <w:rsid w:val="0736768B"/>
    <w:rsid w:val="075860A1"/>
    <w:rsid w:val="07866B35"/>
    <w:rsid w:val="07F341CA"/>
    <w:rsid w:val="082A5712"/>
    <w:rsid w:val="0858117E"/>
    <w:rsid w:val="086A32AC"/>
    <w:rsid w:val="086B7BE9"/>
    <w:rsid w:val="089247D2"/>
    <w:rsid w:val="08A22C7C"/>
    <w:rsid w:val="08DD2784"/>
    <w:rsid w:val="090B5587"/>
    <w:rsid w:val="091A588A"/>
    <w:rsid w:val="092F01B8"/>
    <w:rsid w:val="097C6801"/>
    <w:rsid w:val="098552F6"/>
    <w:rsid w:val="09CC7F17"/>
    <w:rsid w:val="09E366F4"/>
    <w:rsid w:val="09FC2CA4"/>
    <w:rsid w:val="0A14667A"/>
    <w:rsid w:val="0A217411"/>
    <w:rsid w:val="0A462BC7"/>
    <w:rsid w:val="0A663F6C"/>
    <w:rsid w:val="0A911A78"/>
    <w:rsid w:val="0AD1239D"/>
    <w:rsid w:val="0B1F4989"/>
    <w:rsid w:val="0B227CC9"/>
    <w:rsid w:val="0B2F58BB"/>
    <w:rsid w:val="0B45252D"/>
    <w:rsid w:val="0B452CDC"/>
    <w:rsid w:val="0B536D2E"/>
    <w:rsid w:val="0B626F71"/>
    <w:rsid w:val="0B7F5D75"/>
    <w:rsid w:val="0B9E10CF"/>
    <w:rsid w:val="0BA56541"/>
    <w:rsid w:val="0BE845BB"/>
    <w:rsid w:val="0BE934DD"/>
    <w:rsid w:val="0C186B74"/>
    <w:rsid w:val="0C6C1935"/>
    <w:rsid w:val="0C6C62F9"/>
    <w:rsid w:val="0C853538"/>
    <w:rsid w:val="0C905263"/>
    <w:rsid w:val="0CA05CB1"/>
    <w:rsid w:val="0CB24163"/>
    <w:rsid w:val="0CDE5118"/>
    <w:rsid w:val="0CE106DB"/>
    <w:rsid w:val="0CE75973"/>
    <w:rsid w:val="0CF663AE"/>
    <w:rsid w:val="0D2B61B4"/>
    <w:rsid w:val="0D6B4803"/>
    <w:rsid w:val="0D942D77"/>
    <w:rsid w:val="0D9D1AE5"/>
    <w:rsid w:val="0DB10079"/>
    <w:rsid w:val="0DFB64F3"/>
    <w:rsid w:val="0DFC36AD"/>
    <w:rsid w:val="0DFE49A3"/>
    <w:rsid w:val="0DFF3918"/>
    <w:rsid w:val="0E11418C"/>
    <w:rsid w:val="0E1A7E28"/>
    <w:rsid w:val="0E4A05AE"/>
    <w:rsid w:val="0E4D11C2"/>
    <w:rsid w:val="0E63372C"/>
    <w:rsid w:val="0E652AC5"/>
    <w:rsid w:val="0E682A23"/>
    <w:rsid w:val="0E8973CD"/>
    <w:rsid w:val="0EC06B1B"/>
    <w:rsid w:val="0EE651DB"/>
    <w:rsid w:val="0EF3685E"/>
    <w:rsid w:val="0EFB3810"/>
    <w:rsid w:val="0EFD76DC"/>
    <w:rsid w:val="0F3330FE"/>
    <w:rsid w:val="0F7756E1"/>
    <w:rsid w:val="0F7D6A6F"/>
    <w:rsid w:val="0FBD7CB1"/>
    <w:rsid w:val="0FBE6C35"/>
    <w:rsid w:val="0FD216B3"/>
    <w:rsid w:val="0FF52AA9"/>
    <w:rsid w:val="0FF8315F"/>
    <w:rsid w:val="100A29AA"/>
    <w:rsid w:val="10112315"/>
    <w:rsid w:val="102E4B93"/>
    <w:rsid w:val="103112F5"/>
    <w:rsid w:val="104D01F0"/>
    <w:rsid w:val="106A7434"/>
    <w:rsid w:val="10732363"/>
    <w:rsid w:val="1083295A"/>
    <w:rsid w:val="10937656"/>
    <w:rsid w:val="10BB784F"/>
    <w:rsid w:val="10CF45DA"/>
    <w:rsid w:val="10DB414B"/>
    <w:rsid w:val="10EA1EE2"/>
    <w:rsid w:val="110A251D"/>
    <w:rsid w:val="111E393A"/>
    <w:rsid w:val="115A6B37"/>
    <w:rsid w:val="11666897"/>
    <w:rsid w:val="11683CF4"/>
    <w:rsid w:val="11756831"/>
    <w:rsid w:val="123A0C48"/>
    <w:rsid w:val="12483364"/>
    <w:rsid w:val="127736F8"/>
    <w:rsid w:val="128F4AEF"/>
    <w:rsid w:val="12A433B1"/>
    <w:rsid w:val="12BB58E4"/>
    <w:rsid w:val="12E75B94"/>
    <w:rsid w:val="13563DAA"/>
    <w:rsid w:val="136F1C20"/>
    <w:rsid w:val="13877D68"/>
    <w:rsid w:val="139F3BE4"/>
    <w:rsid w:val="13BA2040"/>
    <w:rsid w:val="13C147CE"/>
    <w:rsid w:val="13D3452B"/>
    <w:rsid w:val="140774AD"/>
    <w:rsid w:val="14154836"/>
    <w:rsid w:val="14A34882"/>
    <w:rsid w:val="14D94773"/>
    <w:rsid w:val="15051099"/>
    <w:rsid w:val="1517701E"/>
    <w:rsid w:val="1519357C"/>
    <w:rsid w:val="152605A1"/>
    <w:rsid w:val="15842905"/>
    <w:rsid w:val="15CC66A1"/>
    <w:rsid w:val="16166064"/>
    <w:rsid w:val="163E57AE"/>
    <w:rsid w:val="164976AB"/>
    <w:rsid w:val="16505C99"/>
    <w:rsid w:val="167F4558"/>
    <w:rsid w:val="16AF4771"/>
    <w:rsid w:val="16BA0495"/>
    <w:rsid w:val="16D34E8F"/>
    <w:rsid w:val="16E46EF0"/>
    <w:rsid w:val="17033CFE"/>
    <w:rsid w:val="17215F32"/>
    <w:rsid w:val="1734382F"/>
    <w:rsid w:val="173C5B66"/>
    <w:rsid w:val="175470E6"/>
    <w:rsid w:val="17597546"/>
    <w:rsid w:val="17B9223F"/>
    <w:rsid w:val="17BE19D3"/>
    <w:rsid w:val="17D1198B"/>
    <w:rsid w:val="18067E8E"/>
    <w:rsid w:val="18176DF0"/>
    <w:rsid w:val="182013D2"/>
    <w:rsid w:val="182C5C1D"/>
    <w:rsid w:val="186758E2"/>
    <w:rsid w:val="18720C84"/>
    <w:rsid w:val="18972950"/>
    <w:rsid w:val="18AB01A9"/>
    <w:rsid w:val="18F51424"/>
    <w:rsid w:val="19244BA8"/>
    <w:rsid w:val="19445F08"/>
    <w:rsid w:val="197B7B7C"/>
    <w:rsid w:val="19B337B9"/>
    <w:rsid w:val="19D744CE"/>
    <w:rsid w:val="19EF7AF9"/>
    <w:rsid w:val="1A2521DD"/>
    <w:rsid w:val="1A2F6A1A"/>
    <w:rsid w:val="1A371634"/>
    <w:rsid w:val="1B050485"/>
    <w:rsid w:val="1B0B13D3"/>
    <w:rsid w:val="1B304838"/>
    <w:rsid w:val="1B495A57"/>
    <w:rsid w:val="1B634D6B"/>
    <w:rsid w:val="1B803B6F"/>
    <w:rsid w:val="1B9746C1"/>
    <w:rsid w:val="1BC9403A"/>
    <w:rsid w:val="1BF146E4"/>
    <w:rsid w:val="1C050957"/>
    <w:rsid w:val="1C0556D0"/>
    <w:rsid w:val="1C2C7853"/>
    <w:rsid w:val="1C3D1528"/>
    <w:rsid w:val="1C487D99"/>
    <w:rsid w:val="1C4955DC"/>
    <w:rsid w:val="1C5847A3"/>
    <w:rsid w:val="1C5C30AE"/>
    <w:rsid w:val="1C6E2185"/>
    <w:rsid w:val="1C7D3C0B"/>
    <w:rsid w:val="1C8C6544"/>
    <w:rsid w:val="1C9176B6"/>
    <w:rsid w:val="1C9920A6"/>
    <w:rsid w:val="1CB05C33"/>
    <w:rsid w:val="1CE066BD"/>
    <w:rsid w:val="1D914C03"/>
    <w:rsid w:val="1DD51824"/>
    <w:rsid w:val="1DEE08FE"/>
    <w:rsid w:val="1E3C40E9"/>
    <w:rsid w:val="1E786D7F"/>
    <w:rsid w:val="1E7F49B4"/>
    <w:rsid w:val="1EC47882"/>
    <w:rsid w:val="1ECE4BF1"/>
    <w:rsid w:val="1F182A70"/>
    <w:rsid w:val="1F1F5B3A"/>
    <w:rsid w:val="1F5F3A9B"/>
    <w:rsid w:val="1F856AAA"/>
    <w:rsid w:val="1FA3607E"/>
    <w:rsid w:val="1FBD6951"/>
    <w:rsid w:val="1FD24B33"/>
    <w:rsid w:val="1FD91AA0"/>
    <w:rsid w:val="1FF22B62"/>
    <w:rsid w:val="20303E66"/>
    <w:rsid w:val="20AD5964"/>
    <w:rsid w:val="20BF43BB"/>
    <w:rsid w:val="20F25A2B"/>
    <w:rsid w:val="20F66299"/>
    <w:rsid w:val="20F85F56"/>
    <w:rsid w:val="212B00D9"/>
    <w:rsid w:val="21413899"/>
    <w:rsid w:val="21433208"/>
    <w:rsid w:val="218755AB"/>
    <w:rsid w:val="21E6657A"/>
    <w:rsid w:val="22010E3A"/>
    <w:rsid w:val="223942B3"/>
    <w:rsid w:val="223C6316"/>
    <w:rsid w:val="2296771B"/>
    <w:rsid w:val="22F02729"/>
    <w:rsid w:val="22F4507B"/>
    <w:rsid w:val="23005130"/>
    <w:rsid w:val="232B2612"/>
    <w:rsid w:val="233012E3"/>
    <w:rsid w:val="23924B55"/>
    <w:rsid w:val="23C6058D"/>
    <w:rsid w:val="23FB1E25"/>
    <w:rsid w:val="23FD66CE"/>
    <w:rsid w:val="244D325D"/>
    <w:rsid w:val="24A15EE2"/>
    <w:rsid w:val="24AB715F"/>
    <w:rsid w:val="24AF5500"/>
    <w:rsid w:val="24B97925"/>
    <w:rsid w:val="24C85C3F"/>
    <w:rsid w:val="24D03CD9"/>
    <w:rsid w:val="24FB6FE0"/>
    <w:rsid w:val="25115DEC"/>
    <w:rsid w:val="251E084D"/>
    <w:rsid w:val="255B1D92"/>
    <w:rsid w:val="258278D2"/>
    <w:rsid w:val="25A14E0E"/>
    <w:rsid w:val="25AE3087"/>
    <w:rsid w:val="25AF7C37"/>
    <w:rsid w:val="25CF468D"/>
    <w:rsid w:val="25F81110"/>
    <w:rsid w:val="25FA35BC"/>
    <w:rsid w:val="26555728"/>
    <w:rsid w:val="26A7706F"/>
    <w:rsid w:val="26AC279E"/>
    <w:rsid w:val="26F34F21"/>
    <w:rsid w:val="270D0F81"/>
    <w:rsid w:val="27117D71"/>
    <w:rsid w:val="27167136"/>
    <w:rsid w:val="272F6449"/>
    <w:rsid w:val="277420AE"/>
    <w:rsid w:val="27814EF7"/>
    <w:rsid w:val="278D7C5E"/>
    <w:rsid w:val="2797417A"/>
    <w:rsid w:val="27A04C51"/>
    <w:rsid w:val="27C01197"/>
    <w:rsid w:val="27CC07A7"/>
    <w:rsid w:val="27CD66D3"/>
    <w:rsid w:val="27DC212D"/>
    <w:rsid w:val="28081174"/>
    <w:rsid w:val="2816238B"/>
    <w:rsid w:val="28181576"/>
    <w:rsid w:val="282854BD"/>
    <w:rsid w:val="28530E0E"/>
    <w:rsid w:val="28810F26"/>
    <w:rsid w:val="289447B6"/>
    <w:rsid w:val="289D21F4"/>
    <w:rsid w:val="289F15C5"/>
    <w:rsid w:val="28E868B0"/>
    <w:rsid w:val="28EF1322"/>
    <w:rsid w:val="290C1785"/>
    <w:rsid w:val="29553F04"/>
    <w:rsid w:val="29B2144F"/>
    <w:rsid w:val="29B2271B"/>
    <w:rsid w:val="29C323D4"/>
    <w:rsid w:val="29D0210E"/>
    <w:rsid w:val="29D67050"/>
    <w:rsid w:val="29D82521"/>
    <w:rsid w:val="29EB6C0A"/>
    <w:rsid w:val="29EB7B9D"/>
    <w:rsid w:val="29F714A0"/>
    <w:rsid w:val="2A1D495C"/>
    <w:rsid w:val="2A364396"/>
    <w:rsid w:val="2A47342D"/>
    <w:rsid w:val="2A5F6759"/>
    <w:rsid w:val="2A7F4FF2"/>
    <w:rsid w:val="2A8E16D9"/>
    <w:rsid w:val="2A9475EB"/>
    <w:rsid w:val="2A9665C1"/>
    <w:rsid w:val="2ACA1805"/>
    <w:rsid w:val="2AEC6B2B"/>
    <w:rsid w:val="2B0A0673"/>
    <w:rsid w:val="2B2D4A4E"/>
    <w:rsid w:val="2B370FA1"/>
    <w:rsid w:val="2B5050CE"/>
    <w:rsid w:val="2B5E540C"/>
    <w:rsid w:val="2B626DED"/>
    <w:rsid w:val="2B6C5576"/>
    <w:rsid w:val="2B726905"/>
    <w:rsid w:val="2B867023"/>
    <w:rsid w:val="2C5001FE"/>
    <w:rsid w:val="2C66290D"/>
    <w:rsid w:val="2C74637D"/>
    <w:rsid w:val="2C8C17BB"/>
    <w:rsid w:val="2C9C1C42"/>
    <w:rsid w:val="2CDB453F"/>
    <w:rsid w:val="2DA76D39"/>
    <w:rsid w:val="2DA84860"/>
    <w:rsid w:val="2DDB2F86"/>
    <w:rsid w:val="2DED6CD6"/>
    <w:rsid w:val="2E0B03C5"/>
    <w:rsid w:val="2E455B12"/>
    <w:rsid w:val="2E4E753A"/>
    <w:rsid w:val="2E9574DA"/>
    <w:rsid w:val="2E9F12BE"/>
    <w:rsid w:val="2EA14510"/>
    <w:rsid w:val="2EA27D06"/>
    <w:rsid w:val="2EA74B17"/>
    <w:rsid w:val="2EB5368F"/>
    <w:rsid w:val="2EBA7481"/>
    <w:rsid w:val="2EC025F4"/>
    <w:rsid w:val="2EC67693"/>
    <w:rsid w:val="2EC810F1"/>
    <w:rsid w:val="2ED753FC"/>
    <w:rsid w:val="2EF069F5"/>
    <w:rsid w:val="2F294338"/>
    <w:rsid w:val="2F302D5E"/>
    <w:rsid w:val="2F4862FA"/>
    <w:rsid w:val="2F5E1492"/>
    <w:rsid w:val="2F6C2EA4"/>
    <w:rsid w:val="2F77273B"/>
    <w:rsid w:val="2F86309A"/>
    <w:rsid w:val="2F9A46C5"/>
    <w:rsid w:val="2FD90D3F"/>
    <w:rsid w:val="2FF65D56"/>
    <w:rsid w:val="305D2219"/>
    <w:rsid w:val="306D72C1"/>
    <w:rsid w:val="30704CE7"/>
    <w:rsid w:val="316239A1"/>
    <w:rsid w:val="316B15CD"/>
    <w:rsid w:val="3216448E"/>
    <w:rsid w:val="322B56BF"/>
    <w:rsid w:val="328D2024"/>
    <w:rsid w:val="32BD2B5B"/>
    <w:rsid w:val="32C31F24"/>
    <w:rsid w:val="32FD7572"/>
    <w:rsid w:val="337771AE"/>
    <w:rsid w:val="338C5852"/>
    <w:rsid w:val="339F7A0C"/>
    <w:rsid w:val="33AE6A5E"/>
    <w:rsid w:val="33B3141F"/>
    <w:rsid w:val="33C42C0A"/>
    <w:rsid w:val="33D264BB"/>
    <w:rsid w:val="33E11727"/>
    <w:rsid w:val="341C3E29"/>
    <w:rsid w:val="342463B4"/>
    <w:rsid w:val="34427402"/>
    <w:rsid w:val="346E6803"/>
    <w:rsid w:val="347100A1"/>
    <w:rsid w:val="348222AE"/>
    <w:rsid w:val="348A4CBF"/>
    <w:rsid w:val="34931DC5"/>
    <w:rsid w:val="34A477BF"/>
    <w:rsid w:val="34AF401B"/>
    <w:rsid w:val="34D80120"/>
    <w:rsid w:val="350933CD"/>
    <w:rsid w:val="353F29DC"/>
    <w:rsid w:val="35635963"/>
    <w:rsid w:val="35753BC1"/>
    <w:rsid w:val="35B5609F"/>
    <w:rsid w:val="35CB5AD6"/>
    <w:rsid w:val="35E13AD9"/>
    <w:rsid w:val="35E30B2B"/>
    <w:rsid w:val="35FC00A6"/>
    <w:rsid w:val="362829E1"/>
    <w:rsid w:val="36316394"/>
    <w:rsid w:val="36AC53C0"/>
    <w:rsid w:val="36D55BA7"/>
    <w:rsid w:val="36E71A96"/>
    <w:rsid w:val="36EE262B"/>
    <w:rsid w:val="37313B18"/>
    <w:rsid w:val="3748158D"/>
    <w:rsid w:val="375D3FE4"/>
    <w:rsid w:val="376932B2"/>
    <w:rsid w:val="379F3EED"/>
    <w:rsid w:val="37AB1B1C"/>
    <w:rsid w:val="37BA1D5F"/>
    <w:rsid w:val="37CA3EDB"/>
    <w:rsid w:val="37E9704B"/>
    <w:rsid w:val="380939E1"/>
    <w:rsid w:val="383C2774"/>
    <w:rsid w:val="3845264E"/>
    <w:rsid w:val="385C6972"/>
    <w:rsid w:val="38C34BC3"/>
    <w:rsid w:val="38CD161E"/>
    <w:rsid w:val="38D2636E"/>
    <w:rsid w:val="38FF5FAB"/>
    <w:rsid w:val="39095129"/>
    <w:rsid w:val="391361DB"/>
    <w:rsid w:val="391B71E0"/>
    <w:rsid w:val="393A3F57"/>
    <w:rsid w:val="395343DC"/>
    <w:rsid w:val="395D1F82"/>
    <w:rsid w:val="397D4EE4"/>
    <w:rsid w:val="399049A3"/>
    <w:rsid w:val="399A6DBB"/>
    <w:rsid w:val="39EC2D56"/>
    <w:rsid w:val="39F41558"/>
    <w:rsid w:val="3A00548E"/>
    <w:rsid w:val="3A1E3B4B"/>
    <w:rsid w:val="3A8F74D3"/>
    <w:rsid w:val="3AAB46ED"/>
    <w:rsid w:val="3AC60BDB"/>
    <w:rsid w:val="3AD067E5"/>
    <w:rsid w:val="3AD97E6F"/>
    <w:rsid w:val="3AE77EE0"/>
    <w:rsid w:val="3AEC19EF"/>
    <w:rsid w:val="3B1A3241"/>
    <w:rsid w:val="3B493953"/>
    <w:rsid w:val="3B60266D"/>
    <w:rsid w:val="3B7364AD"/>
    <w:rsid w:val="3B847179"/>
    <w:rsid w:val="3B991666"/>
    <w:rsid w:val="3BB6736F"/>
    <w:rsid w:val="3BD31641"/>
    <w:rsid w:val="3BD57167"/>
    <w:rsid w:val="3C037EF5"/>
    <w:rsid w:val="3C4D4F50"/>
    <w:rsid w:val="3CE9395D"/>
    <w:rsid w:val="3CFF7E49"/>
    <w:rsid w:val="3D077723"/>
    <w:rsid w:val="3D453E79"/>
    <w:rsid w:val="3D8A3020"/>
    <w:rsid w:val="3DE11AA5"/>
    <w:rsid w:val="3E577856"/>
    <w:rsid w:val="3E646581"/>
    <w:rsid w:val="3E825552"/>
    <w:rsid w:val="3E8517C5"/>
    <w:rsid w:val="3EB61701"/>
    <w:rsid w:val="3EBA6451"/>
    <w:rsid w:val="3EBB26CC"/>
    <w:rsid w:val="3EC05EAD"/>
    <w:rsid w:val="3ECA545B"/>
    <w:rsid w:val="3F43263A"/>
    <w:rsid w:val="3F566811"/>
    <w:rsid w:val="3F6E1604"/>
    <w:rsid w:val="3F995B77"/>
    <w:rsid w:val="3FD05D64"/>
    <w:rsid w:val="400215FE"/>
    <w:rsid w:val="401455C3"/>
    <w:rsid w:val="405B4D28"/>
    <w:rsid w:val="4094294D"/>
    <w:rsid w:val="40A3733C"/>
    <w:rsid w:val="40B530C4"/>
    <w:rsid w:val="411029F0"/>
    <w:rsid w:val="41195D48"/>
    <w:rsid w:val="41872CB2"/>
    <w:rsid w:val="41B80C5C"/>
    <w:rsid w:val="421656C4"/>
    <w:rsid w:val="42193252"/>
    <w:rsid w:val="42277EF7"/>
    <w:rsid w:val="42411CEA"/>
    <w:rsid w:val="425C0A3B"/>
    <w:rsid w:val="426B76F0"/>
    <w:rsid w:val="42A96C58"/>
    <w:rsid w:val="42DA6C55"/>
    <w:rsid w:val="42F56341"/>
    <w:rsid w:val="43103916"/>
    <w:rsid w:val="432431A4"/>
    <w:rsid w:val="43371E77"/>
    <w:rsid w:val="43B46EA6"/>
    <w:rsid w:val="43E066A9"/>
    <w:rsid w:val="43E16008"/>
    <w:rsid w:val="43F0701E"/>
    <w:rsid w:val="43F55B48"/>
    <w:rsid w:val="4410037A"/>
    <w:rsid w:val="44136A7F"/>
    <w:rsid w:val="44426641"/>
    <w:rsid w:val="44633262"/>
    <w:rsid w:val="448B4867"/>
    <w:rsid w:val="448C45F8"/>
    <w:rsid w:val="44D53D34"/>
    <w:rsid w:val="44F92940"/>
    <w:rsid w:val="4501063B"/>
    <w:rsid w:val="45132AAF"/>
    <w:rsid w:val="451D02E5"/>
    <w:rsid w:val="451F1C84"/>
    <w:rsid w:val="451F649D"/>
    <w:rsid w:val="452E6B76"/>
    <w:rsid w:val="455D4E4D"/>
    <w:rsid w:val="45BE6EBE"/>
    <w:rsid w:val="465346DC"/>
    <w:rsid w:val="46CD03D6"/>
    <w:rsid w:val="47001852"/>
    <w:rsid w:val="47131AAE"/>
    <w:rsid w:val="478236DD"/>
    <w:rsid w:val="47A948D0"/>
    <w:rsid w:val="47B65A57"/>
    <w:rsid w:val="47DB01D8"/>
    <w:rsid w:val="47EA6BCA"/>
    <w:rsid w:val="480F755D"/>
    <w:rsid w:val="48194880"/>
    <w:rsid w:val="483C3E0E"/>
    <w:rsid w:val="487973A3"/>
    <w:rsid w:val="489D2DBB"/>
    <w:rsid w:val="48D12A65"/>
    <w:rsid w:val="48E94252"/>
    <w:rsid w:val="48FB15B1"/>
    <w:rsid w:val="492E1C8A"/>
    <w:rsid w:val="49C13E32"/>
    <w:rsid w:val="4A193EF2"/>
    <w:rsid w:val="4A5B1180"/>
    <w:rsid w:val="4A5C41EE"/>
    <w:rsid w:val="4A6B59BD"/>
    <w:rsid w:val="4A730277"/>
    <w:rsid w:val="4A8B47B9"/>
    <w:rsid w:val="4A8C0C78"/>
    <w:rsid w:val="4A911DE8"/>
    <w:rsid w:val="4AB20618"/>
    <w:rsid w:val="4AC44A5C"/>
    <w:rsid w:val="4AD056CA"/>
    <w:rsid w:val="4AEC09FB"/>
    <w:rsid w:val="4B2C6678"/>
    <w:rsid w:val="4B3D1D4B"/>
    <w:rsid w:val="4B841AD9"/>
    <w:rsid w:val="4B922D11"/>
    <w:rsid w:val="4BF9040A"/>
    <w:rsid w:val="4C0B61D0"/>
    <w:rsid w:val="4C716A38"/>
    <w:rsid w:val="4CBC4A0C"/>
    <w:rsid w:val="4CC26F13"/>
    <w:rsid w:val="4D021D86"/>
    <w:rsid w:val="4D041B29"/>
    <w:rsid w:val="4D1D0B56"/>
    <w:rsid w:val="4D216D20"/>
    <w:rsid w:val="4D2E66D8"/>
    <w:rsid w:val="4D4B13F3"/>
    <w:rsid w:val="4D6B7D84"/>
    <w:rsid w:val="4D743336"/>
    <w:rsid w:val="4D761F49"/>
    <w:rsid w:val="4D7E765F"/>
    <w:rsid w:val="4DB536B0"/>
    <w:rsid w:val="4DF530F4"/>
    <w:rsid w:val="4E031D7A"/>
    <w:rsid w:val="4E250514"/>
    <w:rsid w:val="4E2A50F1"/>
    <w:rsid w:val="4E3C3FC8"/>
    <w:rsid w:val="4E524648"/>
    <w:rsid w:val="4E7A439B"/>
    <w:rsid w:val="4E7A7301"/>
    <w:rsid w:val="4E8567CB"/>
    <w:rsid w:val="4E873E5B"/>
    <w:rsid w:val="4EB4266F"/>
    <w:rsid w:val="4EC13713"/>
    <w:rsid w:val="4ECC0B5C"/>
    <w:rsid w:val="4EF37BD9"/>
    <w:rsid w:val="4EF85CE6"/>
    <w:rsid w:val="4F075432"/>
    <w:rsid w:val="4F0E056F"/>
    <w:rsid w:val="4F46070C"/>
    <w:rsid w:val="4F477F24"/>
    <w:rsid w:val="4F506DD9"/>
    <w:rsid w:val="4F5603B0"/>
    <w:rsid w:val="4F7B372A"/>
    <w:rsid w:val="4FFC0E5A"/>
    <w:rsid w:val="4FFF2864"/>
    <w:rsid w:val="50383E81"/>
    <w:rsid w:val="50492ED6"/>
    <w:rsid w:val="50594E5E"/>
    <w:rsid w:val="506A549A"/>
    <w:rsid w:val="5091587B"/>
    <w:rsid w:val="50AA427B"/>
    <w:rsid w:val="50E27D28"/>
    <w:rsid w:val="50F30CAD"/>
    <w:rsid w:val="50F33EC0"/>
    <w:rsid w:val="510460CD"/>
    <w:rsid w:val="51390634"/>
    <w:rsid w:val="516D352B"/>
    <w:rsid w:val="51733EAB"/>
    <w:rsid w:val="51A26F77"/>
    <w:rsid w:val="51BD44CE"/>
    <w:rsid w:val="51BE5C1E"/>
    <w:rsid w:val="51CB640B"/>
    <w:rsid w:val="51D21E7F"/>
    <w:rsid w:val="51E1029C"/>
    <w:rsid w:val="522B1A1A"/>
    <w:rsid w:val="524B2DC8"/>
    <w:rsid w:val="52A47596"/>
    <w:rsid w:val="52AF2B74"/>
    <w:rsid w:val="52D11EE3"/>
    <w:rsid w:val="52F61A46"/>
    <w:rsid w:val="530110AB"/>
    <w:rsid w:val="53171B77"/>
    <w:rsid w:val="531D551D"/>
    <w:rsid w:val="534E1882"/>
    <w:rsid w:val="53E478AF"/>
    <w:rsid w:val="541128AF"/>
    <w:rsid w:val="541D443E"/>
    <w:rsid w:val="54307E41"/>
    <w:rsid w:val="543563F0"/>
    <w:rsid w:val="547846DC"/>
    <w:rsid w:val="5488245D"/>
    <w:rsid w:val="54CB6F02"/>
    <w:rsid w:val="54D6640B"/>
    <w:rsid w:val="54F63F7F"/>
    <w:rsid w:val="551E1D72"/>
    <w:rsid w:val="55204C11"/>
    <w:rsid w:val="55306D65"/>
    <w:rsid w:val="553841BF"/>
    <w:rsid w:val="556E388B"/>
    <w:rsid w:val="55806D8B"/>
    <w:rsid w:val="55CC0587"/>
    <w:rsid w:val="55D77168"/>
    <w:rsid w:val="560C77D2"/>
    <w:rsid w:val="56142BD0"/>
    <w:rsid w:val="56304A34"/>
    <w:rsid w:val="5643193D"/>
    <w:rsid w:val="56462CE4"/>
    <w:rsid w:val="56867584"/>
    <w:rsid w:val="569A6B8C"/>
    <w:rsid w:val="56EA7B13"/>
    <w:rsid w:val="56EE0A49"/>
    <w:rsid w:val="56F05B65"/>
    <w:rsid w:val="5715598F"/>
    <w:rsid w:val="572D5C52"/>
    <w:rsid w:val="57473B22"/>
    <w:rsid w:val="575D4AEE"/>
    <w:rsid w:val="57736AB0"/>
    <w:rsid w:val="577D699F"/>
    <w:rsid w:val="57C07912"/>
    <w:rsid w:val="580F7106"/>
    <w:rsid w:val="58133B49"/>
    <w:rsid w:val="584720E0"/>
    <w:rsid w:val="585A0885"/>
    <w:rsid w:val="585E590B"/>
    <w:rsid w:val="58D27FB8"/>
    <w:rsid w:val="58F9524E"/>
    <w:rsid w:val="594B23BF"/>
    <w:rsid w:val="59A3777C"/>
    <w:rsid w:val="59DB7BE7"/>
    <w:rsid w:val="59E529BF"/>
    <w:rsid w:val="5A1D6EB3"/>
    <w:rsid w:val="5A352FBE"/>
    <w:rsid w:val="5A390534"/>
    <w:rsid w:val="5A4A63D7"/>
    <w:rsid w:val="5A715E56"/>
    <w:rsid w:val="5A901AAA"/>
    <w:rsid w:val="5A9B04D6"/>
    <w:rsid w:val="5AF513D3"/>
    <w:rsid w:val="5B2E4D4E"/>
    <w:rsid w:val="5B6F4A8B"/>
    <w:rsid w:val="5B8D2B5D"/>
    <w:rsid w:val="5BF74EC7"/>
    <w:rsid w:val="5C1F50E4"/>
    <w:rsid w:val="5C205BA2"/>
    <w:rsid w:val="5CC96302"/>
    <w:rsid w:val="5CCC1228"/>
    <w:rsid w:val="5CF93B2D"/>
    <w:rsid w:val="5D124D61"/>
    <w:rsid w:val="5D83037A"/>
    <w:rsid w:val="5DA90013"/>
    <w:rsid w:val="5DB03139"/>
    <w:rsid w:val="5DB9023F"/>
    <w:rsid w:val="5DED7EE9"/>
    <w:rsid w:val="5DFF6F42"/>
    <w:rsid w:val="5E4443F8"/>
    <w:rsid w:val="5E914D18"/>
    <w:rsid w:val="5EBB21E3"/>
    <w:rsid w:val="5EC71A4F"/>
    <w:rsid w:val="5ED811C0"/>
    <w:rsid w:val="5EFE78C9"/>
    <w:rsid w:val="5F04319F"/>
    <w:rsid w:val="5F230C6E"/>
    <w:rsid w:val="5F6D55CC"/>
    <w:rsid w:val="5F826B1D"/>
    <w:rsid w:val="5F8C1EAA"/>
    <w:rsid w:val="5F8F74AA"/>
    <w:rsid w:val="5FE559CD"/>
    <w:rsid w:val="5FEB71DA"/>
    <w:rsid w:val="5FF13C7F"/>
    <w:rsid w:val="606B6E69"/>
    <w:rsid w:val="607A491A"/>
    <w:rsid w:val="607E0D2F"/>
    <w:rsid w:val="60932FCA"/>
    <w:rsid w:val="60A33482"/>
    <w:rsid w:val="60B52CF3"/>
    <w:rsid w:val="60D9470F"/>
    <w:rsid w:val="611742AB"/>
    <w:rsid w:val="612049BB"/>
    <w:rsid w:val="614F614E"/>
    <w:rsid w:val="6151253D"/>
    <w:rsid w:val="615841C4"/>
    <w:rsid w:val="615978D1"/>
    <w:rsid w:val="615C785F"/>
    <w:rsid w:val="61A24411"/>
    <w:rsid w:val="61B16610"/>
    <w:rsid w:val="61CD3451"/>
    <w:rsid w:val="61DD2A6C"/>
    <w:rsid w:val="61E6479E"/>
    <w:rsid w:val="62486582"/>
    <w:rsid w:val="624B0417"/>
    <w:rsid w:val="625E7607"/>
    <w:rsid w:val="62614A02"/>
    <w:rsid w:val="62625805"/>
    <w:rsid w:val="62AC1A0A"/>
    <w:rsid w:val="62F85366"/>
    <w:rsid w:val="631E68A0"/>
    <w:rsid w:val="632C0E54"/>
    <w:rsid w:val="63862972"/>
    <w:rsid w:val="639F1C85"/>
    <w:rsid w:val="63FC4110"/>
    <w:rsid w:val="641066D8"/>
    <w:rsid w:val="6411743B"/>
    <w:rsid w:val="642C15E5"/>
    <w:rsid w:val="64301C12"/>
    <w:rsid w:val="643207A1"/>
    <w:rsid w:val="647805F8"/>
    <w:rsid w:val="64877D3C"/>
    <w:rsid w:val="649829A9"/>
    <w:rsid w:val="64AD03D2"/>
    <w:rsid w:val="64C42F83"/>
    <w:rsid w:val="64C74ED6"/>
    <w:rsid w:val="64EB67CE"/>
    <w:rsid w:val="6524523D"/>
    <w:rsid w:val="653F690B"/>
    <w:rsid w:val="658729D1"/>
    <w:rsid w:val="65A11CE5"/>
    <w:rsid w:val="6614060F"/>
    <w:rsid w:val="6639016F"/>
    <w:rsid w:val="66392D9A"/>
    <w:rsid w:val="66415276"/>
    <w:rsid w:val="664240C0"/>
    <w:rsid w:val="6663635F"/>
    <w:rsid w:val="66754F1F"/>
    <w:rsid w:val="669058B5"/>
    <w:rsid w:val="66993F11"/>
    <w:rsid w:val="66B772E6"/>
    <w:rsid w:val="66CE13EF"/>
    <w:rsid w:val="66D7138E"/>
    <w:rsid w:val="66DB4D83"/>
    <w:rsid w:val="67346614"/>
    <w:rsid w:val="674120F2"/>
    <w:rsid w:val="6744501E"/>
    <w:rsid w:val="674E7C3D"/>
    <w:rsid w:val="67674868"/>
    <w:rsid w:val="678151D6"/>
    <w:rsid w:val="678C7A88"/>
    <w:rsid w:val="67BD6B7E"/>
    <w:rsid w:val="67EB2EF9"/>
    <w:rsid w:val="688C2BE0"/>
    <w:rsid w:val="688F1299"/>
    <w:rsid w:val="68994EF5"/>
    <w:rsid w:val="68EF29E6"/>
    <w:rsid w:val="690D50F9"/>
    <w:rsid w:val="695A0B28"/>
    <w:rsid w:val="697C498C"/>
    <w:rsid w:val="69927E5F"/>
    <w:rsid w:val="69D0221D"/>
    <w:rsid w:val="6A4242B5"/>
    <w:rsid w:val="6A8272FB"/>
    <w:rsid w:val="6A912B8B"/>
    <w:rsid w:val="6AC341F7"/>
    <w:rsid w:val="6AC72C42"/>
    <w:rsid w:val="6AF44665"/>
    <w:rsid w:val="6B1713A0"/>
    <w:rsid w:val="6B1D6721"/>
    <w:rsid w:val="6B6E08BB"/>
    <w:rsid w:val="6B710969"/>
    <w:rsid w:val="6B9E135C"/>
    <w:rsid w:val="6BBA58AE"/>
    <w:rsid w:val="6BD47F4C"/>
    <w:rsid w:val="6BDA5FDD"/>
    <w:rsid w:val="6BF32B6E"/>
    <w:rsid w:val="6C082324"/>
    <w:rsid w:val="6C1B20C5"/>
    <w:rsid w:val="6C8D4D71"/>
    <w:rsid w:val="6CCF3B4B"/>
    <w:rsid w:val="6D1F7993"/>
    <w:rsid w:val="6D427557"/>
    <w:rsid w:val="6D6C470B"/>
    <w:rsid w:val="6D7018D3"/>
    <w:rsid w:val="6D724E66"/>
    <w:rsid w:val="6DB36A59"/>
    <w:rsid w:val="6E027D32"/>
    <w:rsid w:val="6E331948"/>
    <w:rsid w:val="6E533D98"/>
    <w:rsid w:val="6E5B0E2F"/>
    <w:rsid w:val="6E5C35A4"/>
    <w:rsid w:val="6ED352FB"/>
    <w:rsid w:val="6EEE0796"/>
    <w:rsid w:val="6F154861"/>
    <w:rsid w:val="6F486B64"/>
    <w:rsid w:val="6F814220"/>
    <w:rsid w:val="6F8B1310"/>
    <w:rsid w:val="6FAE2A7D"/>
    <w:rsid w:val="6FAF5830"/>
    <w:rsid w:val="6FB7452E"/>
    <w:rsid w:val="6FEA732C"/>
    <w:rsid w:val="6FFC43C3"/>
    <w:rsid w:val="701D4BDE"/>
    <w:rsid w:val="70204F9A"/>
    <w:rsid w:val="704240C4"/>
    <w:rsid w:val="705D4A5A"/>
    <w:rsid w:val="70897BFE"/>
    <w:rsid w:val="70911BAC"/>
    <w:rsid w:val="70A02736"/>
    <w:rsid w:val="70B43760"/>
    <w:rsid w:val="70C108B5"/>
    <w:rsid w:val="70CB47E1"/>
    <w:rsid w:val="71482A17"/>
    <w:rsid w:val="71701401"/>
    <w:rsid w:val="718129CA"/>
    <w:rsid w:val="71C0365F"/>
    <w:rsid w:val="71C1201B"/>
    <w:rsid w:val="71C32FA0"/>
    <w:rsid w:val="71E865E8"/>
    <w:rsid w:val="7202642B"/>
    <w:rsid w:val="722153EB"/>
    <w:rsid w:val="723247C9"/>
    <w:rsid w:val="727D464C"/>
    <w:rsid w:val="72801E0E"/>
    <w:rsid w:val="728A58AF"/>
    <w:rsid w:val="728D72D4"/>
    <w:rsid w:val="72F6424D"/>
    <w:rsid w:val="72FF004B"/>
    <w:rsid w:val="734168B5"/>
    <w:rsid w:val="7351143E"/>
    <w:rsid w:val="73591E51"/>
    <w:rsid w:val="736305DA"/>
    <w:rsid w:val="736507F6"/>
    <w:rsid w:val="7379604F"/>
    <w:rsid w:val="73CD213F"/>
    <w:rsid w:val="73D43285"/>
    <w:rsid w:val="73D94D40"/>
    <w:rsid w:val="740F250F"/>
    <w:rsid w:val="74160B04"/>
    <w:rsid w:val="74205BD2"/>
    <w:rsid w:val="74671F38"/>
    <w:rsid w:val="746C7962"/>
    <w:rsid w:val="746F0BDF"/>
    <w:rsid w:val="747B1BB4"/>
    <w:rsid w:val="74B3090C"/>
    <w:rsid w:val="74B72AE2"/>
    <w:rsid w:val="74FD4A5E"/>
    <w:rsid w:val="750000AA"/>
    <w:rsid w:val="759C55AE"/>
    <w:rsid w:val="75A35605"/>
    <w:rsid w:val="75A62A4E"/>
    <w:rsid w:val="75C438F9"/>
    <w:rsid w:val="75D01109"/>
    <w:rsid w:val="75D61CF2"/>
    <w:rsid w:val="760342F6"/>
    <w:rsid w:val="76054C7B"/>
    <w:rsid w:val="766E5C13"/>
    <w:rsid w:val="76B61368"/>
    <w:rsid w:val="76C03F95"/>
    <w:rsid w:val="76D33CC8"/>
    <w:rsid w:val="76DE134D"/>
    <w:rsid w:val="76F33ECC"/>
    <w:rsid w:val="77004391"/>
    <w:rsid w:val="770B0336"/>
    <w:rsid w:val="772876AC"/>
    <w:rsid w:val="773418AC"/>
    <w:rsid w:val="7745495D"/>
    <w:rsid w:val="778C4E61"/>
    <w:rsid w:val="77B25FEB"/>
    <w:rsid w:val="77BC77E7"/>
    <w:rsid w:val="77C96E79"/>
    <w:rsid w:val="77C979EF"/>
    <w:rsid w:val="780266F5"/>
    <w:rsid w:val="78203E33"/>
    <w:rsid w:val="783E05E3"/>
    <w:rsid w:val="78590CF3"/>
    <w:rsid w:val="7881218E"/>
    <w:rsid w:val="788B576D"/>
    <w:rsid w:val="78AD0549"/>
    <w:rsid w:val="78B418D7"/>
    <w:rsid w:val="78E81443"/>
    <w:rsid w:val="78F910FB"/>
    <w:rsid w:val="79137054"/>
    <w:rsid w:val="795F234F"/>
    <w:rsid w:val="796A0C20"/>
    <w:rsid w:val="79721340"/>
    <w:rsid w:val="79A35740"/>
    <w:rsid w:val="79AD4A5C"/>
    <w:rsid w:val="79AD7538"/>
    <w:rsid w:val="79B078F9"/>
    <w:rsid w:val="79D00993"/>
    <w:rsid w:val="79DB3109"/>
    <w:rsid w:val="7A0519F3"/>
    <w:rsid w:val="7A0E68EE"/>
    <w:rsid w:val="7A290AAC"/>
    <w:rsid w:val="7A3F5061"/>
    <w:rsid w:val="7A6F5AB6"/>
    <w:rsid w:val="7AC23EDC"/>
    <w:rsid w:val="7ACA6D89"/>
    <w:rsid w:val="7AF35895"/>
    <w:rsid w:val="7B2173E8"/>
    <w:rsid w:val="7B336A83"/>
    <w:rsid w:val="7B5B428C"/>
    <w:rsid w:val="7B774DF6"/>
    <w:rsid w:val="7B9D6653"/>
    <w:rsid w:val="7BCB4C79"/>
    <w:rsid w:val="7BD42F30"/>
    <w:rsid w:val="7BF5648F"/>
    <w:rsid w:val="7C3E59B8"/>
    <w:rsid w:val="7C806757"/>
    <w:rsid w:val="7C9E2682"/>
    <w:rsid w:val="7CC44922"/>
    <w:rsid w:val="7CCF7DA9"/>
    <w:rsid w:val="7CD41616"/>
    <w:rsid w:val="7CF160B0"/>
    <w:rsid w:val="7D39684F"/>
    <w:rsid w:val="7D761851"/>
    <w:rsid w:val="7D8379F3"/>
    <w:rsid w:val="7D8A547F"/>
    <w:rsid w:val="7D9879F5"/>
    <w:rsid w:val="7DBD71A6"/>
    <w:rsid w:val="7DC336AA"/>
    <w:rsid w:val="7DCF1BFE"/>
    <w:rsid w:val="7E050960"/>
    <w:rsid w:val="7E0712F2"/>
    <w:rsid w:val="7E5A4710"/>
    <w:rsid w:val="7E7C2950"/>
    <w:rsid w:val="7E9D0CF2"/>
    <w:rsid w:val="7EB57E1E"/>
    <w:rsid w:val="7EBA56AC"/>
    <w:rsid w:val="7EC04E5E"/>
    <w:rsid w:val="7F0D7F93"/>
    <w:rsid w:val="7F0F03A1"/>
    <w:rsid w:val="7F1955B0"/>
    <w:rsid w:val="7F3217A8"/>
    <w:rsid w:val="7F7818B1"/>
    <w:rsid w:val="7F952167"/>
    <w:rsid w:val="7FBC19D7"/>
    <w:rsid w:val="7FCA06E4"/>
    <w:rsid w:val="7FDD17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60"/>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61"/>
    <w:qFormat/>
    <w:uiPriority w:val="0"/>
    <w:pPr>
      <w:keepNext/>
      <w:keepLines/>
      <w:spacing w:before="260" w:after="260" w:line="416" w:lineRule="auto"/>
      <w:outlineLvl w:val="2"/>
    </w:pPr>
    <w:rPr>
      <w:b/>
      <w:bCs/>
      <w:kern w:val="0"/>
      <w:sz w:val="32"/>
      <w:szCs w:val="32"/>
    </w:rPr>
  </w:style>
  <w:style w:type="paragraph" w:styleId="6">
    <w:name w:val="heading 5"/>
    <w:basedOn w:val="1"/>
    <w:next w:val="7"/>
    <w:link w:val="62"/>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63"/>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64"/>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65"/>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66"/>
    <w:qFormat/>
    <w:uiPriority w:val="0"/>
    <w:pPr>
      <w:keepNext/>
      <w:keepLines/>
      <w:numPr>
        <w:ilvl w:val="8"/>
        <w:numId w:val="1"/>
      </w:numPr>
      <w:spacing w:before="240" w:after="64" w:line="320" w:lineRule="auto"/>
      <w:outlineLvl w:val="8"/>
    </w:pPr>
    <w:rPr>
      <w:rFonts w:ascii="Arial" w:hAnsi="Arial" w:eastAsia="黑体"/>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paragraph" w:styleId="7">
    <w:name w:val="Normal Indent"/>
    <w:basedOn w:val="1"/>
    <w:qFormat/>
    <w:uiPriority w:val="0"/>
    <w:pPr>
      <w:ind w:firstLine="420"/>
    </w:pPr>
    <w:rPr>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index 8"/>
    <w:basedOn w:val="1"/>
    <w:next w:val="1"/>
    <w:qFormat/>
    <w:uiPriority w:val="0"/>
    <w:pPr>
      <w:spacing w:line="400" w:lineRule="exact"/>
      <w:ind w:left="2940" w:firstLine="1044" w:firstLineChars="200"/>
      <w:jc w:val="left"/>
    </w:p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67"/>
    <w:unhideWhenUsed/>
    <w:qFormat/>
    <w:uiPriority w:val="0"/>
    <w:pPr>
      <w:shd w:val="clear" w:color="auto" w:fill="000080"/>
    </w:pPr>
    <w:rPr>
      <w:rFonts w:hint="eastAsia" w:ascii="宋体" w:hAnsi="宋体"/>
      <w:kern w:val="0"/>
      <w:sz w:val="20"/>
      <w:szCs w:val="20"/>
    </w:rPr>
  </w:style>
  <w:style w:type="paragraph" w:styleId="17">
    <w:name w:val="annotation text"/>
    <w:basedOn w:val="1"/>
    <w:link w:val="68"/>
    <w:unhideWhenUsed/>
    <w:qFormat/>
    <w:uiPriority w:val="99"/>
    <w:pPr>
      <w:jc w:val="left"/>
    </w:pPr>
  </w:style>
  <w:style w:type="paragraph" w:styleId="18">
    <w:name w:val="Body Text 3"/>
    <w:basedOn w:val="1"/>
    <w:link w:val="69"/>
    <w:qFormat/>
    <w:uiPriority w:val="0"/>
    <w:pPr>
      <w:spacing w:line="500" w:lineRule="exact"/>
    </w:pPr>
    <w:rPr>
      <w:b/>
      <w:bCs/>
      <w:kern w:val="0"/>
      <w:sz w:val="24"/>
    </w:rPr>
  </w:style>
  <w:style w:type="paragraph" w:styleId="19">
    <w:name w:val="Body Text"/>
    <w:basedOn w:val="1"/>
    <w:link w:val="70"/>
    <w:qFormat/>
    <w:uiPriority w:val="0"/>
    <w:pPr>
      <w:spacing w:line="380" w:lineRule="exact"/>
    </w:pPr>
    <w:rPr>
      <w:kern w:val="0"/>
      <w:sz w:val="24"/>
    </w:rPr>
  </w:style>
  <w:style w:type="paragraph" w:styleId="20">
    <w:name w:val="Body Text Indent"/>
    <w:basedOn w:val="1"/>
    <w:link w:val="71"/>
    <w:qFormat/>
    <w:uiPriority w:val="0"/>
    <w:pPr>
      <w:ind w:firstLine="830" w:firstLineChars="352"/>
    </w:pPr>
    <w:rPr>
      <w:rFonts w:ascii="仿宋_GB2312" w:eastAsia="仿宋_GB2312"/>
      <w:kern w:val="0"/>
      <w:sz w:val="32"/>
      <w:szCs w:val="20"/>
    </w:rPr>
  </w:style>
  <w:style w:type="paragraph" w:styleId="21">
    <w:name w:val="List Number 3"/>
    <w:basedOn w:val="1"/>
    <w:qFormat/>
    <w:uiPriority w:val="0"/>
    <w:pPr>
      <w:numPr>
        <w:ilvl w:val="0"/>
        <w:numId w:val="2"/>
      </w:numPr>
    </w:pPr>
  </w:style>
  <w:style w:type="paragraph" w:styleId="22">
    <w:name w:val="List 2"/>
    <w:basedOn w:val="1"/>
    <w:qFormat/>
    <w:uiPriority w:val="0"/>
    <w:pPr>
      <w:ind w:left="100" w:leftChars="200" w:hanging="200" w:hangingChars="200"/>
    </w:pPr>
    <w:rPr>
      <w:sz w:val="28"/>
    </w:rPr>
  </w:style>
  <w:style w:type="paragraph" w:styleId="23">
    <w:name w:val="toc 5"/>
    <w:basedOn w:val="1"/>
    <w:next w:val="1"/>
    <w:unhideWhenUsed/>
    <w:qFormat/>
    <w:uiPriority w:val="39"/>
    <w:pPr>
      <w:ind w:left="1680" w:leftChars="800"/>
    </w:pPr>
    <w:rPr>
      <w:rFonts w:ascii="Calibri" w:hAnsi="Calibri"/>
      <w:szCs w:val="22"/>
    </w:rPr>
  </w:style>
  <w:style w:type="paragraph" w:styleId="24">
    <w:name w:val="toc 3"/>
    <w:basedOn w:val="1"/>
    <w:next w:val="1"/>
    <w:unhideWhenUsed/>
    <w:qFormat/>
    <w:uiPriority w:val="39"/>
    <w:pPr>
      <w:ind w:left="840" w:leftChars="400"/>
    </w:pPr>
    <w:rPr>
      <w:rFonts w:ascii="Calibri" w:hAnsi="Calibri"/>
      <w:szCs w:val="22"/>
    </w:rPr>
  </w:style>
  <w:style w:type="paragraph" w:styleId="25">
    <w:name w:val="Plain Text"/>
    <w:basedOn w:val="1"/>
    <w:next w:val="13"/>
    <w:link w:val="72"/>
    <w:qFormat/>
    <w:uiPriority w:val="99"/>
    <w:rPr>
      <w:rFonts w:ascii="宋体" w:hAnsi="Courier New"/>
      <w:kern w:val="0"/>
      <w:sz w:val="20"/>
      <w:szCs w:val="21"/>
    </w:rPr>
  </w:style>
  <w:style w:type="paragraph" w:styleId="26">
    <w:name w:val="toc 8"/>
    <w:basedOn w:val="1"/>
    <w:next w:val="1"/>
    <w:unhideWhenUsed/>
    <w:qFormat/>
    <w:uiPriority w:val="39"/>
    <w:pPr>
      <w:ind w:left="2940" w:leftChars="1400"/>
    </w:pPr>
    <w:rPr>
      <w:rFonts w:ascii="Calibri" w:hAnsi="Calibri"/>
      <w:szCs w:val="22"/>
    </w:rPr>
  </w:style>
  <w:style w:type="paragraph" w:styleId="27">
    <w:name w:val="Date"/>
    <w:basedOn w:val="1"/>
    <w:next w:val="1"/>
    <w:link w:val="73"/>
    <w:qFormat/>
    <w:uiPriority w:val="0"/>
    <w:pPr>
      <w:ind w:left="100" w:leftChars="2500"/>
    </w:pPr>
    <w:rPr>
      <w:rFonts w:ascii="宋体" w:hAnsi="Courier New"/>
      <w:kern w:val="0"/>
      <w:sz w:val="20"/>
      <w:szCs w:val="21"/>
    </w:rPr>
  </w:style>
  <w:style w:type="paragraph" w:styleId="28">
    <w:name w:val="Body Text Indent 2"/>
    <w:basedOn w:val="1"/>
    <w:link w:val="74"/>
    <w:qFormat/>
    <w:uiPriority w:val="0"/>
    <w:pPr>
      <w:ind w:firstLine="630"/>
    </w:pPr>
    <w:rPr>
      <w:kern w:val="0"/>
      <w:sz w:val="32"/>
      <w:szCs w:val="20"/>
    </w:rPr>
  </w:style>
  <w:style w:type="paragraph" w:styleId="29">
    <w:name w:val="endnote text"/>
    <w:basedOn w:val="1"/>
    <w:link w:val="75"/>
    <w:unhideWhenUsed/>
    <w:qFormat/>
    <w:uiPriority w:val="99"/>
    <w:pPr>
      <w:snapToGrid w:val="0"/>
      <w:jc w:val="left"/>
    </w:pPr>
  </w:style>
  <w:style w:type="paragraph" w:styleId="30">
    <w:name w:val="Balloon Text"/>
    <w:basedOn w:val="1"/>
    <w:link w:val="76"/>
    <w:semiHidden/>
    <w:qFormat/>
    <w:uiPriority w:val="0"/>
    <w:rPr>
      <w:kern w:val="0"/>
      <w:sz w:val="18"/>
      <w:szCs w:val="18"/>
    </w:rPr>
  </w:style>
  <w:style w:type="paragraph" w:styleId="31">
    <w:name w:val="footer"/>
    <w:basedOn w:val="1"/>
    <w:link w:val="77"/>
    <w:unhideWhenUsed/>
    <w:qFormat/>
    <w:uiPriority w:val="99"/>
    <w:pPr>
      <w:tabs>
        <w:tab w:val="center" w:pos="4153"/>
        <w:tab w:val="right" w:pos="8306"/>
      </w:tabs>
      <w:snapToGrid w:val="0"/>
      <w:jc w:val="left"/>
    </w:pPr>
    <w:rPr>
      <w:kern w:val="0"/>
      <w:sz w:val="18"/>
      <w:szCs w:val="18"/>
    </w:rPr>
  </w:style>
  <w:style w:type="paragraph" w:styleId="32">
    <w:name w:val="envelope return"/>
    <w:basedOn w:val="1"/>
    <w:qFormat/>
    <w:uiPriority w:val="0"/>
    <w:pPr>
      <w:snapToGrid w:val="0"/>
    </w:pPr>
    <w:rPr>
      <w:rFonts w:ascii="Arial" w:hAnsi="Arial"/>
    </w:rPr>
  </w:style>
  <w:style w:type="paragraph" w:styleId="33">
    <w:name w:val="header"/>
    <w:basedOn w:val="1"/>
    <w:link w:val="78"/>
    <w:unhideWhenUsed/>
    <w:qFormat/>
    <w:uiPriority w:val="0"/>
    <w:pPr>
      <w:pBdr>
        <w:bottom w:val="single" w:color="auto" w:sz="6" w:space="1"/>
      </w:pBdr>
      <w:tabs>
        <w:tab w:val="center" w:pos="0"/>
        <w:tab w:val="left" w:pos="8306"/>
      </w:tabs>
      <w:snapToGrid w:val="0"/>
      <w:jc w:val="center"/>
    </w:pPr>
    <w:rPr>
      <w:sz w:val="18"/>
      <w:szCs w:val="18"/>
    </w:rPr>
  </w:style>
  <w:style w:type="paragraph" w:styleId="34">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5">
    <w:name w:val="toc 4"/>
    <w:basedOn w:val="1"/>
    <w:next w:val="1"/>
    <w:unhideWhenUsed/>
    <w:qFormat/>
    <w:uiPriority w:val="39"/>
    <w:pPr>
      <w:ind w:left="1260" w:leftChars="600"/>
    </w:pPr>
    <w:rPr>
      <w:rFonts w:ascii="Calibri" w:hAnsi="Calibri"/>
      <w:szCs w:val="22"/>
    </w:rPr>
  </w:style>
  <w:style w:type="paragraph" w:styleId="36">
    <w:name w:val="List"/>
    <w:basedOn w:val="1"/>
    <w:qFormat/>
    <w:uiPriority w:val="0"/>
    <w:pPr>
      <w:ind w:left="200" w:hanging="200" w:hangingChars="200"/>
    </w:pPr>
    <w:rPr>
      <w:sz w:val="28"/>
    </w:rPr>
  </w:style>
  <w:style w:type="paragraph" w:styleId="37">
    <w:name w:val="footnote text"/>
    <w:basedOn w:val="1"/>
    <w:link w:val="79"/>
    <w:unhideWhenUsed/>
    <w:qFormat/>
    <w:uiPriority w:val="99"/>
    <w:pPr>
      <w:snapToGrid w:val="0"/>
      <w:jc w:val="left"/>
    </w:pPr>
    <w:rPr>
      <w:sz w:val="18"/>
      <w:szCs w:val="18"/>
    </w:rPr>
  </w:style>
  <w:style w:type="paragraph" w:styleId="38">
    <w:name w:val="toc 6"/>
    <w:basedOn w:val="1"/>
    <w:next w:val="1"/>
    <w:unhideWhenUsed/>
    <w:qFormat/>
    <w:uiPriority w:val="39"/>
    <w:pPr>
      <w:ind w:left="2100" w:leftChars="1000"/>
    </w:pPr>
    <w:rPr>
      <w:rFonts w:ascii="Calibri" w:hAnsi="Calibri"/>
      <w:szCs w:val="22"/>
    </w:rPr>
  </w:style>
  <w:style w:type="paragraph" w:styleId="39">
    <w:name w:val="Body Text Indent 3"/>
    <w:basedOn w:val="1"/>
    <w:link w:val="80"/>
    <w:qFormat/>
    <w:uiPriority w:val="0"/>
    <w:pPr>
      <w:spacing w:after="120"/>
      <w:ind w:left="420" w:leftChars="200"/>
    </w:pPr>
    <w:rPr>
      <w:kern w:val="0"/>
      <w:sz w:val="16"/>
      <w:szCs w:val="16"/>
    </w:rPr>
  </w:style>
  <w:style w:type="paragraph" w:styleId="40">
    <w:name w:val="toc 9"/>
    <w:basedOn w:val="1"/>
    <w:next w:val="1"/>
    <w:unhideWhenUsed/>
    <w:qFormat/>
    <w:uiPriority w:val="39"/>
    <w:pPr>
      <w:ind w:left="3360" w:leftChars="1600"/>
    </w:pPr>
    <w:rPr>
      <w:rFonts w:ascii="Calibri" w:hAnsi="Calibri"/>
      <w:szCs w:val="22"/>
    </w:rPr>
  </w:style>
  <w:style w:type="paragraph" w:styleId="41">
    <w:name w:val="Body Text 2"/>
    <w:basedOn w:val="1"/>
    <w:link w:val="81"/>
    <w:qFormat/>
    <w:uiPriority w:val="0"/>
    <w:pPr>
      <w:spacing w:after="120" w:line="480" w:lineRule="auto"/>
    </w:pPr>
    <w:rPr>
      <w:kern w:val="0"/>
      <w:sz w:val="20"/>
    </w:rPr>
  </w:style>
  <w:style w:type="paragraph" w:styleId="42">
    <w:name w:val="Normal (Web)"/>
    <w:basedOn w:val="1"/>
    <w:qFormat/>
    <w:uiPriority w:val="99"/>
    <w:pPr>
      <w:widowControl/>
      <w:spacing w:before="100" w:beforeAutospacing="1" w:after="100" w:afterAutospacing="1"/>
      <w:jc w:val="left"/>
    </w:pPr>
    <w:rPr>
      <w:rFonts w:ascii="宋体" w:hAnsi="宋体"/>
      <w:kern w:val="0"/>
      <w:sz w:val="24"/>
    </w:rPr>
  </w:style>
  <w:style w:type="paragraph" w:styleId="43">
    <w:name w:val="index 1"/>
    <w:basedOn w:val="1"/>
    <w:next w:val="1"/>
    <w:semiHidden/>
    <w:qFormat/>
    <w:uiPriority w:val="0"/>
    <w:pPr>
      <w:spacing w:line="400" w:lineRule="exact"/>
      <w:ind w:firstLine="420" w:firstLineChars="200"/>
    </w:pPr>
    <w:rPr>
      <w:rFonts w:ascii="宋体" w:hAnsi="Courier New"/>
      <w:b/>
      <w:szCs w:val="20"/>
    </w:rPr>
  </w:style>
  <w:style w:type="paragraph" w:styleId="44">
    <w:name w:val="Title"/>
    <w:basedOn w:val="1"/>
    <w:next w:val="1"/>
    <w:link w:val="82"/>
    <w:qFormat/>
    <w:uiPriority w:val="10"/>
    <w:pPr>
      <w:spacing w:before="240" w:after="60"/>
      <w:jc w:val="center"/>
      <w:outlineLvl w:val="0"/>
    </w:pPr>
    <w:rPr>
      <w:rFonts w:ascii="Cambria" w:hAnsi="Cambria"/>
      <w:b/>
      <w:bCs/>
      <w:sz w:val="32"/>
      <w:szCs w:val="32"/>
    </w:rPr>
  </w:style>
  <w:style w:type="paragraph" w:styleId="45">
    <w:name w:val="annotation subject"/>
    <w:basedOn w:val="17"/>
    <w:next w:val="17"/>
    <w:link w:val="83"/>
    <w:unhideWhenUsed/>
    <w:qFormat/>
    <w:uiPriority w:val="99"/>
    <w:rPr>
      <w:b/>
      <w:bCs/>
    </w:rPr>
  </w:style>
  <w:style w:type="paragraph" w:styleId="46">
    <w:name w:val="Body Text First Indent 2"/>
    <w:basedOn w:val="20"/>
    <w:unhideWhenUsed/>
    <w:qFormat/>
    <w:uiPriority w:val="0"/>
    <w:pPr>
      <w:ind w:firstLine="420" w:firstLineChars="200"/>
    </w:p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rPr>
  </w:style>
  <w:style w:type="character" w:styleId="51">
    <w:name w:val="endnote reference"/>
    <w:unhideWhenUsed/>
    <w:qFormat/>
    <w:uiPriority w:val="99"/>
    <w:rPr>
      <w:vertAlign w:val="superscript"/>
    </w:rPr>
  </w:style>
  <w:style w:type="character" w:styleId="52">
    <w:name w:val="page number"/>
    <w:qFormat/>
    <w:uiPriority w:val="0"/>
  </w:style>
  <w:style w:type="character" w:styleId="53">
    <w:name w:val="FollowedHyperlink"/>
    <w:qFormat/>
    <w:uiPriority w:val="0"/>
    <w:rPr>
      <w:color w:val="800080"/>
      <w:u w:val="single"/>
    </w:rPr>
  </w:style>
  <w:style w:type="character" w:styleId="54">
    <w:name w:val="Hyperlink"/>
    <w:qFormat/>
    <w:uiPriority w:val="99"/>
    <w:rPr>
      <w:color w:val="0000FF"/>
      <w:u w:val="single"/>
    </w:rPr>
  </w:style>
  <w:style w:type="character" w:styleId="55">
    <w:name w:val="annotation reference"/>
    <w:unhideWhenUsed/>
    <w:qFormat/>
    <w:uiPriority w:val="0"/>
    <w:rPr>
      <w:sz w:val="21"/>
      <w:szCs w:val="21"/>
    </w:rPr>
  </w:style>
  <w:style w:type="character" w:styleId="56">
    <w:name w:val="footnote reference"/>
    <w:unhideWhenUsed/>
    <w:qFormat/>
    <w:uiPriority w:val="99"/>
    <w:rPr>
      <w:vertAlign w:val="superscript"/>
    </w:rPr>
  </w:style>
  <w:style w:type="paragraph" w:customStyle="1" w:styleId="57">
    <w:name w:val="首行缩进"/>
    <w:basedOn w:val="1"/>
    <w:qFormat/>
    <w:uiPriority w:val="0"/>
    <w:pPr>
      <w:ind w:firstLine="480" w:firstLineChars="200"/>
    </w:pPr>
  </w:style>
  <w:style w:type="paragraph" w:customStyle="1" w:styleId="58">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59">
    <w:name w:val="标题 1 Char1"/>
    <w:link w:val="3"/>
    <w:qFormat/>
    <w:uiPriority w:val="0"/>
    <w:rPr>
      <w:rFonts w:ascii="Times New Roman" w:hAnsi="Times New Roman" w:eastAsia="宋体" w:cs="Times New Roman"/>
      <w:b/>
      <w:bCs/>
      <w:kern w:val="44"/>
      <w:sz w:val="44"/>
      <w:szCs w:val="44"/>
    </w:rPr>
  </w:style>
  <w:style w:type="character" w:customStyle="1" w:styleId="60">
    <w:name w:val="标题 2 Char1"/>
    <w:link w:val="4"/>
    <w:qFormat/>
    <w:uiPriority w:val="0"/>
    <w:rPr>
      <w:rFonts w:ascii="Arial" w:hAnsi="Arial" w:eastAsia="黑体" w:cs="Times New Roman"/>
      <w:b/>
      <w:bCs/>
      <w:sz w:val="32"/>
      <w:szCs w:val="32"/>
    </w:rPr>
  </w:style>
  <w:style w:type="character" w:customStyle="1" w:styleId="61">
    <w:name w:val="标题 3 Char1"/>
    <w:link w:val="5"/>
    <w:qFormat/>
    <w:uiPriority w:val="0"/>
    <w:rPr>
      <w:rFonts w:ascii="Times New Roman" w:hAnsi="Times New Roman" w:eastAsia="宋体" w:cs="Times New Roman"/>
      <w:b/>
      <w:bCs/>
      <w:sz w:val="32"/>
      <w:szCs w:val="32"/>
    </w:rPr>
  </w:style>
  <w:style w:type="character" w:customStyle="1" w:styleId="62">
    <w:name w:val="标题 5 Char2"/>
    <w:link w:val="6"/>
    <w:qFormat/>
    <w:uiPriority w:val="0"/>
    <w:rPr>
      <w:b/>
      <w:kern w:val="2"/>
      <w:sz w:val="28"/>
      <w:szCs w:val="24"/>
    </w:rPr>
  </w:style>
  <w:style w:type="character" w:customStyle="1" w:styleId="63">
    <w:name w:val="标题 6 Char1"/>
    <w:link w:val="8"/>
    <w:qFormat/>
    <w:uiPriority w:val="0"/>
    <w:rPr>
      <w:rFonts w:ascii="Arial" w:hAnsi="Arial" w:eastAsia="黑体"/>
      <w:b/>
      <w:kern w:val="2"/>
      <w:sz w:val="24"/>
      <w:szCs w:val="24"/>
    </w:rPr>
  </w:style>
  <w:style w:type="character" w:customStyle="1" w:styleId="64">
    <w:name w:val="标题 7 Char1"/>
    <w:link w:val="9"/>
    <w:qFormat/>
    <w:uiPriority w:val="0"/>
    <w:rPr>
      <w:rFonts w:ascii="Times New Roman" w:hAnsi="Times New Roman"/>
      <w:b/>
      <w:kern w:val="2"/>
      <w:sz w:val="24"/>
      <w:szCs w:val="24"/>
    </w:rPr>
  </w:style>
  <w:style w:type="character" w:customStyle="1" w:styleId="65">
    <w:name w:val="标题 8 Char1"/>
    <w:link w:val="10"/>
    <w:qFormat/>
    <w:uiPriority w:val="0"/>
    <w:rPr>
      <w:rFonts w:ascii="Arial" w:hAnsi="Arial" w:eastAsia="黑体"/>
      <w:kern w:val="2"/>
      <w:sz w:val="24"/>
      <w:szCs w:val="24"/>
    </w:rPr>
  </w:style>
  <w:style w:type="character" w:customStyle="1" w:styleId="66">
    <w:name w:val="标题 9 Char1"/>
    <w:link w:val="11"/>
    <w:qFormat/>
    <w:uiPriority w:val="0"/>
    <w:rPr>
      <w:rFonts w:ascii="Arial" w:hAnsi="Arial" w:eastAsia="黑体"/>
      <w:kern w:val="2"/>
      <w:sz w:val="21"/>
      <w:szCs w:val="24"/>
    </w:rPr>
  </w:style>
  <w:style w:type="character" w:customStyle="1" w:styleId="67">
    <w:name w:val="文档结构图 Char1"/>
    <w:link w:val="16"/>
    <w:qFormat/>
    <w:uiPriority w:val="0"/>
    <w:rPr>
      <w:rFonts w:hint="eastAsia" w:ascii="宋体" w:hAnsi="宋体" w:eastAsia="宋体" w:cs="宋体"/>
    </w:rPr>
  </w:style>
  <w:style w:type="character" w:customStyle="1" w:styleId="68">
    <w:name w:val="批注文字 Char3"/>
    <w:link w:val="17"/>
    <w:qFormat/>
    <w:uiPriority w:val="0"/>
    <w:rPr>
      <w:rFonts w:ascii="Times New Roman" w:hAnsi="Times New Roman"/>
      <w:kern w:val="2"/>
      <w:sz w:val="21"/>
      <w:szCs w:val="24"/>
    </w:rPr>
  </w:style>
  <w:style w:type="character" w:customStyle="1" w:styleId="69">
    <w:name w:val="正文文本 3 Char1"/>
    <w:link w:val="18"/>
    <w:qFormat/>
    <w:uiPriority w:val="0"/>
    <w:rPr>
      <w:rFonts w:ascii="Times New Roman" w:hAnsi="Times New Roman" w:eastAsia="宋体" w:cs="Times New Roman"/>
      <w:b/>
      <w:bCs/>
      <w:sz w:val="24"/>
      <w:szCs w:val="24"/>
    </w:rPr>
  </w:style>
  <w:style w:type="character" w:customStyle="1" w:styleId="70">
    <w:name w:val="正文文本 Char2"/>
    <w:link w:val="19"/>
    <w:qFormat/>
    <w:uiPriority w:val="0"/>
    <w:rPr>
      <w:rFonts w:ascii="Times New Roman" w:hAnsi="Times New Roman" w:eastAsia="宋体" w:cs="Times New Roman"/>
      <w:sz w:val="24"/>
      <w:szCs w:val="24"/>
    </w:rPr>
  </w:style>
  <w:style w:type="character" w:customStyle="1" w:styleId="71">
    <w:name w:val="正文文本缩进 Char1"/>
    <w:link w:val="20"/>
    <w:qFormat/>
    <w:uiPriority w:val="0"/>
    <w:rPr>
      <w:rFonts w:ascii="仿宋_GB2312" w:hAnsi="Times New Roman" w:eastAsia="仿宋_GB2312" w:cs="Times New Roman"/>
      <w:sz w:val="32"/>
      <w:szCs w:val="20"/>
    </w:rPr>
  </w:style>
  <w:style w:type="character" w:customStyle="1" w:styleId="72">
    <w:name w:val="纯文本 Char3"/>
    <w:link w:val="25"/>
    <w:qFormat/>
    <w:uiPriority w:val="0"/>
    <w:rPr>
      <w:rFonts w:ascii="宋体" w:hAnsi="Courier New" w:eastAsia="宋体" w:cs="Courier New"/>
      <w:szCs w:val="21"/>
    </w:rPr>
  </w:style>
  <w:style w:type="character" w:customStyle="1" w:styleId="73">
    <w:name w:val="日期 Char1"/>
    <w:link w:val="27"/>
    <w:qFormat/>
    <w:uiPriority w:val="0"/>
    <w:rPr>
      <w:rFonts w:ascii="宋体" w:hAnsi="Courier New" w:eastAsia="宋体" w:cs="Courier New"/>
      <w:szCs w:val="21"/>
    </w:rPr>
  </w:style>
  <w:style w:type="character" w:customStyle="1" w:styleId="74">
    <w:name w:val="正文文本缩进 2 Char1"/>
    <w:link w:val="28"/>
    <w:qFormat/>
    <w:uiPriority w:val="0"/>
    <w:rPr>
      <w:rFonts w:ascii="Times New Roman" w:hAnsi="Times New Roman" w:eastAsia="宋体" w:cs="Times New Roman"/>
      <w:sz w:val="32"/>
      <w:szCs w:val="20"/>
    </w:rPr>
  </w:style>
  <w:style w:type="character" w:customStyle="1" w:styleId="75">
    <w:name w:val="尾注文本 Char1"/>
    <w:link w:val="29"/>
    <w:qFormat/>
    <w:uiPriority w:val="99"/>
    <w:rPr>
      <w:rFonts w:ascii="Times New Roman" w:hAnsi="Times New Roman"/>
      <w:kern w:val="2"/>
      <w:sz w:val="21"/>
      <w:szCs w:val="24"/>
    </w:rPr>
  </w:style>
  <w:style w:type="character" w:customStyle="1" w:styleId="76">
    <w:name w:val="批注框文本 Char1"/>
    <w:link w:val="30"/>
    <w:semiHidden/>
    <w:qFormat/>
    <w:uiPriority w:val="0"/>
    <w:rPr>
      <w:rFonts w:ascii="Times New Roman" w:hAnsi="Times New Roman" w:eastAsia="宋体" w:cs="Times New Roman"/>
      <w:sz w:val="18"/>
      <w:szCs w:val="18"/>
    </w:rPr>
  </w:style>
  <w:style w:type="character" w:customStyle="1" w:styleId="77">
    <w:name w:val="页脚 Char1"/>
    <w:link w:val="31"/>
    <w:qFormat/>
    <w:uiPriority w:val="99"/>
    <w:rPr>
      <w:sz w:val="18"/>
      <w:szCs w:val="18"/>
    </w:rPr>
  </w:style>
  <w:style w:type="character" w:customStyle="1" w:styleId="78">
    <w:name w:val="页眉 Char1"/>
    <w:link w:val="33"/>
    <w:qFormat/>
    <w:uiPriority w:val="99"/>
    <w:rPr>
      <w:rFonts w:ascii="Times New Roman" w:hAnsi="Times New Roman"/>
      <w:kern w:val="2"/>
      <w:sz w:val="18"/>
      <w:szCs w:val="18"/>
    </w:rPr>
  </w:style>
  <w:style w:type="character" w:customStyle="1" w:styleId="79">
    <w:name w:val="脚注文本 Char1"/>
    <w:link w:val="37"/>
    <w:qFormat/>
    <w:uiPriority w:val="99"/>
    <w:rPr>
      <w:rFonts w:ascii="Times New Roman" w:hAnsi="Times New Roman"/>
      <w:kern w:val="2"/>
      <w:sz w:val="18"/>
      <w:szCs w:val="18"/>
    </w:rPr>
  </w:style>
  <w:style w:type="character" w:customStyle="1" w:styleId="80">
    <w:name w:val="正文文本缩进 3 Char1"/>
    <w:link w:val="39"/>
    <w:qFormat/>
    <w:uiPriority w:val="0"/>
    <w:rPr>
      <w:rFonts w:ascii="Times New Roman" w:hAnsi="Times New Roman" w:eastAsia="宋体" w:cs="Times New Roman"/>
      <w:sz w:val="16"/>
      <w:szCs w:val="16"/>
    </w:rPr>
  </w:style>
  <w:style w:type="character" w:customStyle="1" w:styleId="81">
    <w:name w:val="正文文本 2 Char1"/>
    <w:link w:val="41"/>
    <w:qFormat/>
    <w:uiPriority w:val="0"/>
    <w:rPr>
      <w:rFonts w:ascii="Times New Roman" w:hAnsi="Times New Roman" w:eastAsia="宋体" w:cs="Times New Roman"/>
      <w:szCs w:val="24"/>
    </w:rPr>
  </w:style>
  <w:style w:type="character" w:customStyle="1" w:styleId="82">
    <w:name w:val="标题 Char1"/>
    <w:link w:val="44"/>
    <w:qFormat/>
    <w:uiPriority w:val="10"/>
    <w:rPr>
      <w:rFonts w:ascii="Cambria" w:hAnsi="Cambria" w:cs="Times New Roman"/>
      <w:b/>
      <w:bCs/>
      <w:kern w:val="2"/>
      <w:sz w:val="32"/>
      <w:szCs w:val="32"/>
    </w:rPr>
  </w:style>
  <w:style w:type="character" w:customStyle="1" w:styleId="83">
    <w:name w:val="批注主题 Char1"/>
    <w:link w:val="45"/>
    <w:qFormat/>
    <w:uiPriority w:val="99"/>
    <w:rPr>
      <w:rFonts w:ascii="Times New Roman" w:hAnsi="Times New Roman"/>
      <w:b/>
      <w:bCs/>
      <w:kern w:val="2"/>
      <w:sz w:val="21"/>
      <w:szCs w:val="24"/>
    </w:rPr>
  </w:style>
  <w:style w:type="character" w:customStyle="1" w:styleId="84">
    <w:name w:val="font11"/>
    <w:qFormat/>
    <w:uiPriority w:val="0"/>
    <w:rPr>
      <w:rFonts w:hint="eastAsia" w:ascii="宋体" w:hAnsi="宋体" w:eastAsia="宋体" w:cs="宋体"/>
      <w:color w:val="000000"/>
      <w:sz w:val="20"/>
      <w:szCs w:val="20"/>
      <w:u w:val="none"/>
    </w:rPr>
  </w:style>
  <w:style w:type="character" w:customStyle="1" w:styleId="85">
    <w:name w:val="批注文字 字符1"/>
    <w:qFormat/>
    <w:uiPriority w:val="0"/>
    <w:rPr>
      <w:rFonts w:ascii="Times New Roman" w:hAnsi="Times New Roman"/>
      <w:kern w:val="2"/>
      <w:sz w:val="21"/>
      <w:szCs w:val="24"/>
    </w:rPr>
  </w:style>
  <w:style w:type="character" w:customStyle="1" w:styleId="86">
    <w:name w:val="标题 2 字符"/>
    <w:qFormat/>
    <w:uiPriority w:val="0"/>
    <w:rPr>
      <w:rFonts w:ascii="Arial" w:hAnsi="Arial" w:eastAsia="黑体" w:cs="Times New Roman"/>
      <w:b/>
      <w:bCs/>
      <w:sz w:val="32"/>
      <w:szCs w:val="32"/>
    </w:rPr>
  </w:style>
  <w:style w:type="character" w:customStyle="1" w:styleId="87">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88">
    <w:name w:val="批注文字 Char1"/>
    <w:semiHidden/>
    <w:qFormat/>
    <w:locked/>
    <w:uiPriority w:val="0"/>
    <w:rPr>
      <w:rFonts w:ascii="Times New Roman" w:hAnsi="Times New Roman"/>
      <w:kern w:val="2"/>
      <w:sz w:val="21"/>
      <w:szCs w:val="24"/>
    </w:rPr>
  </w:style>
  <w:style w:type="character" w:customStyle="1" w:styleId="89">
    <w:name w:val="页眉 字符"/>
    <w:qFormat/>
    <w:uiPriority w:val="0"/>
    <w:rPr>
      <w:rFonts w:ascii="Times New Roman" w:hAnsi="Times New Roman"/>
      <w:kern w:val="2"/>
      <w:sz w:val="18"/>
      <w:szCs w:val="18"/>
    </w:rPr>
  </w:style>
  <w:style w:type="character" w:customStyle="1" w:styleId="90">
    <w:name w:val="apple-style-span"/>
    <w:qFormat/>
    <w:uiPriority w:val="0"/>
  </w:style>
  <w:style w:type="character" w:customStyle="1" w:styleId="91">
    <w:name w:val="尾注文本 字符"/>
    <w:qFormat/>
    <w:uiPriority w:val="99"/>
    <w:rPr>
      <w:rFonts w:ascii="Times New Roman" w:hAnsi="Times New Roman"/>
      <w:kern w:val="2"/>
      <w:sz w:val="21"/>
      <w:szCs w:val="24"/>
    </w:rPr>
  </w:style>
  <w:style w:type="character" w:customStyle="1" w:styleId="92">
    <w:name w:val="正文文本缩进 字符"/>
    <w:qFormat/>
    <w:uiPriority w:val="0"/>
    <w:rPr>
      <w:rFonts w:ascii="仿宋_GB2312" w:hAnsi="Times New Roman" w:eastAsia="仿宋_GB2312" w:cs="Times New Roman"/>
      <w:sz w:val="32"/>
      <w:szCs w:val="20"/>
    </w:rPr>
  </w:style>
  <w:style w:type="character" w:customStyle="1" w:styleId="93">
    <w:name w:val="普通文字 Char Char2"/>
    <w:qFormat/>
    <w:uiPriority w:val="0"/>
    <w:rPr>
      <w:rFonts w:ascii="宋体" w:hAnsi="Courier New" w:eastAsia="宋体"/>
      <w:kern w:val="2"/>
      <w:sz w:val="21"/>
      <w:lang w:val="en-US" w:eastAsia="zh-CN" w:bidi="ar-SA"/>
    </w:rPr>
  </w:style>
  <w:style w:type="character" w:customStyle="1" w:styleId="94">
    <w:name w:val="正文文本缩进 3 字符"/>
    <w:qFormat/>
    <w:uiPriority w:val="0"/>
    <w:rPr>
      <w:rFonts w:ascii="Times New Roman" w:hAnsi="Times New Roman" w:eastAsia="宋体" w:cs="Times New Roman"/>
      <w:sz w:val="16"/>
      <w:szCs w:val="16"/>
    </w:rPr>
  </w:style>
  <w:style w:type="character" w:customStyle="1" w:styleId="95">
    <w:name w:val="font21"/>
    <w:basedOn w:val="49"/>
    <w:qFormat/>
    <w:uiPriority w:val="0"/>
    <w:rPr>
      <w:rFonts w:hint="eastAsia" w:ascii="宋体" w:hAnsi="宋体" w:eastAsia="宋体" w:cs="宋体"/>
      <w:color w:val="FF0000"/>
      <w:sz w:val="20"/>
      <w:szCs w:val="20"/>
      <w:u w:val="none"/>
    </w:rPr>
  </w:style>
  <w:style w:type="character" w:customStyle="1" w:styleId="96">
    <w:name w:val="页脚 字符"/>
    <w:qFormat/>
    <w:uiPriority w:val="99"/>
  </w:style>
  <w:style w:type="character" w:customStyle="1" w:styleId="97">
    <w:name w:val="标题 7 字符"/>
    <w:qFormat/>
    <w:uiPriority w:val="0"/>
    <w:rPr>
      <w:rFonts w:ascii="Times New Roman" w:hAnsi="Times New Roman"/>
      <w:b/>
      <w:kern w:val="2"/>
      <w:sz w:val="24"/>
      <w:szCs w:val="24"/>
    </w:rPr>
  </w:style>
  <w:style w:type="character" w:customStyle="1" w:styleId="98">
    <w:name w:val="标题 3 字符"/>
    <w:qFormat/>
    <w:uiPriority w:val="0"/>
    <w:rPr>
      <w:rFonts w:ascii="Times New Roman" w:hAnsi="Times New Roman" w:eastAsia="宋体" w:cs="Times New Roman"/>
      <w:b/>
      <w:bCs/>
      <w:sz w:val="32"/>
      <w:szCs w:val="32"/>
    </w:rPr>
  </w:style>
  <w:style w:type="character" w:customStyle="1" w:styleId="99">
    <w:name w:val="正文文本缩进 字符1"/>
    <w:qFormat/>
    <w:uiPriority w:val="0"/>
    <w:rPr>
      <w:rFonts w:ascii="仿宋_GB2312" w:hAnsi="Times New Roman" w:eastAsia="仿宋_GB2312" w:cs="Times New Roman"/>
      <w:sz w:val="32"/>
      <w:szCs w:val="20"/>
    </w:rPr>
  </w:style>
  <w:style w:type="character" w:customStyle="1" w:styleId="100">
    <w:name w:val="批注文字 字符"/>
    <w:qFormat/>
    <w:uiPriority w:val="0"/>
    <w:rPr>
      <w:rFonts w:ascii="Times New Roman" w:hAnsi="Times New Roman"/>
      <w:kern w:val="2"/>
      <w:sz w:val="21"/>
      <w:szCs w:val="24"/>
    </w:rPr>
  </w:style>
  <w:style w:type="character" w:customStyle="1" w:styleId="101">
    <w:name w:val="标题 8 字符"/>
    <w:qFormat/>
    <w:uiPriority w:val="0"/>
    <w:rPr>
      <w:rFonts w:ascii="Arial" w:hAnsi="Arial" w:eastAsia="黑体"/>
      <w:kern w:val="2"/>
      <w:sz w:val="24"/>
      <w:szCs w:val="24"/>
    </w:rPr>
  </w:style>
  <w:style w:type="character" w:customStyle="1" w:styleId="102">
    <w:name w:val="UserStyle_9"/>
    <w:link w:val="103"/>
    <w:qFormat/>
    <w:locked/>
    <w:uiPriority w:val="0"/>
    <w:rPr>
      <w:kern w:val="2"/>
      <w:sz w:val="21"/>
      <w:szCs w:val="24"/>
    </w:rPr>
  </w:style>
  <w:style w:type="paragraph" w:customStyle="1" w:styleId="103">
    <w:name w:val="AnnotationText"/>
    <w:basedOn w:val="1"/>
    <w:link w:val="102"/>
    <w:qFormat/>
    <w:uiPriority w:val="0"/>
    <w:pPr>
      <w:widowControl/>
      <w:jc w:val="left"/>
    </w:pPr>
  </w:style>
  <w:style w:type="character" w:customStyle="1" w:styleId="104">
    <w:name w:val="textcontents"/>
    <w:qFormat/>
    <w:uiPriority w:val="0"/>
  </w:style>
  <w:style w:type="character" w:customStyle="1" w:styleId="105">
    <w:name w:val="批注框文本 字符"/>
    <w:semiHidden/>
    <w:qFormat/>
    <w:uiPriority w:val="0"/>
    <w:rPr>
      <w:rFonts w:ascii="Times New Roman" w:hAnsi="Times New Roman" w:eastAsia="宋体" w:cs="Times New Roman"/>
      <w:sz w:val="18"/>
      <w:szCs w:val="18"/>
    </w:rPr>
  </w:style>
  <w:style w:type="character" w:customStyle="1" w:styleId="106">
    <w:name w:val="批注文字 Char"/>
    <w:qFormat/>
    <w:uiPriority w:val="99"/>
    <w:rPr>
      <w:rFonts w:ascii="Times New Roman" w:hAnsi="Times New Roman"/>
      <w:kern w:val="2"/>
      <w:sz w:val="21"/>
      <w:szCs w:val="24"/>
    </w:rPr>
  </w:style>
  <w:style w:type="character" w:customStyle="1" w:styleId="107">
    <w:name w:val="纯文本 字符"/>
    <w:qFormat/>
    <w:uiPriority w:val="99"/>
    <w:rPr>
      <w:rFonts w:ascii="宋体" w:hAnsi="Courier New" w:eastAsia="宋体" w:cs="Courier New"/>
      <w:szCs w:val="21"/>
    </w:rPr>
  </w:style>
  <w:style w:type="character" w:customStyle="1" w:styleId="108">
    <w:name w:val="正文文本 2 字符"/>
    <w:qFormat/>
    <w:uiPriority w:val="0"/>
    <w:rPr>
      <w:rFonts w:ascii="Times New Roman" w:hAnsi="Times New Roman" w:eastAsia="宋体" w:cs="Times New Roman"/>
      <w:szCs w:val="24"/>
    </w:rPr>
  </w:style>
  <w:style w:type="character" w:customStyle="1" w:styleId="109">
    <w:name w:val="标题 6 字符"/>
    <w:qFormat/>
    <w:uiPriority w:val="0"/>
    <w:rPr>
      <w:rFonts w:ascii="Arial" w:hAnsi="Arial" w:eastAsia="黑体"/>
      <w:b/>
      <w:kern w:val="2"/>
      <w:sz w:val="24"/>
      <w:szCs w:val="24"/>
    </w:rPr>
  </w:style>
  <w:style w:type="character" w:customStyle="1" w:styleId="110">
    <w:name w:val="批注主题 字符"/>
    <w:qFormat/>
    <w:uiPriority w:val="99"/>
    <w:rPr>
      <w:rFonts w:ascii="Times New Roman" w:hAnsi="Times New Roman"/>
      <w:b/>
      <w:bCs/>
      <w:kern w:val="2"/>
      <w:sz w:val="21"/>
      <w:szCs w:val="24"/>
    </w:rPr>
  </w:style>
  <w:style w:type="character" w:customStyle="1" w:styleId="111">
    <w:name w:val="正文2 Char Char"/>
    <w:link w:val="112"/>
    <w:qFormat/>
    <w:uiPriority w:val="0"/>
    <w:rPr>
      <w:kern w:val="2"/>
      <w:sz w:val="24"/>
    </w:rPr>
  </w:style>
  <w:style w:type="paragraph" w:customStyle="1" w:styleId="112">
    <w:name w:val="正文2"/>
    <w:basedOn w:val="1"/>
    <w:link w:val="111"/>
    <w:qFormat/>
    <w:uiPriority w:val="0"/>
    <w:pPr>
      <w:adjustRightInd w:val="0"/>
      <w:spacing w:before="156" w:line="360" w:lineRule="auto"/>
      <w:ind w:firstLine="510" w:firstLineChars="200"/>
    </w:pPr>
    <w:rPr>
      <w:sz w:val="24"/>
      <w:szCs w:val="20"/>
    </w:rPr>
  </w:style>
  <w:style w:type="character" w:customStyle="1" w:styleId="113">
    <w:name w:val="脚注文本 字符"/>
    <w:qFormat/>
    <w:uiPriority w:val="99"/>
    <w:rPr>
      <w:rFonts w:ascii="Times New Roman" w:hAnsi="Times New Roman"/>
      <w:kern w:val="2"/>
      <w:sz w:val="18"/>
      <w:szCs w:val="18"/>
    </w:rPr>
  </w:style>
  <w:style w:type="character" w:customStyle="1" w:styleId="114">
    <w:name w:val="纯文本 Char"/>
    <w:qFormat/>
    <w:uiPriority w:val="99"/>
    <w:rPr>
      <w:rFonts w:ascii="宋体" w:hAnsi="Courier New" w:eastAsia="宋体"/>
      <w:kern w:val="2"/>
      <w:sz w:val="21"/>
      <w:lang w:val="en-US" w:eastAsia="zh-CN" w:bidi="ar-SA"/>
    </w:rPr>
  </w:style>
  <w:style w:type="character" w:customStyle="1" w:styleId="115">
    <w:name w:val="页脚 字符1"/>
    <w:qFormat/>
    <w:uiPriority w:val="99"/>
    <w:rPr>
      <w:sz w:val="18"/>
      <w:szCs w:val="18"/>
    </w:rPr>
  </w:style>
  <w:style w:type="character" w:customStyle="1" w:styleId="116">
    <w:name w:val="font31"/>
    <w:qFormat/>
    <w:uiPriority w:val="0"/>
    <w:rPr>
      <w:rFonts w:hint="eastAsia" w:ascii="宋体" w:hAnsi="宋体" w:eastAsia="宋体" w:cs="宋体"/>
      <w:color w:val="FF0000"/>
      <w:sz w:val="20"/>
      <w:szCs w:val="20"/>
      <w:u w:val="none"/>
    </w:rPr>
  </w:style>
  <w:style w:type="character" w:customStyle="1" w:styleId="117">
    <w:name w:val="正文文本 Char1"/>
    <w:qFormat/>
    <w:locked/>
    <w:uiPriority w:val="0"/>
    <w:rPr>
      <w:sz w:val="24"/>
      <w:szCs w:val="24"/>
    </w:rPr>
  </w:style>
  <w:style w:type="character" w:customStyle="1" w:styleId="118">
    <w:name w:val="标题 5 Char"/>
    <w:qFormat/>
    <w:uiPriority w:val="0"/>
    <w:rPr>
      <w:b/>
      <w:kern w:val="2"/>
      <w:sz w:val="28"/>
      <w:szCs w:val="24"/>
    </w:rPr>
  </w:style>
  <w:style w:type="character" w:customStyle="1" w:styleId="119">
    <w:name w:val="标题 字符"/>
    <w:qFormat/>
    <w:uiPriority w:val="10"/>
    <w:rPr>
      <w:rFonts w:ascii="Cambria" w:hAnsi="Cambria" w:cs="Times New Roman"/>
      <w:b/>
      <w:bCs/>
      <w:kern w:val="2"/>
      <w:sz w:val="32"/>
      <w:szCs w:val="32"/>
    </w:rPr>
  </w:style>
  <w:style w:type="character" w:customStyle="1" w:styleId="120">
    <w:name w:val="标题 1 字符1"/>
    <w:qFormat/>
    <w:uiPriority w:val="0"/>
    <w:rPr>
      <w:rFonts w:ascii="Times New Roman" w:hAnsi="Times New Roman" w:eastAsia="宋体" w:cs="Times New Roman"/>
      <w:b/>
      <w:bCs/>
      <w:kern w:val="44"/>
      <w:sz w:val="44"/>
      <w:szCs w:val="44"/>
    </w:rPr>
  </w:style>
  <w:style w:type="character" w:customStyle="1" w:styleId="121">
    <w:name w:val="批注文字 字符2"/>
    <w:qFormat/>
    <w:uiPriority w:val="0"/>
    <w:rPr>
      <w:rFonts w:ascii="Times New Roman" w:hAnsi="Times New Roman"/>
      <w:kern w:val="2"/>
      <w:sz w:val="21"/>
      <w:szCs w:val="24"/>
    </w:rPr>
  </w:style>
  <w:style w:type="character" w:customStyle="1" w:styleId="122">
    <w:name w:val="正文文本 3 字符"/>
    <w:qFormat/>
    <w:uiPriority w:val="0"/>
    <w:rPr>
      <w:rFonts w:ascii="Times New Roman" w:hAnsi="Times New Roman" w:eastAsia="宋体" w:cs="Times New Roman"/>
      <w:b/>
      <w:bCs/>
      <w:sz w:val="24"/>
      <w:szCs w:val="24"/>
    </w:rPr>
  </w:style>
  <w:style w:type="character" w:customStyle="1" w:styleId="123">
    <w:name w:val="纯文本 字符1"/>
    <w:qFormat/>
    <w:uiPriority w:val="0"/>
    <w:rPr>
      <w:rFonts w:ascii="宋体" w:hAnsi="Courier New"/>
    </w:rPr>
  </w:style>
  <w:style w:type="character" w:customStyle="1" w:styleId="124">
    <w:name w:val="headline-content4"/>
    <w:qFormat/>
    <w:uiPriority w:val="0"/>
  </w:style>
  <w:style w:type="character" w:customStyle="1" w:styleId="125">
    <w:name w:val="正文文本缩进 2 字符"/>
    <w:qFormat/>
    <w:uiPriority w:val="0"/>
    <w:rPr>
      <w:rFonts w:ascii="Times New Roman" w:hAnsi="Times New Roman" w:eastAsia="宋体" w:cs="Times New Roman"/>
      <w:sz w:val="32"/>
      <w:szCs w:val="20"/>
    </w:rPr>
  </w:style>
  <w:style w:type="character" w:customStyle="1" w:styleId="126">
    <w:name w:val="标题 1 字符"/>
    <w:qFormat/>
    <w:uiPriority w:val="9"/>
    <w:rPr>
      <w:rFonts w:ascii="Times New Roman" w:hAnsi="Times New Roman" w:eastAsia="宋体" w:cs="Times New Roman"/>
      <w:b/>
      <w:bCs/>
      <w:kern w:val="44"/>
      <w:sz w:val="44"/>
      <w:szCs w:val="44"/>
    </w:rPr>
  </w:style>
  <w:style w:type="character" w:customStyle="1" w:styleId="127">
    <w:name w:val="文档结构图 字符"/>
    <w:qFormat/>
    <w:uiPriority w:val="0"/>
    <w:rPr>
      <w:rFonts w:hint="eastAsia" w:ascii="宋体" w:hAnsi="宋体" w:eastAsia="宋体" w:cs="宋体"/>
    </w:rPr>
  </w:style>
  <w:style w:type="character" w:customStyle="1" w:styleId="128">
    <w:name w:val="case31"/>
    <w:qFormat/>
    <w:uiPriority w:val="0"/>
    <w:rPr>
      <w:rFonts w:hint="default"/>
      <w:sz w:val="21"/>
      <w:szCs w:val="21"/>
    </w:rPr>
  </w:style>
  <w:style w:type="character" w:customStyle="1" w:styleId="129">
    <w:name w:val="纯文本 字符2"/>
    <w:qFormat/>
    <w:uiPriority w:val="0"/>
    <w:rPr>
      <w:rFonts w:ascii="宋体" w:hAnsi="Courier New" w:eastAsia="宋体" w:cs="Courier New"/>
      <w:szCs w:val="21"/>
    </w:rPr>
  </w:style>
  <w:style w:type="character" w:customStyle="1" w:styleId="130">
    <w:name w:val="NormalCharacter"/>
    <w:qFormat/>
    <w:uiPriority w:val="0"/>
  </w:style>
  <w:style w:type="character" w:customStyle="1" w:styleId="131">
    <w:name w:val="日期 字符"/>
    <w:qFormat/>
    <w:uiPriority w:val="0"/>
    <w:rPr>
      <w:rFonts w:ascii="宋体" w:hAnsi="Courier New" w:eastAsia="宋体" w:cs="Courier New"/>
      <w:szCs w:val="21"/>
    </w:rPr>
  </w:style>
  <w:style w:type="character" w:customStyle="1" w:styleId="132">
    <w:name w:val="正文文本 字符"/>
    <w:qFormat/>
    <w:uiPriority w:val="99"/>
    <w:rPr>
      <w:rFonts w:ascii="Times New Roman" w:hAnsi="Times New Roman" w:eastAsia="宋体" w:cs="Times New Roman"/>
      <w:sz w:val="24"/>
      <w:szCs w:val="24"/>
    </w:rPr>
  </w:style>
  <w:style w:type="character" w:customStyle="1" w:styleId="133">
    <w:name w:val="标题 5 字符"/>
    <w:qFormat/>
    <w:uiPriority w:val="0"/>
    <w:rPr>
      <w:b/>
      <w:kern w:val="2"/>
      <w:sz w:val="28"/>
      <w:szCs w:val="24"/>
    </w:rPr>
  </w:style>
  <w:style w:type="character" w:customStyle="1" w:styleId="134">
    <w:name w:val="标题 9 字符"/>
    <w:qFormat/>
    <w:uiPriority w:val="0"/>
    <w:rPr>
      <w:rFonts w:ascii="Arial" w:hAnsi="Arial" w:eastAsia="黑体"/>
      <w:kern w:val="2"/>
      <w:sz w:val="21"/>
      <w:szCs w:val="24"/>
    </w:rPr>
  </w:style>
  <w:style w:type="paragraph" w:customStyle="1" w:styleId="135">
    <w:name w:val="Table Paragraph"/>
    <w:basedOn w:val="1"/>
    <w:qFormat/>
    <w:uiPriority w:val="1"/>
    <w:pPr>
      <w:jc w:val="left"/>
    </w:pPr>
    <w:rPr>
      <w:rFonts w:ascii="Calibri" w:hAnsi="Calibri"/>
      <w:kern w:val="0"/>
      <w:sz w:val="22"/>
      <w:szCs w:val="22"/>
      <w:lang w:eastAsia="en-US"/>
    </w:rPr>
  </w:style>
  <w:style w:type="paragraph" w:customStyle="1" w:styleId="13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37">
    <w:name w:val="样式 首行缩进:  2 字符"/>
    <w:basedOn w:val="1"/>
    <w:qFormat/>
    <w:uiPriority w:val="0"/>
    <w:pPr>
      <w:spacing w:line="400" w:lineRule="exact"/>
      <w:ind w:firstLine="200" w:firstLineChars="200"/>
    </w:pPr>
    <w:rPr>
      <w:rFonts w:cs="宋体"/>
      <w:sz w:val="24"/>
    </w:rPr>
  </w:style>
  <w:style w:type="paragraph" w:styleId="138">
    <w:name w:val="List Paragraph"/>
    <w:basedOn w:val="1"/>
    <w:qFormat/>
    <w:uiPriority w:val="34"/>
    <w:pPr>
      <w:ind w:firstLine="420" w:firstLineChars="200"/>
    </w:pPr>
  </w:style>
  <w:style w:type="paragraph" w:customStyle="1" w:styleId="139">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40">
    <w:name w:val="正文段"/>
    <w:basedOn w:val="1"/>
    <w:qFormat/>
    <w:uiPriority w:val="0"/>
    <w:pPr>
      <w:widowControl/>
      <w:snapToGrid w:val="0"/>
      <w:spacing w:afterLines="50"/>
      <w:ind w:firstLine="200" w:firstLineChars="200"/>
    </w:pPr>
    <w:rPr>
      <w:kern w:val="0"/>
      <w:sz w:val="24"/>
      <w:szCs w:val="20"/>
    </w:rPr>
  </w:style>
  <w:style w:type="paragraph" w:customStyle="1" w:styleId="141">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42">
    <w:name w:val="正文正"/>
    <w:basedOn w:val="1"/>
    <w:qFormat/>
    <w:uiPriority w:val="99"/>
    <w:pPr>
      <w:spacing w:line="560" w:lineRule="exact"/>
      <w:ind w:firstLine="561"/>
    </w:pPr>
    <w:rPr>
      <w:rFonts w:eastAsia="仿宋_GB2312"/>
      <w:sz w:val="28"/>
    </w:rPr>
  </w:style>
  <w:style w:type="paragraph" w:customStyle="1" w:styleId="143">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44">
    <w:name w:val="默认段落字体 Para Char Char Char Char Char Char Char Char Char1 Char Char Char Char"/>
    <w:basedOn w:val="1"/>
    <w:qFormat/>
    <w:uiPriority w:val="0"/>
    <w:rPr>
      <w:rFonts w:ascii="Tahoma" w:hAnsi="Tahoma"/>
      <w:sz w:val="24"/>
      <w:szCs w:val="20"/>
    </w:rPr>
  </w:style>
  <w:style w:type="paragraph" w:customStyle="1" w:styleId="145">
    <w:name w:val="表格"/>
    <w:basedOn w:val="1"/>
    <w:qFormat/>
    <w:uiPriority w:val="0"/>
    <w:pPr>
      <w:spacing w:line="400" w:lineRule="exact"/>
    </w:pPr>
    <w:rPr>
      <w:sz w:val="24"/>
    </w:rPr>
  </w:style>
  <w:style w:type="paragraph" w:customStyle="1" w:styleId="146">
    <w:name w:val="纯文本1"/>
    <w:basedOn w:val="1"/>
    <w:qFormat/>
    <w:uiPriority w:val="0"/>
    <w:rPr>
      <w:rFonts w:ascii="宋体" w:hAnsi="Courier New" w:cs="Century"/>
      <w:szCs w:val="21"/>
    </w:rPr>
  </w:style>
  <w:style w:type="paragraph" w:customStyle="1" w:styleId="147">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8">
    <w:name w:val="Char1"/>
    <w:basedOn w:val="1"/>
    <w:qFormat/>
    <w:uiPriority w:val="0"/>
    <w:rPr>
      <w:szCs w:val="21"/>
    </w:rPr>
  </w:style>
  <w:style w:type="paragraph" w:customStyle="1" w:styleId="149">
    <w:name w:val="正文首行缩进两字符"/>
    <w:basedOn w:val="1"/>
    <w:qFormat/>
    <w:uiPriority w:val="0"/>
    <w:pPr>
      <w:spacing w:line="360" w:lineRule="auto"/>
      <w:ind w:firstLine="200" w:firstLineChars="200"/>
    </w:pPr>
  </w:style>
  <w:style w:type="paragraph" w:customStyle="1" w:styleId="150">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51">
    <w:name w:val="_Style 60"/>
    <w:basedOn w:val="1"/>
    <w:next w:val="138"/>
    <w:qFormat/>
    <w:uiPriority w:val="99"/>
    <w:pPr>
      <w:ind w:firstLine="420" w:firstLineChars="200"/>
    </w:pPr>
  </w:style>
  <w:style w:type="table" w:customStyle="1" w:styleId="152">
    <w:name w:val="Table Normal"/>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paragraph" w:customStyle="1" w:styleId="153">
    <w:name w:val="_Style 129"/>
    <w:basedOn w:val="1"/>
    <w:next w:val="138"/>
    <w:qFormat/>
    <w:uiPriority w:val="99"/>
    <w:pPr>
      <w:ind w:firstLine="420" w:firstLineChars="200"/>
    </w:pPr>
  </w:style>
  <w:style w:type="character" w:customStyle="1" w:styleId="154">
    <w:name w:val="纯文本 Char1"/>
    <w:qFormat/>
    <w:locked/>
    <w:uiPriority w:val="0"/>
    <w:rPr>
      <w:rFonts w:ascii="宋体" w:hAnsi="Courier New" w:cs="Courier New"/>
      <w:szCs w:val="21"/>
    </w:rPr>
  </w:style>
  <w:style w:type="character" w:customStyle="1" w:styleId="155">
    <w:name w:val="正文文本 Char"/>
    <w:qFormat/>
    <w:uiPriority w:val="0"/>
    <w:rPr>
      <w:rFonts w:ascii="Times New Roman" w:hAnsi="Times New Roman" w:eastAsia="宋体" w:cs="Times New Roman"/>
      <w:sz w:val="24"/>
      <w:szCs w:val="24"/>
    </w:rPr>
  </w:style>
  <w:style w:type="character" w:customStyle="1" w:styleId="156">
    <w:name w:val="标题 1 Char"/>
    <w:qFormat/>
    <w:uiPriority w:val="9"/>
    <w:rPr>
      <w:rFonts w:ascii="Times New Roman" w:hAnsi="Times New Roman" w:eastAsia="宋体" w:cs="Times New Roman"/>
      <w:b/>
      <w:bCs/>
      <w:kern w:val="44"/>
      <w:sz w:val="44"/>
      <w:szCs w:val="44"/>
    </w:rPr>
  </w:style>
  <w:style w:type="character" w:customStyle="1" w:styleId="157">
    <w:name w:val="标题 2 Char"/>
    <w:qFormat/>
    <w:uiPriority w:val="0"/>
    <w:rPr>
      <w:rFonts w:ascii="Arial" w:hAnsi="Arial" w:eastAsia="黑体" w:cs="Times New Roman"/>
      <w:b/>
      <w:bCs/>
      <w:sz w:val="32"/>
      <w:szCs w:val="32"/>
    </w:rPr>
  </w:style>
  <w:style w:type="character" w:customStyle="1" w:styleId="158">
    <w:name w:val="标题 3 Char"/>
    <w:qFormat/>
    <w:uiPriority w:val="0"/>
    <w:rPr>
      <w:rFonts w:ascii="Times New Roman" w:hAnsi="Times New Roman" w:eastAsia="宋体" w:cs="Times New Roman"/>
      <w:b/>
      <w:bCs/>
      <w:sz w:val="32"/>
      <w:szCs w:val="32"/>
    </w:rPr>
  </w:style>
  <w:style w:type="character" w:customStyle="1" w:styleId="159">
    <w:name w:val="标题 5 Char1"/>
    <w:qFormat/>
    <w:uiPriority w:val="0"/>
    <w:rPr>
      <w:b/>
      <w:kern w:val="2"/>
      <w:sz w:val="28"/>
      <w:szCs w:val="24"/>
    </w:rPr>
  </w:style>
  <w:style w:type="character" w:customStyle="1" w:styleId="160">
    <w:name w:val="标题 6 Char"/>
    <w:qFormat/>
    <w:uiPriority w:val="0"/>
    <w:rPr>
      <w:rFonts w:ascii="Arial" w:hAnsi="Arial" w:eastAsia="黑体"/>
      <w:b/>
      <w:kern w:val="2"/>
      <w:sz w:val="24"/>
      <w:szCs w:val="24"/>
    </w:rPr>
  </w:style>
  <w:style w:type="character" w:customStyle="1" w:styleId="161">
    <w:name w:val="标题 7 Char"/>
    <w:qFormat/>
    <w:uiPriority w:val="0"/>
    <w:rPr>
      <w:rFonts w:ascii="Times New Roman" w:hAnsi="Times New Roman"/>
      <w:b/>
      <w:kern w:val="2"/>
      <w:sz w:val="24"/>
      <w:szCs w:val="24"/>
    </w:rPr>
  </w:style>
  <w:style w:type="character" w:customStyle="1" w:styleId="162">
    <w:name w:val="标题 8 Char"/>
    <w:qFormat/>
    <w:uiPriority w:val="0"/>
    <w:rPr>
      <w:rFonts w:ascii="Arial" w:hAnsi="Arial" w:eastAsia="黑体"/>
      <w:kern w:val="2"/>
      <w:sz w:val="24"/>
      <w:szCs w:val="24"/>
    </w:rPr>
  </w:style>
  <w:style w:type="character" w:customStyle="1" w:styleId="163">
    <w:name w:val="标题 9 Char"/>
    <w:qFormat/>
    <w:uiPriority w:val="0"/>
    <w:rPr>
      <w:rFonts w:ascii="Arial" w:hAnsi="Arial" w:eastAsia="黑体"/>
      <w:kern w:val="2"/>
      <w:sz w:val="21"/>
      <w:szCs w:val="24"/>
    </w:rPr>
  </w:style>
  <w:style w:type="paragraph" w:customStyle="1" w:styleId="164">
    <w:name w:val="_Style 161"/>
    <w:basedOn w:val="1"/>
    <w:next w:val="138"/>
    <w:qFormat/>
    <w:uiPriority w:val="99"/>
    <w:pPr>
      <w:ind w:firstLine="420" w:firstLineChars="200"/>
    </w:pPr>
  </w:style>
  <w:style w:type="character" w:customStyle="1" w:styleId="165">
    <w:name w:val="文档结构图 Char"/>
    <w:qFormat/>
    <w:uiPriority w:val="0"/>
    <w:rPr>
      <w:rFonts w:hint="eastAsia" w:ascii="宋体" w:hAnsi="宋体" w:eastAsia="宋体" w:cs="宋体"/>
    </w:rPr>
  </w:style>
  <w:style w:type="character" w:customStyle="1" w:styleId="166">
    <w:name w:val="批注文字 Char2"/>
    <w:qFormat/>
    <w:uiPriority w:val="0"/>
    <w:rPr>
      <w:rFonts w:ascii="Times New Roman" w:hAnsi="Times New Roman"/>
      <w:kern w:val="2"/>
      <w:sz w:val="21"/>
      <w:szCs w:val="24"/>
    </w:rPr>
  </w:style>
  <w:style w:type="character" w:customStyle="1" w:styleId="167">
    <w:name w:val="正文文本 3 Char"/>
    <w:qFormat/>
    <w:uiPriority w:val="0"/>
    <w:rPr>
      <w:rFonts w:ascii="Times New Roman" w:hAnsi="Times New Roman" w:eastAsia="宋体" w:cs="Times New Roman"/>
      <w:b/>
      <w:bCs/>
      <w:sz w:val="24"/>
      <w:szCs w:val="24"/>
    </w:rPr>
  </w:style>
  <w:style w:type="character" w:customStyle="1" w:styleId="168">
    <w:name w:val="正文文本缩进 Char"/>
    <w:qFormat/>
    <w:uiPriority w:val="0"/>
    <w:rPr>
      <w:rFonts w:ascii="仿宋_GB2312" w:hAnsi="Times New Roman" w:eastAsia="仿宋_GB2312" w:cs="Times New Roman"/>
      <w:sz w:val="32"/>
      <w:szCs w:val="20"/>
    </w:rPr>
  </w:style>
  <w:style w:type="character" w:customStyle="1" w:styleId="169">
    <w:name w:val="纯文本 Char2"/>
    <w:qFormat/>
    <w:uiPriority w:val="0"/>
    <w:rPr>
      <w:rFonts w:ascii="宋体" w:hAnsi="Courier New" w:eastAsia="宋体" w:cs="Courier New"/>
      <w:szCs w:val="21"/>
    </w:rPr>
  </w:style>
  <w:style w:type="character" w:customStyle="1" w:styleId="170">
    <w:name w:val="日期 Char"/>
    <w:qFormat/>
    <w:uiPriority w:val="0"/>
    <w:rPr>
      <w:rFonts w:ascii="宋体" w:hAnsi="Courier New" w:eastAsia="宋体" w:cs="Courier New"/>
      <w:szCs w:val="21"/>
    </w:rPr>
  </w:style>
  <w:style w:type="character" w:customStyle="1" w:styleId="171">
    <w:name w:val="正文文本缩进 2 Char"/>
    <w:qFormat/>
    <w:uiPriority w:val="0"/>
    <w:rPr>
      <w:rFonts w:ascii="Times New Roman" w:hAnsi="Times New Roman" w:eastAsia="宋体" w:cs="Times New Roman"/>
      <w:sz w:val="32"/>
      <w:szCs w:val="20"/>
    </w:rPr>
  </w:style>
  <w:style w:type="character" w:customStyle="1" w:styleId="172">
    <w:name w:val="尾注文本 Char"/>
    <w:qFormat/>
    <w:uiPriority w:val="99"/>
    <w:rPr>
      <w:rFonts w:ascii="Times New Roman" w:hAnsi="Times New Roman"/>
      <w:kern w:val="2"/>
      <w:sz w:val="21"/>
      <w:szCs w:val="24"/>
    </w:rPr>
  </w:style>
  <w:style w:type="character" w:customStyle="1" w:styleId="173">
    <w:name w:val="批注框文本 Char"/>
    <w:semiHidden/>
    <w:qFormat/>
    <w:uiPriority w:val="0"/>
    <w:rPr>
      <w:rFonts w:ascii="Times New Roman" w:hAnsi="Times New Roman" w:eastAsia="宋体" w:cs="Times New Roman"/>
      <w:sz w:val="18"/>
      <w:szCs w:val="18"/>
    </w:rPr>
  </w:style>
  <w:style w:type="character" w:customStyle="1" w:styleId="174">
    <w:name w:val="页脚 Char"/>
    <w:qFormat/>
    <w:uiPriority w:val="99"/>
    <w:rPr>
      <w:sz w:val="18"/>
      <w:szCs w:val="18"/>
    </w:rPr>
  </w:style>
  <w:style w:type="character" w:customStyle="1" w:styleId="175">
    <w:name w:val="页眉 Char"/>
    <w:qFormat/>
    <w:uiPriority w:val="99"/>
    <w:rPr>
      <w:rFonts w:ascii="Times New Roman" w:hAnsi="Times New Roman"/>
      <w:kern w:val="2"/>
      <w:sz w:val="18"/>
      <w:szCs w:val="18"/>
    </w:rPr>
  </w:style>
  <w:style w:type="character" w:customStyle="1" w:styleId="176">
    <w:name w:val="脚注文本 Char"/>
    <w:qFormat/>
    <w:uiPriority w:val="99"/>
    <w:rPr>
      <w:rFonts w:ascii="Times New Roman" w:hAnsi="Times New Roman"/>
      <w:kern w:val="2"/>
      <w:sz w:val="18"/>
      <w:szCs w:val="18"/>
    </w:rPr>
  </w:style>
  <w:style w:type="character" w:customStyle="1" w:styleId="177">
    <w:name w:val="正文文本缩进 3 Char"/>
    <w:qFormat/>
    <w:uiPriority w:val="0"/>
    <w:rPr>
      <w:rFonts w:ascii="Times New Roman" w:hAnsi="Times New Roman" w:eastAsia="宋体" w:cs="Times New Roman"/>
      <w:sz w:val="16"/>
      <w:szCs w:val="16"/>
    </w:rPr>
  </w:style>
  <w:style w:type="character" w:customStyle="1" w:styleId="178">
    <w:name w:val="正文文本 2 Char"/>
    <w:qFormat/>
    <w:uiPriority w:val="0"/>
    <w:rPr>
      <w:rFonts w:ascii="Times New Roman" w:hAnsi="Times New Roman" w:eastAsia="宋体" w:cs="Times New Roman"/>
      <w:szCs w:val="24"/>
    </w:rPr>
  </w:style>
  <w:style w:type="character" w:customStyle="1" w:styleId="179">
    <w:name w:val="标题 Char"/>
    <w:qFormat/>
    <w:uiPriority w:val="10"/>
    <w:rPr>
      <w:rFonts w:ascii="Cambria" w:hAnsi="Cambria" w:cs="Times New Roman"/>
      <w:b/>
      <w:bCs/>
      <w:kern w:val="2"/>
      <w:sz w:val="32"/>
      <w:szCs w:val="32"/>
    </w:rPr>
  </w:style>
  <w:style w:type="character" w:customStyle="1" w:styleId="180">
    <w:name w:val="批注主题 Char"/>
    <w:qFormat/>
    <w:uiPriority w:val="99"/>
    <w:rPr>
      <w:rFonts w:ascii="Times New Roman" w:hAnsi="Times New Roman"/>
      <w:b/>
      <w:bCs/>
      <w:kern w:val="2"/>
      <w:sz w:val="21"/>
      <w:szCs w:val="24"/>
    </w:rPr>
  </w:style>
  <w:style w:type="character" w:customStyle="1" w:styleId="181">
    <w:name w:val="vxe-cell--label"/>
    <w:basedOn w:val="49"/>
    <w:qFormat/>
    <w:uiPriority w:val="0"/>
  </w:style>
  <w:style w:type="character" w:customStyle="1" w:styleId="182">
    <w:name w:val="未处理的提及1"/>
    <w:basedOn w:val="49"/>
    <w:semiHidden/>
    <w:unhideWhenUsed/>
    <w:qFormat/>
    <w:uiPriority w:val="99"/>
    <w:rPr>
      <w:color w:val="605E5C"/>
      <w:shd w:val="clear" w:color="auto" w:fill="E1DFDD"/>
    </w:rPr>
  </w:style>
  <w:style w:type="character" w:customStyle="1" w:styleId="183">
    <w:name w:val="样式1 Char"/>
    <w:link w:val="184"/>
    <w:qFormat/>
    <w:uiPriority w:val="0"/>
    <w:rPr>
      <w:rFonts w:ascii="宋体" w:hAnsi="宋体"/>
      <w:b/>
      <w:kern w:val="2"/>
      <w:sz w:val="24"/>
    </w:rPr>
  </w:style>
  <w:style w:type="paragraph" w:customStyle="1" w:styleId="184">
    <w:name w:val="样式1"/>
    <w:basedOn w:val="1"/>
    <w:link w:val="183"/>
    <w:qFormat/>
    <w:uiPriority w:val="0"/>
    <w:pPr>
      <w:spacing w:before="120" w:after="120" w:line="300" w:lineRule="auto"/>
    </w:pPr>
    <w:rPr>
      <w:rFonts w:ascii="宋体" w:hAnsi="宋体"/>
      <w:b/>
      <w:sz w:val="24"/>
      <w:szCs w:val="20"/>
    </w:rPr>
  </w:style>
  <w:style w:type="paragraph" w:customStyle="1" w:styleId="185">
    <w:name w:val="msolistparagraph"/>
    <w:basedOn w:val="1"/>
    <w:qFormat/>
    <w:uiPriority w:val="0"/>
    <w:pPr>
      <w:ind w:firstLine="420" w:firstLineChars="200"/>
    </w:pPr>
  </w:style>
  <w:style w:type="paragraph" w:customStyle="1" w:styleId="186">
    <w:name w:val="Char"/>
    <w:basedOn w:val="1"/>
    <w:qFormat/>
    <w:uiPriority w:val="99"/>
  </w:style>
  <w:style w:type="paragraph" w:customStyle="1" w:styleId="187">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88">
    <w:name w:val="Table Text"/>
    <w:basedOn w:val="1"/>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file:///C:\Users\Administrator\AppData\Roaming\Tencent\Users\84332323\QQ\WinTemp\RichOle\IBTSMDNQID2EUB%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7b1%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5d6~PD(5.png" TargetMode="External"/><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134</Pages>
  <Words>16004</Words>
  <Characters>18666</Characters>
  <Lines>623</Lines>
  <Paragraphs>175</Paragraphs>
  <TotalTime>2</TotalTime>
  <ScaleCrop>false</ScaleCrop>
  <LinksUpToDate>false</LinksUpToDate>
  <CharactersWithSpaces>18779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2025-06-18T02:39:00Z</dcterms:created>
  <dc:creator>番茄花园</dc:creator>
  <cp:lastModifiedBy>wzl</cp:lastModifiedBy>
  <cp:lastPrinted>2024-12-11T08:58:00Z</cp:lastPrinted>
  <dcterms:modified xsi:type="dcterms:W3CDTF">2025-07-11T06:47:01Z</dcterms:modified>
  <dc:title>公开招标采购文件范本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7DF7E144AA7C4EA498F7176743C5B87B_13</vt:lpwstr>
  </property>
  <property fmtid="{D5CDD505-2E9C-101B-9397-08002B2CF9AE}" pid="4" name="KSOTemplateDocerSaveRecord">
    <vt:lpwstr>eyJoZGlkIjoiNzI5OWM3OGY1NTAzMjZjNjUxMTAzMDE0ZGZiNTY1MWMiLCJ1c2VySWQiOiIyNzE3NTAyMzQifQ==</vt:lpwstr>
  </property>
</Properties>
</file>