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rPr>
          <w:rFonts w:hint="eastAsia" w:ascii="宋体" w:hAnsi="宋体" w:eastAsia="宋体" w:cs="宋体"/>
          <w:b/>
          <w:bCs/>
          <w:color w:val="auto"/>
          <w:sz w:val="30"/>
          <w:szCs w:val="30"/>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桂平市木乐镇第一初级中学等6个学校食堂普通餐食品原材料联合采购配送服务项目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GGZC2025-G3-810040-GXXP</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3146FD2E">
      <w:pPr>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6641AAD5">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桂平市木乐镇第一初级中学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广西鑫磐工程项目管理有限责任公司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3</w:t>
      </w:r>
      <w:r>
        <w:rPr>
          <w:rFonts w:hint="eastAsia" w:ascii="宋体" w:hAnsi="宋体" w:eastAsia="宋体" w:cs="宋体"/>
          <w:b/>
          <w:bCs/>
          <w:color w:val="auto"/>
          <w:w w:val="95"/>
          <w:kern w:val="2"/>
          <w:sz w:val="30"/>
          <w:szCs w:val="30"/>
          <w:highlight w:val="none"/>
          <w:lang w:val="en-US" w:eastAsia="zh-CN" w:bidi="ar-SA"/>
        </w:rPr>
        <w:t>月</w:t>
      </w:r>
    </w:p>
    <w:p w14:paraId="5DF418D0">
      <w:pPr>
        <w:widowControl/>
        <w:spacing w:line="360" w:lineRule="auto"/>
        <w:jc w:val="both"/>
        <w:rPr>
          <w:rFonts w:hint="eastAsia" w:ascii="宋体" w:hAnsi="宋体" w:eastAsia="宋体" w:cs="宋体"/>
          <w:b/>
          <w:bCs/>
          <w:color w:val="auto"/>
          <w:w w:val="95"/>
          <w:sz w:val="30"/>
          <w:szCs w:val="30"/>
          <w:highlight w:val="none"/>
        </w:rPr>
      </w:pPr>
    </w:p>
    <w:p w14:paraId="72E18799">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2228"/>
      <w:bookmarkStart w:id="2" w:name="_Toc20258"/>
      <w:bookmarkStart w:id="3" w:name="_Toc16222"/>
      <w:bookmarkStart w:id="4" w:name="_Toc16576"/>
      <w:bookmarkStart w:id="5" w:name="_Toc19537"/>
      <w:bookmarkStart w:id="6" w:name="_Toc18459"/>
      <w:bookmarkStart w:id="7" w:name="_Toc11500"/>
      <w:bookmarkStart w:id="8" w:name="_Toc9949"/>
      <w:bookmarkStart w:id="9" w:name="_Toc8345"/>
      <w:bookmarkStart w:id="10" w:name="_Toc184"/>
      <w:bookmarkStart w:id="11" w:name="_Toc18707"/>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桂平市木乐镇第一初级中学等6个学校食堂普通餐食品原材料联合采购配送服务项目公开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桂平市木乐镇第一初级中学等6个学校食堂普通餐食品原材料联合采购配送服务项目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r>
        <w:rPr>
          <w:rFonts w:hint="eastAsia" w:ascii="宋体" w:hAnsi="宋体" w:cs="宋体"/>
          <w:color w:val="auto"/>
          <w:szCs w:val="21"/>
          <w:highlight w:val="none"/>
          <w:u w:val="single"/>
          <w:lang w:val="en-US" w:eastAsia="zh-CN"/>
        </w:rPr>
        <w:t>2025年5月14日09点00分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2" w:name="_Toc28359079"/>
      <w:bookmarkStart w:id="13" w:name="_Toc35393621"/>
      <w:bookmarkStart w:id="14" w:name="_Toc35393790"/>
      <w:bookmarkStart w:id="15" w:name="_Toc28359002"/>
      <w:bookmarkStart w:id="16" w:name="_Hlk24379207"/>
      <w:r>
        <w:rPr>
          <w:rFonts w:hint="eastAsia" w:ascii="黑体" w:hAnsi="黑体" w:eastAsia="黑体" w:cs="Times New Roman"/>
          <w:b/>
          <w:bCs/>
          <w:color w:val="auto"/>
          <w:sz w:val="24"/>
          <w:highlight w:val="none"/>
        </w:rPr>
        <w:t>一、项目基本情况</w:t>
      </w:r>
      <w:bookmarkEnd w:id="12"/>
      <w:bookmarkEnd w:id="13"/>
      <w:bookmarkEnd w:id="14"/>
      <w:bookmarkEnd w:id="15"/>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GGZC2025-G3-810040-GXXP</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6"/>
      <w:r>
        <w:rPr>
          <w:rFonts w:hint="eastAsia" w:ascii="宋体" w:hAnsi="宋体" w:cs="宋体"/>
          <w:color w:val="auto"/>
          <w:kern w:val="0"/>
          <w:szCs w:val="21"/>
          <w:highlight w:val="none"/>
          <w:u w:val="none"/>
          <w:lang w:eastAsia="zh-CN"/>
        </w:rPr>
        <w:t>桂平市木乐镇第一初级中学等6个学校食堂普通餐食品原材料联合采购配送服务项目</w:t>
      </w:r>
    </w:p>
    <w:p w14:paraId="27E8503A">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r>
        <w:rPr>
          <w:rFonts w:hint="eastAsia" w:ascii="宋体" w:hAnsi="宋体" w:cs="宋体"/>
          <w:color w:val="auto"/>
          <w:kern w:val="0"/>
          <w:szCs w:val="21"/>
          <w:highlight w:val="none"/>
          <w:u w:val="none"/>
          <w:lang w:val="en-US" w:eastAsia="zh-CN"/>
        </w:rPr>
        <w:t>2870万元</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single"/>
          <w:lang w:val="en-US" w:eastAsia="zh-CN"/>
        </w:rPr>
      </w:pPr>
      <w:r>
        <w:rPr>
          <w:rFonts w:hint="eastAsia" w:ascii="宋体" w:hAnsi="宋体" w:cs="Times New Roman"/>
          <w:color w:val="auto"/>
          <w:szCs w:val="21"/>
          <w:highlight w:val="none"/>
          <w:lang w:val="en-US" w:eastAsia="zh-CN"/>
        </w:rPr>
        <w:t>采购需求：</w:t>
      </w:r>
      <w:r>
        <w:rPr>
          <w:rFonts w:hint="eastAsia" w:ascii="宋体" w:hAnsi="宋体" w:cs="Times New Roman"/>
          <w:color w:val="auto"/>
          <w:szCs w:val="21"/>
          <w:highlight w:val="none"/>
          <w:u w:val="singl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u w:val="single"/>
        </w:rPr>
        <w:t>鲜活水产类</w:t>
      </w:r>
      <w:r>
        <w:rPr>
          <w:rFonts w:hint="eastAsia" w:ascii="宋体" w:hAnsi="宋体" w:cs="Times New Roman"/>
          <w:color w:val="auto"/>
          <w:szCs w:val="21"/>
          <w:highlight w:val="none"/>
          <w:u w:val="singl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木乐镇第二初级中学、桂平市木乐镇中心幼儿园、桂平市木圭镇第一初级中学、桂平市木圭镇第二初级中学、桂平市木圭镇中心幼儿园委托桂平市木乐镇第一初级中学办理本项目招标程序，桂平市木乐镇第一初级中学、桂平市木乐镇第二初级中学、桂平市木乐镇中心幼儿园、桂平市木圭镇第一初级中学、桂平市木圭镇第二初级中学、桂平市木圭镇中心幼儿园分别与中标人签订合同、付款。</w:t>
      </w:r>
    </w:p>
    <w:p w14:paraId="1F0E7DCE">
      <w:pPr>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u w:val="single"/>
          <w:lang w:eastAsia="zh-CN"/>
        </w:rPr>
        <w:t>自合同签订之日起2年（具体起止时间以签订合同为准）</w:t>
      </w:r>
      <w:r>
        <w:rPr>
          <w:rFonts w:hint="eastAsia" w:ascii="宋体" w:hAnsi="宋体" w:cs="宋体"/>
          <w:bCs/>
          <w:color w:val="auto"/>
          <w:szCs w:val="21"/>
          <w:highlight w:val="none"/>
          <w:u w:val="singl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7" w:name="_Toc35393791"/>
      <w:bookmarkStart w:id="18" w:name="_Toc28359080"/>
      <w:bookmarkStart w:id="19" w:name="_Toc28359003"/>
      <w:bookmarkStart w:id="20" w:name="_Toc35393622"/>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7"/>
      <w:bookmarkEnd w:id="18"/>
      <w:bookmarkEnd w:id="19"/>
      <w:bookmarkEnd w:id="20"/>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1" w:name="_Toc28359081"/>
      <w:bookmarkStart w:id="22"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w:t>
      </w:r>
      <w:bookmarkStart w:id="427" w:name="_GoBack"/>
      <w:bookmarkEnd w:id="427"/>
      <w:r>
        <w:rPr>
          <w:rFonts w:hint="eastAsia" w:ascii="宋体" w:hAnsi="宋体" w:cs="宋体"/>
          <w:i w:val="0"/>
          <w:iCs w:val="0"/>
          <w:color w:val="auto"/>
          <w:szCs w:val="21"/>
          <w:highlight w:val="none"/>
          <w:u w:val="single"/>
          <w:lang w:val="en-US" w:eastAsia="zh-CN"/>
        </w:rPr>
        <w:t>提供由省级以上监狱管理局、戒毒管理局（含新疆生产建设兵团）出具的属于监狱企业的证明文件。</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u w:val="single"/>
        </w:rPr>
        <w:t>具备</w:t>
      </w:r>
      <w:r>
        <w:rPr>
          <w:rFonts w:hint="eastAsia" w:ascii="宋体" w:hAnsi="宋体" w:cs="宋体"/>
          <w:color w:val="auto"/>
          <w:szCs w:val="21"/>
          <w:highlight w:val="none"/>
          <w:u w:val="single"/>
          <w:lang w:eastAsia="zh-CN"/>
        </w:rPr>
        <w:t>相应有效</w:t>
      </w:r>
      <w:r>
        <w:rPr>
          <w:rFonts w:hint="eastAsia" w:ascii="宋体" w:hAnsi="宋体" w:cs="宋体"/>
          <w:color w:val="auto"/>
          <w:szCs w:val="21"/>
          <w:highlight w:val="none"/>
          <w:u w:val="single"/>
        </w:rPr>
        <w:t>的</w:t>
      </w:r>
      <w:r>
        <w:rPr>
          <w:rFonts w:hint="eastAsia" w:ascii="宋体" w:hAnsi="宋体" w:cs="宋体"/>
          <w:color w:val="auto"/>
          <w:szCs w:val="21"/>
          <w:highlight w:val="none"/>
          <w:u w:val="single"/>
          <w:lang w:val="en-US" w:eastAsia="zh-CN"/>
        </w:rPr>
        <w:t>《食品经营许可证》</w:t>
      </w:r>
      <w:r>
        <w:rPr>
          <w:rFonts w:hint="eastAsia" w:ascii="宋体" w:hAnsi="宋体" w:cs="宋体"/>
          <w:color w:val="auto"/>
          <w:szCs w:val="21"/>
          <w:highlight w:val="none"/>
          <w:u w:val="single"/>
          <w:lang w:eastAsia="zh-CN"/>
        </w:rPr>
        <w:t>。</w:t>
      </w:r>
    </w:p>
    <w:p w14:paraId="036464B1">
      <w:pPr>
        <w:spacing w:line="360" w:lineRule="auto"/>
        <w:rPr>
          <w:rFonts w:hint="eastAsia" w:ascii="黑体" w:hAnsi="黑体" w:eastAsia="黑体" w:cs="Times New Roman"/>
          <w:b/>
          <w:bCs/>
          <w:color w:val="auto"/>
          <w:sz w:val="24"/>
          <w:highlight w:val="none"/>
        </w:rPr>
      </w:pPr>
      <w:bookmarkStart w:id="23" w:name="_Toc35393792"/>
      <w:bookmarkStart w:id="24" w:name="_Toc35393623"/>
      <w:r>
        <w:rPr>
          <w:rFonts w:hint="eastAsia" w:ascii="黑体" w:hAnsi="黑体" w:eastAsia="黑体" w:cs="Times New Roman"/>
          <w:b/>
          <w:bCs/>
          <w:color w:val="auto"/>
          <w:sz w:val="24"/>
          <w:highlight w:val="none"/>
        </w:rPr>
        <w:t>三、获取招标文件</w:t>
      </w:r>
      <w:bookmarkEnd w:id="21"/>
      <w:bookmarkEnd w:id="22"/>
      <w:bookmarkEnd w:id="23"/>
      <w:bookmarkEnd w:id="24"/>
    </w:p>
    <w:p w14:paraId="6C5EEEE3">
      <w:pPr>
        <w:snapToGrid w:val="0"/>
        <w:spacing w:line="360" w:lineRule="auto"/>
        <w:ind w:firstLine="472" w:firstLineChars="225"/>
        <w:rPr>
          <w:rFonts w:hint="eastAsia" w:ascii="宋体" w:hAnsi="宋体" w:eastAsia="宋体" w:cs="Times New Roman"/>
          <w:color w:val="auto"/>
          <w:szCs w:val="21"/>
          <w:highlight w:val="none"/>
        </w:rPr>
      </w:pPr>
      <w:bookmarkStart w:id="25" w:name="_Toc28359005"/>
      <w:bookmarkStart w:id="26" w:name="_Toc28359082"/>
      <w:bookmarkStart w:id="27" w:name="_Toc35393793"/>
      <w:bookmarkStart w:id="28"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5"/>
      <w:bookmarkEnd w:id="26"/>
      <w:r>
        <w:rPr>
          <w:rFonts w:hint="eastAsia" w:ascii="黑体" w:hAnsi="黑体" w:eastAsia="黑体" w:cs="Times New Roman"/>
          <w:b/>
          <w:bCs/>
          <w:color w:val="auto"/>
          <w:sz w:val="24"/>
          <w:highlight w:val="none"/>
        </w:rPr>
        <w:t>截止时间、开标时间和地点</w:t>
      </w:r>
      <w:bookmarkEnd w:id="27"/>
      <w:bookmarkEnd w:id="28"/>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29" w:name="PO_3000001867_PM015_1"/>
      <w:r>
        <w:rPr>
          <w:rFonts w:hint="eastAsia" w:ascii="宋体" w:hAnsi="宋体" w:cs="宋体"/>
          <w:bCs/>
          <w:color w:val="auto"/>
          <w:szCs w:val="21"/>
          <w:highlight w:val="none"/>
          <w:u w:val="single"/>
          <w:lang w:val="en-US" w:eastAsia="zh-CN"/>
        </w:rPr>
        <w:t>2025年5月14日09点00分</w:t>
      </w:r>
      <w:r>
        <w:rPr>
          <w:rFonts w:hint="eastAsia" w:ascii="宋体" w:hAnsi="宋体" w:cs="宋体"/>
          <w:bCs/>
          <w:color w:val="auto"/>
          <w:szCs w:val="21"/>
          <w:highlight w:val="none"/>
        </w:rPr>
        <w:t>（北京时间）</w:t>
      </w:r>
      <w:bookmarkEnd w:id="29"/>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0" w:name="_Toc35393625"/>
      <w:bookmarkStart w:id="31" w:name="_Toc28359007"/>
      <w:bookmarkStart w:id="32" w:name="_Toc28359084"/>
      <w:bookmarkStart w:id="33" w:name="_Toc35393794"/>
      <w:r>
        <w:rPr>
          <w:rFonts w:hint="eastAsia" w:ascii="黑体" w:hAnsi="黑体" w:eastAsia="黑体" w:cs="Times New Roman"/>
          <w:b/>
          <w:bCs/>
          <w:color w:val="auto"/>
          <w:sz w:val="24"/>
          <w:highlight w:val="none"/>
        </w:rPr>
        <w:t>五、公告期限</w:t>
      </w:r>
      <w:bookmarkEnd w:id="30"/>
      <w:bookmarkEnd w:id="31"/>
      <w:bookmarkEnd w:id="32"/>
      <w:bookmarkEnd w:id="33"/>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4" w:name="_Toc35393626"/>
      <w:bookmarkStart w:id="35" w:name="_Toc35393795"/>
      <w:r>
        <w:rPr>
          <w:rFonts w:hint="eastAsia" w:ascii="黑体" w:hAnsi="黑体" w:eastAsia="黑体" w:cs="Times New Roman"/>
          <w:b/>
          <w:bCs/>
          <w:color w:val="auto"/>
          <w:sz w:val="24"/>
          <w:highlight w:val="none"/>
        </w:rPr>
        <w:t>六、其他补充事宜</w:t>
      </w:r>
      <w:bookmarkEnd w:id="34"/>
      <w:bookmarkEnd w:id="35"/>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3B91C0BF">
      <w:pPr>
        <w:spacing w:line="360" w:lineRule="auto"/>
        <w:ind w:firstLine="420" w:firstLineChars="200"/>
        <w:rPr>
          <w:rFonts w:hint="eastAsia" w:ascii="宋体" w:hAnsi="宋体" w:cs="宋体"/>
          <w:b/>
          <w:bCs/>
          <w:color w:val="auto"/>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6" w:name="_Toc35393627"/>
      <w:bookmarkStart w:id="37" w:name="_Toc28359008"/>
      <w:bookmarkStart w:id="38" w:name="_Toc35393796"/>
      <w:bookmarkStart w:id="39" w:name="_Toc28359085"/>
      <w:r>
        <w:rPr>
          <w:rFonts w:hint="eastAsia" w:ascii="黑体" w:hAnsi="黑体" w:eastAsia="黑体" w:cs="Times New Roman"/>
          <w:b/>
          <w:bCs/>
          <w:color w:val="auto"/>
          <w:sz w:val="24"/>
          <w:highlight w:val="none"/>
        </w:rPr>
        <w:t>七、对本次招标提出询问，请按以下方式联系。</w:t>
      </w:r>
      <w:bookmarkEnd w:id="36"/>
      <w:bookmarkEnd w:id="37"/>
      <w:bookmarkEnd w:id="38"/>
      <w:bookmarkEnd w:id="39"/>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桂平市木乐镇第一初级中学</w:t>
      </w:r>
    </w:p>
    <w:p w14:paraId="59C1F20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 xml:space="preserve">桂平市木乐镇一中路 </w:t>
      </w:r>
    </w:p>
    <w:p w14:paraId="1775C3A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覃校长</w:t>
      </w:r>
      <w:r>
        <w:rPr>
          <w:rFonts w:hint="eastAsia" w:cs="宋体"/>
          <w:color w:val="auto"/>
          <w:szCs w:val="21"/>
          <w:highlight w:val="none"/>
          <w:lang w:val="en-US" w:eastAsia="zh-CN"/>
        </w:rPr>
        <w:t>0775-3666411</w:t>
      </w:r>
      <w:r>
        <w:rPr>
          <w:rFonts w:hint="eastAsia" w:ascii="宋体" w:hAnsi="宋体" w:cs="宋体"/>
          <w:color w:val="auto"/>
          <w:szCs w:val="21"/>
          <w:highlight w:val="none"/>
          <w:lang w:val="en-US" w:eastAsia="zh-CN"/>
        </w:rPr>
        <w:t xml:space="preserve"> </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广西鑫磐工程项目管理有限责任公司</w:t>
      </w:r>
    </w:p>
    <w:p w14:paraId="46B8D3F3">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bCs/>
          <w:color w:val="auto"/>
          <w:szCs w:val="21"/>
          <w:highlight w:val="none"/>
          <w:lang w:eastAsia="zh-CN"/>
        </w:rPr>
        <w:t>贵港市港北区荷城路1108号（荷城世家）77幢12号商铺（荷城世家北面商铺中段）</w:t>
      </w:r>
    </w:p>
    <w:p w14:paraId="1B2312DF">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bCs/>
          <w:color w:val="auto"/>
          <w:szCs w:val="21"/>
          <w:highlight w:val="none"/>
        </w:rPr>
        <w:t>0775-</w:t>
      </w:r>
      <w:r>
        <w:rPr>
          <w:rFonts w:hint="eastAsia" w:ascii="宋体" w:hAnsi="宋体" w:cs="宋体"/>
          <w:bCs/>
          <w:color w:val="auto"/>
          <w:szCs w:val="21"/>
          <w:highlight w:val="none"/>
          <w:lang w:eastAsia="zh-CN"/>
        </w:rPr>
        <w:t>4556706</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 </w:t>
      </w:r>
      <w:r>
        <w:rPr>
          <w:rFonts w:hint="eastAsia" w:ascii="宋体" w:hAnsi="宋体" w:cs="宋体"/>
          <w:bCs/>
          <w:color w:val="auto"/>
          <w:szCs w:val="21"/>
          <w:highlight w:val="none"/>
          <w:lang w:eastAsia="zh-CN"/>
        </w:rPr>
        <w:t>戈伟梅</w:t>
      </w:r>
    </w:p>
    <w:p w14:paraId="3E21A1F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bCs/>
          <w:color w:val="auto"/>
          <w:szCs w:val="21"/>
          <w:highlight w:val="none"/>
        </w:rPr>
        <w:t>0775-</w:t>
      </w:r>
      <w:r>
        <w:rPr>
          <w:rFonts w:hint="eastAsia" w:ascii="宋体" w:hAnsi="宋体" w:cs="宋体"/>
          <w:bCs/>
          <w:color w:val="auto"/>
          <w:szCs w:val="21"/>
          <w:highlight w:val="none"/>
          <w:lang w:eastAsia="zh-CN"/>
        </w:rPr>
        <w:t>4556706</w:t>
      </w:r>
    </w:p>
    <w:p w14:paraId="313EBF3F">
      <w:pPr>
        <w:rPr>
          <w:rFonts w:hint="eastAsia"/>
          <w:color w:val="auto"/>
          <w:highlight w:val="none"/>
        </w:rPr>
      </w:pPr>
    </w:p>
    <w:p w14:paraId="15CE50A3">
      <w:pPr>
        <w:widowControl/>
        <w:spacing w:line="360" w:lineRule="auto"/>
        <w:jc w:val="left"/>
        <w:rPr>
          <w:rFonts w:ascii="宋体" w:hAnsi="宋体" w:cs="宋体"/>
          <w:color w:val="auto"/>
          <w:sz w:val="24"/>
          <w:highlight w:val="none"/>
          <w:lang w:val="zh-CN"/>
        </w:rPr>
      </w:pPr>
    </w:p>
    <w:p w14:paraId="378BEF8E">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广西鑫磐工程项目管理有限责任公司</w:t>
      </w:r>
    </w:p>
    <w:p w14:paraId="1FD029EF">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2025年4月10日</w:t>
      </w:r>
    </w:p>
    <w:p w14:paraId="1144B453">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0" w:name="_Toc532545042"/>
      <w:bookmarkStart w:id="41" w:name="_Toc21081"/>
      <w:bookmarkStart w:id="42" w:name="_Toc7686"/>
      <w:bookmarkStart w:id="43" w:name="_Toc4483"/>
      <w:bookmarkStart w:id="44" w:name="_Toc24210"/>
      <w:bookmarkStart w:id="45" w:name="_Toc2299"/>
      <w:bookmarkStart w:id="46" w:name="_Toc937"/>
      <w:bookmarkStart w:id="47" w:name="_Toc7337"/>
      <w:bookmarkStart w:id="48" w:name="_Toc22408"/>
      <w:bookmarkStart w:id="49" w:name="_Toc13449"/>
      <w:bookmarkStart w:id="50" w:name="_Toc17621"/>
      <w:bookmarkStart w:id="51" w:name="_Toc28689"/>
      <w:bookmarkStart w:id="52" w:name="_Toc32573"/>
      <w:bookmarkStart w:id="53" w:name="_Toc8382"/>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0"/>
      <w:r>
        <w:rPr>
          <w:rFonts w:hint="eastAsia" w:ascii="Times New Roman" w:hAnsi="Times New Roman" w:eastAsia="宋体" w:cs="Times New Roman"/>
          <w:b/>
          <w:color w:val="auto"/>
          <w:sz w:val="36"/>
          <w:highlight w:val="none"/>
        </w:rPr>
        <w:t>采购需求</w:t>
      </w:r>
      <w:bookmarkEnd w:id="41"/>
      <w:bookmarkEnd w:id="42"/>
      <w:bookmarkEnd w:id="43"/>
      <w:bookmarkEnd w:id="44"/>
      <w:bookmarkEnd w:id="45"/>
      <w:bookmarkEnd w:id="46"/>
      <w:bookmarkEnd w:id="47"/>
      <w:bookmarkEnd w:id="48"/>
      <w:bookmarkEnd w:id="49"/>
      <w:bookmarkEnd w:id="50"/>
      <w:bookmarkEnd w:id="51"/>
      <w:bookmarkEnd w:id="52"/>
      <w:bookmarkEnd w:id="53"/>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w:t>
      </w:r>
      <w:r>
        <w:rPr>
          <w:rFonts w:hint="eastAsia" w:ascii="宋体" w:hAnsi="宋体" w:cs="宋体"/>
          <w:color w:val="auto"/>
          <w:kern w:val="0"/>
          <w:szCs w:val="21"/>
          <w:highlight w:val="none"/>
          <w:u w:val="none"/>
          <w:lang w:val="en-US" w:eastAsia="zh-CN"/>
        </w:rPr>
        <w:t>2870万元</w:t>
      </w:r>
      <w:r>
        <w:rPr>
          <w:rFonts w:hint="eastAsia" w:ascii="宋体" w:hAnsi="宋体" w:eastAsia="宋体" w:cs="宋体"/>
          <w:b w:val="0"/>
          <w:color w:val="auto"/>
          <w:sz w:val="21"/>
          <w:szCs w:val="21"/>
          <w:highlight w:val="none"/>
          <w:lang w:val="en-US" w:eastAsia="zh-CN"/>
        </w:rPr>
        <w:t>，本项目预算金额仅供参考，以实际结算额为准。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keepNext w:val="0"/>
              <w:keepLines w:val="0"/>
              <w:pageBreakBefore w:val="0"/>
              <w:widowControl w:val="0"/>
              <w:kinsoku/>
              <w:wordWrap/>
              <w:overflowPunct/>
              <w:topLinePunct w:val="0"/>
              <w:bidi w:val="0"/>
              <w:adjustRightInd/>
              <w:spacing w:line="4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keepNext w:val="0"/>
              <w:keepLines w:val="0"/>
              <w:pageBreakBefore w:val="0"/>
              <w:widowControl w:val="0"/>
              <w:kinsoku/>
              <w:wordWrap/>
              <w:overflowPunct/>
              <w:topLinePunct w:val="0"/>
              <w:bidi w:val="0"/>
              <w:adjustRightInd/>
              <w:spacing w:line="4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ED7E5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cs="宋体"/>
                <w:color w:val="0000FF"/>
                <w:kern w:val="2"/>
                <w:sz w:val="21"/>
                <w:szCs w:val="21"/>
                <w:highlight w:val="none"/>
                <w:lang w:val="en-US" w:eastAsia="zh-CN" w:bidi="ar-SA"/>
              </w:rPr>
              <w:t>（1）</w:t>
            </w:r>
            <w:r>
              <w:rPr>
                <w:rFonts w:hint="eastAsia" w:ascii="宋体" w:hAnsi="宋体" w:eastAsia="宋体" w:cs="宋体"/>
                <w:color w:val="0000FF"/>
                <w:kern w:val="2"/>
                <w:sz w:val="21"/>
                <w:szCs w:val="21"/>
                <w:highlight w:val="none"/>
                <w:lang w:val="en-US" w:eastAsia="zh-CN" w:bidi="ar-SA"/>
              </w:rPr>
              <w:t>必须是在市场上流通的，且具有“SC”食品生产许可证编号。</w:t>
            </w:r>
          </w:p>
          <w:p w14:paraId="375CF22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9A0F6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0000FF"/>
                <w:highlight w:val="none"/>
              </w:rPr>
            </w:pPr>
            <w:r>
              <w:rPr>
                <w:rFonts w:hint="eastAsia" w:ascii="宋体" w:hAnsi="宋体" w:cs="宋体"/>
                <w:color w:val="0000FF"/>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生产许可证和产品合格证；符合GB/T 20981-2021《面包质量通则》标准要求；包装应符合GB7718-2011《食品安全国家标准预包装食品标签通则》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53B0AA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u w:val="single"/>
              </w:rPr>
              <w:t>桂平市木乐镇第一初级中学、桂平市木乐镇第二初级中学、桂平市木乐镇中心幼儿园、 桂平市木圭镇第一初级中学、桂平市木圭镇第二初级中学、</w:t>
            </w:r>
            <w:r>
              <w:rPr>
                <w:rFonts w:hint="eastAsia"/>
                <w:color w:val="auto"/>
                <w:highlight w:val="none"/>
                <w:u w:val="single"/>
                <w:lang w:eastAsia="zh-CN"/>
              </w:rPr>
              <w:t>桂平市木圭镇中心幼儿园</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、送货地点：桂平市木乐镇第一初级中学、桂平市木乐镇第二初级中学、桂平市木乐镇中心幼儿园、 桂平市木圭镇第一初级中学、桂平市木圭镇第二初级中学、</w:t>
            </w:r>
            <w:r>
              <w:rPr>
                <w:rFonts w:hint="eastAsia" w:ascii="宋体" w:hAnsi="宋体" w:cs="宋体"/>
                <w:color w:val="auto"/>
                <w:highlight w:val="none"/>
                <w:lang w:val="en-US" w:eastAsia="zh-CN"/>
              </w:rPr>
              <w:t>桂平市木圭镇中心幼儿园</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4" w:name="_Hlk183448658"/>
            <w:r>
              <w:rPr>
                <w:rFonts w:hint="eastAsia" w:ascii="Times New Roman" w:hAnsi="Times New Roman" w:eastAsia="宋体" w:cs="Times New Roman"/>
                <w:b w:val="0"/>
                <w:bCs/>
                <w:color w:val="auto"/>
                <w:highlight w:val="none"/>
                <w:lang w:val="en-US" w:eastAsia="zh-CN"/>
              </w:rPr>
              <w:t>招标单位</w:t>
            </w:r>
            <w:bookmarkEnd w:id="54"/>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11"/>
              <w:rPr>
                <w:rFonts w:hint="eastAsia"/>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5" w:name="_Toc28361_WPSOffice_Level2"/>
      <w:r>
        <w:rPr>
          <w:rFonts w:hint="eastAsia" w:ascii="宋体" w:hAnsi="宋体" w:cs="宋体"/>
          <w:b/>
          <w:bCs/>
          <w:color w:val="auto"/>
          <w:kern w:val="0"/>
          <w:sz w:val="30"/>
          <w:szCs w:val="30"/>
          <w:highlight w:val="none"/>
        </w:rPr>
        <w:t>统计上大中小微型企业划分标准</w:t>
      </w:r>
      <w:bookmarkEnd w:id="55"/>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6" w:name="_Toc6362"/>
      <w:bookmarkStart w:id="57" w:name="_Toc532545044"/>
      <w:bookmarkStart w:id="58" w:name="_Toc24489"/>
      <w:bookmarkStart w:id="59" w:name="_Toc9063"/>
      <w:bookmarkStart w:id="60" w:name="_Toc496"/>
      <w:bookmarkStart w:id="61" w:name="_Toc28587"/>
      <w:bookmarkStart w:id="62" w:name="_Toc29172"/>
      <w:bookmarkStart w:id="63" w:name="_Toc8975"/>
      <w:bookmarkStart w:id="64" w:name="_Toc3325"/>
      <w:bookmarkStart w:id="65" w:name="_Toc26039"/>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6" w:name="_Toc20085"/>
      <w:bookmarkStart w:id="67" w:name="_Toc26044"/>
      <w:bookmarkStart w:id="68" w:name="_Toc20953"/>
      <w:bookmarkStart w:id="69" w:name="_Toc1536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0" w:name="_Toc32208"/>
      <w:bookmarkStart w:id="71" w:name="_Toc24714"/>
      <w:bookmarkStart w:id="72" w:name="_Toc1597"/>
      <w:bookmarkStart w:id="73" w:name="_Toc8769"/>
      <w:bookmarkStart w:id="74" w:name="_Toc11515"/>
      <w:bookmarkStart w:id="75" w:name="_Toc10039"/>
      <w:bookmarkStart w:id="76" w:name="_Toc29813"/>
      <w:bookmarkStart w:id="77" w:name="_Toc16388"/>
      <w:bookmarkStart w:id="78" w:name="_Toc4562"/>
      <w:bookmarkStart w:id="79" w:name="_Toc2980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0"/>
      <w:bookmarkEnd w:id="71"/>
      <w:bookmarkEnd w:id="72"/>
      <w:bookmarkEnd w:id="73"/>
      <w:bookmarkEnd w:id="74"/>
      <w:bookmarkEnd w:id="75"/>
      <w:bookmarkEnd w:id="76"/>
      <w:bookmarkEnd w:id="77"/>
      <w:bookmarkEnd w:id="78"/>
      <w:bookmarkEnd w:id="79"/>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0" w:name="_5"/>
            <w:bookmarkEnd w:id="80"/>
            <w:bookmarkStart w:id="81" w:name="_9.2"/>
            <w:bookmarkEnd w:id="81"/>
            <w:bookmarkStart w:id="82" w:name="_8.1"/>
            <w:bookmarkEnd w:id="82"/>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3"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3"/>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lang w:eastAsia="zh-CN"/>
              </w:rPr>
            </w:pPr>
            <w:bookmarkStart w:id="84"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4"/>
          </w:p>
          <w:p w14:paraId="4C57DEEB">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5" w:name="_13.2"/>
            <w:bookmarkEnd w:id="85"/>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keepNext w:val="0"/>
              <w:keepLines w:val="0"/>
              <w:pageBreakBefore w:val="0"/>
              <w:kinsoku/>
              <w:overflowPunct/>
              <w:topLinePunct w:val="0"/>
              <w:bidi w:val="0"/>
              <w:adjustRightInd/>
              <w:snapToGrid w:val="0"/>
              <w:spacing w:line="40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keepNext w:val="0"/>
              <w:keepLines w:val="0"/>
              <w:pageBreakBefore w:val="0"/>
              <w:kinsoku/>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6" w:name="_13.3"/>
            <w:bookmarkEnd w:id="86"/>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keepNext w:val="0"/>
              <w:keepLines w:val="0"/>
              <w:pageBreakBefore w:val="0"/>
              <w:kinsoku/>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keepNext w:val="0"/>
              <w:keepLines w:val="0"/>
              <w:pageBreakBefore w:val="0"/>
              <w:kinsoku/>
              <w:overflowPunct/>
              <w:topLinePunct w:val="0"/>
              <w:bidi w:val="0"/>
              <w:adjustRightInd/>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7" w:name="_13.4"/>
            <w:bookmarkEnd w:id="87"/>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4、项目实施人员一览表（格式自拟）；</w:t>
            </w:r>
          </w:p>
          <w:p w14:paraId="4791857E">
            <w:pPr>
              <w:keepNext w:val="0"/>
              <w:keepLines w:val="0"/>
              <w:pageBreakBefore w:val="0"/>
              <w:kinsoku/>
              <w:overflowPunct/>
              <w:topLinePunct w:val="0"/>
              <w:bidi w:val="0"/>
              <w:adjustRightInd/>
              <w:snapToGrid w:val="0"/>
              <w:spacing w:line="40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keepNext w:val="0"/>
              <w:keepLines w:val="0"/>
              <w:pageBreakBefore w:val="0"/>
              <w:kinsoku/>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keepNext w:val="0"/>
              <w:keepLines w:val="0"/>
              <w:pageBreakBefore w:val="0"/>
              <w:tabs>
                <w:tab w:val="left" w:pos="459"/>
              </w:tabs>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keepNext w:val="0"/>
              <w:keepLines w:val="0"/>
              <w:pageBreakBefore w:val="0"/>
              <w:tabs>
                <w:tab w:val="left" w:pos="459"/>
              </w:tabs>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keepNext w:val="0"/>
              <w:keepLines w:val="0"/>
              <w:pageBreakBefore w:val="0"/>
              <w:tabs>
                <w:tab w:val="left" w:pos="459"/>
              </w:tabs>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8" w:name="_16.2"/>
            <w:bookmarkEnd w:id="88"/>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9" w:name="_17.1"/>
            <w:bookmarkEnd w:id="89"/>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0" w:name="_18"/>
            <w:bookmarkEnd w:id="90"/>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keepNext w:val="0"/>
              <w:keepLines w:val="0"/>
              <w:pageBreakBefore w:val="0"/>
              <w:kinsoku/>
              <w:overflowPunct/>
              <w:topLinePunct w:val="0"/>
              <w:bidi w:val="0"/>
              <w:adjustRightInd/>
              <w:spacing w:line="400" w:lineRule="exac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1" w:name="_21.1"/>
            <w:bookmarkEnd w:id="91"/>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2" w:name="_23"/>
            <w:bookmarkEnd w:id="92"/>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3" w:name="_25.3"/>
            <w:bookmarkEnd w:id="93"/>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keepNext w:val="0"/>
              <w:keepLines w:val="0"/>
              <w:pageBreakBefore w:val="0"/>
              <w:widowControl/>
              <w:kinsoku/>
              <w:overflowPunct/>
              <w:topLinePunct w:val="0"/>
              <w:bidi w:val="0"/>
              <w:adjustRightInd/>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keepNext w:val="0"/>
              <w:keepLines w:val="0"/>
              <w:pageBreakBefore w:val="0"/>
              <w:widowControl/>
              <w:kinsoku/>
              <w:overflowPunct/>
              <w:topLinePunct w:val="0"/>
              <w:bidi w:val="0"/>
              <w:adjustRightInd/>
              <w:spacing w:line="400" w:lineRule="exact"/>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keepNext w:val="0"/>
              <w:keepLines w:val="0"/>
              <w:pageBreakBefore w:val="0"/>
              <w:kinsoku/>
              <w:overflowPunct/>
              <w:topLinePunct w:val="0"/>
              <w:bidi w:val="0"/>
              <w:adjustRightInd/>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4" w:name="_26"/>
            <w:bookmarkEnd w:id="94"/>
            <w:bookmarkStart w:id="95" w:name="_28.3"/>
            <w:bookmarkEnd w:id="95"/>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6" w:name="_29.2.2（2）"/>
            <w:bookmarkEnd w:id="96"/>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0"/>
              <w:keepNext w:val="0"/>
              <w:keepLines w:val="0"/>
              <w:pageBreakBefore w:val="0"/>
              <w:kinsoku/>
              <w:overflowPunct/>
              <w:topLinePunct w:val="0"/>
              <w:bidi w:val="0"/>
              <w:adjustRightInd/>
              <w:spacing w:line="400" w:lineRule="exact"/>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0"/>
              <w:keepNext w:val="0"/>
              <w:keepLines w:val="0"/>
              <w:pageBreakBefore w:val="0"/>
              <w:kinsoku/>
              <w:overflowPunct/>
              <w:topLinePunct w:val="0"/>
              <w:bidi w:val="0"/>
              <w:adjustRightInd/>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7" w:name="_39.1"/>
            <w:bookmarkEnd w:id="97"/>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keepNext w:val="0"/>
              <w:keepLines w:val="0"/>
              <w:pageBreakBefore w:val="0"/>
              <w:kinsoku/>
              <w:overflowPunct/>
              <w:topLinePunct w:val="0"/>
              <w:bidi w:val="0"/>
              <w:adjustRightInd/>
              <w:spacing w:line="400" w:lineRule="exact"/>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8" w:name="_40.1"/>
            <w:bookmarkEnd w:id="98"/>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（1）名称：桂平市木乐镇第一初级中学</w:t>
            </w:r>
          </w:p>
          <w:p w14:paraId="0ECF3833">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cs="宋体"/>
                <w:color w:val="auto"/>
                <w:szCs w:val="21"/>
                <w:highlight w:val="none"/>
                <w:lang w:val="en-US" w:eastAsia="zh-CN"/>
              </w:rPr>
              <w:t>0775-3666411</w:t>
            </w:r>
            <w:r>
              <w:rPr>
                <w:rFonts w:hint="eastAsia" w:ascii="宋体" w:hAnsi="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通讯地址：桂平市木乐镇一中路</w:t>
            </w:r>
          </w:p>
          <w:p w14:paraId="73478ECA">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（2）名称：广西鑫磐工程项目管理有限责任公司</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w:t>
            </w:r>
            <w:r>
              <w:rPr>
                <w:rFonts w:hint="eastAsia" w:ascii="宋体" w:hAnsi="宋体" w:cs="宋体"/>
                <w:color w:val="auto"/>
                <w:szCs w:val="21"/>
                <w:highlight w:val="none"/>
                <w:lang w:val="en-US" w:eastAsia="zh-CN"/>
              </w:rPr>
              <w:t xml:space="preserve">4556706 </w:t>
            </w:r>
          </w:p>
          <w:p w14:paraId="576024B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w:t>
            </w:r>
            <w:r>
              <w:rPr>
                <w:rFonts w:hint="eastAsia" w:ascii="宋体" w:hAnsi="宋体" w:cs="宋体"/>
                <w:bCs/>
                <w:color w:val="auto"/>
                <w:szCs w:val="21"/>
                <w:highlight w:val="none"/>
                <w:lang w:eastAsia="zh-CN"/>
              </w:rPr>
              <w:t>贵港市港北区荷城路1108号（荷城世家）77幢12号商铺（荷城世家北面商铺中段）</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keepNext w:val="0"/>
              <w:keepLines w:val="0"/>
              <w:pageBreakBefore w:val="0"/>
              <w:shd w:val="clear" w:color="auto" w:fill="auto"/>
              <w:kinsoku/>
              <w:wordWrap w:val="0"/>
              <w:overflowPunct/>
              <w:topLinePunct w:val="0"/>
              <w:bidi w:val="0"/>
              <w:adjustRightInd/>
              <w:spacing w:line="40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9" w:name="_41"/>
            <w:bookmarkEnd w:id="99"/>
            <w:bookmarkStart w:id="100" w:name="_42"/>
            <w:bookmarkEnd w:id="100"/>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0F9736A0">
            <w:pPr>
              <w:pStyle w:val="16"/>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2C3FFF5D">
            <w:pPr>
              <w:pStyle w:val="16"/>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287526">
            <w:pPr>
              <w:keepNext w:val="0"/>
              <w:keepLines w:val="0"/>
              <w:widowControl/>
              <w:suppressLineNumbers w:val="0"/>
              <w:jc w:val="left"/>
              <w:rPr>
                <w:highlight w:val="none"/>
              </w:rPr>
            </w:pPr>
            <w:r>
              <w:rPr>
                <w:rFonts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以本项目某个学校（</w:t>
            </w:r>
            <w:r>
              <w:rPr>
                <w:rFonts w:hint="default"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中标金额（某个学校预算价</w:t>
            </w:r>
            <w:r>
              <w:rPr>
                <w:rFonts w:ascii="Arial" w:hAnsi="Arial" w:eastAsia="宋体" w:cs="Arial"/>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投标折扣率）/□采购预算/□暂定中标金额/□其他）为计费额，招标代理服务费参照国家发展计划委员会计价格[2002]1980号《招标代理服务费管理暂行办法》收费标准及按发改价格〔2015〕299号文规定的收费计取的收费计算标准（服务类）采用差额定率累进法计</w:t>
            </w:r>
            <w:r>
              <w:rPr>
                <w:rFonts w:hint="eastAsia" w:ascii="宋体" w:hAnsi="宋体" w:cs="宋体"/>
                <w:color w:val="000000"/>
                <w:kern w:val="0"/>
                <w:sz w:val="20"/>
                <w:szCs w:val="20"/>
                <w:highlight w:val="none"/>
                <w:lang w:val="en-US" w:eastAsia="zh-CN" w:bidi="ar"/>
              </w:rPr>
              <w:t>取</w:t>
            </w:r>
            <w:r>
              <w:rPr>
                <w:rFonts w:hint="eastAsia" w:ascii="宋体" w:hAnsi="宋体" w:eastAsia="宋体" w:cs="宋体"/>
                <w:color w:val="000000"/>
                <w:kern w:val="0"/>
                <w:sz w:val="20"/>
                <w:szCs w:val="20"/>
                <w:highlight w:val="none"/>
                <w:lang w:val="en-US" w:eastAsia="zh-CN" w:bidi="ar"/>
              </w:rPr>
              <w:t>，采购代理收费以（</w:t>
            </w:r>
            <w:r>
              <w:rPr>
                <w:rFonts w:hint="default"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 xml:space="preserve">收费基准价格/□收费基准价格下浮%/□收费基准价格上浮%）收取。 </w:t>
            </w:r>
          </w:p>
          <w:p w14:paraId="570D277B">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采购代理收费：例如某学校预算价450万元，投标折扣率为 </w:t>
            </w:r>
            <w:r>
              <w:rPr>
                <w:rFonts w:hint="default" w:ascii="Times New Roman" w:hAnsi="Times New Roman" w:eastAsia="宋体" w:cs="Times New Roman"/>
                <w:color w:val="000000"/>
                <w:kern w:val="0"/>
                <w:sz w:val="20"/>
                <w:szCs w:val="20"/>
                <w:highlight w:val="none"/>
                <w:lang w:val="en-US" w:eastAsia="zh-CN" w:bidi="ar"/>
              </w:rPr>
              <w:t>98%</w:t>
            </w:r>
            <w:r>
              <w:rPr>
                <w:rFonts w:hint="eastAsia" w:ascii="宋体" w:hAnsi="宋体" w:eastAsia="宋体" w:cs="宋体"/>
                <w:color w:val="000000"/>
                <w:kern w:val="0"/>
                <w:sz w:val="20"/>
                <w:szCs w:val="20"/>
                <w:highlight w:val="none"/>
                <w:lang w:val="en-US" w:eastAsia="zh-CN" w:bidi="ar"/>
              </w:rPr>
              <w:t xml:space="preserve">， </w:t>
            </w:r>
          </w:p>
          <w:p w14:paraId="79C5FCB2">
            <w:pPr>
              <w:keepNext w:val="0"/>
              <w:keepLines w:val="0"/>
              <w:widowControl/>
              <w:suppressLineNumbers w:val="0"/>
              <w:jc w:val="left"/>
              <w:rPr>
                <w:rFonts w:hint="default"/>
                <w:color w:val="auto"/>
                <w:highlight w:val="none"/>
                <w:lang w:val="en-US" w:eastAsia="zh-CN"/>
              </w:rPr>
            </w:pPr>
            <w:r>
              <w:rPr>
                <w:rFonts w:hint="eastAsia" w:ascii="宋体" w:hAnsi="宋体" w:eastAsia="宋体" w:cs="宋体"/>
                <w:color w:val="000000"/>
                <w:kern w:val="0"/>
                <w:sz w:val="20"/>
                <w:szCs w:val="20"/>
                <w:highlight w:val="none"/>
                <w:lang w:val="en-US" w:eastAsia="zh-CN" w:bidi="ar"/>
              </w:rPr>
              <w:t>该校</w:t>
            </w:r>
            <w:r>
              <w:rPr>
                <w:rFonts w:hint="eastAsia" w:ascii="宋体" w:hAnsi="宋体" w:cs="宋体"/>
                <w:color w:val="000000"/>
                <w:kern w:val="0"/>
                <w:sz w:val="20"/>
                <w:szCs w:val="20"/>
                <w:highlight w:val="none"/>
                <w:lang w:val="en-US" w:eastAsia="zh-CN" w:bidi="ar"/>
              </w:rPr>
              <w:t>的</w:t>
            </w:r>
            <w:r>
              <w:rPr>
                <w:rFonts w:hint="eastAsia" w:ascii="宋体" w:hAnsi="宋体" w:eastAsia="宋体" w:cs="宋体"/>
                <w:color w:val="000000"/>
                <w:kern w:val="0"/>
                <w:sz w:val="20"/>
                <w:szCs w:val="20"/>
                <w:highlight w:val="none"/>
                <w:lang w:val="en-US" w:eastAsia="zh-CN" w:bidi="ar"/>
              </w:rPr>
              <w:t>中标服务费为人民币</w:t>
            </w:r>
            <w:r>
              <w:rPr>
                <w:rFonts w:hint="eastAsia" w:ascii="宋体" w:hAnsi="宋体" w:eastAsia="宋体" w:cs="宋体"/>
                <w:color w:val="000000"/>
                <w:kern w:val="0"/>
                <w:sz w:val="20"/>
                <w:szCs w:val="20"/>
                <w:highlight w:val="none"/>
                <w:lang w:val="en-US" w:eastAsia="zh-CN" w:bidi="ar"/>
              </w:rPr>
              <w:fldChar w:fldCharType="begin"/>
            </w:r>
            <w:r>
              <w:rPr>
                <w:rFonts w:hint="eastAsia" w:ascii="宋体" w:hAnsi="宋体" w:eastAsia="宋体" w:cs="宋体"/>
                <w:color w:val="000000"/>
                <w:kern w:val="0"/>
                <w:sz w:val="20"/>
                <w:szCs w:val="20"/>
                <w:highlight w:val="none"/>
                <w:lang w:val="en-US" w:eastAsia="zh-CN" w:bidi="ar"/>
              </w:rPr>
              <w:instrText xml:space="preserve"> = 42280 \* CHINESENUM2 \* MERGEFORMAT </w:instrText>
            </w:r>
            <w:r>
              <w:rPr>
                <w:rFonts w:hint="eastAsia" w:ascii="宋体" w:hAnsi="宋体" w:eastAsia="宋体" w:cs="宋体"/>
                <w:color w:val="000000"/>
                <w:kern w:val="0"/>
                <w:sz w:val="20"/>
                <w:szCs w:val="20"/>
                <w:highlight w:val="none"/>
                <w:lang w:val="en-US" w:eastAsia="zh-CN" w:bidi="ar"/>
              </w:rPr>
              <w:fldChar w:fldCharType="separate"/>
            </w:r>
            <w:r>
              <w:rPr>
                <w:highlight w:val="none"/>
              </w:rPr>
              <w:t>肆万贰仟贰佰捌拾</w:t>
            </w:r>
            <w:r>
              <w:rPr>
                <w:rFonts w:hint="eastAsia" w:ascii="宋体" w:hAnsi="宋体" w:eastAsia="宋体" w:cs="宋体"/>
                <w:color w:val="000000"/>
                <w:kern w:val="0"/>
                <w:sz w:val="20"/>
                <w:szCs w:val="20"/>
                <w:highlight w:val="none"/>
                <w:lang w:val="en-US" w:eastAsia="zh-CN" w:bidi="ar"/>
              </w:rPr>
              <w:fldChar w:fldCharType="end"/>
            </w:r>
            <w:r>
              <w:rPr>
                <w:rFonts w:hint="eastAsia" w:ascii="宋体" w:hAnsi="宋体" w:eastAsia="宋体" w:cs="宋体"/>
                <w:color w:val="000000"/>
                <w:kern w:val="0"/>
                <w:sz w:val="20"/>
                <w:szCs w:val="20"/>
                <w:highlight w:val="none"/>
                <w:lang w:val="en-US" w:eastAsia="zh-CN" w:bidi="ar"/>
              </w:rPr>
              <w:t>元（</w:t>
            </w:r>
            <w:r>
              <w:rPr>
                <w:rFonts w:hint="default" w:ascii="Times New Roman" w:hAnsi="Times New Roman" w:eastAsia="宋体" w:cs="Times New Roman"/>
                <w:color w:val="000000"/>
                <w:kern w:val="0"/>
                <w:sz w:val="20"/>
                <w:szCs w:val="20"/>
                <w:highlight w:val="none"/>
                <w:lang w:val="en-US" w:eastAsia="zh-CN" w:bidi="ar"/>
              </w:rPr>
              <w:t>¥</w:t>
            </w:r>
            <w:r>
              <w:rPr>
                <w:rFonts w:hint="eastAsia" w:ascii="Times New Roman" w:hAnsi="Times New Roman" w:eastAsia="宋体" w:cs="Times New Roman"/>
                <w:color w:val="000000"/>
                <w:kern w:val="0"/>
                <w:sz w:val="20"/>
                <w:szCs w:val="20"/>
                <w:highlight w:val="none"/>
                <w:lang w:val="en-US" w:eastAsia="zh-CN" w:bidi="ar"/>
              </w:rPr>
              <w:t>42280.00</w:t>
            </w:r>
            <w:r>
              <w:rPr>
                <w:rFonts w:hint="default" w:ascii="Times New Roman" w:hAnsi="Times New Roman" w:eastAsia="宋体" w:cs="Times New Roman"/>
                <w:color w:val="000000"/>
                <w:kern w:val="0"/>
                <w:sz w:val="20"/>
                <w:szCs w:val="20"/>
                <w:highlight w:val="none"/>
                <w:lang w:val="en-US" w:eastAsia="zh-CN" w:bidi="ar"/>
              </w:rPr>
              <w:t xml:space="preserve"> </w:t>
            </w:r>
            <w:r>
              <w:rPr>
                <w:rFonts w:hint="eastAsia" w:ascii="宋体" w:hAnsi="宋体" w:eastAsia="宋体" w:cs="宋体"/>
                <w:color w:val="000000"/>
                <w:kern w:val="0"/>
                <w:sz w:val="20"/>
                <w:szCs w:val="20"/>
                <w:highlight w:val="none"/>
                <w:lang w:val="en-US" w:eastAsia="zh-CN" w:bidi="ar"/>
              </w:rPr>
              <w:t>元），由中标人在领取中标通知书前一次性支付给采购代理机构。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26D885">
            <w:pPr>
              <w:pStyle w:val="16"/>
              <w:keepNext w:val="0"/>
              <w:keepLines w:val="0"/>
              <w:pageBreakBefore w:val="0"/>
              <w:kinsoku/>
              <w:overflowPunct/>
              <w:topLinePunct w:val="0"/>
              <w:bidi w:val="0"/>
              <w:adjustRightInd/>
              <w:snapToGrid w:val="0"/>
              <w:spacing w:line="400" w:lineRule="exact"/>
              <w:rPr>
                <w:rFonts w:hint="eastAsia" w:hAnsi="宋体" w:cs="宋体"/>
                <w:color w:val="auto"/>
                <w:sz w:val="21"/>
                <w:highlight w:val="none"/>
              </w:rPr>
            </w:pPr>
            <w:r>
              <w:rPr>
                <w:rFonts w:hint="eastAsia" w:hAnsi="宋体" w:cs="宋体"/>
                <w:color w:val="auto"/>
                <w:sz w:val="21"/>
                <w:highlight w:val="none"/>
              </w:rPr>
              <w:t>开户名称：广西鑫磐工程项目管理有限责任公司贵港分公司</w:t>
            </w:r>
          </w:p>
          <w:p w14:paraId="0CE23F98">
            <w:pPr>
              <w:pStyle w:val="16"/>
              <w:keepNext w:val="0"/>
              <w:keepLines w:val="0"/>
              <w:pageBreakBefore w:val="0"/>
              <w:kinsoku/>
              <w:overflowPunct/>
              <w:topLinePunct w:val="0"/>
              <w:bidi w:val="0"/>
              <w:adjustRightInd/>
              <w:snapToGrid w:val="0"/>
              <w:spacing w:line="400" w:lineRule="exact"/>
              <w:rPr>
                <w:rFonts w:hint="eastAsia" w:hAnsi="宋体" w:cs="宋体"/>
                <w:color w:val="auto"/>
                <w:sz w:val="21"/>
                <w:highlight w:val="none"/>
              </w:rPr>
            </w:pPr>
            <w:r>
              <w:rPr>
                <w:rFonts w:hint="eastAsia" w:hAnsi="宋体" w:cs="宋体"/>
                <w:color w:val="auto"/>
                <w:sz w:val="21"/>
                <w:highlight w:val="none"/>
              </w:rPr>
              <w:t xml:space="preserve">开户银行：广西北部湾银行贵港分行 </w:t>
            </w:r>
          </w:p>
          <w:p w14:paraId="1047DD12">
            <w:pPr>
              <w:pStyle w:val="16"/>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eastAsia="zh-CN"/>
              </w:rPr>
            </w:pPr>
            <w:r>
              <w:rPr>
                <w:rFonts w:hint="eastAsia" w:hAnsi="宋体" w:cs="宋体"/>
                <w:color w:val="auto"/>
                <w:sz w:val="21"/>
                <w:highlight w:val="none"/>
              </w:rPr>
              <w:t>帐 号：800085129600014</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keepNext w:val="0"/>
              <w:keepLines w:val="0"/>
              <w:pageBreakBefore w:val="0"/>
              <w:kinsoku/>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keepNext w:val="0"/>
              <w:keepLines w:val="0"/>
              <w:pageBreakBefore w:val="0"/>
              <w:kinsoku/>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0"/>
              <w:keepNext w:val="0"/>
              <w:keepLines w:val="0"/>
              <w:pageBreakBefore w:val="0"/>
              <w:tabs>
                <w:tab w:val="center" w:pos="4153"/>
                <w:tab w:val="right" w:pos="8306"/>
              </w:tabs>
              <w:kinsoku/>
              <w:overflowPunct/>
              <w:topLinePunct w:val="0"/>
              <w:bidi w:val="0"/>
              <w:adjustRightInd/>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0"/>
              <w:keepNext w:val="0"/>
              <w:keepLines w:val="0"/>
              <w:pageBreakBefore w:val="0"/>
              <w:kinsoku/>
              <w:overflowPunct/>
              <w:topLinePunct w:val="0"/>
              <w:bidi w:val="0"/>
              <w:adjustRightInd/>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keepNext w:val="0"/>
              <w:keepLines w:val="0"/>
              <w:pageBreakBefore w:val="0"/>
              <w:kinsoku/>
              <w:overflowPunct/>
              <w:topLinePunct w:val="0"/>
              <w:bidi w:val="0"/>
              <w:adjustRightInd/>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keepNext w:val="0"/>
              <w:keepLines w:val="0"/>
              <w:pageBreakBefore w:val="0"/>
              <w:widowControl/>
              <w:kinsoku/>
              <w:overflowPunct/>
              <w:topLinePunct w:val="0"/>
              <w:bidi w:val="0"/>
              <w:adjustRightInd/>
              <w:snapToGrid w:val="0"/>
              <w:spacing w:line="40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keepNext w:val="0"/>
              <w:keepLines w:val="0"/>
              <w:pageBreakBefore w:val="0"/>
              <w:widowControl/>
              <w:kinsoku/>
              <w:overflowPunct/>
              <w:topLinePunct w:val="0"/>
              <w:bidi w:val="0"/>
              <w:adjustRightInd/>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keepNext w:val="0"/>
              <w:keepLines w:val="0"/>
              <w:pageBreakBefore w:val="0"/>
              <w:widowControl/>
              <w:kinsoku/>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keepNext w:val="0"/>
              <w:keepLines w:val="0"/>
              <w:pageBreakBefore w:val="0"/>
              <w:widowControl/>
              <w:kinsoku/>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keepNext w:val="0"/>
              <w:keepLines w:val="0"/>
              <w:pageBreakBefore w:val="0"/>
              <w:kinsoku/>
              <w:overflowPunct/>
              <w:topLinePunct w:val="0"/>
              <w:bidi w:val="0"/>
              <w:adjustRightInd/>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keepNext w:val="0"/>
              <w:keepLines w:val="0"/>
              <w:pageBreakBefore w:val="0"/>
              <w:kinsoku/>
              <w:overflowPunct/>
              <w:topLinePunct w:val="0"/>
              <w:bidi w:val="0"/>
              <w:adjustRightInd/>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3"/>
        <w:jc w:val="center"/>
        <w:rPr>
          <w:rFonts w:cs="Times New Roman"/>
          <w:color w:val="auto"/>
          <w:highlight w:val="none"/>
        </w:rPr>
      </w:pPr>
      <w:bookmarkStart w:id="101" w:name="_Toc30841"/>
      <w:bookmarkStart w:id="102" w:name="_Toc11336"/>
      <w:bookmarkStart w:id="103" w:name="_Toc25117"/>
      <w:bookmarkStart w:id="104" w:name="_Toc453"/>
      <w:bookmarkStart w:id="105" w:name="_Toc8807"/>
      <w:bookmarkStart w:id="106" w:name="_Toc7784"/>
      <w:bookmarkStart w:id="107" w:name="_Toc29311"/>
      <w:bookmarkStart w:id="108" w:name="_Toc24313"/>
      <w:bookmarkStart w:id="109" w:name="_Toc13813"/>
      <w:bookmarkStart w:id="110" w:name="_Toc1030"/>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1"/>
      <w:bookmarkEnd w:id="102"/>
      <w:bookmarkEnd w:id="103"/>
      <w:bookmarkEnd w:id="104"/>
      <w:bookmarkEnd w:id="105"/>
      <w:bookmarkEnd w:id="106"/>
      <w:bookmarkEnd w:id="107"/>
      <w:bookmarkEnd w:id="108"/>
      <w:bookmarkEnd w:id="109"/>
      <w:bookmarkEnd w:id="110"/>
    </w:p>
    <w:p w14:paraId="19D5F730">
      <w:pPr>
        <w:pStyle w:val="4"/>
        <w:keepNext w:val="0"/>
        <w:keepLines w:val="0"/>
        <w:spacing w:line="400" w:lineRule="exact"/>
        <w:jc w:val="center"/>
        <w:rPr>
          <w:rFonts w:ascii="Times New Roman" w:hAnsi="Times New Roman" w:eastAsia="宋体" w:cs="Times New Roman"/>
          <w:color w:val="auto"/>
          <w:highlight w:val="none"/>
        </w:rPr>
      </w:pPr>
      <w:bookmarkStart w:id="111" w:name="_Toc19454"/>
      <w:bookmarkStart w:id="112" w:name="_Toc21176"/>
      <w:bookmarkStart w:id="113" w:name="_Toc30794"/>
      <w:bookmarkStart w:id="114" w:name="_Toc18594"/>
      <w:bookmarkStart w:id="115" w:name="_Toc15523"/>
      <w:bookmarkStart w:id="116" w:name="_Toc6594"/>
      <w:bookmarkStart w:id="117" w:name="_Toc28360"/>
      <w:bookmarkStart w:id="118" w:name="_Toc3607"/>
      <w:bookmarkStart w:id="119" w:name="_Toc22266"/>
      <w:bookmarkStart w:id="120" w:name="_Toc3522"/>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1"/>
      <w:bookmarkEnd w:id="112"/>
      <w:bookmarkEnd w:id="113"/>
      <w:bookmarkEnd w:id="114"/>
      <w:bookmarkEnd w:id="115"/>
      <w:bookmarkEnd w:id="116"/>
      <w:bookmarkEnd w:id="117"/>
      <w:bookmarkEnd w:id="118"/>
      <w:bookmarkEnd w:id="119"/>
      <w:bookmarkEnd w:id="120"/>
    </w:p>
    <w:p w14:paraId="0F8F6428">
      <w:pPr>
        <w:rPr>
          <w:rFonts w:hint="eastAsia"/>
          <w:color w:val="auto"/>
          <w:highlight w:val="none"/>
        </w:rPr>
      </w:pPr>
      <w:bookmarkStart w:id="121" w:name="_Toc254970668"/>
      <w:bookmarkStart w:id="122" w:name="_Toc254970527"/>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1"/>
      <w:bookmarkEnd w:id="122"/>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3" w:name="_Toc254970528"/>
      <w:bookmarkStart w:id="124" w:name="_Toc254970669"/>
      <w:r>
        <w:rPr>
          <w:rFonts w:hint="eastAsia" w:ascii="黑体" w:hAnsi="黑体" w:eastAsia="黑体" w:cs="Times New Roman"/>
          <w:color w:val="auto"/>
          <w:sz w:val="24"/>
          <w:highlight w:val="none"/>
        </w:rPr>
        <w:t>2.定义</w:t>
      </w:r>
      <w:bookmarkEnd w:id="123"/>
      <w:bookmarkEnd w:id="124"/>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5" w:name="_Toc254970529"/>
      <w:bookmarkStart w:id="126" w:name="_Toc254970670"/>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5"/>
      <w:bookmarkEnd w:id="126"/>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7" w:name="_Toc254970530"/>
      <w:bookmarkStart w:id="128" w:name="_Toc254970671"/>
      <w:r>
        <w:rPr>
          <w:rFonts w:hint="eastAsia" w:ascii="黑体" w:hAnsi="黑体" w:eastAsia="黑体" w:cs="Times New Roman"/>
          <w:color w:val="auto"/>
          <w:sz w:val="24"/>
          <w:highlight w:val="none"/>
        </w:rPr>
        <w:t>4.投标委托</w:t>
      </w:r>
      <w:bookmarkEnd w:id="127"/>
      <w:bookmarkEnd w:id="128"/>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29" w:name="_5.投标费用"/>
      <w:bookmarkEnd w:id="129"/>
      <w:bookmarkStart w:id="130" w:name="_Toc254970531"/>
      <w:bookmarkStart w:id="131" w:name="_Toc254970672"/>
      <w:r>
        <w:rPr>
          <w:rFonts w:hint="eastAsia" w:ascii="黑体" w:hAnsi="黑体" w:eastAsia="黑体" w:cs="Times New Roman"/>
          <w:color w:val="auto"/>
          <w:sz w:val="24"/>
          <w:highlight w:val="none"/>
        </w:rPr>
        <w:t>5.投标费用</w:t>
      </w:r>
      <w:bookmarkEnd w:id="130"/>
      <w:bookmarkEnd w:id="131"/>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2" w:name="_Toc254970532"/>
      <w:bookmarkStart w:id="133" w:name="_Toc254970673"/>
      <w:r>
        <w:rPr>
          <w:rFonts w:hint="eastAsia" w:ascii="黑体" w:hAnsi="黑体" w:eastAsia="黑体" w:cs="Times New Roman"/>
          <w:color w:val="auto"/>
          <w:sz w:val="24"/>
          <w:highlight w:val="none"/>
        </w:rPr>
        <w:t>8.特别说明</w:t>
      </w:r>
      <w:bookmarkEnd w:id="132"/>
      <w:bookmarkEnd w:id="133"/>
      <w:bookmarkStart w:id="134" w:name="_8.1提供相同品牌产品且通过资格审查、符合性审查的不同投标人参加同一合"/>
      <w:bookmarkEnd w:id="134"/>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4"/>
        <w:keepNext w:val="0"/>
        <w:keepLines w:val="0"/>
        <w:spacing w:line="400" w:lineRule="exact"/>
        <w:jc w:val="center"/>
        <w:rPr>
          <w:rFonts w:hint="eastAsia" w:ascii="Times New Roman" w:hAnsi="Times New Roman" w:eastAsia="宋体" w:cs="Times New Roman"/>
          <w:color w:val="auto"/>
          <w:highlight w:val="none"/>
        </w:rPr>
      </w:pPr>
      <w:bookmarkStart w:id="135" w:name="_Toc128"/>
      <w:bookmarkStart w:id="136" w:name="_Toc18580"/>
      <w:bookmarkStart w:id="137" w:name="_Toc25104"/>
      <w:bookmarkStart w:id="138" w:name="_Toc22911"/>
      <w:bookmarkStart w:id="139" w:name="_Toc17855"/>
      <w:bookmarkStart w:id="140" w:name="_Toc11054"/>
      <w:bookmarkStart w:id="141" w:name="_Toc254970534"/>
      <w:bookmarkStart w:id="142" w:name="_Toc10320"/>
      <w:bookmarkStart w:id="143" w:name="_Toc9988"/>
      <w:bookmarkStart w:id="144" w:name="_Toc254970675"/>
      <w:bookmarkStart w:id="145" w:name="_Toc6920"/>
      <w:bookmarkStart w:id="146" w:name="_Toc19016"/>
      <w:r>
        <w:rPr>
          <w:rFonts w:hint="eastAsia" w:ascii="Times New Roman" w:hAnsi="Times New Roman" w:eastAsia="宋体" w:cs="Times New Roman"/>
          <w:color w:val="auto"/>
          <w:highlight w:val="none"/>
        </w:rPr>
        <w:t>二、招标文件</w:t>
      </w:r>
      <w:bookmarkEnd w:id="135"/>
      <w:bookmarkEnd w:id="136"/>
      <w:bookmarkEnd w:id="137"/>
      <w:bookmarkEnd w:id="138"/>
      <w:bookmarkEnd w:id="139"/>
      <w:bookmarkEnd w:id="140"/>
      <w:bookmarkEnd w:id="141"/>
      <w:bookmarkEnd w:id="142"/>
      <w:bookmarkEnd w:id="143"/>
      <w:bookmarkEnd w:id="144"/>
      <w:bookmarkEnd w:id="145"/>
      <w:bookmarkEnd w:id="146"/>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7"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7"/>
    <w:p w14:paraId="1DBB9CDD">
      <w:pPr>
        <w:pStyle w:val="4"/>
        <w:keepNext w:val="0"/>
        <w:keepLines w:val="0"/>
        <w:spacing w:line="400" w:lineRule="exact"/>
        <w:jc w:val="center"/>
        <w:rPr>
          <w:rFonts w:ascii="Times New Roman" w:hAnsi="Times New Roman" w:eastAsia="宋体" w:cs="Times New Roman"/>
          <w:color w:val="auto"/>
          <w:highlight w:val="none"/>
        </w:rPr>
      </w:pPr>
      <w:bookmarkStart w:id="148" w:name="_Toc2635"/>
      <w:bookmarkStart w:id="149" w:name="_Toc28419"/>
      <w:bookmarkStart w:id="150" w:name="_Toc16623"/>
      <w:bookmarkStart w:id="151" w:name="_Toc32499"/>
      <w:bookmarkStart w:id="152" w:name="_Toc254970676"/>
      <w:bookmarkStart w:id="153" w:name="_Toc32154"/>
      <w:bookmarkStart w:id="154" w:name="_Toc20"/>
      <w:bookmarkStart w:id="155" w:name="_Toc12080"/>
      <w:bookmarkStart w:id="156" w:name="_Toc27367"/>
      <w:bookmarkStart w:id="157" w:name="_Toc254970535"/>
      <w:bookmarkStart w:id="158" w:name="_Toc24872"/>
      <w:bookmarkStart w:id="159" w:name="_Toc7841"/>
      <w:r>
        <w:rPr>
          <w:rFonts w:hint="eastAsia" w:ascii="Times New Roman" w:hAnsi="Times New Roman" w:eastAsia="宋体" w:cs="Times New Roman"/>
          <w:color w:val="auto"/>
          <w:highlight w:val="none"/>
        </w:rPr>
        <w:t>三、投标文件的编制</w:t>
      </w:r>
      <w:bookmarkEnd w:id="148"/>
      <w:bookmarkEnd w:id="149"/>
      <w:bookmarkEnd w:id="150"/>
      <w:bookmarkEnd w:id="151"/>
      <w:bookmarkEnd w:id="152"/>
      <w:bookmarkEnd w:id="153"/>
      <w:bookmarkEnd w:id="154"/>
      <w:bookmarkEnd w:id="155"/>
      <w:bookmarkEnd w:id="156"/>
      <w:bookmarkEnd w:id="157"/>
      <w:bookmarkEnd w:id="158"/>
      <w:bookmarkEnd w:id="159"/>
    </w:p>
    <w:p w14:paraId="04BC4587">
      <w:pPr>
        <w:spacing w:line="360" w:lineRule="auto"/>
        <w:ind w:firstLine="480" w:firstLineChars="200"/>
        <w:rPr>
          <w:rFonts w:ascii="黑体" w:hAnsi="黑体" w:eastAsia="黑体" w:cs="Times New Roman"/>
          <w:color w:val="auto"/>
          <w:sz w:val="24"/>
          <w:highlight w:val="none"/>
        </w:rPr>
      </w:pPr>
      <w:bookmarkStart w:id="160" w:name="_Toc254970677"/>
      <w:bookmarkStart w:id="161" w:name="_Toc254970536"/>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0"/>
      <w:bookmarkEnd w:id="161"/>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2" w:name="_13.1报价文件:_具体材料见“投标人须知前附表”。"/>
      <w:bookmarkEnd w:id="162"/>
      <w:bookmarkStart w:id="163" w:name="_13.2资格证明文件：具体材料见“投标人须知前附表”。"/>
      <w:bookmarkEnd w:id="163"/>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4" w:name="_13.3商务文件:_具体材料见“投标人须知前附表”。"/>
      <w:bookmarkEnd w:id="164"/>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5" w:name="_13.4技术文件：具体材料见“投标人须知前附表”。"/>
      <w:bookmarkEnd w:id="165"/>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6" w:name="_13.5投标文件电子版：具体材料见“投标人须知前附表”。"/>
      <w:bookmarkEnd w:id="166"/>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7" w:name="_Toc254970537"/>
      <w:bookmarkStart w:id="168" w:name="_Toc254970678"/>
      <w:r>
        <w:rPr>
          <w:rFonts w:hint="eastAsia" w:ascii="黑体" w:hAnsi="黑体" w:eastAsia="黑体" w:cs="Times New Roman"/>
          <w:color w:val="auto"/>
          <w:sz w:val="24"/>
          <w:highlight w:val="none"/>
        </w:rPr>
        <w:t>14.投标文件的语言及计量</w:t>
      </w:r>
      <w:bookmarkEnd w:id="167"/>
      <w:bookmarkEnd w:id="168"/>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69" w:name="_Toc254970679"/>
      <w:bookmarkStart w:id="170" w:name="_Toc254970538"/>
      <w:r>
        <w:rPr>
          <w:rFonts w:hint="eastAsia" w:ascii="黑体" w:hAnsi="黑体" w:eastAsia="黑体" w:cs="Times New Roman"/>
          <w:color w:val="auto"/>
          <w:sz w:val="24"/>
          <w:highlight w:val="none"/>
        </w:rPr>
        <w:t>16.投标报价</w:t>
      </w:r>
      <w:bookmarkEnd w:id="169"/>
      <w:bookmarkEnd w:id="170"/>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1" w:name="_16.2投标报价具体定义见投标人须知前附表。"/>
      <w:bookmarkEnd w:id="171"/>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w:t>
      </w:r>
      <w:r>
        <w:rPr>
          <w:rFonts w:hint="eastAsia" w:ascii="宋体" w:hAnsi="宋体" w:cs="Times New Roman"/>
          <w:bCs/>
          <w:color w:val="auto"/>
          <w:szCs w:val="21"/>
          <w:highlight w:val="none"/>
          <w:lang w:eastAsia="zh-CN"/>
        </w:rPr>
        <w:t>投标人必须就全部内容分别作完整唯一总价报价，不得存在漏项报价；投标人必须就全部单项内容作唯一报价</w:t>
      </w:r>
      <w:r>
        <w:rPr>
          <w:rFonts w:hint="eastAsia" w:ascii="宋体" w:hAnsi="宋体" w:eastAsia="宋体" w:cs="Times New Roman"/>
          <w:bCs/>
          <w:color w:val="auto"/>
          <w:szCs w:val="21"/>
          <w:highlight w:val="none"/>
        </w:rPr>
        <w:t>。</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2" w:name="_17.1投标有效期应按“投标人须知中的前附表”规定的期限。"/>
      <w:bookmarkEnd w:id="172"/>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3" w:name="_Toc254970540"/>
      <w:bookmarkStart w:id="174"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3"/>
      <w:bookmarkEnd w:id="174"/>
    </w:p>
    <w:p w14:paraId="6B16622B">
      <w:pPr>
        <w:spacing w:line="360" w:lineRule="auto"/>
        <w:ind w:firstLine="480" w:firstLineChars="200"/>
        <w:rPr>
          <w:rFonts w:hint="eastAsia" w:ascii="黑体" w:hAnsi="黑体" w:eastAsia="黑体" w:cs="Times New Roman"/>
          <w:color w:val="auto"/>
          <w:sz w:val="24"/>
          <w:highlight w:val="none"/>
        </w:rPr>
      </w:pPr>
      <w:bookmarkStart w:id="175" w:name="_18.投标保证金"/>
      <w:bookmarkEnd w:id="175"/>
      <w:bookmarkStart w:id="176" w:name="_Toc254970682"/>
      <w:bookmarkStart w:id="177" w:name="_Toc254970541"/>
      <w:r>
        <w:rPr>
          <w:rFonts w:hint="eastAsia" w:ascii="黑体" w:hAnsi="黑体" w:eastAsia="黑体" w:cs="Times New Roman"/>
          <w:color w:val="auto"/>
          <w:sz w:val="24"/>
          <w:highlight w:val="none"/>
        </w:rPr>
        <w:t>18.投标保证金</w:t>
      </w:r>
      <w:bookmarkEnd w:id="176"/>
      <w:bookmarkEnd w:id="177"/>
    </w:p>
    <w:p w14:paraId="657FAFFF">
      <w:pPr>
        <w:spacing w:line="360" w:lineRule="auto"/>
        <w:ind w:firstLine="420" w:firstLineChars="200"/>
        <w:rPr>
          <w:rFonts w:hint="eastAsia" w:ascii="宋体" w:hAnsi="宋体" w:eastAsia="宋体" w:cs="Times New Roman"/>
          <w:bCs/>
          <w:color w:val="auto"/>
          <w:szCs w:val="21"/>
          <w:highlight w:val="none"/>
        </w:rPr>
      </w:pPr>
      <w:bookmarkStart w:id="178" w:name="_Toc254970542"/>
      <w:bookmarkStart w:id="179" w:name="_Toc254970683"/>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78"/>
      <w:bookmarkEnd w:id="179"/>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0" w:name="_19.2投标文件应按报价文件、资格证明文件、商务文件、技术文件分别编制"/>
      <w:bookmarkEnd w:id="180"/>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1" w:name="_21.1投标人必须在“投标人须知中的前附表”规定的投标文件接收时间和投"/>
      <w:bookmarkEnd w:id="181"/>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2" w:name="_Toc254970543"/>
      <w:bookmarkStart w:id="183" w:name="_Toc254970684"/>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2"/>
    <w:bookmarkEnd w:id="183"/>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4"/>
        <w:keepNext w:val="0"/>
        <w:keepLines w:val="0"/>
        <w:spacing w:line="400" w:lineRule="exact"/>
        <w:jc w:val="center"/>
        <w:rPr>
          <w:rFonts w:hint="eastAsia" w:ascii="Times New Roman" w:hAnsi="Times New Roman" w:eastAsia="宋体" w:cs="Times New Roman"/>
          <w:color w:val="auto"/>
          <w:highlight w:val="none"/>
        </w:rPr>
      </w:pPr>
      <w:bookmarkStart w:id="184" w:name="_Toc27037"/>
      <w:bookmarkStart w:id="185" w:name="_Toc254970544"/>
      <w:bookmarkStart w:id="186" w:name="_Toc1586"/>
      <w:bookmarkStart w:id="187" w:name="_Toc13250"/>
      <w:bookmarkStart w:id="188" w:name="_Toc810"/>
      <w:bookmarkStart w:id="189" w:name="_Toc14091"/>
      <w:bookmarkStart w:id="190" w:name="_Toc254970685"/>
      <w:bookmarkStart w:id="191" w:name="_Toc12790"/>
      <w:bookmarkStart w:id="192" w:name="_Toc32494"/>
      <w:bookmarkStart w:id="193" w:name="_Toc22661"/>
      <w:bookmarkStart w:id="194" w:name="_Toc1356"/>
      <w:bookmarkStart w:id="195" w:name="_Toc2573"/>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4"/>
      <w:bookmarkEnd w:id="185"/>
      <w:bookmarkEnd w:id="186"/>
      <w:bookmarkEnd w:id="187"/>
      <w:bookmarkEnd w:id="188"/>
      <w:bookmarkEnd w:id="189"/>
      <w:bookmarkEnd w:id="190"/>
      <w:bookmarkEnd w:id="191"/>
      <w:bookmarkEnd w:id="192"/>
      <w:bookmarkEnd w:id="193"/>
      <w:bookmarkEnd w:id="194"/>
      <w:bookmarkEnd w:id="195"/>
    </w:p>
    <w:p w14:paraId="0C53F4A4">
      <w:pPr>
        <w:spacing w:line="360" w:lineRule="auto"/>
        <w:ind w:firstLine="480" w:firstLineChars="200"/>
        <w:rPr>
          <w:rFonts w:ascii="黑体" w:hAnsi="黑体" w:eastAsia="黑体" w:cs="Times New Roman"/>
          <w:color w:val="auto"/>
          <w:sz w:val="24"/>
          <w:highlight w:val="none"/>
        </w:rPr>
      </w:pPr>
      <w:bookmarkStart w:id="196" w:name="_23.开标时间和地点"/>
      <w:bookmarkEnd w:id="196"/>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4"/>
        <w:keepNext w:val="0"/>
        <w:keepLines w:val="0"/>
        <w:spacing w:line="400" w:lineRule="exact"/>
        <w:jc w:val="center"/>
        <w:rPr>
          <w:rFonts w:hint="eastAsia" w:ascii="Times New Roman" w:hAnsi="Times New Roman" w:eastAsia="宋体" w:cs="Times New Roman"/>
          <w:color w:val="auto"/>
          <w:highlight w:val="none"/>
        </w:rPr>
      </w:pPr>
      <w:bookmarkStart w:id="197" w:name="_Toc2575"/>
      <w:bookmarkStart w:id="198" w:name="_Toc23512"/>
      <w:bookmarkStart w:id="199" w:name="_Toc19053"/>
      <w:bookmarkStart w:id="200" w:name="_Toc1489"/>
      <w:bookmarkStart w:id="201" w:name="_Toc29189"/>
      <w:bookmarkStart w:id="202" w:name="_Toc6866"/>
      <w:bookmarkStart w:id="203" w:name="_Toc8919"/>
      <w:bookmarkStart w:id="204" w:name="_Toc31994"/>
      <w:bookmarkStart w:id="205" w:name="_Toc25053"/>
      <w:bookmarkStart w:id="206" w:name="_Toc22509"/>
      <w:r>
        <w:rPr>
          <w:rFonts w:hint="eastAsia" w:ascii="Times New Roman" w:hAnsi="Times New Roman" w:eastAsia="宋体" w:cs="Times New Roman"/>
          <w:color w:val="auto"/>
          <w:highlight w:val="none"/>
        </w:rPr>
        <w:t>五、资格审查</w:t>
      </w:r>
      <w:bookmarkEnd w:id="197"/>
      <w:bookmarkEnd w:id="198"/>
      <w:bookmarkEnd w:id="199"/>
      <w:bookmarkEnd w:id="200"/>
      <w:bookmarkEnd w:id="201"/>
      <w:bookmarkEnd w:id="202"/>
      <w:bookmarkEnd w:id="203"/>
      <w:bookmarkEnd w:id="204"/>
      <w:bookmarkEnd w:id="205"/>
      <w:bookmarkEnd w:id="206"/>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7" w:name="_25.3_投标人有下列情形之一的，资格审查不通过而导致其投标无效："/>
      <w:bookmarkEnd w:id="207"/>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4"/>
        <w:keepNext w:val="0"/>
        <w:keepLines w:val="0"/>
        <w:spacing w:line="360" w:lineRule="auto"/>
        <w:jc w:val="center"/>
        <w:rPr>
          <w:rFonts w:hint="eastAsia" w:ascii="Times New Roman" w:hAnsi="Times New Roman" w:eastAsia="宋体" w:cs="Times New Roman"/>
          <w:color w:val="auto"/>
          <w:highlight w:val="none"/>
        </w:rPr>
      </w:pPr>
      <w:bookmarkStart w:id="208" w:name="_Toc1454"/>
      <w:bookmarkStart w:id="209" w:name="_Toc3548"/>
      <w:bookmarkStart w:id="210" w:name="_Toc20446"/>
      <w:bookmarkStart w:id="211" w:name="_Toc19035"/>
      <w:bookmarkStart w:id="212" w:name="_Toc20983"/>
      <w:bookmarkStart w:id="213" w:name="_Toc21152"/>
      <w:bookmarkStart w:id="214" w:name="_Toc15749"/>
      <w:bookmarkStart w:id="215" w:name="_Toc11169"/>
      <w:bookmarkStart w:id="216" w:name="_Toc2770"/>
      <w:bookmarkStart w:id="217" w:name="_Toc29412"/>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08"/>
      <w:bookmarkEnd w:id="209"/>
      <w:bookmarkEnd w:id="210"/>
      <w:bookmarkEnd w:id="211"/>
      <w:bookmarkEnd w:id="212"/>
      <w:bookmarkEnd w:id="213"/>
      <w:bookmarkEnd w:id="214"/>
      <w:bookmarkEnd w:id="215"/>
      <w:bookmarkEnd w:id="216"/>
      <w:bookmarkEnd w:id="217"/>
    </w:p>
    <w:p w14:paraId="19EA9E23">
      <w:pPr>
        <w:spacing w:line="360" w:lineRule="auto"/>
        <w:ind w:firstLine="480" w:firstLineChars="200"/>
        <w:rPr>
          <w:rFonts w:ascii="黑体" w:hAnsi="黑体" w:eastAsia="黑体" w:cs="Times New Roman"/>
          <w:color w:val="auto"/>
          <w:sz w:val="24"/>
          <w:highlight w:val="none"/>
        </w:rPr>
      </w:pPr>
      <w:bookmarkStart w:id="218" w:name="_26.组建评标委员会"/>
      <w:bookmarkEnd w:id="218"/>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4"/>
        <w:keepNext w:val="0"/>
        <w:keepLines w:val="0"/>
        <w:spacing w:line="400" w:lineRule="exact"/>
        <w:jc w:val="center"/>
        <w:rPr>
          <w:rFonts w:hint="eastAsia" w:ascii="Times New Roman" w:hAnsi="Times New Roman" w:eastAsia="宋体" w:cs="Times New Roman"/>
          <w:color w:val="auto"/>
          <w:highlight w:val="none"/>
        </w:rPr>
      </w:pPr>
      <w:bookmarkStart w:id="219" w:name="_Toc254970687"/>
      <w:bookmarkStart w:id="220" w:name="_Toc254970546"/>
      <w:bookmarkStart w:id="221" w:name="_Toc31226"/>
      <w:bookmarkStart w:id="222" w:name="_Toc10518"/>
      <w:bookmarkStart w:id="223" w:name="_Toc24771"/>
      <w:bookmarkStart w:id="224" w:name="_Toc15452"/>
      <w:bookmarkStart w:id="225" w:name="_Toc31698"/>
      <w:bookmarkStart w:id="226" w:name="_Toc10427"/>
      <w:bookmarkStart w:id="227" w:name="_Toc32339"/>
      <w:bookmarkStart w:id="228" w:name="_Toc14661"/>
      <w:bookmarkStart w:id="229" w:name="_Toc4688"/>
      <w:bookmarkStart w:id="230" w:name="_Toc2302"/>
      <w:r>
        <w:rPr>
          <w:rFonts w:hint="eastAsia" w:ascii="Times New Roman" w:hAnsi="Times New Roman" w:eastAsia="宋体" w:cs="Times New Roman"/>
          <w:color w:val="auto"/>
          <w:highlight w:val="none"/>
        </w:rPr>
        <w:t>七、</w:t>
      </w:r>
      <w:bookmarkEnd w:id="219"/>
      <w:bookmarkEnd w:id="220"/>
      <w:r>
        <w:rPr>
          <w:rFonts w:hint="eastAsia" w:ascii="Times New Roman" w:hAnsi="Times New Roman" w:eastAsia="宋体" w:cs="Times New Roman"/>
          <w:color w:val="auto"/>
          <w:highlight w:val="none"/>
        </w:rPr>
        <w:t>中标和合同</w:t>
      </w:r>
      <w:bookmarkEnd w:id="221"/>
      <w:bookmarkEnd w:id="222"/>
      <w:bookmarkEnd w:id="223"/>
      <w:bookmarkEnd w:id="224"/>
      <w:bookmarkEnd w:id="225"/>
      <w:bookmarkEnd w:id="226"/>
      <w:bookmarkEnd w:id="227"/>
      <w:bookmarkEnd w:id="228"/>
      <w:bookmarkEnd w:id="229"/>
      <w:bookmarkEnd w:id="230"/>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1" w:name="_39.1中标人须于签订合同前按本须知前附表规定的金额转账或电汇到指定账"/>
      <w:bookmarkEnd w:id="231"/>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2" w:name="_40.1投标人接到中标通知书后，按须知前附表规定向采购人出示相关资格证"/>
      <w:bookmarkEnd w:id="232"/>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3" w:name="_41.政府采购合同公告"/>
      <w:bookmarkEnd w:id="233"/>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4" w:name="_9.2质疑、投诉应当采用书面形式，质疑函、投诉书均应明确阐述招标文件、"/>
      <w:bookmarkEnd w:id="234"/>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5" w:name="_Toc23239"/>
      <w:bookmarkStart w:id="236" w:name="_Toc26583"/>
      <w:bookmarkStart w:id="237" w:name="_Toc1756"/>
      <w:bookmarkStart w:id="238" w:name="_Toc27653"/>
      <w:bookmarkStart w:id="239" w:name="_Toc7828"/>
      <w:bookmarkStart w:id="240" w:name="_Toc13659"/>
      <w:bookmarkStart w:id="241" w:name="_Toc14937"/>
      <w:bookmarkStart w:id="242" w:name="_Toc29288"/>
      <w:bookmarkStart w:id="243" w:name="_Toc25946"/>
      <w:bookmarkStart w:id="244" w:name="_Toc8731"/>
      <w:r>
        <w:rPr>
          <w:rFonts w:hint="eastAsia" w:ascii="Times New Roman" w:hAnsi="Times New Roman" w:eastAsia="宋体" w:cs="Times New Roman"/>
          <w:b/>
          <w:bCs/>
          <w:color w:val="auto"/>
          <w:sz w:val="32"/>
          <w:szCs w:val="32"/>
          <w:highlight w:val="none"/>
        </w:rPr>
        <w:t>八、验收</w:t>
      </w:r>
      <w:bookmarkEnd w:id="235"/>
      <w:bookmarkEnd w:id="236"/>
      <w:bookmarkEnd w:id="237"/>
      <w:bookmarkEnd w:id="238"/>
      <w:bookmarkEnd w:id="239"/>
      <w:bookmarkEnd w:id="240"/>
      <w:bookmarkEnd w:id="241"/>
      <w:bookmarkEnd w:id="242"/>
      <w:bookmarkEnd w:id="243"/>
      <w:bookmarkEnd w:id="244"/>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4"/>
        <w:keepNext w:val="0"/>
        <w:keepLines w:val="0"/>
        <w:spacing w:line="360" w:lineRule="auto"/>
        <w:jc w:val="center"/>
        <w:rPr>
          <w:rFonts w:hint="eastAsia" w:ascii="Times New Roman" w:hAnsi="Times New Roman" w:eastAsia="宋体" w:cs="Times New Roman"/>
          <w:color w:val="auto"/>
          <w:highlight w:val="none"/>
        </w:rPr>
      </w:pPr>
      <w:bookmarkStart w:id="245" w:name="_八、其他事项"/>
      <w:bookmarkEnd w:id="245"/>
      <w:bookmarkStart w:id="246" w:name="_Toc31560"/>
      <w:bookmarkStart w:id="247" w:name="_Toc32163"/>
      <w:bookmarkStart w:id="248" w:name="_Toc13612"/>
      <w:bookmarkStart w:id="249" w:name="_Toc28972"/>
      <w:bookmarkStart w:id="250" w:name="_Toc27249"/>
      <w:bookmarkStart w:id="251" w:name="_Toc16509"/>
      <w:bookmarkStart w:id="252" w:name="_Toc24348"/>
      <w:bookmarkStart w:id="253" w:name="_Toc5795"/>
      <w:bookmarkStart w:id="254" w:name="_Toc13217"/>
      <w:bookmarkStart w:id="255" w:name="_Toc14814"/>
      <w:r>
        <w:rPr>
          <w:rFonts w:hint="eastAsia" w:ascii="Times New Roman" w:hAnsi="Times New Roman" w:eastAsia="宋体" w:cs="Times New Roman"/>
          <w:color w:val="auto"/>
          <w:highlight w:val="none"/>
        </w:rPr>
        <w:t>九、其他事项</w:t>
      </w:r>
      <w:bookmarkEnd w:id="246"/>
      <w:bookmarkEnd w:id="247"/>
      <w:bookmarkEnd w:id="248"/>
      <w:bookmarkEnd w:id="249"/>
      <w:bookmarkEnd w:id="250"/>
      <w:bookmarkEnd w:id="251"/>
      <w:bookmarkEnd w:id="252"/>
      <w:bookmarkEnd w:id="253"/>
      <w:bookmarkEnd w:id="254"/>
      <w:bookmarkEnd w:id="255"/>
    </w:p>
    <w:p w14:paraId="3485327A">
      <w:pPr>
        <w:spacing w:line="360" w:lineRule="auto"/>
        <w:ind w:firstLine="480" w:firstLineChars="200"/>
        <w:rPr>
          <w:rFonts w:ascii="黑体" w:hAnsi="黑体" w:eastAsia="黑体" w:cs="Times New Roman"/>
          <w:color w:val="auto"/>
          <w:sz w:val="24"/>
          <w:highlight w:val="none"/>
        </w:rPr>
      </w:pPr>
      <w:bookmarkStart w:id="256" w:name="_42.代理服务费"/>
      <w:bookmarkEnd w:id="256"/>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pacing w:line="360" w:lineRule="auto"/>
        <w:ind w:firstLine="420" w:firstLineChars="200"/>
        <w:rPr>
          <w:rFonts w:hint="eastAsia"/>
          <w:color w:val="auto"/>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w:t>
      </w:r>
      <w:r>
        <w:rPr>
          <w:rFonts w:hint="eastAsia" w:ascii="宋体" w:hAnsi="宋体" w:cs="Times New Roman"/>
          <w:b w:val="0"/>
          <w:bCs/>
          <w:color w:val="auto"/>
          <w:szCs w:val="21"/>
          <w:highlight w:val="none"/>
          <w:lang w:val="en-US" w:eastAsia="zh-CN"/>
        </w:rPr>
        <w:t>按</w:t>
      </w:r>
      <w:r>
        <w:rPr>
          <w:rFonts w:hint="eastAsia" w:ascii="宋体" w:hAnsi="宋体" w:eastAsia="宋体" w:cs="Times New Roman"/>
          <w:b w:val="0"/>
          <w:bCs/>
          <w:color w:val="auto"/>
          <w:szCs w:val="21"/>
          <w:highlight w:val="none"/>
        </w:rPr>
        <w:t>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7"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58" w:name="_Toc18631"/>
      <w:bookmarkStart w:id="259" w:name="_Toc11694"/>
      <w:bookmarkStart w:id="260" w:name="_Toc12751"/>
      <w:bookmarkStart w:id="261" w:name="_Toc26567"/>
      <w:bookmarkStart w:id="262" w:name="_Toc2789"/>
      <w:bookmarkStart w:id="263" w:name="_Toc31952"/>
      <w:bookmarkStart w:id="264" w:name="_Toc24569"/>
      <w:bookmarkStart w:id="265" w:name="_Toc14666"/>
      <w:bookmarkStart w:id="266" w:name="_Toc19117"/>
      <w:bookmarkStart w:id="267" w:name="_Toc3584"/>
      <w:bookmarkStart w:id="268" w:name="_Toc28468"/>
      <w:bookmarkStart w:id="269" w:name="_Toc10034"/>
      <w:bookmarkStart w:id="270" w:name="_Toc1011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7"/>
      <w:bookmarkEnd w:id="258"/>
      <w:bookmarkEnd w:id="259"/>
      <w:bookmarkEnd w:id="260"/>
      <w:bookmarkEnd w:id="261"/>
      <w:bookmarkEnd w:id="262"/>
      <w:bookmarkEnd w:id="263"/>
      <w:bookmarkEnd w:id="264"/>
      <w:bookmarkEnd w:id="265"/>
      <w:r>
        <w:rPr>
          <w:rFonts w:hint="eastAsia" w:ascii="Times New Roman" w:hAnsi="Times New Roman" w:cs="Times New Roman"/>
          <w:b/>
          <w:color w:val="auto"/>
          <w:sz w:val="36"/>
          <w:highlight w:val="none"/>
          <w:lang w:eastAsia="zh-CN"/>
        </w:rPr>
        <w:t>评标方法和评标标准</w:t>
      </w:r>
      <w:bookmarkEnd w:id="266"/>
      <w:bookmarkEnd w:id="267"/>
      <w:bookmarkEnd w:id="268"/>
      <w:bookmarkEnd w:id="269"/>
      <w:bookmarkEnd w:id="270"/>
    </w:p>
    <w:p w14:paraId="68F7CA2C">
      <w:pPr>
        <w:pStyle w:val="16"/>
        <w:jc w:val="center"/>
        <w:outlineLvl w:val="1"/>
        <w:rPr>
          <w:rFonts w:ascii="Times New Roman" w:hAnsi="Times New Roman" w:eastAsia="宋体" w:cs="Times New Roman"/>
          <w:b/>
          <w:bCs/>
          <w:color w:val="auto"/>
          <w:sz w:val="32"/>
          <w:szCs w:val="32"/>
          <w:highlight w:val="none"/>
        </w:rPr>
      </w:pPr>
      <w:bookmarkStart w:id="271" w:name="_Toc12345"/>
      <w:bookmarkStart w:id="272" w:name="_Toc28074"/>
      <w:bookmarkStart w:id="273" w:name="_Toc5889"/>
      <w:bookmarkStart w:id="274" w:name="_Toc3574"/>
      <w:bookmarkStart w:id="275" w:name="_Toc29945"/>
      <w:bookmarkStart w:id="276" w:name="_Toc9604"/>
      <w:bookmarkStart w:id="277" w:name="_Toc20519"/>
      <w:bookmarkStart w:id="278" w:name="_Toc6104"/>
      <w:bookmarkStart w:id="279" w:name="_Toc28945"/>
      <w:bookmarkStart w:id="280" w:name="_Toc14342"/>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1"/>
      <w:bookmarkEnd w:id="272"/>
      <w:bookmarkEnd w:id="273"/>
      <w:bookmarkEnd w:id="274"/>
      <w:bookmarkEnd w:id="275"/>
      <w:bookmarkEnd w:id="276"/>
      <w:bookmarkEnd w:id="277"/>
      <w:bookmarkEnd w:id="278"/>
      <w:bookmarkEnd w:id="279"/>
      <w:bookmarkEnd w:id="280"/>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1" w:name="_Toc30114"/>
      <w:bookmarkStart w:id="282" w:name="_Toc588"/>
      <w:bookmarkStart w:id="283" w:name="_Toc10545"/>
      <w:bookmarkStart w:id="284" w:name="_Toc1643"/>
      <w:bookmarkStart w:id="285" w:name="_Toc18477"/>
      <w:bookmarkStart w:id="286" w:name="_Toc23151"/>
      <w:bookmarkStart w:id="287" w:name="_Toc24507"/>
      <w:bookmarkStart w:id="288" w:name="_Toc9023"/>
      <w:bookmarkStart w:id="289" w:name="_Toc4190"/>
      <w:bookmarkStart w:id="290" w:name="_Toc9259"/>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1"/>
      <w:bookmarkEnd w:id="282"/>
      <w:bookmarkEnd w:id="283"/>
      <w:bookmarkEnd w:id="284"/>
      <w:bookmarkEnd w:id="285"/>
      <w:bookmarkEnd w:id="286"/>
      <w:bookmarkEnd w:id="287"/>
      <w:bookmarkEnd w:id="288"/>
      <w:bookmarkEnd w:id="289"/>
      <w:bookmarkEnd w:id="290"/>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3"/>
        <w:jc w:val="center"/>
        <w:rPr>
          <w:rFonts w:cs="Times New Roman"/>
          <w:b w:val="0"/>
          <w:color w:val="auto"/>
          <w:sz w:val="36"/>
          <w:szCs w:val="36"/>
          <w:highlight w:val="none"/>
        </w:rPr>
      </w:pPr>
      <w:bookmarkStart w:id="291" w:name="_Toc28829"/>
      <w:bookmarkStart w:id="292" w:name="_Toc4866"/>
      <w:bookmarkStart w:id="293" w:name="_Toc28193"/>
      <w:bookmarkStart w:id="294" w:name="_Toc22963"/>
      <w:bookmarkStart w:id="295" w:name="_Toc17834"/>
      <w:bookmarkStart w:id="296" w:name="_Toc27331"/>
      <w:bookmarkStart w:id="297" w:name="_Toc19942"/>
      <w:bookmarkStart w:id="298" w:name="_Toc25728"/>
      <w:bookmarkStart w:id="299" w:name="_Toc5755"/>
      <w:bookmarkStart w:id="300" w:name="_Toc13548"/>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1"/>
      <w:bookmarkEnd w:id="292"/>
      <w:bookmarkEnd w:id="293"/>
      <w:bookmarkEnd w:id="294"/>
      <w:bookmarkEnd w:id="295"/>
      <w:bookmarkEnd w:id="296"/>
      <w:bookmarkEnd w:id="297"/>
      <w:bookmarkEnd w:id="298"/>
      <w:bookmarkEnd w:id="299"/>
      <w:bookmarkEnd w:id="300"/>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277CD945">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59388C60">
            <w:pPr>
              <w:widowControl/>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得5分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0.5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：投标人承诺在中标后购买《食品安全责任保险》的得0.5分。（投标文件中提供相应承诺函）</w:t>
            </w:r>
          </w:p>
          <w:p w14:paraId="33C2517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3"/>
        <w:spacing w:before="0" w:after="0" w:line="360" w:lineRule="auto"/>
        <w:ind w:firstLine="600" w:firstLineChars="200"/>
        <w:jc w:val="center"/>
        <w:rPr>
          <w:rFonts w:hint="eastAsia" w:cs="Times New Roman"/>
          <w:b w:val="0"/>
          <w:color w:val="auto"/>
          <w:sz w:val="30"/>
          <w:szCs w:val="30"/>
          <w:highlight w:val="none"/>
        </w:rPr>
      </w:pPr>
      <w:bookmarkStart w:id="301" w:name="_Toc2202"/>
      <w:bookmarkStart w:id="302" w:name="_Toc18582"/>
      <w:bookmarkStart w:id="303" w:name="_Toc12855"/>
      <w:bookmarkStart w:id="304" w:name="_Toc20313"/>
      <w:bookmarkStart w:id="305" w:name="_Toc10751"/>
      <w:bookmarkStart w:id="306" w:name="_Toc16466"/>
      <w:bookmarkStart w:id="307" w:name="_Toc9480"/>
      <w:bookmarkStart w:id="308" w:name="_Toc23906"/>
      <w:bookmarkStart w:id="309" w:name="_Toc11083"/>
      <w:bookmarkStart w:id="310" w:name="_Toc15061"/>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1"/>
      <w:bookmarkEnd w:id="302"/>
      <w:bookmarkEnd w:id="303"/>
      <w:bookmarkEnd w:id="304"/>
      <w:bookmarkEnd w:id="305"/>
      <w:bookmarkEnd w:id="306"/>
      <w:bookmarkEnd w:id="307"/>
      <w:bookmarkEnd w:id="308"/>
      <w:bookmarkEnd w:id="309"/>
      <w:bookmarkEnd w:id="310"/>
      <w:bookmarkStart w:id="311" w:name="_Toc29218"/>
      <w:bookmarkStart w:id="312" w:name="_Toc11545"/>
      <w:bookmarkStart w:id="313" w:name="_Toc7971"/>
      <w:bookmarkStart w:id="314" w:name="_Toc9602"/>
      <w:bookmarkStart w:id="315" w:name="_Toc13625"/>
      <w:bookmarkStart w:id="316" w:name="_Toc13808"/>
      <w:bookmarkStart w:id="317" w:name="_Toc27419"/>
      <w:bookmarkStart w:id="318" w:name="_Toc11695"/>
      <w:bookmarkStart w:id="319" w:name="_Toc11073"/>
      <w:bookmarkStart w:id="320" w:name="_Toc22384"/>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1"/>
      <w:bookmarkEnd w:id="312"/>
      <w:bookmarkEnd w:id="313"/>
      <w:bookmarkEnd w:id="314"/>
      <w:bookmarkEnd w:id="315"/>
      <w:bookmarkEnd w:id="316"/>
      <w:bookmarkEnd w:id="317"/>
      <w:bookmarkEnd w:id="318"/>
      <w:bookmarkEnd w:id="319"/>
      <w:bookmarkEnd w:id="320"/>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1" w:name="_Toc26262"/>
      <w:bookmarkStart w:id="322" w:name="_Toc3422"/>
      <w:bookmarkStart w:id="323" w:name="_Toc9058"/>
      <w:bookmarkStart w:id="324" w:name="_Toc3838"/>
      <w:bookmarkStart w:id="325" w:name="_Toc7167"/>
      <w:bookmarkStart w:id="326" w:name="_Toc17049"/>
      <w:bookmarkStart w:id="327" w:name="_Toc29347"/>
      <w:bookmarkStart w:id="328" w:name="_Toc25572"/>
      <w:bookmarkStart w:id="329" w:name="_Toc32021"/>
      <w:bookmarkStart w:id="330" w:name="_Toc9012"/>
      <w:bookmarkStart w:id="331" w:name="_Toc27014"/>
      <w:bookmarkStart w:id="332" w:name="_Toc20993"/>
      <w:bookmarkStart w:id="333" w:name="_Toc31791"/>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1"/>
      <w:bookmarkEnd w:id="322"/>
      <w:bookmarkEnd w:id="323"/>
      <w:bookmarkEnd w:id="324"/>
      <w:bookmarkEnd w:id="325"/>
      <w:bookmarkEnd w:id="326"/>
      <w:bookmarkEnd w:id="327"/>
      <w:bookmarkEnd w:id="328"/>
      <w:bookmarkEnd w:id="329"/>
      <w:bookmarkEnd w:id="330"/>
      <w:bookmarkEnd w:id="331"/>
      <w:bookmarkEnd w:id="332"/>
      <w:bookmarkEnd w:id="333"/>
    </w:p>
    <w:p w14:paraId="3ACB10FC">
      <w:pPr>
        <w:pStyle w:val="8"/>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3D390A02">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1、乙方供应的食材或货物必须达到国家标准；乙方提供食材或货物样本，同时对每批次食品原料进行检测，具有食品安监部门或国家承认的检测机构出具的检测报告（同批次），供货时提供。</w:t>
      </w:r>
    </w:p>
    <w:p w14:paraId="0CC7F90B">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2、乙方在签订合同后一个月内必须到相关的保险公司进行投保，投保险种为食品安全责任保险，否则采购单位有权终止合同。保单有效期应覆盖本项目合同履行期限。</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57ACDB1B">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4、食材或货物的验收工作由甲方和乙方共同进行。乙方提供的食材或货物须经过食堂验收人员的感官检验、外观检验和试用检验，若食材或货物外观、包装、形式不符合要求、感官检验不能达到食品卫生要求，甲方应当即拒收；乙方不能满足食品的质量及售后服务要求时，甲方有权进行处罚或终止合同。</w:t>
      </w:r>
    </w:p>
    <w:p w14:paraId="22E8F968">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5、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3F36749C">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6、甲方在初步验收或者最终验收过程中如发现乙方提供的食材或货物不满足投标文件及本合同规定的，可暂缓向乙方付款，直到乙方及时完善并提供相应的食材或货物且经甲方验收合格后，方可办理付款。</w:t>
      </w:r>
    </w:p>
    <w:p w14:paraId="5E920068">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7、甲方验收时以书面形式提出异议的，乙方应自收到甲方书面异议后一个工作日内及时予以解决，否则甲方有权不出具服务验收合格单。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4" w:name="_Toc2377"/>
      <w:bookmarkStart w:id="335" w:name="_Toc24704"/>
      <w:bookmarkStart w:id="336" w:name="_Toc19106"/>
      <w:bookmarkStart w:id="337" w:name="_Toc26390"/>
      <w:bookmarkStart w:id="338" w:name="_Toc2517"/>
      <w:bookmarkStart w:id="339" w:name="_Toc19350"/>
      <w:bookmarkStart w:id="340" w:name="_Toc20832"/>
      <w:bookmarkStart w:id="341" w:name="_Toc32149"/>
      <w:bookmarkStart w:id="342" w:name="_Toc20296"/>
      <w:bookmarkStart w:id="343" w:name="_Toc9123"/>
      <w:bookmarkStart w:id="344" w:name="_Toc11043"/>
      <w:bookmarkStart w:id="345" w:name="_Toc26884"/>
      <w:bookmarkStart w:id="346" w:name="_Toc5736"/>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1F70C184">
      <w:pPr>
        <w:widowControl/>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7" w:name="_Toc32508"/>
      <w:bookmarkStart w:id="348" w:name="_Toc23486"/>
      <w:bookmarkStart w:id="349" w:name="_Toc4270"/>
      <w:bookmarkStart w:id="350" w:name="_Toc11854"/>
      <w:bookmarkStart w:id="351" w:name="_Toc21700"/>
      <w:bookmarkStart w:id="352" w:name="_Toc24486"/>
      <w:bookmarkStart w:id="353" w:name="_Toc7817"/>
      <w:bookmarkStart w:id="354" w:name="_Toc20281"/>
      <w:bookmarkStart w:id="355" w:name="_Toc16890"/>
      <w:bookmarkStart w:id="356" w:name="_Toc3237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7"/>
      <w:bookmarkEnd w:id="348"/>
      <w:bookmarkEnd w:id="349"/>
      <w:bookmarkEnd w:id="350"/>
      <w:bookmarkEnd w:id="351"/>
      <w:bookmarkEnd w:id="352"/>
      <w:bookmarkEnd w:id="353"/>
      <w:bookmarkEnd w:id="354"/>
      <w:bookmarkEnd w:id="355"/>
      <w:bookmarkEnd w:id="356"/>
    </w:p>
    <w:p w14:paraId="5A2CBAD0">
      <w:pPr>
        <w:pStyle w:val="16"/>
        <w:spacing w:line="360" w:lineRule="auto"/>
        <w:ind w:firstLine="420"/>
        <w:rPr>
          <w:rFonts w:hint="eastAsia" w:hAnsi="宋体" w:eastAsia="宋体" w:cs="Times New Roman"/>
          <w:color w:val="auto"/>
          <w:sz w:val="30"/>
          <w:highlight w:val="none"/>
        </w:rPr>
      </w:pPr>
    </w:p>
    <w:p w14:paraId="6592383B">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11"/>
        <w:rPr>
          <w:rFonts w:hint="eastAsia" w:ascii="宋体" w:hAnsi="宋体" w:cs="宋体"/>
          <w:b/>
          <w:color w:val="auto"/>
          <w:sz w:val="28"/>
          <w:szCs w:val="28"/>
          <w:highlight w:val="none"/>
          <w:lang w:val="en-US" w:eastAsia="zh-CN"/>
        </w:rPr>
      </w:pPr>
    </w:p>
    <w:p w14:paraId="646A20E3">
      <w:pPr>
        <w:pStyle w:val="11"/>
        <w:rPr>
          <w:rFonts w:hint="eastAsia" w:ascii="宋体" w:hAnsi="宋体" w:cs="宋体"/>
          <w:b/>
          <w:color w:val="auto"/>
          <w:sz w:val="28"/>
          <w:szCs w:val="28"/>
          <w:highlight w:val="none"/>
          <w:lang w:val="en-US" w:eastAsia="zh-CN"/>
        </w:rPr>
      </w:pPr>
    </w:p>
    <w:p w14:paraId="64CD473B">
      <w:pPr>
        <w:pStyle w:val="11"/>
        <w:rPr>
          <w:rFonts w:hint="eastAsia" w:ascii="宋体" w:hAnsi="宋体" w:cs="宋体"/>
          <w:b/>
          <w:color w:val="auto"/>
          <w:sz w:val="28"/>
          <w:szCs w:val="28"/>
          <w:highlight w:val="none"/>
          <w:lang w:val="en-US" w:eastAsia="zh-CN"/>
        </w:rPr>
      </w:pPr>
    </w:p>
    <w:p w14:paraId="72AB685D">
      <w:pPr>
        <w:pStyle w:val="11"/>
        <w:rPr>
          <w:rFonts w:hint="eastAsia" w:ascii="宋体" w:hAnsi="宋体" w:cs="宋体"/>
          <w:b/>
          <w:color w:val="auto"/>
          <w:sz w:val="28"/>
          <w:szCs w:val="28"/>
          <w:highlight w:val="none"/>
          <w:lang w:val="en-US" w:eastAsia="zh-CN"/>
        </w:rPr>
      </w:pPr>
    </w:p>
    <w:p w14:paraId="65C50A2F">
      <w:pPr>
        <w:pStyle w:val="11"/>
        <w:rPr>
          <w:rFonts w:hint="eastAsia" w:ascii="宋体" w:hAnsi="宋体" w:cs="宋体"/>
          <w:b/>
          <w:color w:val="auto"/>
          <w:sz w:val="28"/>
          <w:szCs w:val="28"/>
          <w:highlight w:val="none"/>
          <w:lang w:val="en-US" w:eastAsia="zh-CN"/>
        </w:rPr>
      </w:pPr>
    </w:p>
    <w:p w14:paraId="76C625FE">
      <w:pPr>
        <w:pStyle w:val="11"/>
        <w:rPr>
          <w:rFonts w:hint="eastAsia" w:ascii="宋体" w:hAnsi="宋体" w:cs="宋体"/>
          <w:b/>
          <w:color w:val="auto"/>
          <w:sz w:val="28"/>
          <w:szCs w:val="28"/>
          <w:highlight w:val="none"/>
          <w:lang w:val="en-US" w:eastAsia="zh-CN"/>
        </w:rPr>
      </w:pPr>
    </w:p>
    <w:p w14:paraId="3A77A2D9">
      <w:pPr>
        <w:pStyle w:val="11"/>
        <w:rPr>
          <w:rFonts w:hint="eastAsia" w:ascii="宋体" w:hAnsi="宋体" w:cs="宋体"/>
          <w:b/>
          <w:color w:val="auto"/>
          <w:sz w:val="28"/>
          <w:szCs w:val="28"/>
          <w:highlight w:val="none"/>
          <w:lang w:val="en-US" w:eastAsia="zh-CN"/>
        </w:rPr>
      </w:pPr>
    </w:p>
    <w:p w14:paraId="58178886">
      <w:pPr>
        <w:pStyle w:val="11"/>
        <w:rPr>
          <w:rFonts w:hint="eastAsia" w:ascii="宋体" w:hAnsi="宋体" w:cs="宋体"/>
          <w:b/>
          <w:color w:val="auto"/>
          <w:sz w:val="28"/>
          <w:szCs w:val="28"/>
          <w:highlight w:val="none"/>
          <w:lang w:val="en-US" w:eastAsia="zh-CN"/>
        </w:rPr>
      </w:pPr>
    </w:p>
    <w:p w14:paraId="4D746F41">
      <w:pPr>
        <w:pStyle w:val="11"/>
        <w:rPr>
          <w:rFonts w:hint="eastAsia" w:ascii="宋体" w:hAnsi="宋体" w:cs="宋体"/>
          <w:b/>
          <w:color w:val="auto"/>
          <w:sz w:val="28"/>
          <w:szCs w:val="28"/>
          <w:highlight w:val="none"/>
          <w:lang w:val="en-US" w:eastAsia="zh-CN"/>
        </w:rPr>
      </w:pPr>
    </w:p>
    <w:p w14:paraId="54043A81">
      <w:pPr>
        <w:pStyle w:val="11"/>
        <w:rPr>
          <w:rFonts w:hint="eastAsia" w:ascii="宋体" w:hAnsi="宋体" w:cs="宋体"/>
          <w:b/>
          <w:color w:val="auto"/>
          <w:sz w:val="28"/>
          <w:szCs w:val="28"/>
          <w:highlight w:val="none"/>
          <w:lang w:val="en-US" w:eastAsia="zh-CN"/>
        </w:rPr>
      </w:pPr>
    </w:p>
    <w:p w14:paraId="2A26A93B">
      <w:pPr>
        <w:pStyle w:val="11"/>
        <w:rPr>
          <w:rFonts w:hint="eastAsia" w:ascii="宋体" w:hAnsi="宋体" w:cs="宋体"/>
          <w:b/>
          <w:color w:val="auto"/>
          <w:sz w:val="28"/>
          <w:szCs w:val="28"/>
          <w:highlight w:val="none"/>
          <w:lang w:val="en-US" w:eastAsia="zh-CN"/>
        </w:rPr>
      </w:pPr>
    </w:p>
    <w:p w14:paraId="1A77FB35">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广西鑫磐工程项目管理有限责任公司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7" w:name="_Toc3944"/>
      <w:bookmarkStart w:id="358" w:name="_Toc2566"/>
      <w:bookmarkStart w:id="359" w:name="_Toc8189"/>
      <w:bookmarkStart w:id="360" w:name="_Toc6839"/>
      <w:bookmarkStart w:id="361" w:name="_Toc12624"/>
      <w:bookmarkStart w:id="362" w:name="_Toc16062"/>
      <w:bookmarkStart w:id="363" w:name="_Toc20777"/>
      <w:bookmarkStart w:id="364" w:name="_Toc13159"/>
      <w:bookmarkStart w:id="365" w:name="_Toc19686838"/>
      <w:bookmarkStart w:id="366" w:name="_Toc24133"/>
      <w:bookmarkStart w:id="367" w:name="_Toc31528"/>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7"/>
      <w:bookmarkEnd w:id="358"/>
      <w:bookmarkEnd w:id="359"/>
      <w:bookmarkEnd w:id="360"/>
      <w:bookmarkEnd w:id="361"/>
      <w:bookmarkEnd w:id="362"/>
      <w:bookmarkEnd w:id="363"/>
      <w:bookmarkEnd w:id="364"/>
      <w:bookmarkEnd w:id="365"/>
      <w:bookmarkEnd w:id="366"/>
      <w:bookmarkEnd w:id="367"/>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11"/>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2"/>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广西鑫磐工程项目管理有限责任公司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68" w:name="_Toc23685"/>
      <w:bookmarkStart w:id="369" w:name="_Toc27757"/>
      <w:bookmarkStart w:id="370" w:name="_Toc24407"/>
      <w:bookmarkStart w:id="371" w:name="_Toc10435"/>
      <w:bookmarkStart w:id="372" w:name="_Toc10197"/>
      <w:bookmarkStart w:id="373" w:name="_Toc17437"/>
      <w:bookmarkStart w:id="374" w:name="_Toc19686839"/>
      <w:bookmarkStart w:id="375" w:name="_Toc24098"/>
      <w:bookmarkStart w:id="376" w:name="_Toc585"/>
      <w:bookmarkStart w:id="377" w:name="_Toc1161"/>
      <w:bookmarkStart w:id="378" w:name="_Toc888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68"/>
      <w:bookmarkEnd w:id="369"/>
      <w:bookmarkEnd w:id="370"/>
      <w:bookmarkEnd w:id="371"/>
      <w:bookmarkEnd w:id="372"/>
      <w:bookmarkEnd w:id="373"/>
      <w:bookmarkEnd w:id="374"/>
      <w:bookmarkEnd w:id="375"/>
      <w:bookmarkEnd w:id="376"/>
      <w:bookmarkEnd w:id="377"/>
      <w:bookmarkEnd w:id="378"/>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8"/>
        <w:rPr>
          <w:rFonts w:hint="eastAsia"/>
          <w:color w:val="auto"/>
          <w:highlight w:val="none"/>
        </w:rPr>
      </w:pPr>
    </w:p>
    <w:p w14:paraId="38652E71">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8"/>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79" w:name="_Toc12675"/>
      <w:bookmarkStart w:id="380" w:name="_Toc30951"/>
      <w:bookmarkStart w:id="381" w:name="_Toc28617"/>
      <w:bookmarkStart w:id="382" w:name="_Toc1343"/>
      <w:bookmarkStart w:id="383" w:name="_Toc17719"/>
      <w:bookmarkStart w:id="384" w:name="_Toc3481"/>
      <w:bookmarkStart w:id="385" w:name="_Toc12868"/>
      <w:bookmarkStart w:id="386" w:name="_Toc22926"/>
      <w:bookmarkStart w:id="387" w:name="_Toc31920"/>
      <w:bookmarkStart w:id="388" w:name="_Toc901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79"/>
      <w:bookmarkEnd w:id="380"/>
      <w:bookmarkEnd w:id="381"/>
      <w:bookmarkEnd w:id="382"/>
      <w:bookmarkEnd w:id="383"/>
      <w:bookmarkEnd w:id="384"/>
      <w:bookmarkEnd w:id="385"/>
      <w:bookmarkEnd w:id="386"/>
      <w:bookmarkEnd w:id="387"/>
      <w:bookmarkEnd w:id="388"/>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广西鑫磐工程项目管理有限责任公司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桂平市木乐镇第一初级中学等6个学校食堂普通餐食品原材料联合采购配送服务项目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11"/>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89"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89"/>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0" w:name="_Toc11260"/>
      <w:bookmarkStart w:id="391" w:name="_Toc2211"/>
      <w:bookmarkStart w:id="392" w:name="_Toc7244"/>
      <w:bookmarkStart w:id="393" w:name="_Toc21753"/>
      <w:bookmarkStart w:id="394" w:name="_Toc7254"/>
      <w:bookmarkStart w:id="395" w:name="_Toc32028"/>
      <w:bookmarkStart w:id="396" w:name="_Toc31429"/>
      <w:bookmarkStart w:id="397" w:name="_Toc491"/>
      <w:bookmarkStart w:id="398" w:name="_Toc6635"/>
      <w:bookmarkStart w:id="399" w:name="_Toc17736"/>
      <w:bookmarkStart w:id="400" w:name="_Toc31310"/>
      <w:bookmarkStart w:id="401" w:name="_Toc18173"/>
      <w:bookmarkStart w:id="402" w:name="_Toc2511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0"/>
      <w:bookmarkEnd w:id="391"/>
      <w:bookmarkEnd w:id="392"/>
      <w:bookmarkEnd w:id="393"/>
      <w:bookmarkEnd w:id="394"/>
      <w:bookmarkEnd w:id="395"/>
      <w:bookmarkEnd w:id="396"/>
      <w:bookmarkEnd w:id="397"/>
      <w:bookmarkEnd w:id="398"/>
      <w:bookmarkEnd w:id="399"/>
      <w:bookmarkEnd w:id="400"/>
      <w:bookmarkEnd w:id="401"/>
      <w:bookmarkEnd w:id="402"/>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3"/>
        <w:jc w:val="center"/>
        <w:rPr>
          <w:rFonts w:hint="eastAsia" w:ascii="宋体" w:hAnsi="宋体" w:cs="Times New Roman"/>
          <w:b w:val="0"/>
          <w:bCs w:val="0"/>
          <w:color w:val="auto"/>
          <w:highlight w:val="none"/>
        </w:rPr>
      </w:pPr>
      <w:bookmarkStart w:id="403" w:name="_Toc22595"/>
      <w:bookmarkStart w:id="404" w:name="_Toc10944"/>
      <w:bookmarkStart w:id="405" w:name="_Toc3458"/>
      <w:bookmarkStart w:id="406" w:name="_Toc15096"/>
      <w:bookmarkStart w:id="407" w:name="_Toc31800"/>
      <w:bookmarkStart w:id="408" w:name="_Toc12016"/>
      <w:bookmarkStart w:id="409" w:name="_Toc17610"/>
      <w:bookmarkStart w:id="410" w:name="_Toc25538"/>
      <w:bookmarkStart w:id="411" w:name="_Toc990"/>
      <w:bookmarkStart w:id="412" w:name="_Toc22540"/>
      <w:r>
        <w:rPr>
          <w:rFonts w:hint="eastAsia" w:ascii="宋体" w:hAnsi="宋体" w:cs="Times New Roman"/>
          <w:b w:val="0"/>
          <w:bCs w:val="0"/>
          <w:color w:val="auto"/>
          <w:highlight w:val="none"/>
        </w:rPr>
        <w:t>第一节 质疑函（格式）</w:t>
      </w:r>
      <w:bookmarkEnd w:id="403"/>
      <w:bookmarkEnd w:id="404"/>
      <w:bookmarkEnd w:id="405"/>
      <w:bookmarkEnd w:id="406"/>
      <w:bookmarkEnd w:id="407"/>
      <w:bookmarkEnd w:id="408"/>
      <w:bookmarkEnd w:id="409"/>
      <w:bookmarkEnd w:id="410"/>
      <w:bookmarkEnd w:id="411"/>
      <w:bookmarkEnd w:id="412"/>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3" w:name="PO_3000001867_PM026_5"/>
      <w:r>
        <w:rPr>
          <w:rFonts w:hint="eastAsia" w:ascii="宋体" w:hAnsi="宋体" w:eastAsia="宋体" w:cs="宋体"/>
          <w:color w:val="auto"/>
          <w:sz w:val="24"/>
          <w:szCs w:val="24"/>
          <w:highlight w:val="none"/>
          <w:u w:val="dotted"/>
        </w:rPr>
        <w:t xml:space="preserve">                        </w:t>
      </w:r>
      <w:bookmarkEnd w:id="413"/>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3"/>
        <w:jc w:val="center"/>
        <w:rPr>
          <w:rFonts w:hint="eastAsia" w:ascii="宋体" w:hAnsi="宋体" w:cs="Times New Roman"/>
          <w:b w:val="0"/>
          <w:bCs w:val="0"/>
          <w:color w:val="auto"/>
          <w:highlight w:val="none"/>
        </w:rPr>
      </w:pPr>
      <w:bookmarkStart w:id="414" w:name="_Toc31203"/>
      <w:bookmarkStart w:id="415" w:name="_Toc1896"/>
      <w:bookmarkStart w:id="416" w:name="_Toc11428"/>
      <w:bookmarkStart w:id="417" w:name="_Toc32540"/>
      <w:bookmarkStart w:id="418" w:name="_Toc24894"/>
      <w:bookmarkStart w:id="419" w:name="_Toc11984"/>
      <w:bookmarkStart w:id="420" w:name="_Toc24568"/>
      <w:bookmarkStart w:id="421" w:name="_Toc6551"/>
      <w:bookmarkStart w:id="422" w:name="_Toc8862"/>
      <w:bookmarkStart w:id="423" w:name="_Toc7549"/>
      <w:r>
        <w:rPr>
          <w:rFonts w:hint="eastAsia" w:ascii="宋体" w:hAnsi="宋体" w:cs="Times New Roman"/>
          <w:b w:val="0"/>
          <w:bCs w:val="0"/>
          <w:color w:val="auto"/>
          <w:highlight w:val="none"/>
        </w:rPr>
        <w:t>第二节 投诉书（格式）</w:t>
      </w:r>
      <w:bookmarkEnd w:id="414"/>
      <w:bookmarkEnd w:id="415"/>
      <w:bookmarkEnd w:id="416"/>
      <w:bookmarkEnd w:id="417"/>
      <w:bookmarkEnd w:id="418"/>
      <w:bookmarkEnd w:id="419"/>
      <w:bookmarkEnd w:id="420"/>
      <w:bookmarkEnd w:id="421"/>
      <w:bookmarkEnd w:id="422"/>
      <w:bookmarkEnd w:id="423"/>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4" w:name="PO_3000001867_PM002_12"/>
      <w:r>
        <w:rPr>
          <w:rFonts w:hint="eastAsia" w:ascii="宋体" w:hAnsi="宋体" w:eastAsia="宋体" w:cs="宋体"/>
          <w:color w:val="auto"/>
          <w:sz w:val="24"/>
          <w:szCs w:val="24"/>
          <w:highlight w:val="none"/>
          <w:u w:val="dotted"/>
        </w:rPr>
        <w:t xml:space="preserve">                    </w:t>
      </w:r>
      <w:bookmarkEnd w:id="424"/>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5" w:name="PO_3000001867_PM001_9"/>
      <w:r>
        <w:rPr>
          <w:rFonts w:hint="eastAsia" w:ascii="宋体" w:hAnsi="宋体" w:eastAsia="宋体" w:cs="宋体"/>
          <w:color w:val="auto"/>
          <w:sz w:val="24"/>
          <w:szCs w:val="24"/>
          <w:highlight w:val="none"/>
          <w:u w:val="dotted"/>
        </w:rPr>
        <w:t xml:space="preserve">                    </w:t>
      </w:r>
      <w:bookmarkEnd w:id="425"/>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6" w:name="PO_3000001867_PM026_6"/>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P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jc w:val="left"/>
      <w:rPr>
        <w:rFonts w:hint="default" w:ascii="Times New Roman" w:hAnsi="Times New Roman" w:eastAsia="宋体" w:cs="Times New Roman"/>
        <w:b w:val="0"/>
        <w:bCs w:val="0"/>
        <w:highlight w:val="none"/>
        <w:u w:val="none"/>
        <w:lang w:val="en-US"/>
      </w:rPr>
    </w:pPr>
    <w:r>
      <w:rPr>
        <w:rFonts w:hint="eastAsia" w:ascii="宋体" w:hAnsi="宋体" w:cs="宋体"/>
        <w:b w:val="0"/>
        <w:bCs w:val="0"/>
        <w:color w:val="auto"/>
        <w:kern w:val="0"/>
        <w:szCs w:val="21"/>
        <w:highlight w:val="none"/>
        <w:u w:val="none"/>
        <w:lang w:eastAsia="zh-CN"/>
      </w:rPr>
      <w:t>桂平市木乐镇第一初级中学等6个学校食堂普通餐食品原材料联合采购配送服务项目</w:t>
    </w:r>
    <w:r>
      <w:rPr>
        <w:rFonts w:hint="eastAsia" w:ascii="宋体" w:hAnsi="宋体" w:cs="宋体"/>
        <w:b w:val="0"/>
        <w:bCs w:val="0"/>
        <w:color w:val="auto"/>
        <w:kern w:val="0"/>
        <w:szCs w:val="21"/>
        <w:highlight w:val="none"/>
        <w:u w:val="none"/>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3A1356"/>
    <w:rsid w:val="00643BE3"/>
    <w:rsid w:val="0078768E"/>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B028BF"/>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361B7E"/>
    <w:rsid w:val="066F5DC3"/>
    <w:rsid w:val="0676474C"/>
    <w:rsid w:val="068C4871"/>
    <w:rsid w:val="069602FF"/>
    <w:rsid w:val="06A42419"/>
    <w:rsid w:val="06A6640C"/>
    <w:rsid w:val="06D575E9"/>
    <w:rsid w:val="06F62551"/>
    <w:rsid w:val="07023983"/>
    <w:rsid w:val="071F1DC5"/>
    <w:rsid w:val="072C4424"/>
    <w:rsid w:val="072D0157"/>
    <w:rsid w:val="0733430F"/>
    <w:rsid w:val="07591668"/>
    <w:rsid w:val="075D020D"/>
    <w:rsid w:val="075E0C24"/>
    <w:rsid w:val="07621280"/>
    <w:rsid w:val="07724E37"/>
    <w:rsid w:val="0790327A"/>
    <w:rsid w:val="07A428E3"/>
    <w:rsid w:val="07CB185D"/>
    <w:rsid w:val="07DA4E9C"/>
    <w:rsid w:val="08093A71"/>
    <w:rsid w:val="088E7A4F"/>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6B4369"/>
    <w:rsid w:val="0D7B5D02"/>
    <w:rsid w:val="0D834F58"/>
    <w:rsid w:val="0D9269B0"/>
    <w:rsid w:val="0D972BF2"/>
    <w:rsid w:val="0D984AB4"/>
    <w:rsid w:val="0D992AED"/>
    <w:rsid w:val="0DD5090C"/>
    <w:rsid w:val="0E03730E"/>
    <w:rsid w:val="0E0F21BC"/>
    <w:rsid w:val="0E1770D6"/>
    <w:rsid w:val="0E2844A2"/>
    <w:rsid w:val="0E2B18D5"/>
    <w:rsid w:val="0E3218E4"/>
    <w:rsid w:val="0E56100F"/>
    <w:rsid w:val="0E686875"/>
    <w:rsid w:val="0E73260E"/>
    <w:rsid w:val="0E9C7C87"/>
    <w:rsid w:val="0EA91BC1"/>
    <w:rsid w:val="0EEE19BA"/>
    <w:rsid w:val="0EEF6AAD"/>
    <w:rsid w:val="0EFB7D6B"/>
    <w:rsid w:val="0F035F56"/>
    <w:rsid w:val="0F17197D"/>
    <w:rsid w:val="0F3410B2"/>
    <w:rsid w:val="0F524821"/>
    <w:rsid w:val="0F6A73F4"/>
    <w:rsid w:val="0F6B1F01"/>
    <w:rsid w:val="0F6D7F67"/>
    <w:rsid w:val="0F7200CA"/>
    <w:rsid w:val="0FB74DC9"/>
    <w:rsid w:val="0FCC18B7"/>
    <w:rsid w:val="101A621B"/>
    <w:rsid w:val="101C3B92"/>
    <w:rsid w:val="102F0E28"/>
    <w:rsid w:val="10390118"/>
    <w:rsid w:val="10484987"/>
    <w:rsid w:val="10A25EDA"/>
    <w:rsid w:val="10D4339F"/>
    <w:rsid w:val="10D60B3D"/>
    <w:rsid w:val="11652FD6"/>
    <w:rsid w:val="1189677B"/>
    <w:rsid w:val="11D843F8"/>
    <w:rsid w:val="11EA0D7E"/>
    <w:rsid w:val="11F56084"/>
    <w:rsid w:val="1207458B"/>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DE440D"/>
    <w:rsid w:val="14EF2214"/>
    <w:rsid w:val="15112FB3"/>
    <w:rsid w:val="1517629B"/>
    <w:rsid w:val="153512AC"/>
    <w:rsid w:val="154F4C01"/>
    <w:rsid w:val="15681628"/>
    <w:rsid w:val="15715C29"/>
    <w:rsid w:val="15A71FCF"/>
    <w:rsid w:val="15A85EC8"/>
    <w:rsid w:val="15CE73E7"/>
    <w:rsid w:val="15DA5588"/>
    <w:rsid w:val="15DA6861"/>
    <w:rsid w:val="15E924A8"/>
    <w:rsid w:val="15F7039E"/>
    <w:rsid w:val="164A7121"/>
    <w:rsid w:val="16521360"/>
    <w:rsid w:val="165754AD"/>
    <w:rsid w:val="169D6CED"/>
    <w:rsid w:val="16AF39B2"/>
    <w:rsid w:val="16B56AEF"/>
    <w:rsid w:val="16CC463A"/>
    <w:rsid w:val="172A6452"/>
    <w:rsid w:val="174A7237"/>
    <w:rsid w:val="17526FA4"/>
    <w:rsid w:val="17626C76"/>
    <w:rsid w:val="176B037C"/>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BDD1C16"/>
    <w:rsid w:val="1C2420C1"/>
    <w:rsid w:val="1C5C23DC"/>
    <w:rsid w:val="1C6A4C3A"/>
    <w:rsid w:val="1C915908"/>
    <w:rsid w:val="1C9E7D2D"/>
    <w:rsid w:val="1CA43733"/>
    <w:rsid w:val="1CC05E1A"/>
    <w:rsid w:val="1CCA5C25"/>
    <w:rsid w:val="1CE33425"/>
    <w:rsid w:val="1D1C4D64"/>
    <w:rsid w:val="1D4437F8"/>
    <w:rsid w:val="1D4B5AB7"/>
    <w:rsid w:val="1D4E20E3"/>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3B64EB"/>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164BFC"/>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A25AE4"/>
    <w:rsid w:val="27D10647"/>
    <w:rsid w:val="27DA7DAA"/>
    <w:rsid w:val="27F23143"/>
    <w:rsid w:val="28063E8E"/>
    <w:rsid w:val="28150C75"/>
    <w:rsid w:val="28375750"/>
    <w:rsid w:val="28790670"/>
    <w:rsid w:val="289636FF"/>
    <w:rsid w:val="29095C9F"/>
    <w:rsid w:val="291B1976"/>
    <w:rsid w:val="292145DB"/>
    <w:rsid w:val="2929132D"/>
    <w:rsid w:val="292D12B6"/>
    <w:rsid w:val="293300F4"/>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25203D"/>
    <w:rsid w:val="2B3109E2"/>
    <w:rsid w:val="2B3B1E66"/>
    <w:rsid w:val="2B65068C"/>
    <w:rsid w:val="2B770163"/>
    <w:rsid w:val="2B960D99"/>
    <w:rsid w:val="2B9E3F4D"/>
    <w:rsid w:val="2B9E7E17"/>
    <w:rsid w:val="2BB629A0"/>
    <w:rsid w:val="2BC2745E"/>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EFC19F7"/>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827D75"/>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057F2"/>
    <w:rsid w:val="34420B22"/>
    <w:rsid w:val="345631E3"/>
    <w:rsid w:val="34572A71"/>
    <w:rsid w:val="348222AE"/>
    <w:rsid w:val="34995678"/>
    <w:rsid w:val="349D7A9E"/>
    <w:rsid w:val="34B87A7E"/>
    <w:rsid w:val="34BB41E0"/>
    <w:rsid w:val="34BC4B4B"/>
    <w:rsid w:val="34F718FA"/>
    <w:rsid w:val="3507717E"/>
    <w:rsid w:val="350C2D09"/>
    <w:rsid w:val="351E5210"/>
    <w:rsid w:val="35647C06"/>
    <w:rsid w:val="3592350F"/>
    <w:rsid w:val="35A67A5F"/>
    <w:rsid w:val="35C46C07"/>
    <w:rsid w:val="35F40F8A"/>
    <w:rsid w:val="35F526E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C735C"/>
    <w:rsid w:val="37A0301C"/>
    <w:rsid w:val="37D50947"/>
    <w:rsid w:val="37FB3273"/>
    <w:rsid w:val="383967AA"/>
    <w:rsid w:val="38681113"/>
    <w:rsid w:val="387E0FDF"/>
    <w:rsid w:val="387F5AF8"/>
    <w:rsid w:val="38B93DC5"/>
    <w:rsid w:val="38BE762D"/>
    <w:rsid w:val="38C904AC"/>
    <w:rsid w:val="38E50D89"/>
    <w:rsid w:val="38E53346"/>
    <w:rsid w:val="38F404CC"/>
    <w:rsid w:val="39122329"/>
    <w:rsid w:val="39455184"/>
    <w:rsid w:val="39726B7C"/>
    <w:rsid w:val="397315B2"/>
    <w:rsid w:val="397A5F51"/>
    <w:rsid w:val="399B6E57"/>
    <w:rsid w:val="39A7115D"/>
    <w:rsid w:val="39D1783B"/>
    <w:rsid w:val="39EA3076"/>
    <w:rsid w:val="39F71049"/>
    <w:rsid w:val="3A2C1123"/>
    <w:rsid w:val="3A395E36"/>
    <w:rsid w:val="3A443C96"/>
    <w:rsid w:val="3A5E69D2"/>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016178"/>
    <w:rsid w:val="3D237900"/>
    <w:rsid w:val="3D734AB6"/>
    <w:rsid w:val="3D766728"/>
    <w:rsid w:val="3DBD339D"/>
    <w:rsid w:val="3DE14882"/>
    <w:rsid w:val="3E173A67"/>
    <w:rsid w:val="3E3A55DD"/>
    <w:rsid w:val="3E4F3CEB"/>
    <w:rsid w:val="3E622809"/>
    <w:rsid w:val="3E7569E0"/>
    <w:rsid w:val="3E8B7A4C"/>
    <w:rsid w:val="3E952BDE"/>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0B3158"/>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852DDD"/>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16230"/>
    <w:rsid w:val="43EB38BE"/>
    <w:rsid w:val="43F31EC1"/>
    <w:rsid w:val="43FB1131"/>
    <w:rsid w:val="441A2345"/>
    <w:rsid w:val="44385910"/>
    <w:rsid w:val="443F0DB6"/>
    <w:rsid w:val="445E4478"/>
    <w:rsid w:val="447E4A26"/>
    <w:rsid w:val="449F1233"/>
    <w:rsid w:val="44E471D7"/>
    <w:rsid w:val="44E65F41"/>
    <w:rsid w:val="45435142"/>
    <w:rsid w:val="455F6E02"/>
    <w:rsid w:val="45643F5B"/>
    <w:rsid w:val="458F40E0"/>
    <w:rsid w:val="45921C25"/>
    <w:rsid w:val="45987D1F"/>
    <w:rsid w:val="45B63B66"/>
    <w:rsid w:val="45D4622A"/>
    <w:rsid w:val="45FB3C6E"/>
    <w:rsid w:val="461D638C"/>
    <w:rsid w:val="462E0726"/>
    <w:rsid w:val="46396545"/>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961EA1"/>
    <w:rsid w:val="479C6C60"/>
    <w:rsid w:val="47A42B87"/>
    <w:rsid w:val="47B03B4D"/>
    <w:rsid w:val="47BF3F6E"/>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469FF"/>
    <w:rsid w:val="49A95790"/>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E332AC"/>
    <w:rsid w:val="4EF94B51"/>
    <w:rsid w:val="4F075432"/>
    <w:rsid w:val="4F155DA1"/>
    <w:rsid w:val="4F2E463F"/>
    <w:rsid w:val="4F4F2ACB"/>
    <w:rsid w:val="4F7A5C1F"/>
    <w:rsid w:val="4F8F33DB"/>
    <w:rsid w:val="4F940DFD"/>
    <w:rsid w:val="4F9D2D1D"/>
    <w:rsid w:val="4FA72771"/>
    <w:rsid w:val="4FBC2E9C"/>
    <w:rsid w:val="4FF37764"/>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0500DC"/>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6FA0D87"/>
    <w:rsid w:val="571177FA"/>
    <w:rsid w:val="571A4D54"/>
    <w:rsid w:val="57285324"/>
    <w:rsid w:val="572C50A1"/>
    <w:rsid w:val="574A79DE"/>
    <w:rsid w:val="574E744D"/>
    <w:rsid w:val="57544F8D"/>
    <w:rsid w:val="576C0528"/>
    <w:rsid w:val="57862A77"/>
    <w:rsid w:val="57B47CCE"/>
    <w:rsid w:val="57D26EB7"/>
    <w:rsid w:val="580653FD"/>
    <w:rsid w:val="580C3AB9"/>
    <w:rsid w:val="580F63AE"/>
    <w:rsid w:val="58474AF1"/>
    <w:rsid w:val="586B7753"/>
    <w:rsid w:val="58AA581E"/>
    <w:rsid w:val="58BD6B62"/>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0E2082"/>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5841EB"/>
    <w:rsid w:val="5E7B08D1"/>
    <w:rsid w:val="5E826CA8"/>
    <w:rsid w:val="5E847D30"/>
    <w:rsid w:val="5EAA4AD8"/>
    <w:rsid w:val="5EAB0D2C"/>
    <w:rsid w:val="5EE44E48"/>
    <w:rsid w:val="5F2B1805"/>
    <w:rsid w:val="5F2C34B6"/>
    <w:rsid w:val="5F476193"/>
    <w:rsid w:val="5F4B4EC7"/>
    <w:rsid w:val="5F4D6DA2"/>
    <w:rsid w:val="5F922248"/>
    <w:rsid w:val="5FA17662"/>
    <w:rsid w:val="5FAE1170"/>
    <w:rsid w:val="5FB76261"/>
    <w:rsid w:val="5FC20536"/>
    <w:rsid w:val="5FF15091"/>
    <w:rsid w:val="603F26D9"/>
    <w:rsid w:val="604231D2"/>
    <w:rsid w:val="60573113"/>
    <w:rsid w:val="605B55DE"/>
    <w:rsid w:val="60793CB6"/>
    <w:rsid w:val="608679A2"/>
    <w:rsid w:val="60D56C76"/>
    <w:rsid w:val="60E342E4"/>
    <w:rsid w:val="61001CE1"/>
    <w:rsid w:val="61151723"/>
    <w:rsid w:val="61181721"/>
    <w:rsid w:val="613432FE"/>
    <w:rsid w:val="61406582"/>
    <w:rsid w:val="614528AC"/>
    <w:rsid w:val="615A50E8"/>
    <w:rsid w:val="61670D47"/>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E4A18"/>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CB717B"/>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C34F37"/>
    <w:rsid w:val="66E83943"/>
    <w:rsid w:val="67073DC9"/>
    <w:rsid w:val="670F7889"/>
    <w:rsid w:val="67126567"/>
    <w:rsid w:val="67194A17"/>
    <w:rsid w:val="67211260"/>
    <w:rsid w:val="672F50CE"/>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A458A"/>
    <w:rsid w:val="696F208D"/>
    <w:rsid w:val="698E0FEB"/>
    <w:rsid w:val="698E3009"/>
    <w:rsid w:val="6998799E"/>
    <w:rsid w:val="69D75B2A"/>
    <w:rsid w:val="6A1E0E59"/>
    <w:rsid w:val="6A3E6267"/>
    <w:rsid w:val="6A5979DE"/>
    <w:rsid w:val="6A854BA1"/>
    <w:rsid w:val="6A8923D3"/>
    <w:rsid w:val="6A8C61EA"/>
    <w:rsid w:val="6AA33E09"/>
    <w:rsid w:val="6AB9187F"/>
    <w:rsid w:val="6AC326FD"/>
    <w:rsid w:val="6ADB3525"/>
    <w:rsid w:val="6AE8250B"/>
    <w:rsid w:val="6AF23718"/>
    <w:rsid w:val="6B4078AA"/>
    <w:rsid w:val="6B5604CD"/>
    <w:rsid w:val="6B672A86"/>
    <w:rsid w:val="6B6F7D91"/>
    <w:rsid w:val="6B8723B0"/>
    <w:rsid w:val="6B8B2B72"/>
    <w:rsid w:val="6BFD39ED"/>
    <w:rsid w:val="6C3170F0"/>
    <w:rsid w:val="6C3A254B"/>
    <w:rsid w:val="6C9C3C49"/>
    <w:rsid w:val="6C9F6852"/>
    <w:rsid w:val="6CA8352E"/>
    <w:rsid w:val="6CB97733"/>
    <w:rsid w:val="6CD725ED"/>
    <w:rsid w:val="6CE34991"/>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4E2A69"/>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1FC"/>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361FD5"/>
    <w:rsid w:val="763E3B33"/>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14DCA"/>
    <w:rsid w:val="77970501"/>
    <w:rsid w:val="77CE4E49"/>
    <w:rsid w:val="77DD1955"/>
    <w:rsid w:val="78106856"/>
    <w:rsid w:val="78492BFF"/>
    <w:rsid w:val="784A2834"/>
    <w:rsid w:val="78986C8F"/>
    <w:rsid w:val="78CD0C53"/>
    <w:rsid w:val="78E85ACC"/>
    <w:rsid w:val="78EC114F"/>
    <w:rsid w:val="78F53EF1"/>
    <w:rsid w:val="78F87A16"/>
    <w:rsid w:val="79064ACA"/>
    <w:rsid w:val="79200D68"/>
    <w:rsid w:val="79404045"/>
    <w:rsid w:val="794744F9"/>
    <w:rsid w:val="794B1CCF"/>
    <w:rsid w:val="794C17A8"/>
    <w:rsid w:val="794E1F75"/>
    <w:rsid w:val="79560FF9"/>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4551C"/>
    <w:rsid w:val="7A98300E"/>
    <w:rsid w:val="7AA812CD"/>
    <w:rsid w:val="7AF67F85"/>
    <w:rsid w:val="7AF83E4D"/>
    <w:rsid w:val="7B2241A0"/>
    <w:rsid w:val="7B3D3B4B"/>
    <w:rsid w:val="7B4E5F74"/>
    <w:rsid w:val="7B5B590C"/>
    <w:rsid w:val="7B857075"/>
    <w:rsid w:val="7BB5399C"/>
    <w:rsid w:val="7BC21276"/>
    <w:rsid w:val="7BC525C4"/>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6006E"/>
    <w:rsid w:val="7CDD2498"/>
    <w:rsid w:val="7CE10687"/>
    <w:rsid w:val="7CE111F7"/>
    <w:rsid w:val="7D1428F3"/>
    <w:rsid w:val="7D1C52E3"/>
    <w:rsid w:val="7D226CD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033688"/>
    <w:rsid w:val="7E0353C2"/>
    <w:rsid w:val="7E221091"/>
    <w:rsid w:val="7E2719D2"/>
    <w:rsid w:val="7E301C88"/>
    <w:rsid w:val="7E5706C0"/>
    <w:rsid w:val="7E730C2B"/>
    <w:rsid w:val="7E797FB0"/>
    <w:rsid w:val="7EA1239A"/>
    <w:rsid w:val="7EC24D40"/>
    <w:rsid w:val="7EC81A6C"/>
    <w:rsid w:val="7ED9582D"/>
    <w:rsid w:val="7EE66563"/>
    <w:rsid w:val="7F21731A"/>
    <w:rsid w:val="7F431EC6"/>
    <w:rsid w:val="7F46457A"/>
    <w:rsid w:val="7F655F2B"/>
    <w:rsid w:val="7F66149A"/>
    <w:rsid w:val="7FCD24B7"/>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1"/>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118</Words>
  <Characters>143</Characters>
  <Lines>0</Lines>
  <Paragraphs>0</Paragraphs>
  <TotalTime>0</TotalTime>
  <ScaleCrop>false</ScaleCrop>
  <LinksUpToDate>false</LinksUpToDate>
  <CharactersWithSpaces>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谁说妙不可言</cp:lastModifiedBy>
  <cp:lastPrinted>2025-04-09T07:48:00Z</cp:lastPrinted>
  <dcterms:modified xsi:type="dcterms:W3CDTF">2025-04-25T01:25:52Z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33016EA7219C4ABD8442F7CE5551347C_13</vt:lpwstr>
  </property>
  <property fmtid="{D5CDD505-2E9C-101B-9397-08002B2CF9AE}" pid="4" name="KSOTemplateDocerSaveRecord">
    <vt:lpwstr>eyJoZGlkIjoiOTM2ZTEyYjA2MGI4NGZiYzNlZWY3NzgyYjM2NTM0NDUiLCJ1c2VySWQiOiIyMzQ1NTc2ODYifQ==</vt:lpwstr>
  </property>
</Properties>
</file>