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桂平市木乐镇第一初级中学等6个学校食堂普通餐食品原材料联合采购配送服务项目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GGZC2025-G3-810040-GXXP</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桂平市木乐镇第一初级中学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广西鑫磐工程项目管理有限责任公司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3</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84"/>
      <w:bookmarkStart w:id="2" w:name="_Toc9949"/>
      <w:bookmarkStart w:id="3" w:name="_Toc16222"/>
      <w:bookmarkStart w:id="4" w:name="_Toc11500"/>
      <w:bookmarkStart w:id="5" w:name="_Toc20258"/>
      <w:bookmarkStart w:id="6" w:name="_Toc12228"/>
      <w:bookmarkStart w:id="7" w:name="_Toc18459"/>
      <w:bookmarkStart w:id="8" w:name="_Toc8345"/>
      <w:bookmarkStart w:id="9" w:name="_Toc19537"/>
      <w:bookmarkStart w:id="10" w:name="_Toc16576"/>
      <w:bookmarkStart w:id="11" w:name="_Toc1870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桂平市木乐镇第一初级中学等6个学校食堂普通餐食品原材料联合采购配送服务项目公开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桂平市木乐镇第一初级中学等6个学校食堂普通餐食品原材料联合采购配送服务项目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2025年5月14日09点00分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2" w:name="_Toc28359079"/>
      <w:bookmarkStart w:id="13" w:name="_Toc35393621"/>
      <w:bookmarkStart w:id="14" w:name="_Toc28359002"/>
      <w:bookmarkStart w:id="15" w:name="_Toc35393790"/>
      <w:bookmarkStart w:id="16" w:name="_Hlk24379207"/>
      <w:r>
        <w:rPr>
          <w:rFonts w:hint="eastAsia" w:ascii="黑体" w:hAnsi="黑体" w:eastAsia="黑体" w:cs="Times New Roman"/>
          <w:b/>
          <w:bCs/>
          <w:color w:val="auto"/>
          <w:sz w:val="24"/>
          <w:highlight w:val="none"/>
        </w:rPr>
        <w:t>一、项目基本情况</w:t>
      </w:r>
      <w:bookmarkEnd w:id="12"/>
      <w:bookmarkEnd w:id="13"/>
      <w:bookmarkEnd w:id="14"/>
      <w:bookmarkEnd w:id="15"/>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GGZC2025-G3-810040-GXXP</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6"/>
      <w:r>
        <w:rPr>
          <w:rFonts w:hint="eastAsia" w:ascii="宋体" w:hAnsi="宋体" w:cs="宋体"/>
          <w:color w:val="auto"/>
          <w:kern w:val="0"/>
          <w:szCs w:val="21"/>
          <w:highlight w:val="none"/>
          <w:u w:val="none"/>
          <w:lang w:eastAsia="zh-CN"/>
        </w:rPr>
        <w:t>桂平市木乐镇第一初级中学等6个学校食堂普通餐食品原材料联合采购配送服务项目</w:t>
      </w:r>
    </w:p>
    <w:p w14:paraId="27E8503A">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宋体"/>
          <w:color w:val="auto"/>
          <w:kern w:val="0"/>
          <w:szCs w:val="21"/>
          <w:highlight w:val="none"/>
          <w:u w:val="none"/>
          <w:lang w:val="en-US" w:eastAsia="zh-CN"/>
        </w:rPr>
        <w:t>2870万元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single"/>
          <w:lang w:val="en-US" w:eastAsia="zh-CN"/>
        </w:rPr>
      </w:pPr>
      <w:r>
        <w:rPr>
          <w:rFonts w:hint="eastAsia" w:ascii="宋体" w:hAnsi="宋体" w:cs="Times New Roman"/>
          <w:color w:val="auto"/>
          <w:szCs w:val="21"/>
          <w:highlight w:val="none"/>
          <w:lang w:val="en-US" w:eastAsia="zh-CN"/>
        </w:rPr>
        <w:t>采购需求：</w:t>
      </w:r>
      <w:r>
        <w:rPr>
          <w:rFonts w:hint="eastAsia" w:ascii="宋体" w:hAnsi="宋体" w:cs="Times New Roman"/>
          <w:color w:val="auto"/>
          <w:szCs w:val="21"/>
          <w:highlight w:val="none"/>
          <w:u w:val="singl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u w:val="single"/>
        </w:rPr>
        <w:t>鲜活水产类</w:t>
      </w:r>
      <w:r>
        <w:rPr>
          <w:rFonts w:hint="eastAsia" w:ascii="宋体" w:hAnsi="宋体" w:cs="Times New Roman"/>
          <w:color w:val="auto"/>
          <w:szCs w:val="21"/>
          <w:highlight w:val="none"/>
          <w:u w:val="singl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木乐镇第二初级中学、桂平市木乐镇中心幼儿园、桂平市木圭镇第一初级中学、桂平市木圭镇第二初级中学、桂平市木圭镇中心幼儿园委托桂平市木乐镇第一初级中学办理本项目招标程序，桂平市木乐镇第一初级中学、桂平市木乐镇第二初级中学、桂平市木乐镇中心幼儿园、桂平市木圭镇第一初级中学、桂平市木圭镇第二初级中学、桂平市木圭镇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u w:val="single"/>
          <w:lang w:eastAsia="zh-CN"/>
        </w:rPr>
        <w:t>自合同签订之日起2年（具体起止时间以签订合同为准）</w:t>
      </w:r>
      <w:r>
        <w:rPr>
          <w:rFonts w:hint="eastAsia" w:ascii="宋体" w:hAnsi="宋体" w:cs="宋体"/>
          <w:bCs/>
          <w:color w:val="auto"/>
          <w:szCs w:val="21"/>
          <w:highlight w:val="none"/>
          <w:u w:val="singl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7" w:name="_Toc35393622"/>
      <w:bookmarkStart w:id="18" w:name="_Toc28359003"/>
      <w:bookmarkStart w:id="19" w:name="_Toc28359080"/>
      <w:bookmarkStart w:id="20" w:name="_Toc35393791"/>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7"/>
      <w:bookmarkEnd w:id="18"/>
      <w:bookmarkEnd w:id="19"/>
      <w:bookmarkEnd w:id="20"/>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1" w:name="_Toc28359004"/>
      <w:bookmarkStart w:id="22"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u w:val="single"/>
        </w:rPr>
        <w:t>具备</w:t>
      </w:r>
      <w:r>
        <w:rPr>
          <w:rFonts w:hint="eastAsia" w:ascii="宋体" w:hAnsi="宋体" w:cs="宋体"/>
          <w:color w:val="auto"/>
          <w:szCs w:val="21"/>
          <w:highlight w:val="none"/>
          <w:u w:val="single"/>
          <w:lang w:eastAsia="zh-CN"/>
        </w:rPr>
        <w:t>相应有效</w:t>
      </w:r>
      <w:r>
        <w:rPr>
          <w:rFonts w:hint="eastAsia" w:ascii="宋体" w:hAnsi="宋体" w:cs="宋体"/>
          <w:color w:val="auto"/>
          <w:szCs w:val="21"/>
          <w:highlight w:val="none"/>
          <w:u w:val="single"/>
        </w:rPr>
        <w:t>的</w:t>
      </w:r>
      <w:r>
        <w:rPr>
          <w:rFonts w:hint="eastAsia" w:ascii="宋体" w:hAnsi="宋体" w:cs="宋体"/>
          <w:color w:val="auto"/>
          <w:szCs w:val="21"/>
          <w:highlight w:val="none"/>
          <w:u w:val="single"/>
          <w:lang w:val="en-US" w:eastAsia="zh-CN"/>
        </w:rPr>
        <w:t>《食品经营许可证》</w:t>
      </w:r>
      <w:r>
        <w:rPr>
          <w:rFonts w:hint="eastAsia" w:ascii="宋体" w:hAnsi="宋体" w:cs="宋体"/>
          <w:color w:val="auto"/>
          <w:szCs w:val="21"/>
          <w:highlight w:val="none"/>
          <w:u w:val="single"/>
          <w:lang w:eastAsia="zh-CN"/>
        </w:rPr>
        <w:t>。</w:t>
      </w:r>
    </w:p>
    <w:p w14:paraId="036464B1">
      <w:pPr>
        <w:spacing w:line="360" w:lineRule="auto"/>
        <w:rPr>
          <w:rFonts w:hint="eastAsia" w:ascii="黑体" w:hAnsi="黑体" w:eastAsia="黑体" w:cs="Times New Roman"/>
          <w:b/>
          <w:bCs/>
          <w:color w:val="auto"/>
          <w:sz w:val="24"/>
          <w:highlight w:val="none"/>
        </w:rPr>
      </w:pPr>
      <w:bookmarkStart w:id="23" w:name="_Toc35393792"/>
      <w:bookmarkStart w:id="24" w:name="_Toc35393623"/>
      <w:r>
        <w:rPr>
          <w:rFonts w:hint="eastAsia" w:ascii="黑体" w:hAnsi="黑体" w:eastAsia="黑体" w:cs="Times New Roman"/>
          <w:b/>
          <w:bCs/>
          <w:color w:val="auto"/>
          <w:sz w:val="24"/>
          <w:highlight w:val="none"/>
        </w:rPr>
        <w:t>三、获取招标文件</w:t>
      </w:r>
      <w:bookmarkEnd w:id="21"/>
      <w:bookmarkEnd w:id="22"/>
      <w:bookmarkEnd w:id="23"/>
      <w:bookmarkEnd w:id="24"/>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5" w:name="_Toc28359082"/>
      <w:bookmarkStart w:id="26" w:name="_Toc28359005"/>
      <w:bookmarkStart w:id="27" w:name="_Toc35393793"/>
      <w:bookmarkStart w:id="28"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5"/>
      <w:bookmarkEnd w:id="26"/>
      <w:r>
        <w:rPr>
          <w:rFonts w:hint="eastAsia" w:ascii="黑体" w:hAnsi="黑体" w:eastAsia="黑体" w:cs="Times New Roman"/>
          <w:b/>
          <w:bCs/>
          <w:color w:val="auto"/>
          <w:sz w:val="24"/>
          <w:highlight w:val="none"/>
        </w:rPr>
        <w:t>截止时间、开标时间和地点</w:t>
      </w:r>
      <w:bookmarkEnd w:id="27"/>
      <w:bookmarkEnd w:id="28"/>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29" w:name="PO_3000001867_PM015_1"/>
      <w:r>
        <w:rPr>
          <w:rFonts w:hint="eastAsia" w:ascii="宋体" w:hAnsi="宋体" w:cs="宋体"/>
          <w:bCs/>
          <w:color w:val="auto"/>
          <w:szCs w:val="21"/>
          <w:highlight w:val="none"/>
          <w:u w:val="single"/>
          <w:lang w:val="en-US" w:eastAsia="zh-CN"/>
        </w:rPr>
        <w:t>2025年5月14日09点00分</w:t>
      </w:r>
      <w:r>
        <w:rPr>
          <w:rFonts w:hint="eastAsia" w:ascii="宋体" w:hAnsi="宋体" w:cs="宋体"/>
          <w:bCs/>
          <w:color w:val="auto"/>
          <w:szCs w:val="21"/>
          <w:highlight w:val="none"/>
        </w:rPr>
        <w:t>（北京时间）</w:t>
      </w:r>
      <w:bookmarkEnd w:id="29"/>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0" w:name="_Toc35393794"/>
      <w:bookmarkStart w:id="31" w:name="_Toc28359007"/>
      <w:bookmarkStart w:id="32" w:name="_Toc28359084"/>
      <w:bookmarkStart w:id="33" w:name="_Toc35393625"/>
      <w:r>
        <w:rPr>
          <w:rFonts w:hint="eastAsia" w:ascii="黑体" w:hAnsi="黑体" w:eastAsia="黑体" w:cs="Times New Roman"/>
          <w:b/>
          <w:bCs/>
          <w:color w:val="auto"/>
          <w:sz w:val="24"/>
          <w:highlight w:val="none"/>
        </w:rPr>
        <w:t>五、公告期限</w:t>
      </w:r>
      <w:bookmarkEnd w:id="30"/>
      <w:bookmarkEnd w:id="31"/>
      <w:bookmarkEnd w:id="32"/>
      <w:bookmarkEnd w:id="33"/>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4" w:name="_Toc35393795"/>
      <w:bookmarkStart w:id="35" w:name="_Toc35393626"/>
      <w:r>
        <w:rPr>
          <w:rFonts w:hint="eastAsia" w:ascii="黑体" w:hAnsi="黑体" w:eastAsia="黑体" w:cs="Times New Roman"/>
          <w:b/>
          <w:bCs/>
          <w:color w:val="auto"/>
          <w:sz w:val="24"/>
          <w:highlight w:val="none"/>
        </w:rPr>
        <w:t>六、其他补充事宜</w:t>
      </w:r>
      <w:bookmarkEnd w:id="34"/>
      <w:bookmarkEnd w:id="35"/>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3B91C0BF">
      <w:pPr>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6" w:name="_Toc35393627"/>
      <w:bookmarkStart w:id="37" w:name="_Toc28359008"/>
      <w:bookmarkStart w:id="38" w:name="_Toc35393796"/>
      <w:bookmarkStart w:id="39" w:name="_Toc28359085"/>
      <w:r>
        <w:rPr>
          <w:rFonts w:hint="eastAsia" w:ascii="黑体" w:hAnsi="黑体" w:eastAsia="黑体" w:cs="Times New Roman"/>
          <w:b/>
          <w:bCs/>
          <w:color w:val="auto"/>
          <w:sz w:val="24"/>
          <w:highlight w:val="none"/>
        </w:rPr>
        <w:t>七、对本次招标提出询问，请按以下方式联系。</w:t>
      </w:r>
      <w:bookmarkEnd w:id="36"/>
      <w:bookmarkEnd w:id="37"/>
      <w:bookmarkEnd w:id="38"/>
      <w:bookmarkEnd w:id="39"/>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桂平市木乐镇第一初级中学</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桂平市木乐镇一中路 </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覃校长</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广西鑫磐工程项目管理有限责任公司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bCs/>
          <w:color w:val="auto"/>
          <w:szCs w:val="21"/>
          <w:highlight w:val="none"/>
          <w:lang w:eastAsia="zh-CN"/>
        </w:rPr>
        <w:t>贵港市港北区荷城路1108号（荷城世家）77幢12号商铺（荷城世家北面商铺中段）</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 </w:t>
      </w:r>
      <w:r>
        <w:rPr>
          <w:rFonts w:hint="eastAsia" w:ascii="宋体" w:hAnsi="宋体" w:cs="宋体"/>
          <w:bCs/>
          <w:color w:val="auto"/>
          <w:szCs w:val="21"/>
          <w:highlight w:val="none"/>
          <w:lang w:eastAsia="zh-CN"/>
        </w:rPr>
        <w:t>戈伟梅</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bCs/>
          <w:color w:val="auto"/>
          <w:szCs w:val="21"/>
          <w:highlight w:val="none"/>
        </w:rPr>
        <w:t>0775-</w:t>
      </w:r>
      <w:r>
        <w:rPr>
          <w:rFonts w:hint="eastAsia" w:ascii="宋体" w:hAnsi="宋体" w:cs="宋体"/>
          <w:bCs/>
          <w:color w:val="auto"/>
          <w:szCs w:val="21"/>
          <w:highlight w:val="none"/>
          <w:lang w:eastAsia="zh-CN"/>
        </w:rPr>
        <w:t>4556706</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广西鑫磐工程项目管理有限责任公司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2025年4月10日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0" w:name="_Toc532545042"/>
      <w:bookmarkStart w:id="41" w:name="_Toc8382"/>
      <w:bookmarkStart w:id="42" w:name="_Toc13449"/>
      <w:bookmarkStart w:id="43" w:name="_Toc4483"/>
      <w:bookmarkStart w:id="44" w:name="_Toc21081"/>
      <w:bookmarkStart w:id="45" w:name="_Toc32573"/>
      <w:bookmarkStart w:id="46" w:name="_Toc7686"/>
      <w:bookmarkStart w:id="47" w:name="_Toc24210"/>
      <w:bookmarkStart w:id="48" w:name="_Toc28689"/>
      <w:bookmarkStart w:id="49" w:name="_Toc2299"/>
      <w:bookmarkStart w:id="50" w:name="_Toc17621"/>
      <w:bookmarkStart w:id="51" w:name="_Toc937"/>
      <w:bookmarkStart w:id="52" w:name="_Toc7337"/>
      <w:bookmarkStart w:id="53" w:name="_Toc22408"/>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0"/>
      <w:r>
        <w:rPr>
          <w:rFonts w:hint="eastAsia" w:ascii="Times New Roman" w:hAnsi="Times New Roman" w:eastAsia="宋体" w:cs="Times New Roman"/>
          <w:b/>
          <w:color w:val="auto"/>
          <w:sz w:val="36"/>
          <w:highlight w:val="none"/>
        </w:rPr>
        <w:t>采购需求</w:t>
      </w:r>
      <w:bookmarkEnd w:id="41"/>
      <w:bookmarkEnd w:id="42"/>
      <w:bookmarkEnd w:id="43"/>
      <w:bookmarkEnd w:id="44"/>
      <w:bookmarkEnd w:id="45"/>
      <w:bookmarkEnd w:id="46"/>
      <w:bookmarkEnd w:id="47"/>
      <w:bookmarkEnd w:id="48"/>
      <w:bookmarkEnd w:id="49"/>
      <w:bookmarkEnd w:id="50"/>
      <w:bookmarkEnd w:id="51"/>
      <w:bookmarkEnd w:id="52"/>
      <w:bookmarkEnd w:id="53"/>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cs="宋体"/>
          <w:color w:val="auto"/>
          <w:kern w:val="0"/>
          <w:szCs w:val="21"/>
          <w:highlight w:val="none"/>
          <w:u w:val="none"/>
          <w:lang w:val="en-US" w:eastAsia="zh-CN"/>
        </w:rPr>
        <w:t>2870万元</w:t>
      </w:r>
      <w:r>
        <w:rPr>
          <w:rFonts w:hint="eastAsia" w:ascii="宋体" w:hAnsi="宋体" w:eastAsia="宋体" w:cs="宋体"/>
          <w:b w:val="0"/>
          <w:color w:val="auto"/>
          <w:sz w:val="21"/>
          <w:szCs w:val="21"/>
          <w:highlight w:val="none"/>
          <w:lang w:val="en-US" w:eastAsia="zh-CN"/>
        </w:rPr>
        <w:t>，本项目预算金额仅供参考，以实际结算额为准。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89" w:type="dxa"/>
            <w:noWrap w:val="0"/>
            <w:vAlign w:val="center"/>
          </w:tcPr>
          <w:p w14:paraId="4E5F348C">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keepNext w:val="0"/>
              <w:keepLines w:val="0"/>
              <w:pageBreakBefore w:val="0"/>
              <w:widowControl w:val="0"/>
              <w:kinsoku/>
              <w:wordWrap/>
              <w:overflowPunct/>
              <w:topLinePunct w:val="0"/>
              <w:bidi w:val="0"/>
              <w:adjustRightInd/>
              <w:spacing w:line="4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widowControl w:val="0"/>
              <w:numPr>
                <w:ilvl w:val="0"/>
                <w:numId w:val="0"/>
              </w:numPr>
              <w:kinsoku/>
              <w:wordWrap/>
              <w:overflowPunct/>
              <w:topLinePunct w:val="0"/>
              <w:bidi w:val="0"/>
              <w:adjustRightInd/>
              <w:snapToGrid w:val="0"/>
              <w:spacing w:line="4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widowControl w:val="0"/>
              <w:kinsoku/>
              <w:wordWrap/>
              <w:overflowPunct/>
              <w:topLinePunct w:val="0"/>
              <w:autoSpaceDE w:val="0"/>
              <w:autoSpaceDN w:val="0"/>
              <w:bidi w:val="0"/>
              <w:adjustRightInd/>
              <w:spacing w:line="4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keepNext w:val="0"/>
              <w:keepLines w:val="0"/>
              <w:pageBreakBefore w:val="0"/>
              <w:widowControl w:val="0"/>
              <w:kinsoku/>
              <w:wordWrap/>
              <w:overflowPunct/>
              <w:topLinePunct w:val="0"/>
              <w:bidi w:val="0"/>
              <w:adjustRightInd/>
              <w:spacing w:line="4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4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53B0AA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color w:val="auto"/>
                <w:highlight w:val="none"/>
                <w:u w:val="single"/>
              </w:rPr>
              <w:t>桂平市木乐镇第一初级中学、桂平市木乐镇第二初级中学、桂平市木乐镇中心幼儿园、 桂平市木圭镇第一初级中学、桂平市木圭镇第二初级中学、</w:t>
            </w:r>
            <w:r>
              <w:rPr>
                <w:rFonts w:hint="eastAsia"/>
                <w:color w:val="auto"/>
                <w:highlight w:val="none"/>
                <w:u w:val="single"/>
                <w:lang w:eastAsia="zh-CN"/>
              </w:rPr>
              <w:t>桂平市木圭镇中心幼儿园</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、送货地点：桂平市木乐镇第一初级中学、桂平市木乐镇第二初级中学、桂平市木乐镇中心幼儿园、 桂平市木圭镇第一初级中学、桂平市木圭镇第二初级中学、</w:t>
            </w:r>
            <w:r>
              <w:rPr>
                <w:rFonts w:hint="eastAsia" w:ascii="宋体" w:hAnsi="宋体" w:cs="宋体"/>
                <w:color w:val="auto"/>
                <w:highlight w:val="none"/>
                <w:lang w:val="en-US" w:eastAsia="zh-CN"/>
              </w:rPr>
              <w:t>桂平市木圭镇中心幼儿园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4" w:name="_Hlk183448658"/>
            <w:r>
              <w:rPr>
                <w:rFonts w:hint="eastAsia" w:ascii="Times New Roman" w:hAnsi="Times New Roman" w:eastAsia="宋体" w:cs="Times New Roman"/>
                <w:b w:val="0"/>
                <w:bCs/>
                <w:color w:val="auto"/>
                <w:highlight w:val="none"/>
                <w:lang w:val="en-US" w:eastAsia="zh-CN"/>
              </w:rPr>
              <w:t>招标单位</w:t>
            </w:r>
            <w:bookmarkEnd w:id="54"/>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5" w:name="_Toc28361_WPSOffice_Level2"/>
      <w:r>
        <w:rPr>
          <w:rFonts w:hint="eastAsia" w:ascii="宋体" w:hAnsi="宋体" w:cs="宋体"/>
          <w:b/>
          <w:bCs/>
          <w:color w:val="auto"/>
          <w:kern w:val="0"/>
          <w:sz w:val="30"/>
          <w:szCs w:val="30"/>
          <w:highlight w:val="none"/>
        </w:rPr>
        <w:t>统计上大中小微型企业划分标准</w:t>
      </w:r>
      <w:bookmarkEnd w:id="55"/>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3542FD6">
      <w:pPr>
        <w:jc w:val="left"/>
        <w:outlineLvl w:val="9"/>
        <w:rPr>
          <w:rFonts w:hint="default" w:ascii="Times New Roman" w:hAnsi="Times New Roman" w:eastAsia="宋体" w:cs="Times New Roman"/>
          <w:b w:val="0"/>
          <w:color w:val="auto"/>
          <w:sz w:val="21"/>
          <w:highlight w:val="none"/>
        </w:rPr>
      </w:pPr>
      <w:bookmarkStart w:id="56" w:name="_Toc6362"/>
      <w:bookmarkStart w:id="57" w:name="_Toc496"/>
      <w:bookmarkStart w:id="58" w:name="_Toc3325"/>
      <w:bookmarkStart w:id="59" w:name="_Toc8975"/>
      <w:bookmarkStart w:id="60" w:name="_Toc24489"/>
      <w:bookmarkStart w:id="61" w:name="_Toc28587"/>
      <w:bookmarkStart w:id="62" w:name="_Toc26039"/>
      <w:bookmarkStart w:id="63" w:name="_Toc9063"/>
      <w:bookmarkStart w:id="64" w:name="_Toc29172"/>
      <w:bookmarkStart w:id="65" w:name="_Toc532545044"/>
      <w:r>
        <w:rPr>
          <w:rFonts w:hint="default" w:ascii="Times New Roman" w:hAnsi="Times New Roman" w:eastAsia="宋体" w:cs="Times New Roman"/>
          <w:b w:val="0"/>
          <w:color w:val="auto"/>
          <w:sz w:val="21"/>
          <w:highlight w:val="none"/>
        </w:rPr>
        <w:br w:type="page"/>
      </w:r>
    </w:p>
    <w:p w14:paraId="126F7FA0">
      <w:pPr>
        <w:pStyle w:val="16"/>
        <w:jc w:val="center"/>
        <w:outlineLvl w:val="0"/>
        <w:rPr>
          <w:rFonts w:hint="eastAsia" w:hAnsi="宋体" w:eastAsia="宋体" w:cs="Times New Roman"/>
          <w:b/>
          <w:color w:val="auto"/>
          <w:sz w:val="36"/>
          <w:szCs w:val="36"/>
          <w:highlight w:val="none"/>
        </w:rPr>
      </w:pPr>
      <w:bookmarkStart w:id="66" w:name="_Toc20085"/>
      <w:bookmarkStart w:id="67" w:name="_Toc20953"/>
      <w:bookmarkStart w:id="68" w:name="_Toc26044"/>
      <w:bookmarkStart w:id="69"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0" w:name="_Toc32208"/>
      <w:bookmarkStart w:id="71" w:name="_Toc4562"/>
      <w:bookmarkStart w:id="72" w:name="_Toc24714"/>
      <w:bookmarkStart w:id="73" w:name="_Toc1597"/>
      <w:bookmarkStart w:id="74" w:name="_Toc8769"/>
      <w:bookmarkStart w:id="75" w:name="_Toc29813"/>
      <w:bookmarkStart w:id="76" w:name="_Toc16388"/>
      <w:bookmarkStart w:id="77" w:name="_Toc11515"/>
      <w:bookmarkStart w:id="78" w:name="_Toc29809"/>
      <w:bookmarkStart w:id="79" w:name="_Toc1003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0"/>
      <w:bookmarkEnd w:id="71"/>
      <w:bookmarkEnd w:id="72"/>
      <w:bookmarkEnd w:id="73"/>
      <w:bookmarkEnd w:id="74"/>
      <w:bookmarkEnd w:id="75"/>
      <w:bookmarkEnd w:id="76"/>
      <w:bookmarkEnd w:id="77"/>
      <w:bookmarkEnd w:id="78"/>
      <w:bookmarkEnd w:id="79"/>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0" w:name="_9.2"/>
            <w:bookmarkEnd w:id="80"/>
            <w:bookmarkStart w:id="81" w:name="_5"/>
            <w:bookmarkEnd w:id="81"/>
            <w:bookmarkStart w:id="82" w:name="_8.1"/>
            <w:bookmarkEnd w:id="82"/>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3"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3"/>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lang w:eastAsia="zh-CN"/>
              </w:rPr>
            </w:pPr>
            <w:bookmarkStart w:id="84"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4"/>
          </w:p>
          <w:p w14:paraId="4C57DEEB">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keepNext w:val="0"/>
              <w:keepLines w:val="0"/>
              <w:pageBreakBefore w:val="0"/>
              <w:kinsoku/>
              <w:overflowPunct/>
              <w:topLinePunct w:val="0"/>
              <w:bidi w:val="0"/>
              <w:adjustRightIn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5" w:name="_13.2"/>
            <w:bookmarkEnd w:id="85"/>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keepNext w:val="0"/>
              <w:keepLines w:val="0"/>
              <w:pageBreakBefore w:val="0"/>
              <w:kinsoku/>
              <w:overflowPunct/>
              <w:topLinePunct w:val="0"/>
              <w:bidi w:val="0"/>
              <w:adjustRightInd/>
              <w:snapToGrid w:val="0"/>
              <w:spacing w:line="40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6" w:name="_13.3"/>
            <w:bookmarkEnd w:id="86"/>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keepNext w:val="0"/>
              <w:keepLines w:val="0"/>
              <w:pageBreakBefore w:val="0"/>
              <w:kinsoku/>
              <w:overflowPunct/>
              <w:topLinePunct w:val="0"/>
              <w:bidi w:val="0"/>
              <w:adjustRightInd/>
              <w:snapToGrid w:val="0"/>
              <w:spacing w:line="40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bookmarkStart w:id="87" w:name="_13.4"/>
            <w:bookmarkEnd w:id="87"/>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4、项目实施人员一览表（格式自拟）；</w:t>
            </w:r>
          </w:p>
          <w:p w14:paraId="4791857E">
            <w:pPr>
              <w:keepNext w:val="0"/>
              <w:keepLines w:val="0"/>
              <w:pageBreakBefore w:val="0"/>
              <w:kinsoku/>
              <w:overflowPunct/>
              <w:topLinePunct w:val="0"/>
              <w:bidi w:val="0"/>
              <w:adjustRightInd/>
              <w:snapToGrid w:val="0"/>
              <w:spacing w:line="40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keepNext w:val="0"/>
              <w:keepLines w:val="0"/>
              <w:pageBreakBefore w:val="0"/>
              <w:kinsoku/>
              <w:overflowPunct/>
              <w:topLinePunct w:val="0"/>
              <w:bidi w:val="0"/>
              <w:adjustRightInd/>
              <w:snapToGrid w:val="0"/>
              <w:spacing w:line="40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keepNext w:val="0"/>
              <w:keepLines w:val="0"/>
              <w:pageBreakBefore w:val="0"/>
              <w:tabs>
                <w:tab w:val="left" w:pos="459"/>
              </w:tabs>
              <w:kinsoku/>
              <w:overflowPunct/>
              <w:topLinePunct w:val="0"/>
              <w:bidi w:val="0"/>
              <w:adjustRightInd/>
              <w:snapToGrid w:val="0"/>
              <w:spacing w:line="40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8" w:name="_16.2"/>
            <w:bookmarkEnd w:id="88"/>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89" w:name="_17.1"/>
            <w:bookmarkEnd w:id="89"/>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0" w:name="_18"/>
            <w:bookmarkEnd w:id="90"/>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1" w:name="_21.1"/>
            <w:bookmarkEnd w:id="91"/>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2" w:name="_23"/>
            <w:bookmarkEnd w:id="92"/>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3" w:name="_25.3"/>
            <w:bookmarkEnd w:id="93"/>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keepNext w:val="0"/>
              <w:keepLines w:val="0"/>
              <w:pageBreakBefore w:val="0"/>
              <w:widowControl/>
              <w:kinsoku/>
              <w:overflowPunct/>
              <w:topLinePunct w:val="0"/>
              <w:bidi w:val="0"/>
              <w:adjustRightInd/>
              <w:spacing w:line="400" w:lineRule="exact"/>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keepNext w:val="0"/>
              <w:keepLines w:val="0"/>
              <w:pageBreakBefore w:val="0"/>
              <w:widowControl/>
              <w:kinsoku/>
              <w:overflowPunct/>
              <w:topLinePunct w:val="0"/>
              <w:bidi w:val="0"/>
              <w:adjustRightInd/>
              <w:spacing w:line="400" w:lineRule="exact"/>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keepNext w:val="0"/>
              <w:keepLines w:val="0"/>
              <w:pageBreakBefore w:val="0"/>
              <w:kinsoku/>
              <w:overflowPunct/>
              <w:topLinePunct w:val="0"/>
              <w:bidi w:val="0"/>
              <w:adjustRightInd/>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4" w:name="_28.3"/>
            <w:bookmarkEnd w:id="94"/>
            <w:bookmarkStart w:id="95" w:name="_26"/>
            <w:bookmarkEnd w:id="95"/>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6" w:name="_29.2.2（2）"/>
            <w:bookmarkEnd w:id="96"/>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keepNext w:val="0"/>
              <w:keepLines w:val="0"/>
              <w:pageBreakBefore w:val="0"/>
              <w:kinsoku/>
              <w:overflowPunct/>
              <w:topLinePunct w:val="0"/>
              <w:bidi w:val="0"/>
              <w:adjustRightInd/>
              <w:spacing w:line="400" w:lineRule="exact"/>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keepNext w:val="0"/>
              <w:keepLines w:val="0"/>
              <w:pageBreakBefore w:val="0"/>
              <w:kinsoku/>
              <w:overflowPunct/>
              <w:topLinePunct w:val="0"/>
              <w:autoSpaceDE w:val="0"/>
              <w:autoSpaceDN w:val="0"/>
              <w:bidi w:val="0"/>
              <w:adjustRightInd/>
              <w:snapToGrid w:val="0"/>
              <w:spacing w:line="400" w:lineRule="exact"/>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keepNext w:val="0"/>
              <w:keepLines w:val="0"/>
              <w:pageBreakBefore w:val="0"/>
              <w:kinsoku/>
              <w:overflowPunct/>
              <w:topLinePunct w:val="0"/>
              <w:bidi w:val="0"/>
              <w:adjustRightInd/>
              <w:spacing w:line="400" w:lineRule="exact"/>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7" w:name="_39.1"/>
            <w:bookmarkEnd w:id="97"/>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keepNext w:val="0"/>
              <w:keepLines w:val="0"/>
              <w:pageBreakBefore w:val="0"/>
              <w:kinsoku/>
              <w:overflowPunct/>
              <w:topLinePunct w:val="0"/>
              <w:bidi w:val="0"/>
              <w:adjustRightInd/>
              <w:spacing w:line="400" w:lineRule="exact"/>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keepNext w:val="0"/>
              <w:keepLines w:val="0"/>
              <w:pageBreakBefore w:val="0"/>
              <w:kinsoku/>
              <w:overflowPunct/>
              <w:topLinePunct w:val="0"/>
              <w:bidi w:val="0"/>
              <w:adjustRightInd/>
              <w:spacing w:line="400" w:lineRule="exact"/>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8" w:name="_40.1"/>
            <w:bookmarkEnd w:id="98"/>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（1）名称：桂平市木乐镇第一初级中学</w:t>
            </w:r>
          </w:p>
          <w:p w14:paraId="0ECF3833">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w:t>
            </w:r>
            <w:r>
              <w:rPr>
                <w:rFonts w:hint="eastAsia" w:cs="宋体"/>
                <w:color w:val="auto"/>
                <w:szCs w:val="21"/>
                <w:highlight w:val="none"/>
                <w:lang w:val="en-US" w:eastAsia="zh-CN"/>
              </w:rPr>
              <w:t>0775-3666411</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通讯地址：桂平市木乐镇一中路</w:t>
            </w:r>
          </w:p>
          <w:p w14:paraId="73478ECA">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（2）名称：广西鑫磐工程项目管理有限责任公司</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4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 xml:space="preserve">4556706 </w:t>
            </w:r>
          </w:p>
          <w:p w14:paraId="576024B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宋体"/>
                <w:bCs/>
                <w:color w:val="auto"/>
                <w:szCs w:val="21"/>
                <w:highlight w:val="none"/>
                <w:lang w:eastAsia="zh-CN"/>
              </w:rPr>
              <w:t>贵港市港北区荷城路1108号（荷城世家）77幢12号商铺（荷城世家北面商铺中段）</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244AF0FA">
            <w:pPr>
              <w:keepNext w:val="0"/>
              <w:keepLines w:val="0"/>
              <w:pageBreakBefore w:val="0"/>
              <w:shd w:val="clear" w:color="auto" w:fill="auto"/>
              <w:kinsoku/>
              <w:wordWrap w:val="0"/>
              <w:overflowPunct/>
              <w:topLinePunct w:val="0"/>
              <w:bidi w:val="0"/>
              <w:adjustRightInd/>
              <w:spacing w:line="40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4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bookmarkStart w:id="99" w:name="_42"/>
            <w:bookmarkEnd w:id="99"/>
            <w:bookmarkStart w:id="100" w:name="_41"/>
            <w:bookmarkEnd w:id="100"/>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87526">
            <w:pPr>
              <w:keepNext w:val="0"/>
              <w:keepLines w:val="0"/>
              <w:widowControl/>
              <w:suppressLineNumbers w:val="0"/>
              <w:jc w:val="left"/>
              <w:rPr>
                <w:highlight w:val="none"/>
              </w:rPr>
            </w:pPr>
            <w:r>
              <w:rPr>
                <w:rFonts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以本项目某个学校（</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中标金额（某个学校预算价</w:t>
            </w:r>
            <w:r>
              <w:rPr>
                <w:rFonts w:ascii="Arial" w:hAnsi="Arial" w:eastAsia="宋体" w:cs="Arial"/>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投标折扣率）/□采购预算/□暂定中标金额/□其他）为计费额，</w:t>
            </w:r>
            <w:r>
              <w:rPr>
                <w:rFonts w:hint="eastAsia" w:ascii="宋体" w:hAnsi="宋体" w:eastAsia="宋体" w:cs="宋体"/>
                <w:color w:val="000000"/>
                <w:kern w:val="0"/>
                <w:sz w:val="20"/>
                <w:szCs w:val="20"/>
                <w:highlight w:val="none"/>
                <w:lang w:val="en-US" w:eastAsia="zh-CN" w:bidi="ar"/>
              </w:rPr>
              <w:t>招标代理服务费参照国家发展计划委员会计价格[2002]1980号《招标代理服务费管理暂行办法》收费标准及按发改价格〔2015〕299号文规定的收费计取的收费计算标准（服务类）采用差额定率累进法计</w:t>
            </w:r>
            <w:r>
              <w:rPr>
                <w:rFonts w:hint="eastAsia" w:ascii="宋体" w:hAnsi="宋体" w:cs="宋体"/>
                <w:color w:val="000000"/>
                <w:kern w:val="0"/>
                <w:sz w:val="20"/>
                <w:szCs w:val="20"/>
                <w:highlight w:val="none"/>
                <w:lang w:val="en-US" w:eastAsia="zh-CN" w:bidi="ar"/>
              </w:rPr>
              <w:t>取</w:t>
            </w:r>
            <w:r>
              <w:rPr>
                <w:rFonts w:hint="eastAsia" w:ascii="宋体" w:hAnsi="宋体" w:eastAsia="宋体" w:cs="宋体"/>
                <w:color w:val="000000"/>
                <w:kern w:val="0"/>
                <w:sz w:val="20"/>
                <w:szCs w:val="20"/>
                <w:highlight w:val="none"/>
                <w:lang w:val="en-US" w:eastAsia="zh-CN" w:bidi="ar"/>
              </w:rPr>
              <w:t>，采购代理收费以</w:t>
            </w:r>
            <w:bookmarkStart w:id="427" w:name="_GoBack"/>
            <w:bookmarkEnd w:id="427"/>
            <w:r>
              <w:rPr>
                <w:rFonts w:hint="eastAsia" w:ascii="宋体" w:hAnsi="宋体" w:eastAsia="宋体" w:cs="宋体"/>
                <w:color w:val="000000"/>
                <w:kern w:val="0"/>
                <w:sz w:val="20"/>
                <w:szCs w:val="20"/>
                <w:highlight w:val="none"/>
                <w:lang w:val="en-US" w:eastAsia="zh-CN" w:bidi="ar"/>
              </w:rPr>
              <w:t>（</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 xml:space="preserve">收费基准价格/□收费基准价格下浮%/□收费基准价格上浮%）收取。 </w:t>
            </w:r>
          </w:p>
          <w:p w14:paraId="570D277B">
            <w:pPr>
              <w:keepNext w:val="0"/>
              <w:keepLines w:val="0"/>
              <w:widowControl/>
              <w:suppressLineNumbers w:val="0"/>
              <w:jc w:val="left"/>
              <w:rPr>
                <w:highlight w:val="none"/>
              </w:rPr>
            </w:pPr>
            <w:r>
              <w:rPr>
                <w:rFonts w:hint="eastAsia" w:ascii="宋体" w:hAnsi="宋体" w:eastAsia="宋体" w:cs="宋体"/>
                <w:color w:val="000000"/>
                <w:kern w:val="0"/>
                <w:sz w:val="20"/>
                <w:szCs w:val="20"/>
                <w:highlight w:val="none"/>
                <w:lang w:val="en-US" w:eastAsia="zh-CN" w:bidi="ar"/>
              </w:rPr>
              <w:t xml:space="preserve">采购代理收费：例如某学校预算价450万元，投标折扣率为 </w:t>
            </w:r>
            <w:r>
              <w:rPr>
                <w:rFonts w:hint="default" w:ascii="Times New Roman" w:hAnsi="Times New Roman" w:eastAsia="宋体" w:cs="Times New Roman"/>
                <w:color w:val="000000"/>
                <w:kern w:val="0"/>
                <w:sz w:val="20"/>
                <w:szCs w:val="20"/>
                <w:highlight w:val="none"/>
                <w:lang w:val="en-US" w:eastAsia="zh-CN" w:bidi="ar"/>
              </w:rPr>
              <w:t>98%</w:t>
            </w:r>
            <w:r>
              <w:rPr>
                <w:rFonts w:hint="eastAsia" w:ascii="宋体" w:hAnsi="宋体" w:eastAsia="宋体" w:cs="宋体"/>
                <w:color w:val="000000"/>
                <w:kern w:val="0"/>
                <w:sz w:val="20"/>
                <w:szCs w:val="20"/>
                <w:highlight w:val="none"/>
                <w:lang w:val="en-US" w:eastAsia="zh-CN" w:bidi="ar"/>
              </w:rPr>
              <w:t xml:space="preserve">， </w:t>
            </w:r>
          </w:p>
          <w:p w14:paraId="79C5FCB2">
            <w:pPr>
              <w:keepNext w:val="0"/>
              <w:keepLines w:val="0"/>
              <w:widowControl/>
              <w:suppressLineNumbers w:val="0"/>
              <w:jc w:val="left"/>
              <w:rPr>
                <w:rFonts w:hint="default"/>
                <w:color w:val="auto"/>
                <w:highlight w:val="none"/>
                <w:lang w:val="en-US" w:eastAsia="zh-CN"/>
              </w:rPr>
            </w:pPr>
            <w:r>
              <w:rPr>
                <w:rFonts w:hint="eastAsia" w:ascii="宋体" w:hAnsi="宋体" w:eastAsia="宋体" w:cs="宋体"/>
                <w:color w:val="000000"/>
                <w:kern w:val="0"/>
                <w:sz w:val="20"/>
                <w:szCs w:val="20"/>
                <w:highlight w:val="none"/>
                <w:lang w:val="en-US" w:eastAsia="zh-CN" w:bidi="ar"/>
              </w:rPr>
              <w:t>该校</w:t>
            </w:r>
            <w:r>
              <w:rPr>
                <w:rFonts w:hint="eastAsia" w:ascii="宋体" w:hAnsi="宋体" w:cs="宋体"/>
                <w:color w:val="000000"/>
                <w:kern w:val="0"/>
                <w:sz w:val="20"/>
                <w:szCs w:val="20"/>
                <w:highlight w:val="none"/>
                <w:lang w:val="en-US" w:eastAsia="zh-CN" w:bidi="ar"/>
              </w:rPr>
              <w:t>的</w:t>
            </w:r>
            <w:r>
              <w:rPr>
                <w:rFonts w:hint="eastAsia" w:ascii="宋体" w:hAnsi="宋体" w:eastAsia="宋体" w:cs="宋体"/>
                <w:color w:val="000000"/>
                <w:kern w:val="0"/>
                <w:sz w:val="20"/>
                <w:szCs w:val="20"/>
                <w:highlight w:val="none"/>
                <w:lang w:val="en-US" w:eastAsia="zh-CN" w:bidi="ar"/>
              </w:rPr>
              <w:t>中标服务费为人民币</w:t>
            </w:r>
            <w:r>
              <w:rPr>
                <w:rFonts w:hint="eastAsia" w:ascii="宋体" w:hAnsi="宋体" w:eastAsia="宋体" w:cs="宋体"/>
                <w:color w:val="000000"/>
                <w:kern w:val="0"/>
                <w:sz w:val="20"/>
                <w:szCs w:val="20"/>
                <w:highlight w:val="none"/>
                <w:lang w:val="en-US" w:eastAsia="zh-CN" w:bidi="ar"/>
              </w:rPr>
              <w:fldChar w:fldCharType="begin"/>
            </w:r>
            <w:r>
              <w:rPr>
                <w:rFonts w:hint="eastAsia" w:ascii="宋体" w:hAnsi="宋体" w:eastAsia="宋体" w:cs="宋体"/>
                <w:color w:val="000000"/>
                <w:kern w:val="0"/>
                <w:sz w:val="20"/>
                <w:szCs w:val="20"/>
                <w:highlight w:val="none"/>
                <w:lang w:val="en-US" w:eastAsia="zh-CN" w:bidi="ar"/>
              </w:rPr>
              <w:instrText xml:space="preserve"> = 42280 \* CHINESENUM2 \* MERGEFORMAT </w:instrText>
            </w:r>
            <w:r>
              <w:rPr>
                <w:rFonts w:hint="eastAsia" w:ascii="宋体" w:hAnsi="宋体" w:eastAsia="宋体" w:cs="宋体"/>
                <w:color w:val="000000"/>
                <w:kern w:val="0"/>
                <w:sz w:val="20"/>
                <w:szCs w:val="20"/>
                <w:highlight w:val="none"/>
                <w:lang w:val="en-US" w:eastAsia="zh-CN" w:bidi="ar"/>
              </w:rPr>
              <w:fldChar w:fldCharType="separate"/>
            </w:r>
            <w:r>
              <w:rPr>
                <w:highlight w:val="none"/>
              </w:rPr>
              <w:t>肆万贰仟贰佰捌拾</w:t>
            </w:r>
            <w:r>
              <w:rPr>
                <w:rFonts w:hint="eastAsia" w:ascii="宋体" w:hAnsi="宋体" w:eastAsia="宋体" w:cs="宋体"/>
                <w:color w:val="000000"/>
                <w:kern w:val="0"/>
                <w:sz w:val="20"/>
                <w:szCs w:val="20"/>
                <w:highlight w:val="none"/>
                <w:lang w:val="en-US" w:eastAsia="zh-CN" w:bidi="ar"/>
              </w:rPr>
              <w:fldChar w:fldCharType="end"/>
            </w:r>
            <w:r>
              <w:rPr>
                <w:rFonts w:hint="eastAsia" w:ascii="宋体" w:hAnsi="宋体" w:eastAsia="宋体" w:cs="宋体"/>
                <w:color w:val="000000"/>
                <w:kern w:val="0"/>
                <w:sz w:val="20"/>
                <w:szCs w:val="20"/>
                <w:highlight w:val="none"/>
                <w:lang w:val="en-US" w:eastAsia="zh-CN" w:bidi="ar"/>
              </w:rPr>
              <w:t>元（</w:t>
            </w:r>
            <w:r>
              <w:rPr>
                <w:rFonts w:hint="default" w:ascii="Times New Roman" w:hAnsi="Times New Roman" w:eastAsia="宋体" w:cs="Times New Roman"/>
                <w:color w:val="000000"/>
                <w:kern w:val="0"/>
                <w:sz w:val="20"/>
                <w:szCs w:val="20"/>
                <w:highlight w:val="none"/>
                <w:lang w:val="en-US" w:eastAsia="zh-CN" w:bidi="ar"/>
              </w:rPr>
              <w:t>¥</w:t>
            </w:r>
            <w:r>
              <w:rPr>
                <w:rFonts w:hint="eastAsia" w:ascii="Times New Roman" w:hAnsi="Times New Roman" w:eastAsia="宋体" w:cs="Times New Roman"/>
                <w:color w:val="000000"/>
                <w:kern w:val="0"/>
                <w:sz w:val="20"/>
                <w:szCs w:val="20"/>
                <w:highlight w:val="none"/>
                <w:lang w:val="en-US" w:eastAsia="zh-CN" w:bidi="ar"/>
              </w:rPr>
              <w:t>42280.00</w:t>
            </w:r>
            <w:r>
              <w:rPr>
                <w:rFonts w:hint="default" w:ascii="Times New Roman" w:hAnsi="Times New Roman" w:eastAsia="宋体" w:cs="Times New Roman"/>
                <w:color w:val="000000"/>
                <w:kern w:val="0"/>
                <w:sz w:val="20"/>
                <w:szCs w:val="20"/>
                <w:highlight w:val="none"/>
                <w:lang w:val="en-US" w:eastAsia="zh-CN" w:bidi="ar"/>
              </w:rPr>
              <w:t xml:space="preserve"> </w:t>
            </w:r>
            <w:r>
              <w:rPr>
                <w:rFonts w:hint="eastAsia" w:ascii="宋体" w:hAnsi="宋体" w:eastAsia="宋体" w:cs="宋体"/>
                <w:color w:val="000000"/>
                <w:kern w:val="0"/>
                <w:sz w:val="20"/>
                <w:szCs w:val="20"/>
                <w:highlight w:val="none"/>
                <w:lang w:val="en-US" w:eastAsia="zh-CN" w:bidi="ar"/>
              </w:rPr>
              <w:t>元），由中标人在领取中标通知书前一次性支付给采购代理机构。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keepNext w:val="0"/>
              <w:keepLines w:val="0"/>
              <w:pageBreakBefore w:val="0"/>
              <w:widowControl/>
              <w:kinsoku/>
              <w:overflowPunct/>
              <w:topLinePunct w:val="0"/>
              <w:bidi w:val="0"/>
              <w:adjustRightInd/>
              <w:spacing w:line="400" w:lineRule="exact"/>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keepNext w:val="0"/>
              <w:keepLines w:val="0"/>
              <w:pageBreakBefore w:val="0"/>
              <w:kinsoku/>
              <w:overflowPunct/>
              <w:topLinePunct w:val="0"/>
              <w:bidi w:val="0"/>
              <w:adjustRightInd/>
              <w:spacing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26D885">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开户名称：广西鑫磐工程项目管理有限责任公司贵港分公司</w:t>
            </w:r>
          </w:p>
          <w:p w14:paraId="0CE23F98">
            <w:pPr>
              <w:pStyle w:val="16"/>
              <w:keepNext w:val="0"/>
              <w:keepLines w:val="0"/>
              <w:pageBreakBefore w:val="0"/>
              <w:kinsoku/>
              <w:overflowPunct/>
              <w:topLinePunct w:val="0"/>
              <w:bidi w:val="0"/>
              <w:adjustRightInd/>
              <w:snapToGrid w:val="0"/>
              <w:spacing w:line="400" w:lineRule="exact"/>
              <w:rPr>
                <w:rFonts w:hint="eastAsia" w:hAnsi="宋体" w:cs="宋体"/>
                <w:color w:val="auto"/>
                <w:sz w:val="21"/>
                <w:highlight w:val="none"/>
              </w:rPr>
            </w:pPr>
            <w:r>
              <w:rPr>
                <w:rFonts w:hint="eastAsia" w:hAnsi="宋体" w:cs="宋体"/>
                <w:color w:val="auto"/>
                <w:sz w:val="21"/>
                <w:highlight w:val="none"/>
              </w:rPr>
              <w:t xml:space="preserve">开户银行：广西北部湾银行贵港分行 </w:t>
            </w:r>
          </w:p>
          <w:p w14:paraId="1047DD12">
            <w:pPr>
              <w:pStyle w:val="16"/>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1"/>
                <w:szCs w:val="21"/>
                <w:highlight w:val="none"/>
                <w:lang w:eastAsia="zh-CN"/>
              </w:rPr>
            </w:pPr>
            <w:r>
              <w:rPr>
                <w:rFonts w:hint="eastAsia" w:hAnsi="宋体" w:cs="宋体"/>
                <w:color w:val="auto"/>
                <w:sz w:val="21"/>
                <w:highlight w:val="none"/>
              </w:rPr>
              <w:t>帐 号：800085129600014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keepNext w:val="0"/>
              <w:keepLines w:val="0"/>
              <w:pageBreakBefore w:val="0"/>
              <w:kinsoku/>
              <w:overflowPunct/>
              <w:topLinePunct w:val="0"/>
              <w:bidi w:val="0"/>
              <w:adjustRightInd/>
              <w:snapToGrid w:val="0"/>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keepNext w:val="0"/>
              <w:keepLines w:val="0"/>
              <w:pageBreakBefore w:val="0"/>
              <w:kinsoku/>
              <w:overflowPunct/>
              <w:topLinePunct w:val="0"/>
              <w:bidi w:val="0"/>
              <w:adjustRightInd/>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keepNext w:val="0"/>
              <w:keepLines w:val="0"/>
              <w:pageBreakBefore w:val="0"/>
              <w:kinsoku/>
              <w:overflowPunct/>
              <w:topLinePunct w:val="0"/>
              <w:bidi w:val="0"/>
              <w:adjustRightInd/>
              <w:snapToGrid w:val="0"/>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keepNext w:val="0"/>
              <w:keepLines w:val="0"/>
              <w:pageBreakBefore w:val="0"/>
              <w:tabs>
                <w:tab w:val="center" w:pos="4153"/>
                <w:tab w:val="right" w:pos="8306"/>
              </w:tabs>
              <w:kinsoku/>
              <w:overflowPunct/>
              <w:topLinePunct w:val="0"/>
              <w:bidi w:val="0"/>
              <w:adjustRightInd/>
              <w:spacing w:line="40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keepNext w:val="0"/>
              <w:keepLines w:val="0"/>
              <w:pageBreakBefore w:val="0"/>
              <w:kinsoku/>
              <w:overflowPunct/>
              <w:topLinePunct w:val="0"/>
              <w:bidi w:val="0"/>
              <w:adjustRightInd/>
              <w:spacing w:line="400" w:lineRule="exact"/>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keepNext w:val="0"/>
              <w:keepLines w:val="0"/>
              <w:pageBreakBefore w:val="0"/>
              <w:kinsoku/>
              <w:overflowPunct/>
              <w:topLinePunct w:val="0"/>
              <w:bidi w:val="0"/>
              <w:adjustRightInd/>
              <w:spacing w:line="40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keepNext w:val="0"/>
              <w:keepLines w:val="0"/>
              <w:pageBreakBefore w:val="0"/>
              <w:widowControl/>
              <w:kinsoku/>
              <w:overflowPunct/>
              <w:topLinePunct w:val="0"/>
              <w:bidi w:val="0"/>
              <w:adjustRightInd/>
              <w:snapToGrid w:val="0"/>
              <w:spacing w:line="400" w:lineRule="exact"/>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keepNext w:val="0"/>
              <w:keepLines w:val="0"/>
              <w:pageBreakBefore w:val="0"/>
              <w:widowControl/>
              <w:kinsoku/>
              <w:overflowPunct/>
              <w:topLinePunct w:val="0"/>
              <w:bidi w:val="0"/>
              <w:adjustRightInd/>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keepNext w:val="0"/>
              <w:keepLines w:val="0"/>
              <w:pageBreakBefore w:val="0"/>
              <w:widowControl/>
              <w:kinsoku/>
              <w:overflowPunct/>
              <w:topLinePunct w:val="0"/>
              <w:bidi w:val="0"/>
              <w:adjustRightInd/>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pStyle w:val="16"/>
              <w:keepNext w:val="0"/>
              <w:keepLines w:val="0"/>
              <w:pageBreakBefore w:val="0"/>
              <w:kinsoku/>
              <w:overflowPunct/>
              <w:topLinePunct w:val="0"/>
              <w:bidi w:val="0"/>
              <w:adjustRightInd/>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keepNext w:val="0"/>
              <w:keepLines w:val="0"/>
              <w:pageBreakBefore w:val="0"/>
              <w:kinsoku/>
              <w:overflowPunct/>
              <w:topLinePunct w:val="0"/>
              <w:bidi w:val="0"/>
              <w:adjustRightInd/>
              <w:snapToGrid w:val="0"/>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keepNext w:val="0"/>
              <w:keepLines w:val="0"/>
              <w:pageBreakBefore w:val="0"/>
              <w:kinsoku/>
              <w:overflowPunct/>
              <w:topLinePunct w:val="0"/>
              <w:bidi w:val="0"/>
              <w:adjustRightInd/>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1" w:name="_Toc1030"/>
      <w:bookmarkStart w:id="102" w:name="_Toc7784"/>
      <w:bookmarkStart w:id="103" w:name="_Toc13813"/>
      <w:bookmarkStart w:id="104" w:name="_Toc453"/>
      <w:bookmarkStart w:id="105" w:name="_Toc11336"/>
      <w:bookmarkStart w:id="106" w:name="_Toc30841"/>
      <w:bookmarkStart w:id="107" w:name="_Toc8807"/>
      <w:bookmarkStart w:id="108" w:name="_Toc25117"/>
      <w:bookmarkStart w:id="109" w:name="_Toc29311"/>
      <w:bookmarkStart w:id="110" w:name="_Toc24313"/>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1"/>
      <w:bookmarkEnd w:id="102"/>
      <w:bookmarkEnd w:id="103"/>
      <w:bookmarkEnd w:id="104"/>
      <w:bookmarkEnd w:id="105"/>
      <w:bookmarkEnd w:id="106"/>
      <w:bookmarkEnd w:id="107"/>
      <w:bookmarkEnd w:id="108"/>
      <w:bookmarkEnd w:id="109"/>
      <w:bookmarkEnd w:id="110"/>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1" w:name="_Toc6594"/>
      <w:bookmarkStart w:id="112" w:name="_Toc22266"/>
      <w:bookmarkStart w:id="113" w:name="_Toc3522"/>
      <w:bookmarkStart w:id="114" w:name="_Toc3607"/>
      <w:bookmarkStart w:id="115" w:name="_Toc30794"/>
      <w:bookmarkStart w:id="116" w:name="_Toc21176"/>
      <w:bookmarkStart w:id="117" w:name="_Toc28360"/>
      <w:bookmarkStart w:id="118" w:name="_Toc19454"/>
      <w:bookmarkStart w:id="119" w:name="_Toc18594"/>
      <w:bookmarkStart w:id="120" w:name="_Toc15523"/>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1"/>
      <w:bookmarkEnd w:id="112"/>
      <w:bookmarkEnd w:id="113"/>
      <w:bookmarkEnd w:id="114"/>
      <w:bookmarkEnd w:id="115"/>
      <w:bookmarkEnd w:id="116"/>
      <w:bookmarkEnd w:id="117"/>
      <w:bookmarkEnd w:id="118"/>
      <w:bookmarkEnd w:id="119"/>
      <w:bookmarkEnd w:id="120"/>
    </w:p>
    <w:p w14:paraId="0F8F6428">
      <w:pPr>
        <w:rPr>
          <w:rFonts w:hint="eastAsia"/>
          <w:color w:val="auto"/>
          <w:highlight w:val="none"/>
        </w:rPr>
      </w:pPr>
      <w:bookmarkStart w:id="121" w:name="_Toc254970527"/>
      <w:bookmarkStart w:id="122" w:name="_Toc254970668"/>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1"/>
      <w:bookmarkEnd w:id="122"/>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3" w:name="_Toc254970528"/>
      <w:bookmarkStart w:id="124" w:name="_Toc254970669"/>
      <w:r>
        <w:rPr>
          <w:rFonts w:hint="eastAsia" w:ascii="黑体" w:hAnsi="黑体" w:eastAsia="黑体" w:cs="Times New Roman"/>
          <w:color w:val="auto"/>
          <w:sz w:val="24"/>
          <w:highlight w:val="none"/>
        </w:rPr>
        <w:t>2.定义</w:t>
      </w:r>
      <w:bookmarkEnd w:id="123"/>
      <w:bookmarkEnd w:id="124"/>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5" w:name="_Toc254970670"/>
      <w:bookmarkStart w:id="126" w:name="_Toc254970529"/>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5"/>
      <w:bookmarkEnd w:id="126"/>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7" w:name="_Toc254970671"/>
      <w:bookmarkStart w:id="128" w:name="_Toc254970530"/>
      <w:r>
        <w:rPr>
          <w:rFonts w:hint="eastAsia" w:ascii="黑体" w:hAnsi="黑体" w:eastAsia="黑体" w:cs="Times New Roman"/>
          <w:color w:val="auto"/>
          <w:sz w:val="24"/>
          <w:highlight w:val="none"/>
        </w:rPr>
        <w:t>4.投标委托</w:t>
      </w:r>
      <w:bookmarkEnd w:id="127"/>
      <w:bookmarkEnd w:id="128"/>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29" w:name="_5.投标费用"/>
      <w:bookmarkEnd w:id="129"/>
      <w:bookmarkStart w:id="130" w:name="_Toc254970672"/>
      <w:bookmarkStart w:id="131" w:name="_Toc254970531"/>
      <w:r>
        <w:rPr>
          <w:rFonts w:hint="eastAsia" w:ascii="黑体" w:hAnsi="黑体" w:eastAsia="黑体" w:cs="Times New Roman"/>
          <w:color w:val="auto"/>
          <w:sz w:val="24"/>
          <w:highlight w:val="none"/>
        </w:rPr>
        <w:t>5.投标费用</w:t>
      </w:r>
      <w:bookmarkEnd w:id="130"/>
      <w:bookmarkEnd w:id="131"/>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2" w:name="_Toc254970673"/>
      <w:bookmarkStart w:id="133" w:name="_Toc254970532"/>
      <w:r>
        <w:rPr>
          <w:rFonts w:hint="eastAsia" w:ascii="黑体" w:hAnsi="黑体" w:eastAsia="黑体" w:cs="Times New Roman"/>
          <w:color w:val="auto"/>
          <w:sz w:val="24"/>
          <w:highlight w:val="none"/>
        </w:rPr>
        <w:t>8.特别说明</w:t>
      </w:r>
      <w:bookmarkEnd w:id="132"/>
      <w:bookmarkEnd w:id="133"/>
      <w:bookmarkStart w:id="134" w:name="_8.1提供相同品牌产品且通过资格审查、符合性审查的不同投标人参加同一合"/>
      <w:bookmarkEnd w:id="134"/>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5" w:name="_Toc254970534"/>
      <w:bookmarkStart w:id="136" w:name="_Toc128"/>
      <w:bookmarkStart w:id="137" w:name="_Toc22911"/>
      <w:bookmarkStart w:id="138" w:name="_Toc9988"/>
      <w:bookmarkStart w:id="139" w:name="_Toc254970675"/>
      <w:bookmarkStart w:id="140" w:name="_Toc18580"/>
      <w:bookmarkStart w:id="141" w:name="_Toc17855"/>
      <w:bookmarkStart w:id="142" w:name="_Toc10320"/>
      <w:bookmarkStart w:id="143" w:name="_Toc25104"/>
      <w:bookmarkStart w:id="144" w:name="_Toc6920"/>
      <w:bookmarkStart w:id="145" w:name="_Toc19016"/>
      <w:bookmarkStart w:id="146" w:name="_Toc11054"/>
      <w:r>
        <w:rPr>
          <w:rFonts w:hint="eastAsia" w:ascii="Times New Roman" w:hAnsi="Times New Roman" w:eastAsia="宋体" w:cs="Times New Roman"/>
          <w:color w:val="auto"/>
          <w:highlight w:val="none"/>
        </w:rPr>
        <w:t>二、招标文件</w:t>
      </w:r>
      <w:bookmarkEnd w:id="135"/>
      <w:bookmarkEnd w:id="136"/>
      <w:bookmarkEnd w:id="137"/>
      <w:bookmarkEnd w:id="138"/>
      <w:bookmarkEnd w:id="139"/>
      <w:bookmarkEnd w:id="140"/>
      <w:bookmarkEnd w:id="141"/>
      <w:bookmarkEnd w:id="142"/>
      <w:bookmarkEnd w:id="143"/>
      <w:bookmarkEnd w:id="144"/>
      <w:bookmarkEnd w:id="145"/>
      <w:bookmarkEnd w:id="146"/>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7"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7"/>
    <w:p w14:paraId="1DBB9CDD">
      <w:pPr>
        <w:pStyle w:val="4"/>
        <w:keepNext w:val="0"/>
        <w:keepLines w:val="0"/>
        <w:spacing w:line="400" w:lineRule="exact"/>
        <w:jc w:val="center"/>
        <w:rPr>
          <w:rFonts w:ascii="Times New Roman" w:hAnsi="Times New Roman" w:eastAsia="宋体" w:cs="Times New Roman"/>
          <w:color w:val="auto"/>
          <w:highlight w:val="none"/>
        </w:rPr>
      </w:pPr>
      <w:bookmarkStart w:id="148" w:name="_Toc16623"/>
      <w:bookmarkStart w:id="149" w:name="_Toc28419"/>
      <w:bookmarkStart w:id="150" w:name="_Toc7841"/>
      <w:bookmarkStart w:id="151" w:name="_Toc12080"/>
      <w:bookmarkStart w:id="152" w:name="_Toc254970535"/>
      <w:bookmarkStart w:id="153" w:name="_Toc32499"/>
      <w:bookmarkStart w:id="154" w:name="_Toc27367"/>
      <w:bookmarkStart w:id="155" w:name="_Toc2635"/>
      <w:bookmarkStart w:id="156" w:name="_Toc24872"/>
      <w:bookmarkStart w:id="157" w:name="_Toc32154"/>
      <w:bookmarkStart w:id="158" w:name="_Toc254970676"/>
      <w:bookmarkStart w:id="159" w:name="_Toc20"/>
      <w:r>
        <w:rPr>
          <w:rFonts w:hint="eastAsia" w:ascii="Times New Roman" w:hAnsi="Times New Roman" w:eastAsia="宋体" w:cs="Times New Roman"/>
          <w:color w:val="auto"/>
          <w:highlight w:val="none"/>
        </w:rPr>
        <w:t>三、投标文件的编制</w:t>
      </w:r>
      <w:bookmarkEnd w:id="148"/>
      <w:bookmarkEnd w:id="149"/>
      <w:bookmarkEnd w:id="150"/>
      <w:bookmarkEnd w:id="151"/>
      <w:bookmarkEnd w:id="152"/>
      <w:bookmarkEnd w:id="153"/>
      <w:bookmarkEnd w:id="154"/>
      <w:bookmarkEnd w:id="155"/>
      <w:bookmarkEnd w:id="156"/>
      <w:bookmarkEnd w:id="157"/>
      <w:bookmarkEnd w:id="158"/>
      <w:bookmarkEnd w:id="159"/>
    </w:p>
    <w:p w14:paraId="04BC4587">
      <w:pPr>
        <w:spacing w:line="360" w:lineRule="auto"/>
        <w:ind w:firstLine="480" w:firstLineChars="200"/>
        <w:rPr>
          <w:rFonts w:ascii="黑体" w:hAnsi="黑体" w:eastAsia="黑体" w:cs="Times New Roman"/>
          <w:color w:val="auto"/>
          <w:sz w:val="24"/>
          <w:highlight w:val="none"/>
        </w:rPr>
      </w:pPr>
      <w:bookmarkStart w:id="160" w:name="_Toc254970536"/>
      <w:bookmarkStart w:id="161" w:name="_Toc254970677"/>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0"/>
      <w:bookmarkEnd w:id="161"/>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2" w:name="_13.2资格证明文件：具体材料见“投标人须知前附表”。"/>
      <w:bookmarkEnd w:id="162"/>
      <w:bookmarkStart w:id="163" w:name="_13.1报价文件:_具体材料见“投标人须知前附表”。"/>
      <w:bookmarkEnd w:id="163"/>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4" w:name="_13.3商务文件:_具体材料见“投标人须知前附表”。"/>
      <w:bookmarkEnd w:id="164"/>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5" w:name="_13.4技术文件：具体材料见“投标人须知前附表”。"/>
      <w:bookmarkEnd w:id="165"/>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6" w:name="_13.5投标文件电子版：具体材料见“投标人须知前附表”。"/>
      <w:bookmarkEnd w:id="166"/>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7" w:name="_Toc254970678"/>
      <w:bookmarkStart w:id="168" w:name="_Toc254970537"/>
      <w:r>
        <w:rPr>
          <w:rFonts w:hint="eastAsia" w:ascii="黑体" w:hAnsi="黑体" w:eastAsia="黑体" w:cs="Times New Roman"/>
          <w:color w:val="auto"/>
          <w:sz w:val="24"/>
          <w:highlight w:val="none"/>
        </w:rPr>
        <w:t>14.投标文件的语言及计量</w:t>
      </w:r>
      <w:bookmarkEnd w:id="167"/>
      <w:bookmarkEnd w:id="168"/>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69" w:name="_Toc254970679"/>
      <w:bookmarkStart w:id="170" w:name="_Toc254970538"/>
      <w:r>
        <w:rPr>
          <w:rFonts w:hint="eastAsia" w:ascii="黑体" w:hAnsi="黑体" w:eastAsia="黑体" w:cs="Times New Roman"/>
          <w:color w:val="auto"/>
          <w:sz w:val="24"/>
          <w:highlight w:val="none"/>
        </w:rPr>
        <w:t>16.投标报价</w:t>
      </w:r>
      <w:bookmarkEnd w:id="169"/>
      <w:bookmarkEnd w:id="170"/>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1" w:name="_16.2投标报价具体定义见投标人须知前附表。"/>
      <w:bookmarkEnd w:id="171"/>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w:t>
      </w:r>
      <w:r>
        <w:rPr>
          <w:rFonts w:hint="eastAsia" w:ascii="宋体" w:hAnsi="宋体" w:cs="Times New Roman"/>
          <w:bCs/>
          <w:color w:val="auto"/>
          <w:szCs w:val="21"/>
          <w:highlight w:val="none"/>
          <w:lang w:eastAsia="zh-CN"/>
        </w:rPr>
        <w:t>投标人必须就全部内容分别作完整唯一总价报价，不得存在漏项报价；投标人必须就全部单项内容作唯一报价</w:t>
      </w:r>
      <w:r>
        <w:rPr>
          <w:rFonts w:hint="eastAsia" w:ascii="宋体" w:hAnsi="宋体" w:eastAsia="宋体" w:cs="Times New Roman"/>
          <w:bCs/>
          <w:color w:val="auto"/>
          <w:szCs w:val="21"/>
          <w:highlight w:val="none"/>
        </w:rPr>
        <w:t>。</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2" w:name="_17.1投标有效期应按“投标人须知中的前附表”规定的期限。"/>
      <w:bookmarkEnd w:id="172"/>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3" w:name="_Toc254970540"/>
      <w:bookmarkStart w:id="174"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3"/>
      <w:bookmarkEnd w:id="174"/>
    </w:p>
    <w:p w14:paraId="6B16622B">
      <w:pPr>
        <w:spacing w:line="360" w:lineRule="auto"/>
        <w:ind w:firstLine="480" w:firstLineChars="200"/>
        <w:rPr>
          <w:rFonts w:hint="eastAsia" w:ascii="黑体" w:hAnsi="黑体" w:eastAsia="黑体" w:cs="Times New Roman"/>
          <w:color w:val="auto"/>
          <w:sz w:val="24"/>
          <w:highlight w:val="none"/>
        </w:rPr>
      </w:pPr>
      <w:bookmarkStart w:id="175" w:name="_18.投标保证金"/>
      <w:bookmarkEnd w:id="175"/>
      <w:bookmarkStart w:id="176" w:name="_Toc254970541"/>
      <w:bookmarkStart w:id="177" w:name="_Toc254970682"/>
      <w:r>
        <w:rPr>
          <w:rFonts w:hint="eastAsia" w:ascii="黑体" w:hAnsi="黑体" w:eastAsia="黑体" w:cs="Times New Roman"/>
          <w:color w:val="auto"/>
          <w:sz w:val="24"/>
          <w:highlight w:val="none"/>
        </w:rPr>
        <w:t>18.投标保证金</w:t>
      </w:r>
      <w:bookmarkEnd w:id="176"/>
      <w:bookmarkEnd w:id="177"/>
    </w:p>
    <w:p w14:paraId="657FAFFF">
      <w:pPr>
        <w:spacing w:line="360" w:lineRule="auto"/>
        <w:ind w:firstLine="420" w:firstLineChars="200"/>
        <w:rPr>
          <w:rFonts w:hint="eastAsia" w:ascii="宋体" w:hAnsi="宋体" w:eastAsia="宋体" w:cs="Times New Roman"/>
          <w:bCs/>
          <w:color w:val="auto"/>
          <w:szCs w:val="21"/>
          <w:highlight w:val="none"/>
        </w:rPr>
      </w:pPr>
      <w:bookmarkStart w:id="178" w:name="_Toc254970542"/>
      <w:bookmarkStart w:id="179" w:name="_Toc254970683"/>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78"/>
      <w:bookmarkEnd w:id="179"/>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0" w:name="_19.2投标文件应按报价文件、资格证明文件、商务文件、技术文件分别编制"/>
      <w:bookmarkEnd w:id="180"/>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1" w:name="_21.1投标人必须在“投标人须知中的前附表”规定的投标文件接收时间和投"/>
      <w:bookmarkEnd w:id="181"/>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2" w:name="_Toc254970684"/>
      <w:bookmarkStart w:id="183" w:name="_Toc254970543"/>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2"/>
    <w:bookmarkEnd w:id="183"/>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4" w:name="_Toc2573"/>
      <w:bookmarkStart w:id="185" w:name="_Toc22661"/>
      <w:bookmarkStart w:id="186" w:name="_Toc27037"/>
      <w:bookmarkStart w:id="187" w:name="_Toc13250"/>
      <w:bookmarkStart w:id="188" w:name="_Toc32494"/>
      <w:bookmarkStart w:id="189" w:name="_Toc1356"/>
      <w:bookmarkStart w:id="190" w:name="_Toc14091"/>
      <w:bookmarkStart w:id="191" w:name="_Toc254970544"/>
      <w:bookmarkStart w:id="192" w:name="_Toc1586"/>
      <w:bookmarkStart w:id="193" w:name="_Toc254970685"/>
      <w:bookmarkStart w:id="194" w:name="_Toc12790"/>
      <w:bookmarkStart w:id="195"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4"/>
      <w:bookmarkEnd w:id="185"/>
      <w:bookmarkEnd w:id="186"/>
      <w:bookmarkEnd w:id="187"/>
      <w:bookmarkEnd w:id="188"/>
      <w:bookmarkEnd w:id="189"/>
      <w:bookmarkEnd w:id="190"/>
      <w:bookmarkEnd w:id="191"/>
      <w:bookmarkEnd w:id="192"/>
      <w:bookmarkEnd w:id="193"/>
      <w:bookmarkEnd w:id="194"/>
      <w:bookmarkEnd w:id="195"/>
    </w:p>
    <w:p w14:paraId="0C53F4A4">
      <w:pPr>
        <w:spacing w:line="360" w:lineRule="auto"/>
        <w:ind w:firstLine="480" w:firstLineChars="200"/>
        <w:rPr>
          <w:rFonts w:ascii="黑体" w:hAnsi="黑体" w:eastAsia="黑体" w:cs="Times New Roman"/>
          <w:color w:val="auto"/>
          <w:sz w:val="24"/>
          <w:highlight w:val="none"/>
        </w:rPr>
      </w:pPr>
      <w:bookmarkStart w:id="196" w:name="_23.开标时间和地点"/>
      <w:bookmarkEnd w:id="196"/>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7" w:name="_Toc23512"/>
      <w:bookmarkStart w:id="198" w:name="_Toc2575"/>
      <w:bookmarkStart w:id="199" w:name="_Toc8919"/>
      <w:bookmarkStart w:id="200" w:name="_Toc1489"/>
      <w:bookmarkStart w:id="201" w:name="_Toc29189"/>
      <w:bookmarkStart w:id="202" w:name="_Toc31994"/>
      <w:bookmarkStart w:id="203" w:name="_Toc25053"/>
      <w:bookmarkStart w:id="204" w:name="_Toc19053"/>
      <w:bookmarkStart w:id="205" w:name="_Toc6866"/>
      <w:bookmarkStart w:id="206" w:name="_Toc22509"/>
      <w:r>
        <w:rPr>
          <w:rFonts w:hint="eastAsia" w:ascii="Times New Roman" w:hAnsi="Times New Roman" w:eastAsia="宋体" w:cs="Times New Roman"/>
          <w:color w:val="auto"/>
          <w:highlight w:val="none"/>
        </w:rPr>
        <w:t>五、资格审查</w:t>
      </w:r>
      <w:bookmarkEnd w:id="197"/>
      <w:bookmarkEnd w:id="198"/>
      <w:bookmarkEnd w:id="199"/>
      <w:bookmarkEnd w:id="200"/>
      <w:bookmarkEnd w:id="201"/>
      <w:bookmarkEnd w:id="202"/>
      <w:bookmarkEnd w:id="203"/>
      <w:bookmarkEnd w:id="204"/>
      <w:bookmarkEnd w:id="205"/>
      <w:bookmarkEnd w:id="206"/>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7" w:name="_25.3_投标人有下列情形之一的，资格审查不通过而导致其投标无效："/>
      <w:bookmarkEnd w:id="207"/>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08" w:name="_Toc20446"/>
      <w:bookmarkStart w:id="209" w:name="_Toc20983"/>
      <w:bookmarkStart w:id="210" w:name="_Toc3548"/>
      <w:bookmarkStart w:id="211" w:name="_Toc15749"/>
      <w:bookmarkStart w:id="212" w:name="_Toc11169"/>
      <w:bookmarkStart w:id="213" w:name="_Toc1454"/>
      <w:bookmarkStart w:id="214" w:name="_Toc19035"/>
      <w:bookmarkStart w:id="215" w:name="_Toc2770"/>
      <w:bookmarkStart w:id="216" w:name="_Toc21152"/>
      <w:bookmarkStart w:id="217"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8"/>
      <w:bookmarkEnd w:id="209"/>
      <w:bookmarkEnd w:id="210"/>
      <w:bookmarkEnd w:id="211"/>
      <w:bookmarkEnd w:id="212"/>
      <w:bookmarkEnd w:id="213"/>
      <w:bookmarkEnd w:id="214"/>
      <w:bookmarkEnd w:id="215"/>
      <w:bookmarkEnd w:id="216"/>
      <w:bookmarkEnd w:id="217"/>
    </w:p>
    <w:p w14:paraId="19EA9E23">
      <w:pPr>
        <w:spacing w:line="360" w:lineRule="auto"/>
        <w:ind w:firstLine="480" w:firstLineChars="200"/>
        <w:rPr>
          <w:rFonts w:ascii="黑体" w:hAnsi="黑体" w:eastAsia="黑体" w:cs="Times New Roman"/>
          <w:color w:val="auto"/>
          <w:sz w:val="24"/>
          <w:highlight w:val="none"/>
        </w:rPr>
      </w:pPr>
      <w:bookmarkStart w:id="218" w:name="_26.组建评标委员会"/>
      <w:bookmarkEnd w:id="218"/>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19" w:name="_Toc254970687"/>
      <w:bookmarkStart w:id="220" w:name="_Toc254970546"/>
      <w:bookmarkStart w:id="221" w:name="_Toc32339"/>
      <w:bookmarkStart w:id="222" w:name="_Toc31698"/>
      <w:bookmarkStart w:id="223" w:name="_Toc2302"/>
      <w:bookmarkStart w:id="224" w:name="_Toc14661"/>
      <w:bookmarkStart w:id="225" w:name="_Toc31226"/>
      <w:bookmarkStart w:id="226" w:name="_Toc10427"/>
      <w:bookmarkStart w:id="227" w:name="_Toc24771"/>
      <w:bookmarkStart w:id="228" w:name="_Toc15452"/>
      <w:bookmarkStart w:id="229" w:name="_Toc4688"/>
      <w:bookmarkStart w:id="230" w:name="_Toc10518"/>
      <w:r>
        <w:rPr>
          <w:rFonts w:hint="eastAsia" w:ascii="Times New Roman" w:hAnsi="Times New Roman" w:eastAsia="宋体" w:cs="Times New Roman"/>
          <w:color w:val="auto"/>
          <w:highlight w:val="none"/>
        </w:rPr>
        <w:t>七、</w:t>
      </w:r>
      <w:bookmarkEnd w:id="219"/>
      <w:bookmarkEnd w:id="220"/>
      <w:r>
        <w:rPr>
          <w:rFonts w:hint="eastAsia" w:ascii="Times New Roman" w:hAnsi="Times New Roman" w:eastAsia="宋体" w:cs="Times New Roman"/>
          <w:color w:val="auto"/>
          <w:highlight w:val="none"/>
        </w:rPr>
        <w:t>中标和合同</w:t>
      </w:r>
      <w:bookmarkEnd w:id="221"/>
      <w:bookmarkEnd w:id="222"/>
      <w:bookmarkEnd w:id="223"/>
      <w:bookmarkEnd w:id="224"/>
      <w:bookmarkEnd w:id="225"/>
      <w:bookmarkEnd w:id="226"/>
      <w:bookmarkEnd w:id="227"/>
      <w:bookmarkEnd w:id="228"/>
      <w:bookmarkEnd w:id="229"/>
      <w:bookmarkEnd w:id="230"/>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1" w:name="_39.1中标人须于签订合同前按本须知前附表规定的金额转账或电汇到指定账"/>
      <w:bookmarkEnd w:id="231"/>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2" w:name="_40.1投标人接到中标通知书后，按须知前附表规定向采购人出示相关资格证"/>
      <w:bookmarkEnd w:id="232"/>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3" w:name="_41.政府采购合同公告"/>
      <w:bookmarkEnd w:id="233"/>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4" w:name="_9.2质疑、投诉应当采用书面形式，质疑函、投诉书均应明确阐述招标文件、"/>
      <w:bookmarkEnd w:id="234"/>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5" w:name="_Toc14937"/>
      <w:bookmarkStart w:id="236" w:name="_Toc13659"/>
      <w:bookmarkStart w:id="237" w:name="_Toc8731"/>
      <w:bookmarkStart w:id="238" w:name="_Toc1756"/>
      <w:bookmarkStart w:id="239" w:name="_Toc26583"/>
      <w:bookmarkStart w:id="240" w:name="_Toc7828"/>
      <w:bookmarkStart w:id="241" w:name="_Toc25946"/>
      <w:bookmarkStart w:id="242" w:name="_Toc23239"/>
      <w:bookmarkStart w:id="243" w:name="_Toc27653"/>
      <w:bookmarkStart w:id="244" w:name="_Toc29288"/>
      <w:r>
        <w:rPr>
          <w:rFonts w:hint="eastAsia" w:ascii="Times New Roman" w:hAnsi="Times New Roman" w:eastAsia="宋体" w:cs="Times New Roman"/>
          <w:b/>
          <w:bCs/>
          <w:color w:val="auto"/>
          <w:sz w:val="32"/>
          <w:szCs w:val="32"/>
          <w:highlight w:val="none"/>
        </w:rPr>
        <w:t>八、验收</w:t>
      </w:r>
      <w:bookmarkEnd w:id="235"/>
      <w:bookmarkEnd w:id="236"/>
      <w:bookmarkEnd w:id="237"/>
      <w:bookmarkEnd w:id="238"/>
      <w:bookmarkEnd w:id="239"/>
      <w:bookmarkEnd w:id="240"/>
      <w:bookmarkEnd w:id="241"/>
      <w:bookmarkEnd w:id="242"/>
      <w:bookmarkEnd w:id="243"/>
      <w:bookmarkEnd w:id="244"/>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5" w:name="_八、其他事项"/>
      <w:bookmarkEnd w:id="245"/>
      <w:bookmarkStart w:id="246" w:name="_Toc5795"/>
      <w:bookmarkStart w:id="247" w:name="_Toc13217"/>
      <w:bookmarkStart w:id="248" w:name="_Toc27249"/>
      <w:bookmarkStart w:id="249" w:name="_Toc16509"/>
      <w:bookmarkStart w:id="250" w:name="_Toc24348"/>
      <w:bookmarkStart w:id="251" w:name="_Toc31560"/>
      <w:bookmarkStart w:id="252" w:name="_Toc13612"/>
      <w:bookmarkStart w:id="253" w:name="_Toc14814"/>
      <w:bookmarkStart w:id="254" w:name="_Toc28972"/>
      <w:bookmarkStart w:id="255" w:name="_Toc32163"/>
      <w:r>
        <w:rPr>
          <w:rFonts w:hint="eastAsia" w:ascii="Times New Roman" w:hAnsi="Times New Roman" w:eastAsia="宋体" w:cs="Times New Roman"/>
          <w:color w:val="auto"/>
          <w:highlight w:val="none"/>
        </w:rPr>
        <w:t>九、其他事项</w:t>
      </w:r>
      <w:bookmarkEnd w:id="246"/>
      <w:bookmarkEnd w:id="247"/>
      <w:bookmarkEnd w:id="248"/>
      <w:bookmarkEnd w:id="249"/>
      <w:bookmarkEnd w:id="250"/>
      <w:bookmarkEnd w:id="251"/>
      <w:bookmarkEnd w:id="252"/>
      <w:bookmarkEnd w:id="253"/>
      <w:bookmarkEnd w:id="254"/>
      <w:bookmarkEnd w:id="255"/>
    </w:p>
    <w:p w14:paraId="3485327A">
      <w:pPr>
        <w:spacing w:line="360" w:lineRule="auto"/>
        <w:ind w:firstLine="480" w:firstLineChars="200"/>
        <w:rPr>
          <w:rFonts w:ascii="黑体" w:hAnsi="黑体" w:eastAsia="黑体" w:cs="Times New Roman"/>
          <w:color w:val="auto"/>
          <w:sz w:val="24"/>
          <w:highlight w:val="none"/>
        </w:rPr>
      </w:pPr>
      <w:bookmarkStart w:id="256" w:name="_42.代理服务费"/>
      <w:bookmarkEnd w:id="256"/>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w:t>
      </w:r>
      <w:r>
        <w:rPr>
          <w:rFonts w:hint="eastAsia" w:ascii="宋体" w:hAnsi="宋体" w:cs="Times New Roman"/>
          <w:b w:val="0"/>
          <w:bCs/>
          <w:color w:val="auto"/>
          <w:szCs w:val="21"/>
          <w:highlight w:val="none"/>
          <w:lang w:val="en-US" w:eastAsia="zh-CN"/>
        </w:rPr>
        <w:t>按</w:t>
      </w:r>
      <w:r>
        <w:rPr>
          <w:rFonts w:hint="eastAsia" w:ascii="宋体" w:hAnsi="宋体" w:eastAsia="宋体" w:cs="Times New Roman"/>
          <w:b w:val="0"/>
          <w:bCs/>
          <w:color w:val="auto"/>
          <w:szCs w:val="21"/>
          <w:highlight w:val="none"/>
        </w:rPr>
        <w:t>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394DCED4">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7"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58" w:name="_Toc18631"/>
      <w:bookmarkStart w:id="259" w:name="_Toc14666"/>
      <w:bookmarkStart w:id="260" w:name="_Toc11694"/>
      <w:bookmarkStart w:id="261" w:name="_Toc12751"/>
      <w:bookmarkStart w:id="262" w:name="_Toc31952"/>
      <w:bookmarkStart w:id="263" w:name="_Toc24569"/>
      <w:bookmarkStart w:id="264" w:name="_Toc26567"/>
      <w:bookmarkStart w:id="265" w:name="_Toc2789"/>
      <w:bookmarkStart w:id="266" w:name="_Toc19117"/>
      <w:bookmarkStart w:id="267" w:name="_Toc10118"/>
      <w:bookmarkStart w:id="268" w:name="_Toc3584"/>
      <w:bookmarkStart w:id="269" w:name="_Toc10034"/>
      <w:bookmarkStart w:id="270" w:name="_Toc2846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7"/>
      <w:bookmarkEnd w:id="258"/>
      <w:bookmarkEnd w:id="259"/>
      <w:bookmarkEnd w:id="260"/>
      <w:bookmarkEnd w:id="261"/>
      <w:bookmarkEnd w:id="262"/>
      <w:bookmarkEnd w:id="263"/>
      <w:bookmarkEnd w:id="264"/>
      <w:bookmarkEnd w:id="265"/>
      <w:r>
        <w:rPr>
          <w:rFonts w:hint="eastAsia" w:ascii="Times New Roman" w:hAnsi="Times New Roman" w:cs="Times New Roman"/>
          <w:b/>
          <w:color w:val="auto"/>
          <w:sz w:val="36"/>
          <w:highlight w:val="none"/>
          <w:lang w:eastAsia="zh-CN"/>
        </w:rPr>
        <w:t>评标方法和评标标准</w:t>
      </w:r>
      <w:bookmarkEnd w:id="266"/>
      <w:bookmarkEnd w:id="267"/>
      <w:bookmarkEnd w:id="268"/>
      <w:bookmarkEnd w:id="269"/>
      <w:bookmarkEnd w:id="270"/>
    </w:p>
    <w:p w14:paraId="68F7CA2C">
      <w:pPr>
        <w:pStyle w:val="16"/>
        <w:jc w:val="center"/>
        <w:outlineLvl w:val="1"/>
        <w:rPr>
          <w:rFonts w:ascii="Times New Roman" w:hAnsi="Times New Roman" w:eastAsia="宋体" w:cs="Times New Roman"/>
          <w:b/>
          <w:bCs/>
          <w:color w:val="auto"/>
          <w:sz w:val="32"/>
          <w:szCs w:val="32"/>
          <w:highlight w:val="none"/>
        </w:rPr>
      </w:pPr>
      <w:bookmarkStart w:id="271" w:name="_Toc14342"/>
      <w:bookmarkStart w:id="272" w:name="_Toc6104"/>
      <w:bookmarkStart w:id="273" w:name="_Toc3574"/>
      <w:bookmarkStart w:id="274" w:name="_Toc28945"/>
      <w:bookmarkStart w:id="275" w:name="_Toc12345"/>
      <w:bookmarkStart w:id="276" w:name="_Toc28074"/>
      <w:bookmarkStart w:id="277" w:name="_Toc29945"/>
      <w:bookmarkStart w:id="278" w:name="_Toc20519"/>
      <w:bookmarkStart w:id="279" w:name="_Toc5889"/>
      <w:bookmarkStart w:id="280" w:name="_Toc96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1"/>
      <w:bookmarkEnd w:id="272"/>
      <w:bookmarkEnd w:id="273"/>
      <w:bookmarkEnd w:id="274"/>
      <w:bookmarkEnd w:id="275"/>
      <w:bookmarkEnd w:id="276"/>
      <w:bookmarkEnd w:id="277"/>
      <w:bookmarkEnd w:id="278"/>
      <w:bookmarkEnd w:id="279"/>
      <w:bookmarkEnd w:id="280"/>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1" w:name="_Toc10545"/>
      <w:bookmarkStart w:id="282" w:name="_Toc1643"/>
      <w:bookmarkStart w:id="283" w:name="_Toc18477"/>
      <w:bookmarkStart w:id="284" w:name="_Toc30114"/>
      <w:bookmarkStart w:id="285" w:name="_Toc588"/>
      <w:bookmarkStart w:id="286" w:name="_Toc23151"/>
      <w:bookmarkStart w:id="287" w:name="_Toc9023"/>
      <w:bookmarkStart w:id="288" w:name="_Toc9259"/>
      <w:bookmarkStart w:id="289" w:name="_Toc24507"/>
      <w:bookmarkStart w:id="290" w:name="_Toc4190"/>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1"/>
      <w:bookmarkEnd w:id="282"/>
      <w:bookmarkEnd w:id="283"/>
      <w:bookmarkEnd w:id="284"/>
      <w:bookmarkEnd w:id="285"/>
      <w:bookmarkEnd w:id="286"/>
      <w:bookmarkEnd w:id="287"/>
      <w:bookmarkEnd w:id="288"/>
      <w:bookmarkEnd w:id="289"/>
      <w:bookmarkEnd w:id="290"/>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1" w:name="_Toc28193"/>
      <w:bookmarkStart w:id="292" w:name="_Toc27331"/>
      <w:bookmarkStart w:id="293" w:name="_Toc17834"/>
      <w:bookmarkStart w:id="294" w:name="_Toc25728"/>
      <w:bookmarkStart w:id="295" w:name="_Toc22963"/>
      <w:bookmarkStart w:id="296" w:name="_Toc5755"/>
      <w:bookmarkStart w:id="297" w:name="_Toc4866"/>
      <w:bookmarkStart w:id="298" w:name="_Toc13548"/>
      <w:bookmarkStart w:id="299" w:name="_Toc28829"/>
      <w:bookmarkStart w:id="300" w:name="_Toc19942"/>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1"/>
      <w:bookmarkEnd w:id="292"/>
      <w:bookmarkEnd w:id="293"/>
      <w:bookmarkEnd w:id="294"/>
      <w:bookmarkEnd w:id="295"/>
      <w:bookmarkEnd w:id="296"/>
      <w:bookmarkEnd w:id="297"/>
      <w:bookmarkEnd w:id="298"/>
      <w:bookmarkEnd w:id="299"/>
      <w:bookmarkEnd w:id="300"/>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277CD945">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59388C60">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7AF22F66">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得5分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72BD7592">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yellow"/>
                <w:shd w:val="clear" w:color="auto" w:fill="auto"/>
                <w:lang w:val="en-US" w:eastAsia="zh-CN"/>
              </w:rPr>
              <w:t>投标人拟投入的每一辆</w:t>
            </w:r>
            <w:r>
              <w:rPr>
                <w:rFonts w:hint="eastAsia" w:ascii="宋体" w:hAnsi="宋体" w:eastAsia="宋体" w:cs="宋体"/>
                <w:color w:val="auto"/>
                <w:szCs w:val="21"/>
                <w:highlight w:val="yellow"/>
                <w:shd w:val="clear" w:color="auto" w:fill="auto"/>
                <w:lang w:val="en-US" w:eastAsia="zh-CN"/>
              </w:rPr>
              <w:t>专业配送</w:t>
            </w:r>
            <w:r>
              <w:rPr>
                <w:rFonts w:hint="eastAsia" w:ascii="宋体" w:hAnsi="宋体" w:eastAsia="宋体" w:cs="宋体"/>
                <w:color w:val="auto"/>
                <w:szCs w:val="21"/>
                <w:highlight w:val="yellow"/>
                <w:shd w:val="clear" w:color="auto" w:fill="auto"/>
              </w:rPr>
              <w:t>货车</w:t>
            </w:r>
            <w:r>
              <w:rPr>
                <w:rFonts w:hint="eastAsia" w:ascii="宋体" w:hAnsi="宋体" w:eastAsia="宋体" w:cs="宋体"/>
                <w:color w:val="auto"/>
                <w:szCs w:val="21"/>
                <w:highlight w:val="yellow"/>
                <w:shd w:val="clear" w:color="auto" w:fill="auto"/>
                <w:lang w:val="en-US" w:eastAsia="zh-CN"/>
              </w:rPr>
              <w:t>配备1名（含1名）以上</w:t>
            </w:r>
            <w:r>
              <w:rPr>
                <w:rFonts w:hint="eastAsia" w:ascii="宋体" w:hAnsi="宋体" w:eastAsia="宋体" w:cs="宋体"/>
                <w:color w:val="auto"/>
                <w:szCs w:val="21"/>
                <w:highlight w:val="yellow"/>
                <w:shd w:val="clear" w:color="auto" w:fill="auto"/>
                <w:lang w:eastAsia="zh-CN"/>
              </w:rPr>
              <w:t>配送</w:t>
            </w:r>
            <w:r>
              <w:rPr>
                <w:rFonts w:hint="eastAsia" w:ascii="宋体" w:hAnsi="宋体" w:eastAsia="宋体" w:cs="宋体"/>
                <w:color w:val="auto"/>
                <w:szCs w:val="21"/>
                <w:highlight w:val="yellow"/>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1C3F25">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45BA9FB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：投标人承诺在中标后购买《食品安全责任保险》的得0.5分。（投标文件中提供相应承诺函）</w:t>
            </w:r>
          </w:p>
          <w:p w14:paraId="33C2517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11E5AD4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3B80B8AE">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660B8149">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1" w:name="_Toc11083"/>
      <w:bookmarkStart w:id="302" w:name="_Toc20313"/>
      <w:bookmarkStart w:id="303" w:name="_Toc10751"/>
      <w:bookmarkStart w:id="304" w:name="_Toc23906"/>
      <w:bookmarkStart w:id="305" w:name="_Toc16466"/>
      <w:bookmarkStart w:id="306" w:name="_Toc12855"/>
      <w:bookmarkStart w:id="307" w:name="_Toc15061"/>
      <w:bookmarkStart w:id="308" w:name="_Toc2202"/>
      <w:bookmarkStart w:id="309" w:name="_Toc18582"/>
      <w:bookmarkStart w:id="310" w:name="_Toc9480"/>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1"/>
      <w:bookmarkEnd w:id="302"/>
      <w:bookmarkEnd w:id="303"/>
      <w:bookmarkEnd w:id="304"/>
      <w:bookmarkEnd w:id="305"/>
      <w:bookmarkEnd w:id="306"/>
      <w:bookmarkEnd w:id="307"/>
      <w:bookmarkEnd w:id="308"/>
      <w:bookmarkEnd w:id="309"/>
      <w:bookmarkEnd w:id="310"/>
      <w:bookmarkStart w:id="311" w:name="_Toc13808"/>
      <w:bookmarkStart w:id="312" w:name="_Toc11695"/>
      <w:bookmarkStart w:id="313" w:name="_Toc22384"/>
      <w:bookmarkStart w:id="314" w:name="_Toc11073"/>
      <w:bookmarkStart w:id="315" w:name="_Toc13625"/>
      <w:bookmarkStart w:id="316" w:name="_Toc9602"/>
      <w:bookmarkStart w:id="317" w:name="_Toc11545"/>
      <w:bookmarkStart w:id="318" w:name="_Toc7971"/>
      <w:bookmarkStart w:id="319" w:name="_Toc29218"/>
      <w:bookmarkStart w:id="320" w:name="_Toc27419"/>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1"/>
      <w:bookmarkEnd w:id="312"/>
      <w:bookmarkEnd w:id="313"/>
      <w:bookmarkEnd w:id="314"/>
      <w:bookmarkEnd w:id="315"/>
      <w:bookmarkEnd w:id="316"/>
      <w:bookmarkEnd w:id="317"/>
      <w:bookmarkEnd w:id="318"/>
      <w:bookmarkEnd w:id="319"/>
      <w:bookmarkEnd w:id="320"/>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1" w:name="_Toc26262"/>
      <w:bookmarkStart w:id="322" w:name="_Toc20993"/>
      <w:bookmarkStart w:id="323" w:name="_Toc31791"/>
      <w:bookmarkStart w:id="324" w:name="_Toc3838"/>
      <w:bookmarkStart w:id="325" w:name="_Toc9012"/>
      <w:bookmarkStart w:id="326" w:name="_Toc3422"/>
      <w:bookmarkStart w:id="327" w:name="_Toc29347"/>
      <w:bookmarkStart w:id="328" w:name="_Toc7167"/>
      <w:bookmarkStart w:id="329" w:name="_Toc25572"/>
      <w:bookmarkStart w:id="330" w:name="_Toc32021"/>
      <w:bookmarkStart w:id="331" w:name="_Toc27014"/>
      <w:bookmarkStart w:id="332" w:name="_Toc17049"/>
      <w:bookmarkStart w:id="333" w:name="_Toc9058"/>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8CE490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431EE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0536A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325AEE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7FABBC4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10F894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40B34F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187A9AF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C71DE1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798F06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517D899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2F3E18D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6C4DB5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1D7FDF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4" w:name="_Toc19350"/>
      <w:bookmarkStart w:id="335" w:name="_Toc26390"/>
      <w:bookmarkStart w:id="336" w:name="_Toc32149"/>
      <w:bookmarkStart w:id="337" w:name="_Toc9123"/>
      <w:bookmarkStart w:id="338" w:name="_Toc24704"/>
      <w:bookmarkStart w:id="339" w:name="_Toc2517"/>
      <w:bookmarkStart w:id="340" w:name="_Toc20832"/>
      <w:bookmarkStart w:id="341" w:name="_Toc20296"/>
      <w:bookmarkStart w:id="342" w:name="_Toc2377"/>
      <w:bookmarkStart w:id="343" w:name="_Toc11043"/>
      <w:bookmarkStart w:id="344" w:name="_Toc19106"/>
      <w:bookmarkStart w:id="345" w:name="_Toc26884"/>
      <w:bookmarkStart w:id="346" w:name="_Toc573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1F70C184">
      <w:pPr>
        <w:widowControl/>
        <w:spacing w:beforeAutospacing="1" w:line="360" w:lineRule="auto"/>
        <w:jc w:val="left"/>
        <w:rPr>
          <w:rFonts w:ascii="宋体" w:hAnsi="宋体"/>
          <w:color w:val="auto"/>
          <w:szCs w:val="20"/>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7" w:name="_Toc20281"/>
      <w:bookmarkStart w:id="348" w:name="_Toc32508"/>
      <w:bookmarkStart w:id="349" w:name="_Toc32370"/>
      <w:bookmarkStart w:id="350" w:name="_Toc23486"/>
      <w:bookmarkStart w:id="351" w:name="_Toc24486"/>
      <w:bookmarkStart w:id="352" w:name="_Toc16890"/>
      <w:bookmarkStart w:id="353" w:name="_Toc4270"/>
      <w:bookmarkStart w:id="354" w:name="_Toc21700"/>
      <w:bookmarkStart w:id="355" w:name="_Toc7817"/>
      <w:bookmarkStart w:id="356" w:name="_Toc11854"/>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7"/>
      <w:bookmarkEnd w:id="348"/>
      <w:bookmarkEnd w:id="349"/>
      <w:bookmarkEnd w:id="350"/>
      <w:bookmarkEnd w:id="351"/>
      <w:bookmarkEnd w:id="352"/>
      <w:bookmarkEnd w:id="353"/>
      <w:bookmarkEnd w:id="354"/>
      <w:bookmarkEnd w:id="355"/>
      <w:bookmarkEnd w:id="356"/>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广西鑫磐工程项目管理有限责任公司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7" w:name="_Toc20777"/>
      <w:bookmarkStart w:id="358" w:name="_Toc31528"/>
      <w:bookmarkStart w:id="359" w:name="_Toc8189"/>
      <w:bookmarkStart w:id="360" w:name="_Toc6839"/>
      <w:bookmarkStart w:id="361" w:name="_Toc12624"/>
      <w:bookmarkStart w:id="362" w:name="_Toc16062"/>
      <w:bookmarkStart w:id="363" w:name="_Toc13159"/>
      <w:bookmarkStart w:id="364" w:name="_Toc19686838"/>
      <w:bookmarkStart w:id="365" w:name="_Toc24133"/>
      <w:bookmarkStart w:id="366" w:name="_Toc2566"/>
      <w:bookmarkStart w:id="367" w:name="_Toc3944"/>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7"/>
      <w:bookmarkEnd w:id="358"/>
      <w:bookmarkEnd w:id="359"/>
      <w:bookmarkEnd w:id="360"/>
      <w:bookmarkEnd w:id="361"/>
      <w:bookmarkEnd w:id="362"/>
      <w:bookmarkEnd w:id="363"/>
      <w:bookmarkEnd w:id="364"/>
      <w:bookmarkEnd w:id="365"/>
      <w:bookmarkEnd w:id="366"/>
      <w:bookmarkEnd w:id="367"/>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广西鑫磐工程项目管理有限责任公司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68" w:name="_Toc1161"/>
      <w:bookmarkStart w:id="369" w:name="_Toc23685"/>
      <w:bookmarkStart w:id="370" w:name="_Toc24098"/>
      <w:bookmarkStart w:id="371" w:name="_Toc585"/>
      <w:bookmarkStart w:id="372" w:name="_Toc24407"/>
      <w:bookmarkStart w:id="373" w:name="_Toc27757"/>
      <w:bookmarkStart w:id="374" w:name="_Toc10435"/>
      <w:bookmarkStart w:id="375" w:name="_Toc17437"/>
      <w:bookmarkStart w:id="376" w:name="_Toc10197"/>
      <w:bookmarkStart w:id="377" w:name="_Toc8889"/>
      <w:bookmarkStart w:id="378" w:name="_Toc19686839"/>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8"/>
      <w:bookmarkEnd w:id="369"/>
      <w:bookmarkEnd w:id="370"/>
      <w:bookmarkEnd w:id="371"/>
      <w:bookmarkEnd w:id="372"/>
      <w:bookmarkEnd w:id="373"/>
      <w:bookmarkEnd w:id="374"/>
      <w:bookmarkEnd w:id="375"/>
      <w:bookmarkEnd w:id="376"/>
      <w:bookmarkEnd w:id="377"/>
      <w:bookmarkEnd w:id="378"/>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79" w:name="_Toc30951"/>
      <w:bookmarkStart w:id="380" w:name="_Toc31920"/>
      <w:bookmarkStart w:id="381" w:name="_Toc9015"/>
      <w:bookmarkStart w:id="382" w:name="_Toc3481"/>
      <w:bookmarkStart w:id="383" w:name="_Toc12675"/>
      <w:bookmarkStart w:id="384" w:name="_Toc17719"/>
      <w:bookmarkStart w:id="385" w:name="_Toc12868"/>
      <w:bookmarkStart w:id="386" w:name="_Toc1343"/>
      <w:bookmarkStart w:id="387" w:name="_Toc22926"/>
      <w:bookmarkStart w:id="388" w:name="_Toc2861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79"/>
      <w:bookmarkEnd w:id="380"/>
      <w:bookmarkEnd w:id="381"/>
      <w:bookmarkEnd w:id="382"/>
      <w:bookmarkEnd w:id="383"/>
      <w:bookmarkEnd w:id="384"/>
      <w:bookmarkEnd w:id="385"/>
      <w:bookmarkEnd w:id="386"/>
      <w:bookmarkEnd w:id="387"/>
      <w:bookmarkEnd w:id="388"/>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广西鑫磐工程项目管理有限责任公司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桂平市木乐镇第一初级中学等6个学校食堂普通餐食品原材料联合采购配送服务项目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89"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89"/>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0" w:name="_Toc25113"/>
      <w:bookmarkStart w:id="391" w:name="_Toc2211"/>
      <w:bookmarkStart w:id="392" w:name="_Toc7244"/>
      <w:bookmarkStart w:id="393" w:name="_Toc7254"/>
      <w:bookmarkStart w:id="394" w:name="_Toc32028"/>
      <w:bookmarkStart w:id="395" w:name="_Toc491"/>
      <w:bookmarkStart w:id="396" w:name="_Toc11260"/>
      <w:bookmarkStart w:id="397" w:name="_Toc6635"/>
      <w:bookmarkStart w:id="398" w:name="_Toc31429"/>
      <w:bookmarkStart w:id="399" w:name="_Toc21753"/>
      <w:bookmarkStart w:id="400" w:name="_Toc17736"/>
      <w:bookmarkStart w:id="401" w:name="_Toc31310"/>
      <w:bookmarkStart w:id="402" w:name="_Toc1817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3" w:name="_Toc10944"/>
      <w:bookmarkStart w:id="404" w:name="_Toc3458"/>
      <w:bookmarkStart w:id="405" w:name="_Toc15096"/>
      <w:bookmarkStart w:id="406" w:name="_Toc31800"/>
      <w:bookmarkStart w:id="407" w:name="_Toc12016"/>
      <w:bookmarkStart w:id="408" w:name="_Toc17610"/>
      <w:bookmarkStart w:id="409" w:name="_Toc22595"/>
      <w:bookmarkStart w:id="410" w:name="_Toc25538"/>
      <w:bookmarkStart w:id="411" w:name="_Toc990"/>
      <w:bookmarkStart w:id="412" w:name="_Toc22540"/>
      <w:r>
        <w:rPr>
          <w:rFonts w:hint="eastAsia" w:ascii="宋体" w:hAnsi="宋体" w:cs="Times New Roman"/>
          <w:b w:val="0"/>
          <w:bCs w:val="0"/>
          <w:color w:val="auto"/>
          <w:highlight w:val="none"/>
        </w:rPr>
        <w:t>第一节 质疑函（格式）</w:t>
      </w:r>
      <w:bookmarkEnd w:id="403"/>
      <w:bookmarkEnd w:id="404"/>
      <w:bookmarkEnd w:id="405"/>
      <w:bookmarkEnd w:id="406"/>
      <w:bookmarkEnd w:id="407"/>
      <w:bookmarkEnd w:id="408"/>
      <w:bookmarkEnd w:id="409"/>
      <w:bookmarkEnd w:id="410"/>
      <w:bookmarkEnd w:id="411"/>
      <w:bookmarkEnd w:id="412"/>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3" w:name="PO_3000001867_PM026_5"/>
      <w:r>
        <w:rPr>
          <w:rFonts w:hint="eastAsia" w:ascii="宋体" w:hAnsi="宋体" w:eastAsia="宋体" w:cs="宋体"/>
          <w:color w:val="auto"/>
          <w:sz w:val="24"/>
          <w:szCs w:val="24"/>
          <w:highlight w:val="none"/>
          <w:u w:val="dotted"/>
        </w:rPr>
        <w:t xml:space="preserve">                        </w:t>
      </w:r>
      <w:bookmarkEnd w:id="413"/>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4" w:name="_Toc1896"/>
      <w:bookmarkStart w:id="415" w:name="_Toc32540"/>
      <w:bookmarkStart w:id="416" w:name="_Toc24894"/>
      <w:bookmarkStart w:id="417" w:name="_Toc11428"/>
      <w:bookmarkStart w:id="418" w:name="_Toc31203"/>
      <w:bookmarkStart w:id="419" w:name="_Toc24568"/>
      <w:bookmarkStart w:id="420" w:name="_Toc8862"/>
      <w:bookmarkStart w:id="421" w:name="_Toc7549"/>
      <w:bookmarkStart w:id="422" w:name="_Toc6551"/>
      <w:bookmarkStart w:id="423" w:name="_Toc11984"/>
      <w:r>
        <w:rPr>
          <w:rFonts w:hint="eastAsia" w:ascii="宋体" w:hAnsi="宋体" w:cs="Times New Roman"/>
          <w:b w:val="0"/>
          <w:bCs w:val="0"/>
          <w:color w:val="auto"/>
          <w:highlight w:val="none"/>
        </w:rPr>
        <w:t>第二节 投诉书（格式）</w:t>
      </w:r>
      <w:bookmarkEnd w:id="414"/>
      <w:bookmarkEnd w:id="415"/>
      <w:bookmarkEnd w:id="416"/>
      <w:bookmarkEnd w:id="417"/>
      <w:bookmarkEnd w:id="418"/>
      <w:bookmarkEnd w:id="419"/>
      <w:bookmarkEnd w:id="420"/>
      <w:bookmarkEnd w:id="421"/>
      <w:bookmarkEnd w:id="422"/>
      <w:bookmarkEnd w:id="423"/>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4" w:name="PO_3000001867_PM002_12"/>
      <w:r>
        <w:rPr>
          <w:rFonts w:hint="eastAsia" w:ascii="宋体" w:hAnsi="宋体" w:eastAsia="宋体" w:cs="宋体"/>
          <w:color w:val="auto"/>
          <w:sz w:val="24"/>
          <w:szCs w:val="24"/>
          <w:highlight w:val="none"/>
          <w:u w:val="dotted"/>
        </w:rPr>
        <w:t xml:space="preserve">                    </w:t>
      </w:r>
      <w:bookmarkEnd w:id="424"/>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5" w:name="PO_3000001867_PM001_9"/>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6" w:name="PO_3000001867_PM026_6"/>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1" w:type="first"/>
      <w:headerReference r:id="rId8" w:type="default"/>
      <w:footerReference r:id="rId9" w:type="default"/>
      <w:footerReference r:id="rId10"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Mincho">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jc w:val="left"/>
      <w:rPr>
        <w:rFonts w:hint="default" w:ascii="Times New Roman" w:hAnsi="Times New Roman" w:eastAsia="宋体" w:cs="Times New Roman"/>
        <w:b w:val="0"/>
        <w:bCs w:val="0"/>
        <w:highlight w:val="none"/>
        <w:u w:val="none"/>
        <w:lang w:val="en-US"/>
      </w:rPr>
    </w:pPr>
    <w:r>
      <w:rPr>
        <w:rFonts w:hint="eastAsia" w:ascii="宋体" w:hAnsi="宋体" w:cs="宋体"/>
        <w:b w:val="0"/>
        <w:bCs w:val="0"/>
        <w:color w:val="auto"/>
        <w:kern w:val="0"/>
        <w:szCs w:val="21"/>
        <w:highlight w:val="none"/>
        <w:u w:val="none"/>
        <w:lang w:eastAsia="zh-CN"/>
      </w:rPr>
      <w:t>桂平市木乐镇第一初级中学等6个学校食堂普通餐食品原材料联合采购配送服务项目</w:t>
    </w:r>
    <w:r>
      <w:rPr>
        <w:rFonts w:hint="eastAsia" w:ascii="宋体" w:hAnsi="宋体" w:cs="宋体"/>
        <w:b w:val="0"/>
        <w:bCs w:val="0"/>
        <w:color w:val="auto"/>
        <w:kern w:val="0"/>
        <w:szCs w:val="21"/>
        <w:highlight w:val="none"/>
        <w:u w:val="none"/>
        <w:lang w:val="en-US" w:eastAsia="zh-CN"/>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3A1356"/>
    <w:rsid w:val="00643BE3"/>
    <w:rsid w:val="0078768E"/>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B028BF"/>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361B7E"/>
    <w:rsid w:val="066F5DC3"/>
    <w:rsid w:val="0676474C"/>
    <w:rsid w:val="068C4871"/>
    <w:rsid w:val="069602FF"/>
    <w:rsid w:val="06A42419"/>
    <w:rsid w:val="06A6640C"/>
    <w:rsid w:val="06D575E9"/>
    <w:rsid w:val="06F62551"/>
    <w:rsid w:val="07023983"/>
    <w:rsid w:val="071F1DC5"/>
    <w:rsid w:val="072C4424"/>
    <w:rsid w:val="072D0157"/>
    <w:rsid w:val="0733430F"/>
    <w:rsid w:val="07591668"/>
    <w:rsid w:val="075D020D"/>
    <w:rsid w:val="075E0C24"/>
    <w:rsid w:val="07621280"/>
    <w:rsid w:val="07724E37"/>
    <w:rsid w:val="0790327A"/>
    <w:rsid w:val="07A428E3"/>
    <w:rsid w:val="07CB185D"/>
    <w:rsid w:val="07DA4E9C"/>
    <w:rsid w:val="08093A71"/>
    <w:rsid w:val="088E7A4F"/>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FD33F5"/>
    <w:rsid w:val="0D1B4908"/>
    <w:rsid w:val="0D543F47"/>
    <w:rsid w:val="0D59103F"/>
    <w:rsid w:val="0D6B4369"/>
    <w:rsid w:val="0D7B5D02"/>
    <w:rsid w:val="0D834F58"/>
    <w:rsid w:val="0D9269B0"/>
    <w:rsid w:val="0D972BF2"/>
    <w:rsid w:val="0D984AB4"/>
    <w:rsid w:val="0D992AED"/>
    <w:rsid w:val="0DD5090C"/>
    <w:rsid w:val="0E03730E"/>
    <w:rsid w:val="0E0F21BC"/>
    <w:rsid w:val="0E1770D6"/>
    <w:rsid w:val="0E2844A2"/>
    <w:rsid w:val="0E2B18D5"/>
    <w:rsid w:val="0E3218E4"/>
    <w:rsid w:val="0E56100F"/>
    <w:rsid w:val="0E686875"/>
    <w:rsid w:val="0E73260E"/>
    <w:rsid w:val="0E9C7C87"/>
    <w:rsid w:val="0EA91BC1"/>
    <w:rsid w:val="0EEE19BA"/>
    <w:rsid w:val="0EEF6AAD"/>
    <w:rsid w:val="0EFB7D6B"/>
    <w:rsid w:val="0F035F56"/>
    <w:rsid w:val="0F17197D"/>
    <w:rsid w:val="0F3410B2"/>
    <w:rsid w:val="0F524821"/>
    <w:rsid w:val="0F6A73F4"/>
    <w:rsid w:val="0F6B1F01"/>
    <w:rsid w:val="0F6D7F67"/>
    <w:rsid w:val="0F7200CA"/>
    <w:rsid w:val="0FB74DC9"/>
    <w:rsid w:val="0FCC18B7"/>
    <w:rsid w:val="101A621B"/>
    <w:rsid w:val="101C3B92"/>
    <w:rsid w:val="102F0E28"/>
    <w:rsid w:val="10390118"/>
    <w:rsid w:val="10484987"/>
    <w:rsid w:val="10A25EDA"/>
    <w:rsid w:val="10D4339F"/>
    <w:rsid w:val="10D60B3D"/>
    <w:rsid w:val="11652FD6"/>
    <w:rsid w:val="1189677B"/>
    <w:rsid w:val="11D843F8"/>
    <w:rsid w:val="11EA0D7E"/>
    <w:rsid w:val="11F56084"/>
    <w:rsid w:val="1207458B"/>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DE440D"/>
    <w:rsid w:val="14EF2214"/>
    <w:rsid w:val="15112FB3"/>
    <w:rsid w:val="1517629B"/>
    <w:rsid w:val="153512AC"/>
    <w:rsid w:val="154F4C01"/>
    <w:rsid w:val="15681628"/>
    <w:rsid w:val="15715C29"/>
    <w:rsid w:val="15A71FCF"/>
    <w:rsid w:val="15A85EC8"/>
    <w:rsid w:val="15CE73E7"/>
    <w:rsid w:val="15DA5588"/>
    <w:rsid w:val="15DA6861"/>
    <w:rsid w:val="15E924A8"/>
    <w:rsid w:val="15F7039E"/>
    <w:rsid w:val="164A7121"/>
    <w:rsid w:val="16521360"/>
    <w:rsid w:val="165754AD"/>
    <w:rsid w:val="169D6CED"/>
    <w:rsid w:val="16AF39B2"/>
    <w:rsid w:val="16B56AEF"/>
    <w:rsid w:val="16CC463A"/>
    <w:rsid w:val="172A6452"/>
    <w:rsid w:val="174A7237"/>
    <w:rsid w:val="17526FA4"/>
    <w:rsid w:val="17626C76"/>
    <w:rsid w:val="176B037C"/>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BDD1C16"/>
    <w:rsid w:val="1C2420C1"/>
    <w:rsid w:val="1C5C23DC"/>
    <w:rsid w:val="1C6A4C3A"/>
    <w:rsid w:val="1C915908"/>
    <w:rsid w:val="1C9E7D2D"/>
    <w:rsid w:val="1CA43733"/>
    <w:rsid w:val="1CC05E1A"/>
    <w:rsid w:val="1CCA5C25"/>
    <w:rsid w:val="1CE33425"/>
    <w:rsid w:val="1D1C4D64"/>
    <w:rsid w:val="1D4437F8"/>
    <w:rsid w:val="1D4B5AB7"/>
    <w:rsid w:val="1D4E20E3"/>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3B64EB"/>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164BFC"/>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A25AE4"/>
    <w:rsid w:val="27D10647"/>
    <w:rsid w:val="27DA7DAA"/>
    <w:rsid w:val="27F23143"/>
    <w:rsid w:val="28063E8E"/>
    <w:rsid w:val="28150C75"/>
    <w:rsid w:val="28375750"/>
    <w:rsid w:val="28790670"/>
    <w:rsid w:val="289636FF"/>
    <w:rsid w:val="29095C9F"/>
    <w:rsid w:val="291B1976"/>
    <w:rsid w:val="292145DB"/>
    <w:rsid w:val="2929132D"/>
    <w:rsid w:val="292D12B6"/>
    <w:rsid w:val="293300F4"/>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2745E"/>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EFC19F7"/>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827D75"/>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057F2"/>
    <w:rsid w:val="34420B22"/>
    <w:rsid w:val="345631E3"/>
    <w:rsid w:val="34572A71"/>
    <w:rsid w:val="348222AE"/>
    <w:rsid w:val="34995678"/>
    <w:rsid w:val="349D7A9E"/>
    <w:rsid w:val="34B87A7E"/>
    <w:rsid w:val="34BB41E0"/>
    <w:rsid w:val="34BC4B4B"/>
    <w:rsid w:val="34F718FA"/>
    <w:rsid w:val="3507717E"/>
    <w:rsid w:val="350C2D09"/>
    <w:rsid w:val="351E5210"/>
    <w:rsid w:val="35647C06"/>
    <w:rsid w:val="3592350F"/>
    <w:rsid w:val="35A67A5F"/>
    <w:rsid w:val="35C46C07"/>
    <w:rsid w:val="35F40F8A"/>
    <w:rsid w:val="35F526E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C735C"/>
    <w:rsid w:val="37A0301C"/>
    <w:rsid w:val="37D50947"/>
    <w:rsid w:val="37FB3273"/>
    <w:rsid w:val="383967AA"/>
    <w:rsid w:val="38681113"/>
    <w:rsid w:val="387E0FDF"/>
    <w:rsid w:val="387F5AF8"/>
    <w:rsid w:val="38B93DC5"/>
    <w:rsid w:val="38BE762D"/>
    <w:rsid w:val="38C904AC"/>
    <w:rsid w:val="38E50D89"/>
    <w:rsid w:val="38E53346"/>
    <w:rsid w:val="38F404CC"/>
    <w:rsid w:val="39455184"/>
    <w:rsid w:val="39726B7C"/>
    <w:rsid w:val="397315B2"/>
    <w:rsid w:val="397A5F51"/>
    <w:rsid w:val="399B6E57"/>
    <w:rsid w:val="39A7115D"/>
    <w:rsid w:val="39D1783B"/>
    <w:rsid w:val="39EA3076"/>
    <w:rsid w:val="39F71049"/>
    <w:rsid w:val="3A2C1123"/>
    <w:rsid w:val="3A395E36"/>
    <w:rsid w:val="3A443C96"/>
    <w:rsid w:val="3A5E69D2"/>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C0359A7"/>
    <w:rsid w:val="3C457F4A"/>
    <w:rsid w:val="3CA77CC7"/>
    <w:rsid w:val="3CAD1E92"/>
    <w:rsid w:val="3CE80F46"/>
    <w:rsid w:val="3D016178"/>
    <w:rsid w:val="3D237900"/>
    <w:rsid w:val="3D734AB6"/>
    <w:rsid w:val="3D766728"/>
    <w:rsid w:val="3DBD339D"/>
    <w:rsid w:val="3DE14882"/>
    <w:rsid w:val="3E173A67"/>
    <w:rsid w:val="3E3A55DD"/>
    <w:rsid w:val="3E4F3CEB"/>
    <w:rsid w:val="3E622809"/>
    <w:rsid w:val="3E7569E0"/>
    <w:rsid w:val="3E8B7A4C"/>
    <w:rsid w:val="3E952BDE"/>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0B3158"/>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852DDD"/>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16230"/>
    <w:rsid w:val="43EB38BE"/>
    <w:rsid w:val="43F31EC1"/>
    <w:rsid w:val="43FB1131"/>
    <w:rsid w:val="441A2345"/>
    <w:rsid w:val="44385910"/>
    <w:rsid w:val="443F0DB6"/>
    <w:rsid w:val="445E4478"/>
    <w:rsid w:val="447E4A26"/>
    <w:rsid w:val="449F1233"/>
    <w:rsid w:val="44E471D7"/>
    <w:rsid w:val="44E65F41"/>
    <w:rsid w:val="45435142"/>
    <w:rsid w:val="455F6E02"/>
    <w:rsid w:val="45643F5B"/>
    <w:rsid w:val="458F40E0"/>
    <w:rsid w:val="45921C25"/>
    <w:rsid w:val="45987D1F"/>
    <w:rsid w:val="45B63B66"/>
    <w:rsid w:val="45D4622A"/>
    <w:rsid w:val="45FB3C6E"/>
    <w:rsid w:val="461D638C"/>
    <w:rsid w:val="462E0726"/>
    <w:rsid w:val="46396545"/>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961EA1"/>
    <w:rsid w:val="479C6C60"/>
    <w:rsid w:val="47A42B87"/>
    <w:rsid w:val="47B03B4D"/>
    <w:rsid w:val="47BF3F6E"/>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A95790"/>
    <w:rsid w:val="49DF5A21"/>
    <w:rsid w:val="4A187D2D"/>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E332AC"/>
    <w:rsid w:val="4EF94B51"/>
    <w:rsid w:val="4F075432"/>
    <w:rsid w:val="4F155DA1"/>
    <w:rsid w:val="4F2E463F"/>
    <w:rsid w:val="4F4F2ACB"/>
    <w:rsid w:val="4F7A5C1F"/>
    <w:rsid w:val="4F8F33DB"/>
    <w:rsid w:val="4F940DFD"/>
    <w:rsid w:val="4F9D2D1D"/>
    <w:rsid w:val="4FA72771"/>
    <w:rsid w:val="4FBC2E9C"/>
    <w:rsid w:val="4FF37764"/>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0500DC"/>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6FA0D87"/>
    <w:rsid w:val="571177FA"/>
    <w:rsid w:val="571A4D54"/>
    <w:rsid w:val="57285324"/>
    <w:rsid w:val="572C50A1"/>
    <w:rsid w:val="574A79DE"/>
    <w:rsid w:val="574E744D"/>
    <w:rsid w:val="57544F8D"/>
    <w:rsid w:val="576C0528"/>
    <w:rsid w:val="57862A77"/>
    <w:rsid w:val="57B47CCE"/>
    <w:rsid w:val="57D26EB7"/>
    <w:rsid w:val="580653FD"/>
    <w:rsid w:val="580C3AB9"/>
    <w:rsid w:val="580F63AE"/>
    <w:rsid w:val="58474AF1"/>
    <w:rsid w:val="586B7753"/>
    <w:rsid w:val="58AA581E"/>
    <w:rsid w:val="58BD6B62"/>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0E2082"/>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5841EB"/>
    <w:rsid w:val="5E7B08D1"/>
    <w:rsid w:val="5E826CA8"/>
    <w:rsid w:val="5E847D30"/>
    <w:rsid w:val="5EAA4AD8"/>
    <w:rsid w:val="5EAB0D2C"/>
    <w:rsid w:val="5EE44E48"/>
    <w:rsid w:val="5F2B1805"/>
    <w:rsid w:val="5F2C34B6"/>
    <w:rsid w:val="5F476193"/>
    <w:rsid w:val="5F4B4EC7"/>
    <w:rsid w:val="5F4D6DA2"/>
    <w:rsid w:val="5F922248"/>
    <w:rsid w:val="5FA17662"/>
    <w:rsid w:val="5FAE1170"/>
    <w:rsid w:val="5FB76261"/>
    <w:rsid w:val="5FC20536"/>
    <w:rsid w:val="5FF15091"/>
    <w:rsid w:val="603F26D9"/>
    <w:rsid w:val="604231D2"/>
    <w:rsid w:val="60573113"/>
    <w:rsid w:val="605B55DE"/>
    <w:rsid w:val="60793CB6"/>
    <w:rsid w:val="608679A2"/>
    <w:rsid w:val="60D56C76"/>
    <w:rsid w:val="60E342E4"/>
    <w:rsid w:val="61001CE1"/>
    <w:rsid w:val="61151723"/>
    <w:rsid w:val="61181721"/>
    <w:rsid w:val="613432FE"/>
    <w:rsid w:val="61406582"/>
    <w:rsid w:val="614528AC"/>
    <w:rsid w:val="615A50E8"/>
    <w:rsid w:val="61670D47"/>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CB717B"/>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C34F37"/>
    <w:rsid w:val="66E83943"/>
    <w:rsid w:val="67073DC9"/>
    <w:rsid w:val="670F7889"/>
    <w:rsid w:val="67126567"/>
    <w:rsid w:val="67194A17"/>
    <w:rsid w:val="67211260"/>
    <w:rsid w:val="672F50CE"/>
    <w:rsid w:val="67460997"/>
    <w:rsid w:val="676557D9"/>
    <w:rsid w:val="67672ABA"/>
    <w:rsid w:val="676D705E"/>
    <w:rsid w:val="6780592A"/>
    <w:rsid w:val="67A05B2A"/>
    <w:rsid w:val="67DE2C50"/>
    <w:rsid w:val="67DE7084"/>
    <w:rsid w:val="67F7300E"/>
    <w:rsid w:val="681308CA"/>
    <w:rsid w:val="68150768"/>
    <w:rsid w:val="68342E8F"/>
    <w:rsid w:val="68483D18"/>
    <w:rsid w:val="685A43CD"/>
    <w:rsid w:val="687D4BDD"/>
    <w:rsid w:val="68911028"/>
    <w:rsid w:val="68952F54"/>
    <w:rsid w:val="68CF0917"/>
    <w:rsid w:val="68DC3EFE"/>
    <w:rsid w:val="68F8398F"/>
    <w:rsid w:val="690E688D"/>
    <w:rsid w:val="69125ADB"/>
    <w:rsid w:val="692674DB"/>
    <w:rsid w:val="694A4441"/>
    <w:rsid w:val="69507B39"/>
    <w:rsid w:val="696A458A"/>
    <w:rsid w:val="696F208D"/>
    <w:rsid w:val="698E0FEB"/>
    <w:rsid w:val="698E3009"/>
    <w:rsid w:val="6998799E"/>
    <w:rsid w:val="69D75B2A"/>
    <w:rsid w:val="6A1E0E59"/>
    <w:rsid w:val="6A3E6267"/>
    <w:rsid w:val="6A5979DE"/>
    <w:rsid w:val="6A854BA1"/>
    <w:rsid w:val="6A8923D3"/>
    <w:rsid w:val="6A8C61EA"/>
    <w:rsid w:val="6AA33E09"/>
    <w:rsid w:val="6AB9187F"/>
    <w:rsid w:val="6AC326FD"/>
    <w:rsid w:val="6ADB3525"/>
    <w:rsid w:val="6AE8250B"/>
    <w:rsid w:val="6AF23718"/>
    <w:rsid w:val="6B4078AA"/>
    <w:rsid w:val="6B5604CD"/>
    <w:rsid w:val="6B672A86"/>
    <w:rsid w:val="6B6F7D91"/>
    <w:rsid w:val="6B8723B0"/>
    <w:rsid w:val="6B8B2B72"/>
    <w:rsid w:val="6BFD39ED"/>
    <w:rsid w:val="6C3170F0"/>
    <w:rsid w:val="6C3A254B"/>
    <w:rsid w:val="6C9C3C49"/>
    <w:rsid w:val="6C9F6852"/>
    <w:rsid w:val="6CA8352E"/>
    <w:rsid w:val="6CB97733"/>
    <w:rsid w:val="6CD725ED"/>
    <w:rsid w:val="6CE34991"/>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4E2A69"/>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1FC"/>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361FD5"/>
    <w:rsid w:val="763E3B33"/>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14DCA"/>
    <w:rsid w:val="77970501"/>
    <w:rsid w:val="77CE4E49"/>
    <w:rsid w:val="77DD1955"/>
    <w:rsid w:val="78106856"/>
    <w:rsid w:val="78492BFF"/>
    <w:rsid w:val="784A2834"/>
    <w:rsid w:val="78986C8F"/>
    <w:rsid w:val="78CD0C53"/>
    <w:rsid w:val="78E85ACC"/>
    <w:rsid w:val="78EC114F"/>
    <w:rsid w:val="78F53EF1"/>
    <w:rsid w:val="78F87A16"/>
    <w:rsid w:val="79064ACA"/>
    <w:rsid w:val="79200D68"/>
    <w:rsid w:val="79404045"/>
    <w:rsid w:val="794744F9"/>
    <w:rsid w:val="794B1CCF"/>
    <w:rsid w:val="794C17A8"/>
    <w:rsid w:val="794E1F75"/>
    <w:rsid w:val="79560FF9"/>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4551C"/>
    <w:rsid w:val="7A98300E"/>
    <w:rsid w:val="7AA812CD"/>
    <w:rsid w:val="7AF67F85"/>
    <w:rsid w:val="7AF83E4D"/>
    <w:rsid w:val="7B2241A0"/>
    <w:rsid w:val="7B3D3B4B"/>
    <w:rsid w:val="7B4E5F74"/>
    <w:rsid w:val="7B5B590C"/>
    <w:rsid w:val="7B857075"/>
    <w:rsid w:val="7BB5399C"/>
    <w:rsid w:val="7BC21276"/>
    <w:rsid w:val="7BC525C4"/>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6006E"/>
    <w:rsid w:val="7CDD2498"/>
    <w:rsid w:val="7CE10687"/>
    <w:rsid w:val="7CE111F7"/>
    <w:rsid w:val="7D1428F3"/>
    <w:rsid w:val="7D1C52E3"/>
    <w:rsid w:val="7D226CD3"/>
    <w:rsid w:val="7D2E060E"/>
    <w:rsid w:val="7D3605C3"/>
    <w:rsid w:val="7D3714E0"/>
    <w:rsid w:val="7D3A2618"/>
    <w:rsid w:val="7D405FDE"/>
    <w:rsid w:val="7D494CE4"/>
    <w:rsid w:val="7D5278E9"/>
    <w:rsid w:val="7D53229B"/>
    <w:rsid w:val="7D621902"/>
    <w:rsid w:val="7D9F232A"/>
    <w:rsid w:val="7DA71A0B"/>
    <w:rsid w:val="7DAC2E61"/>
    <w:rsid w:val="7DB84B7D"/>
    <w:rsid w:val="7DC03F63"/>
    <w:rsid w:val="7DDB16B4"/>
    <w:rsid w:val="7E0353C2"/>
    <w:rsid w:val="7E221091"/>
    <w:rsid w:val="7E2719D2"/>
    <w:rsid w:val="7E301C88"/>
    <w:rsid w:val="7E5706C0"/>
    <w:rsid w:val="7E730C2B"/>
    <w:rsid w:val="7E797FB0"/>
    <w:rsid w:val="7EA1239A"/>
    <w:rsid w:val="7EC24D40"/>
    <w:rsid w:val="7EC81A6C"/>
    <w:rsid w:val="7ED9582D"/>
    <w:rsid w:val="7EE66563"/>
    <w:rsid w:val="7F21731A"/>
    <w:rsid w:val="7F431EC6"/>
    <w:rsid w:val="7F46457A"/>
    <w:rsid w:val="7F655F2B"/>
    <w:rsid w:val="7F66149A"/>
    <w:rsid w:val="7FCD24B7"/>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10638</Words>
  <Characters>11309</Characters>
  <Lines>0</Lines>
  <Paragraphs>0</Paragraphs>
  <TotalTime>0</TotalTime>
  <ScaleCrop>false</ScaleCrop>
  <LinksUpToDate>false</LinksUpToDate>
  <CharactersWithSpaces>11415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谁说妙不可言</cp:lastModifiedBy>
  <cp:lastPrinted>2025-04-09T07:48:00Z</cp:lastPrinted>
  <dcterms:modified xsi:type="dcterms:W3CDTF">2025-04-17T01:58:14Z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33016EA7219C4ABD8442F7CE5551347C_13</vt:lpwstr>
  </property>
  <property fmtid="{D5CDD505-2E9C-101B-9397-08002B2CF9AE}" pid="4" name="KSOTemplateDocerSaveRecord">
    <vt:lpwstr>eyJoZGlkIjoiOTM2ZTEyYjA2MGI4NGZiYzNlZWY3NzgyYjM2NTM0NDUiLCJ1c2VySWQiOiIyMzQ1NTc2ODYifQ==</vt:lpwstr>
  </property>
</Properties>
</file>