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00" w:lineRule="exact"/>
        <w:jc w:val="center"/>
        <w:rPr>
          <w:rFonts w:hint="eastAsia"/>
          <w:b/>
          <w:bCs/>
          <w:color w:val="auto"/>
          <w:sz w:val="30"/>
          <w:szCs w:val="30"/>
          <w:highlight w:val="none"/>
        </w:rPr>
      </w:pPr>
      <w:bookmarkStart w:id="252" w:name="_GoBack"/>
    </w:p>
    <w:p>
      <w:pPr>
        <w:spacing w:line="560" w:lineRule="exact"/>
        <w:jc w:val="center"/>
        <w:rPr>
          <w:rFonts w:hint="eastAsia" w:hAnsi="宋体"/>
          <w:color w:val="auto"/>
          <w:sz w:val="44"/>
          <w:szCs w:val="44"/>
          <w:highlight w:val="none"/>
        </w:rPr>
      </w:pPr>
      <w:r>
        <w:rPr>
          <w:rFonts w:hint="eastAsia" w:hAnsi="宋体"/>
          <w:color w:val="auto"/>
          <w:sz w:val="44"/>
          <w:szCs w:val="44"/>
          <w:highlight w:val="none"/>
        </w:rPr>
        <w:t>广西壮族自治区政府采购中心</w:t>
      </w:r>
    </w:p>
    <w:p>
      <w:pPr>
        <w:spacing w:line="560" w:lineRule="exact"/>
        <w:jc w:val="center"/>
        <w:rPr>
          <w:rFonts w:hint="eastAsia" w:hAnsi="宋体"/>
          <w:color w:val="auto"/>
          <w:sz w:val="44"/>
          <w:szCs w:val="44"/>
          <w:highlight w:val="none"/>
        </w:rPr>
      </w:pPr>
      <w:r>
        <w:rPr>
          <w:rFonts w:hint="eastAsia" w:hAnsi="宋体"/>
          <w:color w:val="auto"/>
          <w:sz w:val="44"/>
          <w:szCs w:val="44"/>
          <w:highlight w:val="none"/>
        </w:rPr>
        <w:t>桂林航天工业学院明志楼教室桌椅采购项目（GXZC2025-G1-002187-CGZX）</w:t>
      </w:r>
    </w:p>
    <w:p>
      <w:pPr>
        <w:spacing w:line="560" w:lineRule="exact"/>
        <w:jc w:val="center"/>
        <w:rPr>
          <w:rFonts w:hint="eastAsia" w:hAnsi="宋体"/>
          <w:color w:val="auto"/>
          <w:sz w:val="44"/>
          <w:szCs w:val="44"/>
          <w:highlight w:val="none"/>
        </w:rPr>
      </w:pPr>
      <w:r>
        <w:rPr>
          <w:rFonts w:hint="eastAsia" w:hAnsi="宋体"/>
          <w:color w:val="auto"/>
          <w:sz w:val="44"/>
          <w:szCs w:val="44"/>
          <w:highlight w:val="none"/>
        </w:rPr>
        <w:t>公开招标文件预公示</w:t>
      </w:r>
    </w:p>
    <w:p>
      <w:pPr>
        <w:spacing w:line="560" w:lineRule="exact"/>
        <w:rPr>
          <w:rFonts w:hint="eastAsia" w:hAnsi="宋体"/>
          <w:color w:val="auto"/>
          <w:sz w:val="32"/>
          <w:szCs w:val="32"/>
          <w:highlight w:val="none"/>
        </w:rPr>
      </w:pPr>
    </w:p>
    <w:p>
      <w:pPr>
        <w:spacing w:line="460" w:lineRule="exact"/>
        <w:rPr>
          <w:rFonts w:hint="eastAsia" w:hAnsi="宋体"/>
          <w:color w:val="auto"/>
          <w:sz w:val="32"/>
          <w:szCs w:val="32"/>
          <w:highlight w:val="none"/>
        </w:rPr>
      </w:pPr>
      <w:r>
        <w:rPr>
          <w:rFonts w:hint="eastAsia" w:hAnsi="宋体"/>
          <w:color w:val="auto"/>
          <w:sz w:val="32"/>
          <w:szCs w:val="32"/>
          <w:highlight w:val="none"/>
        </w:rPr>
        <w:t>各有关供应商：</w:t>
      </w:r>
    </w:p>
    <w:p>
      <w:pPr>
        <w:spacing w:line="460" w:lineRule="exact"/>
        <w:rPr>
          <w:rFonts w:hint="eastAsia" w:hAnsi="宋体"/>
          <w:color w:val="auto"/>
          <w:sz w:val="32"/>
          <w:szCs w:val="32"/>
          <w:highlight w:val="none"/>
        </w:rPr>
      </w:pPr>
      <w:r>
        <w:rPr>
          <w:rFonts w:hint="eastAsia" w:hAnsi="宋体"/>
          <w:color w:val="auto"/>
          <w:sz w:val="32"/>
          <w:szCs w:val="32"/>
          <w:highlight w:val="none"/>
        </w:rPr>
        <w:t xml:space="preserve">    我中心受</w:t>
      </w:r>
      <w:r>
        <w:rPr>
          <w:rFonts w:hint="eastAsia" w:hAnsi="宋体"/>
          <w:color w:val="auto"/>
          <w:sz w:val="32"/>
          <w:szCs w:val="32"/>
          <w:highlight w:val="none"/>
          <w:lang w:eastAsia="zh-CN"/>
        </w:rPr>
        <w:t>采购单位</w:t>
      </w:r>
      <w:r>
        <w:rPr>
          <w:rFonts w:hint="eastAsia" w:hAnsi="宋体"/>
          <w:color w:val="auto"/>
          <w:sz w:val="32"/>
          <w:szCs w:val="32"/>
          <w:highlight w:val="none"/>
        </w:rPr>
        <w:t xml:space="preserve">委托，拟对桂林航天工业学院明志楼教室桌椅采购 </w:t>
      </w:r>
      <w:r>
        <w:rPr>
          <w:rFonts w:hint="eastAsia" w:hAnsi="宋体"/>
          <w:color w:val="auto"/>
          <w:sz w:val="32"/>
          <w:szCs w:val="32"/>
          <w:highlight w:val="none"/>
          <w:u w:val="single"/>
        </w:rPr>
        <w:t>（GXZC2025-G1-002187-CGZX）</w:t>
      </w:r>
      <w:r>
        <w:rPr>
          <w:rFonts w:hint="eastAsia" w:hAnsi="宋体"/>
          <w:color w:val="auto"/>
          <w:sz w:val="32"/>
          <w:szCs w:val="32"/>
          <w:highlight w:val="none"/>
        </w:rPr>
        <w:t>进行公开招标采购，为了保障政府采购各方当事人合法权益，现对本项目的供应商资格条件要求、技术参数及性能（配置）要求、评标办法及评分标准等内容予以预公示。各有关供应商、专业人员等若认为本项目上述要求存在唯一性或排他性等问题，请于</w:t>
      </w:r>
      <w:r>
        <w:rPr>
          <w:rFonts w:hint="eastAsia" w:hAnsi="宋体"/>
          <w:b/>
          <w:bCs/>
          <w:color w:val="auto"/>
          <w:sz w:val="32"/>
          <w:szCs w:val="32"/>
          <w:highlight w:val="none"/>
          <w:u w:val="single"/>
        </w:rPr>
        <w:t>202</w:t>
      </w:r>
      <w:r>
        <w:rPr>
          <w:rFonts w:hint="eastAsia" w:hAnsi="宋体"/>
          <w:b/>
          <w:bCs/>
          <w:color w:val="auto"/>
          <w:sz w:val="32"/>
          <w:szCs w:val="32"/>
          <w:highlight w:val="none"/>
          <w:u w:val="single"/>
          <w:lang w:val="en-US" w:eastAsia="zh-CN"/>
        </w:rPr>
        <w:t>5</w:t>
      </w:r>
      <w:r>
        <w:rPr>
          <w:rFonts w:hint="eastAsia" w:hAnsi="宋体"/>
          <w:b/>
          <w:bCs/>
          <w:color w:val="auto"/>
          <w:sz w:val="32"/>
          <w:szCs w:val="32"/>
          <w:highlight w:val="none"/>
          <w:u w:val="single"/>
        </w:rPr>
        <w:t>年</w:t>
      </w:r>
      <w:r>
        <w:rPr>
          <w:rFonts w:hint="eastAsia" w:hAnsi="宋体"/>
          <w:b/>
          <w:bCs/>
          <w:color w:val="auto"/>
          <w:sz w:val="32"/>
          <w:szCs w:val="32"/>
          <w:highlight w:val="none"/>
          <w:u w:val="single"/>
          <w:lang w:val="en-US" w:eastAsia="zh-CN"/>
        </w:rPr>
        <w:t>8</w:t>
      </w:r>
      <w:r>
        <w:rPr>
          <w:rFonts w:hint="eastAsia" w:hAnsi="宋体"/>
          <w:b/>
          <w:bCs/>
          <w:color w:val="auto"/>
          <w:sz w:val="32"/>
          <w:szCs w:val="32"/>
          <w:highlight w:val="none"/>
          <w:u w:val="single"/>
        </w:rPr>
        <w:t>月</w:t>
      </w:r>
      <w:r>
        <w:rPr>
          <w:rFonts w:hint="eastAsia" w:hAnsi="宋体"/>
          <w:b/>
          <w:bCs/>
          <w:color w:val="auto"/>
          <w:sz w:val="32"/>
          <w:szCs w:val="32"/>
          <w:highlight w:val="none"/>
          <w:u w:val="single"/>
          <w:lang w:val="en-US" w:eastAsia="zh-CN"/>
        </w:rPr>
        <w:t>18</w:t>
      </w:r>
      <w:r>
        <w:rPr>
          <w:rFonts w:hint="eastAsia" w:hAnsi="宋体"/>
          <w:b/>
          <w:bCs/>
          <w:color w:val="auto"/>
          <w:sz w:val="32"/>
          <w:szCs w:val="32"/>
          <w:highlight w:val="none"/>
          <w:u w:val="single"/>
        </w:rPr>
        <w:t>日 17时</w:t>
      </w:r>
      <w:r>
        <w:rPr>
          <w:rFonts w:hint="eastAsia" w:hAnsi="宋体"/>
          <w:color w:val="auto"/>
          <w:sz w:val="32"/>
          <w:szCs w:val="32"/>
          <w:highlight w:val="none"/>
        </w:rPr>
        <w:t>前以书面形式(意见函须加盖公章)向我中心反映，以便我中心完善采购文件。如供应商需提交意见函，请携带</w:t>
      </w:r>
      <w:r>
        <w:rPr>
          <w:rFonts w:hint="eastAsia" w:hAnsi="宋体"/>
          <w:b/>
          <w:bCs/>
          <w:color w:val="auto"/>
          <w:sz w:val="32"/>
          <w:szCs w:val="32"/>
          <w:highlight w:val="none"/>
        </w:rPr>
        <w:t>企业营业执照（或事业单位法人证书）副本复印件</w:t>
      </w:r>
      <w:r>
        <w:rPr>
          <w:rFonts w:hint="eastAsia" w:hAnsi="宋体"/>
          <w:color w:val="auto"/>
          <w:sz w:val="32"/>
          <w:szCs w:val="32"/>
          <w:highlight w:val="none"/>
        </w:rPr>
        <w:t>（加盖公章，一份）、</w:t>
      </w:r>
      <w:r>
        <w:rPr>
          <w:rFonts w:hint="eastAsia" w:hAnsi="宋体"/>
          <w:b/>
          <w:bCs/>
          <w:color w:val="auto"/>
          <w:sz w:val="32"/>
          <w:szCs w:val="32"/>
          <w:highlight w:val="none"/>
        </w:rPr>
        <w:t>经办人身份证原件及复印件</w:t>
      </w:r>
      <w:r>
        <w:rPr>
          <w:rFonts w:hint="eastAsia" w:hAnsi="宋体"/>
          <w:color w:val="auto"/>
          <w:sz w:val="32"/>
          <w:szCs w:val="32"/>
          <w:highlight w:val="none"/>
        </w:rPr>
        <w:t>（加盖公章，一份）</w:t>
      </w:r>
      <w:r>
        <w:rPr>
          <w:rFonts w:hint="eastAsia" w:hAnsi="宋体"/>
          <w:b/>
          <w:bCs/>
          <w:color w:val="auto"/>
          <w:sz w:val="32"/>
          <w:szCs w:val="32"/>
          <w:highlight w:val="none"/>
        </w:rPr>
        <w:t>提交意见函原件</w:t>
      </w:r>
      <w:r>
        <w:rPr>
          <w:rFonts w:hint="eastAsia" w:hAnsi="宋体"/>
          <w:color w:val="auto"/>
          <w:sz w:val="32"/>
          <w:szCs w:val="32"/>
          <w:highlight w:val="none"/>
        </w:rPr>
        <w:t>。意见函应注明联系人和联系方式。专业人员个人请提交意见签名，并附身份证、职称等复印件。</w:t>
      </w:r>
    </w:p>
    <w:p>
      <w:pPr>
        <w:spacing w:line="460" w:lineRule="exact"/>
        <w:rPr>
          <w:rFonts w:hint="eastAsia" w:hAnsi="宋体"/>
          <w:color w:val="auto"/>
          <w:sz w:val="32"/>
          <w:szCs w:val="32"/>
          <w:highlight w:val="none"/>
        </w:rPr>
      </w:pPr>
      <w:r>
        <w:rPr>
          <w:rFonts w:hint="eastAsia" w:hAnsi="宋体"/>
          <w:color w:val="auto"/>
          <w:sz w:val="32"/>
          <w:szCs w:val="32"/>
          <w:highlight w:val="none"/>
        </w:rPr>
        <w:t xml:space="preserve">    对各有关供应商、专业人员等逾期送达、匿名送达以及其他不符合上述条件的意见函件我中心不予受理。  </w:t>
      </w:r>
    </w:p>
    <w:p>
      <w:pPr>
        <w:spacing w:line="460" w:lineRule="exact"/>
        <w:rPr>
          <w:rFonts w:hint="eastAsia" w:hAnsi="宋体"/>
          <w:color w:val="auto"/>
          <w:sz w:val="32"/>
          <w:szCs w:val="32"/>
          <w:highlight w:val="none"/>
        </w:rPr>
      </w:pPr>
      <w:r>
        <w:rPr>
          <w:rFonts w:hint="eastAsia" w:hAnsi="宋体"/>
          <w:color w:val="auto"/>
          <w:sz w:val="32"/>
          <w:szCs w:val="32"/>
          <w:highlight w:val="none"/>
        </w:rPr>
        <w:t xml:space="preserve">    联系地址：广西南宁市青秀区</w:t>
      </w:r>
      <w:r>
        <w:rPr>
          <w:rFonts w:hint="eastAsia" w:hAnsi="宋体"/>
          <w:b/>
          <w:bCs/>
          <w:color w:val="auto"/>
          <w:sz w:val="32"/>
          <w:szCs w:val="32"/>
          <w:highlight w:val="none"/>
        </w:rPr>
        <w:t>星湖路22号</w:t>
      </w:r>
      <w:r>
        <w:rPr>
          <w:rFonts w:hint="eastAsia" w:hAnsi="宋体"/>
          <w:b w:val="0"/>
          <w:bCs w:val="0"/>
          <w:color w:val="auto"/>
          <w:sz w:val="32"/>
          <w:szCs w:val="32"/>
          <w:highlight w:val="none"/>
        </w:rPr>
        <w:t>广西壮族自治区公</w:t>
      </w:r>
      <w:r>
        <w:rPr>
          <w:rFonts w:hint="eastAsia" w:hAnsi="宋体"/>
          <w:b w:val="0"/>
          <w:bCs w:val="0"/>
          <w:color w:val="auto"/>
          <w:sz w:val="32"/>
          <w:szCs w:val="32"/>
          <w:highlight w:val="none"/>
          <w:lang w:eastAsia="zh-CN"/>
        </w:rPr>
        <w:t>共</w:t>
      </w:r>
      <w:r>
        <w:rPr>
          <w:rFonts w:hint="eastAsia" w:hAnsi="宋体"/>
          <w:b w:val="0"/>
          <w:bCs w:val="0"/>
          <w:color w:val="auto"/>
          <w:sz w:val="32"/>
          <w:szCs w:val="32"/>
          <w:highlight w:val="none"/>
        </w:rPr>
        <w:t>资源交易中心（广西壮族自治区政府采购中心）</w:t>
      </w:r>
      <w:r>
        <w:rPr>
          <w:rFonts w:hint="eastAsia" w:hAnsi="宋体"/>
          <w:b/>
          <w:bCs/>
          <w:color w:val="auto"/>
          <w:sz w:val="32"/>
          <w:szCs w:val="32"/>
          <w:highlight w:val="none"/>
        </w:rPr>
        <w:t xml:space="preserve">综合楼二楼208室 </w:t>
      </w:r>
      <w:r>
        <w:rPr>
          <w:rFonts w:hint="eastAsia" w:hAnsi="宋体"/>
          <w:color w:val="auto"/>
          <w:sz w:val="32"/>
          <w:szCs w:val="32"/>
          <w:highlight w:val="none"/>
        </w:rPr>
        <w:t xml:space="preserve">                            </w:t>
      </w:r>
    </w:p>
    <w:p>
      <w:pPr>
        <w:spacing w:line="460" w:lineRule="exact"/>
        <w:rPr>
          <w:rFonts w:hint="eastAsia" w:hAnsi="宋体"/>
          <w:color w:val="auto"/>
          <w:sz w:val="32"/>
          <w:szCs w:val="32"/>
          <w:highlight w:val="none"/>
        </w:rPr>
      </w:pPr>
      <w:r>
        <w:rPr>
          <w:rFonts w:hint="eastAsia" w:hAnsi="宋体"/>
          <w:color w:val="auto"/>
          <w:sz w:val="32"/>
          <w:szCs w:val="32"/>
          <w:highlight w:val="none"/>
        </w:rPr>
        <w:t xml:space="preserve">    </w:t>
      </w:r>
    </w:p>
    <w:p>
      <w:pPr>
        <w:spacing w:line="460" w:lineRule="exact"/>
        <w:ind w:firstLine="800" w:firstLineChars="250"/>
        <w:rPr>
          <w:rFonts w:hint="default" w:hAnsi="宋体" w:eastAsia="宋体"/>
          <w:color w:val="auto"/>
          <w:sz w:val="32"/>
          <w:szCs w:val="32"/>
          <w:highlight w:val="none"/>
          <w:lang w:val="en-US" w:eastAsia="zh-CN"/>
        </w:rPr>
      </w:pPr>
      <w:r>
        <w:rPr>
          <w:rFonts w:hint="eastAsia" w:hAnsi="宋体"/>
          <w:color w:val="auto"/>
          <w:sz w:val="32"/>
          <w:szCs w:val="32"/>
          <w:highlight w:val="none"/>
        </w:rPr>
        <w:t>联系人：张国铨       联系电话</w:t>
      </w:r>
      <w:r>
        <w:rPr>
          <w:rFonts w:hint="eastAsia" w:hAnsi="宋体"/>
          <w:color w:val="auto"/>
          <w:sz w:val="32"/>
          <w:szCs w:val="32"/>
          <w:highlight w:val="none"/>
        </w:rPr>
        <w:t>：</w:t>
      </w:r>
      <w:r>
        <w:rPr>
          <w:rFonts w:hint="eastAsia" w:hAnsi="宋体"/>
          <w:color w:val="auto"/>
          <w:sz w:val="32"/>
          <w:szCs w:val="32"/>
          <w:highlight w:val="none"/>
        </w:rPr>
        <w:t>0771-</w:t>
      </w:r>
      <w:r>
        <w:rPr>
          <w:rFonts w:hint="eastAsia" w:hAnsi="宋体"/>
          <w:color w:val="auto"/>
          <w:sz w:val="32"/>
          <w:szCs w:val="32"/>
          <w:highlight w:val="none"/>
          <w:lang w:val="en-US" w:eastAsia="zh-CN"/>
        </w:rPr>
        <w:t>8600343</w:t>
      </w:r>
    </w:p>
    <w:p>
      <w:pPr>
        <w:spacing w:line="460" w:lineRule="exact"/>
        <w:ind w:firstLine="800" w:firstLineChars="250"/>
        <w:rPr>
          <w:rFonts w:hint="eastAsia" w:hAnsi="宋体"/>
          <w:color w:val="auto"/>
          <w:sz w:val="32"/>
          <w:szCs w:val="32"/>
          <w:highlight w:val="none"/>
        </w:rPr>
      </w:pPr>
      <w:r>
        <w:rPr>
          <w:rFonts w:hint="eastAsia" w:hAnsi="宋体"/>
          <w:color w:val="auto"/>
          <w:sz w:val="32"/>
          <w:szCs w:val="32"/>
          <w:highlight w:val="none"/>
        </w:rPr>
        <w:t>附：桂林航天工业学院明志楼教室桌椅采购项目（GXZC2025-G1-002187-CGZX）公开招标文件预公示内容</w:t>
      </w:r>
    </w:p>
    <w:p>
      <w:pPr>
        <w:spacing w:line="460" w:lineRule="exact"/>
        <w:rPr>
          <w:rFonts w:hint="eastAsia" w:hAnsi="宋体"/>
          <w:color w:val="auto"/>
          <w:sz w:val="32"/>
          <w:szCs w:val="32"/>
          <w:highlight w:val="none"/>
        </w:rPr>
      </w:pPr>
      <w:r>
        <w:rPr>
          <w:rFonts w:hint="eastAsia" w:hAnsi="宋体"/>
          <w:color w:val="auto"/>
          <w:sz w:val="32"/>
          <w:szCs w:val="32"/>
          <w:highlight w:val="none"/>
        </w:rPr>
        <w:t xml:space="preserve">                                   </w:t>
      </w:r>
    </w:p>
    <w:p>
      <w:pPr>
        <w:spacing w:line="460" w:lineRule="exact"/>
        <w:jc w:val="right"/>
        <w:rPr>
          <w:rFonts w:hint="eastAsia" w:hAnsi="宋体"/>
          <w:color w:val="auto"/>
          <w:sz w:val="32"/>
          <w:szCs w:val="32"/>
          <w:highlight w:val="none"/>
        </w:rPr>
      </w:pPr>
      <w:r>
        <w:rPr>
          <w:rFonts w:hint="eastAsia" w:hAnsi="宋体"/>
          <w:color w:val="auto"/>
          <w:sz w:val="32"/>
          <w:szCs w:val="32"/>
          <w:highlight w:val="none"/>
        </w:rPr>
        <w:t xml:space="preserve">                             广西壮族自治区政府采购中心                            </w:t>
      </w:r>
      <w:r>
        <w:rPr>
          <w:rFonts w:hAnsi="宋体"/>
          <w:color w:val="auto"/>
          <w:sz w:val="32"/>
          <w:szCs w:val="32"/>
          <w:highlight w:val="none"/>
        </w:rPr>
        <w:t>20</w:t>
      </w:r>
      <w:r>
        <w:rPr>
          <w:rFonts w:hint="eastAsia" w:hAnsi="宋体"/>
          <w:color w:val="auto"/>
          <w:sz w:val="32"/>
          <w:szCs w:val="32"/>
          <w:highlight w:val="none"/>
        </w:rPr>
        <w:t>2</w:t>
      </w:r>
      <w:r>
        <w:rPr>
          <w:rFonts w:hint="eastAsia" w:hAnsi="宋体"/>
          <w:color w:val="auto"/>
          <w:sz w:val="32"/>
          <w:szCs w:val="32"/>
          <w:highlight w:val="none"/>
          <w:lang w:val="en-US" w:eastAsia="zh-CN"/>
        </w:rPr>
        <w:t>5</w:t>
      </w:r>
      <w:r>
        <w:rPr>
          <w:rFonts w:hint="eastAsia" w:hAnsi="宋体"/>
          <w:color w:val="auto"/>
          <w:sz w:val="32"/>
          <w:szCs w:val="32"/>
          <w:highlight w:val="none"/>
        </w:rPr>
        <w:t>年</w:t>
      </w:r>
      <w:r>
        <w:rPr>
          <w:rFonts w:hint="eastAsia" w:hAnsi="宋体"/>
          <w:color w:val="auto"/>
          <w:sz w:val="32"/>
          <w:szCs w:val="32"/>
          <w:highlight w:val="none"/>
          <w:lang w:val="en-US" w:eastAsia="zh-CN"/>
        </w:rPr>
        <w:t>8</w:t>
      </w:r>
      <w:r>
        <w:rPr>
          <w:rFonts w:hint="eastAsia" w:hAnsi="宋体"/>
          <w:color w:val="auto"/>
          <w:sz w:val="32"/>
          <w:szCs w:val="32"/>
          <w:highlight w:val="none"/>
        </w:rPr>
        <w:t>月</w:t>
      </w:r>
      <w:r>
        <w:rPr>
          <w:rFonts w:hint="eastAsia" w:hAnsi="宋体"/>
          <w:color w:val="auto"/>
          <w:sz w:val="32"/>
          <w:szCs w:val="32"/>
          <w:highlight w:val="none"/>
          <w:lang w:val="en-US" w:eastAsia="zh-CN"/>
        </w:rPr>
        <w:t>15</w:t>
      </w:r>
      <w:r>
        <w:rPr>
          <w:rFonts w:hint="eastAsia" w:hAnsi="宋体"/>
          <w:color w:val="auto"/>
          <w:sz w:val="32"/>
          <w:szCs w:val="32"/>
          <w:highlight w:val="none"/>
        </w:rPr>
        <w:t>日</w:t>
      </w:r>
    </w:p>
    <w:p>
      <w:pPr>
        <w:pStyle w:val="27"/>
        <w:pageBreakBefore/>
        <w:widowControl w:val="0"/>
        <w:spacing w:line="480" w:lineRule="exact"/>
        <w:ind w:firstLine="0" w:firstLineChars="0"/>
        <w:jc w:val="center"/>
        <w:rPr>
          <w:rFonts w:ascii="仿宋_GB2312" w:hAnsi="宋体" w:eastAsia="仿宋_GB2312"/>
          <w:color w:val="auto"/>
          <w:sz w:val="28"/>
          <w:szCs w:val="28"/>
          <w:highlight w:val="none"/>
        </w:rPr>
      </w:pPr>
      <w:r>
        <w:rPr>
          <w:rFonts w:hint="eastAsia" w:ascii="黑体" w:hAnsi="宋体" w:eastAsia="黑体"/>
          <w:color w:val="auto"/>
          <w:sz w:val="32"/>
          <w:szCs w:val="32"/>
          <w:highlight w:val="none"/>
        </w:rPr>
        <w:t>公开招标公告</w:t>
      </w:r>
    </w:p>
    <w:p>
      <w:pPr>
        <w:rPr>
          <w:color w:val="auto"/>
          <w:highlight w:val="none"/>
        </w:rPr>
      </w:pP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1" w:firstLineChars="200"/>
        <w:rPr>
          <w:rFonts w:hint="eastAsia"/>
          <w:color w:val="auto"/>
          <w:highlight w:val="none"/>
        </w:rPr>
      </w:pPr>
      <w:r>
        <w:rPr>
          <w:rFonts w:hint="eastAsia"/>
          <w:b/>
          <w:bCs/>
          <w:color w:val="auto"/>
          <w:highlight w:val="none"/>
          <w:u w:val="single"/>
        </w:rPr>
        <w:t>桂林航天工业学院明志楼教室桌椅采购</w:t>
      </w:r>
      <w:r>
        <w:rPr>
          <w:rFonts w:hint="eastAsia"/>
          <w:color w:val="auto"/>
          <w:highlight w:val="none"/>
        </w:rPr>
        <w:t>项目的潜在投标人应在</w:t>
      </w:r>
      <w:r>
        <w:rPr>
          <w:rFonts w:hint="eastAsia" w:ascii="宋体" w:hAnsi="宋体" w:cs="宋体"/>
          <w:b/>
          <w:bCs/>
          <w:color w:val="auto"/>
          <w:kern w:val="0"/>
          <w:szCs w:val="21"/>
          <w:highlight w:val="none"/>
        </w:rPr>
        <w:t>广西政府采购云平台（网址：https://www.gcy.zfcg.gxzf.gov.cn）获取</w:t>
      </w:r>
      <w:r>
        <w:rPr>
          <w:rFonts w:hint="eastAsia"/>
          <w:color w:val="auto"/>
          <w:highlight w:val="none"/>
        </w:rPr>
        <w:t>招标文件，并于</w:t>
      </w:r>
      <w:r>
        <w:rPr>
          <w:rFonts w:hint="eastAsia"/>
          <w:color w:val="auto"/>
          <w:highlight w:val="none"/>
          <w:u w:val="single"/>
        </w:rPr>
        <w:t xml:space="preserve"> 2025年</w:t>
      </w:r>
      <w:r>
        <w:rPr>
          <w:color w:val="auto"/>
          <w:highlight w:val="none"/>
          <w:u w:val="single"/>
          <w:lang w:val="en"/>
        </w:rPr>
        <w:t xml:space="preserve">     </w:t>
      </w:r>
      <w:r>
        <w:rPr>
          <w:rFonts w:hint="eastAsia"/>
          <w:color w:val="auto"/>
          <w:highlight w:val="none"/>
          <w:u w:val="single"/>
        </w:rPr>
        <w:t>月</w:t>
      </w:r>
      <w:r>
        <w:rPr>
          <w:color w:val="auto"/>
          <w:highlight w:val="none"/>
          <w:u w:val="single"/>
          <w:lang w:val="en"/>
        </w:rPr>
        <w:t xml:space="preserve">    </w:t>
      </w:r>
      <w:r>
        <w:rPr>
          <w:rFonts w:hint="eastAsia"/>
          <w:color w:val="auto"/>
          <w:highlight w:val="none"/>
          <w:u w:val="single"/>
        </w:rPr>
        <w:t>日 10:00</w:t>
      </w:r>
      <w:r>
        <w:rPr>
          <w:rFonts w:hint="eastAsia"/>
          <w:color w:val="auto"/>
          <w:highlight w:val="none"/>
        </w:rPr>
        <w:t>（北京时间）前递交投标文件</w:t>
      </w:r>
      <w:r>
        <w:rPr>
          <w:color w:val="auto"/>
          <w:highlight w:val="none"/>
        </w:rPr>
        <w:t>。</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一、项目基本情况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p>
    <w:p>
      <w:pPr>
        <w:pStyle w:val="20"/>
        <w:rPr>
          <w:rFonts w:hint="eastAsia" w:hAnsi="宋体" w:cs="宋体"/>
          <w:b w:val="0"/>
          <w:color w:val="auto"/>
          <w:kern w:val="0"/>
          <w:szCs w:val="21"/>
          <w:highlight w:val="none"/>
        </w:rPr>
      </w:pPr>
      <w:r>
        <w:rPr>
          <w:rFonts w:hAnsi="宋体" w:cs="宋体"/>
          <w:b w:val="0"/>
          <w:color w:val="auto"/>
          <w:kern w:val="0"/>
          <w:szCs w:val="21"/>
          <w:highlight w:val="none"/>
        </w:rPr>
        <w:t>项目编号：</w:t>
      </w:r>
      <w:r>
        <w:rPr>
          <w:rFonts w:hint="eastAsia" w:hAnsi="宋体" w:cs="宋体"/>
          <w:b w:val="0"/>
          <w:color w:val="auto"/>
          <w:kern w:val="0"/>
          <w:szCs w:val="21"/>
          <w:highlight w:val="none"/>
        </w:rPr>
        <w:t>GXZC2025-G1-002187-CGZX</w:t>
      </w:r>
      <w:r>
        <w:rPr>
          <w:rFonts w:hAnsi="宋体" w:cs="宋体"/>
          <w:b w:val="0"/>
          <w:color w:val="auto"/>
          <w:kern w:val="0"/>
          <w:szCs w:val="21"/>
          <w:highlight w:val="none"/>
        </w:rPr>
        <w:t> </w:t>
      </w:r>
    </w:p>
    <w:p>
      <w:pPr>
        <w:pStyle w:val="20"/>
        <w:rPr>
          <w:rFonts w:hAnsi="宋体" w:cs="宋体"/>
          <w:b w:val="0"/>
          <w:color w:val="auto"/>
          <w:kern w:val="0"/>
          <w:szCs w:val="21"/>
          <w:highlight w:val="none"/>
        </w:rPr>
      </w:pPr>
      <w:r>
        <w:rPr>
          <w:rFonts w:hAnsi="宋体" w:cs="宋体"/>
          <w:b w:val="0"/>
          <w:color w:val="auto"/>
          <w:kern w:val="0"/>
          <w:szCs w:val="21"/>
          <w:highlight w:val="none"/>
        </w:rPr>
        <w:t>项目名称：</w:t>
      </w:r>
      <w:r>
        <w:rPr>
          <w:rFonts w:hint="eastAsia" w:hAnsi="宋体" w:cs="宋体"/>
          <w:b w:val="0"/>
          <w:color w:val="auto"/>
          <w:kern w:val="0"/>
          <w:szCs w:val="21"/>
          <w:highlight w:val="none"/>
        </w:rPr>
        <w:t>桂林航天工业学院明志楼教室桌椅采购</w:t>
      </w:r>
      <w:r>
        <w:rPr>
          <w:rFonts w:hint="eastAsia"/>
          <w:b w:val="0"/>
          <w:bCs/>
          <w:color w:val="auto"/>
          <w:highlight w:val="none"/>
        </w:rPr>
        <w:t xml:space="preserve"> </w:t>
      </w:r>
      <w:r>
        <w:rPr>
          <w:rFonts w:hint="eastAsia" w:hAnsi="宋体" w:cs="宋体"/>
          <w:b w:val="0"/>
          <w:bCs/>
          <w:color w:val="auto"/>
          <w:kern w:val="0"/>
          <w:szCs w:val="21"/>
          <w:highlight w:val="none"/>
        </w:rPr>
        <w:t xml:space="preserve"> </w:t>
      </w:r>
    </w:p>
    <w:p>
      <w:pPr>
        <w:pStyle w:val="20"/>
        <w:rPr>
          <w:rFonts w:hint="eastAsia" w:hAnsi="宋体" w:cs="宋体"/>
          <w:b w:val="0"/>
          <w:color w:val="auto"/>
          <w:kern w:val="0"/>
          <w:szCs w:val="21"/>
          <w:highlight w:val="none"/>
        </w:rPr>
      </w:pPr>
      <w:r>
        <w:rPr>
          <w:rFonts w:hAnsi="宋体" w:cs="宋体"/>
          <w:b w:val="0"/>
          <w:color w:val="auto"/>
          <w:kern w:val="0"/>
          <w:szCs w:val="21"/>
          <w:highlight w:val="none"/>
        </w:rPr>
        <w:t>预算</w:t>
      </w:r>
      <w:r>
        <w:rPr>
          <w:rFonts w:hint="eastAsia" w:hAnsi="宋体" w:cs="宋体"/>
          <w:b w:val="0"/>
          <w:color w:val="auto"/>
          <w:kern w:val="0"/>
          <w:szCs w:val="21"/>
          <w:highlight w:val="none"/>
        </w:rPr>
        <w:t>总</w:t>
      </w:r>
      <w:r>
        <w:rPr>
          <w:rFonts w:hAnsi="宋体" w:cs="宋体"/>
          <w:b w:val="0"/>
          <w:color w:val="auto"/>
          <w:kern w:val="0"/>
          <w:szCs w:val="21"/>
          <w:highlight w:val="none"/>
        </w:rPr>
        <w:t>金额（元）：</w:t>
      </w:r>
      <w:r>
        <w:rPr>
          <w:rFonts w:hint="eastAsia" w:hAnsi="宋体" w:cs="宋体"/>
          <w:b w:val="0"/>
          <w:color w:val="auto"/>
          <w:kern w:val="0"/>
          <w:szCs w:val="21"/>
          <w:highlight w:val="none"/>
          <w:lang w:val="en-US" w:eastAsia="zh-CN"/>
        </w:rPr>
        <w:t>2410000.00</w:t>
      </w:r>
      <w:r>
        <w:rPr>
          <w:rFonts w:hint="eastAsia" w:hAnsi="宋体" w:cs="宋体"/>
          <w:b w:val="0"/>
          <w:color w:val="auto"/>
          <w:kern w:val="0"/>
          <w:szCs w:val="21"/>
          <w:highlight w:val="none"/>
        </w:rPr>
        <w:t xml:space="preserve"> </w:t>
      </w:r>
    </w:p>
    <w:p>
      <w:pPr>
        <w:pStyle w:val="20"/>
        <w:rPr>
          <w:rFonts w:hAnsi="宋体" w:cs="宋体"/>
          <w:b w:val="0"/>
          <w:color w:val="auto"/>
          <w:kern w:val="0"/>
          <w:szCs w:val="21"/>
          <w:highlight w:val="none"/>
        </w:rPr>
      </w:pPr>
      <w:r>
        <w:rPr>
          <w:rFonts w:hAnsi="宋体" w:cs="宋体"/>
          <w:b w:val="0"/>
          <w:color w:val="auto"/>
          <w:kern w:val="0"/>
          <w:szCs w:val="21"/>
          <w:highlight w:val="none"/>
        </w:rPr>
        <w:t>采购需求</w:t>
      </w:r>
    </w:p>
    <w:p>
      <w:pPr>
        <w:rPr>
          <w:rFonts w:hint="default" w:eastAsia="宋体"/>
          <w:color w:val="auto"/>
          <w:highlight w:val="none"/>
          <w:lang w:val="en-US" w:eastAsia="zh-CN"/>
        </w:rPr>
      </w:pPr>
      <w:r>
        <w:rPr>
          <w:rFonts w:hint="eastAsia" w:hAnsi="宋体" w:cs="宋体"/>
          <w:b w:val="0"/>
          <w:color w:val="auto"/>
          <w:kern w:val="0"/>
          <w:szCs w:val="21"/>
          <w:highlight w:val="none"/>
          <w:lang w:val="en-US" w:eastAsia="zh-CN"/>
        </w:rPr>
        <w:t xml:space="preserve">    项目标项：</w:t>
      </w:r>
      <w:r>
        <w:rPr>
          <w:rFonts w:hint="eastAsia" w:hAnsi="宋体" w:cs="宋体"/>
          <w:b w:val="0"/>
          <w:color w:val="auto"/>
          <w:kern w:val="0"/>
          <w:szCs w:val="21"/>
          <w:highlight w:val="none"/>
        </w:rPr>
        <w:t>桂林航天工业学院明志楼教室桌椅采购</w:t>
      </w:r>
    </w:p>
    <w:p>
      <w:pPr>
        <w:pStyle w:val="20"/>
        <w:rPr>
          <w:rFonts w:hint="eastAsia" w:hAnsi="宋体" w:cs="宋体"/>
          <w:b w:val="0"/>
          <w:color w:val="auto"/>
          <w:kern w:val="0"/>
          <w:szCs w:val="21"/>
          <w:highlight w:val="none"/>
        </w:rPr>
      </w:pPr>
      <w:r>
        <w:rPr>
          <w:rFonts w:hAnsi="宋体" w:cs="宋体"/>
          <w:b w:val="0"/>
          <w:color w:val="auto"/>
          <w:kern w:val="0"/>
          <w:szCs w:val="21"/>
          <w:highlight w:val="none"/>
        </w:rPr>
        <w:t>数量:</w:t>
      </w:r>
      <w:r>
        <w:rPr>
          <w:rFonts w:hint="eastAsia" w:hAnsi="宋体" w:cs="宋体"/>
          <w:b w:val="0"/>
          <w:color w:val="auto"/>
          <w:kern w:val="0"/>
          <w:szCs w:val="21"/>
          <w:highlight w:val="none"/>
        </w:rPr>
        <w:t>1</w:t>
      </w:r>
    </w:p>
    <w:p>
      <w:pPr>
        <w:pStyle w:val="20"/>
        <w:rPr>
          <w:rFonts w:hint="eastAsia" w:hAnsi="宋体" w:cs="宋体"/>
          <w:b w:val="0"/>
          <w:color w:val="auto"/>
          <w:kern w:val="0"/>
          <w:szCs w:val="21"/>
          <w:highlight w:val="none"/>
        </w:rPr>
      </w:pPr>
      <w:r>
        <w:rPr>
          <w:rFonts w:hAnsi="宋体" w:cs="宋体"/>
          <w:b w:val="0"/>
          <w:color w:val="auto"/>
          <w:kern w:val="0"/>
          <w:szCs w:val="21"/>
          <w:highlight w:val="none"/>
        </w:rPr>
        <w:t>预算金额（元）:</w:t>
      </w:r>
      <w:r>
        <w:rPr>
          <w:rFonts w:hint="eastAsia" w:hAnsi="宋体" w:cs="宋体"/>
          <w:b w:val="0"/>
          <w:color w:val="auto"/>
          <w:kern w:val="0"/>
          <w:szCs w:val="21"/>
          <w:highlight w:val="none"/>
        </w:rPr>
        <w:t>2410000.00</w:t>
      </w:r>
    </w:p>
    <w:p>
      <w:pPr>
        <w:rPr>
          <w:rFonts w:hAnsi="宋体" w:cs="宋体"/>
          <w:b/>
          <w:color w:val="auto"/>
          <w:kern w:val="0"/>
          <w:szCs w:val="21"/>
          <w:highlight w:val="none"/>
        </w:rPr>
      </w:pPr>
      <w:r>
        <w:rPr>
          <w:rFonts w:hint="eastAsia" w:hAnsi="宋体" w:cs="宋体"/>
          <w:b/>
          <w:color w:val="auto"/>
          <w:kern w:val="0"/>
          <w:szCs w:val="21"/>
          <w:highlight w:val="none"/>
          <w:lang w:val="en-US" w:eastAsia="zh-CN"/>
        </w:rPr>
        <w:t xml:space="preserve">    </w:t>
      </w:r>
      <w:r>
        <w:rPr>
          <w:rFonts w:hAnsi="宋体" w:cs="宋体"/>
          <w:b/>
          <w:color w:val="auto"/>
          <w:kern w:val="0"/>
          <w:szCs w:val="21"/>
          <w:highlight w:val="none"/>
        </w:rPr>
        <w:t>简要规格描述或项目基本概况介绍、用途：</w:t>
      </w:r>
      <w:r>
        <w:rPr>
          <w:rFonts w:hint="eastAsia"/>
          <w:color w:val="auto"/>
          <w:highlight w:val="none"/>
        </w:rPr>
        <w:t>普通教室课桌椅前排</w:t>
      </w:r>
      <w:r>
        <w:rPr>
          <w:rFonts w:hint="eastAsia"/>
          <w:color w:val="auto"/>
          <w:highlight w:val="none"/>
          <w:lang w:val="en-US" w:eastAsia="zh-CN"/>
        </w:rPr>
        <w:t>540位</w:t>
      </w:r>
      <w:r>
        <w:rPr>
          <w:rFonts w:hint="eastAsia"/>
          <w:color w:val="auto"/>
          <w:highlight w:val="none"/>
          <w:lang w:eastAsia="zh-CN"/>
        </w:rPr>
        <w:t>；</w:t>
      </w:r>
      <w:r>
        <w:rPr>
          <w:rFonts w:hint="eastAsia"/>
          <w:color w:val="auto"/>
          <w:highlight w:val="none"/>
        </w:rPr>
        <w:t>普通教室课桌椅中排</w:t>
      </w:r>
      <w:r>
        <w:rPr>
          <w:rFonts w:hint="eastAsia"/>
          <w:color w:val="auto"/>
          <w:highlight w:val="none"/>
          <w:lang w:val="en-US" w:eastAsia="zh-CN"/>
        </w:rPr>
        <w:t>3510位</w:t>
      </w:r>
      <w:r>
        <w:rPr>
          <w:rFonts w:hint="eastAsia"/>
          <w:color w:val="auto"/>
          <w:highlight w:val="none"/>
          <w:lang w:eastAsia="zh-CN"/>
        </w:rPr>
        <w:t>；</w:t>
      </w:r>
      <w:r>
        <w:rPr>
          <w:rFonts w:hint="eastAsia"/>
          <w:color w:val="auto"/>
          <w:highlight w:val="none"/>
        </w:rPr>
        <w:t>普通教室课桌椅后排</w:t>
      </w:r>
      <w:r>
        <w:rPr>
          <w:rFonts w:hint="eastAsia"/>
          <w:color w:val="auto"/>
          <w:highlight w:val="none"/>
          <w:lang w:val="en-US" w:eastAsia="zh-CN"/>
        </w:rPr>
        <w:t>540位</w:t>
      </w:r>
      <w:r>
        <w:rPr>
          <w:rFonts w:hint="eastAsia"/>
          <w:color w:val="auto"/>
          <w:highlight w:val="none"/>
          <w:lang w:eastAsia="zh-CN"/>
        </w:rPr>
        <w:t>；</w:t>
      </w:r>
      <w:r>
        <w:rPr>
          <w:rFonts w:hint="eastAsia"/>
          <w:color w:val="auto"/>
          <w:highlight w:val="none"/>
        </w:rPr>
        <w:t>阶梯教室课桌椅前排</w:t>
      </w:r>
      <w:r>
        <w:rPr>
          <w:rFonts w:hint="eastAsia"/>
          <w:color w:val="auto"/>
          <w:highlight w:val="none"/>
          <w:lang w:val="en-US" w:eastAsia="zh-CN"/>
        </w:rPr>
        <w:t>102位</w:t>
      </w:r>
      <w:r>
        <w:rPr>
          <w:rFonts w:hint="eastAsia"/>
          <w:color w:val="auto"/>
          <w:highlight w:val="none"/>
          <w:lang w:eastAsia="zh-CN"/>
        </w:rPr>
        <w:t>；</w:t>
      </w:r>
      <w:r>
        <w:rPr>
          <w:rFonts w:hint="eastAsia"/>
          <w:color w:val="auto"/>
          <w:highlight w:val="none"/>
        </w:rPr>
        <w:t>阶梯教室课桌椅中排</w:t>
      </w:r>
      <w:r>
        <w:rPr>
          <w:rFonts w:hint="eastAsia"/>
          <w:color w:val="auto"/>
          <w:highlight w:val="none"/>
          <w:lang w:val="en-US" w:eastAsia="zh-CN"/>
        </w:rPr>
        <w:t>1020位</w:t>
      </w:r>
      <w:r>
        <w:rPr>
          <w:rFonts w:hint="eastAsia"/>
          <w:color w:val="auto"/>
          <w:highlight w:val="none"/>
          <w:lang w:eastAsia="zh-CN"/>
        </w:rPr>
        <w:t>；</w:t>
      </w:r>
      <w:r>
        <w:rPr>
          <w:rFonts w:hint="eastAsia"/>
          <w:color w:val="auto"/>
          <w:highlight w:val="none"/>
        </w:rPr>
        <w:t>阶梯教室课桌椅后排</w:t>
      </w:r>
      <w:r>
        <w:rPr>
          <w:rFonts w:hint="eastAsia"/>
          <w:color w:val="auto"/>
          <w:highlight w:val="none"/>
          <w:lang w:val="en-US" w:eastAsia="zh-CN"/>
        </w:rPr>
        <w:t>102位</w:t>
      </w:r>
      <w:r>
        <w:rPr>
          <w:rFonts w:hint="eastAsia"/>
          <w:color w:val="auto"/>
          <w:highlight w:val="none"/>
          <w:lang w:eastAsia="zh-CN"/>
        </w:rPr>
        <w:t>。</w:t>
      </w:r>
      <w:r>
        <w:rPr>
          <w:rFonts w:hAnsi="宋体" w:cs="宋体"/>
          <w:b/>
          <w:color w:val="auto"/>
          <w:kern w:val="0"/>
          <w:szCs w:val="21"/>
          <w:highlight w:val="none"/>
        </w:rPr>
        <w:t>详见招标项目采购需求。</w:t>
      </w:r>
    </w:p>
    <w:p>
      <w:pPr>
        <w:pStyle w:val="20"/>
        <w:rPr>
          <w:rFonts w:hAnsi="宋体" w:cs="宋体"/>
          <w:b w:val="0"/>
          <w:color w:val="auto"/>
          <w:kern w:val="0"/>
          <w:szCs w:val="21"/>
          <w:highlight w:val="none"/>
        </w:rPr>
      </w:pPr>
      <w:r>
        <w:rPr>
          <w:rFonts w:hAnsi="宋体" w:cs="宋体"/>
          <w:b w:val="0"/>
          <w:color w:val="auto"/>
          <w:kern w:val="0"/>
          <w:szCs w:val="21"/>
          <w:highlight w:val="none"/>
        </w:rPr>
        <w:t>合同履约期限：自签订合同至履约完成</w:t>
      </w:r>
    </w:p>
    <w:p>
      <w:pPr>
        <w:pStyle w:val="20"/>
        <w:rPr>
          <w:rFonts w:hAnsi="宋体" w:cs="宋体"/>
          <w:b w:val="0"/>
          <w:color w:val="auto"/>
          <w:kern w:val="0"/>
          <w:szCs w:val="21"/>
          <w:highlight w:val="none"/>
        </w:rPr>
      </w:pPr>
      <w:r>
        <w:rPr>
          <w:rFonts w:hAnsi="宋体" w:cs="宋体"/>
          <w:b w:val="0"/>
          <w:color w:val="auto"/>
          <w:kern w:val="0"/>
          <w:szCs w:val="21"/>
          <w:highlight w:val="none"/>
        </w:rPr>
        <w:t>本标项（否）接受联合体投标</w:t>
      </w:r>
    </w:p>
    <w:p>
      <w:pPr>
        <w:pStyle w:val="20"/>
        <w:rPr>
          <w:rFonts w:hAnsi="宋体" w:cs="宋体"/>
          <w:b w:val="0"/>
          <w:color w:val="auto"/>
          <w:kern w:val="0"/>
          <w:szCs w:val="21"/>
          <w:highlight w:val="none"/>
        </w:rPr>
      </w:pPr>
      <w:r>
        <w:rPr>
          <w:rFonts w:hAnsi="宋体" w:cs="宋体"/>
          <w:b w:val="0"/>
          <w:color w:val="auto"/>
          <w:kern w:val="0"/>
          <w:szCs w:val="21"/>
          <w:highlight w:val="none"/>
        </w:rPr>
        <w:t>备注：</w:t>
      </w:r>
      <w:r>
        <w:rPr>
          <w:rFonts w:hint="eastAsia" w:hAnsi="宋体"/>
          <w:b w:val="0"/>
          <w:color w:val="auto"/>
          <w:highlight w:val="none"/>
        </w:rPr>
        <w:t>本项目为线上电子招标项目，有意向参与本项目的供应商应当做好参与全流程电子招投标交易的充分准备。</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二、申请人的资格要求：</w:t>
      </w:r>
    </w:p>
    <w:p>
      <w:pPr>
        <w:pStyle w:val="20"/>
        <w:rPr>
          <w:rFonts w:hAnsi="宋体" w:cs="宋体"/>
          <w:b w:val="0"/>
          <w:color w:val="auto"/>
          <w:kern w:val="0"/>
          <w:szCs w:val="21"/>
          <w:highlight w:val="none"/>
        </w:rPr>
      </w:pPr>
      <w:r>
        <w:rPr>
          <w:rFonts w:hAnsi="宋体" w:cs="宋体"/>
          <w:b w:val="0"/>
          <w:color w:val="auto"/>
          <w:kern w:val="0"/>
          <w:szCs w:val="21"/>
          <w:highlight w:val="none"/>
        </w:rPr>
        <w:t>1.满足《中华人民共和国政府采购法》第二十二条规定；</w:t>
      </w:r>
    </w:p>
    <w:p>
      <w:pPr>
        <w:pStyle w:val="20"/>
        <w:rPr>
          <w:rFonts w:hAnsi="宋体" w:cs="宋体"/>
          <w:b w:val="0"/>
          <w:color w:val="auto"/>
          <w:kern w:val="0"/>
          <w:szCs w:val="21"/>
          <w:highlight w:val="none"/>
        </w:rPr>
      </w:pPr>
      <w:r>
        <w:rPr>
          <w:rFonts w:hAnsi="宋体" w:cs="宋体"/>
          <w:b w:val="0"/>
          <w:color w:val="auto"/>
          <w:kern w:val="0"/>
          <w:szCs w:val="21"/>
          <w:highlight w:val="none"/>
        </w:rPr>
        <w:t>2.落实政府采购政策需满足的资格要求：</w:t>
      </w:r>
      <w:r>
        <w:rPr>
          <w:rFonts w:hint="eastAsia" w:hAnsi="宋体" w:cs="宋体"/>
          <w:bCs/>
          <w:color w:val="auto"/>
          <w:kern w:val="0"/>
          <w:szCs w:val="21"/>
          <w:highlight w:val="none"/>
        </w:rPr>
        <w:t>分标1：专门</w:t>
      </w:r>
      <w:r>
        <w:rPr>
          <w:rFonts w:hint="eastAsia" w:hAnsi="宋体" w:cs="宋体"/>
          <w:bCs/>
          <w:color w:val="auto"/>
          <w:kern w:val="0"/>
          <w:szCs w:val="21"/>
          <w:highlight w:val="none"/>
          <w:lang w:val="en-US" w:eastAsia="zh-CN"/>
        </w:rPr>
        <w:t>面向</w:t>
      </w:r>
      <w:r>
        <w:rPr>
          <w:rFonts w:hint="eastAsia" w:hAnsi="宋体" w:cs="宋体"/>
          <w:bCs/>
          <w:color w:val="auto"/>
          <w:kern w:val="0"/>
          <w:szCs w:val="21"/>
          <w:highlight w:val="none"/>
        </w:rPr>
        <w:t>中小企业。</w:t>
      </w:r>
    </w:p>
    <w:p>
      <w:pPr>
        <w:pStyle w:val="20"/>
        <w:rPr>
          <w:rFonts w:hAnsi="宋体" w:cs="宋体"/>
          <w:b w:val="0"/>
          <w:color w:val="auto"/>
          <w:kern w:val="0"/>
          <w:szCs w:val="21"/>
          <w:highlight w:val="none"/>
        </w:rPr>
      </w:pPr>
      <w:r>
        <w:rPr>
          <w:rFonts w:hAnsi="宋体" w:cs="宋体"/>
          <w:b w:val="0"/>
          <w:color w:val="auto"/>
          <w:kern w:val="0"/>
          <w:szCs w:val="21"/>
          <w:highlight w:val="none"/>
        </w:rPr>
        <w:t>3.本项目的特定资格要求：无</w:t>
      </w:r>
      <w:r>
        <w:rPr>
          <w:rFonts w:hint="eastAsia" w:hAnsi="宋体" w:cs="宋体"/>
          <w:b w:val="0"/>
          <w:color w:val="auto"/>
          <w:kern w:val="0"/>
          <w:szCs w:val="21"/>
          <w:highlight w:val="none"/>
        </w:rPr>
        <w:t>。</w:t>
      </w:r>
      <w:r>
        <w:rPr>
          <w:rFonts w:hAnsi="宋体" w:cs="宋体"/>
          <w:b w:val="0"/>
          <w:color w:val="auto"/>
          <w:kern w:val="0"/>
          <w:szCs w:val="21"/>
          <w:highlight w:val="none"/>
        </w:rPr>
        <w:t>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三、获取招标文件 </w:t>
      </w:r>
    </w:p>
    <w:p>
      <w:pPr>
        <w:pStyle w:val="20"/>
        <w:rPr>
          <w:rFonts w:hint="eastAsia" w:hAnsi="宋体" w:cs="宋体"/>
          <w:b w:val="0"/>
          <w:color w:val="auto"/>
          <w:kern w:val="0"/>
          <w:szCs w:val="21"/>
          <w:highlight w:val="none"/>
        </w:rPr>
      </w:pPr>
      <w:r>
        <w:rPr>
          <w:rFonts w:hAnsi="宋体" w:cs="宋体"/>
          <w:b w:val="0"/>
          <w:color w:val="auto"/>
          <w:kern w:val="0"/>
          <w:szCs w:val="21"/>
          <w:highlight w:val="none"/>
        </w:rPr>
        <w:t>时间：</w:t>
      </w:r>
      <w:r>
        <w:rPr>
          <w:rFonts w:hAnsi="宋体" w:cs="宋体"/>
          <w:bCs/>
          <w:color w:val="auto"/>
          <w:kern w:val="0"/>
          <w:szCs w:val="21"/>
          <w:highlight w:val="none"/>
        </w:rPr>
        <w:t>202</w:t>
      </w:r>
      <w:r>
        <w:rPr>
          <w:rFonts w:hint="eastAsia" w:hAnsi="宋体" w:cs="宋体"/>
          <w:bCs/>
          <w:color w:val="auto"/>
          <w:kern w:val="0"/>
          <w:szCs w:val="21"/>
          <w:highlight w:val="none"/>
        </w:rPr>
        <w:t>5</w:t>
      </w:r>
      <w:r>
        <w:rPr>
          <w:rFonts w:hAnsi="宋体" w:cs="宋体"/>
          <w:bCs/>
          <w:color w:val="auto"/>
          <w:kern w:val="0"/>
          <w:szCs w:val="21"/>
          <w:highlight w:val="none"/>
        </w:rPr>
        <w:t>年</w:t>
      </w:r>
      <w:r>
        <w:rPr>
          <w:rFonts w:hint="eastAsia" w:hAnsi="宋体" w:cs="宋体"/>
          <w:bCs/>
          <w:color w:val="auto"/>
          <w:kern w:val="0"/>
          <w:szCs w:val="21"/>
          <w:highlight w:val="none"/>
        </w:rPr>
        <w:t xml:space="preserve">   </w:t>
      </w:r>
      <w:r>
        <w:rPr>
          <w:rFonts w:hAnsi="宋体" w:cs="宋体"/>
          <w:bCs/>
          <w:color w:val="auto"/>
          <w:kern w:val="0"/>
          <w:szCs w:val="21"/>
          <w:highlight w:val="none"/>
        </w:rPr>
        <w:t>月</w:t>
      </w:r>
      <w:r>
        <w:rPr>
          <w:rFonts w:hint="eastAsia" w:hAnsi="宋体" w:cs="宋体"/>
          <w:bCs/>
          <w:color w:val="auto"/>
          <w:kern w:val="0"/>
          <w:szCs w:val="21"/>
          <w:highlight w:val="none"/>
        </w:rPr>
        <w:t xml:space="preserve"> </w:t>
      </w:r>
      <w:r>
        <w:rPr>
          <w:rFonts w:hAnsi="宋体" w:cs="宋体"/>
          <w:bCs/>
          <w:color w:val="auto"/>
          <w:kern w:val="0"/>
          <w:szCs w:val="21"/>
          <w:highlight w:val="none"/>
        </w:rPr>
        <w:t>日至202</w:t>
      </w:r>
      <w:r>
        <w:rPr>
          <w:rFonts w:hint="eastAsia" w:hAnsi="宋体" w:cs="宋体"/>
          <w:bCs/>
          <w:color w:val="auto"/>
          <w:kern w:val="0"/>
          <w:szCs w:val="21"/>
          <w:highlight w:val="none"/>
        </w:rPr>
        <w:t>5</w:t>
      </w:r>
      <w:r>
        <w:rPr>
          <w:rFonts w:hAnsi="宋体" w:cs="宋体"/>
          <w:bCs/>
          <w:color w:val="auto"/>
          <w:kern w:val="0"/>
          <w:szCs w:val="21"/>
          <w:highlight w:val="none"/>
        </w:rPr>
        <w:t>年</w:t>
      </w:r>
      <w:r>
        <w:rPr>
          <w:rFonts w:hint="eastAsia" w:hAnsi="宋体" w:cs="宋体"/>
          <w:bCs/>
          <w:color w:val="auto"/>
          <w:kern w:val="0"/>
          <w:szCs w:val="21"/>
          <w:highlight w:val="none"/>
        </w:rPr>
        <w:t xml:space="preserve">    </w:t>
      </w:r>
      <w:r>
        <w:rPr>
          <w:rFonts w:hAnsi="宋体" w:cs="宋体"/>
          <w:bCs/>
          <w:color w:val="auto"/>
          <w:kern w:val="0"/>
          <w:szCs w:val="21"/>
          <w:highlight w:val="none"/>
        </w:rPr>
        <w:t>月</w:t>
      </w:r>
      <w:r>
        <w:rPr>
          <w:rFonts w:hint="eastAsia" w:hAnsi="宋体" w:cs="宋体"/>
          <w:bCs/>
          <w:color w:val="auto"/>
          <w:kern w:val="0"/>
          <w:szCs w:val="21"/>
          <w:highlight w:val="none"/>
        </w:rPr>
        <w:t xml:space="preserve">  </w:t>
      </w:r>
      <w:r>
        <w:rPr>
          <w:rFonts w:hAnsi="宋体" w:cs="宋体"/>
          <w:bCs/>
          <w:color w:val="auto"/>
          <w:kern w:val="0"/>
          <w:szCs w:val="21"/>
          <w:highlight w:val="none"/>
        </w:rPr>
        <w:t>日，每天上午0</w:t>
      </w:r>
      <w:r>
        <w:rPr>
          <w:rFonts w:hAnsi="宋体" w:cs="宋体"/>
          <w:bCs/>
          <w:color w:val="auto"/>
          <w:kern w:val="0"/>
          <w:szCs w:val="21"/>
          <w:highlight w:val="none"/>
          <w:lang w:val="en"/>
        </w:rPr>
        <w:t>0</w:t>
      </w:r>
      <w:r>
        <w:rPr>
          <w:rFonts w:hAnsi="宋体" w:cs="宋体"/>
          <w:bCs/>
          <w:color w:val="auto"/>
          <w:kern w:val="0"/>
          <w:szCs w:val="21"/>
          <w:highlight w:val="none"/>
        </w:rPr>
        <w:t>:00至12:00</w:t>
      </w:r>
      <w:r>
        <w:rPr>
          <w:rFonts w:hint="eastAsia" w:hAnsi="宋体" w:cs="宋体"/>
          <w:bCs/>
          <w:color w:val="auto"/>
          <w:kern w:val="0"/>
          <w:szCs w:val="21"/>
          <w:highlight w:val="none"/>
        </w:rPr>
        <w:t>；</w:t>
      </w:r>
      <w:r>
        <w:rPr>
          <w:rFonts w:hAnsi="宋体" w:cs="宋体"/>
          <w:bCs/>
          <w:color w:val="auto"/>
          <w:kern w:val="0"/>
          <w:szCs w:val="21"/>
          <w:highlight w:val="none"/>
        </w:rPr>
        <w:t>下午1</w:t>
      </w:r>
      <w:r>
        <w:rPr>
          <w:rFonts w:hAnsi="宋体" w:cs="宋体"/>
          <w:bCs/>
          <w:color w:val="auto"/>
          <w:kern w:val="0"/>
          <w:szCs w:val="21"/>
          <w:highlight w:val="none"/>
          <w:lang w:val="en"/>
        </w:rPr>
        <w:t>2</w:t>
      </w:r>
      <w:r>
        <w:rPr>
          <w:rFonts w:hAnsi="宋体" w:cs="宋体"/>
          <w:bCs/>
          <w:color w:val="auto"/>
          <w:kern w:val="0"/>
          <w:szCs w:val="21"/>
          <w:highlight w:val="none"/>
        </w:rPr>
        <w:t>:00至</w:t>
      </w:r>
      <w:r>
        <w:rPr>
          <w:rFonts w:hAnsi="宋体" w:cs="宋体"/>
          <w:bCs/>
          <w:color w:val="auto"/>
          <w:kern w:val="0"/>
          <w:szCs w:val="21"/>
          <w:highlight w:val="none"/>
          <w:lang w:val="en"/>
        </w:rPr>
        <w:t>23.59</w:t>
      </w:r>
      <w:r>
        <w:rPr>
          <w:rFonts w:hAnsi="宋体" w:cs="宋体"/>
          <w:b w:val="0"/>
          <w:color w:val="auto"/>
          <w:kern w:val="0"/>
          <w:szCs w:val="21"/>
          <w:highlight w:val="none"/>
        </w:rPr>
        <w:t>（北京时间，法定节假日除外）</w:t>
      </w:r>
    </w:p>
    <w:p>
      <w:pPr>
        <w:pStyle w:val="20"/>
        <w:rPr>
          <w:rFonts w:hAnsi="宋体" w:cs="宋体"/>
          <w:b w:val="0"/>
          <w:color w:val="auto"/>
          <w:kern w:val="0"/>
          <w:szCs w:val="21"/>
          <w:highlight w:val="none"/>
        </w:rPr>
      </w:pPr>
      <w:r>
        <w:rPr>
          <w:rFonts w:hAnsi="宋体" w:cs="宋体"/>
          <w:b w:val="0"/>
          <w:color w:val="auto"/>
          <w:kern w:val="0"/>
          <w:szCs w:val="21"/>
          <w:highlight w:val="none"/>
        </w:rPr>
        <w:t>地点：</w:t>
      </w:r>
      <w:r>
        <w:rPr>
          <w:rFonts w:hint="eastAsia" w:hAnsi="宋体" w:cs="宋体"/>
          <w:color w:val="auto"/>
          <w:szCs w:val="21"/>
          <w:highlight w:val="none"/>
        </w:rPr>
        <w:t>广西政府采购云平台线上</w:t>
      </w:r>
      <w:r>
        <w:rPr>
          <w:rStyle w:val="28"/>
          <w:rFonts w:hint="eastAsia" w:cs="宋体"/>
          <w:bCs/>
          <w:color w:val="auto"/>
          <w:szCs w:val="21"/>
          <w:highlight w:val="none"/>
        </w:rPr>
        <w:t>（网址：https://www.gcy.zfcg.gxzf.gov.cn）</w:t>
      </w:r>
      <w:r>
        <w:rPr>
          <w:rFonts w:hAnsi="宋体" w:cs="宋体"/>
          <w:b w:val="0"/>
          <w:color w:val="auto"/>
          <w:kern w:val="0"/>
          <w:szCs w:val="21"/>
          <w:highlight w:val="none"/>
        </w:rPr>
        <w:t> </w:t>
      </w:r>
    </w:p>
    <w:p>
      <w:pPr>
        <w:pStyle w:val="20"/>
        <w:spacing w:line="360" w:lineRule="exact"/>
        <w:rPr>
          <w:rFonts w:hint="eastAsia" w:hAnsi="宋体" w:cs="宋体"/>
          <w:b w:val="0"/>
          <w:color w:val="auto"/>
          <w:kern w:val="0"/>
          <w:szCs w:val="21"/>
          <w:highlight w:val="none"/>
        </w:rPr>
      </w:pPr>
      <w:r>
        <w:rPr>
          <w:rFonts w:hAnsi="宋体" w:cs="宋体"/>
          <w:b w:val="0"/>
          <w:color w:val="auto"/>
          <w:kern w:val="0"/>
          <w:szCs w:val="21"/>
          <w:highlight w:val="none"/>
        </w:rPr>
        <w:t>方式：</w:t>
      </w:r>
      <w:r>
        <w:rPr>
          <w:rStyle w:val="28"/>
          <w:rFonts w:hint="eastAsia" w:cs="宋体"/>
          <w:bCs/>
          <w:color w:val="auto"/>
          <w:szCs w:val="21"/>
          <w:highlight w:val="none"/>
        </w:rPr>
        <w:t>请登录广西政府采购云平台（网址：https://www.gcy.zfcg.gxzf.gov.cn）进行报名并获取采购文件</w:t>
      </w:r>
      <w:r>
        <w:rPr>
          <w:rFonts w:hAnsi="宋体" w:cs="宋体"/>
          <w:b w:val="0"/>
          <w:color w:val="auto"/>
          <w:kern w:val="0"/>
          <w:szCs w:val="21"/>
          <w:highlight w:val="none"/>
        </w:rPr>
        <w:t>；未注册的供应商可在</w:t>
      </w:r>
      <w:r>
        <w:rPr>
          <w:rFonts w:hAnsi="宋体" w:cs="宋体"/>
          <w:b w:val="0"/>
          <w:color w:val="auto"/>
          <w:kern w:val="0"/>
          <w:szCs w:val="21"/>
          <w:highlight w:val="none"/>
          <w:lang w:val="en"/>
        </w:rPr>
        <w:t>广西政府采购云平台</w:t>
      </w:r>
      <w:r>
        <w:rPr>
          <w:rFonts w:hAnsi="宋体" w:cs="宋体"/>
          <w:b w:val="0"/>
          <w:color w:val="auto"/>
          <w:kern w:val="0"/>
          <w:szCs w:val="21"/>
          <w:highlight w:val="none"/>
        </w:rPr>
        <w:t>完成注册后再行报名。如在操作过程中遇到问题或需技术支持，</w:t>
      </w:r>
      <w:r>
        <w:rPr>
          <w:rFonts w:hAnsi="宋体" w:cs="宋体"/>
          <w:bCs/>
          <w:color w:val="auto"/>
          <w:kern w:val="0"/>
          <w:szCs w:val="21"/>
          <w:highlight w:val="none"/>
        </w:rPr>
        <w:t>请致电政采云客服热线：</w:t>
      </w:r>
      <w:r>
        <w:rPr>
          <w:rFonts w:hAnsi="宋体" w:cs="宋体"/>
          <w:bCs/>
          <w:color w:val="auto"/>
          <w:kern w:val="0"/>
          <w:szCs w:val="21"/>
          <w:highlight w:val="none"/>
          <w:lang w:val="en"/>
        </w:rPr>
        <w:t>95763</w:t>
      </w:r>
      <w:r>
        <w:rPr>
          <w:rFonts w:hAnsi="宋体" w:cs="宋体"/>
          <w:b w:val="0"/>
          <w:color w:val="auto"/>
          <w:kern w:val="0"/>
          <w:szCs w:val="21"/>
          <w:highlight w:val="none"/>
        </w:rPr>
        <w:t>。</w:t>
      </w:r>
    </w:p>
    <w:p>
      <w:pPr>
        <w:pStyle w:val="20"/>
        <w:spacing w:line="360" w:lineRule="exact"/>
        <w:rPr>
          <w:rFonts w:hAnsi="宋体" w:cs="宋体"/>
          <w:b w:val="0"/>
          <w:color w:val="auto"/>
          <w:kern w:val="0"/>
          <w:szCs w:val="21"/>
          <w:highlight w:val="none"/>
        </w:rPr>
      </w:pPr>
      <w:r>
        <w:rPr>
          <w:rFonts w:hAnsi="宋体" w:cs="宋体"/>
          <w:b w:val="0"/>
          <w:color w:val="auto"/>
          <w:kern w:val="0"/>
          <w:szCs w:val="21"/>
          <w:highlight w:val="none"/>
        </w:rPr>
        <w:t>提示：</w:t>
      </w:r>
      <w:r>
        <w:rPr>
          <w:rFonts w:hint="eastAsia" w:hAnsi="宋体" w:cs="宋体"/>
          <w:b w:val="0"/>
          <w:color w:val="auto"/>
          <w:kern w:val="0"/>
          <w:szCs w:val="21"/>
          <w:highlight w:val="none"/>
        </w:rPr>
        <w:t>采购</w:t>
      </w:r>
      <w:r>
        <w:rPr>
          <w:rFonts w:hAnsi="宋体" w:cs="宋体"/>
          <w:b w:val="0"/>
          <w:color w:val="auto"/>
          <w:kern w:val="0"/>
          <w:szCs w:val="21"/>
          <w:highlight w:val="none"/>
        </w:rPr>
        <w:t>公告附件内的</w:t>
      </w:r>
      <w:r>
        <w:rPr>
          <w:rFonts w:hint="eastAsia" w:hAnsi="宋体" w:cs="宋体"/>
          <w:b w:val="0"/>
          <w:color w:val="auto"/>
          <w:kern w:val="0"/>
          <w:szCs w:val="21"/>
          <w:highlight w:val="none"/>
        </w:rPr>
        <w:t>采购文件</w:t>
      </w:r>
      <w:r>
        <w:rPr>
          <w:rFonts w:hAnsi="宋体" w:cs="宋体"/>
          <w:b w:val="0"/>
          <w:color w:val="auto"/>
          <w:kern w:val="0"/>
          <w:szCs w:val="21"/>
          <w:highlight w:val="none"/>
        </w:rPr>
        <w:t>仅供阅览使用</w:t>
      </w:r>
      <w:r>
        <w:rPr>
          <w:rFonts w:hint="eastAsia" w:hAnsi="宋体" w:cs="宋体"/>
          <w:b w:val="0"/>
          <w:color w:val="auto"/>
          <w:kern w:val="0"/>
          <w:szCs w:val="21"/>
          <w:highlight w:val="none"/>
        </w:rPr>
        <w:t>；</w:t>
      </w:r>
      <w:r>
        <w:rPr>
          <w:rFonts w:hAnsi="宋体" w:cs="宋体"/>
          <w:b w:val="0"/>
          <w:color w:val="auto"/>
          <w:kern w:val="0"/>
          <w:szCs w:val="21"/>
          <w:highlight w:val="none"/>
        </w:rPr>
        <w:t>供应商只有在“</w:t>
      </w:r>
      <w:r>
        <w:rPr>
          <w:rFonts w:hAnsi="宋体" w:cs="宋体"/>
          <w:b w:val="0"/>
          <w:color w:val="auto"/>
          <w:kern w:val="0"/>
          <w:szCs w:val="21"/>
          <w:highlight w:val="none"/>
          <w:lang w:val="en"/>
        </w:rPr>
        <w:t>广西政府采购云平台</w:t>
      </w:r>
      <w:r>
        <w:rPr>
          <w:rFonts w:hAnsi="宋体" w:cs="宋体"/>
          <w:b w:val="0"/>
          <w:color w:val="auto"/>
          <w:kern w:val="0"/>
          <w:szCs w:val="21"/>
          <w:highlight w:val="none"/>
        </w:rPr>
        <w:t>”完成获取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申请并下载了</w:t>
      </w:r>
      <w:r>
        <w:rPr>
          <w:rFonts w:hint="eastAsia" w:hAnsi="宋体" w:cs="宋体"/>
          <w:b w:val="0"/>
          <w:color w:val="auto"/>
          <w:kern w:val="0"/>
          <w:szCs w:val="21"/>
          <w:highlight w:val="none"/>
        </w:rPr>
        <w:t>采购文件</w:t>
      </w:r>
      <w:r>
        <w:rPr>
          <w:rFonts w:hAnsi="宋体" w:cs="宋体"/>
          <w:b w:val="0"/>
          <w:color w:val="auto"/>
          <w:kern w:val="0"/>
          <w:szCs w:val="21"/>
          <w:highlight w:val="none"/>
        </w:rPr>
        <w:t>后才视作依法获取</w:t>
      </w:r>
      <w:r>
        <w:rPr>
          <w:rFonts w:hint="eastAsia" w:hAnsi="宋体" w:cs="宋体"/>
          <w:b w:val="0"/>
          <w:color w:val="auto"/>
          <w:kern w:val="0"/>
          <w:szCs w:val="21"/>
          <w:highlight w:val="none"/>
        </w:rPr>
        <w:t>采购文件</w:t>
      </w:r>
      <w:r>
        <w:rPr>
          <w:rFonts w:hAnsi="宋体" w:cs="宋体"/>
          <w:b w:val="0"/>
          <w:color w:val="auto"/>
          <w:kern w:val="0"/>
          <w:szCs w:val="21"/>
          <w:highlight w:val="none"/>
        </w:rPr>
        <w:t>（法律法规所指的供应商获取</w:t>
      </w:r>
      <w:r>
        <w:rPr>
          <w:rFonts w:hint="eastAsia" w:hAnsi="宋体" w:cs="宋体"/>
          <w:b w:val="0"/>
          <w:color w:val="auto"/>
          <w:kern w:val="0"/>
          <w:szCs w:val="21"/>
          <w:highlight w:val="none"/>
        </w:rPr>
        <w:t>采购文件</w:t>
      </w:r>
      <w:r>
        <w:rPr>
          <w:rFonts w:hAnsi="宋体" w:cs="宋体"/>
          <w:b w:val="0"/>
          <w:color w:val="auto"/>
          <w:kern w:val="0"/>
          <w:szCs w:val="21"/>
          <w:highlight w:val="none"/>
        </w:rPr>
        <w:t>时间以供应商完成获取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申请后下载</w:t>
      </w:r>
      <w:r>
        <w:rPr>
          <w:rFonts w:hint="eastAsia" w:hAnsi="宋体" w:cs="宋体"/>
          <w:b w:val="0"/>
          <w:color w:val="auto"/>
          <w:kern w:val="0"/>
          <w:szCs w:val="21"/>
          <w:highlight w:val="none"/>
        </w:rPr>
        <w:t>采购文件</w:t>
      </w:r>
      <w:r>
        <w:rPr>
          <w:rFonts w:hAnsi="宋体" w:cs="宋体"/>
          <w:b w:val="0"/>
          <w:color w:val="auto"/>
          <w:kern w:val="0"/>
          <w:szCs w:val="21"/>
          <w:highlight w:val="none"/>
        </w:rPr>
        <w:t>的时间为准）。</w:t>
      </w:r>
    </w:p>
    <w:p>
      <w:pPr>
        <w:pStyle w:val="20"/>
        <w:rPr>
          <w:rFonts w:hAnsi="宋体" w:cs="宋体"/>
          <w:b w:val="0"/>
          <w:color w:val="auto"/>
          <w:kern w:val="0"/>
          <w:szCs w:val="21"/>
          <w:highlight w:val="none"/>
        </w:rPr>
      </w:pPr>
      <w:r>
        <w:rPr>
          <w:rFonts w:hAnsi="宋体" w:cs="宋体"/>
          <w:b w:val="0"/>
          <w:color w:val="auto"/>
          <w:kern w:val="0"/>
          <w:szCs w:val="21"/>
          <w:highlight w:val="none"/>
        </w:rPr>
        <w:t>售价（元）：0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四、提交投标文件截止时间、开标时间和地点</w:t>
      </w:r>
    </w:p>
    <w:p>
      <w:pPr>
        <w:pStyle w:val="20"/>
        <w:rPr>
          <w:rFonts w:hint="eastAsia" w:hAnsi="宋体" w:cs="宋体"/>
          <w:b w:val="0"/>
          <w:color w:val="auto"/>
          <w:kern w:val="0"/>
          <w:szCs w:val="21"/>
          <w:highlight w:val="none"/>
        </w:rPr>
      </w:pPr>
      <w:r>
        <w:rPr>
          <w:rFonts w:hAnsi="宋体" w:cs="宋体"/>
          <w:b w:val="0"/>
          <w:color w:val="auto"/>
          <w:kern w:val="0"/>
          <w:szCs w:val="21"/>
          <w:highlight w:val="none"/>
        </w:rPr>
        <w:t>提交投标文件截止时间：</w:t>
      </w:r>
      <w:r>
        <w:rPr>
          <w:rFonts w:hAnsi="宋体" w:cs="宋体"/>
          <w:bCs/>
          <w:color w:val="auto"/>
          <w:kern w:val="0"/>
          <w:szCs w:val="21"/>
          <w:highlight w:val="none"/>
        </w:rPr>
        <w:t>202</w:t>
      </w:r>
      <w:r>
        <w:rPr>
          <w:rFonts w:hint="eastAsia" w:hAnsi="宋体" w:cs="宋体"/>
          <w:bCs/>
          <w:color w:val="auto"/>
          <w:kern w:val="0"/>
          <w:szCs w:val="21"/>
          <w:highlight w:val="none"/>
        </w:rPr>
        <w:t>5年</w:t>
      </w:r>
      <w:r>
        <w:rPr>
          <w:rFonts w:hAnsi="宋体" w:cs="宋体"/>
          <w:bCs/>
          <w:color w:val="auto"/>
          <w:kern w:val="0"/>
          <w:szCs w:val="21"/>
          <w:highlight w:val="none"/>
        </w:rPr>
        <w:t xml:space="preserve"> </w:t>
      </w:r>
      <w:r>
        <w:rPr>
          <w:rFonts w:hint="eastAsia" w:hAnsi="宋体" w:cs="宋体"/>
          <w:bCs/>
          <w:color w:val="auto"/>
          <w:kern w:val="0"/>
          <w:szCs w:val="21"/>
          <w:highlight w:val="none"/>
        </w:rPr>
        <w:t xml:space="preserve">   </w:t>
      </w:r>
      <w:r>
        <w:rPr>
          <w:rFonts w:hAnsi="宋体" w:cs="宋体"/>
          <w:bCs/>
          <w:color w:val="auto"/>
          <w:kern w:val="0"/>
          <w:szCs w:val="21"/>
          <w:highlight w:val="none"/>
        </w:rPr>
        <w:t xml:space="preserve"> </w:t>
      </w:r>
      <w:r>
        <w:rPr>
          <w:rFonts w:hint="eastAsia" w:hAnsi="宋体" w:cs="宋体"/>
          <w:bCs/>
          <w:color w:val="auto"/>
          <w:kern w:val="0"/>
          <w:szCs w:val="21"/>
          <w:highlight w:val="none"/>
        </w:rPr>
        <w:t>月</w:t>
      </w:r>
      <w:r>
        <w:rPr>
          <w:rFonts w:hAnsi="宋体" w:cs="宋体"/>
          <w:bCs/>
          <w:color w:val="auto"/>
          <w:kern w:val="0"/>
          <w:szCs w:val="21"/>
          <w:highlight w:val="none"/>
        </w:rPr>
        <w:t xml:space="preserve">  </w:t>
      </w:r>
      <w:r>
        <w:rPr>
          <w:rFonts w:hint="eastAsia" w:hAnsi="宋体" w:cs="宋体"/>
          <w:bCs/>
          <w:color w:val="auto"/>
          <w:kern w:val="0"/>
          <w:szCs w:val="21"/>
          <w:highlight w:val="none"/>
        </w:rPr>
        <w:t xml:space="preserve">  日</w:t>
      </w:r>
      <w:r>
        <w:rPr>
          <w:rFonts w:hAnsi="宋体" w:cs="宋体"/>
          <w:bCs/>
          <w:color w:val="auto"/>
          <w:kern w:val="0"/>
          <w:szCs w:val="21"/>
          <w:highlight w:val="none"/>
        </w:rPr>
        <w:t>10:00（北京时间）</w:t>
      </w:r>
    </w:p>
    <w:p>
      <w:pPr>
        <w:pStyle w:val="20"/>
        <w:rPr>
          <w:rFonts w:hAnsi="宋体" w:cs="宋体"/>
          <w:b w:val="0"/>
          <w:color w:val="auto"/>
          <w:kern w:val="0"/>
          <w:szCs w:val="21"/>
          <w:highlight w:val="none"/>
        </w:rPr>
      </w:pPr>
      <w:r>
        <w:rPr>
          <w:rFonts w:hAnsi="宋体" w:cs="宋体"/>
          <w:b w:val="0"/>
          <w:color w:val="auto"/>
          <w:kern w:val="0"/>
          <w:szCs w:val="21"/>
          <w:highlight w:val="none"/>
        </w:rPr>
        <w:t>投标地点（网址）：</w:t>
      </w:r>
      <w:r>
        <w:rPr>
          <w:rFonts w:hint="eastAsia" w:hAnsi="宋体" w:cs="宋体"/>
          <w:b w:val="0"/>
          <w:color w:val="auto"/>
          <w:kern w:val="0"/>
          <w:szCs w:val="21"/>
          <w:highlight w:val="none"/>
        </w:rPr>
        <w:t>请登录广西政府采购云平台投标客户端投标</w:t>
      </w:r>
      <w:r>
        <w:rPr>
          <w:rFonts w:hAnsi="宋体" w:cs="宋体"/>
          <w:b w:val="0"/>
          <w:color w:val="auto"/>
          <w:kern w:val="0"/>
          <w:szCs w:val="21"/>
          <w:highlight w:val="none"/>
        </w:rPr>
        <w:t>。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pPr>
        <w:pStyle w:val="20"/>
        <w:rPr>
          <w:rFonts w:hint="eastAsia" w:hAnsi="宋体" w:cs="宋体"/>
          <w:b w:val="0"/>
          <w:color w:val="auto"/>
          <w:kern w:val="0"/>
          <w:szCs w:val="21"/>
          <w:highlight w:val="none"/>
        </w:rPr>
      </w:pPr>
      <w:r>
        <w:rPr>
          <w:rFonts w:hAnsi="宋体" w:cs="宋体"/>
          <w:b w:val="0"/>
          <w:color w:val="auto"/>
          <w:kern w:val="0"/>
          <w:szCs w:val="21"/>
          <w:highlight w:val="none"/>
        </w:rPr>
        <w:t>开标时间：</w:t>
      </w:r>
      <w:r>
        <w:rPr>
          <w:rFonts w:hAnsi="宋体" w:cs="宋体"/>
          <w:bCs/>
          <w:color w:val="auto"/>
          <w:kern w:val="0"/>
          <w:szCs w:val="21"/>
          <w:highlight w:val="none"/>
        </w:rPr>
        <w:t>202</w:t>
      </w:r>
      <w:r>
        <w:rPr>
          <w:rFonts w:hint="eastAsia" w:hAnsi="宋体" w:cs="宋体"/>
          <w:bCs/>
          <w:color w:val="auto"/>
          <w:kern w:val="0"/>
          <w:szCs w:val="21"/>
          <w:highlight w:val="none"/>
        </w:rPr>
        <w:t xml:space="preserve">5年   </w:t>
      </w:r>
      <w:r>
        <w:rPr>
          <w:rFonts w:hAnsi="宋体" w:cs="宋体"/>
          <w:bCs/>
          <w:color w:val="auto"/>
          <w:kern w:val="0"/>
          <w:szCs w:val="21"/>
          <w:highlight w:val="none"/>
        </w:rPr>
        <w:t xml:space="preserve"> </w:t>
      </w:r>
      <w:r>
        <w:rPr>
          <w:rFonts w:hint="eastAsia" w:hAnsi="宋体" w:cs="宋体"/>
          <w:bCs/>
          <w:color w:val="auto"/>
          <w:kern w:val="0"/>
          <w:szCs w:val="21"/>
          <w:highlight w:val="none"/>
        </w:rPr>
        <w:t>月    日</w:t>
      </w:r>
      <w:r>
        <w:rPr>
          <w:rFonts w:hAnsi="宋体" w:cs="宋体"/>
          <w:bCs/>
          <w:color w:val="auto"/>
          <w:kern w:val="0"/>
          <w:szCs w:val="21"/>
          <w:highlight w:val="none"/>
        </w:rPr>
        <w:t>10:00</w:t>
      </w:r>
    </w:p>
    <w:p>
      <w:pPr>
        <w:pStyle w:val="20"/>
        <w:rPr>
          <w:rFonts w:hAnsi="宋体" w:cs="宋体"/>
          <w:b w:val="0"/>
          <w:color w:val="auto"/>
          <w:kern w:val="0"/>
          <w:szCs w:val="21"/>
          <w:highlight w:val="none"/>
        </w:rPr>
      </w:pPr>
      <w:r>
        <w:rPr>
          <w:rFonts w:hAnsi="宋体" w:cs="宋体"/>
          <w:b w:val="0"/>
          <w:color w:val="auto"/>
          <w:kern w:val="0"/>
          <w:szCs w:val="21"/>
          <w:highlight w:val="none"/>
        </w:rPr>
        <w:t>开标地点：</w:t>
      </w:r>
      <w:r>
        <w:rPr>
          <w:rFonts w:hint="eastAsia" w:hAnsi="宋体" w:cs="宋体"/>
          <w:b w:val="0"/>
          <w:color w:val="auto"/>
          <w:kern w:val="0"/>
          <w:szCs w:val="21"/>
          <w:highlight w:val="none"/>
        </w:rPr>
        <w:t>广西壮族自治区南宁市青秀区广西政府采购云平台开标大厅</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五、公告期限 </w:t>
      </w:r>
    </w:p>
    <w:p>
      <w:pPr>
        <w:pStyle w:val="20"/>
        <w:rPr>
          <w:rFonts w:hint="eastAsia" w:hAnsi="宋体" w:cs="宋体"/>
          <w:b w:val="0"/>
          <w:color w:val="auto"/>
          <w:kern w:val="0"/>
          <w:szCs w:val="21"/>
          <w:highlight w:val="none"/>
        </w:rPr>
      </w:pPr>
      <w:r>
        <w:rPr>
          <w:rFonts w:hAnsi="宋体" w:cs="宋体"/>
          <w:b w:val="0"/>
          <w:color w:val="auto"/>
          <w:kern w:val="0"/>
          <w:szCs w:val="21"/>
          <w:highlight w:val="none"/>
        </w:rPr>
        <w:t>自本公告发布之日起5个工作日。</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六、其他补充事宜</w:t>
      </w:r>
    </w:p>
    <w:p>
      <w:pPr>
        <w:pStyle w:val="20"/>
        <w:rPr>
          <w:rFonts w:hint="eastAsia" w:hAnsi="宋体" w:cs="宋体"/>
          <w:b w:val="0"/>
          <w:color w:val="auto"/>
          <w:kern w:val="0"/>
          <w:szCs w:val="21"/>
          <w:highlight w:val="none"/>
        </w:rPr>
      </w:pPr>
      <w:r>
        <w:rPr>
          <w:rFonts w:hAnsi="宋体" w:cs="宋体"/>
          <w:b w:val="0"/>
          <w:color w:val="auto"/>
          <w:kern w:val="0"/>
          <w:szCs w:val="21"/>
          <w:highlight w:val="none"/>
        </w:rPr>
        <w:t>1.投标保证金（人民币）：</w:t>
      </w:r>
      <w:r>
        <w:rPr>
          <w:rFonts w:hint="eastAsia" w:hAnsi="宋体" w:cs="宋体"/>
          <w:bCs/>
          <w:color w:val="auto"/>
          <w:kern w:val="0"/>
          <w:szCs w:val="21"/>
          <w:highlight w:val="none"/>
          <w:u w:val="single"/>
        </w:rPr>
        <w:t xml:space="preserve">    2     </w:t>
      </w:r>
      <w:r>
        <w:rPr>
          <w:rFonts w:hAnsi="宋体" w:cs="宋体"/>
          <w:bCs/>
          <w:color w:val="auto"/>
          <w:kern w:val="0"/>
          <w:szCs w:val="21"/>
          <w:highlight w:val="none"/>
        </w:rPr>
        <w:t xml:space="preserve">万元。(必须足额交纳) </w:t>
      </w:r>
    </w:p>
    <w:p>
      <w:pPr>
        <w:pStyle w:val="20"/>
        <w:rPr>
          <w:rFonts w:hint="eastAsia" w:hAnsi="宋体" w:cs="宋体"/>
          <w:b w:val="0"/>
          <w:color w:val="auto"/>
          <w:kern w:val="0"/>
          <w:szCs w:val="21"/>
          <w:highlight w:val="none"/>
        </w:rPr>
      </w:pPr>
      <w:r>
        <w:rPr>
          <w:rFonts w:hAnsi="宋体" w:cs="宋体"/>
          <w:b w:val="0"/>
          <w:color w:val="auto"/>
          <w:kern w:val="0"/>
          <w:szCs w:val="21"/>
          <w:highlight w:val="none"/>
        </w:rPr>
        <w:t>（1）投标保证金交纳形式：支票、汇票、本票、网上银行或者</w:t>
      </w:r>
      <w:r>
        <w:rPr>
          <w:rFonts w:hint="eastAsia" w:hAnsi="宋体" w:cs="宋体"/>
          <w:b w:val="0"/>
          <w:color w:val="auto"/>
          <w:kern w:val="0"/>
          <w:szCs w:val="21"/>
          <w:highlight w:val="none"/>
        </w:rPr>
        <w:t>金融机构</w:t>
      </w:r>
      <w:r>
        <w:rPr>
          <w:rFonts w:hAnsi="宋体" w:cs="宋体"/>
          <w:b w:val="0"/>
          <w:color w:val="auto"/>
          <w:kern w:val="0"/>
          <w:szCs w:val="21"/>
          <w:highlight w:val="none"/>
        </w:rPr>
        <w:t xml:space="preserve">、保险机构出具的保函等非现金形式。 </w:t>
      </w:r>
    </w:p>
    <w:p>
      <w:pPr>
        <w:pStyle w:val="20"/>
        <w:ind w:firstLine="422"/>
        <w:rPr>
          <w:rFonts w:hint="eastAsia" w:hAnsi="宋体" w:cs="宋体"/>
          <w:bCs/>
          <w:color w:val="auto"/>
          <w:kern w:val="0"/>
          <w:szCs w:val="21"/>
          <w:highlight w:val="none"/>
        </w:rPr>
      </w:pPr>
      <w:r>
        <w:rPr>
          <w:rFonts w:hAnsi="宋体" w:cs="宋体"/>
          <w:bCs/>
          <w:color w:val="auto"/>
          <w:kern w:val="0"/>
          <w:szCs w:val="21"/>
          <w:highlight w:val="none"/>
        </w:rPr>
        <w:t>（2）采用网上银行转账形式的，投标人应于提交投标文件截止时间前将投标保证金交至以下账户。</w:t>
      </w:r>
    </w:p>
    <w:p>
      <w:pPr>
        <w:pStyle w:val="20"/>
        <w:ind w:firstLine="422"/>
        <w:rPr>
          <w:rFonts w:hint="eastAsia" w:hAnsi="宋体" w:cs="宋体"/>
          <w:bCs/>
          <w:color w:val="auto"/>
          <w:kern w:val="0"/>
          <w:szCs w:val="21"/>
          <w:highlight w:val="none"/>
        </w:rPr>
      </w:pPr>
      <w:r>
        <w:rPr>
          <w:rFonts w:hAnsi="宋体" w:cs="宋体"/>
          <w:bCs/>
          <w:color w:val="auto"/>
          <w:kern w:val="0"/>
          <w:szCs w:val="21"/>
          <w:highlight w:val="none"/>
        </w:rPr>
        <w:t>开户名称：广西壮族自治区政府采购中心</w:t>
      </w:r>
      <w:r>
        <w:rPr>
          <w:rFonts w:hint="eastAsia" w:hAnsi="宋体" w:cs="宋体"/>
          <w:bCs/>
          <w:color w:val="auto"/>
          <w:kern w:val="0"/>
          <w:szCs w:val="21"/>
          <w:highlight w:val="none"/>
        </w:rPr>
        <w:t>；</w:t>
      </w:r>
      <w:r>
        <w:rPr>
          <w:rFonts w:hAnsi="宋体" w:cs="宋体"/>
          <w:bCs/>
          <w:color w:val="auto"/>
          <w:kern w:val="0"/>
          <w:szCs w:val="21"/>
          <w:highlight w:val="none"/>
        </w:rPr>
        <w:t xml:space="preserve"> </w:t>
      </w:r>
    </w:p>
    <w:p>
      <w:pPr>
        <w:pStyle w:val="20"/>
        <w:ind w:firstLine="422"/>
        <w:rPr>
          <w:rFonts w:hint="eastAsia" w:hAnsi="宋体" w:cs="宋体"/>
          <w:bCs/>
          <w:color w:val="auto"/>
          <w:kern w:val="0"/>
          <w:szCs w:val="21"/>
          <w:highlight w:val="none"/>
        </w:rPr>
      </w:pPr>
      <w:r>
        <w:rPr>
          <w:rFonts w:hAnsi="宋体" w:cs="宋体"/>
          <w:bCs/>
          <w:color w:val="auto"/>
          <w:kern w:val="0"/>
          <w:szCs w:val="21"/>
          <w:highlight w:val="none"/>
        </w:rPr>
        <w:t>开户银行：</w:t>
      </w:r>
      <w:r>
        <w:rPr>
          <w:rFonts w:hint="eastAsia" w:hAnsi="宋体" w:cs="宋体"/>
          <w:bCs/>
          <w:color w:val="auto"/>
          <w:kern w:val="0"/>
          <w:szCs w:val="21"/>
          <w:highlight w:val="none"/>
        </w:rPr>
        <w:t>中国农业银行股份有限公司南宁市古城支行；</w:t>
      </w:r>
      <w:r>
        <w:rPr>
          <w:rFonts w:hAnsi="宋体" w:cs="宋体"/>
          <w:bCs/>
          <w:color w:val="auto"/>
          <w:kern w:val="0"/>
          <w:szCs w:val="21"/>
          <w:highlight w:val="none"/>
        </w:rPr>
        <w:t xml:space="preserve"> </w:t>
      </w:r>
    </w:p>
    <w:p>
      <w:pPr>
        <w:pStyle w:val="20"/>
        <w:ind w:firstLine="422"/>
        <w:rPr>
          <w:rFonts w:hint="eastAsia" w:hAnsi="宋体" w:cs="宋体"/>
          <w:bCs/>
          <w:color w:val="auto"/>
          <w:kern w:val="0"/>
          <w:szCs w:val="21"/>
          <w:highlight w:val="none"/>
        </w:rPr>
      </w:pPr>
      <w:r>
        <w:rPr>
          <w:rFonts w:hAnsi="宋体" w:cs="宋体"/>
          <w:bCs/>
          <w:color w:val="auto"/>
          <w:kern w:val="0"/>
          <w:szCs w:val="21"/>
          <w:highlight w:val="none"/>
        </w:rPr>
        <w:t>银行</w:t>
      </w:r>
      <w:r>
        <w:rPr>
          <w:rFonts w:hint="eastAsia" w:hAnsi="宋体" w:cs="宋体"/>
          <w:bCs/>
          <w:color w:val="auto"/>
          <w:kern w:val="0"/>
          <w:szCs w:val="21"/>
          <w:highlight w:val="none"/>
        </w:rPr>
        <w:t>账</w:t>
      </w:r>
      <w:r>
        <w:rPr>
          <w:rFonts w:hAnsi="宋体" w:cs="宋体"/>
          <w:bCs/>
          <w:color w:val="auto"/>
          <w:kern w:val="0"/>
          <w:szCs w:val="21"/>
          <w:highlight w:val="none"/>
        </w:rPr>
        <w:t>号：</w:t>
      </w:r>
      <w:r>
        <w:rPr>
          <w:rFonts w:hint="eastAsia" w:hAnsi="宋体" w:cs="宋体"/>
          <w:bCs/>
          <w:color w:val="auto"/>
          <w:kern w:val="0"/>
          <w:szCs w:val="21"/>
          <w:highlight w:val="none"/>
        </w:rPr>
        <w:t xml:space="preserve">20009101040051648 </w:t>
      </w:r>
    </w:p>
    <w:p>
      <w:pPr>
        <w:pStyle w:val="20"/>
        <w:rPr>
          <w:rFonts w:hint="eastAsia" w:hAnsi="宋体" w:cs="宋体"/>
          <w:b w:val="0"/>
          <w:color w:val="auto"/>
          <w:kern w:val="0"/>
          <w:szCs w:val="21"/>
          <w:highlight w:val="none"/>
        </w:rPr>
      </w:pPr>
      <w:r>
        <w:rPr>
          <w:rFonts w:hAnsi="宋体" w:cs="宋体"/>
          <w:b w:val="0"/>
          <w:color w:val="auto"/>
          <w:kern w:val="0"/>
          <w:szCs w:val="21"/>
          <w:highlight w:val="none"/>
        </w:rPr>
        <w:t>（3）采用支票、汇票、本票或者保函等形式的，投标人应于提交投标文件截止时间前递交单独密封的支票、汇票、本票或者保函</w:t>
      </w:r>
      <w:r>
        <w:rPr>
          <w:rFonts w:hint="eastAsia" w:hAnsi="宋体" w:cs="宋体"/>
          <w:bCs/>
          <w:color w:val="auto"/>
          <w:kern w:val="0"/>
          <w:szCs w:val="21"/>
          <w:highlight w:val="none"/>
        </w:rPr>
        <w:t>（电子保函除外）</w:t>
      </w:r>
      <w:r>
        <w:rPr>
          <w:rFonts w:hAnsi="宋体" w:cs="宋体"/>
          <w:b w:val="0"/>
          <w:color w:val="auto"/>
          <w:kern w:val="0"/>
          <w:szCs w:val="21"/>
          <w:highlight w:val="none"/>
        </w:rPr>
        <w:t xml:space="preserve">原件至我中心财务处。 </w:t>
      </w:r>
    </w:p>
    <w:p>
      <w:pPr>
        <w:pStyle w:val="20"/>
        <w:ind w:firstLine="422"/>
        <w:rPr>
          <w:rFonts w:hint="eastAsia" w:hAnsi="宋体" w:cs="宋体"/>
          <w:bCs/>
          <w:color w:val="auto"/>
          <w:kern w:val="0"/>
          <w:szCs w:val="21"/>
          <w:highlight w:val="none"/>
        </w:rPr>
      </w:pPr>
      <w:r>
        <w:rPr>
          <w:rFonts w:hAnsi="宋体" w:cs="宋体"/>
          <w:bCs/>
          <w:color w:val="auto"/>
          <w:kern w:val="0"/>
          <w:szCs w:val="21"/>
          <w:highlight w:val="none"/>
        </w:rPr>
        <w:t>（4）本中心财务处联系方式： 地址：</w:t>
      </w:r>
      <w:r>
        <w:rPr>
          <w:rFonts w:hAnsi="宋体" w:cs="宋体"/>
          <w:bCs/>
          <w:color w:val="auto"/>
          <w:kern w:val="0"/>
          <w:szCs w:val="21"/>
          <w:highlight w:val="none"/>
          <w:lang w:val="en"/>
        </w:rPr>
        <w:t>广西南宁市星湖路22号广西壮族自治区政府采购中心综合楼3楼306室</w:t>
      </w:r>
      <w:r>
        <w:rPr>
          <w:rFonts w:hAnsi="宋体" w:cs="宋体"/>
          <w:bCs/>
          <w:color w:val="auto"/>
          <w:kern w:val="0"/>
          <w:szCs w:val="21"/>
          <w:highlight w:val="none"/>
        </w:rPr>
        <w:t>； 电话：0771-</w:t>
      </w:r>
      <w:r>
        <w:rPr>
          <w:rFonts w:hint="eastAsia" w:hAnsi="宋体" w:cs="宋体"/>
          <w:bCs/>
          <w:color w:val="auto"/>
          <w:kern w:val="0"/>
          <w:szCs w:val="21"/>
          <w:highlight w:val="none"/>
        </w:rPr>
        <w:t>8600309</w:t>
      </w:r>
      <w:r>
        <w:rPr>
          <w:rFonts w:hAnsi="宋体" w:cs="宋体"/>
          <w:bCs/>
          <w:color w:val="auto"/>
          <w:kern w:val="0"/>
          <w:szCs w:val="21"/>
          <w:highlight w:val="none"/>
        </w:rPr>
        <w:t>。</w:t>
      </w:r>
    </w:p>
    <w:p>
      <w:pPr>
        <w:pStyle w:val="20"/>
        <w:rPr>
          <w:rFonts w:hint="eastAsia" w:hAnsi="宋体" w:cs="宋体"/>
          <w:b w:val="0"/>
          <w:color w:val="auto"/>
          <w:kern w:val="0"/>
          <w:szCs w:val="21"/>
          <w:highlight w:val="none"/>
        </w:rPr>
      </w:pPr>
      <w:r>
        <w:rPr>
          <w:rFonts w:hAnsi="宋体" w:cs="宋体"/>
          <w:b w:val="0"/>
          <w:color w:val="auto"/>
          <w:kern w:val="0"/>
          <w:szCs w:val="21"/>
          <w:highlight w:val="none"/>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20"/>
        <w:rPr>
          <w:rFonts w:hint="eastAsia" w:hAnsi="宋体" w:cs="宋体"/>
          <w:b w:val="0"/>
          <w:color w:val="auto"/>
          <w:kern w:val="0"/>
          <w:szCs w:val="21"/>
          <w:highlight w:val="none"/>
        </w:rPr>
      </w:pPr>
      <w:r>
        <w:rPr>
          <w:rFonts w:hAnsi="宋体" w:cs="宋体"/>
          <w:b w:val="0"/>
          <w:color w:val="auto"/>
          <w:kern w:val="0"/>
          <w:szCs w:val="21"/>
          <w:highlight w:val="none"/>
        </w:rPr>
        <w:t>3.网上公告媒体查询： 中国政府采购网（www.ccgp.gov.cn）、广西壮族自治区政府采购网（zfcg.gxzf.gov.cn）、广西壮族自治区政府采购中心网站（</w:t>
      </w:r>
      <w:r>
        <w:rPr>
          <w:rFonts w:hint="eastAsia" w:hAnsi="宋体" w:cs="宋体"/>
          <w:color w:val="auto"/>
          <w:kern w:val="0"/>
          <w:szCs w:val="21"/>
          <w:highlight w:val="none"/>
        </w:rPr>
        <w:t>gxggzy.gxzf.gov.cn</w:t>
      </w:r>
      <w:r>
        <w:rPr>
          <w:rFonts w:hAnsi="宋体" w:cs="宋体"/>
          <w:b w:val="0"/>
          <w:color w:val="auto"/>
          <w:kern w:val="0"/>
          <w:szCs w:val="21"/>
          <w:highlight w:val="none"/>
        </w:rPr>
        <w:t>）。</w:t>
      </w:r>
    </w:p>
    <w:p>
      <w:pPr>
        <w:pStyle w:val="20"/>
        <w:rPr>
          <w:rFonts w:hint="eastAsia" w:hAnsi="宋体" w:cs="宋体"/>
          <w:b w:val="0"/>
          <w:color w:val="auto"/>
          <w:kern w:val="0"/>
          <w:szCs w:val="21"/>
          <w:highlight w:val="none"/>
        </w:rPr>
      </w:pPr>
      <w:r>
        <w:rPr>
          <w:rFonts w:hAnsi="宋体" w:cs="宋体"/>
          <w:b w:val="0"/>
          <w:color w:val="auto"/>
          <w:kern w:val="0"/>
          <w:szCs w:val="21"/>
          <w:highlight w:val="none"/>
        </w:rPr>
        <w:t>4.其他注意事项：</w:t>
      </w:r>
    </w:p>
    <w:p>
      <w:pPr>
        <w:pStyle w:val="20"/>
        <w:rPr>
          <w:rFonts w:hint="eastAsia" w:hAnsi="宋体" w:cs="宋体"/>
          <w:b w:val="0"/>
          <w:color w:val="auto"/>
          <w:kern w:val="0"/>
          <w:szCs w:val="21"/>
          <w:highlight w:val="none"/>
        </w:rPr>
      </w:pPr>
      <w:r>
        <w:rPr>
          <w:rFonts w:hAnsi="宋体" w:cs="宋体"/>
          <w:b w:val="0"/>
          <w:color w:val="auto"/>
          <w:kern w:val="0"/>
          <w:szCs w:val="21"/>
          <w:highlight w:val="none"/>
        </w:rPr>
        <w:t>（1）本项目实行电子投标，供应商应按照本项目招标文件和</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的要求编制、加密并提交投标文件。供应商在使用系统参与投标过程中遇到涉及平台使用的任何问题，</w:t>
      </w:r>
      <w:r>
        <w:rPr>
          <w:rFonts w:hAnsi="宋体" w:cs="宋体"/>
          <w:bCs/>
          <w:color w:val="auto"/>
          <w:kern w:val="0"/>
          <w:szCs w:val="21"/>
          <w:highlight w:val="none"/>
        </w:rPr>
        <w:t>可致电政采云平台技术支持热线咨询，联系方式：</w:t>
      </w:r>
      <w:r>
        <w:rPr>
          <w:rFonts w:hAnsi="宋体" w:cs="宋体"/>
          <w:bCs/>
          <w:color w:val="auto"/>
          <w:kern w:val="0"/>
          <w:szCs w:val="21"/>
          <w:highlight w:val="none"/>
          <w:lang w:val="en"/>
        </w:rPr>
        <w:t>95763</w:t>
      </w:r>
      <w:r>
        <w:rPr>
          <w:rFonts w:hAnsi="宋体" w:cs="宋体"/>
          <w:b w:val="0"/>
          <w:color w:val="auto"/>
          <w:kern w:val="0"/>
          <w:szCs w:val="21"/>
          <w:highlight w:val="none"/>
        </w:rPr>
        <w:t xml:space="preserve">。 </w:t>
      </w:r>
    </w:p>
    <w:p>
      <w:pPr>
        <w:pStyle w:val="20"/>
        <w:rPr>
          <w:rFonts w:hint="eastAsia" w:hAnsi="宋体" w:cs="宋体"/>
          <w:b w:val="0"/>
          <w:color w:val="auto"/>
          <w:kern w:val="0"/>
          <w:szCs w:val="21"/>
          <w:highlight w:val="none"/>
        </w:rPr>
      </w:pPr>
      <w:r>
        <w:rPr>
          <w:rFonts w:hAnsi="宋体" w:cs="宋体"/>
          <w:b w:val="0"/>
          <w:color w:val="auto"/>
          <w:kern w:val="0"/>
          <w:szCs w:val="21"/>
          <w:highlight w:val="none"/>
        </w:rPr>
        <w:t xml:space="preserve">（2）供应商应及时熟悉掌握电子标系统操作指南（见政采云电子卖场首页右上角—服务中心—帮助文档—项目采购）：https://service.zcygov.cn/#/knowledges/tree?tag=AG1DtGwBFdiHxlNdhY0r。 </w:t>
      </w:r>
    </w:p>
    <w:p>
      <w:pPr>
        <w:pStyle w:val="20"/>
        <w:rPr>
          <w:rFonts w:hint="eastAsia" w:hAnsi="宋体" w:cs="宋体"/>
          <w:b w:val="0"/>
          <w:color w:val="auto"/>
          <w:kern w:val="0"/>
          <w:szCs w:val="21"/>
          <w:highlight w:val="none"/>
        </w:rPr>
      </w:pPr>
      <w:r>
        <w:rPr>
          <w:rFonts w:hAnsi="宋体" w:cs="宋体"/>
          <w:b w:val="0"/>
          <w:color w:val="auto"/>
          <w:kern w:val="0"/>
          <w:szCs w:val="21"/>
          <w:highlight w:val="none"/>
        </w:rPr>
        <w:t xml:space="preserve">（3）供应商应及时完成CA申领和绑定（见广西壮族自治区政府采购网—办事服务—下载专区-政采云CA证书办理操作指南）。 </w:t>
      </w:r>
    </w:p>
    <w:p>
      <w:pPr>
        <w:pStyle w:val="20"/>
        <w:rPr>
          <w:rFonts w:hint="eastAsia" w:hAnsi="宋体" w:cs="宋体"/>
          <w:b w:val="0"/>
          <w:color w:val="auto"/>
          <w:kern w:val="0"/>
          <w:szCs w:val="21"/>
          <w:highlight w:val="none"/>
        </w:rPr>
      </w:pPr>
      <w:r>
        <w:rPr>
          <w:rFonts w:hAnsi="宋体" w:cs="宋体"/>
          <w:b w:val="0"/>
          <w:color w:val="auto"/>
          <w:kern w:val="0"/>
          <w:szCs w:val="21"/>
          <w:highlight w:val="none"/>
        </w:rPr>
        <w:t>（4）供应商通过</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投标客户端软件制作投标文件，</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 xml:space="preserve">投标客户端软件请供应商自行前往下载并安装（见广西壮族自治区政府采购网—办事服务—下载专区-广西壮族自治区全流程电子招投标项目管理系统--供应商客户端）。 </w:t>
      </w:r>
    </w:p>
    <w:p>
      <w:pPr>
        <w:pStyle w:val="20"/>
        <w:rPr>
          <w:rFonts w:hint="eastAsia" w:hAnsi="宋体" w:cs="宋体"/>
          <w:b w:val="0"/>
          <w:color w:val="auto"/>
          <w:kern w:val="0"/>
          <w:szCs w:val="21"/>
          <w:highlight w:val="none"/>
        </w:rPr>
      </w:pPr>
      <w:r>
        <w:rPr>
          <w:rFonts w:hAnsi="宋体" w:cs="宋体"/>
          <w:b w:val="0"/>
          <w:color w:val="auto"/>
          <w:kern w:val="0"/>
          <w:szCs w:val="21"/>
          <w:highlight w:val="none"/>
        </w:rPr>
        <w:t>（5）因未注册入库、未办理CA数字证书、CA证书故障、操作不当等原因造成无法投标或投标失败等后果由供应商自行承担。</w:t>
      </w:r>
    </w:p>
    <w:p>
      <w:pPr>
        <w:pStyle w:val="20"/>
        <w:rPr>
          <w:rFonts w:hint="eastAsia" w:hAnsi="宋体" w:cs="宋体"/>
          <w:b w:val="0"/>
          <w:color w:val="auto"/>
          <w:kern w:val="0"/>
          <w:szCs w:val="21"/>
          <w:highlight w:val="none"/>
        </w:rPr>
      </w:pPr>
      <w:r>
        <w:rPr>
          <w:rFonts w:hint="eastAsia" w:hAnsi="宋体" w:cs="宋体"/>
          <w:b w:val="0"/>
          <w:color w:val="auto"/>
          <w:kern w:val="0"/>
          <w:szCs w:val="21"/>
          <w:highlight w:val="none"/>
        </w:rPr>
        <w:t>（6）</w:t>
      </w:r>
      <w:r>
        <w:rPr>
          <w:rFonts w:hAnsi="宋体" w:cs="宋体"/>
          <w:b w:val="0"/>
          <w:color w:val="auto"/>
          <w:kern w:val="0"/>
          <w:szCs w:val="21"/>
          <w:highlight w:val="none"/>
        </w:rPr>
        <w:t>投标文件网上提交截止后，</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（电子标系统）自动提取所有投标文件，各供应商须在开标开始后30分钟内对上传</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的投标文件进行解密，所有供应商在规定的解密时限内解密完成或解密时限结束后，本中心开启投标文件；供应商超过解密时限未完成解密的，系统默认其自动放弃。</w:t>
      </w:r>
    </w:p>
    <w:p>
      <w:pPr>
        <w:ind w:firstLine="420" w:firstLineChars="200"/>
        <w:rPr>
          <w:rFonts w:hint="eastAsia"/>
          <w:color w:val="auto"/>
          <w:highlight w:val="none"/>
        </w:rPr>
      </w:pPr>
      <w:r>
        <w:rPr>
          <w:rFonts w:hint="eastAsia"/>
          <w:color w:val="auto"/>
          <w:highlight w:val="none"/>
        </w:rPr>
        <w:t xml:space="preserve">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七、对本次采购提出询问，请按以下方式联系</w:t>
      </w:r>
    </w:p>
    <w:p>
      <w:pPr>
        <w:pStyle w:val="20"/>
        <w:rPr>
          <w:rFonts w:hint="eastAsia" w:hAnsi="宋体" w:cs="宋体"/>
          <w:b w:val="0"/>
          <w:color w:val="auto"/>
          <w:kern w:val="0"/>
          <w:szCs w:val="21"/>
          <w:highlight w:val="none"/>
        </w:rPr>
      </w:pPr>
      <w:r>
        <w:rPr>
          <w:rFonts w:hAnsi="宋体" w:cs="宋体"/>
          <w:b w:val="0"/>
          <w:color w:val="auto"/>
          <w:kern w:val="0"/>
          <w:szCs w:val="21"/>
          <w:highlight w:val="none"/>
        </w:rPr>
        <w:t>1.采购人信息</w:t>
      </w:r>
    </w:p>
    <w:p>
      <w:pPr>
        <w:pStyle w:val="20"/>
        <w:rPr>
          <w:rFonts w:hint="default" w:hAnsi="宋体" w:eastAsia="宋体" w:cs="宋体"/>
          <w:b w:val="0"/>
          <w:color w:val="auto"/>
          <w:kern w:val="0"/>
          <w:szCs w:val="21"/>
          <w:highlight w:val="none"/>
          <w:lang w:val="en-US" w:eastAsia="zh-CN"/>
        </w:rPr>
      </w:pPr>
      <w:r>
        <w:rPr>
          <w:rFonts w:hAnsi="宋体" w:cs="宋体"/>
          <w:b w:val="0"/>
          <w:color w:val="auto"/>
          <w:kern w:val="0"/>
          <w:szCs w:val="21"/>
          <w:highlight w:val="none"/>
        </w:rPr>
        <w:t> 名   称：</w:t>
      </w:r>
      <w:r>
        <w:rPr>
          <w:rFonts w:hint="eastAsia" w:hAnsi="宋体"/>
          <w:b w:val="0"/>
          <w:color w:val="auto"/>
          <w:highlight w:val="none"/>
        </w:rPr>
        <w:t xml:space="preserve"> </w:t>
      </w:r>
      <w:r>
        <w:rPr>
          <w:rFonts w:hint="eastAsia" w:hAnsi="宋体"/>
          <w:b w:val="0"/>
          <w:color w:val="auto"/>
          <w:highlight w:val="none"/>
          <w:lang w:val="en-US" w:eastAsia="zh-CN"/>
        </w:rPr>
        <w:t>桂林航天工业学院</w:t>
      </w:r>
    </w:p>
    <w:p>
      <w:pPr>
        <w:pStyle w:val="20"/>
        <w:rPr>
          <w:rFonts w:hint="default" w:hAnsi="宋体" w:eastAsia="宋体" w:cs="宋体"/>
          <w:b w:val="0"/>
          <w:color w:val="auto"/>
          <w:kern w:val="0"/>
          <w:szCs w:val="21"/>
          <w:highlight w:val="none"/>
          <w:lang w:val="en-US" w:eastAsia="zh-CN"/>
        </w:rPr>
      </w:pPr>
      <w:r>
        <w:rPr>
          <w:rFonts w:hAnsi="宋体" w:cs="宋体"/>
          <w:b w:val="0"/>
          <w:color w:val="auto"/>
          <w:kern w:val="0"/>
          <w:szCs w:val="21"/>
          <w:highlight w:val="none"/>
        </w:rPr>
        <w:t> 地   址：</w:t>
      </w:r>
      <w:r>
        <w:rPr>
          <w:rFonts w:hint="eastAsia" w:hAnsi="宋体"/>
          <w:b w:val="0"/>
          <w:color w:val="auto"/>
          <w:highlight w:val="none"/>
        </w:rPr>
        <w:t xml:space="preserve"> </w:t>
      </w:r>
      <w:r>
        <w:rPr>
          <w:rFonts w:hint="eastAsia" w:hAnsi="宋体"/>
          <w:b w:val="0"/>
          <w:color w:val="auto"/>
          <w:highlight w:val="none"/>
          <w:lang w:val="en-US" w:eastAsia="zh-CN"/>
        </w:rPr>
        <w:t>桂林市金鸡路2号</w:t>
      </w:r>
    </w:p>
    <w:p>
      <w:pPr>
        <w:pStyle w:val="20"/>
        <w:rPr>
          <w:rFonts w:hint="eastAsia" w:hAnsi="宋体" w:cs="宋体"/>
          <w:b w:val="0"/>
          <w:color w:val="auto"/>
          <w:kern w:val="0"/>
          <w:szCs w:val="21"/>
          <w:highlight w:val="none"/>
        </w:rPr>
      </w:pPr>
      <w:r>
        <w:rPr>
          <w:rFonts w:hAnsi="宋体" w:cs="宋体"/>
          <w:b w:val="0"/>
          <w:color w:val="auto"/>
          <w:kern w:val="0"/>
          <w:szCs w:val="21"/>
          <w:highlight w:val="none"/>
        </w:rPr>
        <w:t> 项目联系人：</w:t>
      </w:r>
      <w:r>
        <w:rPr>
          <w:rFonts w:hint="eastAsia" w:hAnsi="宋体" w:cs="宋体"/>
          <w:b w:val="0"/>
          <w:color w:val="auto"/>
          <w:kern w:val="0"/>
          <w:szCs w:val="21"/>
          <w:highlight w:val="none"/>
          <w:lang w:val="en-US" w:eastAsia="zh-CN"/>
        </w:rPr>
        <w:t>蓝老师</w:t>
      </w:r>
      <w:r>
        <w:rPr>
          <w:rFonts w:hint="eastAsia" w:hAnsi="宋体"/>
          <w:b w:val="0"/>
          <w:color w:val="auto"/>
          <w:highlight w:val="none"/>
        </w:rPr>
        <w:t xml:space="preserve"> </w:t>
      </w:r>
    </w:p>
    <w:p>
      <w:pPr>
        <w:pStyle w:val="20"/>
        <w:rPr>
          <w:rFonts w:hint="default" w:hAnsi="宋体" w:eastAsia="宋体" w:cs="宋体"/>
          <w:b w:val="0"/>
          <w:color w:val="auto"/>
          <w:kern w:val="0"/>
          <w:szCs w:val="21"/>
          <w:highlight w:val="none"/>
          <w:lang w:val="en-US" w:eastAsia="zh-CN"/>
        </w:rPr>
      </w:pPr>
      <w:r>
        <w:rPr>
          <w:rFonts w:hAnsi="宋体" w:cs="宋体"/>
          <w:b w:val="0"/>
          <w:color w:val="auto"/>
          <w:kern w:val="0"/>
          <w:szCs w:val="21"/>
          <w:highlight w:val="none"/>
        </w:rPr>
        <w:t> 项目联系方式：</w:t>
      </w:r>
      <w:r>
        <w:rPr>
          <w:rFonts w:hint="eastAsia" w:hAnsi="宋体"/>
          <w:b w:val="0"/>
          <w:color w:val="auto"/>
          <w:highlight w:val="none"/>
        </w:rPr>
        <w:t xml:space="preserve"> </w:t>
      </w:r>
      <w:r>
        <w:rPr>
          <w:rFonts w:hint="eastAsia" w:hAnsi="宋体"/>
          <w:b w:val="0"/>
          <w:color w:val="auto"/>
          <w:highlight w:val="none"/>
          <w:lang w:val="en-US" w:eastAsia="zh-CN"/>
        </w:rPr>
        <w:t>0773-6796677</w:t>
      </w:r>
    </w:p>
    <w:p>
      <w:pPr>
        <w:pStyle w:val="20"/>
        <w:rPr>
          <w:rFonts w:hAnsi="宋体" w:cs="宋体"/>
          <w:b w:val="0"/>
          <w:color w:val="auto"/>
          <w:kern w:val="0"/>
          <w:szCs w:val="21"/>
          <w:highlight w:val="none"/>
        </w:rPr>
      </w:pPr>
      <w:r>
        <w:rPr>
          <w:rFonts w:hAnsi="宋体" w:cs="宋体"/>
          <w:b w:val="0"/>
          <w:color w:val="auto"/>
          <w:kern w:val="0"/>
          <w:szCs w:val="21"/>
          <w:highlight w:val="none"/>
        </w:rPr>
        <w:t>2.采购代理机构信息</w:t>
      </w:r>
    </w:p>
    <w:p>
      <w:pPr>
        <w:pStyle w:val="20"/>
        <w:rPr>
          <w:rFonts w:hAnsi="宋体" w:cs="宋体"/>
          <w:b w:val="0"/>
          <w:color w:val="auto"/>
          <w:kern w:val="0"/>
          <w:szCs w:val="21"/>
          <w:highlight w:val="none"/>
        </w:rPr>
      </w:pPr>
      <w:r>
        <w:rPr>
          <w:rFonts w:hAnsi="宋体" w:cs="宋体"/>
          <w:b w:val="0"/>
          <w:color w:val="auto"/>
          <w:kern w:val="0"/>
          <w:szCs w:val="21"/>
          <w:highlight w:val="none"/>
        </w:rPr>
        <w:t xml:space="preserve"> 名   </w:t>
      </w:r>
      <w:r>
        <w:rPr>
          <w:rFonts w:hint="eastAsia" w:hAnsi="宋体" w:cs="宋体"/>
          <w:b w:val="0"/>
          <w:color w:val="auto"/>
          <w:kern w:val="0"/>
          <w:szCs w:val="21"/>
          <w:highlight w:val="none"/>
        </w:rPr>
        <w:t xml:space="preserve"> </w:t>
      </w:r>
      <w:r>
        <w:rPr>
          <w:rFonts w:hAnsi="宋体" w:cs="宋体"/>
          <w:b w:val="0"/>
          <w:color w:val="auto"/>
          <w:kern w:val="0"/>
          <w:szCs w:val="21"/>
          <w:highlight w:val="none"/>
        </w:rPr>
        <w:t>称：广西壮族自治区政府采购中心</w:t>
      </w:r>
    </w:p>
    <w:p>
      <w:pPr>
        <w:pStyle w:val="20"/>
        <w:rPr>
          <w:rFonts w:hAnsi="宋体" w:cs="宋体"/>
          <w:b w:val="0"/>
          <w:color w:val="auto"/>
          <w:kern w:val="0"/>
          <w:szCs w:val="21"/>
          <w:highlight w:val="none"/>
        </w:rPr>
      </w:pPr>
      <w:r>
        <w:rPr>
          <w:rFonts w:hAnsi="宋体" w:cs="宋体"/>
          <w:b w:val="0"/>
          <w:color w:val="auto"/>
          <w:kern w:val="0"/>
          <w:szCs w:val="21"/>
          <w:highlight w:val="none"/>
        </w:rPr>
        <w:t> 地   址：广西南宁市</w:t>
      </w:r>
      <w:r>
        <w:rPr>
          <w:rFonts w:hint="eastAsia" w:hAnsi="宋体" w:cs="宋体"/>
          <w:b w:val="0"/>
          <w:color w:val="auto"/>
          <w:kern w:val="0"/>
          <w:szCs w:val="21"/>
          <w:highlight w:val="none"/>
        </w:rPr>
        <w:t>星湖</w:t>
      </w:r>
      <w:r>
        <w:rPr>
          <w:rFonts w:hAnsi="宋体" w:cs="宋体"/>
          <w:b w:val="0"/>
          <w:color w:val="auto"/>
          <w:kern w:val="0"/>
          <w:szCs w:val="21"/>
          <w:highlight w:val="none"/>
        </w:rPr>
        <w:t>路</w:t>
      </w:r>
      <w:r>
        <w:rPr>
          <w:rFonts w:hint="eastAsia" w:hAnsi="宋体" w:cs="宋体"/>
          <w:b w:val="0"/>
          <w:color w:val="auto"/>
          <w:kern w:val="0"/>
          <w:szCs w:val="21"/>
          <w:highlight w:val="none"/>
        </w:rPr>
        <w:t>22</w:t>
      </w:r>
      <w:r>
        <w:rPr>
          <w:rFonts w:hAnsi="宋体" w:cs="宋体"/>
          <w:b w:val="0"/>
          <w:color w:val="auto"/>
          <w:kern w:val="0"/>
          <w:szCs w:val="21"/>
          <w:highlight w:val="none"/>
        </w:rPr>
        <w:t>号</w:t>
      </w:r>
    </w:p>
    <w:p>
      <w:pPr>
        <w:pStyle w:val="20"/>
        <w:rPr>
          <w:rFonts w:hAnsi="宋体" w:cs="宋体"/>
          <w:b w:val="0"/>
          <w:color w:val="auto"/>
          <w:kern w:val="0"/>
          <w:szCs w:val="21"/>
          <w:highlight w:val="none"/>
        </w:rPr>
      </w:pPr>
      <w:r>
        <w:rPr>
          <w:rFonts w:hAnsi="宋体" w:cs="宋体"/>
          <w:b w:val="0"/>
          <w:color w:val="auto"/>
          <w:kern w:val="0"/>
          <w:szCs w:val="21"/>
          <w:highlight w:val="none"/>
        </w:rPr>
        <w:t> 传    真：0771-</w:t>
      </w:r>
      <w:r>
        <w:rPr>
          <w:rFonts w:hint="eastAsia" w:hAnsi="宋体" w:cs="宋体"/>
          <w:b w:val="0"/>
          <w:color w:val="auto"/>
          <w:kern w:val="0"/>
          <w:szCs w:val="21"/>
          <w:highlight w:val="none"/>
        </w:rPr>
        <w:t>8600343</w:t>
      </w:r>
    </w:p>
    <w:p>
      <w:pPr>
        <w:pStyle w:val="20"/>
        <w:rPr>
          <w:rFonts w:hAnsi="宋体" w:cs="宋体"/>
          <w:b w:val="0"/>
          <w:color w:val="auto"/>
          <w:kern w:val="0"/>
          <w:szCs w:val="21"/>
          <w:highlight w:val="none"/>
        </w:rPr>
      </w:pPr>
      <w:r>
        <w:rPr>
          <w:rFonts w:hAnsi="宋体" w:cs="宋体"/>
          <w:b w:val="0"/>
          <w:color w:val="auto"/>
          <w:kern w:val="0"/>
          <w:szCs w:val="21"/>
          <w:highlight w:val="none"/>
        </w:rPr>
        <w:t> 项目联系人：</w:t>
      </w:r>
      <w:r>
        <w:rPr>
          <w:rFonts w:hint="eastAsia" w:hAnsi="宋体" w:cs="宋体"/>
          <w:b w:val="0"/>
          <w:color w:val="auto"/>
          <w:kern w:val="0"/>
          <w:szCs w:val="21"/>
          <w:highlight w:val="none"/>
        </w:rPr>
        <w:t>张国铨</w:t>
      </w:r>
    </w:p>
    <w:p>
      <w:pPr>
        <w:pStyle w:val="20"/>
        <w:rPr>
          <w:rFonts w:hAnsi="宋体" w:cs="宋体"/>
          <w:b w:val="0"/>
          <w:color w:val="auto"/>
          <w:kern w:val="0"/>
          <w:szCs w:val="21"/>
          <w:highlight w:val="none"/>
        </w:rPr>
      </w:pPr>
      <w:r>
        <w:rPr>
          <w:rFonts w:hAnsi="宋体" w:cs="宋体"/>
          <w:b w:val="0"/>
          <w:color w:val="auto"/>
          <w:kern w:val="0"/>
          <w:szCs w:val="21"/>
          <w:highlight w:val="none"/>
        </w:rPr>
        <w:t> 项目联系方式：0771-</w:t>
      </w:r>
      <w:r>
        <w:rPr>
          <w:rFonts w:hint="eastAsia" w:hAnsi="宋体" w:cs="宋体"/>
          <w:b w:val="0"/>
          <w:color w:val="auto"/>
          <w:kern w:val="0"/>
          <w:szCs w:val="21"/>
          <w:highlight w:val="none"/>
        </w:rPr>
        <w:t>8600305</w:t>
      </w:r>
      <w:r>
        <w:rPr>
          <w:rFonts w:hAnsi="宋体" w:cs="宋体"/>
          <w:b w:val="0"/>
          <w:color w:val="auto"/>
          <w:kern w:val="0"/>
          <w:szCs w:val="21"/>
          <w:highlight w:val="none"/>
        </w:rPr>
        <w:t> </w:t>
      </w:r>
    </w:p>
    <w:p>
      <w:pPr>
        <w:snapToGrid w:val="0"/>
        <w:spacing w:line="340" w:lineRule="exact"/>
        <w:ind w:left="238"/>
        <w:jc w:val="right"/>
        <w:rPr>
          <w:rFonts w:hint="eastAsia" w:ascii="宋体" w:hAnsi="宋体"/>
          <w:color w:val="auto"/>
          <w:szCs w:val="21"/>
          <w:highlight w:val="none"/>
        </w:rPr>
      </w:pPr>
      <w:r>
        <w:rPr>
          <w:rFonts w:hint="eastAsia" w:ascii="宋体" w:hAnsi="宋体"/>
          <w:color w:val="auto"/>
          <w:szCs w:val="21"/>
          <w:highlight w:val="none"/>
        </w:rPr>
        <w:t xml:space="preserve">  广西壮族自治区政府采购中心</w:t>
      </w:r>
    </w:p>
    <w:p>
      <w:pPr>
        <w:wordWrap w:val="0"/>
        <w:snapToGrid w:val="0"/>
        <w:spacing w:line="340" w:lineRule="exact"/>
        <w:ind w:left="238" w:right="565" w:rightChars="269"/>
        <w:jc w:val="right"/>
        <w:rPr>
          <w:color w:val="auto"/>
          <w:szCs w:val="21"/>
          <w:highlight w:val="none"/>
          <w:lang w:val="en"/>
        </w:rPr>
      </w:pPr>
      <w:r>
        <w:rPr>
          <w:color w:val="auto"/>
          <w:highlight w:val="none"/>
        </w:rPr>
        <w:t>20</w:t>
      </w:r>
      <w:r>
        <w:rPr>
          <w:rFonts w:hint="eastAsia"/>
          <w:color w:val="auto"/>
          <w:highlight w:val="none"/>
        </w:rPr>
        <w:t>25年   月   日</w:t>
      </w:r>
    </w:p>
    <w:p>
      <w:pPr>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pacing w:line="360" w:lineRule="exact"/>
        <w:ind w:left="9" w:leftChars="1" w:hanging="7" w:hangingChars="2"/>
        <w:jc w:val="center"/>
        <w:rPr>
          <w:rFonts w:hint="eastAsia" w:ascii="仿宋_GB2312" w:hAnsi="宋体" w:eastAsia="仿宋_GB2312"/>
          <w:b/>
          <w:bCs/>
          <w:color w:val="auto"/>
          <w:sz w:val="36"/>
          <w:szCs w:val="36"/>
          <w:highlight w:val="none"/>
        </w:rPr>
      </w:pPr>
    </w:p>
    <w:p>
      <w:pPr>
        <w:spacing w:line="360" w:lineRule="exact"/>
        <w:ind w:left="9" w:leftChars="1" w:hanging="7" w:hangingChars="2"/>
        <w:jc w:val="center"/>
        <w:rPr>
          <w:rFonts w:hint="eastAsia" w:ascii="仿宋_GB2312" w:hAnsi="宋体" w:eastAsia="仿宋_GB2312"/>
          <w:b/>
          <w:bCs/>
          <w:color w:val="auto"/>
          <w:sz w:val="36"/>
          <w:szCs w:val="36"/>
          <w:highlight w:val="none"/>
        </w:rPr>
      </w:pPr>
    </w:p>
    <w:p>
      <w:pPr>
        <w:spacing w:line="360" w:lineRule="exact"/>
        <w:ind w:left="9" w:leftChars="1" w:hanging="7" w:hangingChars="2"/>
        <w:jc w:val="center"/>
        <w:rPr>
          <w:rFonts w:hint="eastAsia" w:ascii="仿宋_GB2312" w:hAnsi="宋体" w:eastAsia="仿宋_GB2312"/>
          <w:b/>
          <w:bCs/>
          <w:color w:val="auto"/>
          <w:sz w:val="36"/>
          <w:szCs w:val="36"/>
          <w:highlight w:val="none"/>
        </w:rPr>
      </w:pPr>
    </w:p>
    <w:p>
      <w:pPr>
        <w:spacing w:line="360" w:lineRule="exact"/>
        <w:ind w:left="9" w:leftChars="1" w:hanging="7" w:hangingChars="2"/>
        <w:jc w:val="center"/>
        <w:rPr>
          <w:rFonts w:hint="eastAsia" w:ascii="宋体" w:hAnsi="宋体"/>
          <w:b/>
          <w:dstrike/>
          <w:color w:val="auto"/>
          <w:sz w:val="36"/>
          <w:szCs w:val="36"/>
          <w:highlight w:val="none"/>
        </w:rPr>
      </w:pPr>
      <w:r>
        <w:rPr>
          <w:rFonts w:hint="eastAsia" w:ascii="仿宋_GB2312" w:hAnsi="宋体" w:eastAsia="仿宋_GB2312"/>
          <w:b/>
          <w:bCs/>
          <w:color w:val="auto"/>
          <w:sz w:val="36"/>
          <w:szCs w:val="36"/>
          <w:highlight w:val="none"/>
        </w:rPr>
        <w:t>招</w:t>
      </w:r>
      <w:r>
        <w:rPr>
          <w:rFonts w:hint="eastAsia" w:ascii="仿宋_GB2312" w:hAnsi="宋体" w:eastAsia="仿宋_GB2312"/>
          <w:b/>
          <w:color w:val="auto"/>
          <w:sz w:val="36"/>
          <w:szCs w:val="36"/>
          <w:highlight w:val="none"/>
        </w:rPr>
        <w:t>标项目采购需求</w:t>
      </w:r>
    </w:p>
    <w:p>
      <w:pPr>
        <w:spacing w:line="360" w:lineRule="exact"/>
        <w:ind w:left="6" w:firstLine="431"/>
        <w:rPr>
          <w:rFonts w:hint="eastAsia" w:ascii="宋体" w:hAnsi="宋体"/>
          <w:b/>
          <w:bCs/>
          <w:color w:val="auto"/>
          <w:szCs w:val="21"/>
          <w:highlight w:val="none"/>
        </w:rPr>
      </w:pPr>
    </w:p>
    <w:p>
      <w:pPr>
        <w:spacing w:line="360" w:lineRule="exact"/>
        <w:ind w:left="6" w:firstLine="431"/>
        <w:rPr>
          <w:rFonts w:ascii="宋体" w:hAnsi="宋体"/>
          <w:b/>
          <w:bCs/>
          <w:color w:val="auto"/>
          <w:szCs w:val="21"/>
          <w:highlight w:val="none"/>
        </w:rPr>
      </w:pPr>
      <w:r>
        <w:rPr>
          <w:rFonts w:hint="eastAsia" w:ascii="宋体" w:hAnsi="宋体"/>
          <w:b/>
          <w:bCs/>
          <w:color w:val="auto"/>
          <w:szCs w:val="21"/>
          <w:highlight w:val="none"/>
        </w:rPr>
        <w:t>1、本需求的货物品牌型号、技术参数及其性能（配置）仅起参考作用，投标人可选用其他品牌型号替代，但这些替代的产品要实质上相当于或优于参考品牌型号及其技术参数性能（配置）要求。</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3、凡在“技术参数及性能（配置）要求”中表述为“标配”或“标准配置”的设备，投标人应在投标报价明细表中将其标配参数详细列明。</w:t>
      </w:r>
    </w:p>
    <w:p>
      <w:pPr>
        <w:spacing w:line="360" w:lineRule="exact"/>
        <w:ind w:left="6" w:firstLine="431"/>
        <w:rPr>
          <w:rFonts w:hint="eastAsia" w:hAnsi="宋体"/>
          <w:b/>
          <w:color w:val="auto"/>
          <w:szCs w:val="21"/>
          <w:highlight w:val="none"/>
        </w:rPr>
      </w:pPr>
      <w:r>
        <w:rPr>
          <w:rFonts w:hint="eastAsia" w:hAnsi="宋体"/>
          <w:b/>
          <w:color w:val="auto"/>
          <w:szCs w:val="21"/>
          <w:highlight w:val="none"/>
        </w:rPr>
        <w:t>4、</w:t>
      </w:r>
      <w:r>
        <w:rPr>
          <w:rFonts w:hint="eastAsia" w:hAnsi="宋体" w:cs="宋体"/>
          <w:b/>
          <w:color w:val="auto"/>
          <w:sz w:val="22"/>
          <w:szCs w:val="28"/>
          <w:highlight w:val="none"/>
        </w:rPr>
        <w:t>招标文件中带“</w:t>
      </w:r>
      <w:r>
        <w:rPr>
          <w:rFonts w:hint="eastAsia" w:hAnsi="宋体"/>
          <w:color w:val="auto"/>
          <w:szCs w:val="21"/>
          <w:highlight w:val="none"/>
        </w:rPr>
        <w:t>▲</w:t>
      </w:r>
      <w:r>
        <w:rPr>
          <w:rFonts w:hint="eastAsia" w:hAnsi="宋体" w:cs="宋体"/>
          <w:b/>
          <w:color w:val="auto"/>
          <w:sz w:val="22"/>
          <w:szCs w:val="28"/>
          <w:highlight w:val="none"/>
        </w:rPr>
        <w:t>”的条款为本次采购的实质性(关键性)的商务、技术或服务要求，投标人须满足或优于，否则，将会被认定为无效投标</w:t>
      </w:r>
      <w:r>
        <w:rPr>
          <w:rFonts w:hint="eastAsia" w:hAnsi="宋体"/>
          <w:b/>
          <w:color w:val="auto"/>
          <w:szCs w:val="21"/>
          <w:highlight w:val="none"/>
        </w:rPr>
        <w:t>。</w:t>
      </w:r>
    </w:p>
    <w:p>
      <w:pPr>
        <w:spacing w:line="360" w:lineRule="exact"/>
        <w:ind w:left="6" w:firstLine="431"/>
        <w:rPr>
          <w:rFonts w:hint="eastAsia" w:hAnsi="宋体"/>
          <w:b/>
          <w:color w:val="auto"/>
          <w:szCs w:val="21"/>
          <w:highlight w:val="none"/>
        </w:rPr>
      </w:pPr>
      <w:r>
        <w:rPr>
          <w:rFonts w:hint="eastAsia" w:hAnsi="宋体"/>
          <w:b/>
          <w:color w:val="auto"/>
          <w:szCs w:val="21"/>
          <w:highlight w:val="none"/>
        </w:rPr>
        <w:t>5、本项目</w:t>
      </w:r>
      <w:r>
        <w:rPr>
          <w:rFonts w:hint="eastAsia"/>
          <w:b/>
          <w:color w:val="auto"/>
          <w:szCs w:val="21"/>
          <w:highlight w:val="none"/>
        </w:rPr>
        <w:t>标的所属行业均为：</w:t>
      </w:r>
      <w:r>
        <w:rPr>
          <w:rFonts w:hint="eastAsia"/>
          <w:b/>
          <w:color w:val="auto"/>
          <w:szCs w:val="21"/>
          <w:highlight w:val="none"/>
          <w:u w:val="single"/>
        </w:rPr>
        <w:t xml:space="preserve">  工业   </w:t>
      </w:r>
      <w:r>
        <w:rPr>
          <w:rFonts w:hint="eastAsia"/>
          <w:b/>
          <w:color w:val="auto"/>
          <w:szCs w:val="21"/>
          <w:highlight w:val="none"/>
        </w:rPr>
        <w:t xml:space="preserve"> ；</w:t>
      </w:r>
      <w:r>
        <w:rPr>
          <w:rFonts w:hint="eastAsia" w:hAnsi="宋体" w:cs="宋体"/>
          <w:b/>
          <w:bCs/>
          <w:color w:val="auto"/>
          <w:szCs w:val="21"/>
          <w:highlight w:val="none"/>
        </w:rPr>
        <w:t>划分依据：</w:t>
      </w:r>
      <w:r>
        <w:rPr>
          <w:rFonts w:hint="eastAsia"/>
          <w:b/>
          <w:color w:val="auto"/>
          <w:szCs w:val="21"/>
          <w:highlight w:val="none"/>
        </w:rPr>
        <w:t>《关于印发中小企业划型标准规定的通知》（工信部联企业[2011]300号）</w:t>
      </w:r>
    </w:p>
    <w:p>
      <w:pPr>
        <w:snapToGrid w:val="0"/>
        <w:spacing w:line="400" w:lineRule="exact"/>
        <w:ind w:firstLine="421" w:firstLineChars="200"/>
        <w:rPr>
          <w:rFonts w:hint="eastAsia" w:hAnsi="宋体" w:cs="Arial"/>
          <w:b/>
          <w:bCs/>
          <w:color w:val="auto"/>
          <w:szCs w:val="21"/>
          <w:highlight w:val="none"/>
        </w:rPr>
      </w:pPr>
      <w:r>
        <w:rPr>
          <w:rFonts w:hint="eastAsia" w:ascii="宋体" w:hAnsi="宋体"/>
          <w:b/>
          <w:bCs/>
          <w:color w:val="auto"/>
          <w:kern w:val="0"/>
          <w:szCs w:val="21"/>
          <w:highlight w:val="none"/>
        </w:rPr>
        <w:t>6、本项目采购预算：</w:t>
      </w:r>
      <w:r>
        <w:rPr>
          <w:rFonts w:hint="eastAsia" w:ascii="宋体" w:hAnsi="宋体"/>
          <w:b/>
          <w:bCs/>
          <w:color w:val="auto"/>
          <w:kern w:val="0"/>
          <w:szCs w:val="21"/>
          <w:highlight w:val="none"/>
          <w:u w:val="single"/>
        </w:rPr>
        <w:t xml:space="preserve"> 2410000.00</w:t>
      </w:r>
      <w:r>
        <w:rPr>
          <w:rFonts w:hint="eastAsia" w:hAnsi="宋体" w:cs="宋体"/>
          <w:b/>
          <w:color w:val="auto"/>
          <w:kern w:val="0"/>
          <w:szCs w:val="21"/>
          <w:highlight w:val="none"/>
          <w:u w:val="single"/>
        </w:rPr>
        <w:t xml:space="preserve"> </w:t>
      </w:r>
      <w:r>
        <w:rPr>
          <w:rFonts w:hint="eastAsia" w:ascii="宋体" w:hAnsi="宋体"/>
          <w:b/>
          <w:bCs/>
          <w:color w:val="auto"/>
          <w:kern w:val="0"/>
          <w:szCs w:val="21"/>
          <w:highlight w:val="none"/>
        </w:rPr>
        <w:t>元。</w:t>
      </w:r>
    </w:p>
    <w:p>
      <w:pPr>
        <w:pStyle w:val="21"/>
        <w:ind w:firstLine="241"/>
        <w:rPr>
          <w:rFonts w:hint="eastAsia" w:ascii="宋体" w:hAnsi="宋体"/>
          <w:b/>
          <w:bCs/>
          <w:color w:val="auto"/>
          <w:kern w:val="0"/>
          <w:szCs w:val="21"/>
          <w:highlight w:val="none"/>
        </w:rPr>
      </w:pPr>
    </w:p>
    <w:tbl>
      <w:tblPr>
        <w:tblStyle w:val="23"/>
        <w:tblW w:w="994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7"/>
        <w:gridCol w:w="1177"/>
        <w:gridCol w:w="383"/>
        <w:gridCol w:w="1727"/>
        <w:gridCol w:w="751"/>
        <w:gridCol w:w="567"/>
        <w:gridCol w:w="4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w:t>
            </w: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参考图片</w:t>
            </w:r>
          </w:p>
          <w:p>
            <w:pPr>
              <w:jc w:val="center"/>
              <w:rPr>
                <w:rFonts w:hint="eastAsia" w:ascii="宋体" w:hAnsi="宋体" w:eastAsia="宋体" w:cs="宋体"/>
                <w:b/>
                <w:color w:val="auto"/>
                <w:sz w:val="21"/>
                <w:szCs w:val="21"/>
                <w:highlight w:val="none"/>
                <w:lang w:val="en"/>
              </w:rPr>
            </w:pPr>
            <w:r>
              <w:rPr>
                <w:rFonts w:hint="eastAsia" w:ascii="宋体" w:hAnsi="宋体" w:eastAsia="宋体" w:cs="宋体"/>
                <w:b/>
                <w:color w:val="auto"/>
                <w:sz w:val="21"/>
                <w:szCs w:val="21"/>
                <w:highlight w:val="none"/>
              </w:rPr>
              <w:t>（样式）</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数 量</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4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技术参数及性能（配置）要求</w:t>
            </w:r>
          </w:p>
          <w:p>
            <w:pPr>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（材质工艺要求说明）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9" w:hRule="atLeast"/>
        </w:trPr>
        <w:tc>
          <w:tcPr>
            <w:tcW w:w="35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普通教室课桌椅</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前排</w:t>
            </w:r>
          </w:p>
        </w:tc>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1402715" cy="1329055"/>
                  <wp:effectExtent l="0" t="0" r="6985"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402715" cy="1329055"/>
                          </a:xfrm>
                          <a:prstGeom prst="rect">
                            <a:avLst/>
                          </a:prstGeom>
                          <a:noFill/>
                          <a:ln>
                            <a:noFill/>
                          </a:ln>
                        </pic:spPr>
                      </pic:pic>
                    </a:graphicData>
                  </a:graphic>
                </wp:inline>
              </w:drawing>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tc>
        <w:tc>
          <w:tcPr>
            <w:tcW w:w="4982" w:type="dxa"/>
            <w:vMerge w:val="restart"/>
            <w:tcBorders>
              <w:top w:val="single" w:color="auto" w:sz="4" w:space="0"/>
              <w:left w:val="single" w:color="auto" w:sz="4" w:space="0"/>
              <w:right w:val="single" w:color="auto" w:sz="4" w:space="0"/>
            </w:tcBorders>
            <w:noWrap w:val="0"/>
            <w:vAlign w:val="center"/>
          </w:tcPr>
          <w:p>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hAnsi="宋体"/>
                <w:color w:val="auto"/>
                <w:szCs w:val="21"/>
                <w:highlight w:val="none"/>
              </w:rPr>
              <w:t>▲</w:t>
            </w:r>
            <w:r>
              <w:rPr>
                <w:rFonts w:hint="eastAsia" w:ascii="宋体" w:hAnsi="宋体" w:eastAsia="宋体" w:cs="宋体"/>
                <w:color w:val="auto"/>
                <w:sz w:val="21"/>
                <w:szCs w:val="21"/>
                <w:highlight w:val="none"/>
                <w:lang w:val="en-US" w:eastAsia="zh-CN"/>
              </w:rPr>
              <w:t>一、课桌椅</w:t>
            </w:r>
            <w:r>
              <w:rPr>
                <w:rFonts w:hint="eastAsia" w:ascii="宋体" w:hAnsi="宋体" w:eastAsia="宋体" w:cs="宋体"/>
                <w:color w:val="auto"/>
                <w:sz w:val="21"/>
                <w:szCs w:val="21"/>
                <w:highlight w:val="none"/>
              </w:rPr>
              <w:t>技术要求</w:t>
            </w:r>
            <w:r>
              <w:rPr>
                <w:rFonts w:hint="eastAsia" w:ascii="宋体" w:hAnsi="宋体" w:eastAsia="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1、单人位</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val="en-US" w:eastAsia="zh-CN"/>
              </w:rPr>
              <w:t>尺寸</w:t>
            </w:r>
            <w:r>
              <w:rPr>
                <w:rFonts w:hint="eastAsia" w:ascii="宋体" w:hAnsi="宋体" w:eastAsia="宋体" w:cs="宋体"/>
                <w:color w:val="auto"/>
                <w:sz w:val="21"/>
                <w:szCs w:val="21"/>
                <w:highlight w:val="none"/>
              </w:rPr>
              <w:t>:中心距：520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 座内宽：450；座深：4</w:t>
            </w:r>
            <w:r>
              <w:rPr>
                <w:rFonts w:hint="eastAsia" w:ascii="宋体" w:hAnsi="宋体" w:eastAsia="宋体" w:cs="宋体"/>
                <w:color w:val="auto"/>
                <w:sz w:val="21"/>
                <w:szCs w:val="21"/>
                <w:highlight w:val="none"/>
                <w:lang w:val="en-US" w:eastAsia="zh-CN"/>
              </w:rPr>
              <w:t>30mm</w:t>
            </w:r>
            <w:r>
              <w:rPr>
                <w:rFonts w:hint="eastAsia" w:ascii="宋体" w:hAnsi="宋体" w:eastAsia="宋体" w:cs="宋体"/>
                <w:color w:val="auto"/>
                <w:sz w:val="21"/>
                <w:szCs w:val="21"/>
                <w:highlight w:val="none"/>
              </w:rPr>
              <w:t>；座高：450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；扶手高：655</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；站脚宽：50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；全高：900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；写字板高：750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；写字板宽：350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误差：±5(单位:mm)</w:t>
            </w:r>
            <w:r>
              <w:rPr>
                <w:rFonts w:hint="eastAsia" w:ascii="宋体" w:hAnsi="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课桌椅</w:t>
            </w:r>
            <w:r>
              <w:rPr>
                <w:rFonts w:hint="eastAsia" w:ascii="宋体" w:hAnsi="宋体" w:eastAsia="宋体" w:cs="宋体"/>
                <w:color w:val="auto"/>
                <w:sz w:val="21"/>
                <w:szCs w:val="21"/>
                <w:highlight w:val="none"/>
              </w:rPr>
              <w:t>检测标准应符合QB/T 4071-2021《课桌椅》</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写字板:桌面板采用厚25mm</w:t>
            </w:r>
            <w:r>
              <w:rPr>
                <w:rFonts w:hint="eastAsia" w:ascii="宋体" w:hAnsi="宋体" w:eastAsia="宋体" w:cs="宋体"/>
                <w:color w:val="auto"/>
                <w:sz w:val="21"/>
                <w:szCs w:val="21"/>
                <w:highlight w:val="none"/>
                <w:lang w:val="en-US" w:eastAsia="zh-CN"/>
              </w:rPr>
              <w:t>刨花板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桌板双面贴防火板，木纹浮雕面，桌面前后两边采用防火板包边，（要求PVC</w:t>
            </w:r>
            <w:r>
              <w:rPr>
                <w:rFonts w:hint="eastAsia" w:ascii="宋体" w:hAnsi="宋体" w:cs="宋体"/>
                <w:color w:val="auto"/>
                <w:sz w:val="21"/>
                <w:szCs w:val="21"/>
                <w:highlight w:val="none"/>
                <w:lang w:eastAsia="zh-CN"/>
              </w:rPr>
              <w:t>封边</w:t>
            </w:r>
            <w:r>
              <w:rPr>
                <w:rFonts w:hint="eastAsia" w:ascii="宋体" w:hAnsi="宋体" w:cs="宋体"/>
                <w:color w:val="auto"/>
                <w:sz w:val="21"/>
                <w:szCs w:val="21"/>
                <w:highlight w:val="none"/>
                <w:lang w:val="en-US" w:eastAsia="zh-CN"/>
              </w:rPr>
              <w:t>条</w:t>
            </w:r>
            <w:r>
              <w:rPr>
                <w:rFonts w:hint="eastAsia" w:ascii="宋体" w:hAnsi="宋体" w:eastAsia="宋体" w:cs="宋体"/>
                <w:color w:val="auto"/>
                <w:sz w:val="21"/>
                <w:szCs w:val="21"/>
                <w:highlight w:val="none"/>
              </w:rPr>
              <w:t>与桌面颜色及木纹统一、匹配），环保耐用。左右两边采用1.5mm厚PVC热熔</w:t>
            </w:r>
            <w:r>
              <w:rPr>
                <w:rFonts w:hint="eastAsia" w:ascii="宋体" w:hAnsi="宋体" w:cs="宋体"/>
                <w:color w:val="auto"/>
                <w:sz w:val="21"/>
                <w:szCs w:val="21"/>
                <w:highlight w:val="none"/>
                <w:lang w:val="en-US" w:eastAsia="zh-CN"/>
              </w:rPr>
              <w:t>胶</w:t>
            </w:r>
            <w:r>
              <w:rPr>
                <w:rFonts w:hint="eastAsia" w:ascii="宋体" w:hAnsi="宋体" w:eastAsia="宋体" w:cs="宋体"/>
                <w:color w:val="auto"/>
                <w:sz w:val="21"/>
                <w:szCs w:val="21"/>
                <w:highlight w:val="none"/>
              </w:rPr>
              <w:t>封边处理（要求PVC与桌面颜色及木纹统一、匹配），环保耐用。</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4、站脚:采用铝合金一体压铸成型，无毛刺，无焊接，表面作防氧化处理后</w:t>
            </w:r>
            <w:r>
              <w:rPr>
                <w:rFonts w:hint="eastAsia" w:ascii="宋体" w:hAnsi="宋体" w:cs="宋体"/>
                <w:color w:val="auto"/>
                <w:sz w:val="21"/>
                <w:szCs w:val="21"/>
                <w:highlight w:val="none"/>
                <w:lang w:val="en-US" w:eastAsia="zh-CN"/>
              </w:rPr>
              <w:t>塑粉</w:t>
            </w:r>
            <w:r>
              <w:rPr>
                <w:rFonts w:hint="eastAsia" w:ascii="宋体" w:hAnsi="宋体" w:eastAsia="宋体" w:cs="宋体"/>
                <w:color w:val="auto"/>
                <w:sz w:val="21"/>
                <w:szCs w:val="21"/>
                <w:highlight w:val="none"/>
                <w:lang w:val="en-US" w:eastAsia="zh-CN"/>
              </w:rPr>
              <w:t>喷涂处理附着力强，抗冲击、耐腐蚀、不生锈、不褪色、经久耐用，站脚高度：900mm、站脚厚度：50mm，站脚前后宽度:368mm.脚底部到座板转轴高度：390mm。扶手面高度：652mm、扶手面厚度：50mm.全包围式地脚螺丝孔内藏式地爆螺丝。站脚底部长度325mm,站脚固定安装孔距不小于275mm，固定螺丝可根据地面情况特定长度，外盖2个螺丝盖，防尘、安全、美观。</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椅背：490mm(高）×517mm（宽）×10mm（厚），外形根据人体工程学设计，背板采用10mm</w:t>
            </w:r>
            <w:r>
              <w:rPr>
                <w:rFonts w:hint="eastAsia" w:ascii="宋体" w:hAnsi="宋体" w:eastAsia="宋体" w:cs="宋体"/>
                <w:color w:val="auto"/>
                <w:sz w:val="21"/>
                <w:szCs w:val="21"/>
                <w:highlight w:val="none"/>
                <w:lang w:val="en-US" w:eastAsia="zh-CN"/>
              </w:rPr>
              <w:t>曲木板</w:t>
            </w:r>
            <w:r>
              <w:rPr>
                <w:rFonts w:hint="eastAsia" w:ascii="宋体" w:hAnsi="宋体" w:eastAsia="宋体" w:cs="宋体"/>
                <w:color w:val="auto"/>
                <w:sz w:val="21"/>
                <w:szCs w:val="21"/>
                <w:highlight w:val="none"/>
              </w:rPr>
              <w:t>经模具热压成型并双面压防火板，采用环保</w:t>
            </w:r>
            <w:bookmarkStart w:id="0" w:name="OLE_LINK6"/>
            <w:r>
              <w:rPr>
                <w:rFonts w:hint="eastAsia" w:ascii="宋体" w:hAnsi="宋体" w:eastAsia="宋体" w:cs="宋体"/>
                <w:color w:val="auto"/>
                <w:sz w:val="21"/>
                <w:szCs w:val="21"/>
                <w:highlight w:val="none"/>
                <w:lang w:val="en-US" w:eastAsia="zh-CN"/>
              </w:rPr>
              <w:t>水性</w:t>
            </w:r>
            <w:r>
              <w:rPr>
                <w:rFonts w:hint="eastAsia" w:ascii="宋体" w:hAnsi="宋体" w:eastAsia="宋体" w:cs="宋体"/>
                <w:color w:val="auto"/>
                <w:sz w:val="21"/>
                <w:szCs w:val="21"/>
                <w:highlight w:val="none"/>
              </w:rPr>
              <w:t>漆</w:t>
            </w:r>
            <w:bookmarkEnd w:id="0"/>
            <w:r>
              <w:rPr>
                <w:rFonts w:hint="eastAsia" w:ascii="宋体" w:hAnsi="宋体" w:eastAsia="宋体" w:cs="宋体"/>
                <w:color w:val="auto"/>
                <w:sz w:val="21"/>
                <w:szCs w:val="21"/>
                <w:highlight w:val="none"/>
              </w:rPr>
              <w:t>涂饰，环保胶粘接，防潮、耐用、不褪色。框架采用优质钢板经模具加工成型后焊接而成。背框横条采用1.5mm优质钢板经模压型，表面做防氧化处理后，高氧化处理后，高温喷涂处理。</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bookmarkStart w:id="1" w:name="OLE_LINK1"/>
            <w:r>
              <w:rPr>
                <w:rFonts w:hint="eastAsia" w:ascii="宋体" w:hAnsi="宋体" w:eastAsia="宋体" w:cs="宋体"/>
                <w:color w:val="auto"/>
                <w:sz w:val="21"/>
                <w:szCs w:val="21"/>
                <w:highlight w:val="none"/>
              </w:rPr>
              <w:t>椅座</w:t>
            </w:r>
            <w:bookmarkEnd w:id="1"/>
            <w:r>
              <w:rPr>
                <w:rFonts w:hint="eastAsia" w:ascii="宋体" w:hAnsi="宋体" w:eastAsia="宋体" w:cs="宋体"/>
                <w:color w:val="auto"/>
                <w:sz w:val="21"/>
                <w:szCs w:val="21"/>
                <w:highlight w:val="none"/>
              </w:rPr>
              <w:t>：430mm（深）×450mm（宽）×15mm（厚），采用不小于15mm</w:t>
            </w:r>
            <w:r>
              <w:rPr>
                <w:rFonts w:hint="eastAsia" w:ascii="宋体" w:hAnsi="宋体" w:eastAsia="宋体" w:cs="宋体"/>
                <w:color w:val="auto"/>
                <w:sz w:val="21"/>
                <w:szCs w:val="21"/>
                <w:highlight w:val="none"/>
                <w:lang w:val="en-US" w:eastAsia="zh-CN"/>
              </w:rPr>
              <w:t>曲木板</w:t>
            </w:r>
            <w:r>
              <w:rPr>
                <w:rFonts w:hint="eastAsia" w:ascii="宋体" w:hAnsi="宋体" w:eastAsia="宋体" w:cs="宋体"/>
                <w:color w:val="auto"/>
                <w:sz w:val="21"/>
                <w:szCs w:val="21"/>
                <w:highlight w:val="none"/>
              </w:rPr>
              <w:t>经模具热压成型并双面压防火板，采用环保</w:t>
            </w:r>
            <w:r>
              <w:rPr>
                <w:rFonts w:hint="eastAsia" w:ascii="宋体" w:hAnsi="宋体" w:eastAsia="宋体" w:cs="宋体"/>
                <w:color w:val="auto"/>
                <w:sz w:val="21"/>
                <w:szCs w:val="21"/>
                <w:highlight w:val="none"/>
                <w:lang w:val="en-US" w:eastAsia="zh-CN"/>
              </w:rPr>
              <w:t>水性</w:t>
            </w:r>
            <w:r>
              <w:rPr>
                <w:rFonts w:hint="eastAsia" w:ascii="宋体" w:hAnsi="宋体" w:eastAsia="宋体" w:cs="宋体"/>
                <w:color w:val="auto"/>
                <w:sz w:val="21"/>
                <w:szCs w:val="21"/>
                <w:highlight w:val="none"/>
              </w:rPr>
              <w:t>漆涂饰，环保胶粘接，防潮、耐用、不褪色。板与铝合金一体压铸成型角码采用穿透式连接，采用M8圆柱头六角螺丝2个/角码，整体弧度及曲线符合人体工程学设计。强度高，抗老化，经久耐用，坐感舒适。</w:t>
            </w:r>
          </w:p>
          <w:p>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桌面支撑件:固定桌面支撑件，采用1.5mm厚优质钢板冲压成形，无毛刺，无焊接；表面经喷涂处理，防锈蚀，经久耐用。</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书 斗：</w:t>
            </w:r>
            <w:r>
              <w:rPr>
                <w:rFonts w:hint="eastAsia" w:ascii="宋体" w:hAnsi="宋体" w:eastAsia="宋体" w:cs="宋体"/>
                <w:color w:val="auto"/>
                <w:sz w:val="21"/>
                <w:szCs w:val="21"/>
                <w:highlight w:val="none"/>
                <w:lang w:val="en-US" w:eastAsia="zh-CN"/>
              </w:rPr>
              <w:t>340</w:t>
            </w:r>
            <w:r>
              <w:rPr>
                <w:rFonts w:hint="eastAsia" w:ascii="宋体" w:hAnsi="宋体" w:eastAsia="宋体" w:cs="宋体"/>
                <w:color w:val="auto"/>
                <w:sz w:val="21"/>
                <w:szCs w:val="21"/>
                <w:highlight w:val="none"/>
              </w:rPr>
              <w:t>mm(深）×460mm（宽）×100mm（高），采用 0.8mm 优质拉伸钢板经模具拉伸成型，压根加强整体结构，承重力好、经久耐用。</w:t>
            </w:r>
          </w:p>
          <w:p>
            <w:pPr>
              <w:widowControl/>
              <w:numPr>
                <w:ilvl w:val="0"/>
                <w:numId w:val="0"/>
              </w:numPr>
              <w:ind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采用≥13mm厚铝合金一体压铸成型座角码，无毛刺，无焊接，防夹手功能，座角码表面作防氧化处理后，高温喷涂处理。静音处理得力回复机构，坚固耐用。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5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普通教室课桌椅</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中排</w:t>
            </w:r>
          </w:p>
        </w:tc>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1363345" cy="1301750"/>
                  <wp:effectExtent l="0" t="0" r="8255" b="1270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1363345" cy="1301750"/>
                          </a:xfrm>
                          <a:prstGeom prst="rect">
                            <a:avLst/>
                          </a:prstGeom>
                          <a:noFill/>
                          <a:ln>
                            <a:noFill/>
                          </a:ln>
                        </pic:spPr>
                      </pic:pic>
                    </a:graphicData>
                  </a:graphic>
                </wp:inline>
              </w:drawing>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tc>
        <w:tc>
          <w:tcPr>
            <w:tcW w:w="4982"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普通教室课桌椅</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后排</w:t>
            </w:r>
          </w:p>
        </w:tc>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1294765" cy="1290320"/>
                  <wp:effectExtent l="0" t="0" r="635" b="508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1294765" cy="1290320"/>
                          </a:xfrm>
                          <a:prstGeom prst="rect">
                            <a:avLst/>
                          </a:prstGeom>
                          <a:noFill/>
                          <a:ln>
                            <a:noFill/>
                          </a:ln>
                        </pic:spPr>
                      </pic:pic>
                    </a:graphicData>
                  </a:graphic>
                </wp:inline>
              </w:drawing>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tc>
        <w:tc>
          <w:tcPr>
            <w:tcW w:w="4982"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阶梯教室课桌椅</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前排</w:t>
            </w:r>
          </w:p>
        </w:tc>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1386840" cy="1313815"/>
                  <wp:effectExtent l="0" t="0" r="3810" b="63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8"/>
                          <a:stretch>
                            <a:fillRect/>
                          </a:stretch>
                        </pic:blipFill>
                        <pic:spPr>
                          <a:xfrm>
                            <a:off x="0" y="0"/>
                            <a:ext cx="1386840" cy="1313815"/>
                          </a:xfrm>
                          <a:prstGeom prst="rect">
                            <a:avLst/>
                          </a:prstGeom>
                          <a:noFill/>
                          <a:ln>
                            <a:noFill/>
                          </a:ln>
                        </pic:spPr>
                      </pic:pic>
                    </a:graphicData>
                  </a:graphic>
                </wp:inline>
              </w:drawing>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tc>
        <w:tc>
          <w:tcPr>
            <w:tcW w:w="4982" w:type="dxa"/>
            <w:vMerge w:val="restart"/>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lang w:eastAsia="zh-CN"/>
              </w:rPr>
            </w:pPr>
            <w:r>
              <w:rPr>
                <w:rFonts w:hint="eastAsia" w:hAnsi="宋体"/>
                <w:color w:val="auto"/>
                <w:szCs w:val="21"/>
                <w:highlight w:val="none"/>
              </w:rPr>
              <w:t>▲</w:t>
            </w:r>
            <w:r>
              <w:rPr>
                <w:rFonts w:hint="eastAsia" w:ascii="宋体" w:hAnsi="宋体" w:eastAsia="宋体" w:cs="宋体"/>
                <w:color w:val="auto"/>
                <w:sz w:val="21"/>
                <w:szCs w:val="21"/>
                <w:highlight w:val="none"/>
                <w:lang w:val="en-US" w:eastAsia="zh-CN"/>
              </w:rPr>
              <w:t>一、课桌椅</w:t>
            </w:r>
            <w:r>
              <w:rPr>
                <w:rFonts w:hint="eastAsia" w:ascii="宋体" w:hAnsi="宋体" w:eastAsia="宋体" w:cs="宋体"/>
                <w:color w:val="auto"/>
                <w:sz w:val="21"/>
                <w:szCs w:val="21"/>
                <w:highlight w:val="none"/>
              </w:rPr>
              <w:t>技术要求</w:t>
            </w:r>
            <w:r>
              <w:rPr>
                <w:rFonts w:hint="eastAsia" w:ascii="宋体" w:hAnsi="宋体" w:eastAsia="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1、单人位</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val="en-US" w:eastAsia="zh-CN"/>
              </w:rPr>
              <w:t>尺寸</w:t>
            </w:r>
            <w:r>
              <w:rPr>
                <w:rFonts w:hint="eastAsia" w:ascii="宋体" w:hAnsi="宋体" w:eastAsia="宋体" w:cs="宋体"/>
                <w:color w:val="auto"/>
                <w:sz w:val="21"/>
                <w:szCs w:val="21"/>
                <w:highlight w:val="none"/>
              </w:rPr>
              <w:t>:中心距：5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0mm； 座内宽：4</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0mm；座深：</w:t>
            </w:r>
            <w:r>
              <w:rPr>
                <w:rFonts w:hint="eastAsia" w:ascii="宋体" w:hAnsi="宋体" w:eastAsia="宋体" w:cs="宋体"/>
                <w:color w:val="auto"/>
                <w:sz w:val="21"/>
                <w:szCs w:val="21"/>
                <w:highlight w:val="none"/>
                <w:lang w:val="en-US" w:eastAsia="zh-CN"/>
              </w:rPr>
              <w:t>380mm</w:t>
            </w:r>
            <w:r>
              <w:rPr>
                <w:rFonts w:hint="eastAsia" w:ascii="宋体" w:hAnsi="宋体" w:eastAsia="宋体" w:cs="宋体"/>
                <w:color w:val="auto"/>
                <w:sz w:val="21"/>
                <w:szCs w:val="21"/>
                <w:highlight w:val="none"/>
              </w:rPr>
              <w:t>；座高：450mm；扶手高：655mm；站脚宽：50mm；全高：900mm；写字板高：750mm；写字板宽：</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0mm；误差：±5(单位:mm)</w:t>
            </w:r>
            <w:r>
              <w:rPr>
                <w:rFonts w:hint="eastAsia" w:ascii="宋体" w:hAnsi="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课桌椅</w:t>
            </w:r>
            <w:r>
              <w:rPr>
                <w:rFonts w:hint="eastAsia" w:ascii="宋体" w:hAnsi="宋体" w:eastAsia="宋体" w:cs="宋体"/>
                <w:color w:val="auto"/>
                <w:sz w:val="21"/>
                <w:szCs w:val="21"/>
                <w:highlight w:val="none"/>
              </w:rPr>
              <w:t>检测标准应符合QB/T 4071-2021《课桌椅》</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写字板:桌面板采用厚25mm</w:t>
            </w:r>
            <w:r>
              <w:rPr>
                <w:rFonts w:hint="eastAsia" w:ascii="宋体" w:hAnsi="宋体" w:eastAsia="宋体" w:cs="宋体"/>
                <w:color w:val="auto"/>
                <w:sz w:val="21"/>
                <w:szCs w:val="21"/>
                <w:highlight w:val="none"/>
                <w:lang w:val="en-US" w:eastAsia="zh-CN"/>
              </w:rPr>
              <w:t>刨花板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桌板双面贴防火板，木纹浮雕面，桌面前后两边采用防火板包边，（要求PVC</w:t>
            </w:r>
            <w:r>
              <w:rPr>
                <w:rFonts w:hint="eastAsia" w:ascii="宋体" w:hAnsi="宋体" w:cs="宋体"/>
                <w:color w:val="auto"/>
                <w:sz w:val="21"/>
                <w:szCs w:val="21"/>
                <w:highlight w:val="none"/>
                <w:lang w:eastAsia="zh-CN"/>
              </w:rPr>
              <w:t>封边</w:t>
            </w:r>
            <w:r>
              <w:rPr>
                <w:rFonts w:hint="eastAsia" w:ascii="宋体" w:hAnsi="宋体" w:cs="宋体"/>
                <w:color w:val="auto"/>
                <w:sz w:val="21"/>
                <w:szCs w:val="21"/>
                <w:highlight w:val="none"/>
                <w:lang w:val="en-US" w:eastAsia="zh-CN"/>
              </w:rPr>
              <w:t>条</w:t>
            </w:r>
            <w:r>
              <w:rPr>
                <w:rFonts w:hint="eastAsia" w:ascii="宋体" w:hAnsi="宋体" w:eastAsia="宋体" w:cs="宋体"/>
                <w:color w:val="auto"/>
                <w:sz w:val="21"/>
                <w:szCs w:val="21"/>
                <w:highlight w:val="none"/>
              </w:rPr>
              <w:t>与桌面颜色及木纹统一、匹配），环保耐用。左右两边采用1.5mm厚PVC热熔</w:t>
            </w:r>
            <w:r>
              <w:rPr>
                <w:rFonts w:hint="eastAsia" w:ascii="宋体" w:hAnsi="宋体" w:cs="宋体"/>
                <w:color w:val="auto"/>
                <w:sz w:val="21"/>
                <w:szCs w:val="21"/>
                <w:highlight w:val="none"/>
                <w:lang w:val="en-US" w:eastAsia="zh-CN"/>
              </w:rPr>
              <w:t>胶</w:t>
            </w:r>
            <w:r>
              <w:rPr>
                <w:rFonts w:hint="eastAsia" w:ascii="宋体" w:hAnsi="宋体" w:eastAsia="宋体" w:cs="宋体"/>
                <w:color w:val="auto"/>
                <w:sz w:val="21"/>
                <w:szCs w:val="21"/>
                <w:highlight w:val="none"/>
              </w:rPr>
              <w:t>封边处理（要求PVC与桌面颜色及木纹统一、匹配），环保耐用。</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4、站脚:采用铝合金一体压铸成型，无毛刺，无焊接，表面作防氧化处理后</w:t>
            </w:r>
            <w:r>
              <w:rPr>
                <w:rFonts w:hint="eastAsia" w:ascii="宋体" w:hAnsi="宋体" w:cs="宋体"/>
                <w:color w:val="auto"/>
                <w:sz w:val="21"/>
                <w:szCs w:val="21"/>
                <w:highlight w:val="none"/>
                <w:lang w:val="en-US" w:eastAsia="zh-CN"/>
              </w:rPr>
              <w:t>塑粉</w:t>
            </w:r>
            <w:r>
              <w:rPr>
                <w:rFonts w:hint="eastAsia" w:ascii="宋体" w:hAnsi="宋体" w:eastAsia="宋体" w:cs="宋体"/>
                <w:color w:val="auto"/>
                <w:sz w:val="21"/>
                <w:szCs w:val="21"/>
                <w:highlight w:val="none"/>
                <w:lang w:val="en-US" w:eastAsia="zh-CN"/>
              </w:rPr>
              <w:t>喷涂处理附着力强，抗冲击、耐腐蚀、不生锈、不褪色、经久耐用，站脚高度：900mm、站脚厚度：50mm，站脚前后宽度:368mm.脚底部到座板转轴高度：390mm。扶手面高度：652mm、扶手面厚度：50mm.全包围式地脚螺丝孔内藏式地爆螺丝。站脚底部长度325mm,站脚固定安装孔距不小于275mm，固定螺丝可根据地面情况特定长度，外盖2个螺丝盖，防尘、安全、美观。</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椅背：490mm(高）×517mm（宽）×10mm（厚），外形根据人体工程学设计，背板采用10mm</w:t>
            </w:r>
            <w:r>
              <w:rPr>
                <w:rFonts w:hint="eastAsia" w:ascii="宋体" w:hAnsi="宋体" w:eastAsia="宋体" w:cs="宋体"/>
                <w:color w:val="auto"/>
                <w:sz w:val="21"/>
                <w:szCs w:val="21"/>
                <w:highlight w:val="none"/>
                <w:lang w:val="en-US" w:eastAsia="zh-CN"/>
              </w:rPr>
              <w:t>曲木板</w:t>
            </w:r>
            <w:r>
              <w:rPr>
                <w:rFonts w:hint="eastAsia" w:ascii="宋体" w:hAnsi="宋体" w:eastAsia="宋体" w:cs="宋体"/>
                <w:color w:val="auto"/>
                <w:sz w:val="21"/>
                <w:szCs w:val="21"/>
                <w:highlight w:val="none"/>
              </w:rPr>
              <w:t>经模具热压成型并双面压防火板，采用环保</w:t>
            </w:r>
            <w:r>
              <w:rPr>
                <w:rFonts w:hint="eastAsia" w:ascii="宋体" w:hAnsi="宋体" w:eastAsia="宋体" w:cs="宋体"/>
                <w:color w:val="auto"/>
                <w:sz w:val="21"/>
                <w:szCs w:val="21"/>
                <w:highlight w:val="none"/>
                <w:lang w:val="en-US" w:eastAsia="zh-CN"/>
              </w:rPr>
              <w:t>水性</w:t>
            </w:r>
            <w:r>
              <w:rPr>
                <w:rFonts w:hint="eastAsia" w:ascii="宋体" w:hAnsi="宋体" w:eastAsia="宋体" w:cs="宋体"/>
                <w:color w:val="auto"/>
                <w:sz w:val="21"/>
                <w:szCs w:val="21"/>
                <w:highlight w:val="none"/>
              </w:rPr>
              <w:t>漆涂饰，环保胶粘接，防潮、耐用、不褪色。框架采用优质钢板经模具加工成型后焊接而成。背框横条采用1.5mm优质钢板经模压型，表面做防氧化处理后，高氧化处理后，高温喷涂处理。</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椅座：</w:t>
            </w:r>
            <w:r>
              <w:rPr>
                <w:rFonts w:hint="eastAsia" w:ascii="宋体" w:hAnsi="宋体" w:eastAsia="宋体" w:cs="宋体"/>
                <w:color w:val="auto"/>
                <w:sz w:val="21"/>
                <w:szCs w:val="21"/>
                <w:highlight w:val="none"/>
                <w:lang w:val="en-US" w:eastAsia="zh-CN"/>
              </w:rPr>
              <w:t>38</w:t>
            </w:r>
            <w:r>
              <w:rPr>
                <w:rFonts w:hint="eastAsia" w:ascii="宋体" w:hAnsi="宋体" w:eastAsia="宋体" w:cs="宋体"/>
                <w:color w:val="auto"/>
                <w:sz w:val="21"/>
                <w:szCs w:val="21"/>
                <w:highlight w:val="none"/>
              </w:rPr>
              <w:t>0mm（深）×450mm（宽）×15mm（厚），采用不小于15mm</w:t>
            </w:r>
            <w:r>
              <w:rPr>
                <w:rFonts w:hint="eastAsia" w:ascii="宋体" w:hAnsi="宋体" w:eastAsia="宋体" w:cs="宋体"/>
                <w:color w:val="auto"/>
                <w:sz w:val="21"/>
                <w:szCs w:val="21"/>
                <w:highlight w:val="none"/>
                <w:lang w:val="en-US" w:eastAsia="zh-CN"/>
              </w:rPr>
              <w:t>曲木板</w:t>
            </w:r>
            <w:r>
              <w:rPr>
                <w:rFonts w:hint="eastAsia" w:ascii="宋体" w:hAnsi="宋体" w:eastAsia="宋体" w:cs="宋体"/>
                <w:color w:val="auto"/>
                <w:sz w:val="21"/>
                <w:szCs w:val="21"/>
                <w:highlight w:val="none"/>
              </w:rPr>
              <w:t>经模具热压成型并双面压防火板，采用环保</w:t>
            </w:r>
            <w:r>
              <w:rPr>
                <w:rFonts w:hint="eastAsia" w:ascii="宋体" w:hAnsi="宋体" w:eastAsia="宋体" w:cs="宋体"/>
                <w:color w:val="auto"/>
                <w:sz w:val="21"/>
                <w:szCs w:val="21"/>
                <w:highlight w:val="none"/>
                <w:lang w:val="en-US" w:eastAsia="zh-CN"/>
              </w:rPr>
              <w:t>水性</w:t>
            </w:r>
            <w:r>
              <w:rPr>
                <w:rFonts w:hint="eastAsia" w:ascii="宋体" w:hAnsi="宋体" w:eastAsia="宋体" w:cs="宋体"/>
                <w:color w:val="auto"/>
                <w:sz w:val="21"/>
                <w:szCs w:val="21"/>
                <w:highlight w:val="none"/>
              </w:rPr>
              <w:t>漆涂饰，环保胶粘接，防潮、耐用、不褪色。板与铝合金一体压铸成型角码采用穿透式连接，采用M8圆柱头六角螺丝2个/角码，整体弧度及曲线符合人体工程学设计。强度高，抗老化，经久耐用，坐感舒适。</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桌面支撑件:固定桌面支撑件，采用1.5mm厚优质钢板冲压成形，无毛刺，无焊接；表面经喷涂处理，防锈蚀，经久耐用。</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书 斗：</w:t>
            </w:r>
            <w:r>
              <w:rPr>
                <w:rFonts w:hint="eastAsia" w:ascii="宋体" w:hAnsi="宋体" w:eastAsia="宋体" w:cs="宋体"/>
                <w:color w:val="auto"/>
                <w:sz w:val="21"/>
                <w:szCs w:val="21"/>
                <w:highlight w:val="none"/>
                <w:lang w:val="en-US" w:eastAsia="zh-CN"/>
              </w:rPr>
              <w:t>270mm</w:t>
            </w:r>
            <w:r>
              <w:rPr>
                <w:rFonts w:hint="eastAsia" w:ascii="宋体" w:hAnsi="宋体" w:eastAsia="宋体" w:cs="宋体"/>
                <w:color w:val="auto"/>
                <w:sz w:val="21"/>
                <w:szCs w:val="21"/>
                <w:highlight w:val="none"/>
              </w:rPr>
              <w:t>(深）×460mm（宽）×100mm（高），采用 0.8mm 优质拉伸钢板经模具拉伸成型，压根加强整体结构，承重力好、经久耐用。</w:t>
            </w:r>
          </w:p>
          <w:p>
            <w:pPr>
              <w:widowControl/>
              <w:numPr>
                <w:ilvl w:val="0"/>
                <w:numId w:val="0"/>
              </w:numPr>
              <w:ind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采用≥13mm厚铝合金一体压铸成型座角码，无毛刺，无焊接，防夹手功能，座角码表面作防氧化处理后，高温喷涂处理。静音处理得力回复机构，坚固耐用。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阶梯教室课桌椅</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中排</w:t>
            </w:r>
          </w:p>
        </w:tc>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1302385" cy="1243330"/>
                  <wp:effectExtent l="0" t="0" r="12065" b="1397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stretch>
                            <a:fillRect/>
                          </a:stretch>
                        </pic:blipFill>
                        <pic:spPr>
                          <a:xfrm>
                            <a:off x="0" y="0"/>
                            <a:ext cx="1302385" cy="1243330"/>
                          </a:xfrm>
                          <a:prstGeom prst="rect">
                            <a:avLst/>
                          </a:prstGeom>
                          <a:noFill/>
                          <a:ln>
                            <a:noFill/>
                          </a:ln>
                        </pic:spPr>
                      </pic:pic>
                    </a:graphicData>
                  </a:graphic>
                </wp:inline>
              </w:drawing>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tc>
        <w:tc>
          <w:tcPr>
            <w:tcW w:w="4982"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阶梯教室</w:t>
            </w:r>
          </w:p>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课桌椅</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后排</w:t>
            </w:r>
          </w:p>
        </w:tc>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1303655" cy="1298575"/>
                  <wp:effectExtent l="0" t="0" r="10795" b="1587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0"/>
                          <a:stretch>
                            <a:fillRect/>
                          </a:stretch>
                        </pic:blipFill>
                        <pic:spPr>
                          <a:xfrm>
                            <a:off x="0" y="0"/>
                            <a:ext cx="1303655" cy="1298575"/>
                          </a:xfrm>
                          <a:prstGeom prst="rect">
                            <a:avLst/>
                          </a:prstGeom>
                          <a:noFill/>
                          <a:ln>
                            <a:noFill/>
                          </a:ln>
                        </pic:spPr>
                      </pic:pic>
                    </a:graphicData>
                  </a:graphic>
                </wp:inline>
              </w:drawing>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tc>
        <w:tc>
          <w:tcPr>
            <w:tcW w:w="4982"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944"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widowControl/>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1、本采购需求中参考图片（样式）仅供参考；</w:t>
            </w:r>
          </w:p>
          <w:p>
            <w:pPr>
              <w:widowControl/>
              <w:numPr>
                <w:ilvl w:val="0"/>
                <w:numId w:val="2"/>
              </w:numPr>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材质的要求及材质的厚度须满足或优于采购需求，产品性能须满足或优于用户要求；</w:t>
            </w:r>
          </w:p>
          <w:p>
            <w:pPr>
              <w:widowControl/>
              <w:numPr>
                <w:ilvl w:val="0"/>
                <w:numId w:val="2"/>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引用的所有标准，如有更新或替换时，应执行最新标准</w:t>
            </w:r>
            <w:r>
              <w:rPr>
                <w:rFonts w:hint="eastAsia" w:ascii="宋体" w:hAnsi="宋体" w:eastAsia="宋体" w:cs="宋体"/>
                <w:b/>
                <w:bCs/>
                <w:color w:val="auto"/>
                <w:sz w:val="21"/>
                <w:szCs w:val="21"/>
                <w:highlight w:val="none"/>
                <w:lang w:eastAsia="zh-CN"/>
              </w:rPr>
              <w:t>；</w:t>
            </w:r>
          </w:p>
          <w:p>
            <w:pPr>
              <w:widowControl/>
              <w:numPr>
                <w:ilvl w:val="0"/>
                <w:numId w:val="2"/>
              </w:numPr>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场地平面图。</w:t>
            </w:r>
          </w:p>
          <w:p>
            <w:pPr>
              <w:jc w:val="center"/>
              <w:rPr>
                <w:rFonts w:hint="eastAsia"/>
                <w:color w:val="auto"/>
                <w:highlight w:val="none"/>
                <w:lang w:val="en-US" w:eastAsia="zh-CN"/>
              </w:rPr>
            </w:pPr>
            <w:r>
              <w:rPr>
                <w:rFonts w:hint="eastAsia"/>
                <w:color w:val="auto"/>
                <w:highlight w:val="none"/>
                <w:lang w:val="en-US" w:eastAsia="zh-CN"/>
              </w:rPr>
              <w:drawing>
                <wp:inline distT="0" distB="0" distL="114300" distR="114300">
                  <wp:extent cx="3985260" cy="3586480"/>
                  <wp:effectExtent l="0" t="0" r="15240" b="13970"/>
                  <wp:docPr id="7" name="图片 7" descr="c5c1fb5ce23b35cd1d109f28b5689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5c1fb5ce23b35cd1d109f28b5689bc"/>
                          <pic:cNvPicPr>
                            <a:picLocks noChangeAspect="1"/>
                          </pic:cNvPicPr>
                        </pic:nvPicPr>
                        <pic:blipFill>
                          <a:blip r:embed="rId11"/>
                          <a:stretch>
                            <a:fillRect/>
                          </a:stretch>
                        </pic:blipFill>
                        <pic:spPr>
                          <a:xfrm>
                            <a:off x="0" y="0"/>
                            <a:ext cx="3985260" cy="3586480"/>
                          </a:xfrm>
                          <a:prstGeom prst="rect">
                            <a:avLst/>
                          </a:prstGeom>
                          <a:noFill/>
                          <a:ln>
                            <a:noFill/>
                          </a:ln>
                        </pic:spPr>
                      </pic:pic>
                    </a:graphicData>
                  </a:graphic>
                </wp:inline>
              </w:drawing>
            </w:r>
          </w:p>
          <w:p>
            <w:pPr>
              <w:rPr>
                <w:rFonts w:hint="eastAsia"/>
                <w:color w:val="auto"/>
                <w:highlight w:val="none"/>
                <w:lang w:val="en-US" w:eastAsia="zh-CN"/>
              </w:rPr>
            </w:pPr>
          </w:p>
          <w:p>
            <w:pPr>
              <w:jc w:val="center"/>
              <w:rPr>
                <w:rFonts w:hint="eastAsia"/>
                <w:color w:val="auto"/>
                <w:highlight w:val="none"/>
              </w:rPr>
            </w:pPr>
            <w:r>
              <w:rPr>
                <w:rFonts w:hint="eastAsia"/>
                <w:color w:val="auto"/>
                <w:highlight w:val="none"/>
                <w:lang w:val="en-US" w:eastAsia="zh-CN"/>
              </w:rPr>
              <w:drawing>
                <wp:inline distT="0" distB="0" distL="114300" distR="114300">
                  <wp:extent cx="6164580" cy="3032125"/>
                  <wp:effectExtent l="0" t="0" r="7620" b="15875"/>
                  <wp:docPr id="6" name="图片 8" descr="9922ee9e92e39a82abea6c66a6542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9922ee9e92e39a82abea6c66a65426b"/>
                          <pic:cNvPicPr>
                            <a:picLocks noChangeAspect="1"/>
                          </pic:cNvPicPr>
                        </pic:nvPicPr>
                        <pic:blipFill>
                          <a:blip r:embed="rId12"/>
                          <a:stretch>
                            <a:fillRect/>
                          </a:stretch>
                        </pic:blipFill>
                        <pic:spPr>
                          <a:xfrm>
                            <a:off x="0" y="0"/>
                            <a:ext cx="6164580" cy="3032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944"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商务及其他要求表</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▲售后服务及其他</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1、合同签订期：自中标通知书发出之日起</w:t>
            </w:r>
            <w:r>
              <w:rPr>
                <w:rFonts w:hint="eastAsia" w:ascii="宋体" w:hAnsi="宋体" w:eastAsia="宋体" w:cs="宋体"/>
                <w:color w:val="auto"/>
                <w:sz w:val="21"/>
                <w:szCs w:val="21"/>
                <w:highlight w:val="none"/>
                <w:u w:val="single"/>
              </w:rPr>
              <w:t xml:space="preserve">     25      </w:t>
            </w:r>
            <w:r>
              <w:rPr>
                <w:rFonts w:hint="eastAsia" w:ascii="宋体" w:hAnsi="宋体" w:eastAsia="宋体" w:cs="宋体"/>
                <w:color w:val="auto"/>
                <w:sz w:val="21"/>
                <w:szCs w:val="21"/>
                <w:highlight w:val="none"/>
              </w:rPr>
              <w:t>日历日内。</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2、交付使用时间：自合同签订之日起</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日内交付并安装验收完毕。</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3、交货地点：广西</w:t>
            </w:r>
            <w:r>
              <w:rPr>
                <w:rFonts w:hint="eastAsia" w:ascii="宋体" w:hAnsi="宋体" w:eastAsia="宋体" w:cs="宋体"/>
                <w:color w:val="auto"/>
                <w:sz w:val="21"/>
                <w:szCs w:val="21"/>
                <w:highlight w:val="none"/>
                <w:u w:val="single"/>
              </w:rPr>
              <w:t xml:space="preserve">     桂林市            </w:t>
            </w:r>
            <w:r>
              <w:rPr>
                <w:rFonts w:hint="eastAsia" w:ascii="宋体" w:hAnsi="宋体" w:eastAsia="宋体" w:cs="宋体"/>
                <w:color w:val="auto"/>
                <w:sz w:val="21"/>
                <w:szCs w:val="21"/>
                <w:highlight w:val="none"/>
              </w:rPr>
              <w:t>（采购人指定地点）。</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4、交货方式：现场交货。</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5、售后服务要求： </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（1）所提供的货物产品必须是未使用过的全新产品。免费送货上门，按现场条件全程免费安装调试合格，标配齐全，直至最终验收前产生的所有费用由中标供应商承担。</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（2）送达采购人指定地点的货物若产品质量存在缺陷，免费更换新产品。</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（3）家具产品质量（产品设计、制造工艺、材料缺陷）引发的费用，均由供应商承担。如家具损坏，中标供应商应迅速派员及时解决，常年备有配件，接报修通知后2小时到达现场进行维修。</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免费保修期内提供免费上门维修服务（含免费更换零部件、免人工费），并提供终身维修维护服务。所有非故意性损坏以及正常使用范围内造成的损坏均要免费维修，因人为因素出现的故障不在免费保修范围内，但中标供应商也要积极帮助采购人修理，并提供优惠价格的配件和服务。如果需要更换配件的，所更换的配件应当为原供货产品品牌、类型相一致或者是同等档次的替代品，后者需征得用户方管理人员同意；若采购人发现产品存在制造上的缺陷，投标人应负责采取补救措施，若该缺陷导致产品存在安全隐患或不能使用的，投标人应负责免费更换整件产品。</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（5）维修响应：要求7*24小时提供服务，在接到用户维修电话后2小时内到达现场修理解决，并免费更换有缺陷的货物或零部件。</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（6）在保修期内出现家具质量问题，乙方须在1天内修理好或更换，并承担全部费用。修理不好或不能更换的，予以退货，乙方应退回该家具全部货款。</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（7）质保期内定期回访并维护，每年不少于2次。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1、所供产品的规格、数量符合采购需求的规定及采购合同约定的要求。</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2、所供产品的材质、颜色符合采购需求的规定及采购合同约定的要求。</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3、所供产品的外观完好，无严重碰撞、五金件生锈等明显瑕疵。</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4、所供产品结构牢固，无安全隐患。</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5、如有抽检要求的，检测结果符合采购需求的规定及采购合同约定的要求。 </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6、所有产品均已运输至指定地点，并安装调试完毕。</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7、采购需求的规定及采购合同约定的附件、工具、技术资料等齐全；提供产品使用说明书、合格证。</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8、为保证产品品质，批量供货前需提供符合投标文件要求的产品一套进行验收，验收通过后方可批量供货，不合格采购人不予验收并有权上报相关主管部门处理。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pStyle w:val="11"/>
              <w:snapToGrid w:val="0"/>
              <w:spacing w:line="40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投标报价为采购人指定地点的现场交货价，包括：</w:t>
            </w:r>
          </w:p>
          <w:p>
            <w:pPr>
              <w:pStyle w:val="11"/>
              <w:snapToGrid w:val="0"/>
              <w:spacing w:line="40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（1）货物的价格：包括货款、随配附件、备品备件、辅助材料、专用工具、安装调试费、产品检测费、验收费；</w:t>
            </w:r>
          </w:p>
          <w:p>
            <w:pPr>
              <w:pStyle w:val="11"/>
              <w:snapToGrid w:val="0"/>
              <w:spacing w:line="40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（2）运抵指定交货地点运费、装卸、调试、培训、技术支持、售后服务费；</w:t>
            </w:r>
          </w:p>
          <w:p>
            <w:pPr>
              <w:pStyle w:val="11"/>
              <w:snapToGrid w:val="0"/>
              <w:spacing w:line="40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（3）按采购人要求进行摆放的费用；</w:t>
            </w:r>
          </w:p>
          <w:p>
            <w:pPr>
              <w:pStyle w:val="11"/>
              <w:snapToGrid w:val="0"/>
              <w:spacing w:line="40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（4）税金、管理费、利润、保险费等。</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注：投标人自行考虑完成项目所需的辅材、零配件等数量，投标报价中应包含全部内容，中标后采购人不再另行支付额外费用。供应商负责工人人身、设备安全责任，验收前，货物丢失自行负责。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中标人按合同约定交货验收合格后采购人支付合同总金额的100%（无息）。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合同签订之前，供应商按合同金额的3%向采购人交纳履约保证金，履约保证金在供应商按合同约定交货验收合格后</w:t>
            </w:r>
            <w:r>
              <w:rPr>
                <w:rFonts w:hint="eastAsia" w:ascii="宋体" w:hAnsi="宋体" w:eastAsia="宋体" w:cs="宋体"/>
                <w:b/>
                <w:bCs/>
                <w:color w:val="auto"/>
                <w:sz w:val="21"/>
                <w:szCs w:val="21"/>
                <w:highlight w:val="none"/>
              </w:rPr>
              <w:t>30个工作日</w:t>
            </w:r>
            <w:r>
              <w:rPr>
                <w:rFonts w:hint="eastAsia" w:ascii="宋体" w:hAnsi="宋体" w:eastAsia="宋体" w:cs="宋体"/>
                <w:color w:val="auto"/>
                <w:sz w:val="21"/>
                <w:szCs w:val="21"/>
                <w:highlight w:val="none"/>
              </w:rPr>
              <w:t>内无息返还。</w:t>
            </w:r>
          </w:p>
          <w:p>
            <w:pPr>
              <w:pStyle w:val="11"/>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  名： 桂林航天工业学院</w:t>
            </w:r>
          </w:p>
          <w:p>
            <w:pPr>
              <w:pStyle w:val="11"/>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 中国建设银行股份有限公司桂林高新技术开发区支行</w:t>
            </w:r>
          </w:p>
          <w:p>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 45001635207050507101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▲本项目核心</w:t>
            </w:r>
          </w:p>
          <w:p>
            <w:pPr>
              <w:ind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项号1-3货物为整套产品。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其它要求及说明</w:t>
            </w:r>
          </w:p>
        </w:tc>
        <w:tc>
          <w:tcPr>
            <w:tcW w:w="8027"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156" w:afterLines="50"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1、中标人保证向采购人提供的货物是全新、完整、未使用过的。</w:t>
            </w:r>
          </w:p>
          <w:p>
            <w:pPr>
              <w:widowControl/>
              <w:shd w:val="clear" w:color="auto" w:fill="FFFFFF"/>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2、本项目不接受进口产品（即通过中国海关报关验放进入中国境内且产自关境外的产品）参与投标，如有此类产品参与投标的做投标无效处理。</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3、家具的最终外形尺寸须根据实际布置进行调整，对有特殊的定制家具及修改的尺寸均包含在投标报价中，投标人在报价时应自行考虑，承诺不因定制或修改家具尺寸的因素而改变投标报价</w:t>
            </w:r>
            <w:r>
              <w:rPr>
                <w:rFonts w:hint="eastAsia" w:ascii="宋体" w:hAnsi="宋体" w:eastAsia="宋体" w:cs="宋体"/>
                <w:color w:val="auto"/>
                <w:sz w:val="21"/>
                <w:szCs w:val="21"/>
                <w:highlight w:val="none"/>
                <w:lang w:val="zh-CN"/>
              </w:rPr>
              <w:t>。</w:t>
            </w:r>
          </w:p>
          <w:p>
            <w:pPr>
              <w:pStyle w:val="2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rPr>
              <w:t>4、验收：</w:t>
            </w:r>
          </w:p>
          <w:p>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（1）中标人在签订合同后，先提供（</w:t>
            </w:r>
            <w:r>
              <w:rPr>
                <w:rFonts w:hint="eastAsia" w:ascii="宋体" w:hAnsi="宋体" w:eastAsia="宋体" w:cs="宋体"/>
                <w:b/>
                <w:bCs/>
                <w:color w:val="auto"/>
                <w:sz w:val="21"/>
                <w:szCs w:val="21"/>
                <w:highlight w:val="none"/>
                <w:u w:val="single"/>
              </w:rPr>
              <w:t>一套完整的所投产品</w:t>
            </w:r>
            <w:r>
              <w:rPr>
                <w:rFonts w:hint="eastAsia" w:ascii="宋体" w:hAnsi="宋体" w:eastAsia="宋体" w:cs="宋体"/>
                <w:color w:val="auto"/>
                <w:sz w:val="21"/>
                <w:szCs w:val="21"/>
                <w:highlight w:val="none"/>
              </w:rPr>
              <w:t>）至采购单位处进行检测，采购单位可聘请具有验收资质的检测部门进行检测，检测合格的产品作为验收产品的依据，费用由中标人负责。</w:t>
            </w:r>
          </w:p>
          <w:p>
            <w:pPr>
              <w:adjustRightInd w:val="0"/>
              <w:snapToGrid w:val="0"/>
              <w:spacing w:before="152" w:after="1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（2）中标人须按规定时间交货安装完毕，采购单位可聘请具有验收能力的检测部门进行验收，验收不合格按照政府采购法及相关规定执行。</w:t>
            </w:r>
          </w:p>
          <w:p>
            <w:pPr>
              <w:widowControl/>
              <w:shd w:val="clear" w:color="auto" w:fill="FFFFFF"/>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5、政策功能</w:t>
            </w:r>
            <w:r>
              <w:rPr>
                <w:rFonts w:hint="eastAsia" w:ascii="宋体" w:hAnsi="宋体" w:eastAsia="宋体" w:cs="宋体"/>
                <w:color w:val="auto"/>
                <w:sz w:val="21"/>
                <w:szCs w:val="21"/>
                <w:highlight w:val="none"/>
                <w:lang w:eastAsia="zh-CN"/>
              </w:rPr>
              <w:t>：</w:t>
            </w:r>
          </w:p>
          <w:p>
            <w:pPr>
              <w:widowControl/>
              <w:shd w:val="clear" w:color="auto" w:fill="FFFFFF"/>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严格执行（财库〔2019〕9号）及（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widowControl/>
              <w:shd w:val="clear" w:color="auto" w:fill="FFFFFF"/>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tc>
      </w:tr>
    </w:tbl>
    <w:p>
      <w:pPr>
        <w:spacing w:line="360" w:lineRule="exact"/>
        <w:ind w:left="6" w:firstLine="431"/>
        <w:rPr>
          <w:rFonts w:hint="eastAsia" w:ascii="宋体" w:hAnsi="宋体"/>
          <w:b/>
          <w:bCs/>
          <w:color w:val="auto"/>
          <w:szCs w:val="21"/>
          <w:highlight w:val="none"/>
        </w:rPr>
      </w:pPr>
    </w:p>
    <w:p>
      <w:pPr>
        <w:rPr>
          <w:rFonts w:hint="eastAsia"/>
          <w:color w:val="auto"/>
          <w:highlight w:val="none"/>
        </w:rPr>
      </w:pPr>
    </w:p>
    <w:p>
      <w:pPr>
        <w:snapToGrid w:val="0"/>
        <w:spacing w:line="400" w:lineRule="exact"/>
        <w:ind w:firstLine="421" w:firstLineChars="200"/>
        <w:rPr>
          <w:rFonts w:hint="eastAsia" w:ascii="宋体" w:hAnsi="宋体"/>
          <w:b/>
          <w:bCs/>
          <w:color w:val="auto"/>
          <w:kern w:val="0"/>
          <w:szCs w:val="21"/>
          <w:highlight w:val="none"/>
        </w:rPr>
      </w:pPr>
    </w:p>
    <w:p>
      <w:pPr>
        <w:rPr>
          <w:rFonts w:hint="eastAsia"/>
          <w:color w:val="auto"/>
          <w:highlight w:val="none"/>
        </w:rPr>
      </w:pPr>
    </w:p>
    <w:p>
      <w:pPr>
        <w:rPr>
          <w:rFonts w:hint="eastAsia"/>
          <w:color w:val="auto"/>
          <w:highlight w:val="none"/>
        </w:rPr>
      </w:pPr>
    </w:p>
    <w:p>
      <w:pPr>
        <w:pStyle w:val="9"/>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bookmarkStart w:id="2" w:name="_Toc40865022"/>
      <w:bookmarkStart w:id="3" w:name="_Toc40864906"/>
    </w:p>
    <w:p>
      <w:pPr>
        <w:pStyle w:val="9"/>
        <w:rPr>
          <w:rFonts w:hint="eastAsia"/>
          <w:color w:val="auto"/>
          <w:highlight w:val="none"/>
        </w:rPr>
      </w:pPr>
    </w:p>
    <w:p>
      <w:pPr>
        <w:rPr>
          <w:rFonts w:hint="eastAsia"/>
          <w:color w:val="auto"/>
          <w:highlight w:val="none"/>
        </w:rPr>
      </w:pPr>
    </w:p>
    <w:p>
      <w:pPr>
        <w:pStyle w:val="9"/>
        <w:rPr>
          <w:rFonts w:hint="eastAsia"/>
          <w:color w:val="auto"/>
          <w:highlight w:val="none"/>
        </w:rPr>
      </w:pPr>
    </w:p>
    <w:p>
      <w:pPr>
        <w:rPr>
          <w:rFonts w:hint="eastAsia"/>
          <w:color w:val="auto"/>
          <w:highlight w:val="none"/>
        </w:rPr>
      </w:pPr>
    </w:p>
    <w:p>
      <w:pPr>
        <w:pStyle w:val="9"/>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bookmarkEnd w:id="2"/>
    <w:bookmarkEnd w:id="3"/>
    <w:p>
      <w:pPr>
        <w:pStyle w:val="21"/>
        <w:ind w:firstLine="240"/>
        <w:rPr>
          <w:rFonts w:hint="eastAsia"/>
          <w:color w:val="auto"/>
          <w:highlight w:val="none"/>
        </w:rPr>
      </w:pPr>
    </w:p>
    <w:p>
      <w:pPr>
        <w:ind w:firstLine="3212" w:firstLineChars="1000"/>
        <w:rPr>
          <w:rFonts w:hint="eastAsia" w:ascii="仿宋_GB2312" w:hAnsi="宋体" w:eastAsia="仿宋_GB2312"/>
          <w:b/>
          <w:color w:val="auto"/>
          <w:szCs w:val="21"/>
          <w:highlight w:val="none"/>
        </w:rPr>
      </w:pPr>
      <w:r>
        <w:rPr>
          <w:rFonts w:hint="eastAsia" w:ascii="仿宋_GB2312" w:hAnsi="宋体" w:eastAsia="仿宋_GB2312"/>
          <w:b/>
          <w:color w:val="auto"/>
          <w:sz w:val="32"/>
          <w:szCs w:val="32"/>
          <w:highlight w:val="none"/>
        </w:rPr>
        <w:t>投标</w:t>
      </w:r>
      <w:bookmarkStart w:id="4" w:name="_Toc254970526"/>
      <w:bookmarkStart w:id="5" w:name="_Toc254970667"/>
      <w:r>
        <w:rPr>
          <w:rFonts w:hint="eastAsia" w:ascii="仿宋_GB2312" w:hAnsi="宋体" w:eastAsia="仿宋_GB2312"/>
          <w:b/>
          <w:color w:val="auto"/>
          <w:sz w:val="32"/>
          <w:szCs w:val="32"/>
          <w:highlight w:val="none"/>
        </w:rPr>
        <w:t>人须知及前附表</w:t>
      </w:r>
      <w:bookmarkEnd w:id="4"/>
      <w:bookmarkEnd w:id="5"/>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eastAsia="宋体" w:cs="宋体"/>
                <w:color w:val="auto"/>
                <w:sz w:val="21"/>
                <w:szCs w:val="21"/>
                <w:highlight w:val="none"/>
              </w:rPr>
              <w:t>桂林航天工业学院明志楼教室桌椅</w:t>
            </w:r>
            <w:r>
              <w:rPr>
                <w:rFonts w:hint="eastAsia" w:ascii="宋体" w:hAnsi="宋体" w:eastAsia="宋体" w:cs="宋体"/>
                <w:color w:val="auto"/>
                <w:sz w:val="21"/>
                <w:szCs w:val="21"/>
                <w:highlight w:val="none"/>
                <w:lang w:val="en-US" w:eastAsia="zh-CN"/>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bCs/>
                <w:color w:val="auto"/>
                <w:highlight w:val="none"/>
              </w:rPr>
            </w:pPr>
            <w:r>
              <w:rPr>
                <w:rFonts w:hint="eastAsia"/>
                <w:bCs/>
                <w:color w:val="auto"/>
                <w:highlight w:val="none"/>
              </w:rPr>
              <w:t>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bCs/>
                <w:color w:val="auto"/>
                <w:highlight w:val="none"/>
                <w:u w:val="single"/>
              </w:rPr>
            </w:pPr>
            <w:r>
              <w:rPr>
                <w:rFonts w:hint="eastAsia"/>
                <w:bCs/>
                <w:color w:val="auto"/>
                <w:highlight w:val="none"/>
              </w:rPr>
              <w:t>投标保证金（人民币）</w:t>
            </w:r>
            <w:r>
              <w:rPr>
                <w:rFonts w:hint="eastAsia"/>
                <w:bCs/>
                <w:color w:val="auto"/>
                <w:highlight w:val="none"/>
                <w:u w:val="single"/>
              </w:rPr>
              <w:t xml:space="preserve">      详见“第一章公开招标公告” 。 </w:t>
            </w:r>
          </w:p>
          <w:p>
            <w:pPr>
              <w:snapToGrid w:val="0"/>
              <w:spacing w:line="380" w:lineRule="exact"/>
              <w:rPr>
                <w:rFonts w:hint="eastAsia"/>
                <w:bCs/>
                <w:color w:val="auto"/>
                <w:highlight w:val="none"/>
              </w:rPr>
            </w:pPr>
            <w:r>
              <w:rPr>
                <w:rFonts w:hint="eastAsia"/>
                <w:bCs/>
                <w:color w:val="auto"/>
                <w:highlight w:val="none"/>
              </w:rPr>
              <w:t>实际交纳的保证金按上述要求，否则视为未交纳保证金。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bCs/>
                <w:color w:val="auto"/>
                <w:highlight w:val="none"/>
              </w:rPr>
            </w:pPr>
            <w:r>
              <w:rPr>
                <w:rFonts w:hint="eastAsia"/>
                <w:bCs/>
                <w:color w:val="auto"/>
                <w:highlight w:val="none"/>
              </w:rPr>
              <w:t>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b/>
                <w:bCs/>
                <w:color w:val="auto"/>
                <w:highlight w:val="none"/>
              </w:rPr>
            </w:pPr>
            <w:r>
              <w:rPr>
                <w:rFonts w:hint="eastAsia" w:ascii="宋体" w:hAnsi="宋体"/>
                <w:b/>
                <w:color w:val="auto"/>
                <w:szCs w:val="21"/>
                <w:highlight w:val="none"/>
              </w:rPr>
              <w:t>现场勘查：</w:t>
            </w:r>
            <w:r>
              <w:rPr>
                <w:rFonts w:hint="eastAsia" w:ascii="宋体" w:hAnsi="宋体"/>
                <w:b/>
                <w:color w:val="auto"/>
                <w:szCs w:val="21"/>
                <w:highlight w:val="none"/>
                <w:u w:val="single"/>
              </w:rPr>
              <w:t xml:space="preserve">      详见“第二章招标项目采购需求 ”（如有）          </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演示时间及地点：</w:t>
            </w:r>
            <w:r>
              <w:rPr>
                <w:rFonts w:hint="eastAsia" w:ascii="宋体" w:hAnsi="宋体"/>
                <w:b/>
                <w:color w:val="auto"/>
                <w:szCs w:val="21"/>
                <w:highlight w:val="none"/>
                <w:u w:val="single"/>
              </w:rPr>
              <w:t xml:space="preserve">        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hAnsi="宋体"/>
                <w:color w:val="auto"/>
                <w:szCs w:val="21"/>
                <w:highlight w:val="none"/>
              </w:rPr>
            </w:pPr>
            <w:r>
              <w:rPr>
                <w:rFonts w:hint="eastAsia" w:hAnsi="宋体"/>
                <w:color w:val="auto"/>
                <w:szCs w:val="21"/>
                <w:highlight w:val="none"/>
              </w:rPr>
              <w:t>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hAnsi="宋体"/>
                <w:color w:val="auto"/>
                <w:szCs w:val="21"/>
                <w:highlight w:val="none"/>
              </w:rPr>
            </w:pPr>
            <w:r>
              <w:rPr>
                <w:rFonts w:hint="eastAsia" w:hAnsi="宋体"/>
                <w:color w:val="auto"/>
                <w:szCs w:val="21"/>
                <w:highlight w:val="none"/>
                <w:lang w:eastAsia="zh-CN"/>
              </w:rPr>
              <w:t>（</w:t>
            </w:r>
            <w:r>
              <w:rPr>
                <w:rFonts w:hint="eastAsia" w:hAnsi="宋体"/>
                <w:color w:val="auto"/>
                <w:szCs w:val="21"/>
                <w:highlight w:val="none"/>
                <w:lang w:val="en-US" w:eastAsia="zh-CN"/>
              </w:rPr>
              <w:t>1</w:t>
            </w:r>
            <w:r>
              <w:rPr>
                <w:rFonts w:hint="eastAsia" w:hAnsi="宋体"/>
                <w:color w:val="auto"/>
                <w:szCs w:val="21"/>
                <w:highlight w:val="none"/>
                <w:lang w:eastAsia="zh-CN"/>
              </w:rPr>
              <w:t>）</w:t>
            </w:r>
            <w:r>
              <w:rPr>
                <w:rFonts w:hint="eastAsia" w:hAnsi="宋体"/>
                <w:color w:val="auto"/>
                <w:szCs w:val="21"/>
                <w:highlight w:val="none"/>
              </w:rPr>
              <w:t>答疑、澄清：如投标人认为招标文件表述不清晰、有误或有不合理要求的，应当以书面形式要求采购人或者本中心作出书面答疑、澄清；</w:t>
            </w:r>
          </w:p>
          <w:p>
            <w:pPr>
              <w:snapToGrid w:val="0"/>
              <w:spacing w:line="320" w:lineRule="exact"/>
              <w:rPr>
                <w:rFonts w:hint="eastAsia" w:hAnsi="宋体"/>
                <w:color w:val="auto"/>
                <w:szCs w:val="21"/>
                <w:highlight w:val="none"/>
              </w:rPr>
            </w:pPr>
            <w:r>
              <w:rPr>
                <w:rFonts w:hint="eastAsia" w:hAnsi="宋体"/>
                <w:color w:val="auto"/>
                <w:szCs w:val="21"/>
                <w:highlight w:val="none"/>
              </w:rPr>
              <w:t>（2）询问、质疑：如投标人对政府采购活动事项有疑问或认为招标文件、采购过程和中标结果使其权益受到损害的，按投标人须知“一、总则（九）询问、质疑和投诉”中的要求向采购人或者采购代理机构提出书面询问、质疑，并提供必要的证明材料。</w:t>
            </w:r>
          </w:p>
          <w:p>
            <w:pPr>
              <w:snapToGrid w:val="0"/>
              <w:spacing w:line="320" w:lineRule="exact"/>
              <w:rPr>
                <w:rFonts w:hint="eastAsia" w:hAnsi="宋体"/>
                <w:color w:val="auto"/>
                <w:szCs w:val="21"/>
                <w:highlight w:val="none"/>
              </w:rPr>
            </w:pPr>
            <w:r>
              <w:rPr>
                <w:rFonts w:hint="eastAsia" w:hAnsi="宋体"/>
                <w:color w:val="auto"/>
                <w:szCs w:val="21"/>
                <w:highlight w:val="none"/>
              </w:rPr>
              <w:t>答疑、澄清内容是招标文件的组成部份，本中心将以书面形式送达所有已报名的投标人。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snapToGrid w:val="0"/>
                <w:color w:val="auto"/>
                <w:sz w:val="22"/>
                <w:highlight w:val="none"/>
              </w:rPr>
            </w:pPr>
            <w:r>
              <w:rPr>
                <w:rFonts w:hint="eastAsia" w:ascii="宋体" w:hAnsi="宋体"/>
                <w:color w:val="auto"/>
                <w:szCs w:val="21"/>
                <w:highlight w:val="none"/>
              </w:rPr>
              <w:t>投标文件形式：</w:t>
            </w:r>
            <w:r>
              <w:rPr>
                <w:rFonts w:hint="eastAsia" w:ascii="宋体"/>
                <w:snapToGrid w:val="0"/>
                <w:color w:val="auto"/>
                <w:sz w:val="22"/>
                <w:highlight w:val="none"/>
              </w:rPr>
              <w:t>投标供应商应准备电子投标文件。</w:t>
            </w:r>
          </w:p>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snapToGrid w:val="0"/>
                <w:color w:val="auto"/>
                <w:sz w:val="22"/>
                <w:highlight w:val="none"/>
              </w:rPr>
              <w:t>电子投标文件是指通过“</w:t>
            </w:r>
            <w:r>
              <w:rPr>
                <w:rFonts w:ascii="宋体"/>
                <w:snapToGrid w:val="0"/>
                <w:color w:val="auto"/>
                <w:sz w:val="22"/>
                <w:highlight w:val="none"/>
                <w:lang w:val="en"/>
              </w:rPr>
              <w:t>广西政府采购云</w:t>
            </w:r>
            <w:r>
              <w:rPr>
                <w:color w:val="auto"/>
                <w:highlight w:val="none"/>
              </w:rPr>
              <w:t>电子投标</w:t>
            </w:r>
            <w:r>
              <w:rPr>
                <w:rFonts w:hint="eastAsia" w:ascii="宋体"/>
                <w:snapToGrid w:val="0"/>
                <w:color w:val="auto"/>
                <w:sz w:val="22"/>
                <w:highlight w:val="none"/>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法定代表人或其授权代表</w:t>
            </w:r>
            <w:r>
              <w:rPr>
                <w:rFonts w:hint="eastAsia" w:ascii="宋体"/>
                <w:snapToGrid w:val="0"/>
                <w:color w:val="auto"/>
                <w:sz w:val="22"/>
                <w:highlight w:val="none"/>
                <w:lang w:eastAsia="zh-CN"/>
              </w:rPr>
              <w:t>签字或签章</w:t>
            </w:r>
            <w:r>
              <w:rPr>
                <w:rFonts w:hint="eastAsia" w:ascii="宋体"/>
                <w:snapToGrid w:val="0"/>
                <w:color w:val="auto"/>
                <w:sz w:val="22"/>
                <w:highlight w:val="none"/>
              </w:rPr>
              <w:t>：本招标文件所涉及的法定代表人或其授权代表</w:t>
            </w:r>
            <w:r>
              <w:rPr>
                <w:rFonts w:hint="eastAsia" w:ascii="宋体"/>
                <w:snapToGrid w:val="0"/>
                <w:color w:val="auto"/>
                <w:sz w:val="22"/>
                <w:highlight w:val="none"/>
                <w:lang w:eastAsia="zh-CN"/>
              </w:rPr>
              <w:t>签字或签章</w:t>
            </w:r>
            <w:r>
              <w:rPr>
                <w:rFonts w:hint="eastAsia" w:ascii="宋体"/>
                <w:snapToGrid w:val="0"/>
                <w:color w:val="auto"/>
                <w:sz w:val="22"/>
                <w:highlight w:val="none"/>
              </w:rPr>
              <w:t>的内容，如果投标单位没有法定代表人电子签章，涉及到法定代表人或其授权代表</w:t>
            </w:r>
            <w:r>
              <w:rPr>
                <w:rFonts w:hint="eastAsia" w:ascii="宋体"/>
                <w:snapToGrid w:val="0"/>
                <w:color w:val="auto"/>
                <w:sz w:val="22"/>
                <w:highlight w:val="none"/>
                <w:lang w:eastAsia="zh-CN"/>
              </w:rPr>
              <w:t>签字或签章</w:t>
            </w:r>
            <w:r>
              <w:rPr>
                <w:rFonts w:hint="eastAsia" w:ascii="宋体"/>
                <w:snapToGrid w:val="0"/>
                <w:color w:val="auto"/>
                <w:sz w:val="22"/>
                <w:highlight w:val="none"/>
              </w:rPr>
              <w:t>的内容，投标单位可以线下</w:t>
            </w:r>
            <w:r>
              <w:rPr>
                <w:rFonts w:hint="eastAsia" w:ascii="宋体"/>
                <w:snapToGrid w:val="0"/>
                <w:color w:val="auto"/>
                <w:sz w:val="22"/>
                <w:highlight w:val="none"/>
                <w:lang w:eastAsia="zh-CN"/>
              </w:rPr>
              <w:t>签字或签章</w:t>
            </w:r>
            <w:r>
              <w:rPr>
                <w:rFonts w:hint="eastAsia" w:ascii="宋体"/>
                <w:snapToGrid w:val="0"/>
                <w:color w:val="auto"/>
                <w:sz w:val="22"/>
                <w:highlight w:val="none"/>
              </w:rPr>
              <w:t>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snapToGrid w:val="0"/>
                <w:color w:val="auto"/>
                <w:sz w:val="22"/>
                <w:highlight w:val="none"/>
              </w:rPr>
            </w:pPr>
            <w:r>
              <w:rPr>
                <w:rFonts w:hint="eastAsia" w:ascii="宋体"/>
                <w:snapToGrid w:val="0"/>
                <w:color w:val="auto"/>
                <w:sz w:val="22"/>
                <w:highlight w:val="none"/>
              </w:rPr>
              <w:t>投标文件的上传和提交：本项目通过“广西政府采购云平台（https://www.gcy.zfcg.gxzf.gov.cn）</w:t>
            </w:r>
            <w:r>
              <w:rPr>
                <w:rFonts w:ascii="宋体"/>
                <w:snapToGrid w:val="0"/>
                <w:color w:val="auto"/>
                <w:sz w:val="22"/>
                <w:highlight w:val="none"/>
              </w:rPr>
              <w:t>”实行在线投标响应（电子投标），投标供应商应当在投标截止时间前，将生成的“电子加密投标文件”上传提交至“</w:t>
            </w:r>
            <w:r>
              <w:rPr>
                <w:rFonts w:hint="eastAsia" w:ascii="宋体"/>
                <w:snapToGrid w:val="0"/>
                <w:color w:val="auto"/>
                <w:sz w:val="22"/>
                <w:highlight w:val="none"/>
              </w:rPr>
              <w:t>广西政府采购云平台</w:t>
            </w:r>
            <w:r>
              <w:rPr>
                <w:rFonts w:ascii="宋体"/>
                <w:snapToGrid w:val="0"/>
                <w:color w:val="auto"/>
                <w:sz w:val="22"/>
                <w:highlight w:val="none"/>
              </w:rPr>
              <w:t>”。</w:t>
            </w:r>
          </w:p>
          <w:p>
            <w:pPr>
              <w:spacing w:line="300" w:lineRule="exact"/>
              <w:jc w:val="left"/>
              <w:rPr>
                <w:rFonts w:ascii="宋体"/>
                <w:snapToGrid w:val="0"/>
                <w:color w:val="auto"/>
                <w:sz w:val="22"/>
                <w:highlight w:val="none"/>
              </w:rPr>
            </w:pPr>
            <w:r>
              <w:rPr>
                <w:rFonts w:hint="eastAsia" w:ascii="宋体"/>
                <w:snapToGrid w:val="0"/>
                <w:color w:val="auto"/>
                <w:sz w:val="22"/>
                <w:highlight w:val="none"/>
              </w:rPr>
              <w:t>“电子加密投标文件”的上传、提交：</w:t>
            </w:r>
          </w:p>
          <w:p>
            <w:pPr>
              <w:spacing w:line="300" w:lineRule="exact"/>
              <w:rPr>
                <w:rFonts w:ascii="宋体"/>
                <w:snapToGrid w:val="0"/>
                <w:color w:val="auto"/>
                <w:sz w:val="22"/>
                <w:highlight w:val="none"/>
              </w:rPr>
            </w:pPr>
            <w:r>
              <w:rPr>
                <w:rFonts w:hint="eastAsia" w:ascii="宋体"/>
                <w:snapToGrid w:val="0"/>
                <w:color w:val="auto"/>
                <w:sz w:val="22"/>
                <w:highlight w:val="none"/>
              </w:rPr>
              <w:t>a.投标供应商应在投标截止时间前将“电子加密投标文件”成功上传提交至“广西政府采购云平台”，否则投标无效。</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电子加密投标文件的解密：</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投标截止时间及地点：</w:t>
            </w:r>
            <w:r>
              <w:rPr>
                <w:b/>
                <w:color w:val="auto"/>
                <w:highlight w:val="none"/>
                <w:u w:val="single"/>
              </w:rPr>
              <w:t xml:space="preserve"> </w:t>
            </w:r>
            <w:r>
              <w:rPr>
                <w:b/>
                <w:color w:val="auto"/>
                <w:highlight w:val="none"/>
                <w:u w:val="single"/>
                <w:lang w:val="en"/>
              </w:rPr>
              <w:t>202</w:t>
            </w:r>
            <w:r>
              <w:rPr>
                <w:rFonts w:hint="eastAsia"/>
                <w:b/>
                <w:color w:val="auto"/>
                <w:highlight w:val="none"/>
                <w:u w:val="single"/>
              </w:rPr>
              <w:t>5年   月    日</w:t>
            </w:r>
            <w:r>
              <w:rPr>
                <w:rFonts w:hint="eastAsia"/>
                <w:b/>
                <w:color w:val="auto"/>
                <w:highlight w:val="none"/>
              </w:rPr>
              <w:t>上午10时整，广西壮族自治区南宁市青秀区星湖路22号K304-01,02,03广西壮族自治区政府采购中心开标室</w:t>
            </w:r>
            <w:r>
              <w:rPr>
                <w:rFonts w:hint="eastAsia"/>
                <w:b/>
                <w:color w:val="auto"/>
                <w:highlight w:val="none"/>
                <w:u w:val="single"/>
              </w:rPr>
              <w:t>。</w:t>
            </w:r>
            <w:r>
              <w:rPr>
                <w:rFonts w:hint="eastAsia"/>
                <w:b/>
                <w:color w:val="auto"/>
                <w:highlight w:val="none"/>
              </w:rPr>
              <w:t>（</w:t>
            </w:r>
            <w:r>
              <w:rPr>
                <w:rFonts w:hint="eastAsia" w:ascii="宋体"/>
                <w:color w:val="auto"/>
                <w:sz w:val="22"/>
                <w:highlight w:val="none"/>
              </w:rPr>
              <w:t>本项目采用在线开评标方式，投标供应商无须前往开标现场</w:t>
            </w: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开标时间及地点：</w:t>
            </w:r>
            <w:r>
              <w:rPr>
                <w:rFonts w:ascii="宋体"/>
                <w:b/>
                <w:color w:val="auto"/>
                <w:highlight w:val="none"/>
                <w:u w:val="single"/>
                <w:lang w:val="en"/>
              </w:rPr>
              <w:t>202</w:t>
            </w:r>
            <w:r>
              <w:rPr>
                <w:rFonts w:hint="eastAsia" w:ascii="宋体"/>
                <w:b/>
                <w:color w:val="auto"/>
                <w:highlight w:val="none"/>
                <w:u w:val="single"/>
              </w:rPr>
              <w:t>5</w:t>
            </w:r>
            <w:r>
              <w:rPr>
                <w:rFonts w:hint="eastAsia"/>
                <w:b/>
                <w:color w:val="auto"/>
                <w:highlight w:val="none"/>
                <w:u w:val="single"/>
              </w:rPr>
              <w:t>年  月   日</w:t>
            </w:r>
            <w:r>
              <w:rPr>
                <w:rFonts w:hint="eastAsia"/>
                <w:b/>
                <w:color w:val="auto"/>
                <w:highlight w:val="none"/>
              </w:rPr>
              <w:t>上午10时整，</w:t>
            </w:r>
            <w:r>
              <w:rPr>
                <w:rFonts w:hint="eastAsia"/>
                <w:b/>
                <w:color w:val="auto"/>
                <w:highlight w:val="none"/>
                <w:u w:val="single"/>
              </w:rPr>
              <w:t>广西壮族自治区南宁市青秀区星湖路22号K304-01,02,03广西壮族自治区政府采购中心开标室。（</w:t>
            </w:r>
            <w:r>
              <w:rPr>
                <w:rFonts w:hint="eastAsia" w:ascii="宋体"/>
                <w:color w:val="auto"/>
                <w:sz w:val="22"/>
                <w:highlight w:val="none"/>
              </w:rPr>
              <w:t>本项目采用在线开评标方式，投标供应商无须前往开标现场</w:t>
            </w:r>
            <w:r>
              <w:rPr>
                <w:rFonts w:hint="eastAsia"/>
                <w:b/>
                <w:color w:val="auto"/>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评标方法及评定标准：</w:t>
            </w:r>
            <w:r>
              <w:rPr>
                <w:rFonts w:hint="eastAsia" w:ascii="宋体" w:hAnsi="宋体"/>
                <w:b/>
                <w:bCs/>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exact"/>
              <w:textAlignment w:val="bottom"/>
              <w:rPr>
                <w:rFonts w:hint="eastAsia" w:ascii="宋体" w:hAnsi="宋体"/>
                <w:color w:val="auto"/>
                <w:szCs w:val="21"/>
                <w:highlight w:val="none"/>
              </w:rPr>
            </w:pPr>
            <w:r>
              <w:rPr>
                <w:rFonts w:hint="eastAsia" w:ascii="宋体" w:hAnsi="宋体"/>
                <w:color w:val="auto"/>
                <w:szCs w:val="21"/>
                <w:highlight w:val="none"/>
              </w:rPr>
              <w:t>中标公告及中标通知书：本中心</w:t>
            </w:r>
            <w:r>
              <w:rPr>
                <w:rFonts w:hint="eastAsia" w:ascii="宋体" w:hAnsi="宋体"/>
                <w:b/>
                <w:bCs/>
                <w:color w:val="auto"/>
                <w:szCs w:val="21"/>
                <w:highlight w:val="none"/>
              </w:rPr>
              <w:t>在采购人依法确认中标人后二个工作日内</w:t>
            </w:r>
            <w:r>
              <w:rPr>
                <w:rFonts w:hint="eastAsia" w:ascii="宋体" w:hAnsi="宋体"/>
                <w:color w:val="auto"/>
                <w:szCs w:val="21"/>
                <w:highlight w:val="none"/>
              </w:rPr>
              <w:t>发布中标公告和中标通知书，中标公告发布于上述媒体</w:t>
            </w:r>
            <w:r>
              <w:rPr>
                <w:rFonts w:hint="eastAsia" w:ascii="宋体" w:hAnsi="宋体" w:cs="Courier New"/>
                <w:color w:val="auto"/>
                <w:szCs w:val="21"/>
                <w:highlight w:val="none"/>
              </w:rPr>
              <w:t>（详细见公告中公布的网站）</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kern w:val="0"/>
                <w:szCs w:val="21"/>
                <w:highlight w:val="none"/>
              </w:rPr>
            </w:pPr>
            <w:r>
              <w:rPr>
                <w:rFonts w:hint="eastAsia" w:ascii="宋体" w:hAnsi="宋体"/>
                <w:color w:val="auto"/>
                <w:szCs w:val="21"/>
                <w:highlight w:val="none"/>
              </w:rPr>
              <w:t>付款方式：</w:t>
            </w:r>
            <w:r>
              <w:rPr>
                <w:rFonts w:hint="eastAsia" w:ascii="宋体" w:hAnsi="宋体" w:cs="宋体"/>
                <w:color w:val="auto"/>
                <w:kern w:val="0"/>
                <w:szCs w:val="21"/>
                <w:highlight w:val="none"/>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b/>
                <w:bCs/>
                <w:color w:val="auto"/>
                <w:szCs w:val="21"/>
                <w:highlight w:val="none"/>
              </w:rPr>
              <w:t>投标文件有效期：</w:t>
            </w:r>
            <w:r>
              <w:rPr>
                <w:rFonts w:hint="eastAsia" w:ascii="宋体" w:hAnsi="宋体" w:cs="Arial"/>
                <w:b/>
                <w:bCs/>
                <w:color w:val="auto"/>
                <w:szCs w:val="21"/>
                <w:highlight w:val="none"/>
                <w:u w:val="single"/>
              </w:rPr>
              <w:t xml:space="preserve"> 六十日</w:t>
            </w:r>
            <w:r>
              <w:rPr>
                <w:rFonts w:hint="eastAsia" w:ascii="宋体" w:hAnsi="宋体" w:cs="Arial"/>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restart"/>
            <w:tcBorders>
              <w:top w:val="single" w:color="auto" w:sz="4" w:space="0"/>
              <w:left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21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bCs/>
                <w:color w:val="auto"/>
                <w:szCs w:val="21"/>
                <w:highlight w:val="none"/>
              </w:rPr>
            </w:pPr>
            <w:r>
              <w:rPr>
                <w:rFonts w:hint="eastAsia" w:ascii="宋体" w:hAnsi="宋体"/>
                <w:b/>
                <w:bCs/>
                <w:color w:val="auto"/>
                <w:szCs w:val="21"/>
                <w:highlight w:val="none"/>
              </w:rPr>
              <w:t>对采购文件、采购过程或者中标（成交）结果的质疑由采购人接收或采购代理机构代为接收，由采购人负责答复。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bCs/>
                <w:color w:val="auto"/>
                <w:szCs w:val="21"/>
                <w:highlight w:val="none"/>
              </w:rPr>
            </w:pPr>
            <w:r>
              <w:rPr>
                <w:rFonts w:hint="eastAsia" w:ascii="宋体" w:hAnsi="宋体"/>
                <w:color w:val="auto"/>
                <w:szCs w:val="21"/>
                <w:highlight w:val="none"/>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质疑联系部门及联系方式：</w:t>
            </w:r>
          </w:p>
          <w:p>
            <w:pPr>
              <w:snapToGrid w:val="0"/>
              <w:spacing w:line="360" w:lineRule="exact"/>
              <w:rPr>
                <w:rFonts w:hint="eastAsia"/>
                <w:color w:val="auto"/>
                <w:highlight w:val="none"/>
              </w:rPr>
            </w:pPr>
            <w:r>
              <w:rPr>
                <w:rFonts w:hint="eastAsia"/>
                <w:color w:val="auto"/>
                <w:highlight w:val="none"/>
              </w:rPr>
              <w:t xml:space="preserve">（1）广西壮族自治区政府采购中心内审科     </w:t>
            </w:r>
          </w:p>
          <w:p>
            <w:pPr>
              <w:snapToGrid w:val="0"/>
              <w:spacing w:line="360" w:lineRule="exact"/>
              <w:ind w:firstLine="420" w:firstLineChars="200"/>
              <w:rPr>
                <w:rFonts w:hint="eastAsia"/>
                <w:color w:val="auto"/>
                <w:highlight w:val="none"/>
              </w:rPr>
            </w:pPr>
            <w:r>
              <w:rPr>
                <w:rFonts w:hint="eastAsia"/>
                <w:color w:val="auto"/>
                <w:highlight w:val="none"/>
              </w:rPr>
              <w:t>电话：0771-8600453</w:t>
            </w:r>
          </w:p>
          <w:p>
            <w:pPr>
              <w:snapToGrid w:val="0"/>
              <w:spacing w:line="360" w:lineRule="exact"/>
              <w:ind w:firstLine="420" w:firstLineChars="200"/>
              <w:rPr>
                <w:rFonts w:hint="eastAsia"/>
                <w:color w:val="auto"/>
                <w:highlight w:val="none"/>
              </w:rPr>
            </w:pPr>
            <w:r>
              <w:rPr>
                <w:rFonts w:hint="eastAsia"/>
                <w:color w:val="auto"/>
                <w:highlight w:val="none"/>
              </w:rPr>
              <w:t>地址：广西南宁市星湖路22号</w:t>
            </w:r>
          </w:p>
          <w:p>
            <w:pPr>
              <w:snapToGrid w:val="0"/>
              <w:spacing w:line="360" w:lineRule="exact"/>
              <w:rPr>
                <w:color w:val="auto"/>
                <w:highlight w:val="none"/>
                <w:lang w:val="en"/>
              </w:rPr>
            </w:pPr>
            <w:r>
              <w:rPr>
                <w:rFonts w:hint="eastAsia"/>
                <w:color w:val="auto"/>
                <w:highlight w:val="none"/>
              </w:rPr>
              <w:t>（2）桂林航天工业学院</w:t>
            </w:r>
          </w:p>
          <w:p>
            <w:pPr>
              <w:snapToGrid w:val="0"/>
              <w:spacing w:line="360" w:lineRule="exact"/>
              <w:ind w:firstLine="420" w:firstLineChars="200"/>
              <w:rPr>
                <w:rFonts w:hint="eastAsia"/>
                <w:color w:val="auto"/>
                <w:highlight w:val="none"/>
              </w:rPr>
            </w:pPr>
            <w:r>
              <w:rPr>
                <w:rFonts w:hint="eastAsia"/>
                <w:color w:val="auto"/>
                <w:highlight w:val="none"/>
              </w:rPr>
              <w:t>电话： 0773-6796677</w:t>
            </w:r>
          </w:p>
          <w:p>
            <w:pPr>
              <w:snapToGrid w:val="0"/>
              <w:spacing w:line="360" w:lineRule="exact"/>
              <w:ind w:firstLine="420" w:firstLineChars="200"/>
              <w:rPr>
                <w:rFonts w:hint="eastAsia"/>
                <w:color w:val="auto"/>
                <w:highlight w:val="none"/>
              </w:rPr>
            </w:pPr>
            <w:r>
              <w:rPr>
                <w:rFonts w:hint="eastAsia"/>
                <w:color w:val="auto"/>
                <w:highlight w:val="none"/>
              </w:rPr>
              <w:t>地址：</w:t>
            </w:r>
            <w:r>
              <w:rPr>
                <w:rFonts w:hint="eastAsia" w:hAnsi="宋体"/>
                <w:b w:val="0"/>
                <w:color w:val="auto"/>
                <w:highlight w:val="none"/>
                <w:lang w:val="en-US" w:eastAsia="zh-CN"/>
              </w:rPr>
              <w:t>桂林市金鸡路2号</w:t>
            </w:r>
          </w:p>
          <w:p>
            <w:pPr>
              <w:pStyle w:val="21"/>
              <w:ind w:firstLine="240"/>
              <w:rPr>
                <w:rFonts w:hint="eastAsia"/>
                <w:color w:val="auto"/>
                <w:highlight w:val="none"/>
              </w:rPr>
            </w:pPr>
            <w:r>
              <w:rPr>
                <w:rFonts w:hint="eastAsia" w:ascii="Times New Roman" w:hAnsi="宋体" w:eastAsia="宋体" w:cs="Times New Roman"/>
                <w:b w:val="0"/>
                <w:color w:val="auto"/>
                <w:kern w:val="2"/>
                <w:sz w:val="21"/>
                <w:szCs w:val="24"/>
                <w:highlight w:val="none"/>
                <w:lang w:val="en-US" w:eastAsia="zh-CN" w:bidi="ar-SA"/>
              </w:rPr>
              <w:t xml:space="preserve">  现场提交质疑办理业务时间：质疑期内每个工作日采购人或采购代理机构正常工作时间（其中采购代理机构为9：00到12：00，14：00到17：00）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hAnsi="宋体"/>
                <w:color w:val="auto"/>
                <w:highlight w:val="none"/>
              </w:rPr>
              <w:t>本招标文件解释权属广西壮族自治区政府采购中心。</w:t>
            </w:r>
          </w:p>
        </w:tc>
      </w:tr>
    </w:tbl>
    <w:p>
      <w:pPr>
        <w:pStyle w:val="11"/>
        <w:snapToGrid w:val="0"/>
        <w:spacing w:before="120" w:after="120" w:line="360" w:lineRule="exact"/>
        <w:jc w:val="center"/>
        <w:rPr>
          <w:rFonts w:hint="eastAsia" w:ascii="仿宋_GB2312" w:hAnsi="宋体" w:eastAsia="仿宋_GB2312"/>
          <w:b/>
          <w:color w:val="auto"/>
          <w:sz w:val="32"/>
          <w:szCs w:val="32"/>
          <w:highlight w:val="none"/>
        </w:rPr>
      </w:pPr>
    </w:p>
    <w:p>
      <w:pPr>
        <w:pStyle w:val="11"/>
        <w:snapToGrid w:val="0"/>
        <w:spacing w:before="120" w:after="120" w:line="360" w:lineRule="exact"/>
        <w:jc w:val="center"/>
        <w:rPr>
          <w:rFonts w:hint="eastAsia" w:ascii="仿宋_GB2312" w:hAnsi="宋体" w:eastAsia="仿宋_GB2312"/>
          <w:b/>
          <w:color w:val="auto"/>
          <w:sz w:val="32"/>
          <w:szCs w:val="32"/>
          <w:highlight w:val="none"/>
        </w:rPr>
      </w:pPr>
    </w:p>
    <w:p>
      <w:pPr>
        <w:pStyle w:val="11"/>
        <w:snapToGrid w:val="0"/>
        <w:spacing w:before="120" w:after="120" w:line="360" w:lineRule="exact"/>
        <w:jc w:val="center"/>
        <w:rPr>
          <w:rFonts w:hint="eastAsia" w:ascii="仿宋_GB2312" w:hAnsi="宋体" w:eastAsia="仿宋_GB2312"/>
          <w:b/>
          <w:color w:val="auto"/>
          <w:sz w:val="32"/>
          <w:szCs w:val="32"/>
          <w:highlight w:val="none"/>
        </w:rPr>
      </w:pPr>
    </w:p>
    <w:p>
      <w:pPr>
        <w:rPr>
          <w:rFonts w:hint="eastAsia" w:ascii="仿宋_GB2312" w:hAnsi="宋体" w:eastAsia="仿宋_GB2312"/>
          <w:b/>
          <w:color w:val="auto"/>
          <w:sz w:val="32"/>
          <w:szCs w:val="32"/>
          <w:highlight w:val="none"/>
        </w:rPr>
      </w:pPr>
    </w:p>
    <w:p>
      <w:pPr>
        <w:pStyle w:val="9"/>
        <w:rPr>
          <w:rFonts w:hint="eastAsia" w:ascii="仿宋_GB2312" w:hAnsi="宋体" w:eastAsia="仿宋_GB2312"/>
          <w:b/>
          <w:color w:val="auto"/>
          <w:sz w:val="32"/>
          <w:szCs w:val="32"/>
          <w:highlight w:val="none"/>
        </w:rPr>
      </w:pPr>
    </w:p>
    <w:p>
      <w:pPr>
        <w:rPr>
          <w:rFonts w:hint="eastAsia" w:ascii="仿宋_GB2312" w:hAnsi="宋体" w:eastAsia="仿宋_GB2312"/>
          <w:b/>
          <w:color w:val="auto"/>
          <w:sz w:val="32"/>
          <w:szCs w:val="32"/>
          <w:highlight w:val="none"/>
        </w:rPr>
      </w:pPr>
    </w:p>
    <w:p>
      <w:pPr>
        <w:pStyle w:val="9"/>
        <w:rPr>
          <w:rFonts w:hint="eastAsia" w:ascii="仿宋_GB2312" w:hAnsi="宋体" w:eastAsia="仿宋_GB2312"/>
          <w:b/>
          <w:color w:val="auto"/>
          <w:sz w:val="32"/>
          <w:szCs w:val="32"/>
          <w:highlight w:val="none"/>
        </w:rPr>
      </w:pPr>
    </w:p>
    <w:p>
      <w:pPr>
        <w:rPr>
          <w:rFonts w:hint="eastAsia" w:ascii="仿宋_GB2312" w:hAnsi="宋体" w:eastAsia="仿宋_GB2312"/>
          <w:b/>
          <w:color w:val="auto"/>
          <w:sz w:val="32"/>
          <w:szCs w:val="32"/>
          <w:highlight w:val="none"/>
        </w:rPr>
      </w:pPr>
    </w:p>
    <w:p>
      <w:pPr>
        <w:pStyle w:val="9"/>
        <w:rPr>
          <w:rFonts w:hint="eastAsia" w:ascii="仿宋_GB2312" w:hAnsi="宋体" w:eastAsia="仿宋_GB2312"/>
          <w:b/>
          <w:color w:val="auto"/>
          <w:sz w:val="32"/>
          <w:szCs w:val="32"/>
          <w:highlight w:val="none"/>
        </w:rPr>
      </w:pPr>
    </w:p>
    <w:p>
      <w:pPr>
        <w:pStyle w:val="11"/>
        <w:snapToGrid w:val="0"/>
        <w:spacing w:before="120" w:after="120" w:line="360" w:lineRule="exact"/>
        <w:jc w:val="center"/>
        <w:rPr>
          <w:rFonts w:hint="eastAsia" w:hAnsi="宋体"/>
          <w:b/>
          <w:color w:val="auto"/>
          <w:highlight w:val="none"/>
        </w:rPr>
      </w:pPr>
      <w:r>
        <w:rPr>
          <w:rFonts w:hint="eastAsia" w:ascii="仿宋_GB2312" w:hAnsi="宋体" w:eastAsia="仿宋_GB2312"/>
          <w:b/>
          <w:color w:val="auto"/>
          <w:sz w:val="32"/>
          <w:szCs w:val="32"/>
          <w:highlight w:val="none"/>
        </w:rPr>
        <w:t>投标人须知</w:t>
      </w:r>
    </w:p>
    <w:p>
      <w:pPr>
        <w:pStyle w:val="11"/>
        <w:snapToGrid w:val="0"/>
        <w:spacing w:before="120" w:after="120" w:line="360" w:lineRule="exact"/>
        <w:rPr>
          <w:rFonts w:hint="eastAsia" w:hAnsi="宋体"/>
          <w:b/>
          <w:color w:val="auto"/>
          <w:highlight w:val="none"/>
        </w:rPr>
      </w:pPr>
      <w:r>
        <w:rPr>
          <w:rFonts w:hint="eastAsia" w:hAnsi="宋体"/>
          <w:b/>
          <w:color w:val="auto"/>
          <w:highlight w:val="none"/>
        </w:rPr>
        <w:t>一、总  则</w:t>
      </w:r>
    </w:p>
    <w:p>
      <w:pPr>
        <w:snapToGrid w:val="0"/>
        <w:spacing w:line="360" w:lineRule="exact"/>
        <w:ind w:firstLine="413" w:firstLineChars="196"/>
        <w:jc w:val="left"/>
        <w:outlineLvl w:val="0"/>
        <w:rPr>
          <w:rFonts w:hint="eastAsia" w:ascii="宋体" w:hAnsi="宋体"/>
          <w:b/>
          <w:color w:val="auto"/>
          <w:szCs w:val="21"/>
          <w:highlight w:val="none"/>
        </w:rPr>
      </w:pPr>
      <w:bookmarkStart w:id="6" w:name="_Toc40864907"/>
      <w:bookmarkStart w:id="7" w:name="_Toc40864631"/>
      <w:bookmarkStart w:id="8" w:name="_Toc40865023"/>
      <w:bookmarkStart w:id="9" w:name="_Toc254970668"/>
      <w:bookmarkStart w:id="10" w:name="_Toc254970527"/>
      <w:r>
        <w:rPr>
          <w:rFonts w:hint="eastAsia" w:ascii="宋体" w:hAnsi="宋体"/>
          <w:b/>
          <w:color w:val="auto"/>
          <w:szCs w:val="21"/>
          <w:highlight w:val="none"/>
        </w:rPr>
        <w:t>（一） 适用范围</w:t>
      </w:r>
      <w:bookmarkEnd w:id="6"/>
      <w:bookmarkEnd w:id="7"/>
      <w:bookmarkEnd w:id="8"/>
      <w:bookmarkEnd w:id="9"/>
      <w:bookmarkEnd w:id="10"/>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本招标文件适用于</w:t>
      </w:r>
      <w:r>
        <w:rPr>
          <w:rFonts w:hint="eastAsia" w:ascii="宋体" w:hAnsi="宋体" w:cs="Arial"/>
          <w:color w:val="auto"/>
          <w:szCs w:val="21"/>
          <w:highlight w:val="none"/>
        </w:rPr>
        <w:t>本</w:t>
      </w:r>
      <w:r>
        <w:rPr>
          <w:rFonts w:hint="eastAsia" w:ascii="宋体" w:hAnsi="宋体"/>
          <w:color w:val="auto"/>
          <w:szCs w:val="21"/>
          <w:highlight w:val="none"/>
        </w:rPr>
        <w:t>项目的招标、投标、评标、定标、验收、合同履约、付款等行为（法律、法规另有规定的，从其规定）。</w:t>
      </w:r>
    </w:p>
    <w:p>
      <w:pPr>
        <w:snapToGrid w:val="0"/>
        <w:spacing w:before="156" w:beforeLines="50" w:line="360" w:lineRule="exact"/>
        <w:ind w:firstLine="309" w:firstLineChars="147"/>
        <w:jc w:val="left"/>
        <w:outlineLvl w:val="0"/>
        <w:rPr>
          <w:rFonts w:hint="eastAsia"/>
          <w:b/>
          <w:color w:val="auto"/>
          <w:highlight w:val="none"/>
        </w:rPr>
      </w:pPr>
      <w:bookmarkStart w:id="11" w:name="_Toc40864908"/>
      <w:bookmarkStart w:id="12" w:name="_Toc254970528"/>
      <w:bookmarkStart w:id="13" w:name="_Toc40865024"/>
      <w:bookmarkStart w:id="14" w:name="_Toc254970669"/>
      <w:bookmarkStart w:id="15" w:name="_Toc40864632"/>
      <w:bookmarkStart w:id="16" w:name="_Toc254970548"/>
      <w:bookmarkStart w:id="17" w:name="_Toc254970689"/>
      <w:r>
        <w:rPr>
          <w:rFonts w:hint="eastAsia"/>
          <w:b/>
          <w:color w:val="auto"/>
          <w:highlight w:val="none"/>
        </w:rPr>
        <w:t>（二）定义</w:t>
      </w:r>
      <w:bookmarkEnd w:id="11"/>
      <w:bookmarkEnd w:id="12"/>
      <w:bookmarkEnd w:id="13"/>
      <w:bookmarkEnd w:id="14"/>
      <w:bookmarkEnd w:id="15"/>
    </w:p>
    <w:p>
      <w:pPr>
        <w:snapToGrid w:val="0"/>
        <w:spacing w:line="360" w:lineRule="exact"/>
        <w:ind w:firstLine="420" w:firstLineChars="200"/>
        <w:jc w:val="left"/>
        <w:rPr>
          <w:rFonts w:hint="eastAsia" w:hAnsi="宋体"/>
          <w:color w:val="auto"/>
          <w:highlight w:val="none"/>
        </w:rPr>
      </w:pPr>
      <w:r>
        <w:rPr>
          <w:rFonts w:hint="eastAsia" w:ascii="宋体" w:hAnsi="宋体"/>
          <w:color w:val="auto"/>
          <w:szCs w:val="21"/>
          <w:highlight w:val="none"/>
        </w:rPr>
        <w:t>1.</w:t>
      </w:r>
      <w:r>
        <w:rPr>
          <w:rFonts w:hint="eastAsia" w:hAnsi="宋体"/>
          <w:color w:val="auto"/>
          <w:highlight w:val="none"/>
        </w:rPr>
        <w:t xml:space="preserve"> “采购人”系指组织本次招标的采购单位。</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hAnsi="宋体"/>
          <w:color w:val="auto"/>
          <w:highlight w:val="none"/>
        </w:rPr>
        <w:t xml:space="preserve"> “采购代理机构”系指广西壮族自治区政府采购中心（以下简称“本中心</w:t>
      </w:r>
      <w:r>
        <w:rPr>
          <w:rFonts w:hAnsi="宋体"/>
          <w:color w:val="auto"/>
          <w:highlight w:val="none"/>
        </w:rPr>
        <w:t>”</w:t>
      </w:r>
      <w:r>
        <w:rPr>
          <w:rFonts w:hint="eastAsia" w:hAnsi="宋体"/>
          <w:color w:val="auto"/>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hAnsi="宋体"/>
          <w:color w:val="auto"/>
          <w:highlight w:val="none"/>
        </w:rPr>
        <w:t xml:space="preserve"> “投标人”系指响应招标、参加投标竞争的法人、其他组织或者自然人。</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5.“服务”系指招标文件规定投标人须承担的安装、调试、技术协助、校准、培训、技术指导以及其他类似的义务。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6.“项目”系指投标人按招标文件规定向采购人提供的产品和服务。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7.“书面形式”包括信函、传真、电报等。</w:t>
      </w:r>
    </w:p>
    <w:p>
      <w:pPr>
        <w:snapToGrid w:val="0"/>
        <w:spacing w:line="360" w:lineRule="exact"/>
        <w:ind w:firstLine="421" w:firstLineChars="200"/>
        <w:jc w:val="left"/>
        <w:rPr>
          <w:rFonts w:hint="eastAsia" w:ascii="宋体" w:hAnsi="宋体"/>
          <w:b/>
          <w:bCs/>
          <w:color w:val="auto"/>
          <w:szCs w:val="21"/>
          <w:highlight w:val="none"/>
        </w:rPr>
      </w:pPr>
      <w:r>
        <w:rPr>
          <w:rFonts w:hint="eastAsia" w:ascii="宋体" w:hAnsi="宋体"/>
          <w:b/>
          <w:bCs/>
          <w:color w:val="auto"/>
          <w:szCs w:val="21"/>
          <w:highlight w:val="none"/>
        </w:rPr>
        <w:t>8.“▲”系指实质性要求条款。</w:t>
      </w:r>
    </w:p>
    <w:p>
      <w:pPr>
        <w:snapToGrid w:val="0"/>
        <w:spacing w:before="156" w:beforeLines="50" w:line="360" w:lineRule="exact"/>
        <w:ind w:firstLine="413" w:firstLineChars="196"/>
        <w:jc w:val="left"/>
        <w:outlineLvl w:val="1"/>
        <w:rPr>
          <w:rFonts w:hint="eastAsia" w:ascii="宋体" w:hAnsi="宋体"/>
          <w:b/>
          <w:color w:val="auto"/>
          <w:szCs w:val="21"/>
          <w:highlight w:val="none"/>
        </w:rPr>
      </w:pPr>
      <w:bookmarkStart w:id="18" w:name="_Toc254970529"/>
      <w:bookmarkStart w:id="19" w:name="_Toc254970670"/>
      <w:bookmarkStart w:id="20" w:name="_Toc40864633"/>
      <w:bookmarkStart w:id="21" w:name="_Toc40865025"/>
      <w:bookmarkStart w:id="22" w:name="_Toc40864909"/>
      <w:r>
        <w:rPr>
          <w:rFonts w:hint="eastAsia" w:ascii="宋体" w:hAnsi="宋体"/>
          <w:b/>
          <w:color w:val="auto"/>
          <w:szCs w:val="21"/>
          <w:highlight w:val="none"/>
        </w:rPr>
        <w:t>（三）招标方式</w:t>
      </w:r>
      <w:bookmarkEnd w:id="18"/>
      <w:bookmarkEnd w:id="19"/>
      <w:bookmarkEnd w:id="20"/>
      <w:bookmarkEnd w:id="21"/>
      <w:bookmarkEnd w:id="22"/>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公开招标方式。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23" w:name="_Toc40864910"/>
      <w:bookmarkStart w:id="24" w:name="_Toc40865026"/>
      <w:bookmarkStart w:id="25" w:name="_Toc254970671"/>
      <w:bookmarkStart w:id="26" w:name="_Toc254970530"/>
      <w:bookmarkStart w:id="27" w:name="_Toc40864634"/>
      <w:r>
        <w:rPr>
          <w:rFonts w:hint="eastAsia" w:ascii="宋体" w:hAnsi="宋体"/>
          <w:b/>
          <w:color w:val="auto"/>
          <w:szCs w:val="21"/>
          <w:highlight w:val="none"/>
        </w:rPr>
        <w:t>（四）投标委托</w:t>
      </w:r>
      <w:bookmarkEnd w:id="23"/>
      <w:bookmarkEnd w:id="24"/>
      <w:bookmarkEnd w:id="25"/>
      <w:bookmarkEnd w:id="26"/>
      <w:bookmarkEnd w:id="27"/>
    </w:p>
    <w:p>
      <w:pPr>
        <w:pStyle w:val="10"/>
        <w:snapToGrid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投标人代表须携带有效身份证件。如投标人代表不是法定代表人，须有法定代表人出具的授权委托书（格式见第六章《投标文件格式》）。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28" w:name="_Toc40865027"/>
      <w:bookmarkStart w:id="29" w:name="_Toc254970672"/>
      <w:bookmarkStart w:id="30" w:name="_Toc254970531"/>
      <w:bookmarkStart w:id="31" w:name="_Toc40864911"/>
      <w:bookmarkStart w:id="32" w:name="_Toc40864635"/>
      <w:r>
        <w:rPr>
          <w:rFonts w:hint="eastAsia" w:ascii="宋体" w:hAnsi="宋体"/>
          <w:b/>
          <w:color w:val="auto"/>
          <w:szCs w:val="21"/>
          <w:highlight w:val="none"/>
        </w:rPr>
        <w:t>（五）投标费用</w:t>
      </w:r>
      <w:bookmarkEnd w:id="28"/>
      <w:bookmarkEnd w:id="29"/>
      <w:bookmarkEnd w:id="30"/>
      <w:bookmarkEnd w:id="31"/>
      <w:bookmarkEnd w:id="32"/>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投标人均应自行承担所有与投标有关的全部费用（招标文件有相关的规定除外）。</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33" w:name="_Toc40865028"/>
      <w:bookmarkStart w:id="34" w:name="_Toc40864912"/>
      <w:bookmarkStart w:id="35" w:name="_Toc40864636"/>
      <w:r>
        <w:rPr>
          <w:rFonts w:hint="eastAsia" w:ascii="宋体" w:hAnsi="宋体"/>
          <w:b/>
          <w:color w:val="auto"/>
          <w:szCs w:val="21"/>
          <w:highlight w:val="none"/>
        </w:rPr>
        <w:t>（六）本项目不接受联合体投标</w:t>
      </w:r>
      <w:bookmarkEnd w:id="33"/>
      <w:bookmarkEnd w:id="34"/>
      <w:bookmarkEnd w:id="35"/>
    </w:p>
    <w:p>
      <w:pPr>
        <w:snapToGrid w:val="0"/>
        <w:spacing w:before="156" w:beforeLines="50" w:line="360" w:lineRule="exact"/>
        <w:ind w:firstLine="413" w:firstLineChars="196"/>
        <w:outlineLvl w:val="0"/>
        <w:rPr>
          <w:rFonts w:hint="eastAsia" w:ascii="宋体" w:hAnsi="宋体" w:cs="宋体"/>
          <w:b/>
          <w:color w:val="auto"/>
          <w:kern w:val="0"/>
          <w:szCs w:val="21"/>
          <w:highlight w:val="none"/>
        </w:rPr>
      </w:pPr>
      <w:bookmarkStart w:id="36" w:name="_Toc40864637"/>
      <w:bookmarkStart w:id="37" w:name="_Toc40864913"/>
      <w:bookmarkStart w:id="38" w:name="_Toc40865029"/>
      <w:r>
        <w:rPr>
          <w:rFonts w:hint="eastAsia" w:ascii="宋体" w:hAnsi="宋体"/>
          <w:b/>
          <w:color w:val="auto"/>
          <w:szCs w:val="21"/>
          <w:highlight w:val="none"/>
        </w:rPr>
        <w:t>（七）</w:t>
      </w:r>
      <w:r>
        <w:rPr>
          <w:rFonts w:hint="eastAsia" w:ascii="宋体" w:hAnsi="宋体" w:cs="宋体"/>
          <w:b/>
          <w:color w:val="auto"/>
          <w:kern w:val="0"/>
          <w:szCs w:val="21"/>
          <w:highlight w:val="none"/>
        </w:rPr>
        <w:t>转包与分包</w:t>
      </w:r>
      <w:bookmarkEnd w:id="36"/>
      <w:bookmarkEnd w:id="37"/>
      <w:bookmarkEnd w:id="38"/>
      <w:r>
        <w:rPr>
          <w:rFonts w:hint="eastAsia" w:ascii="宋体" w:hAnsi="宋体" w:cs="宋体"/>
          <w:b/>
          <w:color w:val="auto"/>
          <w:kern w:val="0"/>
          <w:szCs w:val="21"/>
          <w:highlight w:val="none"/>
        </w:rPr>
        <w:t xml:space="preserve">             </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pPr>
        <w:snapToGrid w:val="0"/>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2.本项目不可以分包。</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39" w:name="_Toc254970673"/>
      <w:bookmarkStart w:id="40" w:name="_Toc40864914"/>
      <w:bookmarkStart w:id="41" w:name="_Toc40865030"/>
      <w:bookmarkStart w:id="42" w:name="_Toc40864638"/>
      <w:bookmarkStart w:id="43" w:name="_Toc254970532"/>
      <w:r>
        <w:rPr>
          <w:rFonts w:hint="eastAsia" w:ascii="宋体" w:hAnsi="宋体"/>
          <w:b/>
          <w:color w:val="auto"/>
          <w:szCs w:val="21"/>
          <w:highlight w:val="none"/>
        </w:rPr>
        <w:t>（八）特别说明：</w:t>
      </w:r>
      <w:bookmarkEnd w:id="39"/>
      <w:bookmarkEnd w:id="40"/>
      <w:bookmarkEnd w:id="41"/>
      <w:bookmarkEnd w:id="42"/>
      <w:bookmarkEnd w:id="43"/>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▲1.单位负责人为同一人或者存在直接控股、管理关系的不同供应商，不得参加同一合同项下的政府采购活动。</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rPr>
        <w:t xml:space="preserve"> 使用综合评分法的采购项目，</w:t>
      </w: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非单一产品采购项目中，多家投标人提供的招标文件中载明的核心产品品牌相同的，视为提供相同品牌产品。</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3</w:t>
      </w:r>
      <w:r>
        <w:rPr>
          <w:rFonts w:hint="eastAsia" w:ascii="宋体" w:hAnsi="宋体" w:cs="宋体"/>
          <w:color w:val="auto"/>
          <w:kern w:val="0"/>
          <w:szCs w:val="21"/>
          <w:highlight w:val="none"/>
        </w:rPr>
        <w:t>.投标人应仔细阅读招标文件的所有内容，按照招标文件的要求提交投标文件，并对所提供的全部资料的真实性承担法律责任。</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4</w:t>
      </w:r>
      <w:r>
        <w:rPr>
          <w:rFonts w:hint="eastAsia" w:ascii="宋体" w:hAnsi="宋体" w:cs="宋体"/>
          <w:color w:val="auto"/>
          <w:kern w:val="0"/>
          <w:szCs w:val="21"/>
          <w:highlight w:val="none"/>
        </w:rPr>
        <w:t>.投标人在投标活动中提供任何虚假材料、互相串通投标，其投标无效，并报监管部门查处。</w:t>
      </w:r>
    </w:p>
    <w:p>
      <w:pPr>
        <w:snapToGrid w:val="0"/>
        <w:spacing w:line="360" w:lineRule="exact"/>
        <w:ind w:firstLine="420" w:firstLineChars="200"/>
        <w:rPr>
          <w:rFonts w:hint="eastAsia" w:hAnsi="宋体" w:cs="宋体"/>
          <w:color w:val="auto"/>
          <w:kern w:val="0"/>
          <w:highlight w:val="none"/>
        </w:rPr>
      </w:pPr>
      <w:bookmarkStart w:id="44" w:name="_Toc254970674"/>
      <w:bookmarkStart w:id="45" w:name="_Toc254970533"/>
      <w:r>
        <w:rPr>
          <w:rFonts w:hint="eastAsia" w:ascii="宋体" w:hAnsi="宋体" w:cs="宋体"/>
          <w:color w:val="auto"/>
          <w:kern w:val="0"/>
          <w:szCs w:val="21"/>
          <w:highlight w:val="none"/>
        </w:rPr>
        <w:t>▲</w:t>
      </w:r>
      <w:r>
        <w:rPr>
          <w:rFonts w:ascii="宋体" w:hAnsi="宋体" w:cs="宋体"/>
          <w:color w:val="auto"/>
          <w:kern w:val="0"/>
          <w:szCs w:val="21"/>
          <w:highlight w:val="none"/>
          <w:lang w:val="en"/>
        </w:rPr>
        <w:t>5</w:t>
      </w:r>
      <w:r>
        <w:rPr>
          <w:rFonts w:hint="eastAsia" w:ascii="宋体" w:hAnsi="宋体" w:cs="宋体"/>
          <w:color w:val="auto"/>
          <w:kern w:val="0"/>
          <w:szCs w:val="21"/>
          <w:highlight w:val="none"/>
        </w:rPr>
        <w:t>.投标截止时间前三天，报名登记的供应商不足三家的，本中心将延迟截标和开标时间不少于十</w:t>
      </w:r>
      <w:r>
        <w:rPr>
          <w:rFonts w:hint="eastAsia" w:hAnsi="宋体" w:cs="宋体"/>
          <w:color w:val="auto"/>
          <w:kern w:val="0"/>
          <w:highlight w:val="none"/>
        </w:rPr>
        <w:t>日，并书面通知已报名登记的供应商，并在财政部门指定的政府采购信息发布媒体及本中心网站上发布变更公告。</w:t>
      </w:r>
    </w:p>
    <w:p>
      <w:pPr>
        <w:pStyle w:val="11"/>
        <w:snapToGrid w:val="0"/>
        <w:spacing w:line="360" w:lineRule="exact"/>
        <w:ind w:firstLine="413" w:firstLineChars="196"/>
        <w:outlineLvl w:val="0"/>
        <w:rPr>
          <w:rFonts w:hAnsi="宋体"/>
          <w:b/>
          <w:bCs/>
          <w:color w:val="auto"/>
          <w:highlight w:val="none"/>
        </w:rPr>
      </w:pPr>
      <w:bookmarkStart w:id="46" w:name="_Toc40864639"/>
      <w:bookmarkStart w:id="47" w:name="_Toc40865031"/>
      <w:bookmarkStart w:id="48" w:name="_Toc40864915"/>
      <w:r>
        <w:rPr>
          <w:rFonts w:hint="eastAsia" w:hAnsi="宋体"/>
          <w:b/>
          <w:bCs/>
          <w:color w:val="auto"/>
          <w:highlight w:val="none"/>
        </w:rPr>
        <w:t>（九）</w:t>
      </w:r>
      <w:bookmarkEnd w:id="44"/>
      <w:bookmarkEnd w:id="45"/>
      <w:r>
        <w:rPr>
          <w:rFonts w:hint="eastAsia" w:hAnsi="宋体"/>
          <w:b/>
          <w:color w:val="auto"/>
          <w:highlight w:val="none"/>
        </w:rPr>
        <w:t>询问、质疑和投诉</w:t>
      </w:r>
      <w:bookmarkEnd w:id="46"/>
      <w:bookmarkEnd w:id="47"/>
      <w:bookmarkEnd w:id="48"/>
    </w:p>
    <w:p>
      <w:pPr>
        <w:pStyle w:val="11"/>
        <w:snapToGrid w:val="0"/>
        <w:spacing w:line="360" w:lineRule="exact"/>
        <w:ind w:firstLine="420" w:firstLineChars="200"/>
        <w:rPr>
          <w:rFonts w:hint="eastAsia"/>
          <w:color w:val="auto"/>
          <w:highlight w:val="none"/>
        </w:rPr>
      </w:pPr>
      <w:r>
        <w:rPr>
          <w:rFonts w:hint="eastAsia"/>
          <w:color w:val="auto"/>
          <w:highlight w:val="none"/>
        </w:rPr>
        <w:t>1.投标人对政府采购活动事项有疑问的，可以向采购人、采购代理机构提出询问。</w:t>
      </w:r>
    </w:p>
    <w:p>
      <w:pPr>
        <w:pStyle w:val="11"/>
        <w:snapToGrid w:val="0"/>
        <w:spacing w:line="360" w:lineRule="exact"/>
        <w:ind w:firstLine="420" w:firstLineChars="200"/>
        <w:rPr>
          <w:rFonts w:hint="eastAsia"/>
          <w:color w:val="auto"/>
          <w:highlight w:val="none"/>
        </w:rPr>
      </w:pPr>
      <w:r>
        <w:rPr>
          <w:rFonts w:hint="eastAsia"/>
          <w:color w:val="auto"/>
          <w:highlight w:val="none"/>
        </w:rPr>
        <w:t>2.投标人认为采购文件、招标过程或中标结果使自己的合法权益受到损害的，应当在知道或者应知其权益受到损害之日起七个工作日内，以书面形式向采购人提出质疑。具体计算时间如下：</w:t>
      </w:r>
    </w:p>
    <w:p>
      <w:pPr>
        <w:pStyle w:val="11"/>
        <w:snapToGrid w:val="0"/>
        <w:spacing w:line="360" w:lineRule="exact"/>
        <w:ind w:firstLine="309" w:firstLineChars="147"/>
        <w:rPr>
          <w:rFonts w:hAnsi="宋体"/>
          <w:bCs/>
          <w:color w:val="auto"/>
          <w:highlight w:val="none"/>
        </w:rPr>
      </w:pPr>
      <w:r>
        <w:rPr>
          <w:b/>
          <w:color w:val="auto"/>
          <w:highlight w:val="none"/>
        </w:rPr>
        <w:t>（一）对可以质疑的</w:t>
      </w:r>
      <w:r>
        <w:rPr>
          <w:rFonts w:hint="eastAsia"/>
          <w:b/>
          <w:color w:val="auto"/>
          <w:highlight w:val="none"/>
        </w:rPr>
        <w:t>采购</w:t>
      </w:r>
      <w:r>
        <w:rPr>
          <w:b/>
          <w:color w:val="auto"/>
          <w:highlight w:val="none"/>
        </w:rPr>
        <w:t>文件提出质疑的，为收到采购文件之日；</w:t>
      </w:r>
    </w:p>
    <w:p>
      <w:pPr>
        <w:widowControl/>
        <w:spacing w:before="100" w:beforeAutospacing="1" w:after="100" w:afterAutospacing="1" w:line="432" w:lineRule="auto"/>
        <w:jc w:val="left"/>
        <w:rPr>
          <w:rFonts w:hint="eastAsia" w:ascii="宋体" w:hAnsi="Courier New" w:cs="Courier New"/>
          <w:b/>
          <w:color w:val="auto"/>
          <w:szCs w:val="21"/>
          <w:highlight w:val="none"/>
        </w:rPr>
      </w:pPr>
      <w:r>
        <w:rPr>
          <w:rFonts w:ascii="宋体" w:cs="Courier New"/>
          <w:color w:val="auto"/>
          <w:szCs w:val="21"/>
          <w:highlight w:val="none"/>
        </w:rPr>
        <w:t>　</w:t>
      </w:r>
      <w:r>
        <w:rPr>
          <w:rFonts w:ascii="宋体" w:hAnsi="Courier New" w:cs="Courier New"/>
          <w:b/>
          <w:color w:val="auto"/>
          <w:szCs w:val="21"/>
          <w:highlight w:val="none"/>
        </w:rPr>
        <w:t>（二）对</w:t>
      </w:r>
      <w:r>
        <w:rPr>
          <w:rFonts w:hint="eastAsia" w:ascii="宋体" w:hAnsi="Courier New" w:cs="Courier New"/>
          <w:b/>
          <w:color w:val="auto"/>
          <w:szCs w:val="21"/>
          <w:highlight w:val="none"/>
        </w:rPr>
        <w:t>采购</w:t>
      </w:r>
      <w:r>
        <w:rPr>
          <w:rFonts w:ascii="宋体" w:hAnsi="Courier New" w:cs="Courier New"/>
          <w:b/>
          <w:color w:val="auto"/>
          <w:szCs w:val="21"/>
          <w:highlight w:val="none"/>
        </w:rPr>
        <w:t>过程提出质疑的，为各采购程序环节结束之日；</w:t>
      </w:r>
    </w:p>
    <w:p>
      <w:pPr>
        <w:widowControl/>
        <w:spacing w:before="100" w:beforeAutospacing="1" w:after="100" w:afterAutospacing="1" w:line="432" w:lineRule="auto"/>
        <w:ind w:firstLine="206" w:firstLineChars="98"/>
        <w:jc w:val="left"/>
        <w:rPr>
          <w:rFonts w:hint="eastAsia" w:ascii="宋体" w:hAnsi="Courier New" w:cs="Courier New"/>
          <w:b/>
          <w:color w:val="auto"/>
          <w:szCs w:val="21"/>
          <w:highlight w:val="none"/>
        </w:rPr>
      </w:pPr>
      <w:r>
        <w:rPr>
          <w:rFonts w:ascii="宋体" w:hAnsi="Courier New" w:cs="Courier New"/>
          <w:b/>
          <w:color w:val="auto"/>
          <w:szCs w:val="21"/>
          <w:highlight w:val="none"/>
        </w:rPr>
        <w:t>（三）对中标结果提出质疑的，为中标结果公告期限届满之日。</w:t>
      </w:r>
      <w:r>
        <w:rPr>
          <w:rFonts w:hint="eastAsia" w:ascii="宋体" w:hAnsi="Courier New" w:cs="Courier New"/>
          <w:b/>
          <w:color w:val="auto"/>
          <w:szCs w:val="21"/>
          <w:highlight w:val="none"/>
        </w:rPr>
        <w:t>投标人对</w:t>
      </w:r>
      <w:r>
        <w:rPr>
          <w:rFonts w:ascii="宋体" w:hAnsi="宋体"/>
          <w:color w:val="auto"/>
          <w:szCs w:val="21"/>
          <w:highlight w:val="none"/>
        </w:rPr>
        <w:t>采购人</w:t>
      </w:r>
      <w:r>
        <w:rPr>
          <w:rFonts w:hint="eastAsia" w:ascii="宋体" w:hAnsi="Courier New" w:cs="Courier New"/>
          <w:b/>
          <w:color w:val="auto"/>
          <w:szCs w:val="21"/>
          <w:highlight w:val="none"/>
        </w:rPr>
        <w:t>的质疑答复不满意或者</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采购代理机构</w:t>
      </w:r>
      <w:r>
        <w:rPr>
          <w:rFonts w:hint="eastAsia" w:ascii="宋体" w:hAnsi="Courier New" w:cs="Courier New"/>
          <w:b/>
          <w:color w:val="auto"/>
          <w:szCs w:val="21"/>
          <w:highlight w:val="none"/>
        </w:rPr>
        <w:t>未在规定时间内作出答复的，可以在答复期满后十五个工作日内向</w:t>
      </w:r>
      <w:r>
        <w:rPr>
          <w:rFonts w:hint="eastAsia" w:cs="Courier New"/>
          <w:b/>
          <w:color w:val="auto"/>
          <w:szCs w:val="21"/>
          <w:highlight w:val="none"/>
        </w:rPr>
        <w:t>同级政府采购监督管理部门投诉</w:t>
      </w:r>
      <w:r>
        <w:rPr>
          <w:rFonts w:hint="eastAsia" w:ascii="宋体" w:hAnsi="Courier New" w:cs="Courier New"/>
          <w:b/>
          <w:color w:val="auto"/>
          <w:szCs w:val="21"/>
          <w:highlight w:val="none"/>
        </w:rPr>
        <w:t>。</w:t>
      </w:r>
    </w:p>
    <w:p>
      <w:pPr>
        <w:pStyle w:val="11"/>
        <w:snapToGrid w:val="0"/>
        <w:spacing w:line="360" w:lineRule="exact"/>
        <w:ind w:firstLine="420" w:firstLineChars="200"/>
        <w:rPr>
          <w:rFonts w:hint="eastAsia" w:hAnsi="宋体"/>
          <w:bCs/>
          <w:color w:val="auto"/>
          <w:highlight w:val="none"/>
        </w:rPr>
      </w:pPr>
      <w:r>
        <w:rPr>
          <w:rFonts w:hint="eastAsia" w:hAnsi="宋体"/>
          <w:bCs/>
          <w:color w:val="auto"/>
          <w:highlight w:val="none"/>
        </w:rPr>
        <w:t>3.质疑、投诉应当采用书面形式，质疑书、投诉书均应明确阐述采购文件、采购过程、中标结果中使自己合法权益受到损害的实质性内容，提供相关事实、明确的请求、必要的证明材料，便于有关单位调查、答复和处理。</w:t>
      </w:r>
    </w:p>
    <w:p>
      <w:pPr>
        <w:pStyle w:val="11"/>
        <w:snapToGrid w:val="0"/>
        <w:spacing w:line="360" w:lineRule="exact"/>
        <w:ind w:firstLine="420" w:firstLineChars="200"/>
        <w:rPr>
          <w:rFonts w:hint="eastAsia"/>
          <w:bCs/>
          <w:color w:val="auto"/>
          <w:highlight w:val="none"/>
        </w:rPr>
      </w:pPr>
      <w:r>
        <w:rPr>
          <w:rFonts w:hint="eastAsia"/>
          <w:bCs/>
          <w:color w:val="auto"/>
          <w:highlight w:val="none"/>
        </w:rPr>
        <w:t>4.采购人、采购代理机构接收质疑函的方式、联系部门、联系电话和地址等信息详见“投标人须知前附表”。</w:t>
      </w:r>
    </w:p>
    <w:p>
      <w:pPr>
        <w:pStyle w:val="11"/>
        <w:snapToGrid w:val="0"/>
        <w:spacing w:line="360" w:lineRule="exact"/>
        <w:ind w:firstLine="420" w:firstLineChars="200"/>
        <w:rPr>
          <w:rFonts w:hint="eastAsia" w:hAnsi="宋体"/>
          <w:bCs/>
          <w:color w:val="auto"/>
          <w:highlight w:val="none"/>
        </w:rPr>
      </w:pPr>
    </w:p>
    <w:p>
      <w:pPr>
        <w:pStyle w:val="11"/>
        <w:snapToGrid w:val="0"/>
        <w:spacing w:line="360" w:lineRule="exact"/>
        <w:ind w:firstLine="413" w:firstLineChars="196"/>
        <w:outlineLvl w:val="0"/>
        <w:rPr>
          <w:rFonts w:hint="eastAsia" w:hAnsi="宋体"/>
          <w:b/>
          <w:color w:val="auto"/>
          <w:highlight w:val="none"/>
        </w:rPr>
      </w:pPr>
      <w:bookmarkStart w:id="49" w:name="_Toc254970534"/>
      <w:bookmarkStart w:id="50" w:name="_Toc40865032"/>
      <w:bookmarkStart w:id="51" w:name="_Toc40864916"/>
      <w:bookmarkStart w:id="52" w:name="_Toc40864640"/>
      <w:bookmarkStart w:id="53" w:name="_Toc254970675"/>
      <w:r>
        <w:rPr>
          <w:rFonts w:hint="eastAsia" w:hAnsi="宋体"/>
          <w:b/>
          <w:color w:val="auto"/>
          <w:highlight w:val="none"/>
        </w:rPr>
        <w:t>二、招标文件</w:t>
      </w:r>
      <w:bookmarkEnd w:id="49"/>
      <w:bookmarkEnd w:id="50"/>
      <w:bookmarkEnd w:id="51"/>
      <w:bookmarkEnd w:id="52"/>
      <w:bookmarkEnd w:id="53"/>
    </w:p>
    <w:p>
      <w:pPr>
        <w:snapToGrid w:val="0"/>
        <w:spacing w:line="360" w:lineRule="exact"/>
        <w:ind w:firstLine="413" w:firstLineChars="196"/>
        <w:jc w:val="left"/>
        <w:outlineLvl w:val="0"/>
        <w:rPr>
          <w:rFonts w:hint="eastAsia" w:ascii="宋体" w:hAnsi="宋体"/>
          <w:b/>
          <w:color w:val="auto"/>
          <w:szCs w:val="21"/>
          <w:highlight w:val="none"/>
        </w:rPr>
      </w:pPr>
      <w:bookmarkStart w:id="54" w:name="_Toc40865033"/>
      <w:bookmarkStart w:id="55" w:name="_Toc40864917"/>
      <w:bookmarkStart w:id="56" w:name="_Toc40864641"/>
      <w:r>
        <w:rPr>
          <w:rFonts w:hint="eastAsia" w:ascii="宋体" w:hAnsi="宋体"/>
          <w:b/>
          <w:color w:val="auto"/>
          <w:szCs w:val="21"/>
          <w:highlight w:val="none"/>
        </w:rPr>
        <w:t>（一）招标文件的构成。</w:t>
      </w:r>
      <w:bookmarkEnd w:id="54"/>
      <w:bookmarkEnd w:id="55"/>
      <w:bookmarkEnd w:id="56"/>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1.公开招标公告；</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2.招标项目采购需求</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4.评标方法及评定标准；</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5.政府采购合同主要条款；</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57" w:name="_Toc40864918"/>
      <w:bookmarkStart w:id="58" w:name="_Toc40865034"/>
      <w:bookmarkStart w:id="59" w:name="_Toc40864642"/>
      <w:r>
        <w:rPr>
          <w:rFonts w:hint="eastAsia" w:ascii="宋体" w:hAnsi="宋体"/>
          <w:b/>
          <w:color w:val="auto"/>
          <w:szCs w:val="21"/>
          <w:highlight w:val="none"/>
        </w:rPr>
        <w:t>（二）投标人的风险</w:t>
      </w:r>
      <w:bookmarkEnd w:id="57"/>
      <w:bookmarkEnd w:id="58"/>
      <w:bookmarkEnd w:id="59"/>
    </w:p>
    <w:p>
      <w:pPr>
        <w:tabs>
          <w:tab w:val="left" w:pos="180"/>
          <w:tab w:val="left" w:pos="1620"/>
        </w:tabs>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Courier New"/>
          <w:color w:val="auto"/>
          <w:szCs w:val="21"/>
          <w:highlight w:val="none"/>
        </w:rPr>
        <w:cr/>
      </w:r>
      <w:r>
        <w:rPr>
          <w:rFonts w:hint="eastAsia" w:ascii="宋体" w:hAnsi="宋体" w:cs="Courier New"/>
          <w:color w:val="auto"/>
          <w:szCs w:val="21"/>
          <w:highlight w:val="none"/>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pPr>
        <w:pStyle w:val="5"/>
        <w:widowControl w:val="0"/>
        <w:tabs>
          <w:tab w:val="left" w:pos="720"/>
          <w:tab w:val="left" w:pos="840"/>
        </w:tabs>
        <w:snapToGrid w:val="0"/>
        <w:spacing w:before="156" w:beforeLines="50" w:after="0" w:afterLines="0" w:line="360" w:lineRule="exact"/>
        <w:ind w:left="0" w:firstLine="413" w:firstLineChars="196"/>
        <w:outlineLvl w:val="0"/>
        <w:rPr>
          <w:rFonts w:hint="eastAsia" w:ascii="宋体" w:hAnsi="宋体"/>
          <w:b/>
          <w:color w:val="auto"/>
          <w:sz w:val="21"/>
          <w:szCs w:val="21"/>
          <w:highlight w:val="none"/>
        </w:rPr>
      </w:pPr>
      <w:bookmarkStart w:id="60" w:name="_Toc40865035"/>
      <w:bookmarkStart w:id="61" w:name="_Toc40864919"/>
      <w:bookmarkStart w:id="62" w:name="_Toc40864643"/>
      <w:r>
        <w:rPr>
          <w:rFonts w:hint="eastAsia" w:ascii="宋体" w:hAnsi="宋体"/>
          <w:b/>
          <w:color w:val="auto"/>
          <w:sz w:val="21"/>
          <w:szCs w:val="21"/>
          <w:highlight w:val="none"/>
        </w:rPr>
        <w:t>（三）招标文件的澄清与修改</w:t>
      </w:r>
      <w:bookmarkEnd w:id="60"/>
      <w:bookmarkEnd w:id="61"/>
      <w:bookmarkEnd w:id="62"/>
      <w:r>
        <w:rPr>
          <w:rFonts w:hint="eastAsia" w:ascii="宋体" w:hAnsi="宋体"/>
          <w:b/>
          <w:color w:val="auto"/>
          <w:sz w:val="21"/>
          <w:szCs w:val="21"/>
          <w:highlight w:val="none"/>
        </w:rPr>
        <w:t xml:space="preserve"> </w:t>
      </w:r>
    </w:p>
    <w:p>
      <w:pPr>
        <w:pStyle w:val="11"/>
        <w:snapToGrid w:val="0"/>
        <w:spacing w:line="360" w:lineRule="exact"/>
        <w:ind w:firstLine="420" w:firstLineChars="200"/>
        <w:rPr>
          <w:rFonts w:hint="eastAsia" w:hAnsi="宋体"/>
          <w:color w:val="auto"/>
          <w:highlight w:val="none"/>
        </w:rPr>
      </w:pPr>
      <w:r>
        <w:rPr>
          <w:rFonts w:hint="eastAsia" w:hAnsi="宋体"/>
          <w:color w:val="auto"/>
          <w:highlight w:val="none"/>
        </w:rPr>
        <w:t>1.</w:t>
      </w:r>
      <w:r>
        <w:rPr>
          <w:rFonts w:hint="eastAsia" w:hAnsi="宋体"/>
          <w:bCs/>
          <w:color w:val="auto"/>
          <w:highlight w:val="none"/>
        </w:rPr>
        <w:t xml:space="preserve"> 投标人应认真阅读本招标文件，发现其中有误或有不合理要求的，投标人</w:t>
      </w:r>
      <w:r>
        <w:rPr>
          <w:rFonts w:hint="eastAsia" w:hAnsi="宋体"/>
          <w:b/>
          <w:bCs/>
          <w:color w:val="auto"/>
          <w:highlight w:val="none"/>
        </w:rPr>
        <w:t>应当</w:t>
      </w:r>
      <w:r>
        <w:rPr>
          <w:rFonts w:hint="eastAsia" w:hAnsi="宋体"/>
          <w:bCs/>
          <w:color w:val="auto"/>
          <w:highlight w:val="none"/>
        </w:rPr>
        <w:t>在</w:t>
      </w:r>
      <w:r>
        <w:rPr>
          <w:rFonts w:hint="eastAsia" w:hAnsi="宋体"/>
          <w:bCs/>
          <w:color w:val="auto"/>
          <w:highlight w:val="none"/>
          <w:u w:val="single"/>
        </w:rPr>
        <w:t>“采购文件：第三章 《投标人须知及前附表》序号6”规定的时间</w:t>
      </w:r>
      <w:r>
        <w:rPr>
          <w:rFonts w:hint="eastAsia" w:hAnsi="宋体"/>
          <w:bCs/>
          <w:color w:val="auto"/>
          <w:highlight w:val="none"/>
        </w:rPr>
        <w:t>前以书面形式要求</w:t>
      </w:r>
      <w:r>
        <w:rPr>
          <w:rFonts w:hAnsi="宋体" w:cs="Times New Roman"/>
          <w:color w:val="auto"/>
          <w:highlight w:val="none"/>
        </w:rPr>
        <w:t>采购人或者采购代理机构</w:t>
      </w:r>
      <w:r>
        <w:rPr>
          <w:rFonts w:hint="eastAsia" w:hAnsi="宋体"/>
          <w:color w:val="auto"/>
          <w:highlight w:val="none"/>
        </w:rPr>
        <w:t>答疑、澄清</w:t>
      </w:r>
      <w:r>
        <w:rPr>
          <w:rFonts w:hint="eastAsia" w:hAnsi="宋体"/>
          <w:bCs/>
          <w:color w:val="auto"/>
          <w:highlight w:val="none"/>
        </w:rPr>
        <w:t>。本中心对已发出的招标文件进行必要澄清或者修改</w:t>
      </w:r>
      <w:r>
        <w:rPr>
          <w:rFonts w:hint="eastAsia" w:hAnsi="宋体"/>
          <w:b/>
          <w:bCs/>
          <w:color w:val="auto"/>
          <w:highlight w:val="none"/>
        </w:rPr>
        <w:t>可能影响投标文件编制的</w:t>
      </w:r>
      <w:r>
        <w:rPr>
          <w:rFonts w:hint="eastAsia" w:hAnsi="宋体"/>
          <w:bCs/>
          <w:color w:val="auto"/>
          <w:highlight w:val="none"/>
        </w:rPr>
        <w:t>，应当在招标文件要求提交投标文件截止时间15日前，在财政部门指定的政府采购信息发布媒体及本中心网站上发布更正公告，并以书面形式通知所有招标文件收受人。该澄清或者修改的内容为招标文件的组成部分</w:t>
      </w:r>
      <w:r>
        <w:rPr>
          <w:rFonts w:hint="eastAsia" w:hAnsi="宋体"/>
          <w:color w:val="auto"/>
          <w:highlight w:val="none"/>
        </w:rPr>
        <w:t>。</w:t>
      </w:r>
    </w:p>
    <w:p>
      <w:pPr>
        <w:pStyle w:val="11"/>
        <w:snapToGrid w:val="0"/>
        <w:spacing w:line="360" w:lineRule="exact"/>
        <w:ind w:firstLine="420" w:firstLineChars="200"/>
        <w:rPr>
          <w:rFonts w:hint="eastAsia" w:hAnsi="宋体"/>
          <w:color w:val="auto"/>
          <w:highlight w:val="none"/>
        </w:rPr>
      </w:pPr>
      <w:r>
        <w:rPr>
          <w:rFonts w:hint="eastAsia" w:hAnsi="宋体"/>
          <w:color w:val="auto"/>
          <w:highlight w:val="none"/>
        </w:rPr>
        <w:t>2.本中心必须以书面形式答复投标人要求澄清的问题，并将不包含问题来源的答复书面通知所有报名登记的投标人；除书面答复以外的其他澄清方式及澄清内容均无效。</w:t>
      </w:r>
    </w:p>
    <w:p>
      <w:pPr>
        <w:pStyle w:val="11"/>
        <w:snapToGrid w:val="0"/>
        <w:spacing w:line="360" w:lineRule="exact"/>
        <w:ind w:firstLine="420" w:firstLineChars="200"/>
        <w:rPr>
          <w:rFonts w:hint="eastAsia" w:hAnsi="宋体"/>
          <w:color w:val="auto"/>
          <w:highlight w:val="none"/>
        </w:rPr>
      </w:pPr>
      <w:r>
        <w:rPr>
          <w:rFonts w:hint="eastAsia" w:hAnsi="宋体"/>
          <w:color w:val="auto"/>
          <w:highlight w:val="none"/>
        </w:rPr>
        <w:t>3.招标文件的答疑、澄清、修改、补充的内容为招标文件的组成部分。当招标文件与招标文件的答疑、澄清、修改、补充通知就同一内容的表述不一致时，以最后发出的书面文件为准。</w:t>
      </w:r>
    </w:p>
    <w:p>
      <w:pPr>
        <w:pStyle w:val="11"/>
        <w:snapToGrid w:val="0"/>
        <w:spacing w:line="360" w:lineRule="exact"/>
        <w:ind w:firstLine="420" w:firstLineChars="200"/>
        <w:rPr>
          <w:rFonts w:hint="eastAsia" w:hAnsi="宋体"/>
          <w:color w:val="auto"/>
          <w:highlight w:val="none"/>
        </w:rPr>
      </w:pPr>
      <w:r>
        <w:rPr>
          <w:rFonts w:hint="eastAsia" w:hAnsi="宋体"/>
          <w:color w:val="auto"/>
          <w:highlight w:val="none"/>
        </w:rPr>
        <w:t>4.招标文件的答疑、澄清、修改、补充都应该通过本中心以法定形式发布，采购人非通过本机构，不得擅自答疑、澄清、修改、补充招标文件。</w:t>
      </w:r>
    </w:p>
    <w:p>
      <w:pPr>
        <w:pStyle w:val="11"/>
        <w:snapToGrid w:val="0"/>
        <w:spacing w:line="360" w:lineRule="exact"/>
        <w:ind w:firstLine="420" w:firstLineChars="200"/>
        <w:rPr>
          <w:rFonts w:hint="eastAsia" w:hAnsi="宋体"/>
          <w:color w:val="auto"/>
          <w:highlight w:val="none"/>
        </w:rPr>
      </w:pPr>
      <w:r>
        <w:rPr>
          <w:rFonts w:hint="eastAsia" w:hAnsi="宋体"/>
          <w:color w:val="auto"/>
          <w:highlight w:val="none"/>
        </w:rPr>
        <w:t>5.本中心可以视采购具体情况，延长招标文件或者资格预审文件提供期限，并在财政部门指定的政府采购信息发布媒体及本中心网站上发布公告。</w:t>
      </w:r>
    </w:p>
    <w:p>
      <w:pPr>
        <w:pStyle w:val="11"/>
        <w:snapToGrid w:val="0"/>
        <w:spacing w:line="360" w:lineRule="exact"/>
        <w:ind w:firstLine="413" w:firstLineChars="196"/>
        <w:outlineLvl w:val="1"/>
        <w:rPr>
          <w:rFonts w:hint="eastAsia" w:hAnsi="宋体"/>
          <w:b/>
          <w:color w:val="auto"/>
          <w:highlight w:val="none"/>
        </w:rPr>
      </w:pPr>
      <w:bookmarkStart w:id="63" w:name="_Toc40865036"/>
      <w:bookmarkStart w:id="64" w:name="_Toc40864920"/>
      <w:bookmarkStart w:id="65" w:name="_Toc40864644"/>
      <w:bookmarkStart w:id="66" w:name="_Toc254970676"/>
      <w:bookmarkStart w:id="67" w:name="_Toc254970535"/>
      <w:r>
        <w:rPr>
          <w:rFonts w:hint="eastAsia" w:hAnsi="宋体"/>
          <w:b/>
          <w:color w:val="auto"/>
          <w:highlight w:val="none"/>
        </w:rPr>
        <w:t>三、投标文件的编制</w:t>
      </w:r>
      <w:bookmarkEnd w:id="63"/>
      <w:bookmarkEnd w:id="64"/>
      <w:bookmarkEnd w:id="65"/>
      <w:bookmarkEnd w:id="66"/>
      <w:bookmarkEnd w:id="67"/>
    </w:p>
    <w:p>
      <w:pPr>
        <w:snapToGrid w:val="0"/>
        <w:spacing w:line="360" w:lineRule="exact"/>
        <w:ind w:firstLine="413" w:firstLineChars="196"/>
        <w:jc w:val="left"/>
        <w:outlineLvl w:val="0"/>
        <w:rPr>
          <w:rFonts w:hint="eastAsia" w:ascii="宋体" w:hAnsi="宋体"/>
          <w:b/>
          <w:color w:val="auto"/>
          <w:szCs w:val="21"/>
          <w:highlight w:val="none"/>
        </w:rPr>
      </w:pPr>
      <w:bookmarkStart w:id="68" w:name="_Toc40864921"/>
      <w:bookmarkStart w:id="69" w:name="_Toc254970677"/>
      <w:bookmarkStart w:id="70" w:name="_Toc40864645"/>
      <w:bookmarkStart w:id="71" w:name="_Toc254970536"/>
      <w:bookmarkStart w:id="72" w:name="_Toc40865037"/>
      <w:r>
        <w:rPr>
          <w:rFonts w:hint="eastAsia" w:ascii="宋体" w:hAnsi="宋体"/>
          <w:b/>
          <w:color w:val="auto"/>
          <w:szCs w:val="21"/>
          <w:highlight w:val="none"/>
        </w:rPr>
        <w:t>（一）投标文件的组成</w:t>
      </w:r>
      <w:bookmarkEnd w:id="68"/>
      <w:bookmarkEnd w:id="69"/>
      <w:bookmarkEnd w:id="70"/>
      <w:bookmarkEnd w:id="71"/>
      <w:bookmarkEnd w:id="72"/>
    </w:p>
    <w:p>
      <w:pPr>
        <w:snapToGrid w:val="0"/>
        <w:spacing w:line="360" w:lineRule="exact"/>
        <w:ind w:firstLine="420" w:firstLineChars="200"/>
        <w:jc w:val="left"/>
        <w:rPr>
          <w:rFonts w:hint="eastAsia" w:ascii="宋体" w:hAnsi="宋体"/>
          <w:color w:val="auto"/>
          <w:szCs w:val="21"/>
          <w:highlight w:val="none"/>
        </w:rPr>
      </w:pPr>
      <w:r>
        <w:rPr>
          <w:rFonts w:hint="eastAsia" w:ascii="宋体"/>
          <w:color w:val="auto"/>
          <w:szCs w:val="21"/>
          <w:highlight w:val="none"/>
        </w:rPr>
        <w:t>投标文件由资格文件、资信及商务文件、技术文件、投标报价文件</w:t>
      </w:r>
      <w:r>
        <w:rPr>
          <w:rFonts w:hint="eastAsia" w:ascii="宋体"/>
          <w:b/>
          <w:color w:val="auto"/>
          <w:szCs w:val="21"/>
          <w:highlight w:val="none"/>
        </w:rPr>
        <w:t>四部份</w:t>
      </w:r>
      <w:r>
        <w:rPr>
          <w:rFonts w:hint="eastAsia" w:ascii="宋体"/>
          <w:color w:val="auto"/>
          <w:szCs w:val="21"/>
          <w:highlight w:val="none"/>
        </w:rPr>
        <w:t>组成。</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3" w:firstLineChars="196"/>
        <w:jc w:val="left"/>
        <w:rPr>
          <w:rFonts w:hint="eastAsia" w:hAnsi="宋体"/>
          <w:b/>
          <w:bCs/>
          <w:color w:val="auto"/>
          <w:highlight w:val="none"/>
        </w:rPr>
      </w:pPr>
      <w:r>
        <w:rPr>
          <w:rFonts w:hint="eastAsia" w:hAnsi="宋体"/>
          <w:b/>
          <w:bCs/>
          <w:color w:val="auto"/>
          <w:highlight w:val="none"/>
        </w:rPr>
        <w:t>①投标人有效的营业执照等证明文件</w:t>
      </w:r>
      <w:r>
        <w:rPr>
          <w:rFonts w:hint="eastAsia" w:ascii="宋体" w:hAnsi="宋体"/>
          <w:b/>
          <w:bCs/>
          <w:color w:val="auto"/>
          <w:szCs w:val="21"/>
          <w:highlight w:val="none"/>
        </w:rPr>
        <w:t>扫描件或其他电子文件</w:t>
      </w:r>
      <w:r>
        <w:rPr>
          <w:rFonts w:hint="eastAsia" w:hAnsi="宋体"/>
          <w:b/>
          <w:bCs/>
          <w:color w:val="auto"/>
          <w:highlight w:val="none"/>
        </w:rPr>
        <w:t>，同时要加盖单位公章（</w:t>
      </w:r>
      <w:r>
        <w:rPr>
          <w:rFonts w:hint="eastAsia" w:hAnsi="宋体"/>
          <w:b/>
          <w:bCs/>
          <w:color w:val="auto"/>
          <w:highlight w:val="none"/>
          <w:u w:val="single"/>
        </w:rPr>
        <w:t>必须提供，原件备查</w:t>
      </w:r>
      <w:r>
        <w:rPr>
          <w:rFonts w:hint="eastAsia" w:hAnsi="宋体"/>
          <w:b/>
          <w:bCs/>
          <w:color w:val="auto"/>
          <w:highlight w:val="none"/>
        </w:rPr>
        <w:t>）；</w:t>
      </w:r>
    </w:p>
    <w:p>
      <w:pPr>
        <w:snapToGrid w:val="0"/>
        <w:spacing w:line="360" w:lineRule="exact"/>
        <w:ind w:firstLine="411" w:firstLineChars="196"/>
        <w:jc w:val="left"/>
        <w:rPr>
          <w:rFonts w:hint="eastAsia" w:hAnsi="宋体"/>
          <w:color w:val="auto"/>
          <w:highlight w:val="none"/>
        </w:rPr>
      </w:pPr>
      <w:r>
        <w:rPr>
          <w:rFonts w:hint="eastAsia" w:hAnsi="宋体"/>
          <w:color w:val="auto"/>
          <w:highlight w:val="none"/>
        </w:rPr>
        <w:t>②对于有经营资质要求的，投标人必须提供有效的经营资质证书副本内页</w:t>
      </w:r>
      <w:r>
        <w:rPr>
          <w:rFonts w:hint="eastAsia" w:ascii="宋体" w:hAnsi="宋体"/>
          <w:color w:val="auto"/>
          <w:szCs w:val="21"/>
          <w:highlight w:val="none"/>
        </w:rPr>
        <w:t>扫描件或其他电子文件</w:t>
      </w:r>
      <w:r>
        <w:rPr>
          <w:rFonts w:hint="eastAsia" w:hAnsi="宋体"/>
          <w:color w:val="auto"/>
          <w:highlight w:val="none"/>
        </w:rPr>
        <w:t>，同时要加盖单位公章（</w:t>
      </w:r>
      <w:r>
        <w:rPr>
          <w:rFonts w:hint="eastAsia" w:hAnsi="宋体"/>
          <w:color w:val="auto"/>
          <w:highlight w:val="none"/>
          <w:u w:val="single"/>
        </w:rPr>
        <w:t>必须提供，原件备查</w:t>
      </w:r>
      <w:r>
        <w:rPr>
          <w:rFonts w:hint="eastAsia" w:hAnsi="宋体"/>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bCs/>
          <w:color w:val="auto"/>
          <w:szCs w:val="21"/>
          <w:highlight w:val="none"/>
        </w:rPr>
        <w:t>①</w:t>
      </w:r>
      <w:r>
        <w:rPr>
          <w:rFonts w:hint="eastAsia" w:ascii="宋体" w:hAnsi="宋体" w:cs="宋体"/>
          <w:b/>
          <w:bCs/>
          <w:color w:val="auto"/>
          <w:kern w:val="0"/>
          <w:szCs w:val="21"/>
          <w:highlight w:val="none"/>
        </w:rPr>
        <w:t>参加政府采购活动前三年内在经营活动中没有重大违法记录的书面声明</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518" w:firstLineChars="246"/>
        <w:jc w:val="left"/>
        <w:rPr>
          <w:rFonts w:hint="eastAsia" w:ascii="宋体" w:hAnsi="宋体"/>
          <w:b/>
          <w:bCs/>
          <w:color w:val="auto"/>
          <w:szCs w:val="21"/>
          <w:highlight w:val="none"/>
        </w:rPr>
      </w:pPr>
      <w:r>
        <w:rPr>
          <w:rFonts w:hint="eastAsia" w:ascii="宋体" w:hAnsi="宋体"/>
          <w:b/>
          <w:bCs/>
          <w:color w:val="auto"/>
          <w:szCs w:val="21"/>
          <w:highlight w:val="none"/>
        </w:rPr>
        <w:t>(3)中小企业声明函（必须提供）</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（1）投标保证金的相关证明</w:t>
      </w:r>
      <w:r>
        <w:rPr>
          <w:rFonts w:hint="eastAsia" w:ascii="宋体" w:hAnsi="宋体"/>
          <w:color w:val="auto"/>
          <w:szCs w:val="21"/>
          <w:highlight w:val="none"/>
        </w:rPr>
        <w:t>扫描件或其他电子文件</w:t>
      </w:r>
      <w:r>
        <w:rPr>
          <w:rFonts w:hint="eastAsia" w:ascii="宋体" w:hAnsi="宋体"/>
          <w:b/>
          <w:color w:val="auto"/>
          <w:szCs w:val="21"/>
          <w:highlight w:val="none"/>
        </w:rPr>
        <w:t>（可单独提交）（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（2）投标声明书 (格式见第六章)（</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（3）法定代表人授权委托书和委托代理人身份证</w:t>
      </w:r>
      <w:r>
        <w:rPr>
          <w:rFonts w:hint="eastAsia" w:ascii="宋体" w:hAnsi="宋体"/>
          <w:color w:val="auto"/>
          <w:szCs w:val="21"/>
          <w:highlight w:val="none"/>
        </w:rPr>
        <w:t>扫描件或其他电子文件</w:t>
      </w:r>
      <w:r>
        <w:rPr>
          <w:rFonts w:hint="eastAsia" w:ascii="宋体" w:hAnsi="宋体"/>
          <w:b/>
          <w:color w:val="auto"/>
          <w:szCs w:val="21"/>
          <w:highlight w:val="none"/>
        </w:rPr>
        <w:t>（格式见第六章)（必须提供）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w:t>
      </w:r>
      <w:r>
        <w:rPr>
          <w:rFonts w:hint="eastAsia" w:ascii="宋体" w:hAnsi="宋体"/>
          <w:color w:val="auto"/>
          <w:szCs w:val="21"/>
          <w:highlight w:val="none"/>
        </w:rPr>
        <w:t>扫描件或其他电子文件；</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w:t>
      </w:r>
      <w:r>
        <w:rPr>
          <w:rFonts w:hint="eastAsia" w:ascii="宋体" w:hAnsi="宋体"/>
          <w:color w:val="auto"/>
          <w:szCs w:val="21"/>
          <w:highlight w:val="none"/>
        </w:rPr>
        <w:t>扫描件或其他电子文件</w:t>
      </w:r>
      <w:r>
        <w:rPr>
          <w:rFonts w:hint="eastAsia" w:ascii="宋体" w:hAnsi="宋体"/>
          <w:b/>
          <w:color w:val="auto"/>
          <w:szCs w:val="21"/>
          <w:highlight w:val="none"/>
        </w:rPr>
        <w:t>，原件备查，格式自拟）（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w:t>
      </w:r>
      <w:r>
        <w:rPr>
          <w:rFonts w:hint="eastAsia" w:ascii="宋体" w:hAnsi="宋体"/>
          <w:color w:val="auto"/>
          <w:szCs w:val="21"/>
          <w:highlight w:val="none"/>
        </w:rPr>
        <w:t>扫描件（如有）</w:t>
      </w:r>
      <w:r>
        <w:rPr>
          <w:rFonts w:hint="eastAsia" w:ascii="宋体" w:hAnsi="宋体" w:cs="宋体"/>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210" w:firstLineChars="100"/>
        <w:jc w:val="left"/>
        <w:rPr>
          <w:rFonts w:hint="eastAsia"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（13）具备法律、行政法规规定的其他条件的证明材料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bCs/>
          <w:color w:val="auto"/>
          <w:szCs w:val="21"/>
          <w:highlight w:val="none"/>
        </w:rPr>
        <w:t xml:space="preserve"> 可作为投标人资信评分的资质证明材料（可选）  </w:t>
      </w:r>
    </w:p>
    <w:p>
      <w:pPr>
        <w:snapToGrid w:val="0"/>
        <w:spacing w:line="360" w:lineRule="exact"/>
        <w:ind w:left="937" w:leftChars="196" w:hanging="525" w:hangingChars="250"/>
        <w:jc w:val="left"/>
        <w:rPr>
          <w:rFonts w:hint="eastAsia" w:ascii="宋体" w:hAnsi="宋体"/>
          <w:color w:val="auto"/>
          <w:szCs w:val="21"/>
          <w:highlight w:val="none"/>
        </w:rPr>
      </w:pPr>
      <w:r>
        <w:rPr>
          <w:rFonts w:hint="eastAsia" w:ascii="宋体" w:hAnsi="宋体"/>
          <w:color w:val="auto"/>
          <w:szCs w:val="21"/>
          <w:highlight w:val="none"/>
        </w:rPr>
        <w:t>（14）类似案例成功的业绩（投标人同类项目实施情况一览表、合同扫描件、用户验收报告、用户评价）；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（15）其他特殊资质证书（如本地化服务能力等）；</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16</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（17）投标人质量管理和质量保证体系等方面的认证证书；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（20）投标人情况介绍。</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（1）投标函（格式见第六章</w:t>
      </w:r>
      <w:r>
        <w:rPr>
          <w:rFonts w:ascii="宋体" w:hAnsi="宋体"/>
          <w:color w:val="auto"/>
          <w:szCs w:val="21"/>
          <w:highlight w:val="none"/>
          <w:lang w:val="en"/>
        </w:rPr>
        <w:t>，</w:t>
      </w:r>
      <w:r>
        <w:rPr>
          <w:rFonts w:hint="eastAsia" w:ascii="宋体" w:hAnsi="宋体"/>
          <w:b/>
          <w:bCs/>
          <w:color w:val="auto"/>
          <w:szCs w:val="21"/>
          <w:highlight w:val="none"/>
        </w:rPr>
        <w:t>必须提供</w:t>
      </w:r>
      <w:r>
        <w:rPr>
          <w:rFonts w:hint="eastAsia" w:ascii="宋体" w:hAnsi="宋体"/>
          <w:color w:val="auto"/>
          <w:szCs w:val="21"/>
          <w:highlight w:val="none"/>
        </w:rPr>
        <w:t xml:space="preserve">）； </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（2）投标报价明细表（格式见第六章，</w:t>
      </w:r>
      <w:r>
        <w:rPr>
          <w:rFonts w:hint="eastAsia" w:ascii="宋体" w:hAnsi="宋体"/>
          <w:b/>
          <w:bCs/>
          <w:color w:val="auto"/>
          <w:szCs w:val="21"/>
          <w:highlight w:val="none"/>
        </w:rPr>
        <w:t>必须提供</w:t>
      </w:r>
      <w:r>
        <w:rPr>
          <w:rFonts w:hint="eastAsia" w:ascii="宋体" w:hAnsi="宋体"/>
          <w:color w:val="auto"/>
          <w:szCs w:val="21"/>
          <w:highlight w:val="none"/>
        </w:rPr>
        <w:t>）；</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（4）开标一览表（格式见第六章</w:t>
      </w:r>
      <w:r>
        <w:rPr>
          <w:rFonts w:ascii="宋体" w:hAnsi="宋体"/>
          <w:color w:val="auto"/>
          <w:szCs w:val="21"/>
          <w:highlight w:val="none"/>
          <w:lang w:val="en"/>
        </w:rPr>
        <w:t>，</w:t>
      </w:r>
      <w:r>
        <w:rPr>
          <w:rFonts w:hint="eastAsia" w:ascii="宋体" w:hAnsi="宋体"/>
          <w:b/>
          <w:bCs/>
          <w:color w:val="auto"/>
          <w:szCs w:val="21"/>
          <w:highlight w:val="none"/>
        </w:rPr>
        <w:t>必须提供</w:t>
      </w:r>
      <w:r>
        <w:rPr>
          <w:rFonts w:hint="eastAsia" w:ascii="宋体" w:hAnsi="宋体"/>
          <w:color w:val="auto"/>
          <w:szCs w:val="21"/>
          <w:highlight w:val="none"/>
        </w:rPr>
        <w:t>）。</w:t>
      </w:r>
    </w:p>
    <w:p>
      <w:pPr>
        <w:pStyle w:val="18"/>
        <w:spacing w:line="360" w:lineRule="exact"/>
        <w:ind w:firstLine="420" w:firstLineChars="200"/>
        <w:rPr>
          <w:rFonts w:ascii="宋体" w:hAnsi="宋体"/>
          <w:color w:val="auto"/>
          <w:szCs w:val="21"/>
          <w:highlight w:val="none"/>
        </w:rPr>
      </w:pPr>
      <w:bookmarkStart w:id="73" w:name="_Toc254970537"/>
      <w:bookmarkStart w:id="74" w:name="_Toc254970678"/>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注：法定代表人授权委托书、投标声明书、投标函、开标一览表必须招标文件格式要求</w:t>
      </w:r>
      <w:r>
        <w:rPr>
          <w:rFonts w:hint="default" w:ascii="宋体" w:hAnsi="宋体"/>
          <w:b/>
          <w:bCs/>
          <w:color w:val="auto"/>
          <w:szCs w:val="21"/>
          <w:highlight w:val="none"/>
          <w:lang w:val="en"/>
        </w:rPr>
        <w:t>签字或签章</w:t>
      </w:r>
      <w:r>
        <w:rPr>
          <w:rFonts w:hint="eastAsia" w:ascii="宋体" w:hAnsi="宋体"/>
          <w:b/>
          <w:bCs/>
          <w:color w:val="auto"/>
          <w:szCs w:val="21"/>
          <w:highlight w:val="none"/>
        </w:rPr>
        <w:t>和加盖单位公章。</w:t>
      </w:r>
    </w:p>
    <w:p>
      <w:pPr>
        <w:snapToGrid w:val="0"/>
        <w:spacing w:line="360" w:lineRule="exact"/>
        <w:ind w:firstLine="413" w:firstLineChars="196"/>
        <w:jc w:val="left"/>
        <w:outlineLvl w:val="0"/>
        <w:rPr>
          <w:rFonts w:hint="eastAsia" w:ascii="宋体" w:hAnsi="宋体"/>
          <w:b/>
          <w:color w:val="auto"/>
          <w:szCs w:val="21"/>
          <w:highlight w:val="none"/>
        </w:rPr>
      </w:pPr>
      <w:bookmarkStart w:id="75" w:name="_Toc40864646"/>
      <w:bookmarkStart w:id="76" w:name="_Toc40865038"/>
      <w:bookmarkStart w:id="77" w:name="_Toc40864922"/>
      <w:r>
        <w:rPr>
          <w:rFonts w:hint="eastAsia" w:ascii="宋体" w:hAnsi="宋体"/>
          <w:b/>
          <w:color w:val="auto"/>
          <w:szCs w:val="21"/>
          <w:highlight w:val="none"/>
        </w:rPr>
        <w:t>（二）投标文件的语言及计量</w:t>
      </w:r>
      <w:bookmarkEnd w:id="73"/>
      <w:bookmarkEnd w:id="74"/>
      <w:bookmarkEnd w:id="75"/>
      <w:bookmarkEnd w:id="76"/>
      <w:bookmarkEnd w:id="77"/>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78" w:name="_Toc40865039"/>
      <w:bookmarkStart w:id="79" w:name="_Toc254970538"/>
      <w:bookmarkStart w:id="80" w:name="_Toc40864923"/>
      <w:bookmarkStart w:id="81" w:name="_Toc254970679"/>
      <w:bookmarkStart w:id="82" w:name="_Toc40864647"/>
      <w:r>
        <w:rPr>
          <w:rFonts w:hint="eastAsia" w:ascii="宋体" w:hAnsi="宋体"/>
          <w:b/>
          <w:color w:val="auto"/>
          <w:szCs w:val="21"/>
          <w:highlight w:val="none"/>
        </w:rPr>
        <w:t>（三）投标报价</w:t>
      </w:r>
      <w:bookmarkEnd w:id="78"/>
      <w:bookmarkEnd w:id="79"/>
      <w:bookmarkEnd w:id="80"/>
      <w:bookmarkEnd w:id="81"/>
      <w:bookmarkEnd w:id="82"/>
    </w:p>
    <w:p>
      <w:pPr>
        <w:pStyle w:val="11"/>
        <w:snapToGrid w:val="0"/>
        <w:spacing w:line="360" w:lineRule="exact"/>
        <w:ind w:firstLine="420" w:firstLineChars="200"/>
        <w:jc w:val="left"/>
        <w:rPr>
          <w:rFonts w:hAnsi="宋体"/>
          <w:b/>
          <w:bCs/>
          <w:color w:val="auto"/>
          <w:highlight w:val="none"/>
        </w:rPr>
      </w:pPr>
      <w:r>
        <w:rPr>
          <w:rFonts w:hint="eastAsia" w:hAnsi="宋体"/>
          <w:color w:val="auto"/>
          <w:highlight w:val="none"/>
        </w:rPr>
        <w:t>1.投标报价应按招标文件中相关附表格式填写。</w:t>
      </w:r>
      <w:r>
        <w:rPr>
          <w:rFonts w:hint="eastAsia" w:hAnsi="宋体"/>
          <w:b/>
          <w:bCs/>
          <w:color w:val="auto"/>
          <w:highlight w:val="none"/>
        </w:rPr>
        <w:t>投标人可就《招标项目采购需求》中的货物和服务内容作完整唯一报价。</w:t>
      </w:r>
    </w:p>
    <w:p>
      <w:pPr>
        <w:pStyle w:val="11"/>
        <w:snapToGrid w:val="0"/>
        <w:spacing w:line="360" w:lineRule="exact"/>
        <w:ind w:firstLine="420" w:firstLineChars="200"/>
        <w:jc w:val="left"/>
        <w:rPr>
          <w:rFonts w:hint="eastAsia" w:hAnsi="宋体"/>
          <w:color w:val="auto"/>
          <w:highlight w:val="none"/>
        </w:rPr>
      </w:pPr>
      <w:r>
        <w:rPr>
          <w:rFonts w:hint="eastAsia" w:hAnsi="宋体"/>
          <w:color w:val="auto"/>
          <w:highlight w:val="none"/>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pStyle w:val="5"/>
        <w:widowControl w:val="0"/>
        <w:tabs>
          <w:tab w:val="left" w:pos="720"/>
          <w:tab w:val="left" w:pos="840"/>
        </w:tabs>
        <w:snapToGrid w:val="0"/>
        <w:spacing w:before="156" w:beforeLines="50" w:after="120" w:afterLines="0" w:line="360" w:lineRule="exact"/>
        <w:ind w:left="0" w:firstLine="413" w:firstLineChars="196"/>
        <w:outlineLvl w:val="0"/>
        <w:rPr>
          <w:rFonts w:hint="eastAsia" w:ascii="宋体" w:hAnsi="宋体"/>
          <w:b/>
          <w:color w:val="auto"/>
          <w:sz w:val="21"/>
          <w:szCs w:val="21"/>
          <w:highlight w:val="none"/>
        </w:rPr>
      </w:pPr>
      <w:bookmarkStart w:id="83" w:name="_Toc40864924"/>
      <w:bookmarkStart w:id="84" w:name="_Toc40865040"/>
      <w:bookmarkStart w:id="85" w:name="_Toc40864648"/>
      <w:r>
        <w:rPr>
          <w:rFonts w:hint="eastAsia" w:ascii="宋体" w:hAnsi="宋体"/>
          <w:b/>
          <w:color w:val="auto"/>
          <w:sz w:val="21"/>
          <w:szCs w:val="21"/>
          <w:highlight w:val="none"/>
        </w:rPr>
        <w:t>（四）投标文件的有效期</w:t>
      </w:r>
      <w:bookmarkEnd w:id="83"/>
      <w:bookmarkEnd w:id="84"/>
      <w:bookmarkEnd w:id="85"/>
    </w:p>
    <w:p>
      <w:pPr>
        <w:pStyle w:val="5"/>
        <w:widowControl w:val="0"/>
        <w:tabs>
          <w:tab w:val="left" w:pos="720"/>
          <w:tab w:val="left" w:pos="840"/>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1.自投标截止日起</w:t>
      </w:r>
      <w:r>
        <w:rPr>
          <w:rFonts w:hint="eastAsia" w:ascii="宋体" w:hAnsi="宋体"/>
          <w:color w:val="auto"/>
          <w:sz w:val="21"/>
          <w:szCs w:val="21"/>
          <w:highlight w:val="none"/>
          <w:u w:val="single"/>
        </w:rPr>
        <w:t>60</w:t>
      </w:r>
      <w:r>
        <w:rPr>
          <w:rFonts w:hint="eastAsia" w:ascii="宋体" w:hAnsi="宋体"/>
          <w:color w:val="auto"/>
          <w:sz w:val="21"/>
          <w:szCs w:val="21"/>
          <w:highlight w:val="none"/>
        </w:rPr>
        <w:t>天投标文件应保持有效。有效期不足的投标文件将被拒绝。</w:t>
      </w:r>
    </w:p>
    <w:p>
      <w:pPr>
        <w:pStyle w:val="5"/>
        <w:widowControl w:val="0"/>
        <w:tabs>
          <w:tab w:val="left" w:pos="720"/>
          <w:tab w:val="left" w:pos="840"/>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2.在特殊情况下，招标人可与投标人协商延长投标书的有效期，这种要求和答复均以书面形式进行。</w:t>
      </w:r>
    </w:p>
    <w:p>
      <w:pPr>
        <w:snapToGrid w:val="0"/>
        <w:spacing w:line="360" w:lineRule="exact"/>
        <w:ind w:firstLine="420" w:firstLineChars="200"/>
        <w:jc w:val="left"/>
        <w:outlineLvl w:val="0"/>
        <w:rPr>
          <w:rFonts w:hint="eastAsia" w:ascii="宋体" w:hAnsi="宋体"/>
          <w:b/>
          <w:color w:val="auto"/>
          <w:szCs w:val="21"/>
          <w:highlight w:val="none"/>
        </w:rPr>
      </w:pPr>
      <w:bookmarkStart w:id="86" w:name="_Toc254970539"/>
      <w:bookmarkStart w:id="87" w:name="_Toc40864925"/>
      <w:bookmarkStart w:id="88" w:name="_Toc40864649"/>
      <w:bookmarkStart w:id="89" w:name="_Toc254970680"/>
      <w:bookmarkStart w:id="90" w:name="_Toc40865041"/>
      <w:r>
        <w:rPr>
          <w:rFonts w:hint="eastAsia" w:ascii="宋体" w:hAnsi="宋体"/>
          <w:color w:val="auto"/>
          <w:szCs w:val="21"/>
          <w:highlight w:val="none"/>
        </w:rPr>
        <w:t>3.投标人可拒绝接受延期要求而不会导致投标保证金被没收。同意延长有效期的投标人需要相应延长投标保证金的有效期，但不能修改投标文件。</w:t>
      </w:r>
      <w:bookmarkEnd w:id="86"/>
      <w:bookmarkEnd w:id="87"/>
      <w:bookmarkEnd w:id="88"/>
      <w:bookmarkEnd w:id="89"/>
      <w:bookmarkEnd w:id="90"/>
      <w:r>
        <w:rPr>
          <w:rFonts w:hint="eastAsia" w:ascii="宋体" w:hAnsi="宋体"/>
          <w:b/>
          <w:color w:val="auto"/>
          <w:szCs w:val="21"/>
          <w:highlight w:val="none"/>
        </w:rPr>
        <w:t xml:space="preserve"> </w:t>
      </w:r>
    </w:p>
    <w:p>
      <w:pPr>
        <w:snapToGrid w:val="0"/>
        <w:spacing w:line="360" w:lineRule="exact"/>
        <w:ind w:firstLine="420" w:firstLineChars="200"/>
        <w:jc w:val="left"/>
        <w:outlineLvl w:val="0"/>
        <w:rPr>
          <w:rFonts w:hint="eastAsia" w:ascii="宋体" w:hAnsi="宋体"/>
          <w:b/>
          <w:color w:val="auto"/>
          <w:szCs w:val="21"/>
          <w:highlight w:val="none"/>
        </w:rPr>
      </w:pPr>
      <w:bookmarkStart w:id="91" w:name="_Toc254970681"/>
      <w:bookmarkStart w:id="92" w:name="_Toc254970540"/>
      <w:bookmarkStart w:id="93" w:name="_Toc40864926"/>
      <w:bookmarkStart w:id="94" w:name="_Toc40865042"/>
      <w:bookmarkStart w:id="95" w:name="_Toc40864650"/>
      <w:r>
        <w:rPr>
          <w:rFonts w:hint="eastAsia" w:ascii="宋体" w:hAnsi="宋体"/>
          <w:color w:val="auto"/>
          <w:szCs w:val="21"/>
          <w:highlight w:val="none"/>
        </w:rPr>
        <w:t>4.中标人的投标文件自开标之日起至合同履行完毕止均应保持有效。</w:t>
      </w:r>
      <w:bookmarkEnd w:id="91"/>
      <w:bookmarkEnd w:id="92"/>
      <w:bookmarkEnd w:id="93"/>
      <w:bookmarkEnd w:id="94"/>
      <w:bookmarkEnd w:id="95"/>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96" w:name="_Toc254970541"/>
      <w:bookmarkStart w:id="97" w:name="_Toc40864927"/>
      <w:bookmarkStart w:id="98" w:name="_Toc40864651"/>
      <w:bookmarkStart w:id="99" w:name="_Toc40865043"/>
      <w:bookmarkStart w:id="100" w:name="_Toc254970682"/>
      <w:r>
        <w:rPr>
          <w:rFonts w:hint="eastAsia" w:ascii="宋体" w:hAnsi="宋体"/>
          <w:b/>
          <w:color w:val="auto"/>
          <w:szCs w:val="21"/>
          <w:highlight w:val="none"/>
        </w:rPr>
        <w:t>（五）投标保证金</w:t>
      </w:r>
      <w:bookmarkEnd w:id="96"/>
      <w:bookmarkEnd w:id="97"/>
      <w:bookmarkEnd w:id="98"/>
      <w:bookmarkEnd w:id="99"/>
      <w:bookmarkEnd w:id="100"/>
    </w:p>
    <w:p>
      <w:pPr>
        <w:pStyle w:val="11"/>
        <w:spacing w:line="420" w:lineRule="exact"/>
        <w:ind w:left="840" w:leftChars="200" w:hanging="420" w:hangingChars="200"/>
        <w:rPr>
          <w:rFonts w:hint="eastAsia" w:hAnsi="宋体"/>
          <w:color w:val="auto"/>
          <w:highlight w:val="none"/>
        </w:rPr>
      </w:pPr>
      <w:r>
        <w:rPr>
          <w:rFonts w:hint="eastAsia" w:hAnsi="宋体"/>
          <w:color w:val="auto"/>
          <w:highlight w:val="none"/>
        </w:rPr>
        <w:t>1. 投标保证金应用人民币，投标人须按规定提交投标保证金。否则，其投标将被拒绝。</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2.保证金交纳形式：</w:t>
      </w:r>
      <w:r>
        <w:rPr>
          <w:rFonts w:hint="eastAsia" w:hAnsi="宋体"/>
          <w:color w:val="auto"/>
          <w:szCs w:val="21"/>
          <w:highlight w:val="none"/>
        </w:rPr>
        <w:t>支票、汇票、本票、</w:t>
      </w:r>
      <w:r>
        <w:rPr>
          <w:rFonts w:hint="eastAsia" w:hAnsi="宋体" w:cs="Arial"/>
          <w:bCs/>
          <w:color w:val="auto"/>
          <w:highlight w:val="none"/>
        </w:rPr>
        <w:t>网上银行</w:t>
      </w:r>
      <w:r>
        <w:rPr>
          <w:rFonts w:hint="eastAsia" w:hAnsi="宋体"/>
          <w:color w:val="auto"/>
          <w:szCs w:val="22"/>
          <w:highlight w:val="none"/>
        </w:rPr>
        <w:t>或者银行、保险机构出具的保函</w:t>
      </w:r>
      <w:r>
        <w:rPr>
          <w:rFonts w:hint="eastAsia" w:hAnsi="宋体"/>
          <w:color w:val="auto"/>
          <w:szCs w:val="21"/>
          <w:highlight w:val="none"/>
        </w:rPr>
        <w:t>等非现金形式提交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投标人应按本须知</w:t>
      </w:r>
      <w:r>
        <w:rPr>
          <w:rFonts w:hint="eastAsia" w:ascii="宋体" w:hAnsi="宋体"/>
          <w:color w:val="auto"/>
          <w:szCs w:val="21"/>
          <w:highlight w:val="none"/>
        </w:rPr>
        <w:t>及</w:t>
      </w:r>
      <w:r>
        <w:rPr>
          <w:rFonts w:ascii="宋体" w:hAnsi="宋体"/>
          <w:color w:val="auto"/>
          <w:szCs w:val="21"/>
          <w:highlight w:val="none"/>
        </w:rPr>
        <w:t>招标公告中所明确的开户名称、开户银行、账号，于投标截止前交到本中心账户上</w:t>
      </w:r>
      <w:r>
        <w:rPr>
          <w:rFonts w:hint="eastAsia" w:ascii="宋体" w:hAnsi="宋体"/>
          <w:color w:val="auto"/>
          <w:szCs w:val="21"/>
          <w:highlight w:val="none"/>
        </w:rPr>
        <w:t>或本中心财务处</w:t>
      </w:r>
      <w:r>
        <w:rPr>
          <w:rFonts w:ascii="宋体" w:hAnsi="宋体"/>
          <w:color w:val="auto"/>
          <w:szCs w:val="21"/>
          <w:highlight w:val="none"/>
        </w:rPr>
        <w:t>（投标人交纳投标保证金时应充分考虑保证金到达本中心账户上的</w:t>
      </w:r>
      <w:r>
        <w:rPr>
          <w:rFonts w:hint="eastAsia" w:ascii="宋体" w:hAnsi="宋体"/>
          <w:color w:val="auto"/>
          <w:szCs w:val="21"/>
          <w:highlight w:val="none"/>
        </w:rPr>
        <w:t>清算</w:t>
      </w:r>
      <w:r>
        <w:rPr>
          <w:rFonts w:ascii="宋体" w:hAnsi="宋体"/>
          <w:color w:val="auto"/>
          <w:szCs w:val="21"/>
          <w:highlight w:val="none"/>
        </w:rPr>
        <w:t>时间）。</w:t>
      </w:r>
    </w:p>
    <w:p>
      <w:pPr>
        <w:pStyle w:val="11"/>
        <w:spacing w:line="420" w:lineRule="exact"/>
        <w:ind w:left="989" w:leftChars="301" w:hanging="357" w:hangingChars="198"/>
        <w:rPr>
          <w:rFonts w:hint="eastAsia"/>
          <w:b/>
          <w:color w:val="auto"/>
          <w:sz w:val="18"/>
          <w:szCs w:val="18"/>
          <w:highlight w:val="none"/>
        </w:rPr>
      </w:pPr>
      <w:r>
        <w:rPr>
          <w:rFonts w:hint="eastAsia" w:hAnsi="宋体"/>
          <w:b/>
          <w:color w:val="auto"/>
          <w:sz w:val="18"/>
          <w:szCs w:val="18"/>
          <w:highlight w:val="none"/>
        </w:rPr>
        <w:t>注：①</w:t>
      </w:r>
      <w:r>
        <w:rPr>
          <w:rFonts w:hint="eastAsia"/>
          <w:b/>
          <w:color w:val="auto"/>
          <w:sz w:val="18"/>
          <w:szCs w:val="18"/>
          <w:highlight w:val="none"/>
        </w:rPr>
        <w:t>办理投标保证金手续时，请务必在保证金凭据上注明或写明项目名称及项目编号，以免耽误投标。</w:t>
      </w:r>
    </w:p>
    <w:p>
      <w:pPr>
        <w:snapToGrid w:val="0"/>
        <w:spacing w:line="360" w:lineRule="exact"/>
        <w:ind w:firstLine="984" w:firstLineChars="545"/>
        <w:jc w:val="left"/>
        <w:rPr>
          <w:rFonts w:hint="eastAsia" w:hAnsi="宋体"/>
          <w:b/>
          <w:color w:val="auto"/>
          <w:sz w:val="18"/>
          <w:szCs w:val="18"/>
          <w:highlight w:val="none"/>
        </w:rPr>
      </w:pPr>
      <w:r>
        <w:rPr>
          <w:rFonts w:hint="eastAsia" w:hAnsi="宋体"/>
          <w:b/>
          <w:color w:val="auto"/>
          <w:sz w:val="18"/>
          <w:szCs w:val="18"/>
          <w:highlight w:val="none"/>
        </w:rPr>
        <w:t>②</w:t>
      </w:r>
      <w:r>
        <w:rPr>
          <w:rFonts w:hint="eastAsia" w:ascii="宋体" w:hAnsi="宋体"/>
          <w:b/>
          <w:color w:val="auto"/>
          <w:sz w:val="18"/>
          <w:szCs w:val="18"/>
          <w:highlight w:val="none"/>
        </w:rPr>
        <w:t>未中标人的投标保证金在中标通知书发出后5个工作日内退还，</w:t>
      </w:r>
      <w:r>
        <w:rPr>
          <w:rFonts w:hint="eastAsia" w:hAnsi="宋体"/>
          <w:b/>
          <w:color w:val="auto"/>
          <w:sz w:val="18"/>
          <w:szCs w:val="18"/>
          <w:highlight w:val="none"/>
        </w:rPr>
        <w:t>不计利息。</w:t>
      </w:r>
    </w:p>
    <w:p>
      <w:pPr>
        <w:snapToGrid w:val="0"/>
        <w:spacing w:line="360" w:lineRule="exact"/>
        <w:ind w:left="1109" w:leftChars="444" w:hanging="177" w:hangingChars="98"/>
        <w:jc w:val="left"/>
        <w:rPr>
          <w:rFonts w:hint="eastAsia" w:ascii="宋体" w:hAnsi="宋体"/>
          <w:b/>
          <w:color w:val="auto"/>
          <w:sz w:val="18"/>
          <w:szCs w:val="18"/>
          <w:highlight w:val="none"/>
        </w:rPr>
      </w:pPr>
      <w:r>
        <w:rPr>
          <w:rFonts w:hint="eastAsia" w:hAnsi="宋体"/>
          <w:b/>
          <w:color w:val="auto"/>
          <w:sz w:val="18"/>
          <w:szCs w:val="18"/>
          <w:highlight w:val="none"/>
        </w:rPr>
        <w:t>③</w:t>
      </w:r>
      <w:r>
        <w:rPr>
          <w:rFonts w:hint="eastAsia" w:ascii="宋体" w:hAnsi="宋体"/>
          <w:b/>
          <w:color w:val="auto"/>
          <w:sz w:val="18"/>
          <w:szCs w:val="18"/>
          <w:highlight w:val="none"/>
        </w:rPr>
        <w:t>中标人的</w:t>
      </w:r>
      <w:r>
        <w:rPr>
          <w:rFonts w:ascii="宋体" w:hAnsi="宋体"/>
          <w:b/>
          <w:color w:val="auto"/>
          <w:sz w:val="18"/>
          <w:szCs w:val="18"/>
          <w:highlight w:val="none"/>
        </w:rPr>
        <w:t>投标保证金自政府采购合同签订之日起</w:t>
      </w:r>
      <w:r>
        <w:rPr>
          <w:rFonts w:hint="eastAsia" w:ascii="宋体" w:hAnsi="宋体"/>
          <w:b/>
          <w:color w:val="auto"/>
          <w:sz w:val="18"/>
          <w:szCs w:val="18"/>
          <w:highlight w:val="none"/>
        </w:rPr>
        <w:t>5</w:t>
      </w:r>
      <w:r>
        <w:rPr>
          <w:rFonts w:ascii="宋体" w:hAnsi="宋体"/>
          <w:b/>
          <w:color w:val="auto"/>
          <w:sz w:val="18"/>
          <w:szCs w:val="18"/>
          <w:highlight w:val="none"/>
        </w:rPr>
        <w:t>个工作日内</w:t>
      </w:r>
      <w:r>
        <w:rPr>
          <w:rFonts w:hint="eastAsia" w:ascii="宋体" w:hAnsi="宋体"/>
          <w:b/>
          <w:color w:val="auto"/>
          <w:sz w:val="18"/>
          <w:szCs w:val="18"/>
          <w:highlight w:val="none"/>
        </w:rPr>
        <w:t>（合同签订后送达本中心)后</w:t>
      </w:r>
      <w:r>
        <w:rPr>
          <w:rFonts w:ascii="宋体" w:hAnsi="宋体"/>
          <w:b/>
          <w:color w:val="auto"/>
          <w:sz w:val="18"/>
          <w:szCs w:val="18"/>
          <w:highlight w:val="none"/>
        </w:rPr>
        <w:t>退还</w:t>
      </w:r>
      <w:r>
        <w:rPr>
          <w:rFonts w:hint="eastAsia" w:ascii="宋体" w:hAnsi="宋体"/>
          <w:b/>
          <w:color w:val="auto"/>
          <w:sz w:val="18"/>
          <w:szCs w:val="18"/>
          <w:highlight w:val="none"/>
        </w:rPr>
        <w:t>，不计利息。</w:t>
      </w:r>
    </w:p>
    <w:p>
      <w:pPr>
        <w:spacing w:line="400" w:lineRule="exact"/>
        <w:ind w:firstLine="420" w:firstLineChars="200"/>
        <w:rPr>
          <w:rFonts w:hint="eastAsia" w:ascii="宋体" w:hAnsi="宋体"/>
          <w:b/>
          <w:color w:val="auto"/>
          <w:sz w:val="18"/>
          <w:szCs w:val="18"/>
          <w:highlight w:val="none"/>
        </w:rPr>
      </w:pPr>
      <w:r>
        <w:rPr>
          <w:rFonts w:hint="eastAsia" w:ascii="宋体" w:hAnsi="宋体"/>
          <w:color w:val="auto"/>
          <w:szCs w:val="21"/>
          <w:highlight w:val="none"/>
        </w:rPr>
        <w:t>4.本项目保证金事宜请联系中心财务处（电话：0771-8600309，地址：</w:t>
      </w:r>
      <w:r>
        <w:rPr>
          <w:rFonts w:hAnsi="宋体" w:cs="宋体"/>
          <w:bCs/>
          <w:color w:val="auto"/>
          <w:kern w:val="0"/>
          <w:szCs w:val="21"/>
          <w:highlight w:val="none"/>
          <w:lang w:val="en"/>
        </w:rPr>
        <w:t>广西南宁市星湖路22号广西壮族自治区政府采购中心综合楼3楼306室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 </w:t>
      </w:r>
      <w:r>
        <w:rPr>
          <w:rFonts w:ascii="宋体" w:hAnsi="宋体" w:cs="宋体"/>
          <w:color w:val="auto"/>
          <w:kern w:val="0"/>
          <w:szCs w:val="21"/>
          <w:highlight w:val="none"/>
        </w:rPr>
        <w:t>中标人</w:t>
      </w:r>
      <w:r>
        <w:rPr>
          <w:rFonts w:ascii="宋体" w:hAnsi="宋体" w:cs="宋体"/>
          <w:b/>
          <w:bCs/>
          <w:color w:val="auto"/>
          <w:kern w:val="0"/>
          <w:szCs w:val="21"/>
          <w:highlight w:val="none"/>
        </w:rPr>
        <w:t>应在中标通知书发出</w:t>
      </w:r>
      <w:r>
        <w:rPr>
          <w:rFonts w:hint="eastAsia" w:ascii="宋体" w:hAnsi="宋体" w:cs="宋体"/>
          <w:b/>
          <w:bCs/>
          <w:color w:val="auto"/>
          <w:kern w:val="0"/>
          <w:szCs w:val="21"/>
          <w:highlight w:val="none"/>
        </w:rPr>
        <w:t>之日起</w:t>
      </w:r>
      <w:r>
        <w:rPr>
          <w:rFonts w:hint="eastAsia" w:ascii="宋体" w:hAnsi="宋体" w:cs="宋体"/>
          <w:b/>
          <w:bCs/>
          <w:color w:val="auto"/>
          <w:kern w:val="0"/>
          <w:szCs w:val="21"/>
          <w:highlight w:val="none"/>
          <w:u w:val="single"/>
        </w:rPr>
        <w:t xml:space="preserve">   </w:t>
      </w:r>
      <w:r>
        <w:rPr>
          <w:rFonts w:hint="eastAsia" w:ascii="宋体" w:hAnsi="宋体"/>
          <w:b/>
          <w:bCs/>
          <w:color w:val="auto"/>
          <w:szCs w:val="21"/>
          <w:highlight w:val="none"/>
          <w:u w:val="single"/>
        </w:rPr>
        <w:t xml:space="preserve">25  </w:t>
      </w:r>
      <w:r>
        <w:rPr>
          <w:rFonts w:hint="eastAsia" w:ascii="宋体" w:hAnsi="宋体"/>
          <w:b/>
          <w:bCs/>
          <w:color w:val="auto"/>
          <w:szCs w:val="21"/>
          <w:highlight w:val="none"/>
        </w:rPr>
        <w:t>日内</w:t>
      </w:r>
      <w:r>
        <w:rPr>
          <w:rFonts w:hint="eastAsia" w:ascii="宋体" w:hAnsi="宋体"/>
          <w:color w:val="auto"/>
          <w:szCs w:val="21"/>
          <w:highlight w:val="none"/>
        </w:rPr>
        <w:t>与采购人签订合同</w:t>
      </w:r>
      <w:r>
        <w:rPr>
          <w:rFonts w:hint="eastAsia" w:hAnsi="宋体"/>
          <w:b/>
          <w:color w:val="auto"/>
          <w:highlight w:val="none"/>
          <w:u w:val="single"/>
        </w:rPr>
        <w:t>（采购需求另有规定的，按采购需求要求执行）</w:t>
      </w:r>
      <w:r>
        <w:rPr>
          <w:rFonts w:hint="eastAsia" w:ascii="宋体" w:hAnsi="宋体"/>
          <w:color w:val="auto"/>
          <w:szCs w:val="21"/>
          <w:highlight w:val="none"/>
        </w:rPr>
        <w:t>。</w:t>
      </w:r>
    </w:p>
    <w:p>
      <w:pPr>
        <w:pStyle w:val="11"/>
        <w:spacing w:line="400" w:lineRule="exact"/>
        <w:ind w:firstLine="420" w:firstLineChars="200"/>
        <w:rPr>
          <w:rFonts w:hint="eastAsia" w:hAnsi="宋体"/>
          <w:color w:val="auto"/>
          <w:highlight w:val="none"/>
        </w:rPr>
      </w:pPr>
      <w:r>
        <w:rPr>
          <w:rFonts w:hint="eastAsia"/>
          <w:color w:val="auto"/>
          <w:highlight w:val="none"/>
        </w:rPr>
        <w:t>6.投标保证金不计息。</w:t>
      </w:r>
    </w:p>
    <w:p>
      <w:pPr>
        <w:snapToGrid w:val="0"/>
        <w:spacing w:line="360" w:lineRule="exact"/>
        <w:ind w:firstLine="413" w:firstLineChars="196"/>
        <w:jc w:val="left"/>
        <w:rPr>
          <w:rFonts w:hint="eastAsia" w:ascii="宋体" w:hAnsi="宋体"/>
          <w:b/>
          <w:bCs/>
          <w:color w:val="auto"/>
          <w:szCs w:val="21"/>
          <w:highlight w:val="none"/>
        </w:rPr>
      </w:pPr>
      <w:r>
        <w:rPr>
          <w:rFonts w:hint="eastAsia" w:ascii="宋体" w:hAnsi="宋体"/>
          <w:b/>
          <w:bCs/>
          <w:color w:val="auto"/>
          <w:szCs w:val="21"/>
          <w:highlight w:val="none"/>
        </w:rPr>
        <w:t>7.投标人有下列情形之一的，投标保证金将不予退还：</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投标人在投标有效期内撤回投标文件的；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投标人在投标过程中弄虚作假，提供虚假材料的；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中标人无正当理由不与采购人签订合同的；</w:t>
      </w:r>
    </w:p>
    <w:p>
      <w:pPr>
        <w:snapToGrid w:val="0"/>
        <w:spacing w:line="36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bCs/>
          <w:color w:val="auto"/>
          <w:spacing w:val="-4"/>
          <w:szCs w:val="21"/>
          <w:highlight w:val="none"/>
        </w:rPr>
        <w:t>将中标项目转让给他人或者在投标文件中未说明且未经招标采购人同意，将中标项目分包给他人的；</w:t>
      </w:r>
    </w:p>
    <w:p>
      <w:pPr>
        <w:snapToGrid w:val="0"/>
        <w:spacing w:line="36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拒绝履行合同义务的；</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（6）其他严重扰乱招投标程序的。</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101" w:name="_Toc40865044"/>
      <w:bookmarkStart w:id="102" w:name="_Toc254970683"/>
      <w:bookmarkStart w:id="103" w:name="_Toc40864928"/>
      <w:bookmarkStart w:id="104" w:name="_Toc254970542"/>
      <w:bookmarkStart w:id="105" w:name="_Toc40864652"/>
      <w:r>
        <w:rPr>
          <w:rFonts w:hint="eastAsia" w:ascii="宋体" w:hAnsi="宋体"/>
          <w:b/>
          <w:color w:val="auto"/>
          <w:szCs w:val="21"/>
          <w:highlight w:val="none"/>
        </w:rPr>
        <w:t>（六）投标文件的签署和份数</w:t>
      </w:r>
      <w:bookmarkEnd w:id="101"/>
      <w:bookmarkEnd w:id="102"/>
      <w:bookmarkEnd w:id="103"/>
      <w:bookmarkEnd w:id="104"/>
      <w:bookmarkEnd w:id="105"/>
    </w:p>
    <w:p>
      <w:pPr>
        <w:adjustRightInd w:val="0"/>
        <w:snapToGrid w:val="0"/>
        <w:spacing w:line="400" w:lineRule="exact"/>
        <w:ind w:firstLine="420" w:firstLineChars="200"/>
        <w:jc w:val="left"/>
        <w:rPr>
          <w:rFonts w:hint="eastAsia" w:ascii="宋体" w:hAnsi="宋体"/>
          <w:color w:val="auto"/>
          <w:szCs w:val="21"/>
          <w:highlight w:val="none"/>
        </w:rPr>
      </w:pPr>
      <w:bookmarkStart w:id="106" w:name="_Toc40864653"/>
      <w:bookmarkStart w:id="107" w:name="_Toc40864929"/>
      <w:bookmarkStart w:id="108" w:name="_Toc40865045"/>
      <w:r>
        <w:rPr>
          <w:rFonts w:hint="eastAsia" w:ascii="宋体" w:hAnsi="宋体"/>
          <w:color w:val="auto"/>
          <w:szCs w:val="21"/>
          <w:highlight w:val="none"/>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 投标文件份数：见投标人须知及前附表。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3.投标文件须由投标人在规定位置盖章并由法定代表人或法定代表人的授权委托人</w:t>
      </w:r>
      <w:r>
        <w:rPr>
          <w:rFonts w:hint="eastAsia" w:ascii="宋体" w:hAnsi="宋体"/>
          <w:color w:val="auto"/>
          <w:szCs w:val="21"/>
          <w:highlight w:val="none"/>
          <w:lang w:eastAsia="zh-CN"/>
        </w:rPr>
        <w:t>签字或签章</w:t>
      </w:r>
      <w:r>
        <w:rPr>
          <w:rFonts w:hint="eastAsia" w:ascii="宋体" w:hAnsi="宋体"/>
          <w:color w:val="auto"/>
          <w:szCs w:val="21"/>
          <w:highlight w:val="none"/>
        </w:rPr>
        <w:t>，投标人应写全称。</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4.投标文件不得涂改，若有修改错漏处，须加盖单位公章或者法定代表人或授权委托人</w:t>
      </w:r>
      <w:r>
        <w:rPr>
          <w:rFonts w:hint="eastAsia" w:ascii="宋体" w:hAnsi="宋体"/>
          <w:color w:val="auto"/>
          <w:szCs w:val="21"/>
          <w:highlight w:val="none"/>
          <w:lang w:eastAsia="zh-CN"/>
        </w:rPr>
        <w:t>签字或签章</w:t>
      </w:r>
      <w:r>
        <w:rPr>
          <w:rFonts w:hint="eastAsia" w:ascii="宋体" w:hAnsi="宋体"/>
          <w:color w:val="auto"/>
          <w:szCs w:val="21"/>
          <w:highlight w:val="none"/>
        </w:rPr>
        <w:t>。投标文件因扫描不清晰或乱码或表达不清所引起的后果由投标人负责。</w:t>
      </w:r>
    </w:p>
    <w:p>
      <w:pPr>
        <w:snapToGrid w:val="0"/>
        <w:spacing w:before="156" w:beforeLines="50" w:line="360" w:lineRule="exact"/>
        <w:ind w:firstLine="309" w:firstLineChars="147"/>
        <w:jc w:val="left"/>
        <w:outlineLvl w:val="0"/>
        <w:rPr>
          <w:rFonts w:hint="eastAsia" w:ascii="宋体" w:hAnsi="宋体"/>
          <w:b/>
          <w:color w:val="auto"/>
          <w:szCs w:val="21"/>
          <w:highlight w:val="none"/>
        </w:rPr>
      </w:pPr>
      <w:r>
        <w:rPr>
          <w:rFonts w:hint="eastAsia" w:ascii="宋体" w:hAnsi="宋体"/>
          <w:b/>
          <w:color w:val="auto"/>
          <w:szCs w:val="21"/>
          <w:highlight w:val="none"/>
        </w:rPr>
        <w:t>（七）</w:t>
      </w:r>
      <w:bookmarkEnd w:id="106"/>
      <w:bookmarkEnd w:id="107"/>
      <w:bookmarkEnd w:id="108"/>
      <w:r>
        <w:rPr>
          <w:rFonts w:hint="eastAsia"/>
          <w:b/>
          <w:color w:val="auto"/>
          <w:highlight w:val="none"/>
        </w:rPr>
        <w:t>投标文件的上传、提交、修改、撤回和解密</w:t>
      </w:r>
    </w:p>
    <w:p>
      <w:pPr>
        <w:adjustRightInd w:val="0"/>
        <w:snapToGrid w:val="0"/>
        <w:spacing w:line="400" w:lineRule="exact"/>
        <w:ind w:firstLine="210" w:firstLineChars="100"/>
        <w:jc w:val="left"/>
        <w:rPr>
          <w:rFonts w:hint="eastAsia"/>
          <w:b/>
          <w:color w:val="auto"/>
          <w:highlight w:val="none"/>
        </w:rPr>
      </w:pPr>
      <w:bookmarkStart w:id="109" w:name="_Toc40865046"/>
      <w:bookmarkStart w:id="110" w:name="_Toc40864930"/>
      <w:bookmarkStart w:id="111" w:name="_Toc40864654"/>
      <w:r>
        <w:rPr>
          <w:rFonts w:hint="eastAsia" w:hAnsi="宋体"/>
          <w:color w:val="auto"/>
          <w:highlight w:val="none"/>
        </w:rPr>
        <w:t>▲</w:t>
      </w:r>
      <w:r>
        <w:rPr>
          <w:rFonts w:hint="eastAsia" w:ascii="宋体" w:hAnsi="宋体"/>
          <w:color w:val="auto"/>
          <w:szCs w:val="21"/>
          <w:highlight w:val="none"/>
        </w:rPr>
        <w:t xml:space="preserve">1. </w:t>
      </w:r>
      <w:r>
        <w:rPr>
          <w:rFonts w:hint="eastAsia"/>
          <w:b/>
          <w:color w:val="auto"/>
          <w:highlight w:val="none"/>
        </w:rPr>
        <w:t>投标文件的上传、提交：见投标人须知及前附表。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仿宋_GB2312"/>
          <w:color w:val="auto"/>
          <w:kern w:val="0"/>
          <w:szCs w:val="21"/>
          <w:highlight w:val="none"/>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04" w:firstLineChars="200"/>
        <w:rPr>
          <w:rFonts w:hint="eastAsia" w:ascii="宋体" w:hAnsi="宋体"/>
          <w:color w:val="auto"/>
          <w:spacing w:val="-4"/>
          <w:szCs w:val="21"/>
          <w:highlight w:val="none"/>
        </w:rPr>
      </w:pPr>
      <w:r>
        <w:rPr>
          <w:rFonts w:hint="eastAsia" w:ascii="宋体" w:hAnsi="宋体"/>
          <w:color w:val="auto"/>
          <w:spacing w:val="-4"/>
          <w:szCs w:val="21"/>
          <w:highlight w:val="none"/>
        </w:rPr>
        <w:t>3.</w:t>
      </w:r>
      <w:r>
        <w:rPr>
          <w:rFonts w:hint="eastAsia" w:ascii="宋体"/>
          <w:snapToGrid w:val="0"/>
          <w:color w:val="auto"/>
          <w:szCs w:val="21"/>
          <w:highlight w:val="none"/>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04" w:firstLineChars="200"/>
        <w:jc w:val="left"/>
        <w:rPr>
          <w:rFonts w:hint="eastAsia" w:ascii="宋体" w:hAnsi="宋体"/>
          <w:color w:val="auto"/>
          <w:spacing w:val="-4"/>
          <w:szCs w:val="21"/>
          <w:highlight w:val="none"/>
        </w:rPr>
      </w:pPr>
      <w:r>
        <w:rPr>
          <w:rFonts w:hint="eastAsia" w:ascii="宋体" w:hAnsi="宋体"/>
          <w:color w:val="auto"/>
          <w:spacing w:val="-4"/>
          <w:szCs w:val="21"/>
          <w:highlight w:val="none"/>
        </w:rPr>
        <w:t>4.投标人已经被推荐为第一中标候选供应商后撤回投标或放弃中标的，其投标保证金将不予退还，并上缴国库，给采购人造成损失的，还应当赔偿损失，并作为不良行为记录在案。</w:t>
      </w:r>
    </w:p>
    <w:p>
      <w:pPr>
        <w:snapToGrid w:val="0"/>
        <w:spacing w:line="360" w:lineRule="exact"/>
        <w:ind w:firstLine="420"/>
        <w:jc w:val="left"/>
        <w:outlineLvl w:val="0"/>
        <w:rPr>
          <w:rFonts w:hint="eastAsia" w:ascii="宋体" w:hAnsi="宋体"/>
          <w:b/>
          <w:color w:val="auto"/>
          <w:szCs w:val="21"/>
          <w:highlight w:val="none"/>
        </w:rPr>
      </w:pPr>
      <w:r>
        <w:rPr>
          <w:rFonts w:hint="eastAsia" w:ascii="宋体" w:hAnsi="宋体"/>
          <w:b/>
          <w:color w:val="auto"/>
          <w:szCs w:val="21"/>
          <w:highlight w:val="none"/>
        </w:rPr>
        <w:t>（八）投标无效的情形</w:t>
      </w:r>
      <w:bookmarkEnd w:id="109"/>
      <w:bookmarkEnd w:id="110"/>
      <w:bookmarkEnd w:id="111"/>
    </w:p>
    <w:p>
      <w:pPr>
        <w:pStyle w:val="10"/>
        <w:adjustRightInd w:val="0"/>
        <w:snapToGrid w:val="0"/>
        <w:spacing w:line="400" w:lineRule="exact"/>
        <w:ind w:firstLine="411" w:firstLineChars="196"/>
        <w:rPr>
          <w:rFonts w:ascii="宋体" w:hAnsi="宋体" w:eastAsia="宋体"/>
          <w:bCs/>
          <w:color w:val="auto"/>
          <w:sz w:val="21"/>
          <w:szCs w:val="21"/>
          <w:highlight w:val="none"/>
        </w:rPr>
      </w:pPr>
      <w:bookmarkStart w:id="112" w:name="_Toc40864656"/>
      <w:bookmarkStart w:id="113" w:name="_Toc40864932"/>
      <w:bookmarkStart w:id="114" w:name="_Toc40865048"/>
      <w:r>
        <w:rPr>
          <w:rFonts w:hint="eastAsia" w:ascii="宋体" w:hAnsi="宋体" w:eastAsia="宋体"/>
          <w:bCs/>
          <w:color w:val="auto"/>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w:t>
      </w:r>
      <w:r>
        <w:rPr>
          <w:rFonts w:ascii="宋体" w:hAnsi="宋体" w:eastAsia="宋体"/>
          <w:bCs/>
          <w:color w:val="auto"/>
          <w:sz w:val="21"/>
          <w:szCs w:val="21"/>
          <w:highlight w:val="none"/>
          <w:lang w:val="en"/>
        </w:rPr>
        <w:t>广西政府采购云</w:t>
      </w:r>
      <w:r>
        <w:rPr>
          <w:rFonts w:hint="eastAsia" w:ascii="宋体" w:hAnsi="宋体" w:eastAsia="宋体"/>
          <w:bCs/>
          <w:color w:val="auto"/>
          <w:sz w:val="21"/>
          <w:szCs w:val="21"/>
          <w:highlight w:val="none"/>
        </w:rPr>
        <w:t>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1.在符合性审查和资格性审查时，如发现下列情形之一的，投标文件将被视为无效：</w:t>
      </w:r>
      <w:bookmarkEnd w:id="112"/>
      <w:bookmarkEnd w:id="113"/>
      <w:bookmarkEnd w:id="114"/>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15" w:name="_Toc40864933"/>
      <w:bookmarkStart w:id="116" w:name="_Toc40865049"/>
      <w:bookmarkStart w:id="117" w:name="_Toc40864657"/>
      <w:r>
        <w:rPr>
          <w:rFonts w:hint="eastAsia" w:ascii="宋体" w:hAnsi="宋体" w:eastAsia="宋体"/>
          <w:color w:val="auto"/>
          <w:spacing w:val="-4"/>
          <w:sz w:val="21"/>
          <w:szCs w:val="21"/>
          <w:highlight w:val="none"/>
        </w:rPr>
        <w:t>（1）超越了按照法律法规规定必须获得行政许可或者行政审批的经营范围的；</w:t>
      </w:r>
      <w:bookmarkEnd w:id="115"/>
      <w:bookmarkEnd w:id="116"/>
      <w:bookmarkEnd w:id="117"/>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18" w:name="_Toc40864934"/>
      <w:bookmarkStart w:id="119" w:name="_Toc40864658"/>
      <w:bookmarkStart w:id="120" w:name="_Toc40865050"/>
      <w:r>
        <w:rPr>
          <w:rFonts w:hint="eastAsia" w:ascii="宋体" w:hAnsi="宋体" w:eastAsia="宋体"/>
          <w:color w:val="auto"/>
          <w:spacing w:val="-4"/>
          <w:sz w:val="21"/>
          <w:szCs w:val="21"/>
          <w:highlight w:val="none"/>
        </w:rPr>
        <w:t>（2）资格证明文件不全的，或者不符合招标文件标明的资格要求的；</w:t>
      </w:r>
      <w:bookmarkEnd w:id="118"/>
      <w:bookmarkEnd w:id="119"/>
      <w:bookmarkEnd w:id="120"/>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1" w:name="_Toc40865051"/>
      <w:bookmarkStart w:id="122" w:name="_Toc40864935"/>
      <w:bookmarkStart w:id="123" w:name="_Toc40864659"/>
      <w:r>
        <w:rPr>
          <w:rFonts w:hint="eastAsia" w:ascii="宋体" w:hAnsi="宋体" w:eastAsia="宋体"/>
          <w:color w:val="auto"/>
          <w:spacing w:val="-4"/>
          <w:sz w:val="21"/>
          <w:szCs w:val="21"/>
          <w:highlight w:val="none"/>
        </w:rPr>
        <w:t>（3）投标文件无法定代表人（负责人）或其授权委托代理人签字，或未提供法定代表人（负责人）授权委托书、投标声明书或者填写项目不齐全的；</w:t>
      </w:r>
      <w:bookmarkEnd w:id="121"/>
      <w:bookmarkEnd w:id="122"/>
      <w:bookmarkEnd w:id="123"/>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4" w:name="_Toc40864660"/>
      <w:bookmarkStart w:id="125" w:name="_Toc40865052"/>
      <w:bookmarkStart w:id="126" w:name="_Toc40864936"/>
      <w:r>
        <w:rPr>
          <w:rFonts w:hint="eastAsia" w:ascii="宋体" w:hAnsi="宋体" w:eastAsia="宋体"/>
          <w:color w:val="auto"/>
          <w:spacing w:val="-4"/>
          <w:sz w:val="21"/>
          <w:szCs w:val="21"/>
          <w:highlight w:val="none"/>
        </w:rPr>
        <w:t>（4）投标代表人未能出具身份证明或与法定代表人（负责人）授权委托人身份不符的；</w:t>
      </w:r>
      <w:bookmarkEnd w:id="124"/>
      <w:bookmarkEnd w:id="125"/>
      <w:bookmarkEnd w:id="126"/>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7" w:name="_Toc40864661"/>
      <w:bookmarkStart w:id="128" w:name="_Toc40864937"/>
      <w:bookmarkStart w:id="129" w:name="_Toc40865053"/>
      <w:r>
        <w:rPr>
          <w:rFonts w:hint="eastAsia" w:ascii="宋体" w:hAnsi="宋体" w:eastAsia="宋体"/>
          <w:color w:val="auto"/>
          <w:spacing w:val="-4"/>
          <w:sz w:val="21"/>
          <w:szCs w:val="21"/>
          <w:highlight w:val="none"/>
        </w:rPr>
        <w:t>（5）项目不齐全或者内容虚假的；</w:t>
      </w:r>
      <w:bookmarkEnd w:id="127"/>
      <w:bookmarkEnd w:id="128"/>
      <w:bookmarkEnd w:id="129"/>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0" w:name="_Toc40865054"/>
      <w:bookmarkStart w:id="131" w:name="_Toc40864938"/>
      <w:bookmarkStart w:id="132" w:name="_Toc40864662"/>
      <w:r>
        <w:rPr>
          <w:rFonts w:hint="eastAsia" w:ascii="宋体" w:hAnsi="宋体" w:eastAsia="宋体"/>
          <w:color w:val="auto"/>
          <w:spacing w:val="-4"/>
          <w:sz w:val="21"/>
          <w:szCs w:val="21"/>
          <w:highlight w:val="none"/>
        </w:rPr>
        <w:t>（6）投标文件的实质性内容未使用中文表述、意思表述不明确、前后矛盾或者使用计量单位不符合投标文件要求的（经评标委员会认定并允许其当场更正的笔误除外）；</w:t>
      </w:r>
      <w:bookmarkEnd w:id="130"/>
      <w:bookmarkEnd w:id="131"/>
      <w:bookmarkEnd w:id="132"/>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3" w:name="_Toc40864939"/>
      <w:bookmarkStart w:id="134" w:name="_Toc40864663"/>
      <w:bookmarkStart w:id="135" w:name="_Toc40865055"/>
      <w:r>
        <w:rPr>
          <w:rFonts w:hint="eastAsia" w:ascii="宋体" w:hAnsi="宋体" w:eastAsia="宋体"/>
          <w:color w:val="auto"/>
          <w:spacing w:val="-4"/>
          <w:sz w:val="21"/>
          <w:szCs w:val="21"/>
          <w:highlight w:val="none"/>
        </w:rPr>
        <w:t>（7）投标有效期、交付使用时间、质保期等商务条款不能满足招标文件要求的；</w:t>
      </w:r>
      <w:bookmarkEnd w:id="133"/>
      <w:bookmarkEnd w:id="134"/>
      <w:bookmarkEnd w:id="135"/>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6" w:name="_Toc40864940"/>
      <w:bookmarkStart w:id="137" w:name="_Toc40864664"/>
      <w:bookmarkStart w:id="138" w:name="_Toc40865056"/>
      <w:r>
        <w:rPr>
          <w:rFonts w:hint="eastAsia" w:ascii="宋体" w:hAnsi="宋体" w:eastAsia="宋体"/>
          <w:color w:val="auto"/>
          <w:spacing w:val="-4"/>
          <w:sz w:val="21"/>
          <w:szCs w:val="21"/>
          <w:highlight w:val="none"/>
        </w:rPr>
        <w:t>（8）未实质性响应招标文件要求或者投标文件有招标方不能接受的附加条件的；</w:t>
      </w:r>
      <w:bookmarkEnd w:id="136"/>
      <w:bookmarkEnd w:id="137"/>
      <w:bookmarkEnd w:id="138"/>
    </w:p>
    <w:p>
      <w:pPr>
        <w:pStyle w:val="10"/>
        <w:adjustRightInd w:val="0"/>
        <w:snapToGrid w:val="0"/>
        <w:spacing w:line="400" w:lineRule="exact"/>
        <w:ind w:firstLine="411" w:firstLineChars="196"/>
        <w:rPr>
          <w:rFonts w:hint="eastAsia" w:ascii="宋体" w:hAnsi="宋体" w:eastAsia="宋体"/>
          <w:bCs/>
          <w:color w:val="auto"/>
          <w:sz w:val="21"/>
          <w:szCs w:val="21"/>
          <w:highlight w:val="none"/>
        </w:rPr>
      </w:pPr>
      <w:bookmarkStart w:id="139" w:name="_Toc40864942"/>
      <w:bookmarkStart w:id="140" w:name="_Toc40865058"/>
      <w:bookmarkStart w:id="141" w:name="_Toc40864666"/>
      <w:r>
        <w:rPr>
          <w:rFonts w:hint="eastAsia" w:ascii="宋体" w:hAnsi="宋体" w:eastAsia="宋体"/>
          <w:bCs/>
          <w:color w:val="auto"/>
          <w:sz w:val="21"/>
          <w:szCs w:val="21"/>
          <w:highlight w:val="none"/>
        </w:rPr>
        <w:t>（9）</w:t>
      </w:r>
      <w:r>
        <w:rPr>
          <w:rFonts w:ascii="宋体" w:hAnsi="宋体" w:eastAsia="宋体"/>
          <w:color w:val="auto"/>
          <w:spacing w:val="-4"/>
          <w:sz w:val="21"/>
          <w:szCs w:val="21"/>
          <w:highlight w:val="none"/>
        </w:rPr>
        <w:t>未按照招标文件的规定提交投标保证金的</w:t>
      </w:r>
      <w:r>
        <w:rPr>
          <w:rFonts w:hint="eastAsia" w:ascii="宋体" w:hAnsi="宋体" w:eastAsia="宋体"/>
          <w:bCs/>
          <w:color w:val="auto"/>
          <w:sz w:val="21"/>
          <w:szCs w:val="21"/>
          <w:highlight w:val="none"/>
        </w:rPr>
        <w:t>（说明：评标时，评标委员会将以本中心财务室编制的《采购文件购买名单及保证金收缴情况表》作为评审依据）。</w:t>
      </w:r>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2.在技术评审时，如发现下列情形之一的，投标文件将被视为无效：</w:t>
      </w:r>
      <w:bookmarkEnd w:id="139"/>
      <w:bookmarkEnd w:id="140"/>
      <w:bookmarkEnd w:id="141"/>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2" w:name="_Toc40865059"/>
      <w:bookmarkStart w:id="143" w:name="_Toc40864667"/>
      <w:bookmarkStart w:id="144" w:name="_Toc40864943"/>
      <w:r>
        <w:rPr>
          <w:rFonts w:hint="eastAsia" w:ascii="宋体" w:hAnsi="宋体" w:eastAsia="宋体"/>
          <w:color w:val="auto"/>
          <w:spacing w:val="-4"/>
          <w:sz w:val="21"/>
          <w:szCs w:val="21"/>
          <w:highlight w:val="none"/>
        </w:rPr>
        <w:t>（1）未提供或未如实提供投标货物的技术参数，或者投标文件标明的响应或偏离与事实不符或虚假投标的；</w:t>
      </w:r>
      <w:bookmarkEnd w:id="142"/>
      <w:bookmarkEnd w:id="143"/>
      <w:bookmarkEnd w:id="144"/>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5" w:name="_Toc40864668"/>
      <w:bookmarkStart w:id="146" w:name="_Toc40865060"/>
      <w:bookmarkStart w:id="147" w:name="_Toc40864944"/>
      <w:r>
        <w:rPr>
          <w:rFonts w:hint="eastAsia" w:ascii="宋体" w:hAnsi="宋体" w:eastAsia="宋体"/>
          <w:color w:val="auto"/>
          <w:spacing w:val="-4"/>
          <w:sz w:val="21"/>
          <w:szCs w:val="21"/>
          <w:highlight w:val="none"/>
        </w:rPr>
        <w:t>（2）明显不符合招标文件要求的规格型号、质量标准，或者与招标文件中的技术指标、主要功能项目发生实质性偏离的；</w:t>
      </w:r>
      <w:bookmarkEnd w:id="145"/>
      <w:bookmarkEnd w:id="146"/>
      <w:bookmarkEnd w:id="147"/>
    </w:p>
    <w:p>
      <w:pPr>
        <w:pStyle w:val="10"/>
        <w:snapToGrid w:val="0"/>
        <w:spacing w:line="360" w:lineRule="exact"/>
        <w:ind w:firstLine="397" w:firstLineChars="196"/>
        <w:outlineLvl w:val="0"/>
        <w:rPr>
          <w:rFonts w:hint="eastAsia" w:ascii="宋体" w:hAnsi="宋体" w:eastAsia="宋体"/>
          <w:b/>
          <w:bCs/>
          <w:color w:val="auto"/>
          <w:spacing w:val="-4"/>
          <w:sz w:val="21"/>
          <w:szCs w:val="21"/>
          <w:highlight w:val="none"/>
        </w:rPr>
      </w:pPr>
      <w:bookmarkStart w:id="148" w:name="_Toc40864945"/>
      <w:bookmarkStart w:id="149" w:name="_Toc40865061"/>
      <w:bookmarkStart w:id="150" w:name="_Toc40864669"/>
      <w:r>
        <w:rPr>
          <w:rFonts w:hint="eastAsia" w:ascii="宋体" w:hAnsi="宋体" w:eastAsia="宋体"/>
          <w:b/>
          <w:bCs/>
          <w:color w:val="auto"/>
          <w:spacing w:val="-4"/>
          <w:sz w:val="21"/>
          <w:szCs w:val="21"/>
          <w:highlight w:val="none"/>
        </w:rPr>
        <w:t>（3）标注 “▲”的技术、性能指标发生负偏离达1项（含）以上的；</w:t>
      </w:r>
      <w:bookmarkEnd w:id="148"/>
      <w:bookmarkEnd w:id="149"/>
      <w:bookmarkEnd w:id="150"/>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1" w:name="_Toc40864670"/>
      <w:bookmarkStart w:id="152" w:name="_Toc40864946"/>
      <w:bookmarkStart w:id="153" w:name="_Toc40865062"/>
      <w:r>
        <w:rPr>
          <w:rFonts w:hint="eastAsia" w:ascii="宋体" w:hAnsi="宋体" w:eastAsia="宋体"/>
          <w:color w:val="auto"/>
          <w:spacing w:val="-4"/>
          <w:sz w:val="21"/>
          <w:szCs w:val="21"/>
          <w:highlight w:val="none"/>
        </w:rPr>
        <w:t>（4）投标技术方案不明确，存在一个或一个以上备选（替换）投标方案的；</w:t>
      </w:r>
      <w:bookmarkEnd w:id="151"/>
      <w:bookmarkEnd w:id="152"/>
      <w:bookmarkEnd w:id="153"/>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4" w:name="_Toc40864671"/>
      <w:bookmarkStart w:id="155" w:name="_Toc40864947"/>
      <w:bookmarkStart w:id="156" w:name="_Toc40865063"/>
      <w:r>
        <w:rPr>
          <w:rFonts w:hint="eastAsia" w:ascii="宋体" w:hAnsi="宋体" w:eastAsia="宋体"/>
          <w:color w:val="auto"/>
          <w:spacing w:val="-4"/>
          <w:sz w:val="21"/>
          <w:szCs w:val="21"/>
          <w:highlight w:val="none"/>
        </w:rPr>
        <w:t>（5）与其他参加本次投标供应商的投标文件（技术文件）的文字表述内容差错相同二处以上的。</w:t>
      </w:r>
      <w:bookmarkEnd w:id="154"/>
      <w:bookmarkEnd w:id="155"/>
      <w:bookmarkEnd w:id="156"/>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7" w:name="_Toc40864672"/>
      <w:bookmarkStart w:id="158" w:name="_Toc40865064"/>
      <w:bookmarkStart w:id="159" w:name="_Toc40864948"/>
      <w:r>
        <w:rPr>
          <w:rFonts w:hint="eastAsia" w:ascii="宋体" w:hAnsi="宋体" w:eastAsia="宋体"/>
          <w:color w:val="auto"/>
          <w:spacing w:val="-4"/>
          <w:sz w:val="21"/>
          <w:szCs w:val="21"/>
          <w:highlight w:val="none"/>
        </w:rPr>
        <w:t>3.在报价评审时，如发现下列情形之一的，投标文件将被视为无效：</w:t>
      </w:r>
      <w:bookmarkEnd w:id="157"/>
      <w:bookmarkEnd w:id="158"/>
      <w:bookmarkEnd w:id="159"/>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0" w:name="_Toc40864949"/>
      <w:bookmarkStart w:id="161" w:name="_Toc40864673"/>
      <w:bookmarkStart w:id="162" w:name="_Toc40865065"/>
      <w:r>
        <w:rPr>
          <w:rFonts w:hint="eastAsia" w:ascii="宋体" w:hAnsi="宋体" w:eastAsia="宋体"/>
          <w:color w:val="auto"/>
          <w:spacing w:val="-4"/>
          <w:sz w:val="21"/>
          <w:szCs w:val="21"/>
          <w:highlight w:val="none"/>
        </w:rPr>
        <w:t>（1）未采用人民币报价或者未按照招标文件标明的币种报价的；</w:t>
      </w:r>
      <w:bookmarkEnd w:id="160"/>
      <w:bookmarkEnd w:id="161"/>
      <w:bookmarkEnd w:id="162"/>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3" w:name="_Toc40865066"/>
      <w:bookmarkStart w:id="164" w:name="_Toc40864674"/>
      <w:bookmarkStart w:id="165" w:name="_Toc40864950"/>
      <w:r>
        <w:rPr>
          <w:rFonts w:hint="eastAsia" w:ascii="宋体" w:hAnsi="宋体" w:eastAsia="宋体"/>
          <w:color w:val="auto"/>
          <w:spacing w:val="-4"/>
          <w:sz w:val="21"/>
          <w:szCs w:val="21"/>
          <w:highlight w:val="none"/>
        </w:rPr>
        <w:t>（2）报价超出最高限价，或者超出采购预算（最高限价）金额，采购人不能支付的；</w:t>
      </w:r>
      <w:bookmarkEnd w:id="163"/>
      <w:bookmarkEnd w:id="164"/>
      <w:bookmarkEnd w:id="165"/>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6" w:name="_Toc40864675"/>
      <w:bookmarkStart w:id="167" w:name="_Toc40865067"/>
      <w:bookmarkStart w:id="168" w:name="_Toc40864951"/>
      <w:r>
        <w:rPr>
          <w:rFonts w:hint="eastAsia" w:ascii="宋体" w:hAnsi="宋体" w:eastAsia="宋体"/>
          <w:color w:val="auto"/>
          <w:spacing w:val="-4"/>
          <w:sz w:val="21"/>
          <w:szCs w:val="21"/>
          <w:highlight w:val="none"/>
        </w:rPr>
        <w:t>（3）投标报价具有选择性，或者开标价格与投标文件承诺的优惠（折扣）价格不一致的。</w:t>
      </w:r>
      <w:bookmarkEnd w:id="166"/>
      <w:bookmarkEnd w:id="167"/>
      <w:bookmarkEnd w:id="168"/>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9" w:name="_Toc40865068"/>
      <w:bookmarkStart w:id="170" w:name="_Toc40864952"/>
      <w:bookmarkStart w:id="171" w:name="_Toc40864676"/>
      <w:r>
        <w:rPr>
          <w:rFonts w:hint="eastAsia" w:ascii="宋体" w:hAnsi="宋体" w:eastAsia="宋体"/>
          <w:color w:val="auto"/>
          <w:spacing w:val="-4"/>
          <w:sz w:val="21"/>
          <w:szCs w:val="21"/>
          <w:highlight w:val="none"/>
        </w:rPr>
        <w:t>（4）评标委员会认为投标人的报价明显低于其他通过符合性审查投标人的报价，有可能影响产品质量或者不能诚信履约，投标人不能证明其报价合理性的。</w:t>
      </w:r>
      <w:bookmarkEnd w:id="169"/>
      <w:bookmarkEnd w:id="170"/>
      <w:bookmarkEnd w:id="171"/>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2" w:name="_Toc40864953"/>
      <w:bookmarkStart w:id="173" w:name="_Toc40865069"/>
      <w:bookmarkStart w:id="174" w:name="_Toc40864677"/>
      <w:r>
        <w:rPr>
          <w:rFonts w:hint="eastAsia" w:ascii="宋体" w:hAnsi="宋体" w:eastAsia="宋体"/>
          <w:color w:val="auto"/>
          <w:spacing w:val="-4"/>
          <w:sz w:val="21"/>
          <w:szCs w:val="21"/>
          <w:highlight w:val="none"/>
        </w:rPr>
        <w:t>4.有下列情形之一的视为投标人相互串通投标，投标文件将被视为无效:</w:t>
      </w:r>
      <w:bookmarkEnd w:id="172"/>
      <w:bookmarkEnd w:id="173"/>
      <w:bookmarkEnd w:id="174"/>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5" w:name="_Toc40865070"/>
      <w:bookmarkStart w:id="176" w:name="_Toc40864954"/>
      <w:bookmarkStart w:id="177" w:name="_Toc40864678"/>
      <w:r>
        <w:rPr>
          <w:rFonts w:hint="eastAsia" w:ascii="宋体" w:hAnsi="宋体" w:eastAsia="宋体"/>
          <w:color w:val="auto"/>
          <w:spacing w:val="-4"/>
          <w:sz w:val="21"/>
          <w:szCs w:val="21"/>
          <w:highlight w:val="none"/>
        </w:rPr>
        <w:t>（1）不同投标人的投标文件由同一单位或者个人编制；或不同投标人报名的IP地址一致的；</w:t>
      </w:r>
      <w:bookmarkEnd w:id="175"/>
      <w:bookmarkEnd w:id="176"/>
      <w:bookmarkEnd w:id="177"/>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8" w:name="_Toc40864955"/>
      <w:bookmarkStart w:id="179" w:name="_Toc40865071"/>
      <w:bookmarkStart w:id="180" w:name="_Toc40864679"/>
      <w:r>
        <w:rPr>
          <w:rFonts w:hint="eastAsia" w:ascii="宋体" w:hAnsi="宋体" w:eastAsia="宋体"/>
          <w:color w:val="auto"/>
          <w:spacing w:val="-4"/>
          <w:sz w:val="21"/>
          <w:szCs w:val="21"/>
          <w:highlight w:val="none"/>
        </w:rPr>
        <w:t>（2）不同投标人委托同一单位或者个人办理投标事宜；</w:t>
      </w:r>
      <w:bookmarkEnd w:id="178"/>
      <w:bookmarkEnd w:id="179"/>
      <w:bookmarkEnd w:id="180"/>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1" w:name="_Toc40864680"/>
      <w:bookmarkStart w:id="182" w:name="_Toc40865072"/>
      <w:bookmarkStart w:id="183" w:name="_Toc40864956"/>
      <w:r>
        <w:rPr>
          <w:rFonts w:hint="eastAsia" w:ascii="宋体" w:hAnsi="宋体" w:eastAsia="宋体"/>
          <w:color w:val="auto"/>
          <w:spacing w:val="-4"/>
          <w:sz w:val="21"/>
          <w:szCs w:val="21"/>
          <w:highlight w:val="none"/>
        </w:rPr>
        <w:t>（3）不同投标人的投标文件载明的项目管理成员或者联系人员为同一人；</w:t>
      </w:r>
      <w:bookmarkEnd w:id="181"/>
      <w:bookmarkEnd w:id="182"/>
      <w:bookmarkEnd w:id="183"/>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4" w:name="_Toc40865073"/>
      <w:bookmarkStart w:id="185" w:name="_Toc40864681"/>
      <w:bookmarkStart w:id="186" w:name="_Toc40864957"/>
      <w:r>
        <w:rPr>
          <w:rFonts w:hint="eastAsia" w:ascii="宋体" w:hAnsi="宋体" w:eastAsia="宋体"/>
          <w:color w:val="auto"/>
          <w:spacing w:val="-4"/>
          <w:sz w:val="21"/>
          <w:szCs w:val="21"/>
          <w:highlight w:val="none"/>
        </w:rPr>
        <w:t>（4）不同投标人的投标文件异常一致或投标报价呈规律性差异；</w:t>
      </w:r>
      <w:bookmarkEnd w:id="184"/>
      <w:bookmarkEnd w:id="185"/>
      <w:bookmarkEnd w:id="186"/>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7" w:name="_Toc40864682"/>
      <w:bookmarkStart w:id="188" w:name="_Toc40864958"/>
      <w:bookmarkStart w:id="189" w:name="_Toc40865074"/>
      <w:r>
        <w:rPr>
          <w:rFonts w:hint="eastAsia" w:ascii="宋体" w:hAnsi="宋体" w:eastAsia="宋体"/>
          <w:color w:val="auto"/>
          <w:spacing w:val="-4"/>
          <w:sz w:val="21"/>
          <w:szCs w:val="21"/>
          <w:highlight w:val="none"/>
        </w:rPr>
        <w:t>（5）不同投标人的投标文件相互混装；</w:t>
      </w:r>
      <w:bookmarkEnd w:id="187"/>
      <w:bookmarkEnd w:id="188"/>
      <w:bookmarkEnd w:id="189"/>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0" w:name="_Toc40865075"/>
      <w:bookmarkStart w:id="191" w:name="_Toc40864683"/>
      <w:bookmarkStart w:id="192" w:name="_Toc40864959"/>
      <w:r>
        <w:rPr>
          <w:rFonts w:hint="eastAsia" w:ascii="宋体" w:hAnsi="宋体" w:eastAsia="宋体"/>
          <w:color w:val="auto"/>
          <w:spacing w:val="-4"/>
          <w:sz w:val="21"/>
          <w:szCs w:val="21"/>
          <w:highlight w:val="none"/>
        </w:rPr>
        <w:t>（6）不同投标人的投标保证金从同一个单位或者个人账户转出。</w:t>
      </w:r>
      <w:bookmarkEnd w:id="190"/>
      <w:bookmarkEnd w:id="191"/>
      <w:bookmarkEnd w:id="192"/>
    </w:p>
    <w:p>
      <w:pPr>
        <w:pStyle w:val="10"/>
        <w:adjustRightInd w:val="0"/>
        <w:snapToGrid w:val="0"/>
        <w:spacing w:line="400" w:lineRule="exact"/>
        <w:ind w:firstLine="395" w:firstLineChars="196"/>
        <w:rPr>
          <w:rFonts w:hint="eastAsia" w:ascii="宋体" w:hAnsi="宋体" w:eastAsia="宋体"/>
          <w:color w:val="auto"/>
          <w:spacing w:val="-4"/>
          <w:sz w:val="21"/>
          <w:szCs w:val="21"/>
          <w:highlight w:val="none"/>
        </w:rPr>
      </w:pPr>
      <w:bookmarkStart w:id="193" w:name="_Toc40865079"/>
      <w:bookmarkStart w:id="194" w:name="_Toc40864963"/>
      <w:bookmarkStart w:id="195" w:name="_Toc40864687"/>
      <w:r>
        <w:rPr>
          <w:rFonts w:hint="eastAsia" w:ascii="宋体" w:hAnsi="宋体" w:eastAsia="宋体"/>
          <w:color w:val="auto"/>
          <w:spacing w:val="-4"/>
          <w:sz w:val="21"/>
          <w:szCs w:val="21"/>
          <w:highlight w:val="none"/>
        </w:rPr>
        <w:t>5.</w:t>
      </w:r>
      <w:bookmarkEnd w:id="193"/>
      <w:bookmarkEnd w:id="194"/>
      <w:bookmarkEnd w:id="195"/>
      <w:r>
        <w:rPr>
          <w:rFonts w:hint="eastAsia" w:ascii="宋体" w:hAnsi="宋体"/>
          <w:bCs/>
          <w:color w:val="auto"/>
          <w:szCs w:val="21"/>
          <w:highlight w:val="none"/>
        </w:rPr>
        <w:t xml:space="preserve"> </w:t>
      </w:r>
      <w:r>
        <w:rPr>
          <w:rFonts w:hint="eastAsia" w:ascii="宋体" w:hAnsi="宋体" w:eastAsia="宋体"/>
          <w:bCs/>
          <w:color w:val="auto"/>
          <w:sz w:val="21"/>
          <w:szCs w:val="21"/>
          <w:highlight w:val="none"/>
        </w:rPr>
        <w:t>其他投标无效的情形：</w:t>
      </w:r>
    </w:p>
    <w:p>
      <w:pPr>
        <w:pStyle w:val="10"/>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ascii="宋体" w:hAnsi="宋体" w:eastAsia="宋体"/>
          <w:b/>
          <w:bCs/>
          <w:color w:val="auto"/>
          <w:sz w:val="21"/>
          <w:szCs w:val="21"/>
          <w:highlight w:val="none"/>
        </w:rPr>
        <w:t>投标文件未按招标文件要求</w:t>
      </w:r>
      <w:r>
        <w:rPr>
          <w:rFonts w:hint="eastAsia" w:ascii="宋体" w:hAnsi="宋体" w:eastAsia="宋体"/>
          <w:b/>
          <w:bCs/>
          <w:color w:val="auto"/>
          <w:sz w:val="21"/>
          <w:szCs w:val="21"/>
          <w:highlight w:val="none"/>
          <w:lang w:eastAsia="zh-CN"/>
        </w:rPr>
        <w:t>签字或签章</w:t>
      </w:r>
      <w:r>
        <w:rPr>
          <w:rFonts w:hint="eastAsia" w:ascii="宋体" w:hAnsi="宋体" w:eastAsia="宋体"/>
          <w:b/>
          <w:bCs/>
          <w:color w:val="auto"/>
          <w:sz w:val="21"/>
          <w:szCs w:val="21"/>
          <w:highlight w:val="none"/>
        </w:rPr>
        <w:t>或</w:t>
      </w:r>
      <w:r>
        <w:rPr>
          <w:rFonts w:ascii="宋体" w:hAnsi="宋体" w:eastAsia="宋体"/>
          <w:b/>
          <w:bCs/>
          <w:color w:val="auto"/>
          <w:sz w:val="21"/>
          <w:szCs w:val="21"/>
          <w:highlight w:val="none"/>
        </w:rPr>
        <w:t>CA电子签章的；</w:t>
      </w:r>
    </w:p>
    <w:p>
      <w:pPr>
        <w:pStyle w:val="10"/>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w:t>
      </w:r>
      <w:r>
        <w:rPr>
          <w:rFonts w:ascii="宋体" w:hAnsi="宋体" w:eastAsia="宋体"/>
          <w:b/>
          <w:bCs/>
          <w:color w:val="auto"/>
          <w:sz w:val="21"/>
          <w:szCs w:val="21"/>
          <w:highlight w:val="none"/>
        </w:rPr>
        <w:t>供应商提交两份或两份以上内容不同的投标文件；</w:t>
      </w:r>
    </w:p>
    <w:p>
      <w:pPr>
        <w:pStyle w:val="11"/>
        <w:adjustRightInd w:val="0"/>
        <w:snapToGrid w:val="0"/>
        <w:spacing w:line="400" w:lineRule="exact"/>
        <w:ind w:firstLine="421" w:firstLineChars="200"/>
        <w:rPr>
          <w:rFonts w:hAnsi="宋体"/>
          <w:b/>
          <w:bCs/>
          <w:color w:val="auto"/>
          <w:highlight w:val="none"/>
        </w:rPr>
      </w:pPr>
      <w:r>
        <w:rPr>
          <w:rFonts w:hint="eastAsia" w:hAnsi="宋体"/>
          <w:b/>
          <w:bCs/>
          <w:color w:val="auto"/>
          <w:highlight w:val="none"/>
        </w:rPr>
        <w:t>（3）</w:t>
      </w:r>
      <w:r>
        <w:rPr>
          <w:rFonts w:hAnsi="宋体"/>
          <w:b/>
          <w:bCs/>
          <w:color w:val="auto"/>
          <w:highlight w:val="none"/>
        </w:rPr>
        <w:t>投标供应商在线制作投标文件时</w:t>
      </w:r>
      <w:r>
        <w:rPr>
          <w:rFonts w:hint="eastAsia" w:hAnsi="宋体"/>
          <w:b/>
          <w:bCs/>
          <w:color w:val="auto"/>
          <w:highlight w:val="none"/>
        </w:rPr>
        <w:t>填写的报价金额</w:t>
      </w:r>
      <w:r>
        <w:rPr>
          <w:rFonts w:hAnsi="宋体"/>
          <w:b/>
          <w:bCs/>
          <w:color w:val="auto"/>
          <w:highlight w:val="none"/>
        </w:rPr>
        <w:t>与解密后“电子加密投标文件”中《开标一览表》填写的金额不一致并拒绝按招标文件要求接受调整的；</w:t>
      </w:r>
    </w:p>
    <w:p>
      <w:pPr>
        <w:pStyle w:val="10"/>
        <w:adjustRightInd w:val="0"/>
        <w:snapToGrid w:val="0"/>
        <w:spacing w:line="400" w:lineRule="exact"/>
        <w:ind w:firstLine="413" w:firstLineChars="196"/>
        <w:rPr>
          <w:rFonts w:ascii="宋体" w:hAnsi="宋体" w:eastAsia="宋体"/>
          <w:color w:val="auto"/>
          <w:spacing w:val="-4"/>
          <w:sz w:val="21"/>
          <w:szCs w:val="21"/>
          <w:highlight w:val="none"/>
        </w:rPr>
      </w:pPr>
      <w:r>
        <w:rPr>
          <w:rFonts w:hint="eastAsia" w:ascii="宋体" w:hAnsi="宋体" w:eastAsia="宋体" w:cs="Courier New"/>
          <w:b/>
          <w:bCs/>
          <w:color w:val="auto"/>
          <w:sz w:val="21"/>
          <w:szCs w:val="21"/>
          <w:highlight w:val="none"/>
        </w:rPr>
        <w:t>（4）</w:t>
      </w:r>
      <w:r>
        <w:rPr>
          <w:rFonts w:ascii="宋体" w:hAnsi="宋体" w:eastAsia="宋体" w:cs="Courier New"/>
          <w:b/>
          <w:bCs/>
          <w:color w:val="auto"/>
          <w:sz w:val="21"/>
          <w:szCs w:val="21"/>
          <w:highlight w:val="none"/>
        </w:rPr>
        <w:t>法律、法规和招标文件规定的其他无效情形（或出现重大偏差）。</w:t>
      </w:r>
    </w:p>
    <w:p>
      <w:pPr>
        <w:pStyle w:val="10"/>
        <w:snapToGrid w:val="0"/>
        <w:spacing w:line="360" w:lineRule="exact"/>
        <w:ind w:firstLine="413" w:firstLineChars="196"/>
        <w:outlineLvl w:val="0"/>
        <w:rPr>
          <w:rFonts w:hint="eastAsia" w:ascii="宋体" w:hAnsi="宋体" w:eastAsia="宋体"/>
          <w:b/>
          <w:snapToGrid w:val="0"/>
          <w:color w:val="auto"/>
          <w:sz w:val="21"/>
          <w:szCs w:val="21"/>
          <w:highlight w:val="none"/>
        </w:rPr>
      </w:pPr>
      <w:bookmarkStart w:id="196" w:name="_Toc40864688"/>
      <w:bookmarkStart w:id="197" w:name="_Toc40864964"/>
      <w:bookmarkStart w:id="198" w:name="_Toc254970685"/>
      <w:bookmarkStart w:id="199" w:name="_Toc40865080"/>
      <w:bookmarkStart w:id="200" w:name="_Toc254970544"/>
      <w:r>
        <w:rPr>
          <w:rFonts w:hint="eastAsia" w:ascii="宋体" w:hAnsi="宋体" w:eastAsia="宋体"/>
          <w:b/>
          <w:color w:val="auto"/>
          <w:sz w:val="21"/>
          <w:szCs w:val="21"/>
          <w:highlight w:val="none"/>
        </w:rPr>
        <w:t>四、开标</w:t>
      </w:r>
      <w:bookmarkEnd w:id="196"/>
      <w:bookmarkEnd w:id="197"/>
      <w:bookmarkEnd w:id="198"/>
      <w:bookmarkEnd w:id="199"/>
      <w:bookmarkEnd w:id="200"/>
    </w:p>
    <w:p>
      <w:pPr>
        <w:pStyle w:val="11"/>
        <w:snapToGrid w:val="0"/>
        <w:spacing w:line="360" w:lineRule="exact"/>
        <w:ind w:firstLine="413" w:firstLineChars="196"/>
        <w:outlineLvl w:val="0"/>
        <w:rPr>
          <w:rFonts w:hint="eastAsia" w:hAnsi="宋体"/>
          <w:b/>
          <w:color w:val="auto"/>
          <w:highlight w:val="none"/>
        </w:rPr>
      </w:pPr>
      <w:bookmarkStart w:id="201" w:name="_Toc40864965"/>
      <w:bookmarkStart w:id="202" w:name="_Toc40864689"/>
      <w:bookmarkStart w:id="203" w:name="_Toc40865081"/>
      <w:r>
        <w:rPr>
          <w:rFonts w:hint="eastAsia" w:hAnsi="宋体"/>
          <w:b/>
          <w:color w:val="auto"/>
          <w:highlight w:val="none"/>
        </w:rPr>
        <w:t>（一）开标准备</w:t>
      </w:r>
      <w:bookmarkEnd w:id="201"/>
      <w:bookmarkEnd w:id="202"/>
      <w:bookmarkEnd w:id="203"/>
    </w:p>
    <w:p>
      <w:pPr>
        <w:shd w:val="clear" w:color="auto" w:fill="FFFFFF"/>
        <w:adjustRightInd w:val="0"/>
        <w:snapToGrid w:val="0"/>
        <w:spacing w:line="400" w:lineRule="exact"/>
        <w:ind w:firstLine="440" w:firstLineChars="200"/>
        <w:rPr>
          <w:rFonts w:hint="eastAsia" w:hAnsi="宋体"/>
          <w:bCs/>
          <w:color w:val="auto"/>
          <w:highlight w:val="none"/>
        </w:rPr>
      </w:pPr>
      <w:bookmarkStart w:id="204" w:name="_Toc40864966"/>
      <w:bookmarkStart w:id="205" w:name="_Toc40864690"/>
      <w:bookmarkStart w:id="206" w:name="_Toc40865082"/>
      <w:r>
        <w:rPr>
          <w:rFonts w:hint="eastAsia" w:ascii="宋体"/>
          <w:color w:val="auto"/>
          <w:sz w:val="22"/>
          <w:highlight w:val="none"/>
        </w:rPr>
        <w:t>采购代理机构按招标文件规定的时间、地点通过“广西政府采购云平台”组织开标、开启投标文件，所有供应商均应当准时在线参加。投</w:t>
      </w:r>
      <w:r>
        <w:rPr>
          <w:rFonts w:ascii="宋体"/>
          <w:color w:val="auto"/>
          <w:sz w:val="22"/>
          <w:highlight w:val="none"/>
        </w:rPr>
        <w:t>标供应商因未在线参加开标而导致投标文件无法按时解密等一切后果由供应商自</w:t>
      </w:r>
      <w:r>
        <w:rPr>
          <w:rFonts w:hint="eastAsia" w:ascii="宋体"/>
          <w:color w:val="auto"/>
          <w:sz w:val="22"/>
          <w:highlight w:val="none"/>
        </w:rPr>
        <w:t>行</w:t>
      </w:r>
      <w:r>
        <w:rPr>
          <w:rFonts w:ascii="宋体"/>
          <w:color w:val="auto"/>
          <w:sz w:val="22"/>
          <w:highlight w:val="none"/>
        </w:rPr>
        <w:t>承担。</w:t>
      </w:r>
    </w:p>
    <w:p>
      <w:pPr>
        <w:pStyle w:val="11"/>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（二） 开标程序：</w:t>
      </w:r>
      <w:bookmarkEnd w:id="204"/>
      <w:bookmarkEnd w:id="205"/>
      <w:bookmarkEnd w:id="206"/>
    </w:p>
    <w:p>
      <w:pPr>
        <w:pStyle w:val="11"/>
        <w:adjustRightInd w:val="0"/>
        <w:snapToGrid w:val="0"/>
        <w:spacing w:line="400" w:lineRule="exact"/>
        <w:ind w:firstLine="420" w:firstLineChars="200"/>
        <w:rPr>
          <w:rFonts w:hint="eastAsia" w:hAnsi="宋体"/>
          <w:color w:val="auto"/>
          <w:highlight w:val="none"/>
        </w:rPr>
      </w:pPr>
      <w:bookmarkStart w:id="207" w:name="_Toc40864967"/>
      <w:bookmarkStart w:id="208" w:name="_Toc40865083"/>
      <w:bookmarkStart w:id="209" w:name="_Toc40864691"/>
      <w:bookmarkStart w:id="210" w:name="_Toc254970545"/>
      <w:bookmarkStart w:id="211" w:name="_Toc254970686"/>
      <w:r>
        <w:rPr>
          <w:rFonts w:hint="eastAsia" w:hAnsi="宋体"/>
          <w:color w:val="auto"/>
          <w:highlight w:val="none"/>
        </w:rPr>
        <w:t>1.电子开标会由本中心主持</w:t>
      </w:r>
    </w:p>
    <w:p>
      <w:pPr>
        <w:pStyle w:val="11"/>
        <w:adjustRightInd w:val="0"/>
        <w:snapToGrid w:val="0"/>
        <w:spacing w:line="400" w:lineRule="exact"/>
        <w:ind w:firstLine="420" w:firstLineChars="200"/>
        <w:rPr>
          <w:color w:val="auto"/>
          <w:sz w:val="22"/>
          <w:highlight w:val="none"/>
        </w:rPr>
      </w:pPr>
      <w:r>
        <w:rPr>
          <w:rFonts w:hint="eastAsia" w:hAnsi="宋体"/>
          <w:color w:val="auto"/>
          <w:highlight w:val="none"/>
        </w:rPr>
        <w:t>2.本中心工作人员</w:t>
      </w:r>
      <w:r>
        <w:rPr>
          <w:rFonts w:hint="eastAsia"/>
          <w:color w:val="auto"/>
          <w:sz w:val="22"/>
          <w:highlight w:val="none"/>
        </w:rPr>
        <w:t>向各投标供应商发出电子加密投标文件【开始解密】通知，由供应商按招标文件规定的时间内自行进行投标文件解密。</w:t>
      </w:r>
      <w:r>
        <w:rPr>
          <w:rFonts w:hint="eastAsia"/>
          <w:snapToGrid w:val="0"/>
          <w:color w:val="auto"/>
          <w:sz w:val="22"/>
          <w:highlight w:val="none"/>
        </w:rPr>
        <w:t>投标供应商未在规定时间内完成解密的，系统默认自动放弃。</w:t>
      </w:r>
    </w:p>
    <w:p>
      <w:pPr>
        <w:pStyle w:val="11"/>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3.</w:t>
      </w:r>
      <w:r>
        <w:rPr>
          <w:rFonts w:hAnsi="宋体"/>
          <w:color w:val="auto"/>
          <w:sz w:val="22"/>
          <w:szCs w:val="22"/>
          <w:highlight w:val="none"/>
        </w:rPr>
        <w:t>投标文件解密结束，开启</w:t>
      </w:r>
      <w:r>
        <w:rPr>
          <w:rFonts w:hint="eastAsia" w:hAnsi="宋体"/>
          <w:color w:val="auto"/>
          <w:sz w:val="22"/>
          <w:szCs w:val="22"/>
          <w:highlight w:val="none"/>
        </w:rPr>
        <w:t>报价文件。投标供应商在线制作投标文件时填写的报价金额</w:t>
      </w:r>
      <w:r>
        <w:rPr>
          <w:rFonts w:hAnsi="宋体"/>
          <w:color w:val="auto"/>
          <w:sz w:val="22"/>
          <w:szCs w:val="22"/>
          <w:highlight w:val="none"/>
        </w:rPr>
        <w:t>与解密后“电子加密投标文件”中《开标一览表》填写的金额不一致的，以解密后“电子加密投标文件”中《开标一览表》填写的金额为准，投标供应商拒绝接受此调整的，按无效投标处理。</w:t>
      </w:r>
    </w:p>
    <w:p>
      <w:pPr>
        <w:pStyle w:val="11"/>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4.进入</w:t>
      </w:r>
      <w:r>
        <w:rPr>
          <w:rFonts w:hAnsi="宋体"/>
          <w:color w:val="auto"/>
          <w:sz w:val="22"/>
          <w:szCs w:val="22"/>
          <w:highlight w:val="none"/>
        </w:rPr>
        <w:t>资格文件</w:t>
      </w:r>
      <w:r>
        <w:rPr>
          <w:rFonts w:hint="eastAsia" w:hAnsi="宋体"/>
          <w:color w:val="auto"/>
          <w:sz w:val="22"/>
          <w:szCs w:val="22"/>
          <w:highlight w:val="none"/>
        </w:rPr>
        <w:t>审查环节</w:t>
      </w:r>
      <w:r>
        <w:rPr>
          <w:rFonts w:hAnsi="宋体"/>
          <w:color w:val="auto"/>
          <w:sz w:val="22"/>
          <w:szCs w:val="22"/>
          <w:highlight w:val="none"/>
        </w:rPr>
        <w:t>，</w:t>
      </w:r>
      <w:r>
        <w:rPr>
          <w:rFonts w:hint="eastAsia" w:hAnsi="宋体"/>
          <w:color w:val="auto"/>
          <w:sz w:val="22"/>
          <w:szCs w:val="22"/>
          <w:highlight w:val="none"/>
        </w:rPr>
        <w:t>本中心或者招标采购单位</w:t>
      </w:r>
      <w:r>
        <w:rPr>
          <w:rFonts w:hAnsi="宋体"/>
          <w:color w:val="auto"/>
          <w:sz w:val="22"/>
          <w:szCs w:val="22"/>
          <w:highlight w:val="none"/>
        </w:rPr>
        <w:t>依法对投标供应商的资格进行审查。</w:t>
      </w:r>
    </w:p>
    <w:p>
      <w:pPr>
        <w:pStyle w:val="11"/>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5.</w:t>
      </w:r>
      <w:r>
        <w:rPr>
          <w:rFonts w:hAnsi="宋体"/>
          <w:color w:val="auto"/>
          <w:sz w:val="22"/>
          <w:szCs w:val="22"/>
          <w:highlight w:val="none"/>
        </w:rPr>
        <w:t>开启资格审查通过的投标供应商的商务技术文件进入符合性审查及商务技术评审</w:t>
      </w:r>
      <w:r>
        <w:rPr>
          <w:rFonts w:hint="eastAsia" w:hAnsi="宋体"/>
          <w:color w:val="auto"/>
          <w:sz w:val="22"/>
          <w:szCs w:val="22"/>
          <w:highlight w:val="none"/>
        </w:rPr>
        <w:t>。</w:t>
      </w:r>
    </w:p>
    <w:p>
      <w:pPr>
        <w:pStyle w:val="11"/>
        <w:adjustRightInd w:val="0"/>
        <w:snapToGrid w:val="0"/>
        <w:spacing w:line="400" w:lineRule="exact"/>
        <w:ind w:firstLine="420"/>
        <w:rPr>
          <w:rFonts w:hint="eastAsia" w:hAnsi="宋体"/>
          <w:color w:val="auto"/>
          <w:highlight w:val="none"/>
        </w:rPr>
      </w:pPr>
      <w:r>
        <w:rPr>
          <w:rFonts w:hint="eastAsia" w:hAnsi="宋体"/>
          <w:color w:val="auto"/>
          <w:highlight w:val="none"/>
        </w:rPr>
        <w:t>注：①当整个招标项目的投标人不足3家的不开标，本中心将按政府采购管理的有关规定处理。</w:t>
      </w:r>
    </w:p>
    <w:p>
      <w:pPr>
        <w:pStyle w:val="11"/>
        <w:adjustRightInd w:val="0"/>
        <w:snapToGrid w:val="0"/>
        <w:spacing w:line="400" w:lineRule="exact"/>
        <w:ind w:firstLine="840" w:firstLineChars="400"/>
        <w:rPr>
          <w:rFonts w:hint="eastAsia" w:hAnsi="宋体"/>
          <w:color w:val="auto"/>
          <w:highlight w:val="none"/>
        </w:rPr>
      </w:pPr>
      <w:r>
        <w:rPr>
          <w:rFonts w:hint="eastAsia" w:hAnsi="宋体"/>
          <w:color w:val="auto"/>
          <w:highlight w:val="none"/>
        </w:rPr>
        <w:t>②开标后,某分标投标人不足3家的，本中心将按政府采购管理的有关规定处理。</w:t>
      </w:r>
    </w:p>
    <w:p>
      <w:pPr>
        <w:pStyle w:val="11"/>
        <w:adjustRightInd w:val="0"/>
        <w:snapToGrid w:val="0"/>
        <w:spacing w:line="400" w:lineRule="exact"/>
        <w:ind w:firstLine="441" w:firstLineChars="200"/>
        <w:rPr>
          <w:rFonts w:hAnsi="宋体"/>
          <w:color w:val="auto"/>
          <w:sz w:val="22"/>
          <w:szCs w:val="22"/>
          <w:highlight w:val="none"/>
        </w:rPr>
      </w:pPr>
      <w:r>
        <w:rPr>
          <w:rFonts w:hAnsi="宋体"/>
          <w:b/>
          <w:bCs/>
          <w:color w:val="auto"/>
          <w:sz w:val="22"/>
          <w:szCs w:val="22"/>
          <w:highlight w:val="none"/>
        </w:rPr>
        <w:t>特别说明：如遇“</w:t>
      </w:r>
      <w:r>
        <w:rPr>
          <w:rFonts w:hint="eastAsia" w:hAnsi="宋体"/>
          <w:b/>
          <w:bCs/>
          <w:color w:val="auto"/>
          <w:sz w:val="22"/>
          <w:szCs w:val="22"/>
          <w:highlight w:val="none"/>
        </w:rPr>
        <w:t>广西政府采购云平台</w:t>
      </w:r>
      <w:r>
        <w:rPr>
          <w:rFonts w:hAnsi="宋体"/>
          <w:b/>
          <w:bCs/>
          <w:color w:val="auto"/>
          <w:sz w:val="22"/>
          <w:szCs w:val="22"/>
          <w:highlight w:val="none"/>
        </w:rPr>
        <w:t>”电子化开标或评审程序调整的，按调整后程序执行。</w:t>
      </w:r>
    </w:p>
    <w:p>
      <w:pPr>
        <w:pStyle w:val="11"/>
        <w:snapToGrid w:val="0"/>
        <w:spacing w:line="360" w:lineRule="exact"/>
        <w:ind w:left="771" w:leftChars="267" w:hanging="210" w:hangingChars="100"/>
        <w:outlineLvl w:val="1"/>
        <w:rPr>
          <w:rFonts w:hint="eastAsia" w:hAnsi="宋体"/>
          <w:b/>
          <w:color w:val="auto"/>
          <w:highlight w:val="none"/>
        </w:rPr>
      </w:pPr>
      <w:r>
        <w:rPr>
          <w:rFonts w:hint="eastAsia" w:hAnsi="宋体"/>
          <w:b/>
          <w:color w:val="auto"/>
          <w:highlight w:val="none"/>
        </w:rPr>
        <w:t>五、</w:t>
      </w:r>
      <w:r>
        <w:rPr>
          <w:rFonts w:hint="eastAsia" w:hAnsi="宋体"/>
          <w:b/>
          <w:bCs/>
          <w:color w:val="auto"/>
          <w:highlight w:val="none"/>
        </w:rPr>
        <w:t>资格审查</w:t>
      </w:r>
      <w:bookmarkEnd w:id="207"/>
      <w:bookmarkEnd w:id="208"/>
      <w:bookmarkEnd w:id="209"/>
    </w:p>
    <w:p>
      <w:pPr>
        <w:pStyle w:val="11"/>
        <w:snapToGrid w:val="0"/>
        <w:spacing w:line="360" w:lineRule="exact"/>
        <w:ind w:left="771" w:leftChars="267" w:hanging="210" w:hangingChars="100"/>
        <w:outlineLvl w:val="1"/>
        <w:rPr>
          <w:rFonts w:hint="eastAsia" w:hAnsi="宋体"/>
          <w:b/>
          <w:color w:val="auto"/>
          <w:highlight w:val="none"/>
        </w:rPr>
      </w:pPr>
      <w:bookmarkStart w:id="212" w:name="_Toc40865084"/>
      <w:bookmarkStart w:id="213" w:name="_Toc40864692"/>
      <w:bookmarkStart w:id="214" w:name="_Toc40864968"/>
      <w:r>
        <w:rPr>
          <w:rFonts w:hint="eastAsia" w:hAnsi="宋体" w:cs="宋体"/>
          <w:color w:val="auto"/>
          <w:highlight w:val="none"/>
        </w:rPr>
        <w:t>采购人</w:t>
      </w:r>
      <w:r>
        <w:rPr>
          <w:rFonts w:hint="eastAsia" w:hAnsi="宋体" w:cs="宋体"/>
          <w:color w:val="auto"/>
          <w:spacing w:val="-4"/>
          <w:highlight w:val="none"/>
        </w:rPr>
        <w:t>或本中心工作人员</w:t>
      </w:r>
      <w:r>
        <w:rPr>
          <w:rFonts w:hint="eastAsia" w:hAnsi="宋体" w:cs="宋体"/>
          <w:color w:val="auto"/>
          <w:highlight w:val="none"/>
        </w:rPr>
        <w:t>依法对投标人的资格进行审查。合格投标人不足3家的，不得评标</w:t>
      </w:r>
      <w:r>
        <w:rPr>
          <w:rFonts w:hint="eastAsia"/>
          <w:color w:val="auto"/>
          <w:highlight w:val="none"/>
        </w:rPr>
        <w:t>。</w:t>
      </w:r>
      <w:bookmarkEnd w:id="212"/>
      <w:bookmarkEnd w:id="213"/>
      <w:bookmarkEnd w:id="214"/>
    </w:p>
    <w:p>
      <w:pPr>
        <w:pStyle w:val="11"/>
        <w:snapToGrid w:val="0"/>
        <w:spacing w:line="360" w:lineRule="exact"/>
        <w:ind w:left="771" w:leftChars="267" w:hanging="210" w:hangingChars="100"/>
        <w:outlineLvl w:val="1"/>
        <w:rPr>
          <w:rFonts w:hint="eastAsia" w:hAnsi="宋体"/>
          <w:b/>
          <w:color w:val="auto"/>
          <w:highlight w:val="none"/>
        </w:rPr>
      </w:pPr>
      <w:bookmarkStart w:id="215" w:name="_Toc40864693"/>
      <w:bookmarkStart w:id="216" w:name="_Toc40865085"/>
      <w:bookmarkStart w:id="217" w:name="_Toc40864969"/>
      <w:r>
        <w:rPr>
          <w:rFonts w:hint="eastAsia" w:hAnsi="宋体"/>
          <w:b/>
          <w:color w:val="auto"/>
          <w:highlight w:val="none"/>
        </w:rPr>
        <w:t>六、评标</w:t>
      </w:r>
      <w:bookmarkEnd w:id="210"/>
      <w:bookmarkEnd w:id="211"/>
      <w:bookmarkEnd w:id="215"/>
      <w:bookmarkEnd w:id="216"/>
      <w:bookmarkEnd w:id="217"/>
    </w:p>
    <w:p>
      <w:pPr>
        <w:pStyle w:val="11"/>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（一）组建评标委员会</w:t>
      </w:r>
    </w:p>
    <w:p>
      <w:pPr>
        <w:pStyle w:val="11"/>
        <w:snapToGrid w:val="0"/>
        <w:spacing w:line="360" w:lineRule="exact"/>
        <w:ind w:firstLine="420" w:firstLineChars="200"/>
        <w:rPr>
          <w:rFonts w:hint="eastAsia"/>
          <w:color w:val="auto"/>
          <w:spacing w:val="-4"/>
          <w:highlight w:val="none"/>
        </w:rPr>
      </w:pPr>
      <w:r>
        <w:rPr>
          <w:rFonts w:hint="eastAsia" w:hAnsi="宋体"/>
          <w:bCs/>
          <w:color w:val="auto"/>
          <w:highlight w:val="none"/>
        </w:rPr>
        <w:t>本招标采购项目的</w:t>
      </w:r>
      <w:r>
        <w:rPr>
          <w:color w:val="auto"/>
          <w:spacing w:val="-4"/>
          <w:highlight w:val="none"/>
        </w:rPr>
        <w:t>评标委员会由采购人代表和评审专家组成，成员人数应当为5人以上单数，其中评审专家不得少于成员总数的三分之二。</w:t>
      </w:r>
    </w:p>
    <w:p>
      <w:pPr>
        <w:pStyle w:val="11"/>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（二）评标的方式</w:t>
      </w:r>
    </w:p>
    <w:p>
      <w:pPr>
        <w:pStyle w:val="11"/>
        <w:snapToGrid w:val="0"/>
        <w:spacing w:line="360" w:lineRule="exact"/>
        <w:ind w:left="689" w:leftChars="228" w:hanging="210" w:hangingChars="100"/>
        <w:rPr>
          <w:rFonts w:hint="eastAsia" w:hAnsi="宋体"/>
          <w:color w:val="auto"/>
          <w:highlight w:val="none"/>
        </w:rPr>
      </w:pPr>
      <w:r>
        <w:rPr>
          <w:rFonts w:hint="eastAsia" w:hAnsi="宋体"/>
          <w:color w:val="auto"/>
          <w:highlight w:val="none"/>
        </w:rPr>
        <w:t>本项目采用不公开方式评标，评标的依据为招标文件和投标文件。</w:t>
      </w:r>
    </w:p>
    <w:p>
      <w:pPr>
        <w:pStyle w:val="11"/>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pPr>
        <w:adjustRightInd w:val="0"/>
        <w:snapToGrid w:val="0"/>
        <w:spacing w:line="400" w:lineRule="exact"/>
        <w:ind w:firstLine="420" w:firstLineChars="200"/>
        <w:rPr>
          <w:rFonts w:hint="eastAsia" w:ascii="宋体" w:hAnsi="宋体"/>
          <w:color w:val="auto"/>
          <w:szCs w:val="21"/>
          <w:highlight w:val="none"/>
        </w:rPr>
      </w:pPr>
      <w:bookmarkStart w:id="218" w:name="_Toc40864694"/>
      <w:bookmarkStart w:id="219" w:name="_Toc40865086"/>
      <w:bookmarkStart w:id="220" w:name="_Toc40864970"/>
      <w:r>
        <w:rPr>
          <w:rFonts w:hint="eastAsia" w:ascii="宋体" w:hAnsi="宋体"/>
          <w:color w:val="auto"/>
          <w:szCs w:val="21"/>
          <w:highlight w:val="none"/>
        </w:rPr>
        <w:t>（1）</w:t>
      </w:r>
      <w:r>
        <w:rPr>
          <w:rFonts w:hint="eastAsia" w:ascii="宋体"/>
          <w:color w:val="auto"/>
          <w:szCs w:val="21"/>
          <w:highlight w:val="none"/>
        </w:rPr>
        <w:t>评标委员会审查、评价投标文件是否符合招标文件的商务、技术等实质性要求。</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color w:val="auto"/>
          <w:szCs w:val="21"/>
          <w:highlight w:val="none"/>
        </w:rPr>
        <w:t>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（4）本中心工作人员协助评标委员会根据本项目的评分标准计算各投标人的商务报价得分。</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color w:val="auto"/>
          <w:szCs w:val="21"/>
          <w:highlight w:val="none"/>
        </w:rPr>
        <w:t>评标委员会完成评标后,由</w:t>
      </w:r>
      <w:r>
        <w:rPr>
          <w:rFonts w:ascii="宋体"/>
          <w:color w:val="auto"/>
          <w:szCs w:val="21"/>
          <w:highlight w:val="none"/>
          <w:lang w:val="en"/>
        </w:rPr>
        <w:t>广西政府采购云</w:t>
      </w:r>
      <w:r>
        <w:rPr>
          <w:rFonts w:hint="eastAsia" w:ascii="宋体"/>
          <w:color w:val="auto"/>
          <w:szCs w:val="21"/>
          <w:highlight w:val="none"/>
        </w:rPr>
        <w:t>系统对各部分得分汇总,计算出本项目最终得分、评标价等。</w:t>
      </w:r>
      <w:r>
        <w:rPr>
          <w:rFonts w:hint="eastAsia" w:ascii="宋体" w:hAnsi="宋体"/>
          <w:color w:val="auto"/>
          <w:szCs w:val="21"/>
          <w:highlight w:val="none"/>
        </w:rPr>
        <w:t>评标委员会按推荐原则推荐中标候选人同时形成评标报告。</w:t>
      </w:r>
    </w:p>
    <w:bookmarkEnd w:id="218"/>
    <w:bookmarkEnd w:id="219"/>
    <w:bookmarkEnd w:id="220"/>
    <w:p>
      <w:pPr>
        <w:adjustRightInd w:val="0"/>
        <w:snapToGrid w:val="0"/>
        <w:spacing w:line="400" w:lineRule="exact"/>
        <w:ind w:firstLine="421" w:firstLineChars="200"/>
        <w:rPr>
          <w:rFonts w:hint="eastAsia"/>
          <w:b/>
          <w:color w:val="auto"/>
          <w:highlight w:val="none"/>
        </w:rPr>
      </w:pPr>
      <w:bookmarkStart w:id="221" w:name="_Toc40865088"/>
      <w:bookmarkStart w:id="222" w:name="_Toc40864696"/>
      <w:bookmarkStart w:id="223" w:name="_Toc40864972"/>
      <w:r>
        <w:rPr>
          <w:rFonts w:hint="eastAsia"/>
          <w:b/>
          <w:color w:val="auto"/>
          <w:highlight w:val="none"/>
        </w:rPr>
        <w:t>（四）澄清问题的形式</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1" w:firstLineChars="200"/>
        <w:rPr>
          <w:rFonts w:hint="eastAsia"/>
          <w:b/>
          <w:color w:val="auto"/>
          <w:highlight w:val="none"/>
        </w:rPr>
      </w:pPr>
      <w:r>
        <w:rPr>
          <w:rFonts w:hint="eastAsia"/>
          <w:b/>
          <w:color w:val="auto"/>
          <w:highlight w:val="none"/>
        </w:rPr>
        <w:t>（五）错误修正</w:t>
      </w:r>
    </w:p>
    <w:p>
      <w:pPr>
        <w:pStyle w:val="11"/>
        <w:adjustRightInd w:val="0"/>
        <w:snapToGrid w:val="0"/>
        <w:spacing w:line="400" w:lineRule="exact"/>
        <w:ind w:left="689" w:leftChars="228" w:hanging="210" w:hangingChars="100"/>
        <w:rPr>
          <w:rFonts w:hint="eastAsia" w:hAnsi="宋体"/>
          <w:color w:val="auto"/>
          <w:highlight w:val="none"/>
        </w:rPr>
      </w:pPr>
      <w:r>
        <w:rPr>
          <w:rFonts w:hint="eastAsia" w:hAnsi="宋体"/>
          <w:color w:val="auto"/>
          <w:highlight w:val="none"/>
        </w:rPr>
        <w:t>投标文件如果出现计算或表达上的错误，修正错误的原则如下：</w:t>
      </w:r>
    </w:p>
    <w:p>
      <w:pPr>
        <w:pStyle w:val="11"/>
        <w:adjustRightInd w:val="0"/>
        <w:snapToGrid w:val="0"/>
        <w:spacing w:line="400" w:lineRule="exact"/>
        <w:ind w:firstLine="420" w:firstLineChars="200"/>
        <w:rPr>
          <w:color w:val="auto"/>
          <w:highlight w:val="none"/>
        </w:rPr>
      </w:pPr>
      <w:r>
        <w:rPr>
          <w:rFonts w:hint="eastAsia"/>
          <w:color w:val="auto"/>
          <w:highlight w:val="none"/>
        </w:rPr>
        <w:t>1.投标文件中开标一览表（报价表）内容与投标文件中相应内容不一致的，以开标一览表（报价表）为准；</w:t>
      </w:r>
    </w:p>
    <w:p>
      <w:pPr>
        <w:pStyle w:val="11"/>
        <w:adjustRightInd w:val="0"/>
        <w:snapToGrid w:val="0"/>
        <w:spacing w:line="400" w:lineRule="exact"/>
        <w:ind w:firstLine="420" w:firstLineChars="200"/>
        <w:rPr>
          <w:color w:val="auto"/>
          <w:highlight w:val="none"/>
        </w:rPr>
      </w:pPr>
      <w:r>
        <w:rPr>
          <w:rFonts w:hint="eastAsia"/>
          <w:color w:val="auto"/>
          <w:highlight w:val="none"/>
        </w:rPr>
        <w:t>2.大写金额和小写金额不一致的，以大写金额为准；</w:t>
      </w:r>
    </w:p>
    <w:p>
      <w:pPr>
        <w:pStyle w:val="11"/>
        <w:adjustRightInd w:val="0"/>
        <w:snapToGrid w:val="0"/>
        <w:spacing w:line="400" w:lineRule="exact"/>
        <w:ind w:firstLine="420" w:firstLineChars="200"/>
        <w:rPr>
          <w:color w:val="auto"/>
          <w:highlight w:val="none"/>
        </w:rPr>
      </w:pPr>
      <w:r>
        <w:rPr>
          <w:rFonts w:hint="eastAsia"/>
          <w:color w:val="auto"/>
          <w:highlight w:val="none"/>
        </w:rPr>
        <w:t>3.单价金额小数点或者百分比有明显错位的，以开标一览表的总价为准，并修改单价；</w:t>
      </w:r>
    </w:p>
    <w:p>
      <w:pPr>
        <w:pStyle w:val="11"/>
        <w:adjustRightInd w:val="0"/>
        <w:snapToGrid w:val="0"/>
        <w:spacing w:line="400" w:lineRule="exact"/>
        <w:ind w:firstLine="420" w:firstLineChars="200"/>
        <w:rPr>
          <w:color w:val="auto"/>
          <w:highlight w:val="none"/>
        </w:rPr>
      </w:pPr>
      <w:r>
        <w:rPr>
          <w:rFonts w:hint="eastAsia"/>
          <w:color w:val="auto"/>
          <w:highlight w:val="none"/>
        </w:rPr>
        <w:t>4.总价金额与按单价汇总金额不一致的，以单价金额计算结果为准。</w:t>
      </w:r>
    </w:p>
    <w:p>
      <w:pPr>
        <w:pStyle w:val="11"/>
        <w:adjustRightInd w:val="0"/>
        <w:snapToGrid w:val="0"/>
        <w:spacing w:line="400" w:lineRule="exact"/>
        <w:ind w:firstLine="420" w:firstLineChars="200"/>
        <w:rPr>
          <w:color w:val="auto"/>
          <w:highlight w:val="none"/>
        </w:rPr>
      </w:pPr>
      <w:r>
        <w:rPr>
          <w:rFonts w:hint="eastAsia"/>
          <w:color w:val="auto"/>
          <w:highlight w:val="none"/>
        </w:rPr>
        <w:t>5.对不同文字文本投标文件的解释发生异议的，以中文文本为准。</w:t>
      </w:r>
    </w:p>
    <w:p>
      <w:pPr>
        <w:pStyle w:val="11"/>
        <w:adjustRightInd w:val="0"/>
        <w:snapToGrid w:val="0"/>
        <w:spacing w:line="400" w:lineRule="exact"/>
        <w:ind w:firstLine="420" w:firstLineChars="200"/>
        <w:rPr>
          <w:rFonts w:hint="eastAsia" w:hAnsi="宋体"/>
          <w:color w:val="auto"/>
          <w:highlight w:val="none"/>
        </w:rPr>
      </w:pPr>
      <w:r>
        <w:rPr>
          <w:rFonts w:hint="eastAsia"/>
          <w:color w:val="auto"/>
          <w:highlight w:val="none"/>
        </w:rPr>
        <w:t>同时出现两种以上不一致的，按照前款规定的顺序修正。</w:t>
      </w:r>
    </w:p>
    <w:p>
      <w:pPr>
        <w:pStyle w:val="11"/>
        <w:adjustRightInd w:val="0"/>
        <w:snapToGrid w:val="0"/>
        <w:spacing w:line="400" w:lineRule="exact"/>
        <w:ind w:firstLine="421" w:firstLineChars="200"/>
        <w:rPr>
          <w:rFonts w:hint="eastAsia" w:hAnsi="宋体"/>
          <w:b/>
          <w:bCs/>
          <w:color w:val="auto"/>
          <w:highlight w:val="none"/>
        </w:rPr>
      </w:pPr>
      <w:r>
        <w:rPr>
          <w:rFonts w:hint="eastAsia" w:hAnsi="宋体"/>
          <w:b/>
          <w:bCs/>
          <w:color w:val="auto"/>
          <w:highlight w:val="none"/>
        </w:rPr>
        <w:t>按上述修正错误的原则及方法调整或修正投标文件的投标报价，投标人须在线同意并</w:t>
      </w:r>
      <w:r>
        <w:rPr>
          <w:rFonts w:hint="eastAsia" w:hAnsi="宋体"/>
          <w:b/>
          <w:bCs/>
          <w:color w:val="auto"/>
          <w:highlight w:val="none"/>
          <w:lang w:eastAsia="zh-CN"/>
        </w:rPr>
        <w:t>签字或签章</w:t>
      </w:r>
      <w:r>
        <w:rPr>
          <w:rFonts w:hint="eastAsia" w:hAnsi="宋体"/>
          <w:b/>
          <w:bCs/>
          <w:color w:val="auto"/>
          <w:highlight w:val="none"/>
        </w:rPr>
        <w:t>确认，调整后的投标报价对投标人具有约束作用。如果投标人不接受修正后的报价，则其投标将作为无效投标处理。</w:t>
      </w:r>
    </w:p>
    <w:p>
      <w:pPr>
        <w:pStyle w:val="11"/>
        <w:tabs>
          <w:tab w:val="left" w:pos="630"/>
        </w:tabs>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（六）评标原则和评标办法</w:t>
      </w:r>
      <w:bookmarkEnd w:id="221"/>
      <w:bookmarkEnd w:id="222"/>
      <w:bookmarkEnd w:id="223"/>
    </w:p>
    <w:p>
      <w:pPr>
        <w:pStyle w:val="11"/>
        <w:snapToGrid w:val="0"/>
        <w:spacing w:line="440" w:lineRule="exact"/>
        <w:ind w:firstLine="420" w:firstLineChars="200"/>
        <w:rPr>
          <w:rFonts w:hint="eastAsia"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440" w:lineRule="exact"/>
        <w:ind w:firstLine="420" w:firstLineChars="200"/>
        <w:rPr>
          <w:rFonts w:hint="eastAsia"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，具体评标内容及评分标准等详见第四章：评标方法及评定标准。</w:t>
      </w:r>
    </w:p>
    <w:p>
      <w:pPr>
        <w:pStyle w:val="11"/>
        <w:snapToGrid w:val="0"/>
        <w:spacing w:line="440" w:lineRule="exact"/>
        <w:ind w:firstLine="413" w:firstLineChars="196"/>
        <w:outlineLvl w:val="0"/>
        <w:rPr>
          <w:rFonts w:hint="eastAsia" w:hAnsi="宋体"/>
          <w:b/>
          <w:color w:val="auto"/>
          <w:highlight w:val="none"/>
        </w:rPr>
      </w:pPr>
      <w:bookmarkStart w:id="224" w:name="_Toc40865089"/>
      <w:bookmarkStart w:id="225" w:name="_Toc40864973"/>
      <w:bookmarkStart w:id="226" w:name="_Toc40864697"/>
      <w:r>
        <w:rPr>
          <w:rFonts w:hint="eastAsia" w:hAnsi="宋体"/>
          <w:b/>
          <w:color w:val="auto"/>
          <w:highlight w:val="none"/>
        </w:rPr>
        <w:t>（七）评标过程的监控</w:t>
      </w:r>
      <w:bookmarkEnd w:id="224"/>
      <w:bookmarkEnd w:id="225"/>
      <w:bookmarkEnd w:id="226"/>
    </w:p>
    <w:p>
      <w:pPr>
        <w:pStyle w:val="11"/>
        <w:snapToGrid w:val="0"/>
        <w:spacing w:line="440" w:lineRule="exact"/>
        <w:ind w:firstLine="420" w:firstLineChars="200"/>
        <w:rPr>
          <w:rFonts w:hint="eastAsia"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pPr>
        <w:pStyle w:val="11"/>
        <w:snapToGrid w:val="0"/>
        <w:spacing w:line="440" w:lineRule="exact"/>
        <w:ind w:firstLine="413" w:firstLineChars="196"/>
        <w:outlineLvl w:val="1"/>
        <w:rPr>
          <w:rFonts w:hint="eastAsia" w:hAnsi="宋体"/>
          <w:b/>
          <w:color w:val="auto"/>
          <w:highlight w:val="none"/>
        </w:rPr>
      </w:pPr>
      <w:bookmarkStart w:id="227" w:name="_Toc254970687"/>
      <w:bookmarkStart w:id="228" w:name="_Toc254970546"/>
      <w:bookmarkStart w:id="229" w:name="_Toc40864974"/>
      <w:bookmarkStart w:id="230" w:name="_Toc40865090"/>
      <w:bookmarkStart w:id="231" w:name="_Toc40864698"/>
      <w:r>
        <w:rPr>
          <w:rFonts w:hint="eastAsia" w:hAnsi="宋体"/>
          <w:b/>
          <w:color w:val="auto"/>
          <w:highlight w:val="none"/>
        </w:rPr>
        <w:t>七、评标结果</w:t>
      </w:r>
      <w:bookmarkEnd w:id="227"/>
      <w:bookmarkEnd w:id="228"/>
      <w:bookmarkEnd w:id="229"/>
      <w:bookmarkEnd w:id="230"/>
      <w:bookmarkEnd w:id="231"/>
    </w:p>
    <w:p>
      <w:pPr>
        <w:pStyle w:val="11"/>
        <w:spacing w:line="440" w:lineRule="exact"/>
        <w:ind w:firstLine="420"/>
        <w:rPr>
          <w:rFonts w:hint="eastAsia" w:hAnsi="宋体"/>
          <w:color w:val="auto"/>
          <w:highlight w:val="none"/>
        </w:rPr>
      </w:pPr>
      <w:r>
        <w:rPr>
          <w:rFonts w:hint="eastAsia" w:hAnsi="宋体"/>
          <w:b/>
          <w:bCs/>
          <w:color w:val="auto"/>
          <w:highlight w:val="none"/>
        </w:rPr>
        <w:t>（一）</w:t>
      </w:r>
      <w:r>
        <w:rPr>
          <w:rFonts w:hint="eastAsia" w:hAnsi="宋体"/>
          <w:color w:val="auto"/>
          <w:highlight w:val="none"/>
        </w:rPr>
        <w:t>本中心将在评标结束后</w:t>
      </w:r>
      <w:r>
        <w:rPr>
          <w:rFonts w:hint="eastAsia" w:hAnsi="宋体"/>
          <w:b/>
          <w:bCs/>
          <w:color w:val="auto"/>
          <w:highlight w:val="none"/>
        </w:rPr>
        <w:t>2个工作日内</w:t>
      </w:r>
      <w:r>
        <w:rPr>
          <w:rFonts w:hint="eastAsia" w:hAnsi="宋体"/>
          <w:color w:val="auto"/>
          <w:highlight w:val="none"/>
        </w:rPr>
        <w:t>将评标报告送采购人，采购人</w:t>
      </w:r>
      <w:r>
        <w:rPr>
          <w:rFonts w:hint="eastAsia" w:hAnsi="宋体"/>
          <w:b/>
          <w:bCs/>
          <w:color w:val="auto"/>
          <w:highlight w:val="none"/>
        </w:rPr>
        <w:t>在5个工作日内</w:t>
      </w:r>
      <w:r>
        <w:rPr>
          <w:rFonts w:hint="eastAsia" w:hAnsi="宋体"/>
          <w:color w:val="auto"/>
          <w:highlight w:val="none"/>
        </w:rPr>
        <w:t>按照评标报告中推荐的中标候选供应商顺序确定中标供应商。</w:t>
      </w:r>
    </w:p>
    <w:p>
      <w:pPr>
        <w:pStyle w:val="11"/>
        <w:spacing w:line="440" w:lineRule="exact"/>
        <w:ind w:firstLine="420"/>
        <w:rPr>
          <w:rFonts w:hint="eastAsia" w:hAnsi="宋体"/>
          <w:color w:val="auto"/>
          <w:highlight w:val="none"/>
        </w:rPr>
      </w:pPr>
      <w:r>
        <w:rPr>
          <w:rFonts w:hint="eastAsia" w:hAnsi="宋体"/>
          <w:color w:val="auto"/>
          <w:highlight w:val="none"/>
        </w:rPr>
        <w:t>（二）中标供应商确定后，本中心在中国政府采购网、广西财政网、</w:t>
      </w:r>
      <w:r>
        <w:rPr>
          <w:rFonts w:hint="eastAsia"/>
          <w:color w:val="auto"/>
          <w:highlight w:val="none"/>
        </w:rPr>
        <w:t>广西壮族自治区政府采购中心网站</w:t>
      </w:r>
      <w:r>
        <w:rPr>
          <w:rFonts w:hint="eastAsia" w:hAnsi="宋体"/>
          <w:color w:val="auto"/>
          <w:highlight w:val="none"/>
        </w:rPr>
        <w:t>发布中标结果公告。</w:t>
      </w:r>
    </w:p>
    <w:p>
      <w:pPr>
        <w:pStyle w:val="11"/>
        <w:spacing w:line="440" w:lineRule="exact"/>
        <w:ind w:firstLine="420"/>
        <w:rPr>
          <w:rFonts w:hint="eastAsia" w:hAnsi="宋体"/>
          <w:color w:val="auto"/>
          <w:highlight w:val="none"/>
        </w:rPr>
      </w:pPr>
      <w:r>
        <w:rPr>
          <w:rFonts w:hint="eastAsia" w:hAnsi="宋体"/>
          <w:color w:val="auto"/>
          <w:highlight w:val="none"/>
        </w:rPr>
        <w:t>（三）</w:t>
      </w:r>
      <w:r>
        <w:rPr>
          <w:rFonts w:hint="eastAsia"/>
          <w:color w:val="auto"/>
          <w:highlight w:val="none"/>
        </w:rPr>
        <w:t>在发布中标结果公告的同时，本中心向中标供应商发出中标通知书。</w:t>
      </w:r>
    </w:p>
    <w:p>
      <w:pPr>
        <w:pStyle w:val="11"/>
        <w:spacing w:line="440" w:lineRule="exact"/>
        <w:ind w:firstLine="420" w:firstLineChars="200"/>
        <w:rPr>
          <w:rFonts w:hint="eastAsia" w:hAnsi="宋体"/>
          <w:bCs/>
          <w:color w:val="auto"/>
          <w:highlight w:val="none"/>
        </w:rPr>
      </w:pPr>
      <w:r>
        <w:rPr>
          <w:rFonts w:hint="eastAsia" w:hAnsi="宋体"/>
          <w:color w:val="auto"/>
          <w:highlight w:val="none"/>
        </w:rPr>
        <w:t>（四）</w:t>
      </w:r>
      <w:r>
        <w:rPr>
          <w:rFonts w:hint="eastAsia" w:hAnsi="宋体"/>
          <w:bCs/>
          <w:color w:val="auto"/>
          <w:highlight w:val="none"/>
        </w:rPr>
        <w:t>投标人认为招标文件、招标过程和中标结果使自己的权益受到损害的，可以在知道或者应知其权益受到损害之日起七个工作日内，以书面形式向本中心提出质疑，并及时索要书面回执。</w:t>
      </w:r>
    </w:p>
    <w:p>
      <w:pPr>
        <w:pStyle w:val="11"/>
        <w:spacing w:line="440" w:lineRule="exact"/>
        <w:ind w:firstLine="420"/>
        <w:rPr>
          <w:rFonts w:hint="eastAsia" w:hAnsi="宋体"/>
          <w:color w:val="auto"/>
          <w:highlight w:val="none"/>
        </w:rPr>
      </w:pPr>
      <w:r>
        <w:rPr>
          <w:rFonts w:hint="eastAsia" w:hAnsi="宋体"/>
          <w:color w:val="auto"/>
          <w:highlight w:val="none"/>
        </w:rPr>
        <w:t>（五）</w:t>
      </w:r>
      <w:r>
        <w:rPr>
          <w:rFonts w:hint="eastAsia" w:hAnsi="宋体"/>
          <w:bCs/>
          <w:color w:val="auto"/>
          <w:highlight w:val="none"/>
        </w:rPr>
        <w:t>本中心应当按照有关规定就采购人委托授权范围内的事项在收到投标人的书面质疑后七个工作日内做出答复，但答复的内容不得涉及商业秘密。</w:t>
      </w:r>
    </w:p>
    <w:p>
      <w:pPr>
        <w:pStyle w:val="11"/>
        <w:snapToGrid w:val="0"/>
        <w:spacing w:line="440" w:lineRule="exact"/>
        <w:ind w:firstLine="413" w:firstLineChars="196"/>
        <w:outlineLvl w:val="1"/>
        <w:rPr>
          <w:rFonts w:hint="eastAsia" w:hAnsi="宋体"/>
          <w:b/>
          <w:color w:val="auto"/>
          <w:highlight w:val="none"/>
        </w:rPr>
      </w:pPr>
      <w:bookmarkStart w:id="232" w:name="_Toc40864699"/>
      <w:bookmarkStart w:id="233" w:name="_Toc40865091"/>
      <w:bookmarkStart w:id="234" w:name="_Toc40864975"/>
      <w:r>
        <w:rPr>
          <w:rFonts w:hint="eastAsia" w:hAnsi="宋体"/>
          <w:b/>
          <w:color w:val="auto"/>
          <w:highlight w:val="none"/>
        </w:rPr>
        <w:t>八、签订合同</w:t>
      </w:r>
      <w:bookmarkEnd w:id="232"/>
      <w:bookmarkEnd w:id="233"/>
      <w:bookmarkEnd w:id="234"/>
    </w:p>
    <w:p>
      <w:pPr>
        <w:pStyle w:val="11"/>
        <w:snapToGrid w:val="0"/>
        <w:spacing w:line="440" w:lineRule="exact"/>
        <w:ind w:firstLine="413" w:firstLineChars="196"/>
        <w:outlineLvl w:val="1"/>
        <w:rPr>
          <w:rFonts w:hint="eastAsia" w:hAnsi="宋体"/>
          <w:b/>
          <w:color w:val="auto"/>
          <w:highlight w:val="none"/>
        </w:rPr>
      </w:pPr>
      <w:bookmarkStart w:id="235" w:name="_Toc40864976"/>
      <w:bookmarkStart w:id="236" w:name="_Toc40865092"/>
      <w:bookmarkStart w:id="237" w:name="_Toc40864700"/>
      <w:r>
        <w:rPr>
          <w:rFonts w:hint="eastAsia" w:hAnsi="宋体"/>
          <w:b/>
          <w:color w:val="auto"/>
          <w:highlight w:val="none"/>
        </w:rPr>
        <w:t>（一）合同授予标准</w:t>
      </w:r>
      <w:bookmarkEnd w:id="235"/>
      <w:bookmarkEnd w:id="236"/>
      <w:bookmarkEnd w:id="237"/>
    </w:p>
    <w:p>
      <w:pPr>
        <w:pStyle w:val="11"/>
        <w:spacing w:line="440" w:lineRule="exact"/>
        <w:ind w:firstLine="420"/>
        <w:rPr>
          <w:rFonts w:hint="eastAsia" w:hAnsi="宋体"/>
          <w:color w:val="auto"/>
          <w:highlight w:val="none"/>
        </w:rPr>
      </w:pPr>
      <w:r>
        <w:rPr>
          <w:rFonts w:hint="eastAsia" w:hAnsi="宋体"/>
          <w:color w:val="auto"/>
          <w:highlight w:val="none"/>
        </w:rPr>
        <w:t>合同将授予被确定投标文件满足招标文件全部实质性要求，具备履行合同能力，</w:t>
      </w:r>
      <w:r>
        <w:rPr>
          <w:rFonts w:hint="eastAsia" w:hAnsi="宋体"/>
          <w:b/>
          <w:bCs/>
          <w:color w:val="auto"/>
          <w:highlight w:val="none"/>
        </w:rPr>
        <w:t>评审得分最高，综合评分排名第一的供应商</w:t>
      </w:r>
      <w:r>
        <w:rPr>
          <w:rFonts w:hint="eastAsia" w:hAnsi="宋体"/>
          <w:color w:val="auto"/>
          <w:highlight w:val="none"/>
        </w:rPr>
        <w:t>。</w:t>
      </w:r>
    </w:p>
    <w:p>
      <w:pPr>
        <w:pStyle w:val="11"/>
        <w:snapToGrid w:val="0"/>
        <w:spacing w:line="440" w:lineRule="exact"/>
        <w:ind w:firstLine="413" w:firstLineChars="196"/>
        <w:outlineLvl w:val="1"/>
        <w:rPr>
          <w:rFonts w:hint="eastAsia" w:hAnsi="宋体"/>
          <w:color w:val="auto"/>
          <w:highlight w:val="none"/>
        </w:rPr>
      </w:pPr>
      <w:bookmarkStart w:id="238" w:name="_Toc40865093"/>
      <w:bookmarkStart w:id="239" w:name="_Toc40864701"/>
      <w:bookmarkStart w:id="240" w:name="_Toc40864977"/>
      <w:r>
        <w:rPr>
          <w:rFonts w:hint="eastAsia" w:hAnsi="宋体"/>
          <w:b/>
          <w:color w:val="auto"/>
          <w:highlight w:val="none"/>
        </w:rPr>
        <w:t>（二）签订合同</w:t>
      </w:r>
      <w:bookmarkEnd w:id="238"/>
      <w:bookmarkEnd w:id="239"/>
      <w:bookmarkEnd w:id="240"/>
    </w:p>
    <w:p>
      <w:pPr>
        <w:pStyle w:val="11"/>
        <w:spacing w:line="440" w:lineRule="exact"/>
        <w:ind w:firstLine="420"/>
        <w:rPr>
          <w:rFonts w:hint="eastAsia" w:hAnsi="宋体"/>
          <w:color w:val="auto"/>
          <w:highlight w:val="none"/>
        </w:rPr>
      </w:pPr>
      <w:r>
        <w:rPr>
          <w:rFonts w:hint="eastAsia" w:hAnsi="宋体"/>
          <w:color w:val="auto"/>
          <w:highlight w:val="none"/>
        </w:rPr>
        <w:t>（1）</w:t>
      </w:r>
      <w:r>
        <w:rPr>
          <w:rFonts w:hint="eastAsia"/>
          <w:color w:val="auto"/>
          <w:highlight w:val="none"/>
        </w:rPr>
        <w:t>投标人接到中标通知书后，应按中标通知书规定的时间、地点与采购人签订合同。中标人无正当理由不得放弃中标。</w:t>
      </w:r>
    </w:p>
    <w:p>
      <w:pPr>
        <w:pStyle w:val="11"/>
        <w:spacing w:line="440" w:lineRule="exact"/>
        <w:ind w:firstLine="420"/>
        <w:rPr>
          <w:rFonts w:hint="eastAsia" w:hAnsi="宋体"/>
          <w:color w:val="auto"/>
          <w:highlight w:val="none"/>
        </w:rPr>
      </w:pPr>
      <w:r>
        <w:rPr>
          <w:rFonts w:hint="eastAsia" w:hAnsi="宋体"/>
          <w:color w:val="auto"/>
          <w:highlight w:val="none"/>
        </w:rPr>
        <w:t>（2）如中标供应商不按中标通知书的规定签订合同，则按中标供应商违约处理，本中心将没收中标供应商投标的全部投标保证金。</w:t>
      </w:r>
    </w:p>
    <w:p>
      <w:pPr>
        <w:pStyle w:val="11"/>
        <w:spacing w:line="440" w:lineRule="exact"/>
        <w:ind w:firstLine="420" w:firstLineChars="200"/>
        <w:rPr>
          <w:rFonts w:hint="eastAsia" w:hAnsi="宋体"/>
          <w:b/>
          <w:color w:val="auto"/>
          <w:highlight w:val="none"/>
        </w:rPr>
      </w:pPr>
      <w:r>
        <w:rPr>
          <w:rFonts w:hint="eastAsia" w:hAnsi="宋体"/>
          <w:color w:val="auto"/>
          <w:highlight w:val="none"/>
        </w:rPr>
        <w:t>（3）中标供应商</w:t>
      </w:r>
      <w:r>
        <w:rPr>
          <w:rFonts w:hint="eastAsia" w:hAnsi="宋体"/>
          <w:b/>
          <w:color w:val="auto"/>
          <w:highlight w:val="none"/>
        </w:rPr>
        <w:t>拒绝与采购人签订合同或</w:t>
      </w:r>
      <w:r>
        <w:rPr>
          <w:rFonts w:hint="eastAsia" w:hAnsi="宋体"/>
          <w:color w:val="auto"/>
          <w:highlight w:val="none"/>
        </w:rPr>
        <w:t>因不可抗力或者自身原因不能履行采购合同的，采购人可以与中标供应商之后排名第一的中标候选供应商签订采购合同，以此类推。</w:t>
      </w:r>
      <w:r>
        <w:rPr>
          <w:color w:val="auto"/>
          <w:highlight w:val="none"/>
        </w:rPr>
        <w:t>中标供应商放弃中标项目，拒绝与采购人签订合同的，其投标保证金</w:t>
      </w:r>
      <w:r>
        <w:rPr>
          <w:rFonts w:hint="eastAsia"/>
          <w:color w:val="auto"/>
          <w:highlight w:val="none"/>
        </w:rPr>
        <w:t>将不予退还，</w:t>
      </w:r>
      <w:r>
        <w:rPr>
          <w:color w:val="auto"/>
          <w:highlight w:val="none"/>
        </w:rPr>
        <w:t>并上缴国库，</w:t>
      </w:r>
      <w:r>
        <w:rPr>
          <w:rFonts w:hint="eastAsia"/>
          <w:color w:val="auto"/>
          <w:highlight w:val="none"/>
        </w:rPr>
        <w:t>给</w:t>
      </w:r>
      <w:r>
        <w:rPr>
          <w:color w:val="auto"/>
          <w:highlight w:val="none"/>
        </w:rPr>
        <w:t>采购人造成损失的，还应当赔偿损失，并作为不良行为记录在案</w:t>
      </w:r>
      <w:r>
        <w:rPr>
          <w:rFonts w:hint="eastAsia" w:hAnsi="宋体"/>
          <w:color w:val="auto"/>
          <w:highlight w:val="none"/>
        </w:rPr>
        <w:t>。</w:t>
      </w:r>
    </w:p>
    <w:p>
      <w:pPr>
        <w:pStyle w:val="11"/>
        <w:snapToGrid w:val="0"/>
        <w:spacing w:line="440" w:lineRule="exact"/>
        <w:ind w:firstLine="413" w:firstLineChars="196"/>
        <w:outlineLvl w:val="1"/>
        <w:rPr>
          <w:rFonts w:hint="eastAsia" w:hAnsi="宋体" w:eastAsia="宋体"/>
          <w:b/>
          <w:color w:val="auto"/>
          <w:highlight w:val="none"/>
          <w:lang w:eastAsia="zh-CN"/>
        </w:rPr>
      </w:pPr>
      <w:bookmarkStart w:id="241" w:name="_Toc40865094"/>
      <w:bookmarkStart w:id="242" w:name="_Toc40864702"/>
      <w:bookmarkStart w:id="243" w:name="_Toc40864978"/>
      <w:r>
        <w:rPr>
          <w:rFonts w:hint="eastAsia" w:hAnsi="宋体"/>
          <w:b/>
          <w:color w:val="auto"/>
          <w:highlight w:val="none"/>
        </w:rPr>
        <w:t>九、其他事项</w:t>
      </w:r>
      <w:bookmarkEnd w:id="241"/>
      <w:bookmarkEnd w:id="242"/>
      <w:bookmarkEnd w:id="243"/>
    </w:p>
    <w:p>
      <w:pPr>
        <w:pStyle w:val="11"/>
        <w:snapToGrid w:val="0"/>
        <w:spacing w:line="440" w:lineRule="exact"/>
        <w:ind w:firstLine="413" w:firstLineChars="196"/>
        <w:outlineLvl w:val="1"/>
        <w:rPr>
          <w:rFonts w:hint="eastAsia" w:hAnsi="宋体"/>
          <w:b/>
          <w:color w:val="auto"/>
          <w:highlight w:val="none"/>
        </w:rPr>
      </w:pPr>
      <w:bookmarkStart w:id="244" w:name="_Toc40864703"/>
      <w:bookmarkStart w:id="245" w:name="_Toc40864979"/>
      <w:bookmarkStart w:id="246" w:name="_Toc40865095"/>
      <w:r>
        <w:rPr>
          <w:rFonts w:hint="eastAsia" w:hAnsi="宋体"/>
          <w:b/>
          <w:color w:val="auto"/>
          <w:highlight w:val="none"/>
        </w:rPr>
        <w:t>（1）解释权：</w:t>
      </w:r>
      <w:r>
        <w:rPr>
          <w:rFonts w:hint="eastAsia" w:hAnsi="宋体"/>
          <w:b/>
          <w:bCs/>
          <w:color w:val="auto"/>
          <w:spacing w:val="-4"/>
          <w:highlight w:val="none"/>
        </w:rPr>
        <w:t>本招标文件解释权属本中心</w:t>
      </w:r>
      <w:r>
        <w:rPr>
          <w:rFonts w:hint="eastAsia" w:hAnsi="宋体"/>
          <w:color w:val="auto"/>
          <w:spacing w:val="-4"/>
          <w:highlight w:val="none"/>
        </w:rPr>
        <w:t>。</w:t>
      </w:r>
      <w:bookmarkEnd w:id="244"/>
      <w:bookmarkEnd w:id="245"/>
      <w:bookmarkEnd w:id="246"/>
    </w:p>
    <w:p>
      <w:pPr>
        <w:pStyle w:val="11"/>
        <w:snapToGrid w:val="0"/>
        <w:spacing w:line="440" w:lineRule="exact"/>
        <w:ind w:firstLine="413" w:firstLineChars="196"/>
        <w:outlineLvl w:val="1"/>
        <w:rPr>
          <w:rFonts w:hint="eastAsia" w:hAnsi="宋体"/>
          <w:color w:val="auto"/>
          <w:highlight w:val="none"/>
        </w:rPr>
      </w:pPr>
      <w:bookmarkStart w:id="247" w:name="_Toc40864704"/>
      <w:bookmarkStart w:id="248" w:name="_Toc40865096"/>
      <w:bookmarkStart w:id="249" w:name="_Toc40864980"/>
      <w:r>
        <w:rPr>
          <w:rFonts w:hint="eastAsia" w:hAnsi="宋体"/>
          <w:b/>
          <w:color w:val="auto"/>
          <w:highlight w:val="none"/>
        </w:rPr>
        <w:t>（2）有关事宜</w:t>
      </w:r>
      <w:bookmarkEnd w:id="247"/>
      <w:bookmarkEnd w:id="248"/>
      <w:bookmarkEnd w:id="249"/>
    </w:p>
    <w:p>
      <w:pPr>
        <w:pStyle w:val="11"/>
        <w:spacing w:line="360" w:lineRule="exact"/>
        <w:rPr>
          <w:rFonts w:hint="eastAsia" w:hAnsi="宋体"/>
          <w:b/>
          <w:bCs/>
          <w:color w:val="auto"/>
          <w:highlight w:val="none"/>
        </w:rPr>
      </w:pPr>
      <w:r>
        <w:rPr>
          <w:rFonts w:hint="eastAsia" w:hAnsi="宋体"/>
          <w:color w:val="auto"/>
          <w:highlight w:val="none"/>
        </w:rPr>
        <w:t xml:space="preserve">      </w:t>
      </w:r>
      <w:r>
        <w:rPr>
          <w:rFonts w:hint="eastAsia" w:hAnsi="宋体"/>
          <w:b/>
          <w:bCs/>
          <w:color w:val="auto"/>
          <w:highlight w:val="none"/>
        </w:rPr>
        <w:t>所有与本招标文件有关的函件请按下列通讯地址联系：</w:t>
      </w:r>
    </w:p>
    <w:p>
      <w:pPr>
        <w:pStyle w:val="11"/>
        <w:spacing w:line="360" w:lineRule="exact"/>
        <w:rPr>
          <w:rFonts w:hAnsi="宋体"/>
          <w:b/>
          <w:bCs/>
          <w:color w:val="auto"/>
          <w:highlight w:val="none"/>
        </w:rPr>
      </w:pPr>
      <w:r>
        <w:rPr>
          <w:rFonts w:hint="eastAsia" w:hAnsi="宋体"/>
          <w:b/>
          <w:bCs/>
          <w:color w:val="auto"/>
          <w:highlight w:val="none"/>
        </w:rPr>
        <w:t xml:space="preserve">      广西壮族自治区政府采购中心</w:t>
      </w:r>
    </w:p>
    <w:p>
      <w:pPr>
        <w:pStyle w:val="11"/>
        <w:tabs>
          <w:tab w:val="left" w:pos="1990"/>
        </w:tabs>
        <w:spacing w:line="360" w:lineRule="exact"/>
        <w:rPr>
          <w:rFonts w:hAnsi="宋体"/>
          <w:b/>
          <w:bCs/>
          <w:color w:val="auto"/>
          <w:highlight w:val="none"/>
          <w:u w:val="single"/>
        </w:rPr>
      </w:pPr>
      <w:r>
        <w:rPr>
          <w:rFonts w:hint="eastAsia" w:hAnsi="宋体"/>
          <w:b/>
          <w:bCs/>
          <w:color w:val="auto"/>
          <w:highlight w:val="none"/>
        </w:rPr>
        <w:t xml:space="preserve">      邮政编码：530020</w:t>
      </w:r>
    </w:p>
    <w:p>
      <w:pPr>
        <w:pStyle w:val="11"/>
        <w:tabs>
          <w:tab w:val="left" w:pos="1990"/>
        </w:tabs>
        <w:spacing w:line="360" w:lineRule="exact"/>
        <w:rPr>
          <w:rFonts w:hAnsi="宋体"/>
          <w:b/>
          <w:bCs/>
          <w:color w:val="auto"/>
          <w:spacing w:val="-4"/>
          <w:highlight w:val="none"/>
        </w:rPr>
      </w:pPr>
      <w:r>
        <w:rPr>
          <w:rFonts w:hint="eastAsia" w:hAnsi="宋体"/>
          <w:b/>
          <w:bCs/>
          <w:color w:val="auto"/>
          <w:highlight w:val="none"/>
        </w:rPr>
        <w:t xml:space="preserve">      通讯地址：</w:t>
      </w:r>
      <w:r>
        <w:rPr>
          <w:rFonts w:hint="eastAsia" w:hAnsi="宋体"/>
          <w:b/>
          <w:bCs/>
          <w:color w:val="auto"/>
          <w:spacing w:val="-4"/>
          <w:highlight w:val="none"/>
        </w:rPr>
        <w:t>广西</w:t>
      </w:r>
      <w:r>
        <w:rPr>
          <w:rFonts w:hAnsi="宋体"/>
          <w:b/>
          <w:bCs/>
          <w:color w:val="auto"/>
          <w:spacing w:val="-4"/>
          <w:highlight w:val="none"/>
        </w:rPr>
        <w:t>南宁市</w:t>
      </w:r>
      <w:r>
        <w:rPr>
          <w:rFonts w:hint="eastAsia" w:hAnsi="宋体"/>
          <w:b/>
          <w:bCs/>
          <w:color w:val="auto"/>
          <w:spacing w:val="-4"/>
          <w:highlight w:val="none"/>
        </w:rPr>
        <w:t>星湖路22号</w:t>
      </w:r>
    </w:p>
    <w:p>
      <w:pPr>
        <w:pStyle w:val="11"/>
        <w:spacing w:line="360" w:lineRule="exact"/>
        <w:rPr>
          <w:rFonts w:hint="eastAsia" w:hAnsi="宋体"/>
          <w:b/>
          <w:bCs/>
          <w:color w:val="auto"/>
          <w:highlight w:val="none"/>
        </w:rPr>
      </w:pPr>
      <w:r>
        <w:rPr>
          <w:rFonts w:hint="eastAsia" w:hAnsi="宋体"/>
          <w:b/>
          <w:bCs/>
          <w:color w:val="auto"/>
          <w:highlight w:val="none"/>
        </w:rPr>
        <w:t xml:space="preserve">      电    话：0771—</w:t>
      </w:r>
      <w:r>
        <w:rPr>
          <w:rFonts w:hAnsi="宋体"/>
          <w:b/>
          <w:bCs/>
          <w:color w:val="auto"/>
          <w:highlight w:val="none"/>
          <w:lang w:val="en"/>
        </w:rPr>
        <w:t>8600343</w:t>
      </w:r>
      <w:r>
        <w:rPr>
          <w:rFonts w:hint="eastAsia" w:hAnsi="宋体"/>
          <w:b/>
          <w:bCs/>
          <w:color w:val="auto"/>
          <w:highlight w:val="none"/>
        </w:rPr>
        <w:t xml:space="preserve">            </w:t>
      </w:r>
    </w:p>
    <w:p>
      <w:pPr>
        <w:pStyle w:val="11"/>
        <w:spacing w:line="360" w:lineRule="exact"/>
        <w:rPr>
          <w:rFonts w:hAnsi="宋体"/>
          <w:b/>
          <w:bCs/>
          <w:color w:val="auto"/>
          <w:highlight w:val="none"/>
          <w:lang w:val="en"/>
        </w:rPr>
      </w:pPr>
      <w:r>
        <w:rPr>
          <w:rFonts w:hint="eastAsia" w:hAnsi="宋体"/>
          <w:b/>
          <w:bCs/>
          <w:color w:val="auto"/>
          <w:highlight w:val="none"/>
        </w:rPr>
        <w:t xml:space="preserve">      传    真：0771—</w:t>
      </w:r>
      <w:r>
        <w:rPr>
          <w:rFonts w:hAnsi="宋体"/>
          <w:b/>
          <w:bCs/>
          <w:color w:val="auto"/>
          <w:highlight w:val="none"/>
          <w:lang w:val="en"/>
        </w:rPr>
        <w:t>8600305</w:t>
      </w:r>
    </w:p>
    <w:p>
      <w:pPr>
        <w:pStyle w:val="11"/>
        <w:snapToGrid w:val="0"/>
        <w:spacing w:before="120" w:after="120"/>
        <w:jc w:val="center"/>
        <w:outlineLvl w:val="0"/>
        <w:rPr>
          <w:rFonts w:hint="eastAsia" w:ascii="黑体" w:hAnsi="宋体" w:eastAsia="黑体"/>
          <w:b/>
          <w:color w:val="auto"/>
          <w:sz w:val="44"/>
          <w:szCs w:val="44"/>
          <w:highlight w:val="none"/>
        </w:rPr>
      </w:pPr>
    </w:p>
    <w:p>
      <w:pPr>
        <w:pStyle w:val="11"/>
        <w:snapToGrid w:val="0"/>
        <w:spacing w:before="120" w:after="120"/>
        <w:jc w:val="center"/>
        <w:outlineLvl w:val="0"/>
        <w:rPr>
          <w:rFonts w:hint="eastAsia" w:ascii="黑体" w:hAnsi="宋体" w:eastAsia="黑体"/>
          <w:b/>
          <w:color w:val="auto"/>
          <w:sz w:val="44"/>
          <w:szCs w:val="44"/>
          <w:highlight w:val="none"/>
        </w:rPr>
      </w:pPr>
    </w:p>
    <w:bookmarkEnd w:id="16"/>
    <w:bookmarkEnd w:id="17"/>
    <w:p>
      <w:pPr>
        <w:pStyle w:val="11"/>
        <w:spacing w:line="360" w:lineRule="exact"/>
        <w:rPr>
          <w:rFonts w:hint="eastAsia" w:hAnsi="宋体"/>
          <w:b/>
          <w:bCs/>
          <w:color w:val="auto"/>
          <w:highlight w:val="none"/>
        </w:rPr>
      </w:pPr>
      <w:bookmarkStart w:id="250" w:name="_Toc254970549"/>
      <w:bookmarkStart w:id="251" w:name="_Toc254970690"/>
    </w:p>
    <w:p>
      <w:pPr>
        <w:pStyle w:val="11"/>
        <w:spacing w:line="360" w:lineRule="exact"/>
        <w:rPr>
          <w:rFonts w:hint="eastAsia" w:hAnsi="宋体"/>
          <w:b/>
          <w:bCs/>
          <w:color w:val="auto"/>
          <w:highlight w:val="none"/>
        </w:rPr>
      </w:pPr>
    </w:p>
    <w:p>
      <w:pPr>
        <w:pStyle w:val="11"/>
        <w:spacing w:line="360" w:lineRule="exact"/>
        <w:rPr>
          <w:rFonts w:hint="eastAsia" w:hAnsi="宋体"/>
          <w:b/>
          <w:bCs/>
          <w:color w:val="auto"/>
          <w:highlight w:val="none"/>
        </w:rPr>
        <w:sectPr>
          <w:footerReference r:id="rId6" w:type="first"/>
          <w:headerReference r:id="rId3" w:type="default"/>
          <w:footerReference r:id="rId4" w:type="default"/>
          <w:footerReference r:id="rId5" w:type="even"/>
          <w:pgSz w:w="11906" w:h="16838"/>
          <w:pgMar w:top="1247" w:right="1247" w:bottom="1247" w:left="1247" w:header="851" w:footer="992" w:gutter="0"/>
          <w:pgNumType w:start="0"/>
          <w:cols w:space="720" w:num="1"/>
          <w:titlePg/>
          <w:docGrid w:type="lines" w:linePitch="312" w:charSpace="0"/>
        </w:sectPr>
      </w:pPr>
    </w:p>
    <w:bookmarkEnd w:id="250"/>
    <w:bookmarkEnd w:id="251"/>
    <w:p>
      <w:pPr>
        <w:pStyle w:val="21"/>
        <w:ind w:firstLine="321"/>
        <w:rPr>
          <w:rFonts w:eastAsia="仿宋_GB2312"/>
          <w:b/>
          <w:color w:val="auto"/>
          <w:sz w:val="32"/>
          <w:szCs w:val="32"/>
          <w:highlight w:val="none"/>
        </w:rPr>
      </w:pPr>
      <w:r>
        <w:rPr>
          <w:rFonts w:hint="eastAsia" w:ascii="仿宋_GB2312" w:hAnsi="宋体" w:eastAsia="仿宋_GB2312"/>
          <w:b/>
          <w:color w:val="auto"/>
          <w:sz w:val="32"/>
          <w:szCs w:val="32"/>
          <w:highlight w:val="none"/>
        </w:rPr>
        <w:t xml:space="preserve">                  </w:t>
      </w:r>
      <w:r>
        <w:rPr>
          <w:rFonts w:eastAsia="仿宋_GB2312"/>
          <w:b/>
          <w:color w:val="auto"/>
          <w:sz w:val="32"/>
          <w:szCs w:val="32"/>
          <w:highlight w:val="none"/>
        </w:rPr>
        <w:t>评标方法及评定标准</w:t>
      </w:r>
    </w:p>
    <w:p>
      <w:pPr>
        <w:ind w:firstLine="1606" w:firstLineChars="500"/>
        <w:jc w:val="left"/>
        <w:rPr>
          <w:rFonts w:ascii="宋体" w:hAnsi="宋体" w:cs="宋体"/>
          <w:color w:val="auto"/>
          <w:szCs w:val="21"/>
          <w:highlight w:val="none"/>
        </w:rPr>
      </w:pPr>
      <w:r>
        <w:rPr>
          <w:rFonts w:hint="eastAsia" w:eastAsia="仿宋_GB2312"/>
          <w:b/>
          <w:color w:val="auto"/>
          <w:sz w:val="32"/>
          <w:szCs w:val="32"/>
          <w:highlight w:val="none"/>
        </w:rPr>
        <w:t xml:space="preserve">              </w:t>
      </w:r>
    </w:p>
    <w:p>
      <w:pPr>
        <w:pStyle w:val="11"/>
        <w:spacing w:line="360" w:lineRule="exact"/>
        <w:ind w:firstLine="2088" w:firstLineChars="650"/>
        <w:rPr>
          <w:rFonts w:ascii="仿宋_GB2312" w:hAnsi="宋体" w:eastAsia="仿宋_GB2312"/>
          <w:b/>
          <w:color w:val="auto"/>
          <w:sz w:val="32"/>
          <w:szCs w:val="32"/>
          <w:highlight w:val="none"/>
        </w:rPr>
      </w:pPr>
    </w:p>
    <w:p>
      <w:pPr>
        <w:pStyle w:val="11"/>
        <w:spacing w:line="340" w:lineRule="exact"/>
        <w:ind w:firstLine="455" w:firstLineChars="216"/>
        <w:rPr>
          <w:rFonts w:hint="eastAsia" w:hAnsi="宋体"/>
          <w:b/>
          <w:color w:val="auto"/>
          <w:highlight w:val="none"/>
        </w:rPr>
      </w:pPr>
      <w:r>
        <w:rPr>
          <w:rFonts w:hint="eastAsia" w:hAnsi="宋体"/>
          <w:b/>
          <w:color w:val="auto"/>
          <w:highlight w:val="none"/>
        </w:rPr>
        <w:t>一、评标原则</w:t>
      </w:r>
    </w:p>
    <w:p>
      <w:pPr>
        <w:pStyle w:val="11"/>
        <w:spacing w:line="340" w:lineRule="exact"/>
        <w:ind w:firstLine="411" w:firstLineChars="196"/>
        <w:outlineLvl w:val="0"/>
        <w:rPr>
          <w:rFonts w:hint="eastAsia" w:hAnsi="宋体"/>
          <w:bCs/>
          <w:color w:val="auto"/>
          <w:highlight w:val="none"/>
        </w:rPr>
      </w:pPr>
      <w:r>
        <w:rPr>
          <w:rFonts w:hint="eastAsia" w:hAnsi="宋体"/>
          <w:bCs/>
          <w:color w:val="auto"/>
          <w:highlight w:val="none"/>
        </w:rPr>
        <w:t>(一)评委组成：本招标采购项目的评标委员会由采购人代表和评审专家组成，成员人数应当为三人或以上单数。其中，技术、经济等方面的专家不得少于成员总数的三分之二。</w:t>
      </w:r>
    </w:p>
    <w:p>
      <w:pPr>
        <w:pStyle w:val="11"/>
        <w:spacing w:line="340" w:lineRule="exact"/>
        <w:ind w:firstLine="411" w:firstLineChars="196"/>
        <w:outlineLvl w:val="0"/>
        <w:rPr>
          <w:rFonts w:hint="eastAsia" w:hAnsi="宋体"/>
          <w:bCs/>
          <w:color w:val="auto"/>
          <w:highlight w:val="none"/>
        </w:rPr>
      </w:pPr>
      <w:r>
        <w:rPr>
          <w:rFonts w:hint="eastAsia" w:hAnsi="宋体"/>
          <w:bCs/>
          <w:color w:val="auto"/>
          <w:highlight w:val="none"/>
        </w:rPr>
        <w:t>(二)评标依据：评委将以招投标文件为评标依据，对投标人的内容按百分制打分。</w:t>
      </w:r>
    </w:p>
    <w:p>
      <w:pPr>
        <w:pStyle w:val="11"/>
        <w:spacing w:line="340" w:lineRule="exact"/>
        <w:ind w:firstLine="411" w:firstLineChars="196"/>
        <w:outlineLvl w:val="0"/>
        <w:rPr>
          <w:rFonts w:hAnsi="宋体"/>
          <w:bCs/>
          <w:color w:val="auto"/>
          <w:highlight w:val="none"/>
        </w:rPr>
      </w:pPr>
      <w:r>
        <w:rPr>
          <w:rFonts w:hint="eastAsia" w:hAnsi="宋体"/>
          <w:bCs/>
          <w:color w:val="auto"/>
          <w:highlight w:val="none"/>
        </w:rPr>
        <w:t>(三)评标方式：以封闭方式进行。</w:t>
      </w:r>
    </w:p>
    <w:p>
      <w:pPr>
        <w:pStyle w:val="11"/>
        <w:spacing w:line="340" w:lineRule="exact"/>
        <w:ind w:firstLine="413" w:firstLineChars="196"/>
        <w:outlineLvl w:val="0"/>
        <w:rPr>
          <w:rFonts w:hint="eastAsia" w:hAnsi="宋体"/>
          <w:b/>
          <w:color w:val="auto"/>
          <w:highlight w:val="none"/>
        </w:rPr>
      </w:pPr>
      <w:r>
        <w:rPr>
          <w:rFonts w:hint="eastAsia" w:hAnsi="宋体"/>
          <w:b/>
          <w:color w:val="auto"/>
          <w:highlight w:val="none"/>
        </w:rPr>
        <w:t>二、评标方法</w:t>
      </w:r>
    </w:p>
    <w:p>
      <w:pPr>
        <w:pStyle w:val="11"/>
        <w:spacing w:line="340" w:lineRule="exact"/>
        <w:ind w:firstLine="420" w:firstLineChars="200"/>
        <w:outlineLvl w:val="0"/>
        <w:rPr>
          <w:rFonts w:hint="eastAsia" w:hAnsi="宋体"/>
          <w:color w:val="auto"/>
          <w:highlight w:val="none"/>
        </w:rPr>
      </w:pPr>
      <w:r>
        <w:rPr>
          <w:rFonts w:hint="eastAsia" w:hAnsi="宋体"/>
          <w:color w:val="auto"/>
          <w:highlight w:val="none"/>
        </w:rPr>
        <w:t>（一）对进入详评的，采用百分制综合评分法。</w:t>
      </w:r>
    </w:p>
    <w:p>
      <w:pPr>
        <w:pStyle w:val="11"/>
        <w:spacing w:line="340" w:lineRule="exact"/>
        <w:ind w:firstLine="420" w:firstLineChars="200"/>
        <w:outlineLvl w:val="0"/>
        <w:rPr>
          <w:rFonts w:hint="eastAsia" w:hAnsi="宋体"/>
          <w:color w:val="auto"/>
          <w:highlight w:val="none"/>
        </w:rPr>
      </w:pPr>
      <w:r>
        <w:rPr>
          <w:rFonts w:hint="eastAsia" w:hAnsi="宋体"/>
          <w:color w:val="auto"/>
          <w:highlight w:val="none"/>
        </w:rPr>
        <w:t>（二）计分办法（按四舍五入取至百分位）：</w:t>
      </w:r>
    </w:p>
    <w:p>
      <w:pPr>
        <w:pStyle w:val="11"/>
        <w:keepNext w:val="0"/>
        <w:keepLines w:val="0"/>
        <w:pageBreakBefore w:val="0"/>
        <w:widowControl w:val="0"/>
        <w:kinsoku/>
        <w:wordWrap/>
        <w:overflowPunct/>
        <w:topLinePunct w:val="0"/>
        <w:autoSpaceDE/>
        <w:autoSpaceDN/>
        <w:bidi w:val="0"/>
        <w:snapToGrid/>
        <w:spacing w:line="400" w:lineRule="exact"/>
        <w:ind w:firstLine="501" w:firstLineChars="238"/>
        <w:rPr>
          <w:rFonts w:hint="eastAsia"/>
          <w:b/>
          <w:color w:val="auto"/>
          <w:highlight w:val="none"/>
        </w:rPr>
      </w:pPr>
      <w:r>
        <w:rPr>
          <w:rFonts w:hint="eastAsia"/>
          <w:b/>
          <w:color w:val="auto"/>
          <w:highlight w:val="none"/>
        </w:rPr>
        <w:t>1</w:t>
      </w:r>
      <w:r>
        <w:rPr>
          <w:rFonts w:hint="eastAsia"/>
          <w:b/>
          <w:color w:val="auto"/>
          <w:highlight w:val="none"/>
          <w:lang w:eastAsia="zh-CN"/>
        </w:rPr>
        <w:t>、</w:t>
      </w:r>
      <w:r>
        <w:rPr>
          <w:rFonts w:hint="eastAsia"/>
          <w:b/>
          <w:color w:val="auto"/>
          <w:highlight w:val="none"/>
        </w:rPr>
        <w:t>价格分</w:t>
      </w:r>
      <w:r>
        <w:rPr>
          <w:rFonts w:hint="eastAsia" w:hAnsi="宋体"/>
          <w:b/>
          <w:bCs/>
          <w:color w:val="auto"/>
          <w:spacing w:val="-8"/>
          <w:highlight w:val="none"/>
        </w:rPr>
        <w:t>………………………………………………………………………………………</w:t>
      </w:r>
      <w:r>
        <w:rPr>
          <w:rFonts w:hint="eastAsia" w:ascii="Times New Roman" w:hAnsi="宋体" w:eastAsia="宋体" w:cs="Times New Roman"/>
          <w:b/>
          <w:bCs/>
          <w:color w:val="auto"/>
          <w:spacing w:val="-8"/>
          <w:kern w:val="0"/>
          <w:sz w:val="21"/>
          <w:szCs w:val="20"/>
          <w:highlight w:val="none"/>
          <w:lang w:val="en-US" w:eastAsia="zh-CN" w:bidi="ar-SA"/>
        </w:rPr>
        <w:t>3</w:t>
      </w:r>
      <w:r>
        <w:rPr>
          <w:rFonts w:hint="eastAsia" w:ascii="Times New Roman" w:hAnsi="宋体" w:cs="Times New Roman"/>
          <w:b/>
          <w:bCs/>
          <w:color w:val="auto"/>
          <w:spacing w:val="-8"/>
          <w:kern w:val="0"/>
          <w:sz w:val="21"/>
          <w:szCs w:val="20"/>
          <w:highlight w:val="none"/>
          <w:lang w:val="en-US" w:eastAsia="zh-CN" w:bidi="ar-SA"/>
        </w:rPr>
        <w:t>5</w:t>
      </w:r>
      <w:r>
        <w:rPr>
          <w:rFonts w:hint="eastAsia"/>
          <w:b/>
          <w:color w:val="auto"/>
          <w:highlight w:val="none"/>
        </w:rPr>
        <w:t>分</w:t>
      </w:r>
    </w:p>
    <w:p>
      <w:pPr>
        <w:pStyle w:val="11"/>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hAnsi="宋体"/>
          <w:color w:val="auto"/>
          <w:highlight w:val="none"/>
        </w:rPr>
      </w:pPr>
      <w:r>
        <w:rPr>
          <w:rFonts w:hint="eastAsia"/>
          <w:color w:val="auto"/>
          <w:sz w:val="21"/>
          <w:szCs w:val="21"/>
          <w:highlight w:val="none"/>
        </w:rPr>
        <w:t>（1）</w:t>
      </w:r>
      <w:r>
        <w:rPr>
          <w:rFonts w:hint="eastAsia" w:ascii="Times New Roman" w:hAnsi="Times New Roman" w:cs="Times New Roman"/>
          <w:b/>
          <w:bCs/>
          <w:color w:val="auto"/>
          <w:sz w:val="21"/>
          <w:szCs w:val="21"/>
          <w:highlight w:val="none"/>
          <w:lang w:eastAsia="zh-CN"/>
        </w:rPr>
        <w:t>本项目专门面向</w:t>
      </w:r>
      <w:r>
        <w:rPr>
          <w:rFonts w:hint="eastAsia" w:hAnsi="宋体" w:cs="宋体"/>
          <w:b/>
          <w:color w:val="auto"/>
          <w:kern w:val="0"/>
          <w:sz w:val="21"/>
          <w:szCs w:val="21"/>
          <w:highlight w:val="none"/>
        </w:rPr>
        <w:t>中小企业</w:t>
      </w:r>
      <w:r>
        <w:rPr>
          <w:rFonts w:hint="eastAsia" w:ascii="Times New Roman" w:hAnsi="Times New Roman" w:cs="Times New Roman"/>
          <w:b/>
          <w:bCs/>
          <w:color w:val="auto"/>
          <w:sz w:val="21"/>
          <w:szCs w:val="21"/>
          <w:highlight w:val="none"/>
          <w:lang w:val="en-US" w:eastAsia="zh-CN"/>
        </w:rPr>
        <w:t>，投标价=评标价</w:t>
      </w:r>
      <w:r>
        <w:rPr>
          <w:rFonts w:hint="eastAsia" w:ascii="Times New Roman" w:hAnsi="Times New Roman" w:cs="Times New Roman"/>
          <w:b w:val="0"/>
          <w:bCs w:val="0"/>
          <w:color w:val="auto"/>
          <w:sz w:val="21"/>
          <w:szCs w:val="21"/>
          <w:highlight w:val="none"/>
          <w:lang w:val="en-US" w:eastAsia="zh-CN"/>
        </w:rPr>
        <w:t>。</w:t>
      </w:r>
    </w:p>
    <w:p>
      <w:pPr>
        <w:pStyle w:val="11"/>
        <w:keepNext w:val="0"/>
        <w:keepLines w:val="0"/>
        <w:pageBreakBefore w:val="0"/>
        <w:widowControl w:val="0"/>
        <w:kinsoku/>
        <w:wordWrap/>
        <w:overflowPunct/>
        <w:topLinePunct w:val="0"/>
        <w:autoSpaceDE/>
        <w:autoSpaceDN/>
        <w:bidi w:val="0"/>
        <w:snapToGrid/>
        <w:spacing w:line="400" w:lineRule="exact"/>
        <w:ind w:firstLine="420" w:firstLineChars="200"/>
        <w:outlineLvl w:val="0"/>
        <w:rPr>
          <w:rFonts w:hint="eastAsia"/>
          <w:color w:val="auto"/>
          <w:highlight w:val="none"/>
        </w:rPr>
      </w:pPr>
      <w:r>
        <w:rPr>
          <w:rFonts w:hint="eastAsia" w:hAnsi="宋体" w:cs="宋体"/>
          <w:color w:val="auto"/>
          <w:kern w:val="0"/>
          <w:highlight w:val="none"/>
        </w:rPr>
        <w:t>投标产品生产企业</w:t>
      </w:r>
      <w:r>
        <w:rPr>
          <w:rFonts w:hint="eastAsia"/>
          <w:color w:val="auto"/>
          <w:highlight w:val="none"/>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1"/>
        <w:keepNext w:val="0"/>
        <w:keepLines w:val="0"/>
        <w:pageBreakBefore w:val="0"/>
        <w:widowControl w:val="0"/>
        <w:kinsoku/>
        <w:wordWrap/>
        <w:overflowPunct/>
        <w:topLinePunct w:val="0"/>
        <w:autoSpaceDE/>
        <w:autoSpaceDN/>
        <w:bidi w:val="0"/>
        <w:snapToGrid/>
        <w:spacing w:line="400" w:lineRule="exact"/>
        <w:ind w:firstLine="420" w:firstLineChars="200"/>
        <w:outlineLvl w:val="0"/>
        <w:rPr>
          <w:rFonts w:hint="eastAsia"/>
          <w:color w:val="auto"/>
          <w:highlight w:val="none"/>
        </w:rPr>
      </w:pPr>
      <w:r>
        <w:rPr>
          <w:rFonts w:hint="eastAsia" w:hAnsi="宋体" w:cs="宋体"/>
          <w:color w:val="auto"/>
          <w:kern w:val="0"/>
          <w:highlight w:val="none"/>
        </w:rPr>
        <w:t>投标产品生产企业</w:t>
      </w:r>
      <w:r>
        <w:rPr>
          <w:rFonts w:hint="eastAsia"/>
          <w:color w:val="auto"/>
          <w:highlight w:val="none"/>
        </w:rPr>
        <w:t>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11"/>
        <w:keepNext w:val="0"/>
        <w:keepLines w:val="0"/>
        <w:pageBreakBefore w:val="0"/>
        <w:widowControl w:val="0"/>
        <w:kinsoku/>
        <w:wordWrap/>
        <w:overflowPunct/>
        <w:topLinePunct w:val="0"/>
        <w:autoSpaceDE/>
        <w:autoSpaceDN/>
        <w:bidi w:val="0"/>
        <w:snapToGrid/>
        <w:spacing w:line="400" w:lineRule="exact"/>
        <w:ind w:firstLine="210" w:firstLineChars="100"/>
        <w:outlineLvl w:val="0"/>
        <w:rPr>
          <w:rFonts w:hint="eastAsia" w:hAnsi="宋体"/>
          <w:color w:val="auto"/>
          <w:highlight w:val="none"/>
        </w:rPr>
      </w:pPr>
      <w:r>
        <w:rPr>
          <w:rFonts w:hint="eastAsia" w:hAnsi="宋体"/>
          <w:color w:val="auto"/>
          <w:highlight w:val="none"/>
        </w:rPr>
        <w:t xml:space="preserve"> </w:t>
      </w:r>
      <w:r>
        <w:rPr>
          <w:rFonts w:hint="eastAsia" w:hAnsi="宋体"/>
          <w:b/>
          <w:bCs/>
          <w:color w:val="auto"/>
          <w:highlight w:val="none"/>
        </w:rPr>
        <w:t>（2）以</w:t>
      </w:r>
      <w:r>
        <w:rPr>
          <w:rFonts w:hint="eastAsia"/>
          <w:b/>
          <w:bCs/>
          <w:color w:val="auto"/>
          <w:highlight w:val="none"/>
        </w:rPr>
        <w:t>满足招标文件的最低评标价为</w:t>
      </w:r>
      <w:r>
        <w:rPr>
          <w:rFonts w:hint="eastAsia" w:hAnsi="宋体" w:eastAsia="宋体" w:cs="宋体"/>
          <w:b/>
          <w:bCs/>
          <w:color w:val="auto"/>
          <w:highlight w:val="none"/>
          <w:u w:val="none"/>
          <w:lang w:val="en-US" w:eastAsia="zh-CN"/>
        </w:rPr>
        <w:t>3</w:t>
      </w:r>
      <w:r>
        <w:rPr>
          <w:rFonts w:hint="eastAsia" w:hAnsi="宋体" w:cs="宋体"/>
          <w:b/>
          <w:bCs/>
          <w:color w:val="auto"/>
          <w:szCs w:val="24"/>
          <w:highlight w:val="none"/>
          <w:u w:val="none"/>
          <w:lang w:val="en-US" w:eastAsia="zh-CN"/>
        </w:rPr>
        <w:t>5</w:t>
      </w:r>
      <w:r>
        <w:rPr>
          <w:rFonts w:hint="eastAsia" w:ascii="Times New Roman" w:hAnsi="Times New Roman"/>
          <w:b/>
          <w:bCs/>
          <w:color w:val="auto"/>
          <w:szCs w:val="24"/>
          <w:highlight w:val="none"/>
        </w:rPr>
        <w:t>分。</w:t>
      </w:r>
    </w:p>
    <w:p>
      <w:pPr>
        <w:pStyle w:val="11"/>
        <w:keepNext w:val="0"/>
        <w:keepLines w:val="0"/>
        <w:pageBreakBefore w:val="0"/>
        <w:widowControl w:val="0"/>
        <w:kinsoku/>
        <w:wordWrap/>
        <w:overflowPunct/>
        <w:topLinePunct w:val="0"/>
        <w:autoSpaceDE/>
        <w:autoSpaceDN/>
        <w:bidi w:val="0"/>
        <w:snapToGrid/>
        <w:spacing w:line="400" w:lineRule="exact"/>
        <w:outlineLvl w:val="0"/>
        <w:rPr>
          <w:rFonts w:hint="eastAsia"/>
          <w:b/>
          <w:color w:val="auto"/>
          <w:highlight w:val="none"/>
        </w:rPr>
      </w:pPr>
      <w:r>
        <w:rPr>
          <w:rFonts w:hint="eastAsia"/>
          <w:b/>
          <w:bCs/>
          <w:color w:val="auto"/>
          <w:highlight w:val="none"/>
          <w:lang w:val="en-US" w:eastAsia="zh-CN"/>
        </w:rPr>
        <w:t xml:space="preserve">   </w:t>
      </w:r>
      <w:r>
        <w:rPr>
          <w:rFonts w:hint="eastAsia"/>
          <w:b/>
          <w:bCs/>
          <w:color w:val="auto"/>
          <w:highlight w:val="none"/>
          <w:lang w:eastAsia="zh-CN"/>
        </w:rPr>
        <w:t>（</w:t>
      </w:r>
      <w:r>
        <w:rPr>
          <w:rFonts w:hint="eastAsia"/>
          <w:b/>
          <w:bCs/>
          <w:color w:val="auto"/>
          <w:highlight w:val="none"/>
          <w:lang w:val="en-US" w:eastAsia="zh-CN"/>
        </w:rPr>
        <w:t>3</w:t>
      </w:r>
      <w:r>
        <w:rPr>
          <w:rFonts w:hint="eastAsia"/>
          <w:b/>
          <w:bCs/>
          <w:color w:val="auto"/>
          <w:highlight w:val="none"/>
          <w:lang w:eastAsia="zh-CN"/>
        </w:rPr>
        <w:t>）</w:t>
      </w:r>
      <w:r>
        <w:rPr>
          <w:rFonts w:hint="eastAsia"/>
          <w:b/>
          <w:bCs/>
          <w:color w:val="auto"/>
          <w:highlight w:val="none"/>
        </w:rPr>
        <w:t>某投标人价格分</w:t>
      </w:r>
      <w:r>
        <w:rPr>
          <w:rFonts w:hint="eastAsia"/>
          <w:b/>
          <w:color w:val="auto"/>
          <w:highlight w:val="none"/>
        </w:rPr>
        <w:t xml:space="preserve"> =评标基准价（金额）/某投标人报价（金额） ×</w:t>
      </w:r>
      <w:r>
        <w:rPr>
          <w:rFonts w:hint="eastAsia"/>
          <w:b/>
          <w:color w:val="auto"/>
          <w:highlight w:val="none"/>
          <w:u w:val="none"/>
          <w:lang w:val="en-US" w:eastAsia="zh-CN"/>
        </w:rPr>
        <w:t>35</w:t>
      </w:r>
      <w:r>
        <w:rPr>
          <w:rFonts w:hint="eastAsia"/>
          <w:b/>
          <w:color w:val="auto"/>
          <w:highlight w:val="none"/>
        </w:rPr>
        <w:t>分</w:t>
      </w:r>
    </w:p>
    <w:p>
      <w:pPr>
        <w:pStyle w:val="17"/>
        <w:spacing w:line="360" w:lineRule="auto"/>
        <w:ind w:left="0" w:firstLine="413" w:firstLineChars="196"/>
        <w:outlineLvl w:val="0"/>
        <w:rPr>
          <w:rFonts w:ascii="宋体" w:hAnsi="宋体" w:cs="宋体"/>
          <w:b/>
          <w:color w:val="auto"/>
          <w:szCs w:val="21"/>
          <w:highlight w:val="none"/>
        </w:rPr>
      </w:pPr>
      <w:r>
        <w:rPr>
          <w:rFonts w:hint="eastAsia" w:ascii="宋体" w:hAnsi="宋体" w:cs="宋体"/>
          <w:b/>
          <w:color w:val="auto"/>
          <w:szCs w:val="21"/>
          <w:highlight w:val="none"/>
        </w:rPr>
        <w:t>2、技术分</w:t>
      </w:r>
      <w:r>
        <w:rPr>
          <w:rFonts w:hint="eastAsia" w:hAnsi="宋体"/>
          <w:b/>
          <w:bCs/>
          <w:color w:val="auto"/>
          <w:spacing w:val="-8"/>
          <w:highlight w:val="none"/>
        </w:rPr>
        <w:t>………………………………………………………………………………………</w:t>
      </w:r>
      <w:r>
        <w:rPr>
          <w:rFonts w:hint="eastAsia" w:hAnsi="宋体"/>
          <w:b/>
          <w:bCs/>
          <w:color w:val="auto"/>
          <w:spacing w:val="-8"/>
          <w:highlight w:val="none"/>
          <w:lang w:val="en-US" w:eastAsia="zh-CN"/>
        </w:rPr>
        <w:t>50</w:t>
      </w:r>
      <w:r>
        <w:rPr>
          <w:rFonts w:hint="eastAsia" w:ascii="宋体" w:hAnsi="宋体" w:cs="宋体"/>
          <w:b/>
          <w:color w:val="auto"/>
          <w:szCs w:val="21"/>
          <w:highlight w:val="none"/>
        </w:rPr>
        <w:t>分</w:t>
      </w:r>
    </w:p>
    <w:p>
      <w:pPr>
        <w:spacing w:line="360" w:lineRule="auto"/>
        <w:jc w:val="left"/>
        <w:rPr>
          <w:rFonts w:hint="eastAsia" w:ascii="宋体" w:hAnsi="宋体" w:eastAsia="宋体" w:cs="宋体"/>
          <w:b/>
          <w:bCs/>
          <w:color w:val="auto"/>
          <w:szCs w:val="21"/>
          <w:highlight w:val="none"/>
        </w:rPr>
      </w:pPr>
      <w:r>
        <w:rPr>
          <w:rFonts w:hint="eastAsia" w:ascii="宋体" w:hAnsi="宋体" w:cs="宋体"/>
          <w:b/>
          <w:bCs/>
          <w:color w:val="auto"/>
          <w:szCs w:val="21"/>
          <w:highlight w:val="none"/>
        </w:rPr>
        <w:t xml:space="preserve">  </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1）成品性能分（满分</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分）</w:t>
      </w:r>
    </w:p>
    <w:p>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提供2022年6月1日以来国家级产品质量检验机构出具符合QB/T 4071-2021《课桌椅》</w:t>
      </w:r>
      <w:r>
        <w:rPr>
          <w:rFonts w:hint="eastAsia" w:ascii="宋体" w:hAnsi="宋体" w:cs="宋体"/>
          <w:color w:val="auto"/>
          <w:szCs w:val="21"/>
          <w:highlight w:val="none"/>
          <w:lang w:val="en-US" w:eastAsia="zh-CN"/>
        </w:rPr>
        <w:t>标准的“课桌椅”</w:t>
      </w:r>
      <w:r>
        <w:rPr>
          <w:rFonts w:hint="eastAsia" w:ascii="宋体" w:hAnsi="宋体" w:cs="宋体"/>
          <w:color w:val="auto"/>
          <w:szCs w:val="21"/>
          <w:highlight w:val="none"/>
        </w:rPr>
        <w:t>型式检测报告，检验报告的送检单位必须是投标人或产品生产厂家，检测的产品应与本次投标产品采用同样的材料和工艺生产。</w:t>
      </w:r>
      <w:r>
        <w:rPr>
          <w:rFonts w:hint="eastAsia" w:ascii="宋体" w:hAnsi="宋体" w:cs="宋体"/>
          <w:color w:val="auto"/>
          <w:szCs w:val="21"/>
          <w:highlight w:val="none"/>
          <w:lang w:val="en-US" w:eastAsia="zh-CN"/>
        </w:rPr>
        <w:t>提供的检验报告符合上述要求得5分。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注：投标文件中提供由具有检测资质的第三方检测机构出具的检测报告复印件。</w:t>
      </w:r>
    </w:p>
    <w:p>
      <w:pPr>
        <w:spacing w:line="360" w:lineRule="auto"/>
        <w:ind w:firstLine="210" w:firstLineChars="1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eastAsia="zh-CN"/>
        </w:rPr>
        <w:t>）材料性能分（满分</w:t>
      </w:r>
      <w:r>
        <w:rPr>
          <w:rFonts w:hint="eastAsia" w:ascii="宋体" w:hAnsi="宋体" w:eastAsia="宋体" w:cs="宋体"/>
          <w:b/>
          <w:bCs/>
          <w:color w:val="auto"/>
          <w:szCs w:val="21"/>
          <w:highlight w:val="none"/>
          <w:lang w:val="en-US" w:eastAsia="zh-CN"/>
        </w:rPr>
        <w:t>16</w:t>
      </w:r>
      <w:r>
        <w:rPr>
          <w:rFonts w:hint="eastAsia" w:ascii="宋体" w:hAnsi="宋体" w:eastAsia="宋体" w:cs="宋体"/>
          <w:b/>
          <w:bCs/>
          <w:color w:val="auto"/>
          <w:szCs w:val="21"/>
          <w:highlight w:val="none"/>
          <w:lang w:eastAsia="zh-CN"/>
        </w:rPr>
        <w:t>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根据</w:t>
      </w: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产品使用</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原材料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零部件</w:t>
      </w:r>
      <w:r>
        <w:rPr>
          <w:rFonts w:hint="eastAsia" w:ascii="宋体" w:hAnsi="宋体" w:cs="宋体"/>
          <w:color w:val="auto"/>
          <w:szCs w:val="21"/>
          <w:highlight w:val="none"/>
        </w:rPr>
        <w:t>检验报告</w:t>
      </w:r>
      <w:r>
        <w:rPr>
          <w:rFonts w:hint="eastAsia" w:ascii="宋体" w:hAnsi="宋体" w:cs="宋体"/>
          <w:color w:val="auto"/>
          <w:szCs w:val="21"/>
          <w:highlight w:val="none"/>
          <w:lang w:val="en-US" w:eastAsia="zh-CN"/>
        </w:rPr>
        <w:t>进行评审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检验报告应为</w:t>
      </w:r>
      <w:r>
        <w:rPr>
          <w:rFonts w:hint="eastAsia" w:ascii="宋体" w:hAnsi="宋体" w:eastAsia="宋体" w:cs="宋体"/>
          <w:color w:val="auto"/>
          <w:szCs w:val="21"/>
          <w:highlight w:val="none"/>
        </w:rPr>
        <w:t>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月1日</w:t>
      </w:r>
      <w:r>
        <w:rPr>
          <w:rFonts w:hint="eastAsia" w:ascii="宋体" w:hAnsi="宋体" w:cs="宋体"/>
          <w:color w:val="auto"/>
          <w:szCs w:val="21"/>
          <w:highlight w:val="none"/>
        </w:rPr>
        <w:t>起至</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止</w:t>
      </w:r>
      <w:r>
        <w:rPr>
          <w:rFonts w:hint="eastAsia" w:ascii="宋体" w:hAnsi="宋体" w:cs="宋体"/>
          <w:color w:val="auto"/>
          <w:szCs w:val="21"/>
          <w:highlight w:val="none"/>
          <w:lang w:eastAsia="zh-CN"/>
        </w:rPr>
        <w:t>，</w:t>
      </w:r>
      <w:r>
        <w:rPr>
          <w:rFonts w:hint="eastAsia" w:ascii="宋体" w:hAnsi="宋体" w:cs="宋体"/>
          <w:color w:val="auto"/>
          <w:szCs w:val="21"/>
          <w:highlight w:val="none"/>
        </w:rPr>
        <w:t>送检单位必须是投标人或产品生产厂家。注：投标人需承诺检测报告中检测的材料在本次投标的产品中使用</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否则不予得分。</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color w:val="auto"/>
          <w:sz w:val="21"/>
          <w:szCs w:val="21"/>
          <w:highlight w:val="none"/>
          <w:lang w:val="en" w:eastAsia="zh-CN"/>
        </w:rPr>
      </w:pPr>
      <w:r>
        <w:rPr>
          <w:rFonts w:hint="eastAsia" w:cs="宋体"/>
          <w:color w:val="auto"/>
          <w:sz w:val="21"/>
          <w:szCs w:val="21"/>
          <w:highlight w:val="none"/>
        </w:rPr>
        <w:t>1）刨花板：符合GB/T 4897-2015，检测项至少包含：外观质量、含水率</w:t>
      </w:r>
      <w:r>
        <w:rPr>
          <w:rFonts w:hint="eastAsia" w:cs="宋体"/>
          <w:color w:val="auto"/>
          <w:sz w:val="21"/>
          <w:szCs w:val="21"/>
          <w:highlight w:val="none"/>
          <w:lang w:eastAsia="zh-CN"/>
        </w:rPr>
        <w:t>、</w:t>
      </w:r>
      <w:r>
        <w:rPr>
          <w:rFonts w:hint="eastAsia" w:cs="宋体"/>
          <w:color w:val="auto"/>
          <w:sz w:val="21"/>
          <w:szCs w:val="21"/>
          <w:highlight w:val="none"/>
        </w:rPr>
        <w:t>尺寸偏差、力学性能、握螺钉力、甲醛释放量</w:t>
      </w:r>
      <w:r>
        <w:rPr>
          <w:rFonts w:hint="eastAsia" w:cs="宋体"/>
          <w:color w:val="auto"/>
          <w:sz w:val="21"/>
          <w:szCs w:val="21"/>
          <w:highlight w:val="none"/>
          <w:lang w:val="en-US" w:eastAsia="zh-CN"/>
        </w:rPr>
        <w:t>等</w:t>
      </w:r>
      <w:r>
        <w:rPr>
          <w:rFonts w:hint="default" w:cs="宋体"/>
          <w:color w:val="auto"/>
          <w:sz w:val="21"/>
          <w:szCs w:val="21"/>
          <w:highlight w:val="none"/>
          <w:lang w:val="en"/>
        </w:rPr>
        <w:t>，提供有符合以上检测内容的检验（测）报告得3分，本项满分3分</w:t>
      </w:r>
      <w:r>
        <w:rPr>
          <w:rFonts w:hint="eastAsia" w:cs="宋体"/>
          <w:color w:val="auto"/>
          <w:sz w:val="21"/>
          <w:szCs w:val="21"/>
          <w:highlight w:val="none"/>
          <w:lang w:val="en"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宋体"/>
          <w:color w:val="auto"/>
          <w:sz w:val="21"/>
          <w:szCs w:val="21"/>
          <w:highlight w:val="none"/>
          <w:lang w:eastAsia="zh-CN"/>
        </w:rPr>
      </w:pPr>
      <w:r>
        <w:rPr>
          <w:rFonts w:hint="eastAsia" w:cs="宋体"/>
          <w:color w:val="auto"/>
          <w:sz w:val="21"/>
          <w:szCs w:val="21"/>
          <w:highlight w:val="none"/>
        </w:rPr>
        <w:t>2）热熔胶：符合HJ 2541-2016 《环境标志产品技术要求 胶粘剂》，检测项至少包含：有毒有害物质限量</w:t>
      </w:r>
      <w:r>
        <w:rPr>
          <w:rFonts w:hint="eastAsia" w:cs="宋体"/>
          <w:color w:val="auto"/>
          <w:sz w:val="21"/>
          <w:szCs w:val="21"/>
          <w:highlight w:val="none"/>
          <w:lang w:val="en-US" w:eastAsia="zh-CN"/>
        </w:rPr>
        <w:t>等</w:t>
      </w:r>
      <w:r>
        <w:rPr>
          <w:rFonts w:hint="eastAsia" w:cs="宋体"/>
          <w:color w:val="auto"/>
          <w:sz w:val="21"/>
          <w:szCs w:val="21"/>
          <w:highlight w:val="none"/>
        </w:rPr>
        <w:t>，提供有符合以上检测内容的检验（测）报告得</w:t>
      </w:r>
      <w:r>
        <w:rPr>
          <w:rFonts w:hint="eastAsia" w:cs="宋体"/>
          <w:color w:val="auto"/>
          <w:sz w:val="21"/>
          <w:szCs w:val="21"/>
          <w:highlight w:val="none"/>
          <w:lang w:val="en-US" w:eastAsia="zh-CN"/>
        </w:rPr>
        <w:t>2</w:t>
      </w:r>
      <w:r>
        <w:rPr>
          <w:rFonts w:hint="eastAsia" w:cs="宋体"/>
          <w:color w:val="auto"/>
          <w:sz w:val="21"/>
          <w:szCs w:val="21"/>
          <w:highlight w:val="none"/>
        </w:rPr>
        <w:t>分，本项满分</w:t>
      </w:r>
      <w:r>
        <w:rPr>
          <w:rFonts w:hint="eastAsia" w:cs="宋体"/>
          <w:color w:val="auto"/>
          <w:sz w:val="21"/>
          <w:szCs w:val="21"/>
          <w:highlight w:val="none"/>
          <w:lang w:val="en-US" w:eastAsia="zh-CN"/>
        </w:rPr>
        <w:t>2</w:t>
      </w:r>
      <w:r>
        <w:rPr>
          <w:rFonts w:hint="eastAsia" w:cs="宋体"/>
          <w:color w:val="auto"/>
          <w:sz w:val="21"/>
          <w:szCs w:val="21"/>
          <w:highlight w:val="none"/>
        </w:rPr>
        <w:t>分</w:t>
      </w:r>
      <w:r>
        <w:rPr>
          <w:rFonts w:hint="eastAsia" w:cs="宋体"/>
          <w:color w:val="auto"/>
          <w:sz w:val="21"/>
          <w:szCs w:val="21"/>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color w:val="auto"/>
          <w:sz w:val="21"/>
          <w:szCs w:val="21"/>
          <w:highlight w:val="none"/>
          <w:lang w:val="en" w:eastAsia="zh-CN"/>
        </w:rPr>
      </w:pPr>
      <w:r>
        <w:rPr>
          <w:rFonts w:hint="eastAsia" w:cs="宋体"/>
          <w:color w:val="auto"/>
          <w:sz w:val="21"/>
          <w:szCs w:val="21"/>
          <w:highlight w:val="none"/>
        </w:rPr>
        <w:t xml:space="preserve">3）PVC封边条 ：符合QB/T 4463-2013 </w:t>
      </w:r>
      <w:r>
        <w:rPr>
          <w:rFonts w:hint="eastAsia" w:cs="宋体"/>
          <w:color w:val="auto"/>
          <w:sz w:val="21"/>
          <w:szCs w:val="21"/>
          <w:highlight w:val="none"/>
          <w:u w:val="single" w:color="FFFFFF" w:themeColor="background1"/>
          <w:lang w:val="en-US" w:eastAsia="zh-CN"/>
        </w:rPr>
        <w:t>《</w:t>
      </w:r>
      <w:r>
        <w:rPr>
          <w:rFonts w:hint="eastAsia" w:cs="宋体"/>
          <w:color w:val="auto"/>
          <w:sz w:val="21"/>
          <w:szCs w:val="21"/>
          <w:highlight w:val="none"/>
        </w:rPr>
        <w:t>家具用封边条技术要求</w:t>
      </w:r>
      <w:r>
        <w:rPr>
          <w:rFonts w:hint="eastAsia" w:cs="宋体"/>
          <w:color w:val="auto"/>
          <w:sz w:val="21"/>
          <w:szCs w:val="21"/>
          <w:highlight w:val="none"/>
          <w:u w:val="single" w:color="FFFFFF" w:themeColor="background1"/>
          <w:lang w:val="en-US" w:eastAsia="zh-CN"/>
        </w:rPr>
        <w:t>》</w:t>
      </w:r>
      <w:r>
        <w:rPr>
          <w:rFonts w:hint="eastAsia" w:cs="宋体"/>
          <w:color w:val="auto"/>
          <w:sz w:val="21"/>
          <w:szCs w:val="21"/>
          <w:highlight w:val="none"/>
        </w:rPr>
        <w:t>，检测项至少包含：理化性能、有害物质限量</w:t>
      </w:r>
      <w:r>
        <w:rPr>
          <w:rFonts w:hint="eastAsia" w:cs="宋体"/>
          <w:color w:val="auto"/>
          <w:sz w:val="21"/>
          <w:szCs w:val="21"/>
          <w:highlight w:val="none"/>
          <w:lang w:val="en-US" w:eastAsia="zh-CN"/>
        </w:rPr>
        <w:t>等</w:t>
      </w:r>
      <w:r>
        <w:rPr>
          <w:rFonts w:hint="default" w:cs="宋体"/>
          <w:color w:val="auto"/>
          <w:sz w:val="21"/>
          <w:szCs w:val="21"/>
          <w:highlight w:val="none"/>
          <w:lang w:val="en"/>
        </w:rPr>
        <w:t>，提供有符合以上检测内容的检验（测）报告得</w:t>
      </w:r>
      <w:r>
        <w:rPr>
          <w:rFonts w:hint="eastAsia" w:cs="宋体"/>
          <w:color w:val="auto"/>
          <w:sz w:val="21"/>
          <w:szCs w:val="21"/>
          <w:highlight w:val="none"/>
          <w:lang w:val="en-US" w:eastAsia="zh-CN"/>
        </w:rPr>
        <w:t>2</w:t>
      </w:r>
      <w:r>
        <w:rPr>
          <w:rFonts w:hint="default" w:cs="宋体"/>
          <w:color w:val="auto"/>
          <w:sz w:val="21"/>
          <w:szCs w:val="21"/>
          <w:highlight w:val="none"/>
          <w:lang w:val="en"/>
        </w:rPr>
        <w:t>分，本项满分</w:t>
      </w:r>
      <w:r>
        <w:rPr>
          <w:rFonts w:hint="eastAsia" w:cs="宋体"/>
          <w:color w:val="auto"/>
          <w:sz w:val="21"/>
          <w:szCs w:val="21"/>
          <w:highlight w:val="none"/>
          <w:lang w:val="en-US" w:eastAsia="zh-CN"/>
        </w:rPr>
        <w:t>2</w:t>
      </w:r>
      <w:r>
        <w:rPr>
          <w:rFonts w:hint="default" w:cs="宋体"/>
          <w:color w:val="auto"/>
          <w:sz w:val="21"/>
          <w:szCs w:val="21"/>
          <w:highlight w:val="none"/>
          <w:lang w:val="en"/>
        </w:rPr>
        <w:t>分</w:t>
      </w:r>
      <w:r>
        <w:rPr>
          <w:rFonts w:hint="eastAsia" w:cs="宋体"/>
          <w:color w:val="auto"/>
          <w:sz w:val="21"/>
          <w:szCs w:val="21"/>
          <w:highlight w:val="none"/>
          <w:lang w:val="en" w:eastAsia="zh-CN"/>
        </w:rPr>
        <w:t>。</w:t>
      </w:r>
    </w:p>
    <w:p>
      <w:pPr>
        <w:pStyle w:val="20"/>
        <w:keepNext w:val="0"/>
        <w:keepLines w:val="0"/>
        <w:pageBreakBefore w:val="0"/>
        <w:kinsoku/>
        <w:wordWrap/>
        <w:overflowPunct/>
        <w:topLinePunct w:val="0"/>
        <w:autoSpaceDE/>
        <w:autoSpaceDN/>
        <w:bidi w:val="0"/>
        <w:spacing w:line="360" w:lineRule="exact"/>
        <w:ind w:firstLine="421" w:firstLineChars="200"/>
        <w:textAlignment w:val="auto"/>
        <w:rPr>
          <w:rFonts w:hint="eastAsia"/>
          <w:b w:val="0"/>
          <w:bCs/>
          <w:color w:val="auto"/>
          <w:highlight w:val="none"/>
          <w:shd w:val="clear" w:color="auto" w:fill="auto"/>
        </w:rPr>
      </w:pPr>
      <w:r>
        <w:rPr>
          <w:rFonts w:hint="eastAsia" w:cs="宋体"/>
          <w:color w:val="auto"/>
          <w:sz w:val="21"/>
          <w:szCs w:val="21"/>
          <w:highlight w:val="none"/>
          <w:shd w:val="clear" w:color="auto" w:fill="auto"/>
          <w:lang w:val="en-US" w:eastAsia="zh-CN"/>
        </w:rPr>
        <w:t>4</w:t>
      </w:r>
      <w:r>
        <w:rPr>
          <w:rFonts w:hint="eastAsia" w:cs="宋体"/>
          <w:color w:val="auto"/>
          <w:sz w:val="21"/>
          <w:szCs w:val="21"/>
          <w:highlight w:val="none"/>
          <w:shd w:val="clear" w:color="auto" w:fill="auto"/>
        </w:rPr>
        <w:t>）</w:t>
      </w:r>
      <w:r>
        <w:rPr>
          <w:rFonts w:hint="eastAsia"/>
          <w:b w:val="0"/>
          <w:bCs/>
          <w:color w:val="auto"/>
          <w:highlight w:val="none"/>
          <w:shd w:val="clear" w:color="auto" w:fill="auto"/>
        </w:rPr>
        <w:t>塑粉</w:t>
      </w:r>
      <w:r>
        <w:rPr>
          <w:rFonts w:hint="eastAsia"/>
          <w:b w:val="0"/>
          <w:bCs/>
          <w:color w:val="auto"/>
          <w:highlight w:val="none"/>
          <w:shd w:val="clear" w:color="auto" w:fill="auto"/>
          <w:lang w:eastAsia="zh-CN"/>
        </w:rPr>
        <w:t>：</w:t>
      </w:r>
      <w:r>
        <w:rPr>
          <w:rFonts w:hint="eastAsia"/>
          <w:b/>
          <w:bCs w:val="0"/>
          <w:color w:val="auto"/>
          <w:highlight w:val="none"/>
          <w:shd w:val="clear" w:color="auto" w:fill="auto"/>
        </w:rPr>
        <w:t>HG/T 2006-2022</w:t>
      </w:r>
      <w:r>
        <w:rPr>
          <w:rFonts w:hint="eastAsia"/>
          <w:b w:val="0"/>
          <w:bCs/>
          <w:color w:val="auto"/>
          <w:highlight w:val="none"/>
          <w:shd w:val="clear" w:color="auto" w:fill="auto"/>
        </w:rPr>
        <w:t>《热固性和热塑性粉末涂料》，</w:t>
      </w:r>
      <w:r>
        <w:rPr>
          <w:rFonts w:hint="eastAsia" w:cs="宋体"/>
          <w:b w:val="0"/>
          <w:bCs/>
          <w:color w:val="auto"/>
          <w:sz w:val="21"/>
          <w:szCs w:val="21"/>
          <w:highlight w:val="none"/>
          <w:shd w:val="clear" w:color="auto" w:fill="auto"/>
        </w:rPr>
        <w:t>检测项至少包含：</w:t>
      </w:r>
      <w:r>
        <w:rPr>
          <w:rFonts w:hint="eastAsia"/>
          <w:b w:val="0"/>
          <w:bCs/>
          <w:color w:val="auto"/>
          <w:highlight w:val="none"/>
          <w:shd w:val="clear" w:color="auto" w:fill="auto"/>
        </w:rPr>
        <w:t>外观、筛余物、密度、涂膜外观</w:t>
      </w:r>
      <w:r>
        <w:rPr>
          <w:rFonts w:hint="eastAsia" w:cs="宋体"/>
          <w:color w:val="auto"/>
          <w:sz w:val="21"/>
          <w:szCs w:val="21"/>
          <w:highlight w:val="none"/>
          <w:shd w:val="clear" w:color="auto" w:fill="auto"/>
        </w:rPr>
        <w:t>等</w:t>
      </w:r>
      <w:r>
        <w:rPr>
          <w:rFonts w:hint="default" w:cs="宋体"/>
          <w:color w:val="auto"/>
          <w:sz w:val="21"/>
          <w:szCs w:val="21"/>
          <w:highlight w:val="none"/>
          <w:shd w:val="clear" w:color="auto" w:fill="auto"/>
          <w:lang w:val="en"/>
        </w:rPr>
        <w:t>，</w:t>
      </w:r>
      <w:r>
        <w:rPr>
          <w:rFonts w:hint="default" w:cs="宋体"/>
          <w:b w:val="0"/>
          <w:bCs/>
          <w:color w:val="auto"/>
          <w:sz w:val="21"/>
          <w:szCs w:val="21"/>
          <w:highlight w:val="none"/>
          <w:shd w:val="clear" w:color="auto" w:fill="auto"/>
          <w:lang w:val="en"/>
        </w:rPr>
        <w:t>提供有符合以上检测内容的检验（测）报告得</w:t>
      </w:r>
      <w:r>
        <w:rPr>
          <w:rFonts w:hint="eastAsia" w:cs="宋体"/>
          <w:b w:val="0"/>
          <w:bCs/>
          <w:color w:val="auto"/>
          <w:sz w:val="21"/>
          <w:szCs w:val="21"/>
          <w:highlight w:val="none"/>
          <w:shd w:val="clear" w:color="auto" w:fill="auto"/>
          <w:lang w:val="en-US" w:eastAsia="zh-CN"/>
        </w:rPr>
        <w:t>2</w:t>
      </w:r>
      <w:r>
        <w:rPr>
          <w:rFonts w:hint="default" w:cs="宋体"/>
          <w:b w:val="0"/>
          <w:bCs/>
          <w:color w:val="auto"/>
          <w:sz w:val="21"/>
          <w:szCs w:val="21"/>
          <w:highlight w:val="none"/>
          <w:shd w:val="clear" w:color="auto" w:fill="auto"/>
          <w:lang w:val="en"/>
        </w:rPr>
        <w:t>分，本项满分</w:t>
      </w:r>
      <w:r>
        <w:rPr>
          <w:rFonts w:hint="eastAsia" w:cs="宋体"/>
          <w:b w:val="0"/>
          <w:bCs/>
          <w:color w:val="auto"/>
          <w:sz w:val="21"/>
          <w:szCs w:val="21"/>
          <w:highlight w:val="none"/>
          <w:shd w:val="clear" w:color="auto" w:fill="auto"/>
          <w:lang w:val="en-US" w:eastAsia="zh-CN"/>
        </w:rPr>
        <w:t>2</w:t>
      </w:r>
      <w:r>
        <w:rPr>
          <w:rFonts w:hint="default" w:cs="宋体"/>
          <w:b w:val="0"/>
          <w:bCs/>
          <w:color w:val="auto"/>
          <w:sz w:val="21"/>
          <w:szCs w:val="21"/>
          <w:highlight w:val="none"/>
          <w:shd w:val="clear" w:color="auto" w:fill="auto"/>
          <w:lang w:val="en"/>
        </w:rPr>
        <w:t>分</w:t>
      </w:r>
      <w:r>
        <w:rPr>
          <w:rFonts w:hint="eastAsia"/>
          <w:b w:val="0"/>
          <w:bCs/>
          <w:color w:val="auto"/>
          <w:highlight w:val="none"/>
          <w:shd w:val="clear" w:color="auto" w:fill="auto"/>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5</w:t>
      </w:r>
      <w:r>
        <w:rPr>
          <w:rFonts w:hint="eastAsia" w:cs="宋体"/>
          <w:color w:val="auto"/>
          <w:sz w:val="21"/>
          <w:szCs w:val="21"/>
          <w:highlight w:val="none"/>
        </w:rPr>
        <w:t>）水性漆：符合GB/T 23999-2009 《室内装饰装修用水性木器涂料标准》，检测项至少包含：在容器中状态、细度、不挥发物、干燥时间、贮存稳定性</w:t>
      </w:r>
      <w:r>
        <w:rPr>
          <w:rFonts w:hint="eastAsia" w:cs="宋体"/>
          <w:color w:val="auto"/>
          <w:sz w:val="21"/>
          <w:szCs w:val="21"/>
          <w:highlight w:val="none"/>
          <w:lang w:val="en-US" w:eastAsia="zh-CN"/>
        </w:rPr>
        <w:t>等</w:t>
      </w:r>
      <w:r>
        <w:rPr>
          <w:rFonts w:hint="default" w:cs="宋体"/>
          <w:color w:val="auto"/>
          <w:sz w:val="21"/>
          <w:szCs w:val="21"/>
          <w:highlight w:val="none"/>
          <w:lang w:val="en"/>
        </w:rPr>
        <w:t>，提供有符合以上检测内容的检验（测）报告得</w:t>
      </w:r>
      <w:r>
        <w:rPr>
          <w:rFonts w:hint="eastAsia" w:cs="宋体"/>
          <w:color w:val="auto"/>
          <w:sz w:val="21"/>
          <w:szCs w:val="21"/>
          <w:highlight w:val="none"/>
          <w:lang w:val="en-US" w:eastAsia="zh-CN"/>
        </w:rPr>
        <w:t>2</w:t>
      </w:r>
      <w:r>
        <w:rPr>
          <w:rFonts w:hint="default" w:cs="宋体"/>
          <w:color w:val="auto"/>
          <w:sz w:val="21"/>
          <w:szCs w:val="21"/>
          <w:highlight w:val="none"/>
          <w:lang w:val="en"/>
        </w:rPr>
        <w:t>分</w:t>
      </w:r>
      <w:r>
        <w:rPr>
          <w:rFonts w:hint="eastAsia" w:cs="宋体"/>
          <w:color w:val="auto"/>
          <w:sz w:val="21"/>
          <w:szCs w:val="21"/>
          <w:highlight w:val="none"/>
          <w:lang w:val="en" w:eastAsia="zh-CN"/>
        </w:rPr>
        <w:t>。</w:t>
      </w:r>
      <w:r>
        <w:rPr>
          <w:rFonts w:hint="default" w:cs="宋体"/>
          <w:color w:val="auto"/>
          <w:sz w:val="21"/>
          <w:szCs w:val="21"/>
          <w:highlight w:val="none"/>
          <w:lang w:val="en"/>
        </w:rPr>
        <w:t>本项满分</w:t>
      </w:r>
      <w:r>
        <w:rPr>
          <w:rFonts w:hint="eastAsia" w:cs="宋体"/>
          <w:color w:val="auto"/>
          <w:sz w:val="21"/>
          <w:szCs w:val="21"/>
          <w:highlight w:val="none"/>
          <w:lang w:val="en-US" w:eastAsia="zh-CN"/>
        </w:rPr>
        <w:t>2</w:t>
      </w:r>
      <w:r>
        <w:rPr>
          <w:rFonts w:hint="default" w:cs="宋体"/>
          <w:color w:val="auto"/>
          <w:sz w:val="21"/>
          <w:szCs w:val="21"/>
          <w:highlight w:val="none"/>
          <w:lang w:val="en"/>
        </w:rPr>
        <w:t>分</w:t>
      </w:r>
      <w:r>
        <w:rPr>
          <w:rFonts w:hint="eastAsia" w:cs="宋体"/>
          <w:color w:val="auto"/>
          <w:sz w:val="21"/>
          <w:szCs w:val="21"/>
          <w:highlight w:val="none"/>
          <w:lang w:val="en"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color w:val="auto"/>
          <w:sz w:val="21"/>
          <w:szCs w:val="21"/>
          <w:highlight w:val="none"/>
          <w:lang w:val="en" w:eastAsia="zh-CN"/>
        </w:rPr>
      </w:pPr>
      <w:r>
        <w:rPr>
          <w:rFonts w:hint="eastAsia" w:cs="宋体"/>
          <w:color w:val="auto"/>
          <w:sz w:val="21"/>
          <w:szCs w:val="21"/>
          <w:highlight w:val="none"/>
          <w:lang w:val="en-US" w:eastAsia="zh-CN"/>
        </w:rPr>
        <w:t>6</w:t>
      </w:r>
      <w:r>
        <w:rPr>
          <w:rFonts w:hint="eastAsia" w:cs="宋体"/>
          <w:color w:val="auto"/>
          <w:sz w:val="21"/>
          <w:szCs w:val="21"/>
          <w:highlight w:val="none"/>
        </w:rPr>
        <w:t>）</w:t>
      </w:r>
      <w:r>
        <w:rPr>
          <w:rFonts w:hint="eastAsia" w:cs="宋体"/>
          <w:color w:val="auto"/>
          <w:sz w:val="21"/>
          <w:szCs w:val="21"/>
          <w:highlight w:val="none"/>
          <w:lang w:val="en-US" w:eastAsia="zh-CN"/>
        </w:rPr>
        <w:t xml:space="preserve">曲木板：符合GB/T 22350-2017 </w:t>
      </w:r>
      <w:r>
        <w:rPr>
          <w:rFonts w:hint="eastAsia" w:cs="宋体"/>
          <w:color w:val="auto"/>
          <w:sz w:val="21"/>
          <w:szCs w:val="21"/>
          <w:highlight w:val="none"/>
          <w:u w:val="single" w:color="FFFFFF" w:themeColor="background1"/>
          <w:lang w:val="en-US" w:eastAsia="zh-CN"/>
        </w:rPr>
        <w:t>《成型胶合板》</w:t>
      </w:r>
      <w:r>
        <w:rPr>
          <w:rFonts w:hint="eastAsia" w:cs="宋体"/>
          <w:color w:val="auto"/>
          <w:sz w:val="21"/>
          <w:szCs w:val="21"/>
          <w:highlight w:val="none"/>
          <w:lang w:val="en-US" w:eastAsia="zh-CN"/>
        </w:rPr>
        <w:t>，检测项至少包含：规格尺寸及其偏差、外观质量、理化性能、甲醛释放量等</w:t>
      </w:r>
      <w:r>
        <w:rPr>
          <w:rFonts w:hint="default" w:cs="宋体"/>
          <w:color w:val="auto"/>
          <w:sz w:val="21"/>
          <w:szCs w:val="21"/>
          <w:highlight w:val="none"/>
          <w:lang w:val="en"/>
        </w:rPr>
        <w:t>，提供有符合以上检测内容的检验（测）报告得</w:t>
      </w:r>
      <w:r>
        <w:rPr>
          <w:rFonts w:hint="eastAsia" w:cs="宋体"/>
          <w:color w:val="auto"/>
          <w:sz w:val="21"/>
          <w:szCs w:val="21"/>
          <w:highlight w:val="none"/>
          <w:lang w:val="en-US" w:eastAsia="zh-CN"/>
        </w:rPr>
        <w:t>2</w:t>
      </w:r>
      <w:r>
        <w:rPr>
          <w:rFonts w:hint="default" w:cs="宋体"/>
          <w:color w:val="auto"/>
          <w:sz w:val="21"/>
          <w:szCs w:val="21"/>
          <w:highlight w:val="none"/>
          <w:lang w:val="en"/>
        </w:rPr>
        <w:t>分</w:t>
      </w:r>
      <w:r>
        <w:rPr>
          <w:rFonts w:hint="eastAsia" w:cs="宋体"/>
          <w:color w:val="auto"/>
          <w:sz w:val="21"/>
          <w:szCs w:val="21"/>
          <w:highlight w:val="none"/>
          <w:lang w:val="en" w:eastAsia="zh-CN"/>
        </w:rPr>
        <w:t>。</w:t>
      </w:r>
      <w:r>
        <w:rPr>
          <w:rFonts w:hint="default" w:cs="宋体"/>
          <w:color w:val="auto"/>
          <w:sz w:val="21"/>
          <w:szCs w:val="21"/>
          <w:highlight w:val="none"/>
          <w:lang w:val="en"/>
        </w:rPr>
        <w:t>本项满分</w:t>
      </w:r>
      <w:r>
        <w:rPr>
          <w:rFonts w:hint="eastAsia" w:cs="宋体"/>
          <w:color w:val="auto"/>
          <w:sz w:val="21"/>
          <w:szCs w:val="21"/>
          <w:highlight w:val="none"/>
          <w:lang w:val="en-US" w:eastAsia="zh-CN"/>
        </w:rPr>
        <w:t>2</w:t>
      </w:r>
      <w:r>
        <w:rPr>
          <w:rFonts w:hint="default" w:cs="宋体"/>
          <w:color w:val="auto"/>
          <w:sz w:val="21"/>
          <w:szCs w:val="21"/>
          <w:highlight w:val="none"/>
          <w:lang w:val="en"/>
        </w:rPr>
        <w:t>分</w:t>
      </w:r>
      <w:r>
        <w:rPr>
          <w:rFonts w:hint="eastAsia" w:cs="宋体"/>
          <w:color w:val="auto"/>
          <w:sz w:val="21"/>
          <w:szCs w:val="21"/>
          <w:highlight w:val="none"/>
          <w:lang w:val="en"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color w:val="auto"/>
          <w:sz w:val="21"/>
          <w:szCs w:val="21"/>
          <w:highlight w:val="none"/>
          <w:lang w:val="en" w:eastAsia="zh-CN"/>
        </w:rPr>
      </w:pPr>
      <w:r>
        <w:rPr>
          <w:rFonts w:hint="eastAsia" w:cs="宋体"/>
          <w:color w:val="auto"/>
          <w:sz w:val="21"/>
          <w:szCs w:val="21"/>
          <w:highlight w:val="none"/>
          <w:lang w:val="en-US" w:eastAsia="zh-CN"/>
        </w:rPr>
        <w:t>7</w:t>
      </w:r>
      <w:r>
        <w:rPr>
          <w:rFonts w:hint="eastAsia" w:cs="宋体"/>
          <w:color w:val="auto"/>
          <w:sz w:val="21"/>
          <w:szCs w:val="21"/>
          <w:highlight w:val="none"/>
        </w:rPr>
        <w:t>）冷轧钢板：符合CB/T 11253-2019 《碳素结构钢冷轧钢板及钢带》，检测项至少包含：力学性能规定塑性延伸强度、抗拉强度、断后伸长率等</w:t>
      </w:r>
      <w:r>
        <w:rPr>
          <w:rFonts w:hint="default" w:cs="宋体"/>
          <w:color w:val="auto"/>
          <w:sz w:val="21"/>
          <w:szCs w:val="21"/>
          <w:highlight w:val="none"/>
          <w:lang w:val="en"/>
        </w:rPr>
        <w:t>，提供有符合以上检测内容的检验（测）报告得3分</w:t>
      </w:r>
      <w:r>
        <w:rPr>
          <w:rFonts w:hint="eastAsia" w:cs="宋体"/>
          <w:color w:val="auto"/>
          <w:sz w:val="21"/>
          <w:szCs w:val="21"/>
          <w:highlight w:val="none"/>
          <w:lang w:val="en" w:eastAsia="zh-CN"/>
        </w:rPr>
        <w:t>。</w:t>
      </w:r>
      <w:r>
        <w:rPr>
          <w:rFonts w:hint="default" w:cs="宋体"/>
          <w:color w:val="auto"/>
          <w:sz w:val="21"/>
          <w:szCs w:val="21"/>
          <w:highlight w:val="none"/>
          <w:lang w:val="en"/>
        </w:rPr>
        <w:t>本项满分3分</w:t>
      </w:r>
      <w:r>
        <w:rPr>
          <w:rFonts w:hint="eastAsia" w:cs="宋体"/>
          <w:color w:val="auto"/>
          <w:sz w:val="21"/>
          <w:szCs w:val="21"/>
          <w:highlight w:val="none"/>
          <w:lang w:val="en" w:eastAsia="zh-CN"/>
        </w:rPr>
        <w:t>。</w:t>
      </w:r>
    </w:p>
    <w:p>
      <w:pPr>
        <w:numPr>
          <w:ilvl w:val="0"/>
          <w:numId w:val="0"/>
        </w:numPr>
        <w:spacing w:line="360" w:lineRule="auto"/>
        <w:jc w:val="left"/>
        <w:rPr>
          <w:rFonts w:ascii="宋体" w:hAnsi="宋体" w:cs="宋体"/>
          <w:b/>
          <w:bCs/>
          <w:color w:val="auto"/>
          <w:szCs w:val="21"/>
          <w:highlight w:val="none"/>
        </w:rPr>
      </w:pPr>
      <w:r>
        <w:rPr>
          <w:rFonts w:hint="eastAsia" w:ascii="宋体" w:hAnsi="宋体" w:eastAsia="宋体" w:cs="宋体"/>
          <w:color w:val="auto"/>
          <w:szCs w:val="21"/>
          <w:highlight w:val="none"/>
          <w:lang w:val="en-US" w:eastAsia="zh-CN"/>
        </w:rPr>
        <w:t xml:space="preserve">   </w:t>
      </w:r>
      <w:r>
        <w:rPr>
          <w:rFonts w:hint="default" w:ascii="宋体" w:hAnsi="宋体" w:cs="宋体"/>
          <w:color w:val="auto"/>
          <w:szCs w:val="21"/>
          <w:highlight w:val="none"/>
          <w:lang w:val="en" w:eastAsia="zh-CN"/>
        </w:rPr>
        <w:t xml:space="preserve"> </w:t>
      </w:r>
      <w:r>
        <w:rPr>
          <w:rFonts w:hint="eastAsia" w:ascii="宋体" w:hAnsi="宋体" w:cs="宋体"/>
          <w:b/>
          <w:bCs/>
          <w:color w:val="auto"/>
          <w:szCs w:val="21"/>
          <w:highlight w:val="none"/>
        </w:rPr>
        <w:t>以上参数要求</w:t>
      </w:r>
      <w:r>
        <w:rPr>
          <w:rFonts w:hint="eastAsia" w:ascii="宋体" w:hAnsi="宋体" w:cs="宋体"/>
          <w:b/>
          <w:bCs/>
          <w:color w:val="auto"/>
          <w:szCs w:val="21"/>
          <w:highlight w:val="none"/>
          <w:lang w:val="en-US" w:eastAsia="zh-CN"/>
        </w:rPr>
        <w:t>应</w:t>
      </w:r>
      <w:r>
        <w:rPr>
          <w:rFonts w:hint="eastAsia" w:ascii="宋体" w:hAnsi="宋体" w:cs="宋体"/>
          <w:b/>
          <w:bCs/>
          <w:color w:val="auto"/>
          <w:szCs w:val="21"/>
          <w:highlight w:val="none"/>
        </w:rPr>
        <w:t>选择相应</w:t>
      </w:r>
      <w:r>
        <w:rPr>
          <w:rFonts w:hint="eastAsia" w:ascii="宋体" w:hAnsi="宋体" w:cs="宋体"/>
          <w:b/>
          <w:bCs/>
          <w:color w:val="auto"/>
          <w:szCs w:val="21"/>
          <w:highlight w:val="none"/>
          <w:lang w:val="en-US" w:eastAsia="zh-CN"/>
        </w:rPr>
        <w:t>最新的</w:t>
      </w:r>
      <w:r>
        <w:rPr>
          <w:rFonts w:hint="eastAsia" w:ascii="宋体" w:hAnsi="宋体" w:cs="宋体"/>
          <w:b/>
          <w:bCs/>
          <w:color w:val="auto"/>
          <w:szCs w:val="21"/>
          <w:highlight w:val="none"/>
        </w:rPr>
        <w:t>标准</w:t>
      </w:r>
      <w:r>
        <w:rPr>
          <w:rFonts w:hint="eastAsia" w:ascii="宋体" w:hAnsi="宋体" w:cs="宋体"/>
          <w:b/>
          <w:bCs/>
          <w:color w:val="auto"/>
          <w:szCs w:val="21"/>
          <w:highlight w:val="none"/>
          <w:lang w:val="en-US" w:eastAsia="zh-CN"/>
        </w:rPr>
        <w:t>检验，至少包含以上标准及检验项</w:t>
      </w:r>
      <w:r>
        <w:rPr>
          <w:rFonts w:hint="eastAsia" w:ascii="宋体" w:hAnsi="宋体" w:cs="宋体"/>
          <w:b/>
          <w:bCs/>
          <w:color w:val="auto"/>
          <w:szCs w:val="21"/>
          <w:highlight w:val="none"/>
        </w:rPr>
        <w:t>。提供以上检测(验)报告的，其内容必须满足上述要求且依据相应国家标准或行业标准检测，每提供一项检测(验)报告</w:t>
      </w:r>
      <w:r>
        <w:rPr>
          <w:rFonts w:hint="eastAsia" w:ascii="宋体" w:hAnsi="宋体" w:cs="宋体"/>
          <w:b/>
          <w:bCs/>
          <w:color w:val="auto"/>
          <w:szCs w:val="21"/>
          <w:highlight w:val="none"/>
          <w:lang w:val="en-US" w:eastAsia="zh-CN"/>
        </w:rPr>
        <w:t>满足或优于</w:t>
      </w:r>
      <w:r>
        <w:rPr>
          <w:rFonts w:hint="eastAsia" w:ascii="宋体" w:hAnsi="宋体" w:cs="宋体"/>
          <w:b/>
          <w:bCs/>
          <w:color w:val="auto"/>
          <w:szCs w:val="21"/>
          <w:highlight w:val="none"/>
        </w:rPr>
        <w:t>得</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分</w:t>
      </w:r>
      <w:r>
        <w:rPr>
          <w:rFonts w:hint="eastAsia" w:ascii="宋体" w:hAnsi="宋体" w:cs="宋体"/>
          <w:b/>
          <w:color w:val="auto"/>
          <w:szCs w:val="21"/>
          <w:highlight w:val="none"/>
        </w:rPr>
        <w:t>，</w:t>
      </w:r>
      <w:r>
        <w:rPr>
          <w:rFonts w:hint="eastAsia" w:ascii="宋体" w:hAnsi="宋体" w:cs="宋体"/>
          <w:b/>
          <w:bCs/>
          <w:color w:val="auto"/>
          <w:szCs w:val="21"/>
          <w:highlight w:val="none"/>
        </w:rPr>
        <w:t>满分</w:t>
      </w:r>
      <w:r>
        <w:rPr>
          <w:rFonts w:hint="eastAsia" w:ascii="宋体" w:hAnsi="宋体" w:cs="宋体"/>
          <w:b/>
          <w:bCs/>
          <w:color w:val="auto"/>
          <w:szCs w:val="21"/>
          <w:highlight w:val="none"/>
          <w:lang w:val="en-US" w:eastAsia="zh-CN"/>
        </w:rPr>
        <w:t>16</w:t>
      </w:r>
      <w:r>
        <w:rPr>
          <w:rFonts w:hint="eastAsia" w:ascii="宋体" w:hAnsi="宋体" w:cs="宋体"/>
          <w:b/>
          <w:bCs/>
          <w:color w:val="auto"/>
          <w:szCs w:val="21"/>
          <w:highlight w:val="none"/>
        </w:rPr>
        <w:t>分。</w:t>
      </w:r>
    </w:p>
    <w:p>
      <w:pPr>
        <w:spacing w:line="360" w:lineRule="auto"/>
        <w:ind w:firstLine="421"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）产品生产能力分（满分8分）</w:t>
      </w:r>
    </w:p>
    <w:p>
      <w:pPr>
        <w:spacing w:line="360" w:lineRule="auto"/>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对投标人或生产厂家提供与本项目货物生产相关的生产设备、生产场地、生产计划和技术人员、质量管控措施等进行综合评定，专家评委根据综合评定进行打分。</w:t>
      </w:r>
    </w:p>
    <w:p>
      <w:pPr>
        <w:spacing w:line="360" w:lineRule="auto"/>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①提供与本项目货物相关的生产设备（同等功能的设备）证明材料，包含但不限：涂装设备流水线，焊接机器手，激光切管机，弯管机，冲床，开料机，抛光机，环保设备，数控排钻中心，起重机等设备，每提供一项设备得0.5分，满分3分。（提供设备购置发票或租赁合同等扫描件、提供设备在生产现场的照片）</w:t>
      </w:r>
    </w:p>
    <w:p>
      <w:pPr>
        <w:spacing w:line="360" w:lineRule="auto"/>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②提供生产场地证明材料，生产场地的真实图片，得1分。满分1分。（提供生产场地产权证明或租赁合同、生产车间及仓库等）</w:t>
      </w:r>
    </w:p>
    <w:p>
      <w:pPr>
        <w:spacing w:line="360" w:lineRule="auto"/>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③生产进度保障分</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提供生产进度计划表、生产流程图、生产人员安排表得1分；提供生产进度计划表、生产流程图、生产人员安排表，有安全保障措施，完善的管理组织得2分。满分2分。</w:t>
      </w:r>
    </w:p>
    <w:p>
      <w:pPr>
        <w:spacing w:line="360" w:lineRule="auto"/>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④质量管控措施方案分：提供质量管控措施方案的0.5分；提供质量管理制度、生产各工序、质量管控措施的得1分；提供针对本项目的质量管理制度、生产各工序、产品出厂标准、质量管控措施的得2分。满分2分。</w:t>
      </w:r>
    </w:p>
    <w:p>
      <w:pPr>
        <w:spacing w:line="360" w:lineRule="auto"/>
        <w:ind w:firstLine="421"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（4）产品设计方案分（满分</w:t>
      </w:r>
      <w:r>
        <w:rPr>
          <w:rFonts w:hint="eastAsia" w:ascii="宋体" w:hAnsi="宋体" w:cs="宋体"/>
          <w:b/>
          <w:color w:val="auto"/>
          <w:szCs w:val="21"/>
          <w:highlight w:val="none"/>
          <w:lang w:val="en-US" w:eastAsia="zh-CN" w:bidi="ar"/>
        </w:rPr>
        <w:t>9</w:t>
      </w:r>
      <w:r>
        <w:rPr>
          <w:rFonts w:hint="eastAsia" w:ascii="宋体" w:hAnsi="宋体" w:cs="宋体"/>
          <w:b/>
          <w:color w:val="auto"/>
          <w:szCs w:val="21"/>
          <w:highlight w:val="none"/>
          <w:lang w:bidi="ar"/>
        </w:rPr>
        <w:t>分）</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cs="宋体"/>
          <w:color w:val="auto"/>
          <w:kern w:val="2"/>
          <w:sz w:val="21"/>
          <w:szCs w:val="21"/>
          <w:highlight w:val="none"/>
          <w:lang w:bidi="ar"/>
        </w:rPr>
        <w:t xml:space="preserve"> </w:t>
      </w:r>
      <w:r>
        <w:rPr>
          <w:rFonts w:hint="eastAsia" w:ascii="宋体" w:hAnsi="宋体" w:eastAsia="宋体" w:cs="宋体"/>
          <w:b w:val="0"/>
          <w:bCs w:val="0"/>
          <w:color w:val="auto"/>
          <w:kern w:val="2"/>
          <w:sz w:val="21"/>
          <w:szCs w:val="21"/>
          <w:highlight w:val="none"/>
          <w:u w:val="none"/>
          <w:lang w:val="en-US" w:eastAsia="zh-CN" w:bidi="ar-SA"/>
        </w:rPr>
        <w:t xml:space="preserve">供应商根据本项目采购需求，结合场地平面图，提供教室设计方案及货物的设计方案，方案内容包括但不限于：平面布置图、单体产品三视图（正视图、俯视图、侧视图（左视图、右视图））、现场效果图、产品结构图，产品规格尺寸，使用功能描述等，考核产品设计的规范合理性、安全实用性。 </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一档（2分)：提供产品的平面布置图、单体产品三视图（正视图、俯视图、侧视图（左视图、右视图））、现场效果图、产品结构图，产品规格尺寸标注，使用功能描述等，存在空间及产品布局不合理，设计图单调，缺少图纸或提供的图纸配置缺失，平面布局图标注尺寸缺失，配置不协调、不符合使用需求，产品功能描述不清晰。</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二档（3分)：提供产品的平面布置图、单体产品三视图（正视图、俯视图、侧视图（左视图、右视图））、现场效果图、产品结构图，产品规格尺寸标注，使用功能描述等符合采购人实际要求，空间及产品布局合理，图纸齐全，规格尺寸等细节清晰明确，产品设计规范合理，配置协调，功能描述清晰。</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三档（6分)：提供产品的平面布置图、单体产品三视图（正视图、俯视图、侧视图（左视图、右视图））、现场效果图、产品结构图，产品规格尺寸标注，使用功能描述等符合采购人实际要求，空间及产品布局合理，图纸齐全，规格尺寸等细节清晰明确，产品设计规范合理，能展现产品内部结构，细节明确，产品功能描述详细，体现产品设计的安全实用性。</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四档（</w:t>
      </w:r>
      <w:r>
        <w:rPr>
          <w:rFonts w:hint="eastAsia" w:ascii="宋体" w:hAnsi="宋体" w:cs="宋体"/>
          <w:b w:val="0"/>
          <w:bCs w:val="0"/>
          <w:color w:val="auto"/>
          <w:kern w:val="2"/>
          <w:sz w:val="21"/>
          <w:szCs w:val="21"/>
          <w:highlight w:val="none"/>
          <w:u w:val="none"/>
          <w:lang w:val="en-US" w:eastAsia="zh-CN" w:bidi="ar-SA"/>
        </w:rPr>
        <w:t>9</w:t>
      </w:r>
      <w:r>
        <w:rPr>
          <w:rFonts w:hint="eastAsia" w:ascii="宋体" w:hAnsi="宋体" w:eastAsia="宋体" w:cs="宋体"/>
          <w:b w:val="0"/>
          <w:bCs w:val="0"/>
          <w:color w:val="auto"/>
          <w:kern w:val="2"/>
          <w:sz w:val="21"/>
          <w:szCs w:val="21"/>
          <w:highlight w:val="none"/>
          <w:u w:val="none"/>
          <w:lang w:val="en-US" w:eastAsia="zh-CN" w:bidi="ar-SA"/>
        </w:rPr>
        <w:t>分)：提供产品的平面布置图、单体产品三视图（正视图、俯视图、侧视图（左视图、右视图））、现场效果图、产品结构图，产品规格尺寸标注，使用功能描述等符合采购人实际要求，空间及产品布局合理，图纸齐全，规格尺寸等细节清晰明确，产品设计规范合理，细节明确，能展现产品内部结构，产品功能描述详细，能体现产品设计的安全实用性，设计方案有特色有亮点(包括外观设计、款式结构、色彩搭配等)。</w:t>
      </w:r>
    </w:p>
    <w:p>
      <w:pPr>
        <w:spacing w:line="400" w:lineRule="exact"/>
        <w:ind w:firstLine="421" w:firstLineChars="200"/>
        <w:rPr>
          <w:rFonts w:hint="eastAsia" w:ascii="Times New Roman" w:hAnsi="Times New Roman" w:eastAsia="宋体" w:cs="Times New Roman"/>
          <w:b/>
          <w:bCs/>
          <w:color w:val="auto"/>
          <w:szCs w:val="21"/>
          <w:highlight w:val="none"/>
        </w:rPr>
      </w:pPr>
      <w:r>
        <w:rPr>
          <w:rFonts w:hint="eastAsia" w:cs="Times New Roman"/>
          <w:b/>
          <w:bCs/>
          <w:color w:val="auto"/>
          <w:szCs w:val="21"/>
          <w:highlight w:val="none"/>
          <w:lang w:eastAsia="zh-CN"/>
        </w:rPr>
        <w:t>（</w:t>
      </w:r>
      <w:r>
        <w:rPr>
          <w:rFonts w:hint="eastAsia" w:ascii="Times New Roman" w:hAnsi="Times New Roman" w:eastAsia="宋体" w:cs="Times New Roman"/>
          <w:b/>
          <w:bCs/>
          <w:color w:val="auto"/>
          <w:szCs w:val="21"/>
          <w:highlight w:val="none"/>
        </w:rPr>
        <w:t>注：</w:t>
      </w:r>
      <w:r>
        <w:rPr>
          <w:rFonts w:hint="eastAsia" w:ascii="Times New Roman" w:hAnsi="Times New Roman" w:eastAsia="宋体" w:cs="Times New Roman"/>
          <w:b/>
          <w:bCs/>
          <w:color w:val="auto"/>
          <w:szCs w:val="21"/>
          <w:highlight w:val="none"/>
          <w:lang w:val="en-US" w:eastAsia="zh-CN"/>
        </w:rPr>
        <w:t>不提供设计方案的不给分，</w:t>
      </w:r>
      <w:r>
        <w:rPr>
          <w:rFonts w:hint="eastAsia" w:ascii="Times New Roman" w:hAnsi="Times New Roman" w:eastAsia="宋体" w:cs="Times New Roman"/>
          <w:b/>
          <w:bCs/>
          <w:color w:val="auto"/>
          <w:szCs w:val="21"/>
          <w:highlight w:val="none"/>
        </w:rPr>
        <w:t>投标人投标文件中提供的</w:t>
      </w:r>
      <w:r>
        <w:rPr>
          <w:rFonts w:hint="eastAsia" w:ascii="宋体" w:hAnsi="宋体" w:cs="宋体"/>
          <w:b/>
          <w:color w:val="auto"/>
          <w:szCs w:val="21"/>
          <w:highlight w:val="none"/>
          <w:lang w:bidi="ar"/>
        </w:rPr>
        <w:t>产品设计方案</w:t>
      </w:r>
      <w:r>
        <w:rPr>
          <w:rFonts w:hint="eastAsia" w:ascii="Times New Roman" w:hAnsi="Times New Roman" w:eastAsia="宋体" w:cs="Times New Roman"/>
          <w:b/>
          <w:bCs/>
          <w:color w:val="auto"/>
          <w:szCs w:val="21"/>
          <w:highlight w:val="none"/>
        </w:rPr>
        <w:t>未达到相应评审档次全部标准的，相应降低一个档次。</w:t>
      </w:r>
      <w:r>
        <w:rPr>
          <w:rFonts w:hint="eastAsia" w:cs="Times New Roman"/>
          <w:b/>
          <w:bCs/>
          <w:color w:val="auto"/>
          <w:szCs w:val="21"/>
          <w:highlight w:val="none"/>
          <w:lang w:eastAsia="zh-CN"/>
        </w:rPr>
        <w:t>）</w:t>
      </w:r>
    </w:p>
    <w:p>
      <w:pPr>
        <w:pStyle w:val="11"/>
        <w:spacing w:line="360" w:lineRule="auto"/>
        <w:ind w:firstLine="421" w:firstLineChars="200"/>
        <w:jc w:val="left"/>
        <w:rPr>
          <w:rFonts w:hAnsi="宋体" w:cs="宋体"/>
          <w:b/>
          <w:bCs/>
          <w:color w:val="auto"/>
          <w:highlight w:val="none"/>
        </w:rPr>
      </w:pPr>
      <w:r>
        <w:rPr>
          <w:rFonts w:hint="eastAsia" w:hAnsi="宋体" w:cs="宋体"/>
          <w:b/>
          <w:color w:val="auto"/>
          <w:highlight w:val="none"/>
        </w:rPr>
        <w:t>（</w:t>
      </w:r>
      <w:r>
        <w:rPr>
          <w:rFonts w:hint="eastAsia" w:hAnsi="宋体" w:cs="宋体"/>
          <w:b/>
          <w:color w:val="auto"/>
          <w:highlight w:val="none"/>
          <w:lang w:val="en-US" w:eastAsia="zh-CN"/>
        </w:rPr>
        <w:t>5</w:t>
      </w:r>
      <w:r>
        <w:rPr>
          <w:rFonts w:hint="eastAsia" w:hAnsi="宋体" w:cs="宋体"/>
          <w:b/>
          <w:color w:val="auto"/>
          <w:highlight w:val="none"/>
        </w:rPr>
        <w:t>）</w:t>
      </w:r>
      <w:r>
        <w:rPr>
          <w:rFonts w:hint="eastAsia" w:hAnsi="宋体" w:cs="宋体"/>
          <w:b/>
          <w:bCs/>
          <w:color w:val="auto"/>
          <w:highlight w:val="none"/>
        </w:rPr>
        <w:t>履约能力分（满分</w:t>
      </w:r>
      <w:r>
        <w:rPr>
          <w:rFonts w:hint="eastAsia" w:hAnsi="宋体" w:cs="宋体"/>
          <w:b/>
          <w:bCs/>
          <w:color w:val="auto"/>
          <w:highlight w:val="none"/>
          <w:lang w:val="en-US" w:eastAsia="zh-CN"/>
        </w:rPr>
        <w:t>6</w:t>
      </w:r>
      <w:r>
        <w:rPr>
          <w:rFonts w:hint="eastAsia" w:hAnsi="宋体" w:cs="宋体"/>
          <w:b/>
          <w:bCs/>
          <w:color w:val="auto"/>
          <w:highlight w:val="none"/>
        </w:rPr>
        <w:t>分）</w:t>
      </w:r>
    </w:p>
    <w:p>
      <w:pPr>
        <w:pStyle w:val="4"/>
        <w:spacing w:before="0" w:after="0"/>
        <w:jc w:val="both"/>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 xml:space="preserve">    根据投标人提供的履约能力方案进行综合比较打分，方案内容包括但不限于：技术方案、专业技术人员配备、供货方案等。</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一档（1分）：技术方案笼统、无针对性，不具体，对招标文件需求的理解一般，可操作性、稳定性和扩展性较差，供货方案不够详细，供货进度较慢。</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二档（</w:t>
      </w:r>
      <w:r>
        <w:rPr>
          <w:rFonts w:hint="eastAsia" w:ascii="宋体" w:hAnsi="宋体" w:cs="宋体"/>
          <w:b w:val="0"/>
          <w:bCs w:val="0"/>
          <w:color w:val="auto"/>
          <w:kern w:val="2"/>
          <w:sz w:val="21"/>
          <w:szCs w:val="21"/>
          <w:highlight w:val="none"/>
          <w:u w:val="none"/>
          <w:lang w:val="en-US" w:eastAsia="zh-CN" w:bidi="ar-SA"/>
        </w:rPr>
        <w:t>3</w:t>
      </w:r>
      <w:r>
        <w:rPr>
          <w:rFonts w:hint="eastAsia" w:ascii="宋体" w:hAnsi="宋体" w:eastAsia="宋体" w:cs="宋体"/>
          <w:b w:val="0"/>
          <w:bCs w:val="0"/>
          <w:color w:val="auto"/>
          <w:kern w:val="2"/>
          <w:sz w:val="21"/>
          <w:szCs w:val="21"/>
          <w:highlight w:val="none"/>
          <w:u w:val="none"/>
          <w:lang w:val="en-US" w:eastAsia="zh-CN" w:bidi="ar-SA"/>
        </w:rPr>
        <w:t>分）：技术方案完善、有一定的针对性，对招标文件需求理解到位，可操作性、稳定性和扩展性强，满足招标文件要求；有人员分工安排，提供简单的安全保障措施方案。供货方案完整齐全，供货进度合理。</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三档（</w:t>
      </w:r>
      <w:r>
        <w:rPr>
          <w:rFonts w:hint="eastAsia" w:ascii="宋体" w:hAnsi="宋体" w:cs="宋体"/>
          <w:b w:val="0"/>
          <w:bCs w:val="0"/>
          <w:color w:val="auto"/>
          <w:kern w:val="2"/>
          <w:sz w:val="21"/>
          <w:szCs w:val="21"/>
          <w:highlight w:val="none"/>
          <w:u w:val="none"/>
          <w:lang w:val="en-US" w:eastAsia="zh-CN" w:bidi="ar-SA"/>
        </w:rPr>
        <w:t>6</w:t>
      </w:r>
      <w:r>
        <w:rPr>
          <w:rFonts w:hint="eastAsia" w:ascii="宋体" w:hAnsi="宋体" w:eastAsia="宋体" w:cs="宋体"/>
          <w:b w:val="0"/>
          <w:bCs w:val="0"/>
          <w:color w:val="auto"/>
          <w:kern w:val="2"/>
          <w:sz w:val="21"/>
          <w:szCs w:val="21"/>
          <w:highlight w:val="none"/>
          <w:u w:val="none"/>
          <w:lang w:val="en-US" w:eastAsia="zh-CN" w:bidi="ar-SA"/>
        </w:rPr>
        <w:t>分）：技术方案全面详细、贴切且完整，充分理解招标文件的采购需求，组织机构健全，实施人员配备完备，实施流程合理，方案考虑周全，有进度保障方案，提出具有建设性的方案优化建议，项目方案贴近本项目实际执行内容与要求；人员配置充足，分工安排合理、明确，提供详细、可操作性强的安全保障措施方案，能较好保证项目的完成。供货方案详细全面，供货进度安排快。</w:t>
      </w:r>
    </w:p>
    <w:p>
      <w:pPr>
        <w:spacing w:line="400" w:lineRule="exact"/>
        <w:ind w:firstLine="421" w:firstLineChars="200"/>
        <w:rPr>
          <w:rFonts w:hint="eastAsia" w:hAnsi="宋体" w:cs="宋体"/>
          <w:b/>
          <w:bCs/>
          <w:color w:val="auto"/>
          <w:highlight w:val="none"/>
        </w:rPr>
      </w:pPr>
      <w:r>
        <w:rPr>
          <w:rFonts w:hint="eastAsia" w:ascii="Times New Roman" w:hAnsi="Times New Roman" w:eastAsia="宋体" w:cs="Times New Roman"/>
          <w:b/>
          <w:bCs/>
          <w:color w:val="auto"/>
          <w:szCs w:val="21"/>
          <w:highlight w:val="none"/>
        </w:rPr>
        <w:t>注：投标人投标文件中提供的履约能力方案未达到相应评审档次全部标准的，相应降低一个档次。</w:t>
      </w:r>
    </w:p>
    <w:p>
      <w:pPr>
        <w:spacing w:line="360" w:lineRule="auto"/>
        <w:ind w:firstLine="421" w:firstLineChars="200"/>
        <w:jc w:val="left"/>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）售后服务方案及保障能力分（满分</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分）</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项目售后服务承诺基本要求：至少应包括质保期、免费保修期限、到达故障现场时间（维护电话保证7×24小时响应，自接到故障通知起2小时内到达故障现场）、故障出现解决方案、定期维护（注明时间）、质保期内提供专人负责维保（售后服务承诺书内应有维保人员名单及联系方式），故障处理时限（不能超过4小时，对不能修复的保证在24小时内提供替代品或直接更换），质保期满前一个月及质保期内每年进行一次全面检修与保养，保修期外维修方案、其他优惠措施、安装要求及方案。</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一档（1分）：有售后服务承诺书；满足招标文件的要求，有故障出现解决方案，有技术培训方案、保修期外维修方案。</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二档（2分）：售后服务承诺书内容完整；解决事故时间在4小时内，故障出现解决方案可靠，定期维护方式方法合理，有完整的免费技术培训方案、保修期外维修方案；有售后服务能力措施。</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三档（4分）：售后服务承诺书内容详细具体；解决事故时间在2小时内，故障出现解决方案可靠，定期维护方式方法合理，有完整的免费技术培训方案、保修期外维修方案；有完善的本地化售后服务措施；对售后服务应急预案、其他优惠措施等方面都有描述，可实施性高。</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四档（6分）：在满足三档的基础上，售后服务方案详细描述了设备售后维护和应急保障方案的方法以及实现方式，常年备有齐全的配件。投标人或投标产品生产厂家具备“家具报修服务平台”，平台服务具备包含但不限如下功能：①报修功能；②派单功能；③定位功能等。（提供功能截图并加盖公章）</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（注：</w:t>
      </w:r>
      <w:r>
        <w:rPr>
          <w:rFonts w:hint="eastAsia" w:ascii="宋体" w:hAnsi="宋体" w:eastAsia="宋体" w:cs="宋体"/>
          <w:b w:val="0"/>
          <w:bCs w:val="0"/>
          <w:color w:val="auto"/>
          <w:kern w:val="2"/>
          <w:sz w:val="21"/>
          <w:szCs w:val="21"/>
          <w:highlight w:val="none"/>
          <w:u w:val="none"/>
          <w:lang w:val="en-US" w:eastAsia="zh-CN" w:bidi="ar-SA"/>
        </w:rPr>
        <w:t>无相关内容或不满足最低进档要求不得分</w:t>
      </w:r>
      <w:r>
        <w:rPr>
          <w:rFonts w:hint="eastAsia" w:ascii="宋体" w:hAnsi="宋体" w:cs="宋体"/>
          <w:b w:val="0"/>
          <w:bCs w:val="0"/>
          <w:color w:val="auto"/>
          <w:kern w:val="2"/>
          <w:sz w:val="21"/>
          <w:szCs w:val="21"/>
          <w:highlight w:val="none"/>
          <w:u w:val="none"/>
          <w:lang w:val="en-US" w:eastAsia="zh-CN" w:bidi="ar-SA"/>
        </w:rPr>
        <w:t>）</w:t>
      </w:r>
      <w:r>
        <w:rPr>
          <w:rFonts w:hint="eastAsia" w:ascii="宋体" w:hAnsi="宋体" w:eastAsia="宋体" w:cs="宋体"/>
          <w:b w:val="0"/>
          <w:bCs w:val="0"/>
          <w:color w:val="auto"/>
          <w:kern w:val="2"/>
          <w:sz w:val="21"/>
          <w:szCs w:val="21"/>
          <w:highlight w:val="none"/>
          <w:u w:val="none"/>
          <w:lang w:val="en-US" w:eastAsia="zh-CN" w:bidi="ar-SA"/>
        </w:rPr>
        <w:t>。</w:t>
      </w:r>
    </w:p>
    <w:p>
      <w:pPr>
        <w:pStyle w:val="9"/>
        <w:spacing w:line="240" w:lineRule="auto"/>
        <w:rPr>
          <w:rFonts w:hint="eastAsia"/>
          <w:color w:val="auto"/>
          <w:highlight w:val="none"/>
        </w:rPr>
      </w:pPr>
    </w:p>
    <w:p>
      <w:pPr>
        <w:spacing w:line="360" w:lineRule="auto"/>
        <w:ind w:firstLine="421" w:firstLineChars="200"/>
        <w:jc w:val="left"/>
        <w:rPr>
          <w:rFonts w:ascii="宋体" w:hAnsi="宋体" w:cs="宋体"/>
          <w:b/>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3、商务分</w:t>
      </w:r>
      <w:r>
        <w:rPr>
          <w:rFonts w:hint="eastAsia" w:hAnsi="宋体"/>
          <w:b/>
          <w:bCs/>
          <w:color w:val="auto"/>
          <w:spacing w:val="-8"/>
          <w:highlight w:val="none"/>
        </w:rPr>
        <w:t>………………………………………………………………………………………</w:t>
      </w:r>
      <w:r>
        <w:rPr>
          <w:rFonts w:hint="eastAsia" w:ascii="宋体" w:hAnsi="宋体" w:cs="宋体"/>
          <w:b/>
          <w:color w:val="auto"/>
          <w:szCs w:val="21"/>
          <w:highlight w:val="none"/>
          <w:lang w:val="en-US" w:eastAsia="zh-CN"/>
        </w:rPr>
        <w:t>15</w:t>
      </w:r>
      <w:r>
        <w:rPr>
          <w:rFonts w:hint="eastAsia" w:ascii="宋体" w:hAnsi="宋体" w:cs="宋体"/>
          <w:b/>
          <w:color w:val="auto"/>
          <w:szCs w:val="21"/>
          <w:highlight w:val="none"/>
        </w:rPr>
        <w:t>分</w:t>
      </w:r>
    </w:p>
    <w:p>
      <w:pPr>
        <w:spacing w:line="360" w:lineRule="auto"/>
        <w:ind w:firstLine="421" w:firstLineChars="200"/>
        <w:jc w:val="left"/>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）环保分（满分</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1）投标人所投的产品获得《中国环保认证产品认证证书》（CQC）的得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2）投标人所投的产品获得《中国环境标志产品认证证书》（十环认证）的得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b/>
          <w:bCs/>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3）投标人所投的产品获得《低VOCS家具产品认证证书》的得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b/>
          <w:bCs/>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4）投标人所投的产品获得《家具产品有害物质限量认证证书》的得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）投标人所投的产品获得中国绿色产品认证证书的得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pPr>
        <w:pStyle w:val="13"/>
        <w:widowControl/>
        <w:spacing w:line="360" w:lineRule="auto"/>
        <w:ind w:firstLine="421"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（以上证明材料必须在有效期内，均须提供原件扫描件加盖公章，并编制于投标文件中，签订合</w:t>
      </w:r>
      <w:r>
        <w:rPr>
          <w:rFonts w:hint="eastAsia" w:ascii="宋体" w:hAnsi="宋体" w:cs="宋体"/>
          <w:b/>
          <w:bCs/>
          <w:strike w:val="0"/>
          <w:dstrike w:val="0"/>
          <w:color w:val="auto"/>
          <w:sz w:val="21"/>
          <w:szCs w:val="21"/>
          <w:highlight w:val="none"/>
          <w:lang w:val="en-US" w:eastAsia="zh-CN"/>
        </w:rPr>
        <w:t>后</w:t>
      </w:r>
      <w:r>
        <w:rPr>
          <w:rFonts w:hint="eastAsia" w:ascii="宋体" w:hAnsi="宋体" w:cs="宋体"/>
          <w:b/>
          <w:bCs/>
          <w:color w:val="auto"/>
          <w:sz w:val="21"/>
          <w:szCs w:val="21"/>
          <w:highlight w:val="none"/>
        </w:rPr>
        <w:t>原件备查。）</w:t>
      </w:r>
    </w:p>
    <w:p>
      <w:pPr>
        <w:spacing w:line="360" w:lineRule="auto"/>
        <w:ind w:firstLine="421" w:firstLineChars="200"/>
        <w:jc w:val="left"/>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）业绩分（满分</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分）</w:t>
      </w:r>
    </w:p>
    <w:p>
      <w:pPr>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投标人在202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年1月1日至本开标截止时间（以合同签订时间为准）投标人提供承接过课桌椅类项目业绩的得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分，本项</w:t>
      </w:r>
      <w:r>
        <w:rPr>
          <w:rFonts w:hint="default" w:ascii="宋体" w:hAnsi="宋体" w:cs="宋体"/>
          <w:color w:val="auto"/>
          <w:szCs w:val="21"/>
          <w:highlight w:val="none"/>
          <w:lang w:val="en"/>
        </w:rPr>
        <w:t>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分。（须提供中标或成交通知书或合同扫描件</w:t>
      </w:r>
      <w:r>
        <w:rPr>
          <w:rFonts w:hint="default" w:ascii="宋体" w:hAnsi="宋体" w:cs="宋体"/>
          <w:color w:val="auto"/>
          <w:szCs w:val="21"/>
          <w:highlight w:val="none"/>
          <w:lang w:val="en"/>
        </w:rPr>
        <w:t>，原件备查</w:t>
      </w:r>
      <w:r>
        <w:rPr>
          <w:rFonts w:hint="eastAsia" w:ascii="宋体" w:hAnsi="宋体" w:cs="宋体"/>
          <w:color w:val="auto"/>
          <w:szCs w:val="21"/>
          <w:highlight w:val="none"/>
        </w:rPr>
        <w:t>）。</w:t>
      </w:r>
    </w:p>
    <w:p>
      <w:pPr>
        <w:pStyle w:val="19"/>
        <w:keepNext w:val="0"/>
        <w:keepLines w:val="0"/>
        <w:widowControl/>
        <w:suppressLineNumbers w:val="0"/>
        <w:spacing w:before="0" w:beforeAutospacing="0" w:after="0" w:afterAutospacing="0" w:line="380" w:lineRule="exact"/>
        <w:ind w:left="0" w:right="0" w:firstLine="420"/>
        <w:jc w:val="left"/>
        <w:rPr>
          <w:color w:val="auto"/>
          <w:highlight w:val="none"/>
        </w:rPr>
      </w:pPr>
      <w:r>
        <w:rPr>
          <w:rFonts w:hint="eastAsia" w:ascii="宋体" w:hAnsi="宋体" w:eastAsia="宋体" w:cs="宋体"/>
          <w:b/>
          <w:bCs/>
          <w:i w:val="0"/>
          <w:iCs w:val="0"/>
          <w:color w:val="auto"/>
          <w:spacing w:val="0"/>
          <w:w w:val="100"/>
          <w:sz w:val="21"/>
          <w:szCs w:val="21"/>
          <w:highlight w:val="none"/>
          <w:vertAlign w:val="baseline"/>
        </w:rPr>
        <w:t>（</w:t>
      </w:r>
      <w:r>
        <w:rPr>
          <w:rFonts w:hint="eastAsia" w:eastAsia="宋体" w:cs="宋体"/>
          <w:b/>
          <w:bCs/>
          <w:i w:val="0"/>
          <w:iCs w:val="0"/>
          <w:color w:val="auto"/>
          <w:spacing w:val="0"/>
          <w:w w:val="100"/>
          <w:sz w:val="21"/>
          <w:szCs w:val="21"/>
          <w:highlight w:val="none"/>
          <w:vertAlign w:val="baseline"/>
          <w:lang w:val="en-US" w:eastAsia="zh-CN"/>
        </w:rPr>
        <w:t>3</w:t>
      </w:r>
      <w:r>
        <w:rPr>
          <w:rFonts w:hint="eastAsia" w:ascii="宋体" w:hAnsi="宋体" w:eastAsia="宋体" w:cs="宋体"/>
          <w:b/>
          <w:bCs/>
          <w:i w:val="0"/>
          <w:iCs w:val="0"/>
          <w:color w:val="auto"/>
          <w:spacing w:val="0"/>
          <w:w w:val="100"/>
          <w:sz w:val="21"/>
          <w:szCs w:val="21"/>
          <w:highlight w:val="none"/>
          <w:vertAlign w:val="baseline"/>
        </w:rPr>
        <w:t>）信誉分（满分3分）</w:t>
      </w:r>
    </w:p>
    <w:p>
      <w:pPr>
        <w:pStyle w:val="19"/>
        <w:keepNext w:val="0"/>
        <w:keepLines w:val="0"/>
        <w:widowControl/>
        <w:suppressLineNumbers w:val="0"/>
        <w:spacing w:before="0" w:beforeAutospacing="0" w:after="0" w:afterAutospacing="0" w:line="380" w:lineRule="exact"/>
        <w:ind w:left="0" w:right="0" w:firstLine="420"/>
        <w:jc w:val="left"/>
        <w:rPr>
          <w:color w:val="auto"/>
          <w:highlight w:val="none"/>
        </w:rPr>
      </w:pPr>
      <w:r>
        <w:rPr>
          <w:rFonts w:hint="eastAsia" w:ascii="宋体" w:hAnsi="宋体" w:eastAsia="宋体" w:cs="宋体"/>
          <w:b w:val="0"/>
          <w:bCs w:val="0"/>
          <w:i w:val="0"/>
          <w:iCs w:val="0"/>
          <w:color w:val="auto"/>
          <w:spacing w:val="0"/>
          <w:w w:val="100"/>
          <w:sz w:val="21"/>
          <w:szCs w:val="21"/>
          <w:highlight w:val="none"/>
          <w:vertAlign w:val="baseline"/>
        </w:rPr>
        <w:t>投标人或投标产品生产厂家提供 ISO9001 质量管理体系认证、ISO14001 环境管理体系认证、职业健康安全管理体系认证，每提供一种证书得1分，共3分。（投标文件中提供有效的复印件并加盖投标人公章，原件备查）</w:t>
      </w:r>
    </w:p>
    <w:p>
      <w:pPr>
        <w:spacing w:line="360" w:lineRule="auto"/>
        <w:ind w:firstLine="421" w:firstLineChars="200"/>
        <w:rPr>
          <w:rFonts w:ascii="宋体" w:hAnsi="宋体" w:cs="宋体"/>
          <w:b/>
          <w:bCs/>
          <w:color w:val="auto"/>
          <w:szCs w:val="21"/>
          <w:highlight w:val="none"/>
        </w:rPr>
      </w:pPr>
      <w:r>
        <w:rPr>
          <w:rFonts w:hint="eastAsia" w:ascii="宋体" w:hAnsi="宋体" w:cs="宋体"/>
          <w:b/>
          <w:color w:val="auto"/>
          <w:kern w:val="0"/>
          <w:szCs w:val="21"/>
          <w:highlight w:val="none"/>
        </w:rPr>
        <w:t>（三）总得分=1+2+3。</w:t>
      </w:r>
    </w:p>
    <w:p>
      <w:pPr>
        <w:pStyle w:val="11"/>
        <w:spacing w:line="360" w:lineRule="auto"/>
        <w:ind w:firstLine="463" w:firstLineChars="220"/>
        <w:rPr>
          <w:rFonts w:hAnsi="宋体" w:cs="宋体"/>
          <w:b/>
          <w:bCs/>
          <w:color w:val="auto"/>
          <w:highlight w:val="none"/>
        </w:rPr>
      </w:pPr>
      <w:r>
        <w:rPr>
          <w:rFonts w:hint="eastAsia" w:hAnsi="宋体" w:cs="宋体"/>
          <w:b/>
          <w:bCs/>
          <w:color w:val="auto"/>
          <w:highlight w:val="none"/>
        </w:rPr>
        <w:t>三、中标候选人推荐原则</w:t>
      </w:r>
    </w:p>
    <w:p>
      <w:pPr>
        <w:pStyle w:val="11"/>
        <w:spacing w:line="360" w:lineRule="auto"/>
        <w:ind w:firstLine="315" w:firstLineChars="150"/>
        <w:rPr>
          <w:rFonts w:hAnsi="宋体" w:cs="宋体"/>
          <w:bCs/>
          <w:color w:val="auto"/>
          <w:highlight w:val="none"/>
        </w:rPr>
      </w:pPr>
      <w:r>
        <w:rPr>
          <w:rFonts w:hint="eastAsia" w:hAnsi="宋体" w:cs="宋体"/>
          <w:bCs/>
          <w:color w:val="auto"/>
          <w:highlight w:val="none"/>
        </w:rPr>
        <w:t>（一）评标委员会将根据得分由高到低排列次序</w:t>
      </w:r>
      <w:r>
        <w:rPr>
          <w:rFonts w:hint="eastAsia" w:hAnsi="宋体" w:cs="宋体"/>
          <w:b/>
          <w:bCs/>
          <w:color w:val="auto"/>
          <w:highlight w:val="none"/>
        </w:rPr>
        <w:t>（得分相同时，以投标报价由低到高顺序排列；得分相同且投标报价相同的，</w:t>
      </w:r>
      <w:r>
        <w:rPr>
          <w:rFonts w:hint="eastAsia" w:hAnsi="宋体" w:cs="宋体"/>
          <w:bCs/>
          <w:color w:val="auto"/>
          <w:highlight w:val="none"/>
        </w:rPr>
        <w:t>按技术评分从高到低顺序排列</w:t>
      </w:r>
      <w:r>
        <w:rPr>
          <w:rFonts w:hint="eastAsia" w:hAnsi="宋体" w:cs="宋体"/>
          <w:b/>
          <w:bCs/>
          <w:color w:val="auto"/>
          <w:highlight w:val="none"/>
        </w:rPr>
        <w:t>）</w:t>
      </w:r>
      <w:r>
        <w:rPr>
          <w:rFonts w:hint="eastAsia" w:hAnsi="宋体" w:cs="宋体"/>
          <w:bCs/>
          <w:color w:val="auto"/>
          <w:highlight w:val="none"/>
        </w:rPr>
        <w:t>并推荐中标候选供应商。采购人应当确定评审委员会推荐排名第一的中标候选人为中标人。</w:t>
      </w:r>
    </w:p>
    <w:p>
      <w:pPr>
        <w:pStyle w:val="11"/>
        <w:spacing w:line="360" w:lineRule="auto"/>
        <w:ind w:firstLine="525" w:firstLineChars="250"/>
        <w:rPr>
          <w:rFonts w:hAnsi="宋体" w:cs="宋体"/>
          <w:b/>
          <w:bCs/>
          <w:color w:val="auto"/>
          <w:highlight w:val="none"/>
        </w:rPr>
      </w:pPr>
      <w:r>
        <w:rPr>
          <w:rFonts w:hint="eastAsia" w:hAnsi="宋体" w:cs="宋体"/>
          <w:bCs/>
          <w:color w:val="auto"/>
          <w:highlight w:val="none"/>
        </w:rPr>
        <w:t>排名第一的中标候选人放弃中标、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r>
        <w:rPr>
          <w:rFonts w:hint="eastAsia" w:hAnsi="宋体" w:cs="宋体"/>
          <w:b/>
          <w:bCs/>
          <w:color w:val="auto"/>
          <w:highlight w:val="none"/>
        </w:rPr>
        <w:t>。</w:t>
      </w:r>
    </w:p>
    <w:p>
      <w:pPr>
        <w:pStyle w:val="4"/>
        <w:ind w:firstLine="420" w:firstLineChars="200"/>
        <w:jc w:val="both"/>
        <w:rPr>
          <w:rFonts w:hint="eastAsia" w:eastAsiaTheme="minorEastAsia"/>
          <w:color w:val="auto"/>
          <w:highlight w:val="none"/>
          <w:lang w:eastAsia="zh-CN"/>
        </w:rPr>
      </w:pPr>
      <w:r>
        <w:rPr>
          <w:rFonts w:hint="eastAsia" w:ascii="宋体" w:hAnsi="宋体" w:eastAsia="宋体" w:cs="宋体"/>
          <w:bCs/>
          <w:color w:val="auto"/>
          <w:sz w:val="21"/>
          <w:szCs w:val="21"/>
          <w:highlight w:val="none"/>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252"/>
    <w:sectPr>
      <w:type w:val="evenPage"/>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隶书">
    <w:altName w:val="宋体"/>
    <w:panose1 w:val="02010509060101010101"/>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35</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0172A"/>
    <w:multiLevelType w:val="singleLevel"/>
    <w:tmpl w:val="81A0172A"/>
    <w:lvl w:ilvl="0" w:tentative="0">
      <w:start w:val="1"/>
      <w:numFmt w:val="decimal"/>
      <w:pStyle w:val="5"/>
      <w:lvlText w:val="%1."/>
      <w:lvlJc w:val="left"/>
      <w:pPr>
        <w:tabs>
          <w:tab w:val="left" w:pos="360"/>
        </w:tabs>
        <w:ind w:left="360" w:hanging="360"/>
      </w:pPr>
    </w:lvl>
  </w:abstractNum>
  <w:abstractNum w:abstractNumId="1">
    <w:nsid w:val="5EFED2AA"/>
    <w:multiLevelType w:val="singleLevel"/>
    <w:tmpl w:val="5EFED2A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B3C24"/>
    <w:rsid w:val="01B971BB"/>
    <w:rsid w:val="07C968A0"/>
    <w:rsid w:val="097FDFC3"/>
    <w:rsid w:val="0A4907E8"/>
    <w:rsid w:val="0FBD9E14"/>
    <w:rsid w:val="30735F79"/>
    <w:rsid w:val="328B3C24"/>
    <w:rsid w:val="37FE766B"/>
    <w:rsid w:val="3EF31571"/>
    <w:rsid w:val="3EFF3C54"/>
    <w:rsid w:val="4FEC69AC"/>
    <w:rsid w:val="52905D5D"/>
    <w:rsid w:val="5831663B"/>
    <w:rsid w:val="5B636C6C"/>
    <w:rsid w:val="624C1036"/>
    <w:rsid w:val="688A765E"/>
    <w:rsid w:val="6CB8726E"/>
    <w:rsid w:val="720C0232"/>
    <w:rsid w:val="74BB751C"/>
    <w:rsid w:val="76398281"/>
    <w:rsid w:val="7B6808F6"/>
    <w:rsid w:val="7BDE8C72"/>
    <w:rsid w:val="7CBC51FE"/>
    <w:rsid w:val="7CFB3168"/>
    <w:rsid w:val="7F2BBDD8"/>
    <w:rsid w:val="BFFCD705"/>
    <w:rsid w:val="E5FB45FD"/>
    <w:rsid w:val="E7FDDAAB"/>
    <w:rsid w:val="EECBB93F"/>
    <w:rsid w:val="EFFE2161"/>
    <w:rsid w:val="FAAFAA27"/>
    <w:rsid w:val="FCD760C1"/>
    <w:rsid w:val="FEB19A86"/>
    <w:rsid w:val="FFEFEB92"/>
    <w:rsid w:val="FFF7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0"/>
    <w:pPr>
      <w:keepNext/>
      <w:keepLines/>
      <w:spacing w:before="340" w:beforeLines="0" w:after="330" w:afterLines="0" w:line="578" w:lineRule="auto"/>
      <w:outlineLvl w:val="0"/>
    </w:pPr>
    <w:rPr>
      <w:b/>
      <w:bCs/>
      <w:kern w:val="44"/>
      <w:sz w:val="44"/>
      <w:szCs w:val="44"/>
    </w:rPr>
  </w:style>
  <w:style w:type="paragraph" w:styleId="4">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296"/>
        <w:tab w:val="right" w:leader="dot" w:pos="8398"/>
      </w:tabs>
      <w:spacing w:before="120" w:beforeLines="0" w:after="120" w:afterLines="0" w:line="320" w:lineRule="exact"/>
      <w:ind w:firstLine="840" w:firstLineChars="400"/>
      <w:jc w:val="left"/>
    </w:pPr>
    <w:rPr>
      <w:rFonts w:ascii="仿宋_GB2312" w:hAnsi="宋体" w:eastAsia="仿宋_GB2312" w:cs="Courier New"/>
      <w:bCs/>
      <w:caps/>
      <w:szCs w:val="21"/>
    </w:rPr>
  </w:style>
  <w:style w:type="paragraph" w:styleId="5">
    <w:name w:val="List Number"/>
    <w:basedOn w:val="1"/>
    <w:qFormat/>
    <w:uiPriority w:val="0"/>
    <w:pPr>
      <w:numPr>
        <w:ilvl w:val="0"/>
        <w:numId w:val="1"/>
      </w:numPr>
    </w:pPr>
  </w:style>
  <w:style w:type="paragraph" w:styleId="6">
    <w:name w:val="caption"/>
    <w:basedOn w:val="1"/>
    <w:next w:val="1"/>
    <w:qFormat/>
    <w:uiPriority w:val="0"/>
    <w:pPr>
      <w:spacing w:before="152" w:beforeLines="0" w:after="160" w:afterLines="0"/>
    </w:pPr>
    <w:rPr>
      <w:rFonts w:ascii="Arial" w:hAnsi="Arial" w:eastAsia="黑体" w:cs="Arial"/>
      <w:sz w:val="20"/>
      <w:szCs w:val="20"/>
    </w:rPr>
  </w:style>
  <w:style w:type="paragraph" w:styleId="7">
    <w:name w:val="annotation text"/>
    <w:basedOn w:val="1"/>
    <w:qFormat/>
    <w:uiPriority w:val="0"/>
    <w:pPr>
      <w:jc w:val="left"/>
    </w:pPr>
  </w:style>
  <w:style w:type="paragraph" w:styleId="8">
    <w:name w:val="Body Text 3"/>
    <w:basedOn w:val="1"/>
    <w:qFormat/>
    <w:uiPriority w:val="0"/>
    <w:pPr>
      <w:spacing w:line="500" w:lineRule="exact"/>
    </w:pPr>
    <w:rPr>
      <w:b/>
      <w:bCs/>
      <w:sz w:val="24"/>
    </w:rPr>
  </w:style>
  <w:style w:type="paragraph" w:styleId="9">
    <w:name w:val="Body Text"/>
    <w:basedOn w:val="1"/>
    <w:next w:val="1"/>
    <w:qFormat/>
    <w:uiPriority w:val="0"/>
    <w:pPr>
      <w:spacing w:line="380" w:lineRule="exact"/>
    </w:pPr>
    <w:rPr>
      <w:sz w:val="24"/>
    </w:rPr>
  </w:style>
  <w:style w:type="paragraph" w:styleId="10">
    <w:name w:val="Body Text Indent"/>
    <w:basedOn w:val="1"/>
    <w:qFormat/>
    <w:uiPriority w:val="0"/>
    <w:pPr>
      <w:ind w:firstLine="830" w:firstLineChars="352"/>
    </w:pPr>
    <w:rPr>
      <w:rFonts w:ascii="仿宋_GB2312" w:eastAsia="仿宋_GB2312"/>
      <w:sz w:val="32"/>
      <w:szCs w:val="20"/>
    </w:rPr>
  </w:style>
  <w:style w:type="paragraph" w:styleId="11">
    <w:name w:val="Plain Text"/>
    <w:basedOn w:val="1"/>
    <w:next w:val="1"/>
    <w:qFormat/>
    <w:uiPriority w:val="0"/>
    <w:rPr>
      <w:rFonts w:ascii="宋体" w:hAnsi="Courier New" w:cs="Courier New"/>
      <w:szCs w:val="21"/>
    </w:rPr>
  </w:style>
  <w:style w:type="paragraph" w:styleId="12">
    <w:name w:val="Date"/>
    <w:basedOn w:val="1"/>
    <w:next w:val="1"/>
    <w:qFormat/>
    <w:uiPriority w:val="0"/>
    <w:pPr>
      <w:ind w:left="100" w:leftChars="2500"/>
    </w:pPr>
    <w:rPr>
      <w:rFonts w:ascii="宋体" w:hAnsi="Courier New" w:cs="Courier New"/>
      <w:szCs w:val="21"/>
    </w:rPr>
  </w:style>
  <w:style w:type="paragraph" w:styleId="13">
    <w:name w:val="Body Text Indent 2"/>
    <w:basedOn w:val="1"/>
    <w:qFormat/>
    <w:uiPriority w:val="0"/>
    <w:pPr>
      <w:ind w:firstLine="630"/>
    </w:pPr>
    <w:rPr>
      <w:sz w:val="32"/>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rPr>
      <w:sz w:val="28"/>
    </w:rPr>
  </w:style>
  <w:style w:type="paragraph" w:styleId="17">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18">
    <w:name w:val="Body Text 2"/>
    <w:basedOn w:val="1"/>
    <w:qFormat/>
    <w:uiPriority w:val="0"/>
    <w:pPr>
      <w:spacing w:after="120" w:afterLines="0" w:line="480" w:lineRule="auto"/>
    </w:pPr>
  </w:style>
  <w:style w:type="paragraph" w:styleId="1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0">
    <w:name w:val="index 1"/>
    <w:basedOn w:val="1"/>
    <w:next w:val="1"/>
    <w:semiHidden/>
    <w:qFormat/>
    <w:uiPriority w:val="0"/>
    <w:pPr>
      <w:spacing w:line="400" w:lineRule="exact"/>
      <w:ind w:firstLine="420" w:firstLineChars="200"/>
    </w:pPr>
    <w:rPr>
      <w:rFonts w:ascii="宋体" w:hAnsi="Courier New"/>
      <w:b/>
      <w:szCs w:val="20"/>
    </w:rPr>
  </w:style>
  <w:style w:type="paragraph" w:styleId="21">
    <w:name w:val="Body Text First Indent"/>
    <w:basedOn w:val="9"/>
    <w:qFormat/>
    <w:uiPriority w:val="0"/>
    <w:pPr>
      <w:ind w:firstLine="420" w:firstLineChars="100"/>
    </w:pPr>
  </w:style>
  <w:style w:type="paragraph" w:styleId="22">
    <w:name w:val="Body Text First Indent 2"/>
    <w:basedOn w:val="10"/>
    <w:qFormat/>
    <w:uiPriority w:val="0"/>
    <w:pPr>
      <w:spacing w:after="120" w:afterLines="0" w:line="240" w:lineRule="auto"/>
      <w:ind w:left="420" w:leftChars="200" w:firstLine="420" w:firstLineChars="200"/>
    </w:pPr>
  </w:style>
  <w:style w:type="character" w:styleId="25">
    <w:name w:val="page number"/>
    <w:qFormat/>
    <w:uiPriority w:val="0"/>
  </w:style>
  <w:style w:type="character" w:styleId="26">
    <w:name w:val="Hyperlink"/>
    <w:qFormat/>
    <w:uiPriority w:val="99"/>
    <w:rPr>
      <w:color w:val="0000FF"/>
      <w:u w:val="single"/>
    </w:rPr>
  </w:style>
  <w:style w:type="paragraph" w:customStyle="1" w:styleId="27">
    <w:name w:val="正文段"/>
    <w:basedOn w:val="1"/>
    <w:qFormat/>
    <w:uiPriority w:val="0"/>
    <w:pPr>
      <w:widowControl/>
      <w:snapToGrid w:val="0"/>
      <w:spacing w:after="156" w:afterLines="50"/>
      <w:ind w:firstLine="200" w:firstLineChars="200"/>
    </w:pPr>
    <w:rPr>
      <w:kern w:val="0"/>
      <w:sz w:val="24"/>
      <w:szCs w:val="20"/>
    </w:rPr>
  </w:style>
  <w:style w:type="character" w:customStyle="1" w:styleId="28">
    <w:name w:val="bookmark-item uuid-1595940713919 code-am01400046 editdisable single-line-text-input-box-cls readonly"/>
    <w:qFormat/>
    <w:uiPriority w:val="0"/>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0">
    <w:name w:val="标题 1 字符"/>
    <w:link w:val="3"/>
    <w:qFormat/>
    <w:uiPriority w:val="0"/>
    <w:rPr>
      <w:b/>
      <w:bCs/>
      <w:kern w:val="44"/>
      <w:sz w:val="44"/>
      <w:szCs w:val="44"/>
    </w:rPr>
  </w:style>
  <w:style w:type="paragraph" w:customStyle="1" w:styleId="31">
    <w:name w:val="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32">
    <w:name w:val="Body text|1"/>
    <w:basedOn w:val="1"/>
    <w:qFormat/>
    <w:uiPriority w:val="0"/>
    <w:pPr>
      <w:spacing w:line="353" w:lineRule="auto"/>
      <w:ind w:firstLine="400"/>
      <w:jc w:val="left"/>
    </w:pPr>
    <w:rPr>
      <w:rFonts w:ascii="宋体" w:hAnsi="宋体" w:eastAsia="宋体" w:cs="宋体"/>
      <w:kern w:val="0"/>
      <w:sz w:val="30"/>
      <w:szCs w:val="30"/>
    </w:rPr>
  </w:style>
  <w:style w:type="paragraph" w:customStyle="1" w:styleId="33">
    <w:name w:val="Body text|3"/>
    <w:basedOn w:val="1"/>
    <w:qFormat/>
    <w:uiPriority w:val="0"/>
    <w:pPr>
      <w:spacing w:after="460"/>
      <w:jc w:val="center"/>
    </w:pPr>
    <w:rPr>
      <w:rFonts w:ascii="宋体" w:hAnsi="宋体" w:eastAsia="宋体" w:cs="宋体"/>
      <w:kern w:val="0"/>
      <w:sz w:val="34"/>
      <w:szCs w:val="3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27565</Words>
  <Characters>28910</Characters>
  <Lines>0</Lines>
  <Paragraphs>0</Paragraphs>
  <TotalTime>2</TotalTime>
  <ScaleCrop>false</ScaleCrop>
  <LinksUpToDate>false</LinksUpToDate>
  <CharactersWithSpaces>30505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2025-08-03T11:10:00Z</dcterms:created>
  <dc:creator>Administrator</dc:creator>
  <cp:lastModifiedBy>gxxc</cp:lastModifiedBy>
  <dcterms:modified xsi:type="dcterms:W3CDTF">2025-08-15T11:25:56Z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C0A3A823BCF74270812BF383007F29D6_13</vt:lpwstr>
  </property>
  <property fmtid="{D5CDD505-2E9C-101B-9397-08002B2CF9AE}" pid="4" name="KSOTemplateDocerSaveRecord">
    <vt:lpwstr>eyJoZGlkIjoiNjEzMmFmY2ZiYTY2NzAwNGZhMzVlMDQ2NjJjNTlkNzEiLCJ1c2VySWQiOiI5MzU2MzIxNzMifQ==</vt:lpwstr>
  </property>
</Properties>
</file>