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03445">
      <w:pPr>
        <w:pStyle w:val="3"/>
        <w:tabs>
          <w:tab w:val="left" w:pos="0"/>
        </w:tabs>
        <w:autoSpaceDE w:val="0"/>
        <w:autoSpaceDN w:val="0"/>
        <w:adjustRightInd w:val="0"/>
        <w:spacing w:before="0" w:after="0" w:line="360" w:lineRule="auto"/>
        <w:jc w:val="center"/>
        <w:rPr>
          <w:rFonts w:hint="default" w:asciiTheme="majorEastAsia" w:hAnsiTheme="majorEastAsia" w:eastAsiaTheme="majorEastAsia"/>
          <w:color w:val="auto"/>
          <w:sz w:val="28"/>
          <w:szCs w:val="28"/>
          <w:lang w:val="en-US" w:eastAsia="zh-CN"/>
        </w:rPr>
      </w:pPr>
      <w:bookmarkStart w:id="0" w:name="_Toc35393813"/>
      <w:r>
        <w:rPr>
          <w:rFonts w:hint="eastAsia" w:asciiTheme="majorEastAsia" w:hAnsiTheme="majorEastAsia" w:eastAsiaTheme="majorEastAsia"/>
          <w:color w:val="auto"/>
          <w:sz w:val="28"/>
          <w:szCs w:val="28"/>
        </w:rPr>
        <w:t>欧邦工程管理集团有限公司关于</w:t>
      </w:r>
      <w:r>
        <w:rPr>
          <w:rFonts w:hint="eastAsia" w:asciiTheme="majorEastAsia" w:hAnsiTheme="majorEastAsia" w:eastAsiaTheme="majorEastAsia"/>
          <w:color w:val="auto"/>
          <w:sz w:val="28"/>
          <w:szCs w:val="28"/>
          <w:lang w:eastAsia="zh-CN"/>
        </w:rPr>
        <w:t>灵川县职业中等专业学校社区教育劳动实践基地建设项目（GLZC2025-C2-230069-OBGC）</w:t>
      </w:r>
      <w:r>
        <w:rPr>
          <w:rFonts w:hint="eastAsia" w:cs="Times New Roman" w:asciiTheme="majorEastAsia" w:hAnsiTheme="majorEastAsia" w:eastAsiaTheme="majorEastAsia"/>
          <w:color w:val="auto"/>
          <w:sz w:val="28"/>
          <w:szCs w:val="28"/>
        </w:rPr>
        <w:t>更正公告</w:t>
      </w:r>
      <w:bookmarkEnd w:id="0"/>
      <w:r>
        <w:rPr>
          <w:rFonts w:hint="eastAsia" w:cs="Times New Roman" w:asciiTheme="majorEastAsia" w:hAnsiTheme="majorEastAsia" w:eastAsiaTheme="majorEastAsia"/>
          <w:color w:val="auto"/>
          <w:sz w:val="28"/>
          <w:szCs w:val="28"/>
          <w:lang w:val="en-US" w:eastAsia="zh-CN"/>
        </w:rPr>
        <w:t>(一)</w:t>
      </w:r>
    </w:p>
    <w:p w14:paraId="3CF57458">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1" w:name="_Toc35393645"/>
      <w:bookmarkStart w:id="2" w:name="_Toc28359104"/>
      <w:bookmarkStart w:id="3" w:name="_Toc35393814"/>
      <w:bookmarkStart w:id="4" w:name="_Toc28359027"/>
      <w:r>
        <w:rPr>
          <w:rFonts w:hint="eastAsia" w:cs="宋体" w:asciiTheme="majorEastAsia" w:hAnsiTheme="majorEastAsia" w:eastAsiaTheme="majorEastAsia"/>
          <w:b w:val="0"/>
          <w:color w:val="auto"/>
          <w:sz w:val="24"/>
          <w:szCs w:val="24"/>
        </w:rPr>
        <w:t>一、项目基本情况</w:t>
      </w:r>
      <w:bookmarkEnd w:id="1"/>
      <w:bookmarkEnd w:id="2"/>
      <w:bookmarkEnd w:id="3"/>
      <w:bookmarkEnd w:id="4"/>
    </w:p>
    <w:p w14:paraId="4C1C81E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原公告的采购项目编号：</w:t>
      </w:r>
      <w:r>
        <w:rPr>
          <w:rFonts w:hint="eastAsia" w:cs="Times New Roman" w:asciiTheme="majorEastAsia" w:hAnsiTheme="majorEastAsia" w:eastAsiaTheme="majorEastAsia"/>
          <w:color w:val="auto"/>
          <w:sz w:val="24"/>
          <w:szCs w:val="24"/>
          <w:u w:val="single"/>
          <w:lang w:val="en-US" w:eastAsia="zh-CN"/>
        </w:rPr>
        <w:t>GLZC2025-C2-230069-OBGC</w:t>
      </w:r>
    </w:p>
    <w:p w14:paraId="46D248D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u w:val="none"/>
          <w:lang w:val="en-US" w:eastAsia="zh-CN"/>
        </w:rPr>
        <w:t>原公告的采购项目名称：</w:t>
      </w:r>
      <w:r>
        <w:rPr>
          <w:rFonts w:hint="eastAsia" w:cs="Times New Roman" w:asciiTheme="majorEastAsia" w:hAnsiTheme="majorEastAsia" w:eastAsiaTheme="majorEastAsia"/>
          <w:color w:val="auto"/>
          <w:sz w:val="24"/>
          <w:szCs w:val="24"/>
          <w:u w:val="single"/>
          <w:lang w:val="en-US" w:eastAsia="zh-CN"/>
        </w:rPr>
        <w:t>灵川县职业中等专业学校社区教育劳动实践基地建设项目</w:t>
      </w:r>
    </w:p>
    <w:p w14:paraId="37105834">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首次公告日期：</w:t>
      </w:r>
      <w:r>
        <w:rPr>
          <w:rFonts w:hint="eastAsia" w:asciiTheme="majorEastAsia" w:hAnsiTheme="majorEastAsia" w:eastAsiaTheme="majorEastAsia"/>
          <w:color w:val="auto"/>
          <w:sz w:val="24"/>
          <w:szCs w:val="24"/>
          <w:u w:val="single"/>
          <w:lang w:val="en-US" w:eastAsia="zh-CN"/>
        </w:rPr>
        <w:t>2025年9月5日</w:t>
      </w:r>
    </w:p>
    <w:p w14:paraId="7E3DE0B3">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5" w:name="_Toc28359028"/>
      <w:bookmarkStart w:id="6" w:name="_Toc35393815"/>
      <w:bookmarkStart w:id="7" w:name="_Toc28359105"/>
      <w:bookmarkStart w:id="8" w:name="_Toc35393646"/>
      <w:r>
        <w:rPr>
          <w:rFonts w:hint="eastAsia" w:cs="宋体" w:asciiTheme="majorEastAsia" w:hAnsiTheme="majorEastAsia" w:eastAsiaTheme="majorEastAsia"/>
          <w:b w:val="0"/>
          <w:color w:val="auto"/>
          <w:sz w:val="24"/>
          <w:szCs w:val="24"/>
        </w:rPr>
        <w:t>二、更正信息</w:t>
      </w:r>
      <w:bookmarkEnd w:id="5"/>
      <w:bookmarkEnd w:id="6"/>
      <w:bookmarkEnd w:id="7"/>
      <w:bookmarkEnd w:id="8"/>
    </w:p>
    <w:p w14:paraId="039DC4D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更正事项：</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采购公告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采购文件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采购结果     </w:t>
      </w:r>
    </w:p>
    <w:p w14:paraId="5E9A157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更正内容：</w:t>
      </w:r>
    </w:p>
    <w:p w14:paraId="57A09D70">
      <w:pPr>
        <w:spacing w:line="360" w:lineRule="auto"/>
        <w:jc w:val="left"/>
        <w:rPr>
          <w:rFonts w:hint="eastAsia"/>
          <w:lang w:val="en-US" w:eastAsia="zh-CN"/>
        </w:rPr>
      </w:pPr>
      <w:r>
        <w:rPr>
          <w:rFonts w:hint="eastAsia"/>
          <w:lang w:val="en-US" w:eastAsia="zh-CN"/>
        </w:rPr>
        <w:t xml:space="preserve">  </w:t>
      </w:r>
      <w:r>
        <w:rPr>
          <w:rFonts w:hint="eastAsia"/>
          <w:b/>
          <w:bCs/>
          <w:lang w:val="en-US" w:eastAsia="zh-CN"/>
        </w:rPr>
        <w:t xml:space="preserve"> 本项目磋商文件第四章“评审程序、评审方法和评审标准”中第二点评审标准同期废止，现更正为：</w:t>
      </w:r>
    </w:p>
    <w:p w14:paraId="391365D5">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47C4B7E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6679"/>
      </w:tblGrid>
      <w:tr w14:paraId="7AF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F7660">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FD24D5">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679" w:type="dxa"/>
            <w:tcBorders>
              <w:top w:val="single" w:color="auto" w:sz="4" w:space="0"/>
              <w:left w:val="single" w:color="auto" w:sz="4" w:space="0"/>
              <w:bottom w:val="single" w:color="auto" w:sz="4" w:space="0"/>
              <w:right w:val="single" w:color="auto" w:sz="4" w:space="0"/>
            </w:tcBorders>
            <w:vAlign w:val="center"/>
          </w:tcPr>
          <w:p w14:paraId="377ABEB2">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6495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1048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7EE851F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319E3CAA">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w:t>
            </w:r>
            <w:r>
              <w:rPr>
                <w:rFonts w:hint="eastAsia" w:cs="Tahoma" w:asciiTheme="majorEastAsia" w:hAnsiTheme="majorEastAsia" w:eastAsiaTheme="majorEastAsia"/>
                <w:color w:val="auto"/>
                <w:kern w:val="0"/>
                <w:szCs w:val="21"/>
                <w:highlight w:val="none"/>
                <w:lang w:val="en-US" w:eastAsia="zh-CN"/>
              </w:rPr>
              <w:t>30</w:t>
            </w:r>
            <w:r>
              <w:rPr>
                <w:rFonts w:hint="eastAsia" w:cs="Tahom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tcPr>
          <w:p w14:paraId="73B8F9D5">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lang w:eastAsia="zh-CN"/>
              </w:rPr>
            </w:pPr>
            <w:r>
              <w:rPr>
                <w:rFonts w:hint="eastAsia" w:cs="宋体" w:asciiTheme="majorEastAsia" w:hAnsiTheme="majorEastAsia" w:eastAsiaTheme="majorEastAsia"/>
                <w:color w:val="auto"/>
                <w:kern w:val="0"/>
                <w:highlight w:val="none"/>
              </w:rPr>
              <w:t>1.评审价为供应商的最后报价。</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2.本项目属于专门面向中小微企业采购的项目（供应商应为中小微企业或监狱企业或残疾人福利性单位），不再进行政府采购政策性扣除计算。</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3.以进入比较与评价环节的最低的评审价为基准价，基准价得分</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0分。</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4.价格分计算公式：磋商工程总报价得分=（基准价/评审价）×</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0 分</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tc>
      </w:tr>
      <w:tr w14:paraId="063B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5FE1539D">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6251A95E">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eastAsia" w:asciiTheme="majorEastAsia" w:hAnsiTheme="majorEastAsia" w:eastAsiaTheme="majorEastAsia"/>
                <w:color w:val="auto"/>
                <w:szCs w:val="21"/>
                <w:highlight w:val="none"/>
                <w:lang w:val="en-US" w:eastAsia="zh-CN"/>
              </w:rPr>
              <w:t>58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1DB543C">
            <w:pPr>
              <w:spacing w:line="440" w:lineRule="exact"/>
              <w:jc w:val="center"/>
              <w:rPr>
                <w:rFonts w:hint="eastAsia"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750B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3CBED9D">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1676A84">
            <w:pPr>
              <w:adjustRightInd w:val="0"/>
              <w:spacing w:line="440" w:lineRule="exact"/>
              <w:jc w:val="center"/>
              <w:textAlignment w:val="baseline"/>
              <w:rPr>
                <w:rFonts w:hint="eastAsia"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eastAsia" w:asciiTheme="majorEastAsia" w:hAnsiTheme="majorEastAsia" w:eastAsiaTheme="majorEastAsia"/>
                <w:bCs/>
                <w:color w:val="auto"/>
                <w:kern w:val="0"/>
                <w:highlight w:val="none"/>
                <w:lang w:val="en-US" w:eastAsia="zh-CN"/>
              </w:rPr>
              <w:t>9</w:t>
            </w:r>
            <w:r>
              <w:rPr>
                <w:rFonts w:hint="eastAsia" w:asciiTheme="majorEastAsia" w:hAnsiTheme="majorEastAsia" w:eastAsiaTheme="majorEastAsia"/>
                <w:bCs/>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08CDD30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s="宋体" w:asciiTheme="majorEastAsia" w:hAnsiTheme="majorEastAsia" w:eastAsiaTheme="majorEastAsia"/>
                <w:color w:val="auto"/>
                <w:spacing w:val="7"/>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74F0A9B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分）：各主要分部施工方法及施工技术方案不全面，工艺缺乏先进性、方法缺乏科学合理性、可行性、针对性，不能指导项目施工，确保工程的安全程度低。</w:t>
            </w:r>
          </w:p>
          <w:p w14:paraId="79BF783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分）：各主要分部施工方法符合项目实际，有比较详尽、较全面的施工技术方案，工艺较先进，方法较科学合理、可行，能指导具体施工并确保安全。</w:t>
            </w:r>
          </w:p>
          <w:p w14:paraId="57AD6CE3">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9</w:t>
            </w:r>
            <w:r>
              <w:rPr>
                <w:rFonts w:hint="eastAsia" w:cs="宋体" w:asciiTheme="majorEastAsia" w:hAnsiTheme="majorEastAsia" w:eastAsiaTheme="majorEastAsia"/>
                <w:color w:val="auto"/>
                <w:kern w:val="0"/>
                <w:highlight w:val="none"/>
              </w:rPr>
              <w:t>分）：各主要分部施工方法符合项目实际，有详尽、全面的施工技术方案，工艺先进、方法科学合理、可行，能指导具体施工并确保安全。</w:t>
            </w:r>
          </w:p>
        </w:tc>
      </w:tr>
      <w:tr w14:paraId="091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404B5B5">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27F2A71">
            <w:pPr>
              <w:widowControl/>
              <w:spacing w:line="360" w:lineRule="exact"/>
              <w:jc w:val="center"/>
              <w:rPr>
                <w:rFonts w:hint="eastAsia" w:asciiTheme="majorEastAsia" w:hAnsiTheme="majorEastAsia" w:eastAsiaTheme="majorEastAsia"/>
                <w:bCs/>
                <w:color w:val="auto"/>
                <w:kern w:val="0"/>
                <w:highlight w:val="none"/>
              </w:rPr>
            </w:pPr>
            <w:r>
              <w:rPr>
                <w:rFonts w:hint="eastAsia" w:ascii="宋体" w:hAnsi="宋体" w:cs="宋体"/>
                <w:color w:val="auto"/>
                <w:kern w:val="0"/>
                <w:highlight w:val="none"/>
                <w:lang w:val="en-US" w:eastAsia="zh-CN"/>
              </w:rPr>
              <w:t>2.2</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71B4D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1FE0B3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分）</w:t>
            </w:r>
            <w:r>
              <w:rPr>
                <w:rFonts w:hint="eastAsia" w:ascii="宋体" w:hAnsi="宋体"/>
                <w:color w:val="auto"/>
                <w:highlight w:val="none"/>
              </w:rPr>
              <w:t>：</w:t>
            </w:r>
            <w:r>
              <w:rPr>
                <w:rFonts w:hint="eastAsia" w:ascii="宋体" w:hAnsi="宋体" w:cs="宋体"/>
                <w:color w:val="auto"/>
                <w:kern w:val="0"/>
                <w:highlight w:val="none"/>
              </w:rPr>
              <w:t>投入的施工材料有组织计划，数量、选型配置、进场时间基本满足施工需要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10926C63">
            <w:pPr>
              <w:pStyle w:val="32"/>
              <w:keepNext w:val="0"/>
              <w:keepLines w:val="0"/>
              <w:pageBreakBefore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二档</w:t>
            </w: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投入的施工材料有详细的组织计划，但部分内容与项目实际情况不契合，数量、选型配置、进场时间安排较合理，满足施工需要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241AE978">
            <w:pPr>
              <w:pStyle w:val="3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cs="宋体" w:asciiTheme="majorEastAsia" w:hAnsiTheme="majorEastAsia" w:eastAsiaTheme="majorEastAsia"/>
                <w:color w:val="auto"/>
                <w:kern w:val="0"/>
                <w:highlight w:val="none"/>
              </w:rPr>
            </w:pPr>
            <w:r>
              <w:rPr>
                <w:rFonts w:hint="eastAsia"/>
                <w:color w:val="auto"/>
                <w:highlight w:val="none"/>
              </w:rPr>
              <w:t>三档</w:t>
            </w: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投入的施工材料有详细的组织计划且计划周密，数量、选型配置、进场时间安排合理，满足施工需要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tc>
      </w:tr>
      <w:tr w14:paraId="1C5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8BF75E7">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1AEBB9">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14A28C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s="宋体" w:asciiTheme="majorEastAsia" w:hAnsiTheme="majorEastAsia" w:eastAsiaTheme="majorEastAsia"/>
                <w:color w:val="auto"/>
                <w:spacing w:val="5"/>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0C8B729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分）：各主要施工工序的劳动力安排计划缺乏合理性，各工种劳动力安排计划不周全，劳动力投入缺乏科学合理性及针对性，不能满足施工需要。</w:t>
            </w:r>
          </w:p>
          <w:p w14:paraId="1BD8D28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分）：各主要施工工序的劳动力安排计划较合理，各工种劳动力安排计划基本周全，劳动力投入有一定的科学合理性及针对性，基本满足施工需要。</w:t>
            </w:r>
          </w:p>
          <w:p w14:paraId="042FED3C">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分）：各主要施工工序的劳动力安排计划周密、合理，各工种劳动力安排计划周全，劳动力投入科学合理、针对性强，完全满足施工需要，有利于项目切实、有效的实施。</w:t>
            </w:r>
          </w:p>
        </w:tc>
      </w:tr>
      <w:tr w14:paraId="4A88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95D3EF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9453830">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6CA16C6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45944D5A">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质量技术管理班子和制度，且人员配备基本合理，制度基本健全；主要工序具有浅显的质量技术保证措施和手段，自控体系不完整；缺乏针对性及可行性，能基本保证技术质量，基本达到承诺的质量标准。 </w:t>
            </w:r>
          </w:p>
          <w:p w14:paraId="7EF90087">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 xml:space="preserve">分）：具有专门的质量技术管理班子和制度，且人员配备较合理，制度健全；主要工序具有较健全、较全面的质量技术保证措施和手段，自控体系基本完整；有一定的针对性及可行性；能保证技术质量，达到承诺的质量标准。 </w:t>
            </w:r>
          </w:p>
          <w:p w14:paraId="5C33A2F6">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 xml:space="preserve">分）：具有专门的质量技术管理班子和制度，且人员配备合理，制度健全；主要工序具有健全、详细的质量技术保证措施和手段，自控体系完整；针对性及可行性强；能有效保证技术质量，保证项目切实有效的实施，充分达到承诺的质量标准。 </w:t>
            </w:r>
          </w:p>
        </w:tc>
      </w:tr>
      <w:tr w14:paraId="305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437DC4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A2838">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207541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57BDB89B">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的安全管理人员和制度，且人员配备基本合理，制度基本健全，各道工序安全技术措施缺乏针对性及可行性，基本符合实际且基本满足有关安全技术标准要求；现场防火、应急救援、社会治安安全措施欠缺周全性。 </w:t>
            </w:r>
          </w:p>
          <w:p w14:paraId="3A8FF4E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 xml:space="preserve">分）：具有专门的安全管理人员和制度，且人员配备较合理，制度较健全，各道工序安全技术措施有一定的针对性及可行性，符合实际且满足有关安全技术标准要求；现场防火、应急救援、社会治安安全措施基本周全。 </w:t>
            </w:r>
          </w:p>
          <w:p w14:paraId="4987791A">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 xml:space="preserve">分）：具有专门的安全管理人员和制度，且人员配备合理，制度健全，各道工序安全技术措施针对性及可行性强，充分符合实际且满足有关安全技术标准要求；现场防火、应急救援、社会治安安全措施周全且得力。 </w:t>
            </w:r>
          </w:p>
        </w:tc>
      </w:tr>
      <w:tr w14:paraId="39E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FC513A1">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8F11F5">
            <w:pPr>
              <w:adjustRightInd w:val="0"/>
              <w:spacing w:line="440" w:lineRule="exact"/>
              <w:jc w:val="center"/>
              <w:textAlignment w:val="baseline"/>
              <w:rPr>
                <w:rFonts w:hint="eastAsia" w:cs="宋体" w:asciiTheme="majorEastAsia" w:hAnsiTheme="majorEastAsia" w:eastAsiaTheme="majorEastAsia"/>
                <w:bCs/>
                <w:color w:val="auto"/>
                <w:sz w:val="21"/>
                <w:szCs w:val="21"/>
                <w:highlight w:val="none"/>
              </w:rPr>
            </w:pPr>
            <w:r>
              <w:rPr>
                <w:rFonts w:hint="eastAsia" w:cs="宋体" w:asciiTheme="majorEastAsia" w:hAnsiTheme="majorEastAsia" w:eastAsiaTheme="majorEastAsia"/>
                <w:bCs/>
                <w:color w:val="auto"/>
                <w:kern w:val="0"/>
                <w:sz w:val="21"/>
                <w:szCs w:val="21"/>
                <w:highlight w:val="none"/>
              </w:rPr>
              <w:t>2</w:t>
            </w:r>
            <w:r>
              <w:rPr>
                <w:rFonts w:cs="宋体" w:asciiTheme="majorEastAsia" w:hAnsiTheme="majorEastAsia" w:eastAsiaTheme="majorEastAsia"/>
                <w:bCs/>
                <w:color w:val="auto"/>
                <w:kern w:val="0"/>
                <w:sz w:val="21"/>
                <w:szCs w:val="21"/>
                <w:highlight w:val="none"/>
              </w:rPr>
              <w:t>.6</w:t>
            </w:r>
            <w:r>
              <w:rPr>
                <w:rFonts w:hint="eastAsia" w:cs="宋体" w:asciiTheme="majorEastAsia" w:hAnsiTheme="majorEastAsia" w:eastAsiaTheme="majorEastAsia"/>
                <w:color w:val="auto"/>
                <w:spacing w:val="-1"/>
                <w:sz w:val="21"/>
                <w:szCs w:val="21"/>
                <w:highlight w:val="none"/>
              </w:rPr>
              <w:t>确保工期的技术组织</w:t>
            </w:r>
            <w:r>
              <w:rPr>
                <w:rFonts w:hint="eastAsia" w:cs="宋体" w:asciiTheme="majorEastAsia" w:hAnsiTheme="majorEastAsia" w:eastAsiaTheme="majorEastAsia"/>
                <w:color w:val="auto"/>
                <w:sz w:val="21"/>
                <w:szCs w:val="21"/>
                <w:highlight w:val="none"/>
              </w:rPr>
              <w:t>措</w:t>
            </w:r>
            <w:r>
              <w:rPr>
                <w:rFonts w:hint="eastAsia" w:cs="宋体" w:asciiTheme="majorEastAsia" w:hAnsiTheme="majorEastAsia" w:eastAsiaTheme="majorEastAsia"/>
                <w:color w:val="auto"/>
                <w:spacing w:val="7"/>
                <w:sz w:val="21"/>
                <w:szCs w:val="21"/>
                <w:highlight w:val="none"/>
              </w:rPr>
              <w:t>施</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6FD1A8F">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确保工期的技术组织措施</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34FC70B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一档（</w:t>
            </w:r>
            <w:r>
              <w:rPr>
                <w:rFonts w:hint="eastAsia" w:cs="宋体" w:asciiTheme="majorEastAsia" w:hAnsiTheme="majorEastAsia" w:eastAsiaTheme="majorEastAsia"/>
                <w:color w:val="auto"/>
                <w:kern w:val="0"/>
                <w:sz w:val="21"/>
                <w:szCs w:val="21"/>
                <w:highlight w:val="none"/>
                <w:lang w:val="en-US" w:eastAsia="zh-CN"/>
              </w:rPr>
              <w:t>2</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基本措施；具有控制工期的基本施工进度计划；无施工总进度表或施工网络图，各项计划图表编制不完善，安排缺乏合理性，基本符合本项目施工实际要求。</w:t>
            </w:r>
          </w:p>
          <w:p w14:paraId="0A4C576A">
            <w:pPr>
              <w:keepNext w:val="0"/>
              <w:keepLines w:val="0"/>
              <w:pageBreakBefore w:val="0"/>
              <w:kinsoku/>
              <w:wordWrap/>
              <w:overflowPunct/>
              <w:topLinePunct w:val="0"/>
              <w:autoSpaceDE/>
              <w:autoSpaceDN/>
              <w:bidi w:val="0"/>
              <w:adjustRightInd/>
              <w:snapToGrid/>
              <w:spacing w:line="400" w:lineRule="exact"/>
              <w:ind w:firstLine="34"/>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二档（</w:t>
            </w:r>
            <w:r>
              <w:rPr>
                <w:rFonts w:hint="eastAsia" w:cs="宋体" w:asciiTheme="majorEastAsia" w:hAnsiTheme="majorEastAsia" w:eastAsiaTheme="majorEastAsia"/>
                <w:color w:val="auto"/>
                <w:kern w:val="0"/>
                <w:sz w:val="21"/>
                <w:szCs w:val="21"/>
                <w:highlight w:val="none"/>
                <w:lang w:val="en-US" w:eastAsia="zh-CN"/>
              </w:rPr>
              <w:t>5</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较完整的措施且措施得当；具有控制工期的较完整的施工进度计划；有施工总进度表或施工网络图，各项计划图表编制比较完善，安排比较合理，符合本项目施工实际要求。</w:t>
            </w:r>
          </w:p>
          <w:p w14:paraId="58816559">
            <w:pPr>
              <w:keepNext w:val="0"/>
              <w:keepLines w:val="0"/>
              <w:pageBreakBefore w:val="0"/>
              <w:kinsoku/>
              <w:wordWrap/>
              <w:overflowPunct/>
              <w:topLinePunct w:val="0"/>
              <w:autoSpaceDE/>
              <w:autoSpaceDN/>
              <w:bidi w:val="0"/>
              <w:adjustRightInd/>
              <w:snapToGrid/>
              <w:spacing w:line="400" w:lineRule="exact"/>
              <w:textAlignment w:val="auto"/>
              <w:rPr>
                <w:color w:val="auto"/>
                <w:sz w:val="21"/>
                <w:szCs w:val="21"/>
                <w:highlight w:val="none"/>
              </w:rPr>
            </w:pPr>
            <w:r>
              <w:rPr>
                <w:rFonts w:hint="eastAsia" w:cs="宋体" w:asciiTheme="majorEastAsia" w:hAnsiTheme="majorEastAsia" w:eastAsiaTheme="majorEastAsia"/>
                <w:color w:val="auto"/>
                <w:kern w:val="0"/>
                <w:sz w:val="21"/>
                <w:szCs w:val="21"/>
                <w:highlight w:val="none"/>
              </w:rPr>
              <w:t>三档（</w:t>
            </w:r>
            <w:r>
              <w:rPr>
                <w:rFonts w:hint="eastAsia" w:cs="宋体" w:asciiTheme="majorEastAsia" w:hAnsiTheme="majorEastAsia" w:eastAsiaTheme="majorEastAsia"/>
                <w:color w:val="auto"/>
                <w:kern w:val="0"/>
                <w:sz w:val="21"/>
                <w:szCs w:val="21"/>
                <w:highlight w:val="none"/>
                <w:lang w:val="en-US" w:eastAsia="zh-CN"/>
              </w:rPr>
              <w:t>8</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完整、周全的措施且措施得当；有控制工期的完整、周密的施工进度计划；有施工总进度表或施工网络图，各项计划图表编制完善，安排科学合理，可行性强，完全符合本项目施工实际要求。</w:t>
            </w:r>
          </w:p>
        </w:tc>
      </w:tr>
      <w:tr w14:paraId="7CE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000B1D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5B30E19">
            <w:pPr>
              <w:adjustRightInd w:val="0"/>
              <w:spacing w:line="440" w:lineRule="exact"/>
              <w:jc w:val="center"/>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2.7</w:t>
            </w:r>
            <w:r>
              <w:rPr>
                <w:rFonts w:hint="eastAsia" w:ascii="宋体" w:hAnsi="宋体" w:eastAsia="宋体" w:cs="宋体"/>
                <w:bCs/>
                <w:color w:val="auto"/>
                <w:szCs w:val="21"/>
                <w:highlight w:val="none"/>
              </w:rPr>
              <w:t>关键施工技术、工艺及工程实施的重点、难点和解决方案（</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FA5C89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关键施工技术、工艺及工程实施的重点、难点和解决方案</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2D0C9C7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分）：对项目关键技术、工艺有浅显的表达，对重点、难点提出建议但欠缺合理性及针对性，解决方案欠缺经济、安全性，基本可行。</w:t>
            </w:r>
          </w:p>
          <w:p w14:paraId="2212A1C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分）：对项目关键技术、工艺有较深入的表达，对重点、难点提出建议且有一定的合理性及针对性，解决方案经济、安全、基本可行。</w:t>
            </w:r>
          </w:p>
          <w:p w14:paraId="11787C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分）：对项目关键技术、工艺有深入的表达，对重点、难点有先进合理、针对性强的施工措施并有可行的安全措施，解决方案全面、经济、安全、切实可行，措施得力。</w:t>
            </w:r>
          </w:p>
        </w:tc>
      </w:tr>
      <w:tr w14:paraId="16A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67D6F223">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3C142369">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6B9F4A82">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eastAsia" w:cs="Courier New" w:asciiTheme="majorEastAsia" w:hAnsiTheme="majorEastAsia" w:eastAsiaTheme="majorEastAsia"/>
                <w:bCs/>
                <w:color w:val="auto"/>
                <w:szCs w:val="21"/>
                <w:highlight w:val="none"/>
                <w:lang w:val="en-US" w:eastAsia="zh-CN"/>
              </w:rPr>
              <w:t>12</w:t>
            </w:r>
            <w:r>
              <w:rPr>
                <w:rFonts w:hint="eastAsia" w:cs="Courier New" w:asciiTheme="majorEastAsia" w:hAnsiTheme="majorEastAsia" w:eastAsiaTheme="maj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8FA55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34A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left w:val="single" w:color="auto" w:sz="4" w:space="0"/>
              <w:right w:val="single" w:color="auto" w:sz="4" w:space="0"/>
            </w:tcBorders>
            <w:vAlign w:val="center"/>
          </w:tcPr>
          <w:p w14:paraId="1E861BBE">
            <w:pPr>
              <w:widowControl/>
              <w:spacing w:line="440" w:lineRule="exact"/>
              <w:jc w:val="center"/>
              <w:rPr>
                <w:rFonts w:hint="eastAsia" w:cs="Tahoma" w:asciiTheme="majorEastAsia" w:hAnsiTheme="majorEastAsia" w:eastAsiaTheme="majorEastAsia"/>
                <w:color w:val="auto"/>
                <w:kern w:val="0"/>
                <w:szCs w:val="21"/>
                <w:highlight w:val="none"/>
              </w:rPr>
            </w:pPr>
          </w:p>
        </w:tc>
        <w:tc>
          <w:tcPr>
            <w:tcW w:w="1418" w:type="dxa"/>
            <w:vMerge w:val="restart"/>
            <w:tcBorders>
              <w:top w:val="single" w:color="auto" w:sz="4" w:space="0"/>
              <w:left w:val="single" w:color="auto" w:sz="4" w:space="0"/>
              <w:right w:val="single" w:color="auto" w:sz="4" w:space="0"/>
            </w:tcBorders>
            <w:vAlign w:val="center"/>
          </w:tcPr>
          <w:p w14:paraId="1CA5D9B5">
            <w:pPr>
              <w:widowControl/>
              <w:spacing w:line="440" w:lineRule="exact"/>
              <w:jc w:val="center"/>
              <w:rPr>
                <w:rFonts w:hint="eastAsia" w:cs="Courier New" w:asciiTheme="majorEastAsia" w:hAnsiTheme="majorEastAsia" w:eastAsiaTheme="majorEastAsia"/>
                <w:bCs/>
                <w:color w:val="auto"/>
                <w:szCs w:val="21"/>
                <w:highlight w:val="none"/>
                <w:lang w:eastAsia="zh-CN"/>
              </w:rPr>
            </w:pPr>
            <w:r>
              <w:rPr>
                <w:rFonts w:hint="eastAsia" w:cs="Courier New" w:asciiTheme="majorEastAsia" w:hAnsiTheme="majorEastAsia" w:eastAsiaTheme="majorEastAsia"/>
                <w:bCs/>
                <w:color w:val="auto"/>
                <w:szCs w:val="21"/>
                <w:highlight w:val="none"/>
                <w:lang w:eastAsia="zh-CN"/>
              </w:rPr>
              <w:t>奖项分（</w:t>
            </w:r>
            <w:r>
              <w:rPr>
                <w:rFonts w:hint="eastAsia" w:cs="Courier New" w:asciiTheme="majorEastAsia" w:hAnsiTheme="majorEastAsia" w:eastAsiaTheme="majorEastAsia"/>
                <w:bCs/>
                <w:color w:val="auto"/>
                <w:szCs w:val="21"/>
                <w:highlight w:val="none"/>
                <w:lang w:val="en-US" w:eastAsia="zh-CN"/>
              </w:rPr>
              <w:t>12分</w:t>
            </w:r>
            <w:r>
              <w:rPr>
                <w:rFonts w:hint="eastAsia" w:cs="Courier New" w:asciiTheme="majorEastAsia" w:hAnsiTheme="majorEastAsia" w:eastAsiaTheme="majorEastAsia"/>
                <w:bCs/>
                <w:color w:val="auto"/>
                <w:szCs w:val="21"/>
                <w:highlight w:val="none"/>
                <w:lang w:eastAsia="zh-CN"/>
              </w:rPr>
              <w:t>）</w:t>
            </w:r>
          </w:p>
        </w:tc>
        <w:tc>
          <w:tcPr>
            <w:tcW w:w="6679" w:type="dxa"/>
            <w:tcBorders>
              <w:top w:val="single" w:color="auto" w:sz="4" w:space="0"/>
              <w:left w:val="single" w:color="auto" w:sz="4" w:space="0"/>
              <w:bottom w:val="single" w:color="auto" w:sz="4" w:space="0"/>
              <w:right w:val="single" w:color="auto" w:sz="4" w:space="0"/>
            </w:tcBorders>
            <w:vAlign w:val="center"/>
          </w:tcPr>
          <w:p w14:paraId="7DB70D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cs="Tahoma" w:asciiTheme="majorEastAsia" w:hAnsiTheme="majorEastAsia"/>
                <w:color w:val="auto"/>
                <w:kern w:val="0"/>
                <w:szCs w:val="21"/>
                <w:highlight w:val="none"/>
                <w:lang w:eastAsia="zh-CN"/>
              </w:rPr>
            </w:pPr>
            <w:r>
              <w:rPr>
                <w:rFonts w:hint="eastAsia" w:cs="Tahoma" w:asciiTheme="majorEastAsia" w:hAnsiTheme="majorEastAsia"/>
                <w:color w:val="auto"/>
                <w:kern w:val="0"/>
                <w:szCs w:val="21"/>
                <w:highlight w:val="none"/>
                <w:lang w:eastAsia="zh-CN"/>
              </w:rPr>
              <w:t>（</w:t>
            </w:r>
            <w:r>
              <w:rPr>
                <w:rFonts w:hint="eastAsia" w:cs="Tahoma" w:asciiTheme="majorEastAsia" w:hAnsiTheme="majorEastAsia"/>
                <w:color w:val="auto"/>
                <w:kern w:val="0"/>
                <w:szCs w:val="21"/>
                <w:highlight w:val="none"/>
                <w:lang w:val="en-US" w:eastAsia="zh-CN"/>
              </w:rPr>
              <w:t>1</w:t>
            </w:r>
            <w:r>
              <w:rPr>
                <w:rFonts w:hint="eastAsia" w:cs="Tahoma" w:asciiTheme="majorEastAsia" w:hAnsiTheme="majorEastAsia"/>
                <w:color w:val="auto"/>
                <w:kern w:val="0"/>
                <w:szCs w:val="21"/>
                <w:highlight w:val="none"/>
                <w:lang w:eastAsia="zh-CN"/>
              </w:rPr>
              <w:t>）</w:t>
            </w:r>
            <w:r>
              <w:rPr>
                <w:rFonts w:hint="eastAsia" w:eastAsia="宋体" w:cs="Tahoma" w:asciiTheme="majorEastAsia" w:hAnsiTheme="majorEastAsia"/>
                <w:color w:val="auto"/>
                <w:kern w:val="0"/>
                <w:szCs w:val="21"/>
                <w:highlight w:val="none"/>
                <w:lang w:eastAsia="zh-CN"/>
              </w:rPr>
              <w:t>竞标人2022年1月1日以来承建或完成的工程获得有关市级或市级以上工程质量或安全文明等相关奖项，包括但不限于优质工程、建筑施工安全文明标准化工地等(响应文件中提供相关奖项复印件，加盖竞标人电子签章)，每个得</w:t>
            </w:r>
            <w:r>
              <w:rPr>
                <w:rFonts w:hint="eastAsia" w:cs="Tahoma" w:asciiTheme="majorEastAsia" w:hAnsiTheme="majorEastAsia"/>
                <w:color w:val="auto"/>
                <w:kern w:val="0"/>
                <w:szCs w:val="21"/>
                <w:highlight w:val="none"/>
                <w:lang w:val="en-US" w:eastAsia="zh-CN"/>
              </w:rPr>
              <w:t>3</w:t>
            </w:r>
            <w:r>
              <w:rPr>
                <w:rFonts w:hint="eastAsia" w:eastAsia="宋体" w:cs="Tahoma" w:asciiTheme="majorEastAsia" w:hAnsiTheme="majorEastAsia"/>
                <w:color w:val="auto"/>
                <w:kern w:val="0"/>
                <w:szCs w:val="21"/>
                <w:highlight w:val="none"/>
                <w:lang w:eastAsia="zh-CN"/>
              </w:rPr>
              <w:t>分，满分</w:t>
            </w:r>
            <w:r>
              <w:rPr>
                <w:rFonts w:hint="eastAsia" w:cs="Tahoma" w:asciiTheme="majorEastAsia" w:hAnsiTheme="majorEastAsia"/>
                <w:color w:val="auto"/>
                <w:kern w:val="0"/>
                <w:szCs w:val="21"/>
                <w:highlight w:val="none"/>
                <w:lang w:val="en-US" w:eastAsia="zh-CN"/>
              </w:rPr>
              <w:t>9</w:t>
            </w:r>
            <w:r>
              <w:rPr>
                <w:rFonts w:hint="eastAsia" w:eastAsia="宋体" w:cs="Tahoma" w:asciiTheme="majorEastAsia" w:hAnsiTheme="majorEastAsia"/>
                <w:color w:val="auto"/>
                <w:kern w:val="0"/>
                <w:szCs w:val="21"/>
                <w:highlight w:val="none"/>
                <w:lang w:eastAsia="zh-CN"/>
              </w:rPr>
              <w:t>分。</w:t>
            </w:r>
          </w:p>
        </w:tc>
      </w:tr>
      <w:tr w14:paraId="127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3E19BE4">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vMerge w:val="continue"/>
            <w:tcBorders>
              <w:left w:val="single" w:color="auto" w:sz="4" w:space="0"/>
              <w:bottom w:val="single" w:color="auto" w:sz="4" w:space="0"/>
              <w:right w:val="single" w:color="auto" w:sz="4" w:space="0"/>
            </w:tcBorders>
            <w:vAlign w:val="center"/>
          </w:tcPr>
          <w:p w14:paraId="66663325">
            <w:pPr>
              <w:widowControl/>
              <w:spacing w:line="440" w:lineRule="exact"/>
              <w:jc w:val="center"/>
              <w:rPr>
                <w:rFonts w:hint="eastAsia" w:cs="Tahoma" w:asciiTheme="majorEastAsia" w:hAnsiTheme="majorEastAsia" w:eastAsiaTheme="majorEastAsia"/>
                <w:color w:val="auto"/>
                <w:kern w:val="0"/>
                <w:szCs w:val="21"/>
                <w:highlight w:val="none"/>
              </w:rPr>
            </w:pPr>
          </w:p>
        </w:tc>
        <w:tc>
          <w:tcPr>
            <w:tcW w:w="6679" w:type="dxa"/>
            <w:tcBorders>
              <w:top w:val="single" w:color="auto" w:sz="4" w:space="0"/>
              <w:left w:val="single" w:color="auto" w:sz="4" w:space="0"/>
              <w:bottom w:val="single" w:color="auto" w:sz="4" w:space="0"/>
              <w:right w:val="single" w:color="auto" w:sz="4" w:space="0"/>
            </w:tcBorders>
          </w:tcPr>
          <w:p w14:paraId="24E8CF9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lang w:eastAsia="zh-CN"/>
              </w:rPr>
              <w:t>（</w:t>
            </w:r>
            <w:r>
              <w:rPr>
                <w:rFonts w:hint="eastAsia" w:asciiTheme="majorEastAsia" w:hAnsiTheme="majorEastAsia" w:eastAsiaTheme="majorEastAsia"/>
                <w:color w:val="auto"/>
                <w:kern w:val="0"/>
                <w:szCs w:val="21"/>
                <w:highlight w:val="none"/>
                <w:lang w:val="en-US" w:eastAsia="zh-CN"/>
              </w:rPr>
              <w:t>2</w:t>
            </w:r>
            <w:r>
              <w:rPr>
                <w:rFonts w:hint="eastAsia" w:asciiTheme="majorEastAsia" w:hAnsiTheme="majorEastAsia" w:eastAsiaTheme="majorEastAsia"/>
                <w:color w:val="auto"/>
                <w:kern w:val="0"/>
                <w:szCs w:val="21"/>
                <w:highlight w:val="none"/>
                <w:lang w:eastAsia="zh-CN"/>
              </w:rPr>
              <w:t>）</w:t>
            </w:r>
            <w:r>
              <w:rPr>
                <w:rFonts w:hint="eastAsia" w:asciiTheme="majorEastAsia" w:hAnsiTheme="majorEastAsia" w:eastAsiaTheme="majorEastAsia"/>
                <w:color w:val="auto"/>
                <w:kern w:val="0"/>
                <w:szCs w:val="21"/>
                <w:highlight w:val="none"/>
              </w:rPr>
              <w:t>竞标人通过国际质量管理体系认证、环境管理体系认证、职业健康安全管理体系认证且有效的(响应文件中提供相关有效认证证书复印件，加盖竟标人电子签章)，每提供1项得1分，最多得3分。</w:t>
            </w:r>
          </w:p>
        </w:tc>
      </w:tr>
      <w:tr w14:paraId="1B6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5C82A7D7">
            <w:pPr>
              <w:pStyle w:val="13"/>
              <w:spacing w:line="440" w:lineRule="exact"/>
              <w:rPr>
                <w:rFonts w:hint="eastAsia" w:asciiTheme="majorEastAsia" w:hAnsiTheme="majorEastAsia" w:eastAsiaTheme="majorEastAsia"/>
                <w:color w:val="auto"/>
                <w:kern w:val="2"/>
                <w:sz w:val="21"/>
                <w:highlight w:val="none"/>
                <w:lang w:eastAsia="zh-CN"/>
              </w:rPr>
            </w:pPr>
            <w:r>
              <w:rPr>
                <w:rFonts w:hint="eastAsia" w:asciiTheme="majorEastAsia" w:hAnsiTheme="majorEastAsia" w:eastAsiaTheme="majorEastAsia"/>
                <w:color w:val="auto"/>
                <w:kern w:val="2"/>
                <w:sz w:val="21"/>
                <w:highlight w:val="none"/>
              </w:rPr>
              <w:t>总得分为以上各项评审因素得分合计</w:t>
            </w:r>
            <w:r>
              <w:rPr>
                <w:rFonts w:hint="eastAsia" w:asciiTheme="majorEastAsia" w:hAnsiTheme="majorEastAsia" w:eastAsiaTheme="majorEastAsia"/>
                <w:color w:val="auto"/>
                <w:kern w:val="2"/>
                <w:sz w:val="21"/>
                <w:highlight w:val="none"/>
                <w:lang w:eastAsia="zh-CN"/>
              </w:rPr>
              <w:t>。</w:t>
            </w:r>
          </w:p>
        </w:tc>
      </w:tr>
    </w:tbl>
    <w:p w14:paraId="4F576255">
      <w:pPr>
        <w:ind w:firstLine="420" w:firstLineChars="200"/>
        <w:rPr>
          <w:rFonts w:hint="default"/>
          <w:lang w:val="en-US" w:eastAsia="zh-CN"/>
        </w:rPr>
      </w:pPr>
    </w:p>
    <w:p w14:paraId="75669416">
      <w:pPr>
        <w:pStyle w:val="13"/>
        <w:ind w:firstLine="480" w:firstLineChars="200"/>
        <w:rPr>
          <w:rFonts w:hint="eastAsia" w:asciiTheme="majorEastAsia" w:hAnsiTheme="majorEastAsia" w:eastAsiaTheme="majorEastAsia"/>
          <w:color w:val="auto"/>
          <w:sz w:val="24"/>
          <w:szCs w:val="24"/>
        </w:rPr>
      </w:pPr>
    </w:p>
    <w:p w14:paraId="2C2FD760">
      <w:pPr>
        <w:pStyle w:val="13"/>
        <w:ind w:firstLine="480" w:firstLineChars="200"/>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更正日期：</w:t>
      </w:r>
      <w:r>
        <w:rPr>
          <w:rFonts w:hint="eastAsia" w:asciiTheme="majorEastAsia" w:hAnsiTheme="majorEastAsia" w:eastAsiaTheme="majorEastAsia"/>
          <w:color w:val="auto"/>
          <w:sz w:val="24"/>
          <w:szCs w:val="24"/>
          <w:u w:val="single"/>
          <w:lang w:val="en-US" w:eastAsia="zh-CN"/>
        </w:rPr>
        <w:t>2025年9月11日</w:t>
      </w:r>
    </w:p>
    <w:p w14:paraId="577E020C">
      <w:pPr>
        <w:pStyle w:val="4"/>
        <w:pageBreakBefore w:val="0"/>
        <w:widowControl w:val="0"/>
        <w:kinsoku/>
        <w:wordWrap/>
        <w:overflowPunct/>
        <w:topLinePunct w:val="0"/>
        <w:autoSpaceDE/>
        <w:autoSpaceDN/>
        <w:bidi w:val="0"/>
        <w:adjustRightInd/>
        <w:spacing w:line="440" w:lineRule="exact"/>
        <w:textAlignment w:val="auto"/>
        <w:rPr>
          <w:rFonts w:hint="eastAsia" w:cs="宋体" w:asciiTheme="majorEastAsia" w:hAnsiTheme="majorEastAsia" w:eastAsiaTheme="majorEastAsia"/>
          <w:b w:val="0"/>
          <w:color w:val="auto"/>
          <w:sz w:val="24"/>
          <w:szCs w:val="24"/>
        </w:rPr>
      </w:pPr>
      <w:bookmarkStart w:id="9" w:name="_Toc35393647"/>
      <w:bookmarkStart w:id="10" w:name="_Toc35393816"/>
      <w:r>
        <w:rPr>
          <w:rFonts w:hint="eastAsia" w:cs="宋体" w:asciiTheme="majorEastAsia" w:hAnsiTheme="majorEastAsia" w:eastAsiaTheme="majorEastAsia"/>
          <w:b w:val="0"/>
          <w:color w:val="auto"/>
          <w:sz w:val="24"/>
          <w:szCs w:val="24"/>
        </w:rPr>
        <w:t>三、其他补充事宜</w:t>
      </w:r>
      <w:bookmarkEnd w:id="9"/>
      <w:bookmarkEnd w:id="10"/>
    </w:p>
    <w:p w14:paraId="31D77959">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rPr>
      </w:pPr>
      <w:r>
        <w:rPr>
          <w:rFonts w:hint="eastAsia" w:asciiTheme="majorEastAsia" w:hAnsiTheme="majorEastAsia" w:eastAsiaTheme="majorEastAsia"/>
          <w:color w:val="auto"/>
          <w:sz w:val="24"/>
          <w:szCs w:val="24"/>
          <w:lang w:eastAsia="zh-CN"/>
        </w:rPr>
        <w:t>无</w:t>
      </w:r>
      <w:r>
        <w:rPr>
          <w:rFonts w:hint="eastAsia" w:asciiTheme="majorEastAsia" w:hAnsiTheme="majorEastAsia" w:eastAsiaTheme="majorEastAsia"/>
          <w:color w:val="auto"/>
          <w:sz w:val="24"/>
          <w:szCs w:val="24"/>
        </w:rPr>
        <w:t>。</w:t>
      </w:r>
    </w:p>
    <w:p w14:paraId="0025E112">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11" w:name="_Toc35393648"/>
      <w:bookmarkStart w:id="12" w:name="_Toc28359106"/>
      <w:bookmarkStart w:id="13" w:name="_Toc35393817"/>
      <w:bookmarkStart w:id="14" w:name="_Toc28359029"/>
      <w:r>
        <w:rPr>
          <w:rFonts w:hint="eastAsia" w:cs="宋体" w:asciiTheme="majorEastAsia" w:hAnsiTheme="majorEastAsia" w:eastAsiaTheme="majorEastAsia"/>
          <w:b w:val="0"/>
          <w:color w:val="auto"/>
          <w:sz w:val="24"/>
          <w:szCs w:val="24"/>
        </w:rPr>
        <w:t>四、凡对本次公告内容提出询问，请按以下方式联系。</w:t>
      </w:r>
      <w:bookmarkEnd w:id="11"/>
      <w:bookmarkEnd w:id="12"/>
      <w:bookmarkEnd w:id="13"/>
      <w:bookmarkEnd w:id="14"/>
      <w:bookmarkStart w:id="27" w:name="_GoBack"/>
      <w:bookmarkEnd w:id="27"/>
    </w:p>
    <w:p w14:paraId="3E1E45D2">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15" w:name="_Toc35393818"/>
      <w:bookmarkStart w:id="16" w:name="_Toc35393649"/>
      <w:bookmarkStart w:id="17" w:name="_Toc28359030"/>
      <w:bookmarkStart w:id="18" w:name="_Toc28359107"/>
      <w:r>
        <w:rPr>
          <w:rFonts w:hint="eastAsia" w:cs="宋体" w:asciiTheme="majorEastAsia" w:hAnsiTheme="majorEastAsia" w:eastAsiaTheme="majorEastAsia"/>
          <w:b w:val="0"/>
          <w:color w:val="auto"/>
          <w:sz w:val="24"/>
          <w:szCs w:val="24"/>
        </w:rPr>
        <w:t>1.采购人信息</w:t>
      </w:r>
      <w:bookmarkEnd w:id="15"/>
      <w:bookmarkEnd w:id="16"/>
      <w:bookmarkEnd w:id="17"/>
      <w:bookmarkEnd w:id="18"/>
    </w:p>
    <w:p w14:paraId="453869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灵川县职业中等专业学校</w:t>
      </w:r>
    </w:p>
    <w:p w14:paraId="74EC190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桂林市灵川县三街镇五福村</w:t>
      </w:r>
    </w:p>
    <w:p w14:paraId="18D813E6">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联系方式：</w:t>
      </w:r>
      <w:r>
        <w:rPr>
          <w:rFonts w:hint="eastAsia" w:asciiTheme="majorEastAsia" w:hAnsiTheme="majorEastAsia" w:eastAsiaTheme="majorEastAsia"/>
          <w:color w:val="auto"/>
          <w:sz w:val="24"/>
          <w:szCs w:val="24"/>
          <w:u w:val="single"/>
          <w:lang w:val="en-US" w:eastAsia="zh-CN"/>
        </w:rPr>
        <w:t xml:space="preserve">李老师   0773-6328172 </w:t>
      </w:r>
    </w:p>
    <w:p w14:paraId="7BEFF6BE">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19" w:name="_Toc28359108"/>
      <w:bookmarkStart w:id="20" w:name="_Toc35393819"/>
      <w:bookmarkStart w:id="21" w:name="_Toc28359031"/>
      <w:bookmarkStart w:id="22" w:name="_Toc35393650"/>
      <w:r>
        <w:rPr>
          <w:rFonts w:hint="eastAsia" w:cs="宋体" w:asciiTheme="majorEastAsia" w:hAnsiTheme="majorEastAsia" w:eastAsiaTheme="majorEastAsia"/>
          <w:b w:val="0"/>
          <w:color w:val="auto"/>
          <w:sz w:val="24"/>
          <w:szCs w:val="24"/>
        </w:rPr>
        <w:t>2</w:t>
      </w:r>
      <w:r>
        <w:rPr>
          <w:rFonts w:cs="宋体" w:asciiTheme="majorEastAsia" w:hAnsiTheme="majorEastAsia" w:eastAsiaTheme="majorEastAsia"/>
          <w:b w:val="0"/>
          <w:color w:val="auto"/>
          <w:sz w:val="24"/>
          <w:szCs w:val="24"/>
        </w:rPr>
        <w:t>.</w:t>
      </w:r>
      <w:r>
        <w:rPr>
          <w:rFonts w:hint="eastAsia" w:cs="宋体" w:asciiTheme="majorEastAsia" w:hAnsiTheme="majorEastAsia" w:eastAsiaTheme="majorEastAsia"/>
          <w:b w:val="0"/>
          <w:color w:val="auto"/>
          <w:sz w:val="24"/>
          <w:szCs w:val="24"/>
        </w:rPr>
        <w:t>采购代理机构信息</w:t>
      </w:r>
      <w:bookmarkEnd w:id="19"/>
      <w:bookmarkEnd w:id="20"/>
      <w:bookmarkEnd w:id="21"/>
      <w:bookmarkEnd w:id="22"/>
    </w:p>
    <w:p w14:paraId="2403A6E8">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欧邦工程管理集团有限公司</w:t>
      </w:r>
    </w:p>
    <w:p w14:paraId="17084543">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桂林市七星区穿山街道办莫家里二路文化室四楼</w:t>
      </w:r>
    </w:p>
    <w:p w14:paraId="1C91A481">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u w:val="single"/>
          <w:lang w:val="en-US"/>
        </w:rPr>
      </w:pPr>
      <w:r>
        <w:rPr>
          <w:rFonts w:hint="eastAsia" w:asciiTheme="majorEastAsia" w:hAnsiTheme="majorEastAsia" w:eastAsiaTheme="majorEastAsia"/>
          <w:color w:val="auto"/>
          <w:sz w:val="24"/>
          <w:szCs w:val="24"/>
        </w:rPr>
        <w:t>联系方式：</w:t>
      </w:r>
      <w:bookmarkStart w:id="23" w:name="_Toc28359109"/>
      <w:bookmarkStart w:id="24" w:name="_Toc28359032"/>
      <w:r>
        <w:rPr>
          <w:rFonts w:hint="eastAsia" w:asciiTheme="majorEastAsia" w:hAnsiTheme="majorEastAsia" w:eastAsiaTheme="majorEastAsia"/>
          <w:color w:val="auto"/>
          <w:sz w:val="24"/>
          <w:szCs w:val="24"/>
          <w:u w:val="single"/>
          <w:lang w:val="en-US" w:eastAsia="zh-CN"/>
        </w:rPr>
        <w:t>0773-2567907、2567912</w:t>
      </w:r>
    </w:p>
    <w:p w14:paraId="311B644A">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25" w:name="_Toc35393651"/>
      <w:bookmarkStart w:id="26" w:name="_Toc35393820"/>
      <w:r>
        <w:rPr>
          <w:rFonts w:hint="eastAsia" w:cs="宋体" w:asciiTheme="majorEastAsia" w:hAnsiTheme="majorEastAsia" w:eastAsiaTheme="majorEastAsia"/>
          <w:b w:val="0"/>
          <w:color w:val="auto"/>
          <w:sz w:val="24"/>
          <w:szCs w:val="24"/>
        </w:rPr>
        <w:t>3.项目联系方式</w:t>
      </w:r>
      <w:bookmarkEnd w:id="23"/>
      <w:bookmarkEnd w:id="24"/>
      <w:bookmarkEnd w:id="25"/>
      <w:bookmarkEnd w:id="26"/>
    </w:p>
    <w:p w14:paraId="7BC5AD9A">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项目联系人：</w:t>
      </w:r>
      <w:r>
        <w:rPr>
          <w:rFonts w:hint="eastAsia" w:asciiTheme="majorEastAsia" w:hAnsiTheme="majorEastAsia" w:eastAsiaTheme="majorEastAsia"/>
          <w:color w:val="auto"/>
          <w:sz w:val="24"/>
          <w:szCs w:val="24"/>
          <w:u w:val="single"/>
          <w:lang w:eastAsia="zh-CN"/>
        </w:rPr>
        <w:t>刘芳芳、</w:t>
      </w:r>
      <w:r>
        <w:rPr>
          <w:rFonts w:hint="eastAsia" w:asciiTheme="majorEastAsia" w:hAnsiTheme="majorEastAsia" w:eastAsiaTheme="majorEastAsia"/>
          <w:color w:val="auto"/>
          <w:sz w:val="24"/>
          <w:szCs w:val="24"/>
          <w:u w:val="single"/>
          <w:lang w:val="en-US" w:eastAsia="zh-CN"/>
        </w:rPr>
        <w:t>林雪青</w:t>
      </w:r>
    </w:p>
    <w:p w14:paraId="743DECC8">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电　　 话：</w:t>
      </w:r>
      <w:r>
        <w:rPr>
          <w:rFonts w:hint="eastAsia" w:asciiTheme="majorEastAsia" w:hAnsiTheme="majorEastAsia" w:eastAsiaTheme="majorEastAsia"/>
          <w:color w:val="auto"/>
          <w:sz w:val="24"/>
          <w:szCs w:val="24"/>
          <w:u w:val="single"/>
          <w:lang w:val="en-US" w:eastAsia="zh-CN"/>
        </w:rPr>
        <w:t>0773-2567907、2567912</w:t>
      </w:r>
    </w:p>
    <w:p w14:paraId="51A3D05E">
      <w:pPr>
        <w:widowControl/>
        <w:spacing w:line="440" w:lineRule="exact"/>
        <w:ind w:firstLine="482" w:firstLineChars="200"/>
        <w:jc w:val="left"/>
        <w:rPr>
          <w:rFonts w:asciiTheme="majorEastAsia" w:hAnsiTheme="majorEastAsia" w:eastAsiaTheme="majorEastAsia"/>
          <w:b/>
          <w:bCs/>
          <w:color w:val="auto"/>
          <w:kern w:val="44"/>
          <w:sz w:val="24"/>
          <w:szCs w:val="24"/>
        </w:rPr>
      </w:pPr>
    </w:p>
    <w:p w14:paraId="028D3B16">
      <w:pPr>
        <w:pStyle w:val="3"/>
        <w:tabs>
          <w:tab w:val="left" w:pos="0"/>
        </w:tabs>
        <w:autoSpaceDE w:val="0"/>
        <w:autoSpaceDN w:val="0"/>
        <w:adjustRightInd w:val="0"/>
        <w:spacing w:before="0" w:after="0" w:line="440" w:lineRule="exact"/>
        <w:jc w:val="center"/>
        <w:rPr>
          <w:rFonts w:hint="eastAsia" w:asciiTheme="majorEastAsia" w:hAnsiTheme="majorEastAsia" w:eastAsiaTheme="majorEastAsia"/>
          <w:color w:val="auto"/>
          <w:sz w:val="24"/>
          <w:szCs w:val="24"/>
        </w:rPr>
      </w:pPr>
    </w:p>
    <w:p w14:paraId="2D8DEBCF">
      <w:pPr>
        <w:rPr>
          <w:color w:val="auto"/>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TM0NjZmN2MwMjJlODAwNDc1OWZhZGI2YmMwZDQifQ=="/>
  </w:docVars>
  <w:rsids>
    <w:rsidRoot w:val="34E35DE1"/>
    <w:rsid w:val="057A1612"/>
    <w:rsid w:val="085B2EA2"/>
    <w:rsid w:val="0CDF7D9E"/>
    <w:rsid w:val="0D0865FB"/>
    <w:rsid w:val="0E7A5580"/>
    <w:rsid w:val="0F801DD2"/>
    <w:rsid w:val="10DE3EE3"/>
    <w:rsid w:val="139149DC"/>
    <w:rsid w:val="17316208"/>
    <w:rsid w:val="1D6911A3"/>
    <w:rsid w:val="1F9D5C19"/>
    <w:rsid w:val="205D46B8"/>
    <w:rsid w:val="2A29272E"/>
    <w:rsid w:val="2CA9751A"/>
    <w:rsid w:val="2F804A5E"/>
    <w:rsid w:val="33B077A7"/>
    <w:rsid w:val="34E35DE1"/>
    <w:rsid w:val="35FF07B2"/>
    <w:rsid w:val="377E0B99"/>
    <w:rsid w:val="3E472960"/>
    <w:rsid w:val="40E361EF"/>
    <w:rsid w:val="42EB54C2"/>
    <w:rsid w:val="43464F86"/>
    <w:rsid w:val="46354F71"/>
    <w:rsid w:val="49D46CB0"/>
    <w:rsid w:val="4ADC2D65"/>
    <w:rsid w:val="4BF05264"/>
    <w:rsid w:val="4EBE5924"/>
    <w:rsid w:val="4FF17976"/>
    <w:rsid w:val="55601FE8"/>
    <w:rsid w:val="5BDC0286"/>
    <w:rsid w:val="5CEA46E6"/>
    <w:rsid w:val="5E7B22B9"/>
    <w:rsid w:val="605C2D57"/>
    <w:rsid w:val="6A835FEC"/>
    <w:rsid w:val="7F49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index 8"/>
    <w:basedOn w:val="1"/>
    <w:next w:val="1"/>
    <w:qFormat/>
    <w:uiPriority w:val="99"/>
    <w:pPr>
      <w:ind w:left="1400" w:leftChars="1400"/>
    </w:pPr>
  </w:style>
  <w:style w:type="paragraph" w:styleId="8">
    <w:name w:val="Normal Indent"/>
    <w:basedOn w:val="1"/>
    <w:next w:val="1"/>
    <w:qFormat/>
    <w:uiPriority w:val="0"/>
    <w:pPr>
      <w:ind w:firstLine="420"/>
    </w:pPr>
    <w:rPr>
      <w:rFonts w:ascii="Times New Roman" w:hAnsi="Times New Roman" w:eastAsia="宋体" w:cs="Times New Roman"/>
      <w:szCs w:val="20"/>
    </w:rPr>
  </w:style>
  <w:style w:type="paragraph" w:styleId="9">
    <w:name w:val="annotation text"/>
    <w:basedOn w:val="1"/>
    <w:next w:val="10"/>
    <w:qFormat/>
    <w:uiPriority w:val="0"/>
    <w:pPr>
      <w:jc w:val="left"/>
    </w:pPr>
    <w:rPr>
      <w:rFonts w:ascii="Times New Roman" w:hAnsi="Times New Roman" w:eastAsia="宋体" w:cs="Times New Roman"/>
    </w:rPr>
  </w:style>
  <w:style w:type="paragraph" w:styleId="10">
    <w:name w:val="Body Text Indent"/>
    <w:basedOn w:val="1"/>
    <w:next w:val="11"/>
    <w:unhideWhenUsed/>
    <w:qFormat/>
    <w:uiPriority w:val="0"/>
    <w:pPr>
      <w:spacing w:after="120"/>
      <w:ind w:left="420" w:leftChars="200"/>
    </w:pPr>
  </w:style>
  <w:style w:type="paragraph" w:styleId="11">
    <w:name w:val="Normal (Web)"/>
    <w:basedOn w:val="1"/>
    <w:next w:val="12"/>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3"/>
    <w:basedOn w:val="1"/>
    <w:next w:val="8"/>
    <w:qFormat/>
    <w:uiPriority w:val="0"/>
    <w:pPr>
      <w:spacing w:after="120"/>
    </w:pPr>
    <w:rPr>
      <w:rFonts w:ascii="Times New Roman" w:hAnsi="Times New Roman" w:eastAsia="宋体" w:cs="Times New Roman"/>
      <w:sz w:val="16"/>
      <w:szCs w:val="16"/>
    </w:rPr>
  </w:style>
  <w:style w:type="paragraph" w:styleId="13">
    <w:name w:val="Plain Text"/>
    <w:basedOn w:val="1"/>
    <w:next w:val="7"/>
    <w:qFormat/>
    <w:uiPriority w:val="0"/>
    <w:rPr>
      <w:rFonts w:ascii="宋体" w:hAnsi="Courier New" w:eastAsiaTheme="minorEastAsia" w:cstheme="minorBidi"/>
      <w:szCs w:val="2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Body Text First Indent 2"/>
    <w:basedOn w:val="10"/>
    <w:unhideWhenUsed/>
    <w:qFormat/>
    <w:uiPriority w:val="0"/>
    <w:pPr>
      <w:ind w:firstLine="420" w:firstLineChars="200"/>
    </w:pPr>
    <w:rPr>
      <w:lang w:val="en-US" w:eastAsia="zh-CN"/>
    </w:rPr>
  </w:style>
  <w:style w:type="character" w:styleId="19">
    <w:name w:val="Strong"/>
    <w:basedOn w:val="18"/>
    <w:qFormat/>
    <w:uiPriority w:val="0"/>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paragraph" w:styleId="31">
    <w:name w:val="List Paragraph"/>
    <w:basedOn w:val="1"/>
    <w:qFormat/>
    <w:uiPriority w:val="34"/>
    <w:pPr>
      <w:ind w:firstLine="420" w:firstLineChars="200"/>
    </w:pPr>
  </w:style>
  <w:style w:type="paragraph" w:customStyle="1" w:styleId="32">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3093</Words>
  <Characters>3221</Characters>
  <Lines>0</Lines>
  <Paragraphs>0</Paragraphs>
  <TotalTime>29</TotalTime>
  <ScaleCrop>false</ScaleCrop>
  <LinksUpToDate>false</LinksUpToDate>
  <CharactersWithSpaces>3261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2022-03-15T07:53:00Z</dcterms:created>
  <dc:creator>Administrator</dc:creator>
  <cp:lastModifiedBy>刘芳芳</cp:lastModifiedBy>
  <dcterms:modified xsi:type="dcterms:W3CDTF">2025-09-11T02:21:52Z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2588C147168C4E1F8E9323400DFF2144_13</vt:lpwstr>
  </property>
  <property fmtid="{D5CDD505-2E9C-101B-9397-08002B2CF9AE}" pid="4" name="KSOTemplateDocerSaveRecord">
    <vt:lpwstr>eyJoZGlkIjoiNzJlNTQ5Y2UwYWE4NGIxNGIxOTc1YjMwNDI1YWE2YjgiLCJ1c2VySWQiOiIxMzYxOTk3NDczIn0=</vt:lpwstr>
  </property>
</Properties>
</file>