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9776"/>
      </w:tblGrid>
      <w:tr w14:paraId="040B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2EE70F4B">
            <w:pPr>
              <w:widowControl/>
              <w:spacing w:line="675" w:lineRule="atLeast"/>
              <w:ind w:firstLine="630"/>
              <w:jc w:val="center"/>
              <w:rPr>
                <w:rStyle w:val="4"/>
                <w:rFonts w:ascii="宋体" w:hAnsi="宋体" w:cs="宋体"/>
                <w:b w:val="0"/>
                <w:bCs w:val="0"/>
                <w:i w:val="0"/>
                <w:iCs w:val="0"/>
                <w:smallCaps w:val="0"/>
                <w:kern w:val="0"/>
                <w:sz w:val="27"/>
                <w:szCs w:val="27"/>
              </w:rPr>
            </w:pPr>
            <w:r>
              <w:rPr>
                <w:rStyle w:val="4"/>
                <w:rFonts w:ascii="宋体" w:hAnsi="宋体" w:cs="宋体"/>
                <w:b/>
                <w:bCs/>
                <w:i w:val="0"/>
                <w:iCs w:val="0"/>
                <w:smallCaps w:val="0"/>
                <w:kern w:val="0"/>
                <w:sz w:val="27"/>
                <w:szCs w:val="27"/>
              </w:rPr>
              <w:t>南宁市武鸣区集中式饮用水水源地环境保护规范化建设项目(一期)EPC工程总承包工程总承包招标公告</w:t>
            </w:r>
          </w:p>
        </w:tc>
      </w:tr>
      <w:tr w14:paraId="0850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0B19D08F">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bCs/>
                <w:i w:val="0"/>
                <w:iCs w:val="0"/>
                <w:smallCaps w:val="0"/>
                <w:kern w:val="0"/>
                <w:sz w:val="27"/>
                <w:szCs w:val="27"/>
              </w:rPr>
              <w:t>1.招标条件</w:t>
            </w:r>
          </w:p>
        </w:tc>
      </w:tr>
      <w:tr w14:paraId="6E4B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3977B004">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val="0"/>
                <w:bCs w:val="0"/>
                <w:i w:val="0"/>
                <w:iCs w:val="0"/>
                <w:smallCaps w:val="0"/>
                <w:kern w:val="0"/>
                <w:sz w:val="27"/>
                <w:szCs w:val="27"/>
              </w:rPr>
              <w:t>    本招标项目</w:t>
            </w:r>
            <w:r>
              <w:rPr>
                <w:rStyle w:val="4"/>
                <w:rFonts w:ascii="宋体" w:hAnsi="宋体" w:cs="宋体"/>
                <w:b/>
                <w:bCs/>
                <w:i w:val="0"/>
                <w:iCs w:val="0"/>
                <w:smallCaps w:val="0"/>
                <w:kern w:val="0"/>
                <w:sz w:val="27"/>
                <w:szCs w:val="27"/>
              </w:rPr>
              <w:t>南宁市武鸣区集中式饮用水水源地环境保护规范化建设项目(一期)EPC工程总承包</w:t>
            </w:r>
            <w:r>
              <w:rPr>
                <w:rStyle w:val="4"/>
                <w:rFonts w:ascii="宋体" w:hAnsi="宋体" w:cs="宋体"/>
                <w:b w:val="0"/>
                <w:bCs w:val="0"/>
                <w:i w:val="0"/>
                <w:iCs w:val="0"/>
                <w:smallCaps w:val="0"/>
                <w:kern w:val="0"/>
                <w:sz w:val="27"/>
                <w:szCs w:val="27"/>
              </w:rPr>
              <w:t>（项目名称）工程已由</w:t>
            </w:r>
            <w:r>
              <w:rPr>
                <w:rStyle w:val="4"/>
                <w:rFonts w:ascii="宋体" w:hAnsi="宋体" w:cs="宋体"/>
                <w:b/>
                <w:bCs/>
                <w:i w:val="0"/>
                <w:iCs w:val="0"/>
                <w:smallCaps w:val="0"/>
                <w:kern w:val="0"/>
                <w:sz w:val="27"/>
                <w:szCs w:val="27"/>
              </w:rPr>
              <w:t>南宁市武鸣区发展和改革局</w:t>
            </w:r>
            <w:r>
              <w:rPr>
                <w:rStyle w:val="4"/>
                <w:rFonts w:ascii="宋体" w:hAnsi="宋体" w:cs="宋体"/>
                <w:b w:val="0"/>
                <w:bCs w:val="0"/>
                <w:i w:val="0"/>
                <w:iCs w:val="0"/>
                <w:smallCaps w:val="0"/>
                <w:kern w:val="0"/>
                <w:sz w:val="27"/>
                <w:szCs w:val="27"/>
              </w:rPr>
              <w:t>（项目审批、核准或备案机关名称）以南武发改投资【2025】20号（批文名称、文号、项目代码）批准建设，招标人（项目业主）为</w:t>
            </w:r>
            <w:r>
              <w:rPr>
                <w:rStyle w:val="4"/>
                <w:rFonts w:ascii="宋体" w:hAnsi="宋体" w:cs="宋体"/>
                <w:b/>
                <w:bCs/>
                <w:i w:val="0"/>
                <w:iCs w:val="0"/>
                <w:smallCaps w:val="0"/>
                <w:kern w:val="0"/>
                <w:sz w:val="27"/>
                <w:szCs w:val="27"/>
              </w:rPr>
              <w:t>南宁市武鸣区住房和城乡建设局</w:t>
            </w:r>
            <w:r>
              <w:rPr>
                <w:rStyle w:val="4"/>
                <w:rFonts w:ascii="宋体" w:hAnsi="宋体" w:cs="宋体"/>
                <w:b w:val="0"/>
                <w:bCs w:val="0"/>
                <w:i w:val="0"/>
                <w:iCs w:val="0"/>
                <w:smallCaps w:val="0"/>
                <w:kern w:val="0"/>
                <w:sz w:val="27"/>
                <w:szCs w:val="27"/>
              </w:rPr>
              <w:t>,建设资金来自</w:t>
            </w:r>
            <w:r>
              <w:rPr>
                <w:rStyle w:val="4"/>
                <w:rFonts w:ascii="宋体" w:hAnsi="宋体" w:cs="宋体"/>
                <w:b/>
                <w:bCs/>
                <w:i w:val="0"/>
                <w:iCs w:val="0"/>
                <w:smallCaps w:val="0"/>
                <w:kern w:val="0"/>
                <w:sz w:val="27"/>
                <w:szCs w:val="27"/>
              </w:rPr>
              <w:t>财政资金</w:t>
            </w:r>
            <w:r>
              <w:rPr>
                <w:rStyle w:val="4"/>
                <w:rFonts w:ascii="宋体" w:hAnsi="宋体" w:cs="宋体"/>
                <w:b w:val="0"/>
                <w:bCs w:val="0"/>
                <w:i w:val="0"/>
                <w:iCs w:val="0"/>
                <w:smallCaps w:val="0"/>
                <w:kern w:val="0"/>
                <w:sz w:val="27"/>
                <w:szCs w:val="27"/>
              </w:rPr>
              <w:t>（资金来源），项目出资比例为：</w:t>
            </w:r>
            <w:r>
              <w:rPr>
                <w:rStyle w:val="4"/>
                <w:rFonts w:ascii="宋体" w:hAnsi="宋体" w:cs="宋体"/>
                <w:b/>
                <w:bCs/>
                <w:i w:val="0"/>
                <w:iCs w:val="0"/>
                <w:smallCaps w:val="0"/>
                <w:kern w:val="0"/>
                <w:sz w:val="27"/>
                <w:szCs w:val="27"/>
              </w:rPr>
              <w:t>国有资金：0.0万元 0.0% 私有资金：0.0万元 0.0% 外国政府及组织投资：0.0万元 0.0% 境外私人投资：0.0万元 0.0% 财政资金：1987.0万元 100.0% 其他：0.0万元 0.0%</w:t>
            </w:r>
            <w:r>
              <w:rPr>
                <w:rStyle w:val="4"/>
                <w:rFonts w:ascii="宋体" w:hAnsi="宋体" w:cs="宋体"/>
                <w:b w:val="0"/>
                <w:bCs w:val="0"/>
                <w:i w:val="0"/>
                <w:iCs w:val="0"/>
                <w:smallCaps w:val="0"/>
                <w:kern w:val="0"/>
                <w:sz w:val="27"/>
                <w:szCs w:val="27"/>
              </w:rPr>
              <w:t>。项目已具备招标条件，现对该项目的设计,采购,施工进行公开招标。</w:t>
            </w:r>
          </w:p>
        </w:tc>
      </w:tr>
      <w:tr w14:paraId="0B13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400E67C7">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bCs/>
                <w:i w:val="0"/>
                <w:iCs w:val="0"/>
                <w:smallCaps w:val="0"/>
                <w:kern w:val="0"/>
                <w:sz w:val="27"/>
                <w:szCs w:val="27"/>
              </w:rPr>
              <w:t>2.项目概况与招标范围</w:t>
            </w:r>
          </w:p>
        </w:tc>
      </w:tr>
      <w:tr w14:paraId="1497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2E177B3D">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val="0"/>
                <w:bCs w:val="0"/>
                <w:i w:val="0"/>
                <w:iCs w:val="0"/>
                <w:smallCaps w:val="0"/>
                <w:kern w:val="0"/>
                <w:sz w:val="27"/>
                <w:szCs w:val="27"/>
              </w:rPr>
              <w:t>    2.1项目概况：</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建设地点：</w:t>
            </w:r>
            <w:r>
              <w:rPr>
                <w:rStyle w:val="4"/>
                <w:rFonts w:ascii="宋体" w:hAnsi="宋体" w:cs="宋体"/>
                <w:b/>
                <w:bCs/>
                <w:i w:val="0"/>
                <w:iCs w:val="0"/>
                <w:smallCaps w:val="0"/>
                <w:kern w:val="0"/>
                <w:sz w:val="27"/>
                <w:szCs w:val="27"/>
              </w:rPr>
              <w:t>南宁市武鸣区</w:t>
            </w:r>
            <w:r>
              <w:rPr>
                <w:rStyle w:val="4"/>
                <w:rFonts w:ascii="宋体" w:hAnsi="宋体" w:cs="宋体"/>
                <w:b w:val="0"/>
                <w:bCs w:val="0"/>
                <w:i w:val="0"/>
                <w:iCs w:val="0"/>
                <w:smallCaps w:val="0"/>
                <w:kern w:val="0"/>
                <w:sz w:val="27"/>
                <w:szCs w:val="27"/>
              </w:rPr>
              <w:t xml:space="preserve">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建设规模：</w:t>
            </w:r>
            <w:r>
              <w:rPr>
                <w:rStyle w:val="4"/>
                <w:rFonts w:ascii="宋体" w:hAnsi="宋体" w:cs="宋体"/>
                <w:b/>
                <w:bCs/>
                <w:i w:val="0"/>
                <w:iCs w:val="0"/>
                <w:smallCaps w:val="0"/>
                <w:kern w:val="0"/>
                <w:sz w:val="27"/>
                <w:szCs w:val="27"/>
              </w:rPr>
              <w:t>在武鸣区仙湖镇邓柳村下暮屯、四冬屯、灵马镇方和村伏岸及潭坡、灵马镇那龙村伏马三队屯、那龙村新黎圩屯、宁武镇梁新村板梁屯、陆镇覃李村兰覃屯、城厢镇邓广村上圩屯建设农村生活污水治理设施8座，设计规模450m³/d，配套污水管道12856m，检查井1008座。此外，对饮用水水源保护区进行规范化建设。设置饮用水水源保护区界牌540块，交通警示牌53块，宣传牌85块，在饮用水水源保护一级保护区边界设立铁丝网75060m，在穿越饮用水水源保护区内的道路建设防撞护栏25100m。</w:t>
            </w:r>
            <w:r>
              <w:rPr>
                <w:rStyle w:val="4"/>
                <w:rFonts w:ascii="宋体" w:hAnsi="宋体" w:cs="宋体"/>
                <w:b w:val="0"/>
                <w:bCs w:val="0"/>
                <w:i w:val="0"/>
                <w:iCs w:val="0"/>
                <w:smallCaps w:val="0"/>
                <w:kern w:val="0"/>
                <w:sz w:val="27"/>
                <w:szCs w:val="27"/>
              </w:rPr>
              <w:t xml:space="preserve">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本项目估算价：</w:t>
            </w:r>
            <w:r>
              <w:rPr>
                <w:rStyle w:val="4"/>
                <w:rFonts w:ascii="宋体" w:hAnsi="宋体" w:cs="宋体"/>
                <w:b/>
                <w:bCs/>
                <w:i w:val="0"/>
                <w:iCs w:val="0"/>
                <w:smallCaps w:val="0"/>
                <w:kern w:val="0"/>
                <w:sz w:val="27"/>
                <w:szCs w:val="27"/>
              </w:rPr>
              <w:t>1987.0万元</w:t>
            </w:r>
            <w:r>
              <w:rPr>
                <w:rStyle w:val="4"/>
                <w:rFonts w:ascii="宋体" w:hAnsi="宋体" w:cs="宋体"/>
                <w:b w:val="0"/>
                <w:bCs w:val="0"/>
                <w:i w:val="0"/>
                <w:iCs w:val="0"/>
                <w:smallCaps w:val="0"/>
                <w:kern w:val="0"/>
                <w:sz w:val="27"/>
                <w:szCs w:val="27"/>
              </w:rPr>
              <w:t xml:space="preserve">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计划工期：本项目总工期为</w:t>
            </w:r>
            <w:r>
              <w:rPr>
                <w:rStyle w:val="4"/>
                <w:rFonts w:ascii="宋体" w:hAnsi="宋体" w:cs="宋体"/>
                <w:b/>
                <w:bCs/>
                <w:i w:val="0"/>
                <w:iCs w:val="0"/>
                <w:smallCaps w:val="0"/>
                <w:kern w:val="0"/>
                <w:sz w:val="27"/>
                <w:szCs w:val="27"/>
              </w:rPr>
              <w:t>365</w:t>
            </w:r>
            <w:r>
              <w:rPr>
                <w:rStyle w:val="4"/>
                <w:rFonts w:ascii="宋体" w:hAnsi="宋体" w:cs="宋体"/>
                <w:b w:val="0"/>
                <w:bCs w:val="0"/>
                <w:i w:val="0"/>
                <w:iCs w:val="0"/>
                <w:smallCaps w:val="0"/>
                <w:kern w:val="0"/>
                <w:sz w:val="27"/>
                <w:szCs w:val="27"/>
              </w:rPr>
              <w:t>天（日历天）。</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2.2.1招标范围：</w:t>
            </w:r>
            <w:r>
              <w:rPr>
                <w:rStyle w:val="4"/>
                <w:rFonts w:ascii="宋体" w:hAnsi="宋体" w:cs="宋体"/>
                <w:b/>
                <w:bCs/>
                <w:i w:val="0"/>
                <w:iCs w:val="0"/>
                <w:smallCaps w:val="0"/>
                <w:kern w:val="0"/>
                <w:sz w:val="27"/>
                <w:szCs w:val="27"/>
              </w:rPr>
              <w:t>（1）设计阶段内容包括（施工图设计、项目预算编制、技术交底及工程验收）等内容。（2）施工内容包括施工图纸范围内及本项目投入使用所需要的其他设施的施工。最终施工内容的确定以经招标人审核通过的施工图纸和工程造价文件清单为准，直至工程竣工验收合格和整体移交（通过实施效果评估）及工程保修期内的缺陷修复和保修工作。</w:t>
            </w:r>
            <w:r>
              <w:rPr>
                <w:rStyle w:val="4"/>
                <w:rFonts w:ascii="宋体" w:hAnsi="宋体" w:cs="宋体"/>
                <w:b w:val="0"/>
                <w:bCs w:val="0"/>
                <w:i w:val="0"/>
                <w:iCs w:val="0"/>
                <w:smallCaps w:val="0"/>
                <w:kern w:val="0"/>
                <w:sz w:val="27"/>
                <w:szCs w:val="27"/>
              </w:rPr>
              <w:t xml:space="preserve">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2.3.1标段划分：</w:t>
            </w:r>
            <w:r>
              <w:rPr>
                <w:rStyle w:val="4"/>
                <w:rFonts w:ascii="宋体" w:hAnsi="宋体" w:cs="宋体"/>
                <w:b/>
                <w:bCs/>
                <w:i w:val="0"/>
                <w:iCs w:val="0"/>
                <w:smallCaps w:val="0"/>
                <w:kern w:val="0"/>
                <w:sz w:val="27"/>
                <w:szCs w:val="27"/>
              </w:rPr>
              <w:t>标段(包)编号：E4501002816024356001001，标段(包)名称：南宁市武鸣区集中式饮用水水源地环境保护规范化建设项目(一期)EPC工程总承包</w:t>
            </w:r>
            <w:r>
              <w:rPr>
                <w:rStyle w:val="4"/>
                <w:rFonts w:ascii="宋体" w:hAnsi="宋体" w:cs="宋体"/>
                <w:b w:val="0"/>
                <w:bCs w:val="0"/>
                <w:i w:val="0"/>
                <w:iCs w:val="0"/>
                <w:smallCaps w:val="0"/>
                <w:kern w:val="0"/>
                <w:sz w:val="27"/>
                <w:szCs w:val="27"/>
              </w:rPr>
              <w:t xml:space="preserve">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2.4本项目不要求采用装配式技术。</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2.5本项目不要求采用建筑信息模型（BIM）技术。</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2.6 公开完成的初步设计文件。</w:t>
            </w:r>
          </w:p>
        </w:tc>
      </w:tr>
      <w:tr w14:paraId="4F64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7ADFFE81">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bCs/>
                <w:i w:val="0"/>
                <w:iCs w:val="0"/>
                <w:smallCaps w:val="0"/>
                <w:kern w:val="0"/>
                <w:sz w:val="27"/>
                <w:szCs w:val="27"/>
              </w:rPr>
              <w:t>3.投标人资格要求</w:t>
            </w:r>
          </w:p>
        </w:tc>
      </w:tr>
      <w:tr w14:paraId="0317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713E3363">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val="0"/>
                <w:bCs w:val="0"/>
                <w:i w:val="0"/>
                <w:iCs w:val="0"/>
                <w:smallCaps w:val="0"/>
                <w:kern w:val="0"/>
                <w:sz w:val="27"/>
                <w:szCs w:val="27"/>
              </w:rPr>
              <w:t xml:space="preserve">    3.1本次招标要求投标人 同时具备（1）工程设计综合甲级资质或工程设计市政行业乙级及以上资质或工程设计市政行业(排水工程或环境卫生工程)专业乙级或环境工程（水污染防治工程）乙级及以上资质；（2）市政公用工程施工总承包三级及以上资质(备注：1、招标人应当根据国家法律法规对企业资质等级许可的相关规定及招标项目特点，合理设置企业资质等级，不得提高资质等级要求；资质设置为施工总承包已可满足项目建设要求的，不得额外同时设置专业承包资质；2、轨道交通、隧道、综合管廊、大型桥梁项目招标时，注册地在广西的建筑业企业与区外建筑业企业采用联合体形式参与投标的，联合体资质按最高的企业计取；3、/。)，具有有效的安全生产许可证，并在人员、设备、资金等方面具备相应的履约能力。投标人已录入“桂建云”并处于有效状态。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3.2主要负责人员要求：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3.2.1工程总承包项目经理：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①具有二级及以上注册建筑师或二级及以上注册结构工程师或市政公用工程专业二级及以上注册建造师或市政公用工程专业注册监理工程师和/级及以上职称（联合体投标的，需为牵头单位员工）。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②已录入“桂建云”并处于有效状态，不接受有在建、已中标未开工或已列为其他项目中标候选人第一名的施工项目经理或工程总承包项目经理或项目总监理工程师作为工程总承包项目经理（符合《广西壮族自治区建筑市场诚信卡管理暂行办法》第十六条第一款及桂建管﹝2016﹞70号、桂建管〔2020〕11号文除外）。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③要求担任过与拟建项目相类似的设计项目负责人或施工项目经理或者项目总监理工程师或工程总承包项目经理。（注：1、拟建项目相类似的工程规模与3.3企业业绩要求一致，但不限制担任过的时间；2、如不要求企业业绩时，此处由招标人定义相类似的工程类型：无要求，工程总承包项目经理不需要提供业绩）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3.2.2项目设计负责人：具有/级及以上注册建筑师证书和市政公用工程相关专业高级职称。【备注：涉及市政道桥专业等尚未实行注册制的设计相关专业高级职称要求即可】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3.2.3施工项目经理：具有市政公用工程专业的二级以上（含二级）注册建造师证书和/级及以上职称，已录入“桂建云”并处于有效状态，具备有效的安全生产考核合格证书（B类）。不接受有在建、已中标未开工或已列为其他项目中标候选人第一名的施工项目经理、工程总承包项目经理作为施工项目经理（符合《广西壮族自治区建筑市场诚信卡管理暂行办法》第十六条第一款及桂建管﹝2016﹞70号、桂建管〔2020〕11号文除外）。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3.2.4 项目施工专职安全生产管理人员：已录入“桂建云”并处于有效状态，具备有效的专职安全生产管理人员安全生产考核合格证书（C类）。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3.3业绩要求：无要求。</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3.4 本次招标接受联合体投标。联合体投标的，应满足下列要求：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3.4.1本项目接受联合体投标。联合体成员可由设计单位和施工单位组成，联合体各方均应符合“具有独立法人资格”、“具有独立承担民事责任的能力”的条件，其中施工单位须具备有效的安全生产许可证。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3.4.2联合体各方应当签订联合体协议书，其中联合体牵头人代表联合体各方成员负责投标和合同实施阶段的主办、协调工作，但联合体其他成员在投标、签约与履行合同过程中，负有连带的和各自的法律责任。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3.4.3组成联合体进行投标的设计或施工单位不得再以自己的名义单独参与同一标段的投标，也不得组成新的联合体参与同一标段的投标。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3.4.4联合体各方应分别在人员、设备、资金等方面具有承担本项目联合体协议书分工职责范围内的履约能力。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3.4.5联合体中有同类资质的企业按照联合体协议书分工承担相同工作的，应当按照资质等级较低的企业确定联合体资质等级。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3.4.6注册地在广西的建筑业施工企业与区外建筑业施工企业采用联合体形式参与轨道交通、隧道、综合管廊、大型桥梁项目投标的，联合体诚信综合评价分按最高的企业计取，其余情况，联合体中施工企业的信誉实力分按联合体成员中施工企业诚信综合评价分最低的企业认定。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3.4.7联合体中设计企业的信誉实力分按联合体成员中设计企业诚信综合评价分最低的企业认定。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3.4.8/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3.5各投标人可就本招标项目的所有标段进行投标，并允许中标其中一个标段（由招标人事先确定）。但投标人应就不同标段派出不同的工程总承包项目经理、施工项目经理和项目施工专职安全生产管理人员，否则同一工程总承包项目经理、施工项目经理或项目施工专职安全生产管理人员所参与其它标段作否决投标处理（符合桂建管﹝2016﹞70号、桂建管〔2020〕11号文除外），/。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3.6投标人信息以“桂建云”为准。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3.7 本项目属于政府采购工程项目：</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标段为预留份额专门面向中小企业采购的项目，落实政府采购政策需满足的资格要求： 投标人必须为 中小微 企业、监狱企业或者残疾人福利性单位， 大型 企业不得参加。</w:t>
            </w:r>
          </w:p>
        </w:tc>
      </w:tr>
      <w:tr w14:paraId="4999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5E464FA3">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bCs/>
                <w:i w:val="0"/>
                <w:iCs w:val="0"/>
                <w:smallCaps w:val="0"/>
                <w:kern w:val="0"/>
                <w:sz w:val="27"/>
                <w:szCs w:val="27"/>
              </w:rPr>
              <w:t>4.招标文件的获取</w:t>
            </w:r>
          </w:p>
        </w:tc>
      </w:tr>
      <w:tr w14:paraId="0103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0AE39BBD">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val="0"/>
                <w:bCs w:val="0"/>
                <w:i w:val="0"/>
                <w:iCs w:val="0"/>
                <w:smallCaps w:val="0"/>
                <w:kern w:val="0"/>
                <w:sz w:val="27"/>
                <w:szCs w:val="27"/>
              </w:rPr>
              <w:t>    2025年11月07日17时04分至投标文件递交的截止时间止（不少于30日），由潜在投标人登录全国公共资源交易平台（广西壮族自治区）网站免费下载招标文件。</w:t>
            </w:r>
          </w:p>
        </w:tc>
      </w:tr>
      <w:tr w14:paraId="231C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208AB612">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bCs/>
                <w:i w:val="0"/>
                <w:iCs w:val="0"/>
                <w:smallCaps w:val="0"/>
                <w:kern w:val="0"/>
                <w:sz w:val="27"/>
                <w:szCs w:val="27"/>
              </w:rPr>
              <w:t>5.投标文件的提交及不见面开标说明</w:t>
            </w:r>
          </w:p>
        </w:tc>
      </w:tr>
      <w:tr w14:paraId="5AF0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5ECB9C27">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val="0"/>
                <w:bCs w:val="0"/>
                <w:i w:val="0"/>
                <w:iCs w:val="0"/>
                <w:smallCaps w:val="0"/>
                <w:kern w:val="0"/>
                <w:sz w:val="27"/>
                <w:szCs w:val="27"/>
              </w:rPr>
              <w:t xml:space="preserve">    5.1 投标文件应通过全国公共资源交易平台（广西壮族自治区）http://ggzy.jgswj.gxzf.gov.cn/提交，截止时间（投标截止时间，下同）为。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5.2 投标人须在投标截止前将加密的投标文件（含弹出的输入框中需填写的专职投标员、拟投入的项目主要管理人员身份证信息）通过全国公共资源交易平台（广西壮族自治区）http://ggzy.jgswj.gxzf.gov.cn/成功上传。投标截止公布投标人名单后，由招标代理机构点击进入投标人签到、投标文件解密环节，签到、解密时间为60分钟。在签到、解密时间结束前投标人须通过广西壮族自治区网上开标子系统（http://117.141.152.153:9080/BidOpening/）使用专职投标员个人CA锁签到，使用加密投标文件的CA锁解密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通过广西壮族自治区网上开标子系统自动验证有效，否则，视为投标人撤销其投标文件。（注：投标单位在制作电子投标文件过程中，须在弹出的输入框中填写专职投标员及拟投入的项目主要管理人员身份证信息并仔细确认。）投标人拟投入工程总承包项目经理或施工项目经理被标注为注册状态异常的，拟投入的工程总承包项目经理或施工项目经理本人须持本人身份证原件（或公安系统生成的电子身份证）出席开标会现场，否则招标人有权拒绝该投标人投标。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5.3 广西壮族自治区网上开标子系统（不见面）登录方式：各投标人使用IE浏览器（IE11版本）打开登录页面（登录地址：http://117.141.152.153:9080/BidOpening/），使用CA锁或“桂交易移动CA”登录。使用“桂交易移动CA”投标的操作流程，详见</w:t>
            </w:r>
            <w:r>
              <w:rPr>
                <w:rStyle w:val="4"/>
                <w:rFonts w:ascii="宋体" w:hAnsi="宋体" w:cs="宋体"/>
                <w:b w:val="0"/>
                <w:bCs w:val="0"/>
                <w:i w:val="0"/>
                <w:iCs w:val="0"/>
                <w:smallCaps w:val="0"/>
                <w:kern w:val="0"/>
                <w:sz w:val="27"/>
                <w:szCs w:val="27"/>
              </w:rPr>
              <w:fldChar w:fldCharType="begin"/>
            </w:r>
            <w:r>
              <w:rPr>
                <w:rStyle w:val="4"/>
                <w:rFonts w:ascii="宋体" w:hAnsi="宋体" w:cs="宋体"/>
                <w:b w:val="0"/>
                <w:bCs w:val="0"/>
                <w:i w:val="0"/>
                <w:iCs w:val="0"/>
                <w:smallCaps w:val="0"/>
                <w:kern w:val="0"/>
                <w:sz w:val="27"/>
                <w:szCs w:val="27"/>
              </w:rPr>
              <w:instrText xml:space="preserve"> HYPERLINK "http://ggzy.jgswj.gxzf.gov.cn/gxggzy/gywm/004021/004021001/20211123/185f3a63-1ec6-4c75-a0c9-4aeedfdacda9.html" \t "_blank" </w:instrText>
            </w:r>
            <w:r>
              <w:rPr>
                <w:rStyle w:val="4"/>
                <w:rFonts w:ascii="宋体" w:hAnsi="宋体" w:cs="宋体"/>
                <w:b w:val="0"/>
                <w:bCs w:val="0"/>
                <w:i w:val="0"/>
                <w:iCs w:val="0"/>
                <w:smallCaps w:val="0"/>
                <w:kern w:val="0"/>
                <w:sz w:val="27"/>
                <w:szCs w:val="27"/>
              </w:rPr>
              <w:fldChar w:fldCharType="separate"/>
            </w:r>
            <w:r>
              <w:rPr>
                <w:rStyle w:val="4"/>
                <w:rFonts w:ascii="宋体" w:hAnsi="宋体" w:cs="宋体"/>
                <w:b w:val="0"/>
                <w:bCs w:val="0"/>
                <w:i w:val="0"/>
                <w:iCs w:val="0"/>
                <w:smallCaps w:val="0"/>
                <w:color w:val="0000EE"/>
                <w:kern w:val="0"/>
                <w:sz w:val="27"/>
                <w:szCs w:val="27"/>
                <w:u w:val="single"/>
              </w:rPr>
              <w:t>“桂交易移动CA”APP下载</w:t>
            </w:r>
            <w:r>
              <w:rPr>
                <w:rStyle w:val="4"/>
                <w:rFonts w:ascii="宋体" w:hAnsi="宋体" w:cs="宋体"/>
                <w:b w:val="0"/>
                <w:bCs w:val="0"/>
                <w:i w:val="0"/>
                <w:iCs w:val="0"/>
                <w:smallCaps w:val="0"/>
                <w:color w:val="0000EE"/>
                <w:kern w:val="0"/>
                <w:sz w:val="27"/>
                <w:szCs w:val="27"/>
                <w:u w:val="single"/>
              </w:rPr>
              <w:fldChar w:fldCharType="end"/>
            </w:r>
            <w:r>
              <w:rPr>
                <w:rStyle w:val="4"/>
                <w:rFonts w:ascii="宋体" w:hAnsi="宋体" w:cs="宋体"/>
                <w:b w:val="0"/>
                <w:bCs w:val="0"/>
                <w:i w:val="0"/>
                <w:iCs w:val="0"/>
                <w:smallCaps w:val="0"/>
                <w:kern w:val="0"/>
                <w:sz w:val="27"/>
                <w:szCs w:val="27"/>
              </w:rPr>
              <w:t xml:space="preserve">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xml:space="preserve">    5.4 以“桂交易移动CA”制作的投标文件，只能用生成投标文件时加密投标文件的“桂交易移动CA”证书解密。以CA锁制作的投标文件，只能用生成投标文件时加密投标文件CA证书解密。 </w:t>
            </w:r>
          </w:p>
        </w:tc>
      </w:tr>
      <w:tr w14:paraId="5603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40F1C2C4">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bCs/>
                <w:i w:val="0"/>
                <w:iCs w:val="0"/>
                <w:smallCaps w:val="0"/>
                <w:kern w:val="0"/>
                <w:sz w:val="27"/>
                <w:szCs w:val="27"/>
              </w:rPr>
              <w:t>6.预付款和进度款支付方式</w:t>
            </w:r>
          </w:p>
        </w:tc>
      </w:tr>
      <w:tr w14:paraId="0DC1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4B103AFA">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val="0"/>
                <w:bCs w:val="0"/>
                <w:i w:val="0"/>
                <w:iCs w:val="0"/>
                <w:smallCaps w:val="0"/>
                <w:kern w:val="0"/>
                <w:sz w:val="27"/>
                <w:szCs w:val="27"/>
              </w:rPr>
              <w:t xml:space="preserve">    预付款支付比例或金额：详见招标文件合同条款【备注：政府投资项目应严格执行工程预付款制度，工程预付款应不低于合同总价（扣除暂列金额）的10%（最高不超过30%，并与工程进度款分期按约定比例抵扣）】 </w:t>
            </w:r>
            <w:r>
              <w:rPr>
                <w:rStyle w:val="4"/>
                <w:rFonts w:ascii="宋体" w:hAnsi="宋体" w:cs="宋体"/>
                <w:b w:val="0"/>
                <w:bCs w:val="0"/>
                <w:i w:val="0"/>
                <w:iCs w:val="0"/>
                <w:smallCaps w:val="0"/>
                <w:kern w:val="0"/>
                <w:sz w:val="27"/>
                <w:szCs w:val="27"/>
              </w:rPr>
              <w:br w:type="textWrapping"/>
            </w:r>
            <w:r>
              <w:rPr>
                <w:rStyle w:val="4"/>
                <w:rFonts w:ascii="宋体" w:hAnsi="宋体" w:cs="宋体"/>
                <w:b w:val="0"/>
                <w:bCs w:val="0"/>
                <w:i w:val="0"/>
                <w:iCs w:val="0"/>
                <w:smallCaps w:val="0"/>
                <w:kern w:val="0"/>
                <w:sz w:val="27"/>
                <w:szCs w:val="27"/>
              </w:rPr>
              <w:t>    进度款支付方式：合同内按工程计量周期内完成工程量的详见招标文件合同条款，合同外按工程计量周期完成工程量的详见招标文件合同条款。【政府机关、事业单位、国有企业建设工程进度款支付应不低于已完成工程价款的80%，含尚未抵扣的工程预付款。】</w:t>
            </w:r>
          </w:p>
        </w:tc>
      </w:tr>
      <w:tr w14:paraId="266E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2AA16733">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bCs/>
                <w:i w:val="0"/>
                <w:iCs w:val="0"/>
                <w:smallCaps w:val="0"/>
                <w:kern w:val="0"/>
                <w:sz w:val="27"/>
                <w:szCs w:val="27"/>
              </w:rPr>
              <w:t>7.发布公告的媒介</w:t>
            </w:r>
          </w:p>
        </w:tc>
      </w:tr>
      <w:tr w14:paraId="3F876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1947336C">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val="0"/>
                <w:bCs w:val="0"/>
                <w:i w:val="0"/>
                <w:iCs w:val="0"/>
                <w:smallCaps w:val="0"/>
                <w:kern w:val="0"/>
                <w:sz w:val="27"/>
                <w:szCs w:val="27"/>
              </w:rPr>
              <w:t xml:space="preserve">    本次招标公告同时在中国招标投标公共服务平台（http://www.cebpubservice.com/）、广西壮族自治区招标投标公共服务平台http://zbtb.gxi.gov.cn:9000/、全国公共资源交易平台(广西·南宁)(http://ggzy.jgswj.gxzf.gov.cn/nnggzy/）（公告发布媒介包含但不限于上述媒介）发布。（备注：实行招标投标的政府采购工程项目还应当同时在中国政府采购网www.ccgp.gov.cn、广西壮族自治区政府采购网zfcg.gxzf.gov.cn上发布）。 </w:t>
            </w:r>
          </w:p>
        </w:tc>
      </w:tr>
      <w:tr w14:paraId="223A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3F5F9206">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bCs/>
                <w:i w:val="0"/>
                <w:iCs w:val="0"/>
                <w:smallCaps w:val="0"/>
                <w:kern w:val="0"/>
                <w:sz w:val="27"/>
                <w:szCs w:val="27"/>
              </w:rPr>
              <w:t>8.交易服务单位</w:t>
            </w:r>
          </w:p>
        </w:tc>
      </w:tr>
      <w:tr w14:paraId="7C37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5EEA780D">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val="0"/>
                <w:bCs w:val="0"/>
                <w:i w:val="0"/>
                <w:iCs w:val="0"/>
                <w:smallCaps w:val="0"/>
                <w:kern w:val="0"/>
                <w:sz w:val="27"/>
                <w:szCs w:val="27"/>
              </w:rPr>
              <w:t xml:space="preserve">    南宁市公共资源交易中心。 </w:t>
            </w:r>
          </w:p>
        </w:tc>
      </w:tr>
      <w:tr w14:paraId="1A4F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67ED0BE0">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bCs/>
                <w:i w:val="0"/>
                <w:iCs w:val="0"/>
                <w:smallCaps w:val="0"/>
                <w:kern w:val="0"/>
                <w:sz w:val="27"/>
                <w:szCs w:val="27"/>
              </w:rPr>
              <w:t>9.监督部门及电话</w:t>
            </w:r>
          </w:p>
        </w:tc>
      </w:tr>
      <w:tr w14:paraId="4D51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6EE426F2">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val="0"/>
                <w:bCs w:val="0"/>
                <w:i w:val="0"/>
                <w:iCs w:val="0"/>
                <w:smallCaps w:val="0"/>
                <w:kern w:val="0"/>
                <w:sz w:val="27"/>
                <w:szCs w:val="27"/>
              </w:rPr>
              <w:t xml:space="preserve">    南宁市武鸣区住房和城乡规划建设局招标投标办公室(监督电话:0771-6227863)。 </w:t>
            </w:r>
          </w:p>
        </w:tc>
      </w:tr>
      <w:tr w14:paraId="4D24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32DBA753">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bCs/>
                <w:i w:val="0"/>
                <w:iCs w:val="0"/>
                <w:smallCaps w:val="0"/>
                <w:kern w:val="0"/>
                <w:sz w:val="27"/>
                <w:szCs w:val="27"/>
              </w:rPr>
              <w:t>10.注意事项</w:t>
            </w:r>
          </w:p>
        </w:tc>
      </w:tr>
      <w:tr w14:paraId="43357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6E25028D">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val="0"/>
                <w:bCs w:val="0"/>
                <w:i w:val="0"/>
                <w:iCs w:val="0"/>
                <w:smallCaps w:val="0"/>
                <w:kern w:val="0"/>
                <w:sz w:val="27"/>
                <w:szCs w:val="27"/>
              </w:rPr>
              <w:t>    潜在投标人必须录入“桂建云”系统，“桂建云”系统登录地址：http://gxjzsc.caihcloud.com/。由于“桂建云”与全国建筑市场监管公共服务平台(以下简称全国平台)相关信息同步存在时间差（企业每次登录“桂建云”时自动同步全国平台数据），投标人应自行预留足够的时间，至少提前24小时将所需投标材料下行至“桂建云”，若因投标人原因未能同步的，后果自行负责。</w:t>
            </w:r>
          </w:p>
        </w:tc>
      </w:tr>
      <w:tr w14:paraId="3D2D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257D494A">
            <w:pPr>
              <w:widowControl/>
              <w:spacing w:line="675" w:lineRule="atLeast"/>
              <w:jc w:val="left"/>
              <w:rPr>
                <w:rStyle w:val="4"/>
                <w:rFonts w:ascii="宋体" w:hAnsi="宋体" w:cs="宋体"/>
                <w:b w:val="0"/>
                <w:bCs w:val="0"/>
                <w:i w:val="0"/>
                <w:iCs w:val="0"/>
                <w:smallCaps w:val="0"/>
                <w:kern w:val="0"/>
                <w:sz w:val="27"/>
                <w:szCs w:val="27"/>
              </w:rPr>
            </w:pPr>
            <w:r>
              <w:rPr>
                <w:rStyle w:val="4"/>
                <w:rFonts w:ascii="宋体" w:hAnsi="宋体" w:cs="宋体"/>
                <w:b/>
                <w:bCs/>
                <w:i w:val="0"/>
                <w:iCs w:val="0"/>
                <w:smallCaps w:val="0"/>
                <w:kern w:val="0"/>
                <w:sz w:val="27"/>
                <w:szCs w:val="27"/>
              </w:rPr>
              <w:t>11.联系方式</w:t>
            </w:r>
          </w:p>
        </w:tc>
      </w:tr>
      <w:tr w14:paraId="36E3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89"/>
              <w:gridCol w:w="3930"/>
              <w:gridCol w:w="1005"/>
              <w:gridCol w:w="4022"/>
            </w:tblGrid>
            <w:tr w14:paraId="0703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11B64ABE">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招标人:</w:t>
                  </w:r>
                </w:p>
              </w:tc>
              <w:tc>
                <w:tcPr>
                  <w:tcW w:w="0" w:type="auto"/>
                  <w:noWrap w:val="0"/>
                  <w:tcMar>
                    <w:top w:w="15" w:type="dxa"/>
                    <w:left w:w="15" w:type="dxa"/>
                    <w:bottom w:w="15" w:type="dxa"/>
                    <w:right w:w="15" w:type="dxa"/>
                  </w:tcMar>
                  <w:vAlign w:val="center"/>
                </w:tcPr>
                <w:p w14:paraId="2B73369E">
                  <w:pPr>
                    <w:widowControl/>
                    <w:jc w:val="lef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南宁市武鸣区住房和城乡建设局（需盖企业章及法人签字）</w:t>
                  </w:r>
                </w:p>
              </w:tc>
              <w:tc>
                <w:tcPr>
                  <w:tcW w:w="0" w:type="auto"/>
                  <w:noWrap w:val="0"/>
                  <w:tcMar>
                    <w:top w:w="15" w:type="dxa"/>
                    <w:left w:w="15" w:type="dxa"/>
                    <w:bottom w:w="15" w:type="dxa"/>
                    <w:right w:w="15" w:type="dxa"/>
                  </w:tcMar>
                  <w:vAlign w:val="center"/>
                </w:tcPr>
                <w:p w14:paraId="747B3E1A">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招标代理机构:</w:t>
                  </w:r>
                </w:p>
              </w:tc>
              <w:tc>
                <w:tcPr>
                  <w:tcW w:w="0" w:type="auto"/>
                  <w:noWrap w:val="0"/>
                  <w:tcMar>
                    <w:top w:w="15" w:type="dxa"/>
                    <w:left w:w="15" w:type="dxa"/>
                    <w:bottom w:w="15" w:type="dxa"/>
                    <w:right w:w="15" w:type="dxa"/>
                  </w:tcMar>
                  <w:vAlign w:val="center"/>
                </w:tcPr>
                <w:p w14:paraId="4E5765C5">
                  <w:pPr>
                    <w:widowControl/>
                    <w:jc w:val="lef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江西银信工程造价咨询有限公司（需盖企业章及法人签字）</w:t>
                  </w:r>
                </w:p>
              </w:tc>
            </w:tr>
            <w:tr w14:paraId="693E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7D131DA6">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地址:</w:t>
                  </w:r>
                </w:p>
              </w:tc>
              <w:tc>
                <w:tcPr>
                  <w:tcW w:w="0" w:type="auto"/>
                  <w:noWrap w:val="0"/>
                  <w:tcMar>
                    <w:top w:w="15" w:type="dxa"/>
                    <w:left w:w="15" w:type="dxa"/>
                    <w:bottom w:w="15" w:type="dxa"/>
                    <w:right w:w="15" w:type="dxa"/>
                  </w:tcMar>
                  <w:vAlign w:val="center"/>
                </w:tcPr>
                <w:p w14:paraId="0653D2C0">
                  <w:pPr>
                    <w:widowControl/>
                    <w:jc w:val="lef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南宁市武鸣区起凤路3号</w:t>
                  </w:r>
                </w:p>
              </w:tc>
              <w:tc>
                <w:tcPr>
                  <w:tcW w:w="0" w:type="auto"/>
                  <w:noWrap w:val="0"/>
                  <w:tcMar>
                    <w:top w:w="15" w:type="dxa"/>
                    <w:left w:w="15" w:type="dxa"/>
                    <w:bottom w:w="15" w:type="dxa"/>
                    <w:right w:w="15" w:type="dxa"/>
                  </w:tcMar>
                  <w:vAlign w:val="center"/>
                </w:tcPr>
                <w:p w14:paraId="082096F2">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地址:</w:t>
                  </w:r>
                </w:p>
              </w:tc>
              <w:tc>
                <w:tcPr>
                  <w:tcW w:w="0" w:type="auto"/>
                  <w:noWrap w:val="0"/>
                  <w:tcMar>
                    <w:top w:w="15" w:type="dxa"/>
                    <w:left w:w="15" w:type="dxa"/>
                    <w:bottom w:w="15" w:type="dxa"/>
                    <w:right w:w="15" w:type="dxa"/>
                  </w:tcMar>
                  <w:vAlign w:val="center"/>
                </w:tcPr>
                <w:p w14:paraId="0EF3815F">
                  <w:pPr>
                    <w:widowControl/>
                    <w:jc w:val="lef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南宁市青秀区民族大道159号凤岭新新家园A区2栋23层</w:t>
                  </w:r>
                </w:p>
              </w:tc>
            </w:tr>
            <w:tr w14:paraId="1CB8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2EA935CF">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邮编:</w:t>
                  </w:r>
                </w:p>
              </w:tc>
              <w:tc>
                <w:tcPr>
                  <w:tcW w:w="0" w:type="auto"/>
                  <w:noWrap w:val="0"/>
                  <w:tcMar>
                    <w:top w:w="15" w:type="dxa"/>
                    <w:left w:w="15" w:type="dxa"/>
                    <w:bottom w:w="15" w:type="dxa"/>
                    <w:right w:w="15" w:type="dxa"/>
                  </w:tcMar>
                  <w:vAlign w:val="center"/>
                </w:tcPr>
                <w:p w14:paraId="33E7AE94">
                  <w:pPr>
                    <w:widowControl/>
                    <w:jc w:val="lef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530000</w:t>
                  </w:r>
                </w:p>
              </w:tc>
              <w:tc>
                <w:tcPr>
                  <w:tcW w:w="0" w:type="auto"/>
                  <w:noWrap w:val="0"/>
                  <w:tcMar>
                    <w:top w:w="15" w:type="dxa"/>
                    <w:left w:w="15" w:type="dxa"/>
                    <w:bottom w:w="15" w:type="dxa"/>
                    <w:right w:w="15" w:type="dxa"/>
                  </w:tcMar>
                  <w:vAlign w:val="center"/>
                </w:tcPr>
                <w:p w14:paraId="182EFBCD">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邮编:</w:t>
                  </w:r>
                </w:p>
              </w:tc>
              <w:tc>
                <w:tcPr>
                  <w:tcW w:w="0" w:type="auto"/>
                  <w:noWrap w:val="0"/>
                  <w:tcMar>
                    <w:top w:w="15" w:type="dxa"/>
                    <w:left w:w="15" w:type="dxa"/>
                    <w:bottom w:w="15" w:type="dxa"/>
                    <w:right w:w="15" w:type="dxa"/>
                  </w:tcMar>
                  <w:vAlign w:val="center"/>
                </w:tcPr>
                <w:p w14:paraId="610D4419">
                  <w:pPr>
                    <w:widowControl/>
                    <w:jc w:val="lef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530000</w:t>
                  </w:r>
                </w:p>
              </w:tc>
            </w:tr>
            <w:tr w14:paraId="56E8C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4F2069F9">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联系人:</w:t>
                  </w:r>
                </w:p>
              </w:tc>
              <w:tc>
                <w:tcPr>
                  <w:tcW w:w="0" w:type="auto"/>
                  <w:noWrap w:val="0"/>
                  <w:tcMar>
                    <w:top w:w="15" w:type="dxa"/>
                    <w:left w:w="15" w:type="dxa"/>
                    <w:bottom w:w="15" w:type="dxa"/>
                    <w:right w:w="15" w:type="dxa"/>
                  </w:tcMar>
                  <w:vAlign w:val="center"/>
                </w:tcPr>
                <w:p w14:paraId="110C8866">
                  <w:pPr>
                    <w:widowControl/>
                    <w:jc w:val="lef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罗工</w:t>
                  </w:r>
                </w:p>
              </w:tc>
              <w:tc>
                <w:tcPr>
                  <w:tcW w:w="0" w:type="auto"/>
                  <w:noWrap w:val="0"/>
                  <w:tcMar>
                    <w:top w:w="15" w:type="dxa"/>
                    <w:left w:w="15" w:type="dxa"/>
                    <w:bottom w:w="15" w:type="dxa"/>
                    <w:right w:w="15" w:type="dxa"/>
                  </w:tcMar>
                  <w:vAlign w:val="center"/>
                </w:tcPr>
                <w:p w14:paraId="165591BC">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联系人:</w:t>
                  </w:r>
                </w:p>
              </w:tc>
              <w:tc>
                <w:tcPr>
                  <w:tcW w:w="0" w:type="auto"/>
                  <w:noWrap w:val="0"/>
                  <w:tcMar>
                    <w:top w:w="15" w:type="dxa"/>
                    <w:left w:w="15" w:type="dxa"/>
                    <w:bottom w:w="15" w:type="dxa"/>
                    <w:right w:w="15" w:type="dxa"/>
                  </w:tcMar>
                  <w:vAlign w:val="center"/>
                </w:tcPr>
                <w:p w14:paraId="7C4D9DFC">
                  <w:pPr>
                    <w:widowControl/>
                    <w:jc w:val="lef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吕工</w:t>
                  </w:r>
                </w:p>
              </w:tc>
            </w:tr>
            <w:tr w14:paraId="6476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49AD494E">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电话:</w:t>
                  </w:r>
                </w:p>
              </w:tc>
              <w:tc>
                <w:tcPr>
                  <w:tcW w:w="0" w:type="auto"/>
                  <w:noWrap w:val="0"/>
                  <w:tcMar>
                    <w:top w:w="15" w:type="dxa"/>
                    <w:left w:w="15" w:type="dxa"/>
                    <w:bottom w:w="15" w:type="dxa"/>
                    <w:right w:w="15" w:type="dxa"/>
                  </w:tcMar>
                  <w:vAlign w:val="center"/>
                </w:tcPr>
                <w:p w14:paraId="514979B7">
                  <w:pPr>
                    <w:widowControl/>
                    <w:jc w:val="lef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0771-6238192</w:t>
                  </w:r>
                </w:p>
              </w:tc>
              <w:tc>
                <w:tcPr>
                  <w:tcW w:w="0" w:type="auto"/>
                  <w:noWrap w:val="0"/>
                  <w:tcMar>
                    <w:top w:w="15" w:type="dxa"/>
                    <w:left w:w="15" w:type="dxa"/>
                    <w:bottom w:w="15" w:type="dxa"/>
                    <w:right w:w="15" w:type="dxa"/>
                  </w:tcMar>
                  <w:vAlign w:val="center"/>
                </w:tcPr>
                <w:p w14:paraId="568F518C">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电话:</w:t>
                  </w:r>
                </w:p>
              </w:tc>
              <w:tc>
                <w:tcPr>
                  <w:tcW w:w="0" w:type="auto"/>
                  <w:noWrap w:val="0"/>
                  <w:tcMar>
                    <w:top w:w="15" w:type="dxa"/>
                    <w:left w:w="15" w:type="dxa"/>
                    <w:bottom w:w="15" w:type="dxa"/>
                    <w:right w:w="15" w:type="dxa"/>
                  </w:tcMar>
                  <w:vAlign w:val="center"/>
                </w:tcPr>
                <w:p w14:paraId="6443F13C">
                  <w:pPr>
                    <w:widowControl/>
                    <w:jc w:val="lef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0771-5383211</w:t>
                  </w:r>
                </w:p>
              </w:tc>
            </w:tr>
            <w:tr w14:paraId="3BD3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7C4A4641">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传真:</w:t>
                  </w:r>
                </w:p>
              </w:tc>
              <w:tc>
                <w:tcPr>
                  <w:tcW w:w="0" w:type="auto"/>
                  <w:noWrap w:val="0"/>
                  <w:tcMar>
                    <w:top w:w="15" w:type="dxa"/>
                    <w:left w:w="15" w:type="dxa"/>
                    <w:bottom w:w="15" w:type="dxa"/>
                    <w:right w:w="15" w:type="dxa"/>
                  </w:tcMar>
                  <w:vAlign w:val="center"/>
                </w:tcPr>
                <w:p w14:paraId="20170177">
                  <w:pPr>
                    <w:widowControl/>
                    <w:jc w:val="lef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w:t>
                  </w:r>
                </w:p>
              </w:tc>
              <w:tc>
                <w:tcPr>
                  <w:tcW w:w="0" w:type="auto"/>
                  <w:noWrap w:val="0"/>
                  <w:tcMar>
                    <w:top w:w="15" w:type="dxa"/>
                    <w:left w:w="15" w:type="dxa"/>
                    <w:bottom w:w="15" w:type="dxa"/>
                    <w:right w:w="15" w:type="dxa"/>
                  </w:tcMar>
                  <w:vAlign w:val="center"/>
                </w:tcPr>
                <w:p w14:paraId="1D73BC36">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传真:</w:t>
                  </w:r>
                </w:p>
              </w:tc>
              <w:tc>
                <w:tcPr>
                  <w:tcW w:w="0" w:type="auto"/>
                  <w:noWrap w:val="0"/>
                  <w:tcMar>
                    <w:top w:w="15" w:type="dxa"/>
                    <w:left w:w="15" w:type="dxa"/>
                    <w:bottom w:w="15" w:type="dxa"/>
                    <w:right w:w="15" w:type="dxa"/>
                  </w:tcMar>
                  <w:vAlign w:val="center"/>
                </w:tcPr>
                <w:p w14:paraId="1047A74F">
                  <w:pPr>
                    <w:widowControl/>
                    <w:jc w:val="lef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0791-86162786</w:t>
                  </w:r>
                </w:p>
              </w:tc>
            </w:tr>
            <w:tr w14:paraId="7E15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1FD8C00F">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电子邮箱:</w:t>
                  </w:r>
                </w:p>
              </w:tc>
              <w:tc>
                <w:tcPr>
                  <w:tcW w:w="0" w:type="auto"/>
                  <w:noWrap w:val="0"/>
                  <w:tcMar>
                    <w:top w:w="15" w:type="dxa"/>
                    <w:left w:w="15" w:type="dxa"/>
                    <w:bottom w:w="15" w:type="dxa"/>
                    <w:right w:w="15" w:type="dxa"/>
                  </w:tcMar>
                  <w:vAlign w:val="center"/>
                </w:tcPr>
                <w:p w14:paraId="5814BECD">
                  <w:pPr>
                    <w:widowControl/>
                    <w:jc w:val="left"/>
                    <w:rPr>
                      <w:rStyle w:val="4"/>
                      <w:rFonts w:ascii="宋体" w:hAnsi="宋体" w:cs="宋体"/>
                      <w:b w:val="0"/>
                      <w:bCs w:val="0"/>
                      <w:i w:val="0"/>
                      <w:iCs w:val="0"/>
                      <w:smallCaps w:val="0"/>
                      <w:kern w:val="0"/>
                      <w:sz w:val="29"/>
                      <w:szCs w:val="29"/>
                    </w:rPr>
                  </w:pPr>
                </w:p>
              </w:tc>
              <w:tc>
                <w:tcPr>
                  <w:tcW w:w="0" w:type="auto"/>
                  <w:noWrap w:val="0"/>
                  <w:tcMar>
                    <w:top w:w="15" w:type="dxa"/>
                    <w:left w:w="15" w:type="dxa"/>
                    <w:bottom w:w="15" w:type="dxa"/>
                    <w:right w:w="15" w:type="dxa"/>
                  </w:tcMar>
                  <w:vAlign w:val="center"/>
                </w:tcPr>
                <w:p w14:paraId="4C287157">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电子邮箱:</w:t>
                  </w:r>
                </w:p>
              </w:tc>
              <w:tc>
                <w:tcPr>
                  <w:tcW w:w="0" w:type="auto"/>
                  <w:noWrap w:val="0"/>
                  <w:tcMar>
                    <w:top w:w="15" w:type="dxa"/>
                    <w:left w:w="15" w:type="dxa"/>
                    <w:bottom w:w="15" w:type="dxa"/>
                    <w:right w:w="15" w:type="dxa"/>
                  </w:tcMar>
                  <w:vAlign w:val="center"/>
                </w:tcPr>
                <w:p w14:paraId="23A84903">
                  <w:pPr>
                    <w:widowControl/>
                    <w:jc w:val="left"/>
                    <w:rPr>
                      <w:rStyle w:val="4"/>
                      <w:rFonts w:ascii="宋体" w:hAnsi="宋体" w:cs="宋体"/>
                      <w:b w:val="0"/>
                      <w:bCs w:val="0"/>
                      <w:i w:val="0"/>
                      <w:iCs w:val="0"/>
                      <w:smallCaps w:val="0"/>
                      <w:kern w:val="0"/>
                      <w:sz w:val="29"/>
                      <w:szCs w:val="29"/>
                    </w:rPr>
                  </w:pPr>
                </w:p>
              </w:tc>
            </w:tr>
            <w:tr w14:paraId="3CDA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noWrap w:val="0"/>
                  <w:tcMar>
                    <w:top w:w="15" w:type="dxa"/>
                    <w:left w:w="15" w:type="dxa"/>
                    <w:bottom w:w="15" w:type="dxa"/>
                    <w:right w:w="15" w:type="dxa"/>
                  </w:tcMar>
                  <w:vAlign w:val="center"/>
                </w:tcPr>
                <w:p w14:paraId="6B015FB0">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网址:</w:t>
                  </w:r>
                </w:p>
              </w:tc>
              <w:tc>
                <w:tcPr>
                  <w:tcW w:w="0" w:type="auto"/>
                  <w:noWrap w:val="0"/>
                  <w:tcMar>
                    <w:top w:w="15" w:type="dxa"/>
                    <w:left w:w="15" w:type="dxa"/>
                    <w:bottom w:w="15" w:type="dxa"/>
                    <w:right w:w="15" w:type="dxa"/>
                  </w:tcMar>
                  <w:vAlign w:val="center"/>
                </w:tcPr>
                <w:p w14:paraId="15F063E8">
                  <w:pPr>
                    <w:widowControl/>
                    <w:jc w:val="left"/>
                    <w:rPr>
                      <w:rStyle w:val="4"/>
                      <w:rFonts w:ascii="宋体" w:hAnsi="宋体" w:cs="宋体"/>
                      <w:b w:val="0"/>
                      <w:bCs w:val="0"/>
                      <w:i w:val="0"/>
                      <w:iCs w:val="0"/>
                      <w:smallCaps w:val="0"/>
                      <w:kern w:val="0"/>
                      <w:sz w:val="29"/>
                      <w:szCs w:val="29"/>
                    </w:rPr>
                  </w:pPr>
                </w:p>
              </w:tc>
              <w:tc>
                <w:tcPr>
                  <w:tcW w:w="0" w:type="auto"/>
                  <w:noWrap w:val="0"/>
                  <w:tcMar>
                    <w:top w:w="15" w:type="dxa"/>
                    <w:left w:w="15" w:type="dxa"/>
                    <w:bottom w:w="15" w:type="dxa"/>
                    <w:right w:w="15" w:type="dxa"/>
                  </w:tcMar>
                  <w:vAlign w:val="center"/>
                </w:tcPr>
                <w:p w14:paraId="716DAA24">
                  <w:pPr>
                    <w:widowControl/>
                    <w:jc w:val="right"/>
                    <w:rPr>
                      <w:rStyle w:val="4"/>
                      <w:rFonts w:ascii="宋体" w:hAnsi="宋体" w:cs="宋体"/>
                      <w:b w:val="0"/>
                      <w:bCs w:val="0"/>
                      <w:i w:val="0"/>
                      <w:iCs w:val="0"/>
                      <w:smallCaps w:val="0"/>
                      <w:kern w:val="0"/>
                      <w:sz w:val="29"/>
                      <w:szCs w:val="29"/>
                    </w:rPr>
                  </w:pPr>
                  <w:r>
                    <w:rPr>
                      <w:rStyle w:val="4"/>
                      <w:rFonts w:ascii="宋体" w:hAnsi="宋体" w:cs="宋体"/>
                      <w:b w:val="0"/>
                      <w:bCs w:val="0"/>
                      <w:i w:val="0"/>
                      <w:iCs w:val="0"/>
                      <w:smallCaps w:val="0"/>
                      <w:kern w:val="0"/>
                      <w:sz w:val="29"/>
                      <w:szCs w:val="29"/>
                    </w:rPr>
                    <w:t>网址:</w:t>
                  </w:r>
                </w:p>
              </w:tc>
              <w:tc>
                <w:tcPr>
                  <w:tcW w:w="0" w:type="auto"/>
                  <w:noWrap w:val="0"/>
                  <w:tcMar>
                    <w:top w:w="15" w:type="dxa"/>
                    <w:left w:w="15" w:type="dxa"/>
                    <w:bottom w:w="15" w:type="dxa"/>
                    <w:right w:w="15" w:type="dxa"/>
                  </w:tcMar>
                  <w:vAlign w:val="center"/>
                </w:tcPr>
                <w:p w14:paraId="6FB9E54A">
                  <w:pPr>
                    <w:widowControl/>
                    <w:jc w:val="left"/>
                    <w:rPr>
                      <w:rStyle w:val="4"/>
                      <w:rFonts w:ascii="宋体" w:hAnsi="宋体" w:cs="宋体"/>
                      <w:b w:val="0"/>
                      <w:bCs w:val="0"/>
                      <w:i w:val="0"/>
                      <w:iCs w:val="0"/>
                      <w:smallCaps w:val="0"/>
                      <w:kern w:val="0"/>
                      <w:sz w:val="29"/>
                      <w:szCs w:val="29"/>
                    </w:rPr>
                  </w:pPr>
                </w:p>
              </w:tc>
            </w:tr>
          </w:tbl>
          <w:p w14:paraId="7C236B49">
            <w:pPr>
              <w:widowControl w:val="0"/>
              <w:jc w:val="both"/>
              <w:rPr>
                <w:rStyle w:val="4"/>
                <w:rFonts w:ascii="宋体" w:hAnsi="宋体" w:cs="宋体"/>
                <w:b w:val="0"/>
                <w:bCs w:val="0"/>
                <w:i w:val="0"/>
                <w:iCs w:val="0"/>
                <w:smallCaps w:val="0"/>
                <w:kern w:val="0"/>
                <w:sz w:val="27"/>
                <w:szCs w:val="27"/>
              </w:rPr>
            </w:pPr>
          </w:p>
        </w:tc>
      </w:tr>
      <w:tr w14:paraId="498D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noWrap w:val="0"/>
            <w:tcMar>
              <w:top w:w="15" w:type="dxa"/>
              <w:left w:w="15" w:type="dxa"/>
              <w:bottom w:w="15" w:type="dxa"/>
              <w:right w:w="15" w:type="dxa"/>
            </w:tcMar>
            <w:vAlign w:val="center"/>
          </w:tcPr>
          <w:p w14:paraId="242123FB">
            <w:pPr>
              <w:widowControl/>
              <w:spacing w:line="675" w:lineRule="atLeast"/>
              <w:jc w:val="right"/>
              <w:rPr>
                <w:rStyle w:val="4"/>
                <w:rFonts w:ascii="宋体" w:hAnsi="宋体" w:cs="宋体"/>
                <w:b w:val="0"/>
                <w:bCs w:val="0"/>
                <w:i w:val="0"/>
                <w:iCs w:val="0"/>
                <w:smallCaps w:val="0"/>
                <w:kern w:val="0"/>
                <w:sz w:val="27"/>
                <w:szCs w:val="27"/>
              </w:rPr>
            </w:pPr>
            <w:r>
              <w:rPr>
                <w:rStyle w:val="4"/>
                <w:rFonts w:ascii="宋体" w:hAnsi="宋体" w:cs="宋体"/>
                <w:b w:val="0"/>
                <w:bCs w:val="0"/>
                <w:i w:val="0"/>
                <w:iCs w:val="0"/>
                <w:smallCaps w:val="0"/>
                <w:kern w:val="0"/>
                <w:sz w:val="27"/>
                <w:szCs w:val="27"/>
              </w:rPr>
              <w:t>2025 年 11 月 07 日</w:t>
            </w:r>
          </w:p>
        </w:tc>
      </w:tr>
    </w:tbl>
    <w:p w14:paraId="4906020F">
      <w:bookmarkStart w:id="0" w:name="_GoBack"/>
      <w:bookmarkEnd w:id="0"/>
    </w:p>
    <w:sectPr>
      <w:pgSz w:w="11906" w:h="16838"/>
      <w:pgMar w:top="1440" w:right="1080" w:bottom="1440" w:left="1080"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37B80"/>
    <w:rsid w:val="460761F2"/>
    <w:rsid w:val="4CA460C8"/>
    <w:rsid w:val="5D020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2023-08-23T10:16:00Z</dcterms:created>
  <dc:creator>Administrator</dc:creator>
  <cp:lastModifiedBy>林林</cp:lastModifiedBy>
  <dcterms:modified xsi:type="dcterms:W3CDTF">2025-11-07T11:58:14Z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817E50850FC94A738A16FABC75034EB1_12</vt:lpwstr>
  </property>
  <property fmtid="{D5CDD505-2E9C-101B-9397-08002B2CF9AE}" pid="4" name="KSOTemplateDocerSaveRecord">
    <vt:lpwstr>eyJoZGlkIjoiYzk1NmM1ZGQ5MGQ1NWQxMjM1ZTQ1MGMxYmYxNDgxODciLCJ1c2VySWQiOiI2MDQ5Mjg3MjIifQ==</vt:lpwstr>
  </property>
</Properties>
</file>