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F8F03">
      <w:pPr>
        <w:tabs>
          <w:tab w:val="left" w:pos="3325"/>
          <w:tab w:val="center" w:pos="5000"/>
        </w:tabs>
        <w:autoSpaceDE w:val="0"/>
        <w:autoSpaceDN w:val="0"/>
        <w:adjustRightInd w:val="0"/>
        <w:spacing w:line="360" w:lineRule="auto"/>
        <w:jc w:val="center"/>
        <w:rPr>
          <w:rFonts w:hint="eastAsia" w:ascii="宋体" w:hAnsi="宋体" w:eastAsia="宋体" w:cs="宋体"/>
          <w:color w:val="auto"/>
          <w:kern w:val="0"/>
          <w:sz w:val="56"/>
          <w:szCs w:val="24"/>
          <w:highlight w:val="none"/>
        </w:rPr>
      </w:pPr>
      <w:bookmarkStart w:id="1119" w:name="_GoBack"/>
      <w:bookmarkEnd w:id="1119"/>
      <w:r>
        <w:rPr>
          <w:rFonts w:hint="eastAsia" w:ascii="仿宋" w:hAnsi="仿宋" w:eastAsia="仿宋" w:cs="仿宋"/>
          <w:color w:val="auto"/>
          <w:sz w:val="72"/>
          <w:szCs w:val="72"/>
          <w:highlight w:val="none"/>
          <w:lang w:val="en-US" w:eastAsia="zh-CN"/>
        </w:rPr>
        <w:drawing>
          <wp:inline distT="0" distB="0" distL="114300" distR="114300">
            <wp:extent cx="6461125" cy="1151890"/>
            <wp:effectExtent l="0" t="0" r="0" b="0"/>
            <wp:docPr id="5" name="图片 5" descr="0d529a017487267233e4305831c57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d529a017487267233e4305831c57c3"/>
                    <pic:cNvPicPr>
                      <a:picLocks noChangeAspect="1"/>
                    </pic:cNvPicPr>
                  </pic:nvPicPr>
                  <pic:blipFill>
                    <a:blip r:embed="rId15"/>
                    <a:stretch>
                      <a:fillRect/>
                    </a:stretch>
                  </pic:blipFill>
                  <pic:spPr>
                    <a:xfrm>
                      <a:off x="0" y="0"/>
                      <a:ext cx="6461125" cy="1151890"/>
                    </a:xfrm>
                    <a:prstGeom prst="rect">
                      <a:avLst/>
                    </a:prstGeom>
                    <a:noFill/>
                    <a:ln>
                      <a:noFill/>
                    </a:ln>
                  </pic:spPr>
                </pic:pic>
              </a:graphicData>
            </a:graphic>
          </wp:inline>
        </w:drawing>
      </w:r>
    </w:p>
    <w:p w14:paraId="3A276D58">
      <w:pPr>
        <w:autoSpaceDE w:val="0"/>
        <w:autoSpaceDN w:val="0"/>
        <w:adjustRightInd w:val="0"/>
        <w:spacing w:line="360" w:lineRule="auto"/>
        <w:jc w:val="center"/>
        <w:rPr>
          <w:rFonts w:hint="eastAsia" w:ascii="宋体" w:hAnsi="宋体" w:eastAsia="宋体" w:cs="宋体"/>
          <w:color w:val="auto"/>
          <w:kern w:val="0"/>
          <w:sz w:val="56"/>
          <w:szCs w:val="24"/>
          <w:highlight w:val="none"/>
        </w:rPr>
      </w:pPr>
    </w:p>
    <w:p w14:paraId="36F8A4EE">
      <w:pPr>
        <w:pStyle w:val="28"/>
        <w:rPr>
          <w:rFonts w:hint="eastAsia" w:ascii="宋体" w:hAnsi="宋体" w:eastAsia="宋体" w:cs="宋体"/>
          <w:color w:val="auto"/>
          <w:kern w:val="0"/>
          <w:sz w:val="56"/>
          <w:szCs w:val="24"/>
          <w:highlight w:val="none"/>
        </w:rPr>
      </w:pPr>
    </w:p>
    <w:p w14:paraId="09522340">
      <w:pPr>
        <w:pStyle w:val="28"/>
        <w:rPr>
          <w:rFonts w:hint="eastAsia" w:ascii="宋体" w:hAnsi="宋体" w:eastAsia="宋体" w:cs="宋体"/>
          <w:color w:val="auto"/>
          <w:kern w:val="0"/>
          <w:sz w:val="56"/>
          <w:szCs w:val="24"/>
          <w:highlight w:val="none"/>
        </w:rPr>
      </w:pPr>
    </w:p>
    <w:p w14:paraId="0871A6A0">
      <w:pPr>
        <w:pStyle w:val="28"/>
        <w:rPr>
          <w:rFonts w:hint="eastAsia" w:ascii="宋体" w:hAnsi="宋体" w:eastAsia="宋体" w:cs="宋体"/>
          <w:color w:val="auto"/>
          <w:kern w:val="0"/>
          <w:sz w:val="56"/>
          <w:szCs w:val="24"/>
          <w:highlight w:val="none"/>
        </w:rPr>
      </w:pPr>
    </w:p>
    <w:p w14:paraId="5012A1FE">
      <w:pPr>
        <w:pStyle w:val="28"/>
        <w:rPr>
          <w:rFonts w:hint="eastAsia" w:ascii="宋体" w:hAnsi="宋体" w:eastAsia="宋体" w:cs="宋体"/>
          <w:color w:val="auto"/>
          <w:kern w:val="0"/>
          <w:sz w:val="56"/>
          <w:szCs w:val="24"/>
          <w:highlight w:val="none"/>
        </w:rPr>
      </w:pPr>
    </w:p>
    <w:p w14:paraId="433A5D4F">
      <w:pPr>
        <w:pStyle w:val="28"/>
        <w:rPr>
          <w:rFonts w:hint="eastAsia" w:ascii="宋体" w:hAnsi="宋体" w:eastAsia="宋体" w:cs="宋体"/>
          <w:color w:val="auto"/>
          <w:kern w:val="0"/>
          <w:sz w:val="56"/>
          <w:szCs w:val="24"/>
          <w:highlight w:val="none"/>
        </w:rPr>
      </w:pPr>
    </w:p>
    <w:p w14:paraId="442141BC">
      <w:pPr>
        <w:pStyle w:val="28"/>
        <w:rPr>
          <w:rFonts w:hint="eastAsia" w:ascii="宋体" w:hAnsi="宋体" w:eastAsia="宋体" w:cs="宋体"/>
          <w:color w:val="auto"/>
          <w:kern w:val="0"/>
          <w:sz w:val="56"/>
          <w:szCs w:val="24"/>
          <w:highlight w:val="none"/>
        </w:rPr>
      </w:pPr>
    </w:p>
    <w:p w14:paraId="0A56205C">
      <w:pPr>
        <w:pStyle w:val="28"/>
        <w:rPr>
          <w:rFonts w:hint="eastAsia" w:ascii="宋体" w:hAnsi="宋体" w:eastAsia="宋体" w:cs="宋体"/>
          <w:color w:val="auto"/>
          <w:kern w:val="0"/>
          <w:sz w:val="56"/>
          <w:szCs w:val="24"/>
          <w:highlight w:val="none"/>
        </w:rPr>
      </w:pPr>
    </w:p>
    <w:p w14:paraId="560EBDD9">
      <w:pPr>
        <w:pStyle w:val="28"/>
        <w:rPr>
          <w:rFonts w:hint="eastAsia" w:ascii="宋体" w:hAnsi="宋体" w:eastAsia="宋体" w:cs="宋体"/>
          <w:color w:val="auto"/>
          <w:kern w:val="0"/>
          <w:sz w:val="56"/>
          <w:szCs w:val="24"/>
          <w:highlight w:val="none"/>
        </w:rPr>
      </w:pPr>
    </w:p>
    <w:p w14:paraId="3B5BC40B">
      <w:pPr>
        <w:pStyle w:val="28"/>
        <w:rPr>
          <w:rFonts w:hint="eastAsia" w:ascii="宋体" w:hAnsi="宋体" w:eastAsia="宋体" w:cs="宋体"/>
          <w:color w:val="auto"/>
          <w:kern w:val="0"/>
          <w:sz w:val="56"/>
          <w:szCs w:val="24"/>
          <w:highlight w:val="none"/>
        </w:rPr>
      </w:pPr>
    </w:p>
    <w:p w14:paraId="679A0A5D">
      <w:pPr>
        <w:pStyle w:val="28"/>
        <w:rPr>
          <w:rFonts w:hint="eastAsia" w:ascii="宋体" w:hAnsi="宋体" w:eastAsia="宋体" w:cs="宋体"/>
          <w:color w:val="auto"/>
          <w:kern w:val="0"/>
          <w:sz w:val="56"/>
          <w:szCs w:val="24"/>
          <w:highlight w:val="none"/>
        </w:rPr>
      </w:pPr>
    </w:p>
    <w:p w14:paraId="52E5DBB9">
      <w:pPr>
        <w:pStyle w:val="28"/>
        <w:rPr>
          <w:rFonts w:hint="eastAsia" w:ascii="宋体" w:hAnsi="宋体" w:eastAsia="宋体" w:cs="宋体"/>
          <w:color w:val="auto"/>
          <w:kern w:val="0"/>
          <w:sz w:val="56"/>
          <w:szCs w:val="24"/>
          <w:highlight w:val="none"/>
        </w:rPr>
      </w:pPr>
    </w:p>
    <w:p w14:paraId="25BBCAEA">
      <w:pPr>
        <w:pStyle w:val="28"/>
        <w:rPr>
          <w:rFonts w:hint="eastAsia" w:ascii="宋体" w:hAnsi="宋体" w:eastAsia="宋体" w:cs="宋体"/>
          <w:color w:val="auto"/>
          <w:kern w:val="0"/>
          <w:sz w:val="56"/>
          <w:szCs w:val="24"/>
          <w:highlight w:val="none"/>
        </w:rPr>
      </w:pPr>
    </w:p>
    <w:p w14:paraId="018ABB2C">
      <w:pPr>
        <w:pStyle w:val="28"/>
        <w:rPr>
          <w:rFonts w:hint="eastAsia" w:ascii="宋体" w:hAnsi="宋体" w:eastAsia="宋体" w:cs="宋体"/>
          <w:color w:val="auto"/>
          <w:kern w:val="0"/>
          <w:sz w:val="56"/>
          <w:szCs w:val="24"/>
          <w:highlight w:val="none"/>
        </w:rPr>
      </w:pPr>
    </w:p>
    <w:p w14:paraId="3E4AE241">
      <w:pPr>
        <w:pStyle w:val="28"/>
        <w:rPr>
          <w:rFonts w:hint="eastAsia" w:ascii="宋体" w:hAnsi="宋体" w:eastAsia="宋体" w:cs="宋体"/>
          <w:color w:val="auto"/>
          <w:kern w:val="0"/>
          <w:sz w:val="56"/>
          <w:szCs w:val="24"/>
          <w:highlight w:val="none"/>
        </w:rPr>
      </w:pPr>
    </w:p>
    <w:p w14:paraId="195E30C4">
      <w:pPr>
        <w:pStyle w:val="28"/>
        <w:rPr>
          <w:rFonts w:hint="eastAsia" w:ascii="宋体" w:hAnsi="宋体" w:eastAsia="宋体" w:cs="宋体"/>
          <w:color w:val="auto"/>
        </w:rPr>
      </w:pPr>
    </w:p>
    <w:p w14:paraId="04CBDF3A">
      <w:pPr>
        <w:autoSpaceDE w:val="0"/>
        <w:autoSpaceDN w:val="0"/>
        <w:adjustRightInd w:val="0"/>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6"/>
          <w:szCs w:val="76"/>
          <w:highlight w:val="none"/>
          <w:lang w:eastAsia="zh-CN"/>
        </w:rPr>
        <w:t>竞争性磋商</w:t>
      </w:r>
      <w:r>
        <w:rPr>
          <w:rFonts w:hint="eastAsia" w:ascii="宋体" w:hAnsi="宋体" w:eastAsia="宋体" w:cs="宋体"/>
          <w:b/>
          <w:color w:val="auto"/>
          <w:kern w:val="0"/>
          <w:sz w:val="76"/>
          <w:szCs w:val="76"/>
          <w:highlight w:val="none"/>
        </w:rPr>
        <w:t>采购文件</w:t>
      </w:r>
    </w:p>
    <w:p w14:paraId="247669DA">
      <w:pPr>
        <w:autoSpaceDE w:val="0"/>
        <w:autoSpaceDN w:val="0"/>
        <w:adjustRightInd w:val="0"/>
        <w:spacing w:line="360" w:lineRule="auto"/>
        <w:ind w:left="2514" w:leftChars="557" w:hanging="1400" w:hangingChars="500"/>
        <w:jc w:val="both"/>
        <w:rPr>
          <w:rFonts w:hint="eastAsia" w:ascii="宋体" w:hAnsi="宋体" w:eastAsia="宋体" w:cs="宋体"/>
          <w:b w:val="0"/>
          <w:bCs w:val="0"/>
          <w:color w:val="auto"/>
          <w:kern w:val="0"/>
          <w:sz w:val="28"/>
          <w:szCs w:val="21"/>
          <w:highlight w:val="none"/>
        </w:rPr>
      </w:pPr>
      <w:r>
        <w:rPr>
          <w:rFonts w:hint="eastAsia" w:ascii="宋体" w:hAnsi="宋体" w:eastAsia="宋体" w:cs="宋体"/>
          <w:b w:val="0"/>
          <w:bCs w:val="0"/>
          <w:color w:val="auto"/>
          <w:kern w:val="0"/>
          <w:sz w:val="28"/>
          <w:szCs w:val="21"/>
          <w:highlight w:val="none"/>
        </w:rPr>
        <w:t>项目名称：</w:t>
      </w:r>
      <w:r>
        <w:rPr>
          <w:rFonts w:hint="eastAsia" w:ascii="宋体" w:hAnsi="宋体" w:cs="宋体"/>
          <w:b w:val="0"/>
          <w:bCs w:val="0"/>
          <w:color w:val="auto"/>
          <w:kern w:val="0"/>
          <w:sz w:val="28"/>
          <w:szCs w:val="21"/>
          <w:highlight w:val="none"/>
          <w:lang w:eastAsia="zh-CN"/>
        </w:rPr>
        <w:t xml:space="preserve">扶绥县东罗镇都充村新伯突屯美丽移民村建设项目 </w:t>
      </w:r>
    </w:p>
    <w:p w14:paraId="7A509DE7">
      <w:pPr>
        <w:autoSpaceDE w:val="0"/>
        <w:autoSpaceDN w:val="0"/>
        <w:adjustRightInd w:val="0"/>
        <w:spacing w:line="360" w:lineRule="auto"/>
        <w:ind w:firstLine="1120" w:firstLineChars="400"/>
        <w:jc w:val="both"/>
        <w:rPr>
          <w:rFonts w:hint="eastAsia" w:ascii="宋体" w:hAnsi="宋体" w:eastAsia="宋体" w:cs="宋体"/>
          <w:b w:val="0"/>
          <w:bCs w:val="0"/>
          <w:color w:val="auto"/>
          <w:kern w:val="0"/>
          <w:sz w:val="28"/>
          <w:szCs w:val="21"/>
          <w:highlight w:val="none"/>
          <w:lang w:eastAsia="zh-CN"/>
        </w:rPr>
      </w:pPr>
      <w:r>
        <w:rPr>
          <w:rFonts w:hint="eastAsia" w:ascii="宋体" w:hAnsi="宋体" w:eastAsia="宋体" w:cs="宋体"/>
          <w:b w:val="0"/>
          <w:bCs w:val="0"/>
          <w:color w:val="auto"/>
          <w:kern w:val="0"/>
          <w:sz w:val="28"/>
          <w:szCs w:val="21"/>
          <w:highlight w:val="none"/>
        </w:rPr>
        <w:t>项目编号：</w:t>
      </w:r>
      <w:r>
        <w:rPr>
          <w:rFonts w:hint="eastAsia" w:ascii="宋体" w:hAnsi="宋体" w:cs="宋体"/>
          <w:b w:val="0"/>
          <w:bCs w:val="0"/>
          <w:color w:val="auto"/>
          <w:kern w:val="0"/>
          <w:sz w:val="28"/>
          <w:szCs w:val="21"/>
          <w:highlight w:val="none"/>
          <w:lang w:val="en-US" w:eastAsia="zh-CN"/>
        </w:rPr>
        <w:t>CZZC2025-C2-210034-GXYL</w:t>
      </w:r>
    </w:p>
    <w:p w14:paraId="12F9897F">
      <w:pPr>
        <w:spacing w:line="360" w:lineRule="auto"/>
        <w:rPr>
          <w:rFonts w:hint="eastAsia" w:ascii="宋体" w:hAnsi="宋体" w:eastAsia="宋体" w:cs="宋体"/>
          <w:b w:val="0"/>
          <w:bCs w:val="0"/>
          <w:color w:val="auto"/>
          <w:sz w:val="18"/>
          <w:szCs w:val="20"/>
          <w:highlight w:val="none"/>
        </w:rPr>
      </w:pPr>
    </w:p>
    <w:p w14:paraId="042A6FAC">
      <w:pPr>
        <w:pStyle w:val="28"/>
        <w:rPr>
          <w:rFonts w:hint="eastAsia" w:ascii="宋体" w:hAnsi="宋体" w:eastAsia="宋体" w:cs="宋体"/>
          <w:b w:val="0"/>
          <w:bCs w:val="0"/>
          <w:color w:val="auto"/>
          <w:sz w:val="18"/>
          <w:szCs w:val="20"/>
          <w:highlight w:val="none"/>
        </w:rPr>
      </w:pPr>
    </w:p>
    <w:p w14:paraId="11347A25">
      <w:pPr>
        <w:pStyle w:val="28"/>
        <w:rPr>
          <w:rFonts w:hint="eastAsia" w:ascii="宋体" w:hAnsi="宋体" w:eastAsia="宋体" w:cs="宋体"/>
          <w:b w:val="0"/>
          <w:bCs w:val="0"/>
          <w:color w:val="auto"/>
          <w:sz w:val="18"/>
          <w:szCs w:val="20"/>
          <w:highlight w:val="none"/>
        </w:rPr>
      </w:pPr>
    </w:p>
    <w:p w14:paraId="2D8152E5">
      <w:pPr>
        <w:pStyle w:val="28"/>
        <w:rPr>
          <w:rFonts w:hint="eastAsia" w:ascii="宋体" w:hAnsi="宋体" w:eastAsia="宋体" w:cs="宋体"/>
          <w:b w:val="0"/>
          <w:bCs w:val="0"/>
          <w:color w:val="auto"/>
          <w:sz w:val="18"/>
          <w:szCs w:val="20"/>
          <w:highlight w:val="none"/>
        </w:rPr>
      </w:pPr>
    </w:p>
    <w:p w14:paraId="5E09FB1D">
      <w:pPr>
        <w:pStyle w:val="28"/>
        <w:rPr>
          <w:rFonts w:hint="eastAsia" w:ascii="宋体" w:hAnsi="宋体" w:eastAsia="宋体" w:cs="宋体"/>
          <w:color w:val="auto"/>
          <w:highlight w:val="none"/>
        </w:rPr>
      </w:pPr>
    </w:p>
    <w:p w14:paraId="63C814F0">
      <w:pPr>
        <w:pStyle w:val="28"/>
        <w:rPr>
          <w:rFonts w:hint="eastAsia" w:ascii="宋体" w:hAnsi="宋体" w:eastAsia="宋体" w:cs="宋体"/>
          <w:color w:val="auto"/>
          <w:highlight w:val="none"/>
        </w:rPr>
      </w:pPr>
    </w:p>
    <w:p w14:paraId="685E1185">
      <w:pPr>
        <w:pStyle w:val="28"/>
        <w:rPr>
          <w:rFonts w:hint="eastAsia" w:ascii="宋体" w:hAnsi="宋体" w:eastAsia="宋体" w:cs="宋体"/>
          <w:color w:val="auto"/>
          <w:highlight w:val="none"/>
        </w:rPr>
      </w:pPr>
    </w:p>
    <w:p w14:paraId="0B62C43B">
      <w:pPr>
        <w:pStyle w:val="28"/>
        <w:rPr>
          <w:rFonts w:hint="eastAsia" w:ascii="宋体" w:hAnsi="宋体" w:eastAsia="宋体" w:cs="宋体"/>
          <w:color w:val="auto"/>
          <w:highlight w:val="none"/>
        </w:rPr>
      </w:pPr>
    </w:p>
    <w:p w14:paraId="606EB227">
      <w:pPr>
        <w:pStyle w:val="28"/>
        <w:rPr>
          <w:rFonts w:hint="eastAsia" w:ascii="宋体" w:hAnsi="宋体" w:eastAsia="宋体" w:cs="宋体"/>
          <w:color w:val="auto"/>
          <w:highlight w:val="none"/>
        </w:rPr>
      </w:pPr>
    </w:p>
    <w:p w14:paraId="5A95E02D">
      <w:pPr>
        <w:pStyle w:val="28"/>
        <w:rPr>
          <w:rFonts w:hint="eastAsia" w:ascii="宋体" w:hAnsi="宋体" w:eastAsia="宋体" w:cs="宋体"/>
          <w:color w:val="auto"/>
          <w:highlight w:val="none"/>
        </w:rPr>
      </w:pPr>
    </w:p>
    <w:p w14:paraId="62D6F007">
      <w:pPr>
        <w:pStyle w:val="28"/>
        <w:rPr>
          <w:rFonts w:hint="eastAsia" w:ascii="宋体" w:hAnsi="宋体" w:eastAsia="宋体" w:cs="宋体"/>
          <w:color w:val="auto"/>
          <w:highlight w:val="none"/>
        </w:rPr>
      </w:pPr>
    </w:p>
    <w:p w14:paraId="710232CF">
      <w:pPr>
        <w:pStyle w:val="28"/>
        <w:rPr>
          <w:rFonts w:hint="eastAsia" w:ascii="宋体" w:hAnsi="宋体" w:eastAsia="宋体" w:cs="宋体"/>
          <w:color w:val="auto"/>
          <w:highlight w:val="none"/>
        </w:rPr>
      </w:pPr>
    </w:p>
    <w:p w14:paraId="72C8429D">
      <w:pPr>
        <w:pStyle w:val="28"/>
        <w:rPr>
          <w:rFonts w:hint="eastAsia" w:ascii="宋体" w:hAnsi="宋体" w:eastAsia="宋体" w:cs="宋体"/>
          <w:color w:val="auto"/>
          <w:highlight w:val="none"/>
        </w:rPr>
      </w:pPr>
    </w:p>
    <w:p w14:paraId="26C67CAA">
      <w:pPr>
        <w:pStyle w:val="28"/>
        <w:rPr>
          <w:rFonts w:hint="eastAsia" w:ascii="宋体" w:hAnsi="宋体" w:eastAsia="宋体" w:cs="宋体"/>
          <w:color w:val="auto"/>
          <w:highlight w:val="none"/>
        </w:rPr>
      </w:pPr>
    </w:p>
    <w:p w14:paraId="52F1D8CC">
      <w:pPr>
        <w:pStyle w:val="28"/>
        <w:rPr>
          <w:rFonts w:hint="eastAsia" w:ascii="宋体" w:hAnsi="宋体" w:eastAsia="宋体" w:cs="宋体"/>
          <w:color w:val="auto"/>
          <w:kern w:val="0"/>
          <w:sz w:val="36"/>
          <w:szCs w:val="24"/>
          <w:highlight w:val="none"/>
        </w:rPr>
      </w:pPr>
    </w:p>
    <w:p w14:paraId="289F2EF5">
      <w:pPr>
        <w:pStyle w:val="28"/>
        <w:rPr>
          <w:rFonts w:hint="eastAsia" w:ascii="宋体" w:hAnsi="宋体" w:eastAsia="宋体" w:cs="宋体"/>
          <w:color w:val="auto"/>
          <w:kern w:val="0"/>
          <w:sz w:val="36"/>
          <w:szCs w:val="24"/>
          <w:highlight w:val="none"/>
        </w:rPr>
      </w:pPr>
    </w:p>
    <w:p w14:paraId="5D993F2B">
      <w:pPr>
        <w:spacing w:line="600" w:lineRule="auto"/>
        <w:ind w:firstLine="1446" w:firstLineChars="500"/>
        <w:jc w:val="left"/>
        <w:rPr>
          <w:rFonts w:hint="eastAsia" w:ascii="宋体" w:hAnsi="宋体" w:eastAsia="宋体" w:cs="宋体"/>
          <w:b/>
          <w:color w:val="auto"/>
          <w:spacing w:val="-6"/>
          <w:kern w:val="0"/>
          <w:sz w:val="30"/>
          <w:szCs w:val="30"/>
          <w:highlight w:val="none"/>
          <w:lang w:val="en-US" w:eastAsia="zh-CN"/>
        </w:rPr>
      </w:pPr>
      <w:r>
        <w:rPr>
          <w:rFonts w:hint="eastAsia" w:ascii="宋体" w:hAnsi="宋体" w:eastAsia="宋体" w:cs="宋体"/>
          <w:b/>
          <w:color w:val="auto"/>
          <w:spacing w:val="-6"/>
          <w:kern w:val="0"/>
          <w:sz w:val="30"/>
          <w:szCs w:val="30"/>
          <w:highlight w:val="none"/>
          <w:lang w:eastAsia="zh-CN"/>
        </w:rPr>
        <w:t>采购</w:t>
      </w:r>
      <w:r>
        <w:rPr>
          <w:rFonts w:hint="eastAsia" w:ascii="宋体" w:hAnsi="宋体" w:eastAsia="宋体" w:cs="宋体"/>
          <w:b/>
          <w:color w:val="auto"/>
          <w:spacing w:val="-6"/>
          <w:kern w:val="0"/>
          <w:sz w:val="30"/>
          <w:szCs w:val="30"/>
          <w:highlight w:val="none"/>
        </w:rPr>
        <w:t>单</w:t>
      </w:r>
      <w:r>
        <w:rPr>
          <w:rFonts w:hint="eastAsia" w:ascii="宋体" w:hAnsi="宋体" w:eastAsia="宋体" w:cs="宋体"/>
          <w:b/>
          <w:color w:val="auto"/>
          <w:spacing w:val="-6"/>
          <w:kern w:val="0"/>
          <w:sz w:val="30"/>
          <w:szCs w:val="30"/>
          <w:highlight w:val="none"/>
          <w:u w:val="none"/>
        </w:rPr>
        <w:t>位</w:t>
      </w:r>
      <w:r>
        <w:rPr>
          <w:rFonts w:hint="eastAsia" w:ascii="宋体" w:hAnsi="宋体" w:eastAsia="宋体" w:cs="宋体"/>
          <w:b/>
          <w:bCs/>
          <w:color w:val="auto"/>
          <w:sz w:val="30"/>
          <w:szCs w:val="30"/>
          <w:highlight w:val="none"/>
          <w:u w:val="none"/>
        </w:rPr>
        <w:t>：</w:t>
      </w:r>
      <w:r>
        <w:rPr>
          <w:rFonts w:hint="eastAsia" w:ascii="宋体" w:hAnsi="宋体" w:eastAsia="宋体" w:cs="宋体"/>
          <w:b/>
          <w:color w:val="auto"/>
          <w:spacing w:val="-6"/>
          <w:kern w:val="0"/>
          <w:sz w:val="30"/>
          <w:szCs w:val="30"/>
          <w:highlight w:val="none"/>
          <w:lang w:eastAsia="zh-CN"/>
        </w:rPr>
        <w:t>扶绥县生态移民发展中心</w:t>
      </w:r>
      <w:r>
        <w:rPr>
          <w:rFonts w:hint="eastAsia" w:ascii="宋体" w:hAnsi="宋体" w:eastAsia="宋体" w:cs="宋体"/>
          <w:b/>
          <w:color w:val="auto"/>
          <w:spacing w:val="-6"/>
          <w:kern w:val="0"/>
          <w:sz w:val="30"/>
          <w:szCs w:val="30"/>
          <w:highlight w:val="none"/>
          <w:lang w:val="en-US" w:eastAsia="zh-CN"/>
        </w:rPr>
        <w:t xml:space="preserve">  </w:t>
      </w:r>
    </w:p>
    <w:p w14:paraId="19938FEA">
      <w:pPr>
        <w:autoSpaceDE w:val="0"/>
        <w:autoSpaceDN w:val="0"/>
        <w:adjustRightInd w:val="0"/>
        <w:spacing w:line="600" w:lineRule="auto"/>
        <w:ind w:firstLine="1506" w:firstLineChars="500"/>
        <w:jc w:val="both"/>
        <w:outlineLvl w:val="0"/>
        <w:rPr>
          <w:rFonts w:hint="eastAsia" w:ascii="宋体" w:hAnsi="宋体" w:eastAsia="宋体" w:cs="宋体"/>
          <w:b/>
          <w:color w:val="auto"/>
          <w:kern w:val="0"/>
          <w:sz w:val="30"/>
          <w:szCs w:val="30"/>
          <w:highlight w:val="none"/>
          <w:u w:val="none"/>
          <w:lang w:eastAsia="zh-CN"/>
        </w:rPr>
      </w:pPr>
      <w:bookmarkStart w:id="0" w:name="_Toc243584221"/>
      <w:r>
        <w:rPr>
          <w:rFonts w:hint="eastAsia" w:ascii="宋体" w:hAnsi="宋体" w:eastAsia="宋体" w:cs="宋体"/>
          <w:b/>
          <w:color w:val="auto"/>
          <w:kern w:val="0"/>
          <w:sz w:val="30"/>
          <w:szCs w:val="30"/>
          <w:highlight w:val="none"/>
          <w:u w:val="none"/>
        </w:rPr>
        <w:t>采购代理机构：</w:t>
      </w:r>
      <w:bookmarkEnd w:id="0"/>
      <w:r>
        <w:rPr>
          <w:rFonts w:hint="eastAsia" w:ascii="宋体" w:hAnsi="宋体" w:cs="宋体"/>
          <w:b/>
          <w:color w:val="auto"/>
          <w:kern w:val="0"/>
          <w:sz w:val="30"/>
          <w:szCs w:val="30"/>
          <w:highlight w:val="none"/>
          <w:u w:val="none"/>
          <w:lang w:eastAsia="zh-CN"/>
        </w:rPr>
        <w:t>广西亿隆项目管理有限公司</w:t>
      </w:r>
      <w:r>
        <w:rPr>
          <w:rFonts w:hint="eastAsia" w:ascii="宋体" w:hAnsi="宋体" w:eastAsia="宋体" w:cs="宋体"/>
          <w:b/>
          <w:color w:val="auto"/>
          <w:kern w:val="0"/>
          <w:sz w:val="30"/>
          <w:szCs w:val="30"/>
          <w:highlight w:val="none"/>
          <w:u w:val="none"/>
          <w:lang w:val="en-US" w:eastAsia="zh-CN"/>
        </w:rPr>
        <w:t xml:space="preserve"> </w:t>
      </w:r>
    </w:p>
    <w:p w14:paraId="0CD9F964">
      <w:pPr>
        <w:autoSpaceDE w:val="0"/>
        <w:autoSpaceDN w:val="0"/>
        <w:adjustRightInd w:val="0"/>
        <w:spacing w:line="600" w:lineRule="auto"/>
        <w:jc w:val="center"/>
        <w:outlineLvl w:val="0"/>
        <w:rPr>
          <w:rFonts w:hint="eastAsia" w:ascii="宋体" w:hAnsi="宋体" w:eastAsia="宋体" w:cs="宋体"/>
          <w:b/>
          <w:color w:val="auto"/>
          <w:kern w:val="0"/>
          <w:sz w:val="30"/>
          <w:szCs w:val="30"/>
          <w:highlight w:val="none"/>
        </w:rPr>
        <w:sectPr>
          <w:headerReference r:id="rId4" w:type="first"/>
          <w:headerReference r:id="rId3" w:type="default"/>
          <w:footerReference r:id="rId5" w:type="default"/>
          <w:footerReference r:id="rId6" w:type="even"/>
          <w:endnotePr>
            <w:numFmt w:val="decimal"/>
          </w:endnotePr>
          <w:pgSz w:w="11906" w:h="16838"/>
          <w:pgMar w:top="1134" w:right="1028" w:bottom="1134" w:left="998" w:header="397" w:footer="680" w:gutter="0"/>
          <w:paperSrc w:first="7" w:other="7"/>
          <w:pgNumType w:fmt="chineseCounting" w:start="0"/>
          <w:cols w:space="720" w:num="1"/>
          <w:formProt w:val="1"/>
          <w:titlePg/>
          <w:docGrid w:type="lines" w:linePitch="312" w:charSpace="0"/>
        </w:sectPr>
      </w:pPr>
      <w:r>
        <w:rPr>
          <w:rFonts w:hint="eastAsia" w:ascii="宋体" w:hAnsi="宋体" w:cs="宋体"/>
          <w:b/>
          <w:color w:val="auto"/>
          <w:kern w:val="0"/>
          <w:sz w:val="30"/>
          <w:szCs w:val="30"/>
          <w:highlight w:val="none"/>
          <w:lang w:eastAsia="zh-CN"/>
        </w:rPr>
        <w:t>2025年6月</w:t>
      </w:r>
    </w:p>
    <w:p w14:paraId="47987BA9">
      <w:pPr>
        <w:pStyle w:val="31"/>
        <w:spacing w:line="360" w:lineRule="auto"/>
        <w:jc w:val="center"/>
        <w:rPr>
          <w:rFonts w:ascii="宋体" w:hAnsi="宋体"/>
          <w:color w:val="auto"/>
          <w:highlight w:val="none"/>
        </w:rPr>
      </w:pPr>
    </w:p>
    <w:p w14:paraId="4C1B6932">
      <w:pPr>
        <w:pStyle w:val="31"/>
        <w:spacing w:line="360" w:lineRule="auto"/>
        <w:jc w:val="center"/>
        <w:rPr>
          <w:rFonts w:ascii="宋体" w:hAnsi="宋体"/>
          <w:b/>
          <w:color w:val="auto"/>
          <w:sz w:val="48"/>
          <w:szCs w:val="48"/>
          <w:highlight w:val="none"/>
        </w:rPr>
      </w:pPr>
    </w:p>
    <w:p w14:paraId="5F0ABBFA">
      <w:pPr>
        <w:pStyle w:val="31"/>
        <w:spacing w:line="360" w:lineRule="auto"/>
        <w:jc w:val="center"/>
        <w:rPr>
          <w:rFonts w:ascii="宋体" w:hAnsi="宋体"/>
          <w:b/>
          <w:color w:val="auto"/>
          <w:sz w:val="48"/>
          <w:szCs w:val="48"/>
          <w:highlight w:val="none"/>
        </w:rPr>
      </w:pPr>
      <w:r>
        <w:rPr>
          <w:rFonts w:ascii="宋体" w:hAnsi="宋体"/>
          <w:b/>
          <w:color w:val="auto"/>
          <w:sz w:val="48"/>
          <w:szCs w:val="48"/>
          <w:highlight w:val="none"/>
        </w:rPr>
        <w:t>目    录</w:t>
      </w:r>
    </w:p>
    <w:p w14:paraId="0A84F771">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\z \o "1-3" \u \h</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_Toc12455 </w:instrText>
      </w:r>
      <w:r>
        <w:rPr>
          <w:color w:val="auto"/>
          <w:sz w:val="28"/>
          <w:szCs w:val="28"/>
          <w:highlight w:val="none"/>
        </w:rPr>
        <w:fldChar w:fldCharType="separate"/>
      </w:r>
      <w:r>
        <w:rPr>
          <w:rFonts w:ascii="宋体" w:hAnsi="宋体"/>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_Toc12455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77CFB54F">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_Toc7350 </w:instrText>
      </w:r>
      <w:r>
        <w:rPr>
          <w:color w:val="auto"/>
          <w:sz w:val="28"/>
          <w:szCs w:val="28"/>
          <w:highlight w:val="none"/>
        </w:rPr>
        <w:fldChar w:fldCharType="separate"/>
      </w:r>
      <w:r>
        <w:rPr>
          <w:rFonts w:ascii="宋体" w:hAnsi="宋体"/>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_Toc7350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20F91CCD">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_Toc17060 </w:instrText>
      </w:r>
      <w:r>
        <w:rPr>
          <w:color w:val="auto"/>
          <w:sz w:val="28"/>
          <w:szCs w:val="28"/>
          <w:highlight w:val="none"/>
        </w:rPr>
        <w:fldChar w:fldCharType="separate"/>
      </w:r>
      <w:r>
        <w:rPr>
          <w:rFonts w:ascii="宋体" w:hAnsi="宋体"/>
          <w:color w:val="auto"/>
          <w:sz w:val="28"/>
          <w:szCs w:val="28"/>
          <w:highlight w:val="none"/>
        </w:rPr>
        <w:t>第三章  技术规范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_Toc17060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14:paraId="75B7D578">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_Toc26040 </w:instrText>
      </w:r>
      <w:r>
        <w:rPr>
          <w:color w:val="auto"/>
          <w:sz w:val="28"/>
          <w:szCs w:val="28"/>
          <w:highlight w:val="none"/>
        </w:rPr>
        <w:fldChar w:fldCharType="separate"/>
      </w:r>
      <w:r>
        <w:rPr>
          <w:color w:val="auto"/>
          <w:sz w:val="28"/>
          <w:szCs w:val="28"/>
          <w:highlight w:val="none"/>
        </w:rPr>
        <w:t>第四章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_Toc26040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14:paraId="41B2DD51">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_Toc26801 </w:instrText>
      </w:r>
      <w:r>
        <w:rPr>
          <w:color w:val="auto"/>
          <w:sz w:val="28"/>
          <w:szCs w:val="28"/>
          <w:highlight w:val="none"/>
        </w:rPr>
        <w:fldChar w:fldCharType="separate"/>
      </w:r>
      <w:r>
        <w:rPr>
          <w:rFonts w:ascii="宋体" w:hAnsi="宋体"/>
          <w:color w:val="auto"/>
          <w:sz w:val="28"/>
          <w:szCs w:val="28"/>
          <w:highlight w:val="none"/>
        </w:rPr>
        <w:t xml:space="preserve">第五章  </w:t>
      </w:r>
      <w:r>
        <w:rPr>
          <w:rFonts w:hint="eastAsia" w:ascii="宋体" w:hAnsi="宋体"/>
          <w:color w:val="auto"/>
          <w:sz w:val="28"/>
          <w:szCs w:val="28"/>
          <w:highlight w:val="none"/>
        </w:rPr>
        <w:t>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_Toc26801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color w:val="auto"/>
          <w:sz w:val="28"/>
          <w:szCs w:val="28"/>
          <w:highlight w:val="none"/>
        </w:rPr>
        <w:fldChar w:fldCharType="end"/>
      </w:r>
    </w:p>
    <w:p w14:paraId="06829002">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_Toc14935 </w:instrText>
      </w:r>
      <w:r>
        <w:rPr>
          <w:color w:val="auto"/>
          <w:sz w:val="28"/>
          <w:szCs w:val="28"/>
          <w:highlight w:val="none"/>
        </w:rPr>
        <w:fldChar w:fldCharType="separate"/>
      </w:r>
      <w:r>
        <w:rPr>
          <w:rFonts w:ascii="宋体" w:hAnsi="宋体"/>
          <w:color w:val="auto"/>
          <w:sz w:val="28"/>
          <w:szCs w:val="28"/>
          <w:highlight w:val="none"/>
        </w:rPr>
        <w:t xml:space="preserve">第六章  </w:t>
      </w:r>
      <w:r>
        <w:rPr>
          <w:rFonts w:hint="eastAsia" w:ascii="宋体" w:hAnsi="宋体"/>
          <w:color w:val="auto"/>
          <w:sz w:val="28"/>
          <w:szCs w:val="28"/>
          <w:highlight w:val="none"/>
          <w:lang w:eastAsia="zh-CN"/>
        </w:rPr>
        <w:t>评分办法和标准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_Toc14935 \h </w:instrText>
      </w:r>
      <w:r>
        <w:rPr>
          <w:color w:val="auto"/>
          <w:sz w:val="28"/>
          <w:szCs w:val="28"/>
          <w:highlight w:val="none"/>
        </w:rPr>
        <w:fldChar w:fldCharType="separate"/>
      </w:r>
      <w:r>
        <w:rPr>
          <w:color w:val="auto"/>
          <w:sz w:val="28"/>
          <w:szCs w:val="28"/>
          <w:highlight w:val="none"/>
        </w:rPr>
        <w:t>61</w:t>
      </w:r>
      <w:r>
        <w:rPr>
          <w:color w:val="auto"/>
          <w:sz w:val="28"/>
          <w:szCs w:val="28"/>
          <w:highlight w:val="none"/>
        </w:rPr>
        <w:fldChar w:fldCharType="end"/>
      </w:r>
      <w:r>
        <w:rPr>
          <w:color w:val="auto"/>
          <w:sz w:val="28"/>
          <w:szCs w:val="28"/>
          <w:highlight w:val="none"/>
        </w:rPr>
        <w:fldChar w:fldCharType="end"/>
      </w:r>
    </w:p>
    <w:p w14:paraId="3D936127">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_Toc5706 </w:instrText>
      </w:r>
      <w:r>
        <w:rPr>
          <w:color w:val="auto"/>
          <w:sz w:val="28"/>
          <w:szCs w:val="28"/>
          <w:highlight w:val="none"/>
        </w:rPr>
        <w:fldChar w:fldCharType="separate"/>
      </w:r>
      <w:r>
        <w:rPr>
          <w:rFonts w:hint="eastAsia" w:ascii="宋体" w:hAnsi="宋体"/>
          <w:color w:val="auto"/>
          <w:sz w:val="28"/>
          <w:szCs w:val="28"/>
          <w:highlight w:val="none"/>
        </w:rPr>
        <w:t>第七章  施工图纸及工程量清单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_Toc5706 \h </w:instrText>
      </w:r>
      <w:r>
        <w:rPr>
          <w:color w:val="auto"/>
          <w:sz w:val="28"/>
          <w:szCs w:val="28"/>
          <w:highlight w:val="none"/>
        </w:rPr>
        <w:fldChar w:fldCharType="separate"/>
      </w:r>
      <w:r>
        <w:rPr>
          <w:color w:val="auto"/>
          <w:sz w:val="28"/>
          <w:szCs w:val="28"/>
          <w:highlight w:val="none"/>
        </w:rPr>
        <w:t>67</w:t>
      </w:r>
      <w:r>
        <w:rPr>
          <w:color w:val="auto"/>
          <w:sz w:val="28"/>
          <w:szCs w:val="28"/>
          <w:highlight w:val="none"/>
        </w:rPr>
        <w:fldChar w:fldCharType="end"/>
      </w:r>
      <w:r>
        <w:rPr>
          <w:color w:val="auto"/>
          <w:sz w:val="28"/>
          <w:szCs w:val="28"/>
          <w:highlight w:val="none"/>
        </w:rPr>
        <w:fldChar w:fldCharType="end"/>
      </w:r>
    </w:p>
    <w:p w14:paraId="2273858E">
      <w:pPr>
        <w:pStyle w:val="33"/>
        <w:spacing w:line="360" w:lineRule="auto"/>
        <w:rPr>
          <w:color w:val="auto"/>
          <w:highlight w:val="none"/>
        </w:rPr>
      </w:pPr>
      <w:r>
        <w:rPr>
          <w:color w:val="auto"/>
          <w:sz w:val="28"/>
          <w:szCs w:val="28"/>
          <w:highlight w:val="none"/>
        </w:rPr>
        <w:fldChar w:fldCharType="end"/>
      </w:r>
    </w:p>
    <w:p w14:paraId="22025152">
      <w:pPr>
        <w:pStyle w:val="31"/>
        <w:spacing w:line="360" w:lineRule="auto"/>
        <w:jc w:val="center"/>
        <w:outlineLvl w:val="0"/>
        <w:rPr>
          <w:rFonts w:ascii="宋体" w:hAnsi="宋体"/>
          <w:color w:val="auto"/>
          <w:sz w:val="36"/>
          <w:highlight w:val="none"/>
        </w:rPr>
        <w:sectPr>
          <w:headerReference r:id="rId7" w:type="default"/>
          <w:footerReference r:id="rId8" w:type="default"/>
          <w:pgSz w:w="11906" w:h="16838"/>
          <w:pgMar w:top="1134" w:right="1134" w:bottom="1134" w:left="1417" w:header="851" w:footer="851" w:gutter="0"/>
          <w:cols w:space="720" w:num="1"/>
          <w:formProt w:val="1"/>
          <w:docGrid w:linePitch="312" w:charSpace="43007"/>
        </w:sectPr>
      </w:pPr>
    </w:p>
    <w:p w14:paraId="483B52A1">
      <w:pPr>
        <w:pStyle w:val="32"/>
        <w:rPr>
          <w:color w:val="auto"/>
          <w:highlight w:val="none"/>
        </w:rPr>
      </w:pPr>
    </w:p>
    <w:p w14:paraId="04E18D1D">
      <w:pPr>
        <w:pStyle w:val="31"/>
        <w:numPr>
          <w:ilvl w:val="0"/>
          <w:numId w:val="1"/>
        </w:numPr>
        <w:spacing w:line="360" w:lineRule="auto"/>
        <w:jc w:val="center"/>
        <w:outlineLvl w:val="0"/>
        <w:rPr>
          <w:rFonts w:ascii="宋体" w:hAnsi="宋体"/>
          <w:b/>
          <w:color w:val="auto"/>
          <w:sz w:val="32"/>
          <w:szCs w:val="32"/>
          <w:highlight w:val="none"/>
        </w:rPr>
      </w:pPr>
      <w:bookmarkStart w:id="1" w:name="_Toc12455"/>
      <w:r>
        <w:rPr>
          <w:rFonts w:ascii="宋体" w:hAnsi="宋体"/>
          <w:b/>
          <w:color w:val="auto"/>
          <w:sz w:val="32"/>
          <w:szCs w:val="32"/>
          <w:highlight w:val="none"/>
        </w:rPr>
        <w:t xml:space="preserve"> 竞争性磋商公告</w:t>
      </w:r>
      <w:bookmarkEnd w:id="1"/>
    </w:p>
    <w:p w14:paraId="3D206018">
      <w:pPr>
        <w:pStyle w:val="2"/>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广西亿隆项目管理有限公司</w:t>
      </w:r>
    </w:p>
    <w:p w14:paraId="1E71708A">
      <w:pPr>
        <w:pStyle w:val="2"/>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关于</w:t>
      </w:r>
      <w:bookmarkStart w:id="2" w:name="_Toc24127"/>
      <w:r>
        <w:rPr>
          <w:rFonts w:hint="eastAsia" w:ascii="宋体" w:hAnsi="宋体" w:cs="宋体"/>
          <w:color w:val="auto"/>
          <w:sz w:val="28"/>
          <w:szCs w:val="20"/>
          <w:highlight w:val="none"/>
          <w:lang w:eastAsia="zh-CN"/>
        </w:rPr>
        <w:t xml:space="preserve">扶绥县东罗镇都充村新伯突屯美丽移民村建设项目 </w:t>
      </w:r>
    </w:p>
    <w:p w14:paraId="057A4E83">
      <w:pPr>
        <w:pStyle w:val="2"/>
        <w:spacing w:line="360" w:lineRule="auto"/>
        <w:jc w:val="center"/>
        <w:rPr>
          <w:rFonts w:hint="eastAsia" w:ascii="宋体" w:hAnsi="宋体" w:cs="宋体"/>
          <w:color w:val="auto"/>
          <w:sz w:val="28"/>
          <w:szCs w:val="20"/>
          <w:highlight w:val="none"/>
        </w:rPr>
      </w:pPr>
      <w:r>
        <w:rPr>
          <w:rFonts w:hint="eastAsia" w:ascii="宋体" w:hAnsi="宋体" w:cs="宋体"/>
          <w:color w:val="auto"/>
          <w:sz w:val="28"/>
          <w:szCs w:val="20"/>
          <w:highlight w:val="none"/>
          <w:lang w:eastAsia="zh-CN"/>
        </w:rPr>
        <w:t>（项目编</w:t>
      </w:r>
      <w:r>
        <w:rPr>
          <w:rFonts w:hint="eastAsia" w:ascii="宋体" w:hAnsi="宋体" w:eastAsia="宋体" w:cs="宋体"/>
          <w:color w:val="auto"/>
          <w:sz w:val="28"/>
          <w:szCs w:val="20"/>
          <w:highlight w:val="none"/>
          <w:lang w:eastAsia="zh-CN"/>
        </w:rPr>
        <w:t>号：</w:t>
      </w:r>
      <w:r>
        <w:rPr>
          <w:rFonts w:hint="eastAsia" w:ascii="宋体" w:hAnsi="宋体" w:cs="宋体"/>
          <w:color w:val="auto"/>
          <w:sz w:val="28"/>
          <w:szCs w:val="20"/>
          <w:highlight w:val="none"/>
          <w:lang w:val="en-US" w:eastAsia="zh-CN"/>
        </w:rPr>
        <w:t>CZZC2025-C2-210034-GXYL</w:t>
      </w:r>
      <w:r>
        <w:rPr>
          <w:rFonts w:hint="eastAsia" w:ascii="宋体" w:hAnsi="宋体" w:cs="宋体"/>
          <w:color w:val="auto"/>
          <w:sz w:val="28"/>
          <w:szCs w:val="20"/>
          <w:highlight w:val="none"/>
          <w:lang w:eastAsia="zh-CN"/>
        </w:rPr>
        <w:t>）</w:t>
      </w:r>
      <w:bookmarkStart w:id="3" w:name="_Toc22582_WPSOffice_Level1"/>
      <w:r>
        <w:rPr>
          <w:rFonts w:hint="eastAsia" w:ascii="宋体" w:hAnsi="宋体" w:cs="宋体"/>
          <w:color w:val="auto"/>
          <w:sz w:val="28"/>
          <w:szCs w:val="20"/>
          <w:highlight w:val="none"/>
          <w:lang w:eastAsia="zh-CN"/>
        </w:rPr>
        <w:t>竞争性磋商公告</w:t>
      </w:r>
      <w:bookmarkEnd w:id="2"/>
      <w:bookmarkEnd w:id="3"/>
    </w:p>
    <w:p w14:paraId="79F721D9">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6B8727E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 xml:space="preserve">扶绥县东罗镇都充村新伯突屯美丽移民村建设项目 </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eastAsia"/>
          <w:color w:val="auto"/>
          <w:sz w:val="21"/>
          <w:szCs w:val="21"/>
          <w:highlight w:val="none"/>
          <w:u w:val="single"/>
          <w:lang w:val="en-US" w:eastAsia="zh-CN"/>
        </w:rPr>
        <w:t>广西政府采购云平台</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2025年6月24 日9时00分</w:t>
      </w:r>
      <w:r>
        <w:rPr>
          <w:rFonts w:hint="eastAsia" w:ascii="宋体" w:hAnsi="宋体" w:cs="宋体"/>
          <w:bCs/>
          <w:color w:val="auto"/>
          <w:sz w:val="21"/>
          <w:szCs w:val="21"/>
          <w:highlight w:val="none"/>
        </w:rPr>
        <w:t>（北京时间）前</w:t>
      </w:r>
      <w:r>
        <w:rPr>
          <w:rFonts w:hint="eastAsia" w:ascii="宋体" w:hAnsi="宋体" w:cs="宋体"/>
          <w:bCs/>
          <w:color w:val="auto"/>
          <w:sz w:val="21"/>
          <w:szCs w:val="21"/>
          <w:highlight w:val="none"/>
          <w:lang w:eastAsia="zh-CN"/>
        </w:rPr>
        <w:t>上传（提交）</w:t>
      </w:r>
      <w:r>
        <w:rPr>
          <w:rFonts w:hint="eastAsia" w:ascii="宋体" w:hAnsi="宋体" w:cs="宋体"/>
          <w:bCs/>
          <w:color w:val="auto"/>
          <w:sz w:val="21"/>
          <w:szCs w:val="21"/>
          <w:highlight w:val="none"/>
        </w:rPr>
        <w:t>响应文件</w:t>
      </w:r>
      <w:r>
        <w:rPr>
          <w:rFonts w:hint="eastAsia" w:ascii="宋体" w:hAnsi="宋体" w:cs="宋体"/>
          <w:color w:val="auto"/>
          <w:sz w:val="21"/>
          <w:szCs w:val="21"/>
          <w:highlight w:val="none"/>
        </w:rPr>
        <w:t>。</w:t>
      </w:r>
    </w:p>
    <w:p w14:paraId="70055226">
      <w:pPr>
        <w:spacing w:line="360" w:lineRule="auto"/>
        <w:rPr>
          <w:b/>
          <w:bCs/>
          <w:color w:val="auto"/>
          <w:sz w:val="21"/>
          <w:szCs w:val="21"/>
          <w:highlight w:val="none"/>
        </w:rPr>
      </w:pPr>
      <w:bookmarkStart w:id="4" w:name="_Toc35393798"/>
      <w:bookmarkStart w:id="5" w:name="_Toc28359089"/>
      <w:bookmarkStart w:id="6" w:name="_Toc28359012"/>
      <w:bookmarkStart w:id="7" w:name="_Toc35393629"/>
      <w:r>
        <w:rPr>
          <w:rFonts w:hint="eastAsia" w:ascii="宋体" w:hAnsi="宋体" w:cs="宋体"/>
          <w:b/>
          <w:bCs/>
          <w:color w:val="auto"/>
          <w:sz w:val="21"/>
          <w:szCs w:val="21"/>
          <w:highlight w:val="none"/>
        </w:rPr>
        <w:t>一</w:t>
      </w:r>
      <w:r>
        <w:rPr>
          <w:rFonts w:hint="eastAsia"/>
          <w:b/>
          <w:bCs/>
          <w:color w:val="auto"/>
          <w:sz w:val="21"/>
          <w:szCs w:val="21"/>
          <w:highlight w:val="none"/>
        </w:rPr>
        <w:t>、项目基本情况</w:t>
      </w:r>
      <w:bookmarkEnd w:id="4"/>
      <w:bookmarkEnd w:id="5"/>
      <w:bookmarkEnd w:id="6"/>
      <w:bookmarkEnd w:id="7"/>
      <w:r>
        <w:rPr>
          <w:rFonts w:hint="eastAsia"/>
          <w:b/>
          <w:bCs/>
          <w:color w:val="auto"/>
          <w:sz w:val="21"/>
          <w:szCs w:val="21"/>
          <w:highlight w:val="none"/>
        </w:rPr>
        <w:t>：</w:t>
      </w:r>
    </w:p>
    <w:p w14:paraId="43C0077E">
      <w:pPr>
        <w:spacing w:line="360" w:lineRule="auto"/>
        <w:ind w:firstLine="420" w:firstLineChars="200"/>
        <w:rPr>
          <w:rFonts w:hint="eastAsia"/>
          <w:color w:val="auto"/>
          <w:sz w:val="21"/>
          <w:szCs w:val="21"/>
          <w:highlight w:val="none"/>
        </w:rPr>
      </w:pPr>
      <w:r>
        <w:rPr>
          <w:rFonts w:hint="eastAsia"/>
          <w:color w:val="auto"/>
          <w:sz w:val="21"/>
          <w:szCs w:val="21"/>
          <w:highlight w:val="none"/>
        </w:rPr>
        <w:t>1.项目编号：</w:t>
      </w:r>
      <w:r>
        <w:rPr>
          <w:rFonts w:hint="eastAsia"/>
          <w:color w:val="auto"/>
          <w:sz w:val="21"/>
          <w:szCs w:val="21"/>
          <w:highlight w:val="none"/>
          <w:lang w:val="en-US" w:eastAsia="zh-CN"/>
        </w:rPr>
        <w:t>CZZC2025-C2-210034-GXYL</w:t>
      </w:r>
      <w:r>
        <w:rPr>
          <w:rFonts w:hint="eastAsia"/>
          <w:color w:val="auto"/>
          <w:sz w:val="21"/>
          <w:szCs w:val="21"/>
          <w:highlight w:val="none"/>
        </w:rPr>
        <w:t>。</w:t>
      </w:r>
    </w:p>
    <w:p w14:paraId="341A2E19">
      <w:pPr>
        <w:spacing w:line="360" w:lineRule="auto"/>
        <w:ind w:firstLine="420" w:firstLineChars="200"/>
        <w:rPr>
          <w:rFonts w:hint="eastAsia"/>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 xml:space="preserve">扶绥县东罗镇都充村新伯突屯美丽移民村建设项目 </w:t>
      </w:r>
      <w:r>
        <w:rPr>
          <w:rFonts w:hint="eastAsia"/>
          <w:color w:val="auto"/>
          <w:sz w:val="21"/>
          <w:szCs w:val="21"/>
          <w:highlight w:val="none"/>
        </w:rPr>
        <w:t>。</w:t>
      </w:r>
    </w:p>
    <w:p w14:paraId="04972BD3">
      <w:pPr>
        <w:spacing w:line="360" w:lineRule="auto"/>
        <w:ind w:firstLine="420" w:firstLineChars="200"/>
        <w:rPr>
          <w:rFonts w:hint="eastAsia"/>
          <w:color w:val="auto"/>
          <w:sz w:val="21"/>
          <w:szCs w:val="21"/>
          <w:highlight w:val="none"/>
        </w:rPr>
      </w:pPr>
      <w:r>
        <w:rPr>
          <w:rFonts w:hint="eastAsia"/>
          <w:color w:val="auto"/>
          <w:sz w:val="21"/>
          <w:szCs w:val="21"/>
          <w:highlight w:val="none"/>
        </w:rPr>
        <w:t>3.采购方式：竞争性磋商。</w:t>
      </w:r>
    </w:p>
    <w:p w14:paraId="5DE48F6C">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ascii="Times New Roman" w:hAnsi="Times New Roman" w:eastAsia="宋体" w:cs="Times New Roman"/>
          <w:bCs w:val="0"/>
          <w:color w:val="auto"/>
          <w:spacing w:val="0"/>
          <w:sz w:val="21"/>
          <w:szCs w:val="21"/>
          <w:highlight w:val="none"/>
          <w:lang w:val="en-US" w:eastAsia="zh-CN" w:bidi="hi-IN"/>
        </w:rPr>
        <w:t>4.采购预算金额：人民币</w:t>
      </w:r>
      <w:r>
        <w:rPr>
          <w:rFonts w:hint="eastAsia" w:ascii="Times New Roman" w:hAnsi="Times New Roman" w:cs="Times New Roman"/>
          <w:bCs w:val="0"/>
          <w:color w:val="auto"/>
          <w:spacing w:val="0"/>
          <w:sz w:val="21"/>
          <w:szCs w:val="21"/>
          <w:highlight w:val="none"/>
          <w:lang w:val="en-US" w:eastAsia="zh-CN" w:bidi="hi-IN"/>
        </w:rPr>
        <w:t>壹佰零叁万零陆佰壹拾贰元伍角叁分</w:t>
      </w:r>
      <w:r>
        <w:rPr>
          <w:rFonts w:hint="eastAsia" w:ascii="Times New Roman" w:hAnsi="Times New Roman" w:eastAsia="宋体" w:cs="Times New Roman"/>
          <w:bCs w:val="0"/>
          <w:color w:val="auto"/>
          <w:spacing w:val="0"/>
          <w:sz w:val="21"/>
          <w:szCs w:val="21"/>
          <w:highlight w:val="none"/>
          <w:lang w:val="en-US" w:eastAsia="zh-CN" w:bidi="hi-IN"/>
        </w:rPr>
        <w:t>（</w:t>
      </w:r>
      <w:r>
        <w:rPr>
          <w:rFonts w:hint="eastAsia" w:ascii="Times New Roman" w:hAnsi="Times New Roman" w:cs="Times New Roman"/>
          <w:bCs w:val="0"/>
          <w:color w:val="auto"/>
          <w:spacing w:val="0"/>
          <w:sz w:val="21"/>
          <w:szCs w:val="21"/>
          <w:highlight w:val="none"/>
          <w:lang w:val="en-US" w:eastAsia="zh-CN" w:bidi="hi-IN"/>
        </w:rPr>
        <w:t>¥1030612.53</w:t>
      </w:r>
      <w:r>
        <w:rPr>
          <w:rFonts w:hint="eastAsia" w:ascii="Times New Roman" w:hAnsi="Times New Roman" w:eastAsia="宋体" w:cs="Times New Roman"/>
          <w:bCs w:val="0"/>
          <w:color w:val="auto"/>
          <w:spacing w:val="0"/>
          <w:sz w:val="21"/>
          <w:szCs w:val="21"/>
          <w:highlight w:val="none"/>
          <w:lang w:val="en-US" w:eastAsia="zh-CN" w:bidi="hi-IN"/>
        </w:rPr>
        <w:t>）。</w:t>
      </w:r>
    </w:p>
    <w:p w14:paraId="7AB7E367">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cs="Times New Roman"/>
          <w:bCs w:val="0"/>
          <w:color w:val="auto"/>
          <w:spacing w:val="0"/>
          <w:sz w:val="21"/>
          <w:szCs w:val="21"/>
          <w:highlight w:val="none"/>
          <w:lang w:val="en-US" w:eastAsia="zh-CN" w:bidi="hi-IN"/>
        </w:rPr>
        <w:t>5.</w:t>
      </w:r>
      <w:r>
        <w:rPr>
          <w:rFonts w:hint="eastAsia" w:ascii="Times New Roman" w:hAnsi="Times New Roman" w:eastAsia="宋体" w:cs="Times New Roman"/>
          <w:bCs w:val="0"/>
          <w:color w:val="auto"/>
          <w:spacing w:val="0"/>
          <w:sz w:val="21"/>
          <w:szCs w:val="21"/>
          <w:highlight w:val="none"/>
          <w:lang w:val="en-US" w:eastAsia="zh-CN" w:bidi="hi-IN"/>
        </w:rPr>
        <w:t>最高限价：人民币</w:t>
      </w:r>
      <w:r>
        <w:rPr>
          <w:rFonts w:hint="eastAsia" w:ascii="Times New Roman" w:hAnsi="Times New Roman" w:cs="Times New Roman"/>
          <w:bCs w:val="0"/>
          <w:color w:val="auto"/>
          <w:spacing w:val="0"/>
          <w:sz w:val="21"/>
          <w:szCs w:val="21"/>
          <w:highlight w:val="none"/>
          <w:lang w:val="en-US" w:eastAsia="zh-CN" w:bidi="hi-IN"/>
        </w:rPr>
        <w:t>壹佰零叁万零陆佰壹拾贰元伍角叁分</w:t>
      </w:r>
      <w:r>
        <w:rPr>
          <w:rFonts w:hint="eastAsia" w:ascii="Times New Roman" w:hAnsi="Times New Roman" w:eastAsia="宋体" w:cs="Times New Roman"/>
          <w:bCs w:val="0"/>
          <w:color w:val="auto"/>
          <w:spacing w:val="0"/>
          <w:sz w:val="21"/>
          <w:szCs w:val="21"/>
          <w:highlight w:val="none"/>
          <w:lang w:val="en-US" w:eastAsia="zh-CN" w:bidi="hi-IN"/>
        </w:rPr>
        <w:t>（</w:t>
      </w:r>
      <w:r>
        <w:rPr>
          <w:rFonts w:hint="eastAsia" w:ascii="Times New Roman" w:hAnsi="Times New Roman" w:cs="Times New Roman"/>
          <w:bCs w:val="0"/>
          <w:color w:val="auto"/>
          <w:spacing w:val="0"/>
          <w:sz w:val="21"/>
          <w:szCs w:val="21"/>
          <w:highlight w:val="none"/>
          <w:lang w:val="en-US" w:eastAsia="zh-CN" w:bidi="hi-IN"/>
        </w:rPr>
        <w:t>¥1030612.53</w:t>
      </w:r>
      <w:r>
        <w:rPr>
          <w:rFonts w:hint="eastAsia" w:ascii="Times New Roman" w:hAnsi="Times New Roman" w:eastAsia="宋体" w:cs="Times New Roman"/>
          <w:bCs w:val="0"/>
          <w:color w:val="auto"/>
          <w:spacing w:val="0"/>
          <w:sz w:val="21"/>
          <w:szCs w:val="21"/>
          <w:highlight w:val="none"/>
          <w:lang w:val="en-US" w:eastAsia="zh-CN" w:bidi="hi-IN"/>
        </w:rPr>
        <w:t>）。</w:t>
      </w:r>
    </w:p>
    <w:p w14:paraId="5874702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ascii="Times New Roman" w:hAnsi="Times New Roman" w:eastAsia="宋体" w:cs="Times New Roman"/>
          <w:bCs w:val="0"/>
          <w:color w:val="auto"/>
          <w:spacing w:val="0"/>
          <w:sz w:val="21"/>
          <w:szCs w:val="21"/>
          <w:highlight w:val="none"/>
          <w:lang w:val="en-US" w:eastAsia="zh-CN" w:bidi="hi-IN"/>
        </w:rPr>
        <w:t>6.采购需求：</w:t>
      </w:r>
      <w:r>
        <w:rPr>
          <w:rFonts w:hint="eastAsia" w:cs="Times New Roman"/>
          <w:bCs w:val="0"/>
          <w:color w:val="auto"/>
          <w:spacing w:val="0"/>
          <w:sz w:val="21"/>
          <w:szCs w:val="21"/>
          <w:highlight w:val="none"/>
          <w:lang w:val="en-US" w:eastAsia="zh-CN" w:bidi="hi-IN"/>
        </w:rPr>
        <w:t>本工程为扶绥县东罗镇都充村新伯突屯美丽移民村建设项目,包括1个村1个屯，建设内容为场地硬化、人饮、廊架及亭子等设施</w:t>
      </w:r>
      <w:r>
        <w:rPr>
          <w:rFonts w:hint="eastAsia" w:ascii="Times New Roman" w:hAnsi="Times New Roman" w:eastAsia="宋体" w:cs="Times New Roman"/>
          <w:bCs w:val="0"/>
          <w:color w:val="auto"/>
          <w:spacing w:val="0"/>
          <w:sz w:val="21"/>
          <w:szCs w:val="21"/>
          <w:highlight w:val="none"/>
          <w:lang w:val="en-US" w:eastAsia="zh-CN" w:bidi="hi-IN"/>
        </w:rPr>
        <w:t xml:space="preserve">，以工程量清单和图纸包含的内容为准。 </w:t>
      </w:r>
    </w:p>
    <w:p w14:paraId="5AA268C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7.合同履行期限：</w:t>
      </w:r>
      <w:r>
        <w:rPr>
          <w:rFonts w:hint="eastAsia"/>
          <w:color w:val="auto"/>
          <w:sz w:val="21"/>
          <w:szCs w:val="21"/>
          <w:highlight w:val="none"/>
          <w:lang w:val="en-US" w:eastAsia="zh-CN"/>
        </w:rPr>
        <w:t>90日历天</w:t>
      </w:r>
      <w:r>
        <w:rPr>
          <w:rFonts w:hint="eastAsia"/>
          <w:color w:val="auto"/>
          <w:sz w:val="21"/>
          <w:szCs w:val="21"/>
          <w:highlight w:val="none"/>
        </w:rPr>
        <w:t>。</w:t>
      </w:r>
    </w:p>
    <w:p w14:paraId="1D9A8FCF">
      <w:pPr>
        <w:spacing w:line="360" w:lineRule="auto"/>
        <w:ind w:firstLine="420" w:firstLineChars="200"/>
        <w:rPr>
          <w:rFonts w:hint="eastAsia"/>
          <w:color w:val="auto"/>
          <w:sz w:val="21"/>
          <w:szCs w:val="21"/>
          <w:highlight w:val="none"/>
        </w:rPr>
      </w:pPr>
      <w:r>
        <w:rPr>
          <w:rFonts w:hint="eastAsia"/>
          <w:color w:val="auto"/>
          <w:sz w:val="21"/>
          <w:szCs w:val="21"/>
          <w:highlight w:val="none"/>
        </w:rPr>
        <w:t>8.本项目不接受联合体。</w:t>
      </w:r>
    </w:p>
    <w:p w14:paraId="6EFD43D9">
      <w:pPr>
        <w:spacing w:line="360" w:lineRule="auto"/>
        <w:rPr>
          <w:b/>
          <w:bCs/>
          <w:color w:val="auto"/>
          <w:sz w:val="21"/>
          <w:szCs w:val="21"/>
          <w:highlight w:val="none"/>
        </w:rPr>
      </w:pPr>
      <w:bookmarkStart w:id="8" w:name="_Toc35393799"/>
      <w:bookmarkStart w:id="9" w:name="_Toc35393630"/>
      <w:bookmarkStart w:id="10" w:name="_Toc28359013"/>
      <w:bookmarkStart w:id="11" w:name="_Toc28359090"/>
      <w:r>
        <w:rPr>
          <w:rFonts w:hint="eastAsia"/>
          <w:b/>
          <w:bCs/>
          <w:color w:val="auto"/>
          <w:sz w:val="21"/>
          <w:szCs w:val="21"/>
          <w:highlight w:val="none"/>
        </w:rPr>
        <w:t>二、申请人的资格要求：</w:t>
      </w:r>
      <w:bookmarkEnd w:id="8"/>
      <w:bookmarkEnd w:id="9"/>
      <w:bookmarkEnd w:id="10"/>
      <w:bookmarkEnd w:id="11"/>
    </w:p>
    <w:p w14:paraId="4EDFB3C6">
      <w:pPr>
        <w:spacing w:line="360" w:lineRule="auto"/>
        <w:ind w:firstLine="420" w:firstLineChars="200"/>
        <w:rPr>
          <w:rFonts w:hint="eastAsia"/>
          <w:color w:val="auto"/>
          <w:sz w:val="21"/>
          <w:szCs w:val="21"/>
          <w:highlight w:val="none"/>
        </w:rPr>
      </w:pPr>
      <w:bookmarkStart w:id="12" w:name="_Toc28359091"/>
      <w:bookmarkStart w:id="13" w:name="_Toc28359014"/>
      <w:r>
        <w:rPr>
          <w:rFonts w:hint="eastAsia"/>
          <w:color w:val="auto"/>
          <w:sz w:val="21"/>
          <w:szCs w:val="21"/>
          <w:highlight w:val="none"/>
        </w:rPr>
        <w:t>1.满足《中华人民共和国政府采购法》第二十二条规定；</w:t>
      </w:r>
    </w:p>
    <w:p w14:paraId="3743BD4C">
      <w:pPr>
        <w:spacing w:line="360" w:lineRule="auto"/>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供应商为中小企业</w:t>
      </w:r>
      <w:r>
        <w:rPr>
          <w:rFonts w:hint="eastAsia"/>
          <w:color w:val="auto"/>
          <w:sz w:val="21"/>
          <w:szCs w:val="21"/>
          <w:highlight w:val="none"/>
        </w:rPr>
        <w:t>。</w:t>
      </w:r>
    </w:p>
    <w:p w14:paraId="32411AB5">
      <w:pPr>
        <w:keepNext w:val="0"/>
        <w:keepLines w:val="0"/>
        <w:pageBreakBefore w:val="0"/>
        <w:kinsoku/>
        <w:wordWrap/>
        <w:overflowPunct/>
        <w:topLinePunct w:val="0"/>
        <w:autoSpaceDE/>
        <w:autoSpaceDN/>
        <w:bidi w:val="0"/>
        <w:adjustRightInd/>
        <w:spacing w:line="336"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lang w:val="en-US" w:eastAsia="zh-CN"/>
        </w:rPr>
        <w:t>3</w:t>
      </w:r>
      <w:r>
        <w:rPr>
          <w:rFonts w:hint="eastAsia"/>
          <w:color w:val="auto"/>
          <w:sz w:val="21"/>
          <w:szCs w:val="21"/>
          <w:highlight w:val="none"/>
        </w:rPr>
        <w:t>.本项目的特定资格要求：</w:t>
      </w:r>
      <w:bookmarkStart w:id="14" w:name="_Toc35393631"/>
      <w:bookmarkStart w:id="15" w:name="_Toc35393800"/>
      <w:r>
        <w:rPr>
          <w:rFonts w:hint="eastAsia" w:ascii="宋体" w:hAnsi="宋体" w:eastAsia="宋体" w:cs="宋体"/>
          <w:color w:val="auto"/>
          <w:sz w:val="21"/>
          <w:szCs w:val="21"/>
          <w:highlight w:val="none"/>
          <w:lang w:eastAsia="zh-CN"/>
        </w:rPr>
        <w:t>具备</w:t>
      </w:r>
      <w:r>
        <w:rPr>
          <w:rFonts w:hint="eastAsia" w:ascii="宋体" w:hAnsi="宋体" w:cs="宋体"/>
          <w:color w:val="auto"/>
          <w:sz w:val="21"/>
          <w:szCs w:val="21"/>
          <w:highlight w:val="none"/>
          <w:lang w:eastAsia="zh-CN"/>
        </w:rPr>
        <w:t>市政公用工程施工总承包三级</w:t>
      </w:r>
      <w:r>
        <w:rPr>
          <w:rFonts w:hint="eastAsia" w:ascii="宋体" w:hAnsi="宋体" w:eastAsia="宋体" w:cs="宋体"/>
          <w:color w:val="auto"/>
          <w:sz w:val="21"/>
          <w:szCs w:val="21"/>
          <w:highlight w:val="none"/>
          <w:lang w:eastAsia="zh-CN"/>
        </w:rPr>
        <w:t>及以上资质，并在人员、设备、资金等方面具有相应的施工能力</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拟派驻的项目经理须具备</w:t>
      </w:r>
      <w:r>
        <w:rPr>
          <w:rFonts w:hint="eastAsia" w:ascii="宋体" w:hAnsi="宋体" w:cs="宋体"/>
          <w:color w:val="auto"/>
          <w:sz w:val="21"/>
          <w:szCs w:val="21"/>
          <w:highlight w:val="none"/>
          <w:lang w:eastAsia="zh-CN"/>
        </w:rPr>
        <w:t>市政公用工程专业二级</w:t>
      </w:r>
      <w:r>
        <w:rPr>
          <w:rFonts w:hint="eastAsia" w:ascii="宋体" w:hAnsi="宋体" w:eastAsia="宋体" w:cs="宋体"/>
          <w:color w:val="auto"/>
          <w:sz w:val="21"/>
          <w:szCs w:val="21"/>
          <w:highlight w:val="none"/>
          <w:lang w:eastAsia="zh-CN"/>
        </w:rPr>
        <w:t>以上（含</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lang w:eastAsia="zh-CN"/>
        </w:rPr>
        <w:t>级）注册建造师执业资格，具备有效的安全生产考核合格证书（B类），且为本单位在职员工</w:t>
      </w:r>
      <w:r>
        <w:rPr>
          <w:rFonts w:hint="eastAsia"/>
          <w:color w:val="auto"/>
          <w:sz w:val="21"/>
          <w:szCs w:val="21"/>
          <w:highlight w:val="none"/>
          <w:lang w:eastAsia="zh-CN"/>
        </w:rPr>
        <w:t>。</w:t>
      </w:r>
    </w:p>
    <w:p w14:paraId="301F8F4C">
      <w:pPr>
        <w:spacing w:line="360" w:lineRule="auto"/>
        <w:rPr>
          <w:b/>
          <w:bCs/>
          <w:color w:val="auto"/>
          <w:sz w:val="21"/>
          <w:szCs w:val="21"/>
          <w:highlight w:val="none"/>
        </w:rPr>
      </w:pPr>
      <w:r>
        <w:rPr>
          <w:rFonts w:hint="eastAsia"/>
          <w:b/>
          <w:bCs/>
          <w:color w:val="auto"/>
          <w:sz w:val="21"/>
          <w:szCs w:val="21"/>
          <w:highlight w:val="none"/>
        </w:rPr>
        <w:t>三、获取采购文件</w:t>
      </w:r>
      <w:bookmarkEnd w:id="12"/>
      <w:bookmarkEnd w:id="13"/>
      <w:bookmarkEnd w:id="14"/>
      <w:bookmarkEnd w:id="15"/>
    </w:p>
    <w:p w14:paraId="4859D590">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1.时间：</w:t>
      </w:r>
      <w:r>
        <w:rPr>
          <w:rFonts w:hint="eastAsia" w:ascii="宋体" w:hAnsi="宋体" w:cs="宋体"/>
          <w:color w:val="auto"/>
          <w:sz w:val="21"/>
          <w:szCs w:val="21"/>
          <w:highlight w:val="none"/>
          <w:lang w:eastAsia="zh-CN"/>
        </w:rPr>
        <w:t>2025年6月</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lang w:eastAsia="zh-CN"/>
        </w:rPr>
        <w:t>日起至202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19</w:t>
      </w:r>
      <w:r>
        <w:rPr>
          <w:rFonts w:hint="eastAsia" w:ascii="宋体" w:hAnsi="宋体" w:cs="宋体"/>
          <w:color w:val="auto"/>
          <w:sz w:val="21"/>
          <w:szCs w:val="21"/>
          <w:highlight w:val="none"/>
          <w:lang w:eastAsia="zh-CN"/>
        </w:rPr>
        <w:t>日。</w:t>
      </w:r>
    </w:p>
    <w:p w14:paraId="42878807">
      <w:pPr>
        <w:pageBreakBefore w:val="0"/>
        <w:widowControl w:val="0"/>
        <w:kinsoku/>
        <w:wordWrap/>
        <w:overflowPunct/>
        <w:topLinePunct w:val="0"/>
        <w:autoSpaceDE/>
        <w:autoSpaceDN/>
        <w:bidi w:val="0"/>
        <w:snapToGrid/>
        <w:spacing w:line="327"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Fonts w:hint="default" w:eastAsia="宋体"/>
          <w:color w:val="auto"/>
          <w:sz w:val="21"/>
          <w:szCs w:val="21"/>
          <w:highlight w:val="none"/>
          <w:lang w:val="en-US" w:eastAsia="zh-CN"/>
        </w:rPr>
        <w:t>地点：</w:t>
      </w:r>
      <w:r>
        <w:rPr>
          <w:rFonts w:hint="eastAsia"/>
          <w:color w:val="auto"/>
          <w:sz w:val="21"/>
          <w:szCs w:val="21"/>
          <w:highlight w:val="none"/>
          <w:lang w:val="en-US" w:eastAsia="zh-CN"/>
        </w:rPr>
        <w:t>广西政府采购云平台线上</w:t>
      </w:r>
      <w:r>
        <w:rPr>
          <w:rFonts w:hint="default" w:eastAsia="宋体"/>
          <w:color w:val="auto"/>
          <w:sz w:val="21"/>
          <w:szCs w:val="21"/>
          <w:highlight w:val="none"/>
          <w:lang w:val="en-US" w:eastAsia="zh-CN"/>
        </w:rPr>
        <w:t>。</w:t>
      </w:r>
    </w:p>
    <w:p w14:paraId="627FDC6D">
      <w:pPr>
        <w:pageBreakBefore w:val="0"/>
        <w:widowControl w:val="0"/>
        <w:kinsoku/>
        <w:wordWrap/>
        <w:overflowPunct/>
        <w:topLinePunct w:val="0"/>
        <w:autoSpaceDE/>
        <w:autoSpaceDN/>
        <w:bidi w:val="0"/>
        <w:snapToGrid/>
        <w:spacing w:line="327" w:lineRule="auto"/>
        <w:ind w:firstLine="420" w:firstLineChars="200"/>
        <w:rPr>
          <w:rFonts w:ascii="宋体" w:hAnsi="宋体" w:cs="宋体"/>
          <w:color w:val="auto"/>
          <w:sz w:val="21"/>
          <w:szCs w:val="21"/>
          <w:highlight w:val="none"/>
          <w:u w:val="single"/>
        </w:rPr>
      </w:pPr>
      <w:r>
        <w:rPr>
          <w:rFonts w:hint="eastAsia"/>
          <w:color w:val="auto"/>
          <w:sz w:val="21"/>
          <w:szCs w:val="21"/>
          <w:highlight w:val="none"/>
          <w:lang w:val="en-US" w:eastAsia="zh-CN"/>
        </w:rPr>
        <w:t>3.</w:t>
      </w:r>
      <w:r>
        <w:rPr>
          <w:rFonts w:hint="default" w:eastAsia="宋体"/>
          <w:color w:val="auto"/>
          <w:sz w:val="21"/>
          <w:szCs w:val="21"/>
          <w:highlight w:val="none"/>
          <w:lang w:val="en-US" w:eastAsia="zh-CN"/>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p>
    <w:p w14:paraId="49E7FB55">
      <w:pPr>
        <w:spacing w:line="360" w:lineRule="auto"/>
        <w:rPr>
          <w:rFonts w:hint="eastAsia"/>
          <w:b/>
          <w:bCs/>
          <w:color w:val="auto"/>
          <w:sz w:val="21"/>
          <w:szCs w:val="21"/>
          <w:highlight w:val="none"/>
        </w:rPr>
      </w:pPr>
      <w:bookmarkStart w:id="16" w:name="_Toc35393801"/>
      <w:bookmarkStart w:id="17" w:name="_Toc28359015"/>
      <w:bookmarkStart w:id="18" w:name="_Toc28359092"/>
      <w:bookmarkStart w:id="19" w:name="_Toc35393632"/>
      <w:r>
        <w:rPr>
          <w:rFonts w:hint="eastAsia"/>
          <w:b/>
          <w:bCs/>
          <w:color w:val="auto"/>
          <w:sz w:val="21"/>
          <w:szCs w:val="21"/>
          <w:highlight w:val="none"/>
        </w:rPr>
        <w:t>四、响应文件提交</w:t>
      </w:r>
      <w:bookmarkEnd w:id="16"/>
      <w:bookmarkEnd w:id="17"/>
      <w:bookmarkEnd w:id="18"/>
      <w:bookmarkEnd w:id="19"/>
      <w:r>
        <w:rPr>
          <w:rFonts w:hint="eastAsia"/>
          <w:b/>
          <w:bCs/>
          <w:color w:val="auto"/>
          <w:sz w:val="21"/>
          <w:szCs w:val="21"/>
          <w:highlight w:val="none"/>
        </w:rPr>
        <w:t>：</w:t>
      </w:r>
    </w:p>
    <w:p w14:paraId="263C681B">
      <w:pPr>
        <w:spacing w:line="360" w:lineRule="auto"/>
        <w:rPr>
          <w:rFonts w:hint="eastAsia"/>
          <w:color w:val="auto"/>
          <w:sz w:val="21"/>
          <w:szCs w:val="21"/>
          <w:highlight w:val="none"/>
        </w:rPr>
      </w:pPr>
      <w:r>
        <w:rPr>
          <w:rFonts w:hint="eastAsia"/>
          <w:color w:val="auto"/>
          <w:sz w:val="21"/>
          <w:szCs w:val="21"/>
          <w:highlight w:val="none"/>
        </w:rPr>
        <w:t>截止时间：</w:t>
      </w:r>
      <w:r>
        <w:rPr>
          <w:rFonts w:hint="eastAsia" w:ascii="宋体" w:hAnsi="宋体" w:cs="宋体"/>
          <w:color w:val="auto"/>
          <w:sz w:val="21"/>
          <w:szCs w:val="21"/>
          <w:highlight w:val="none"/>
          <w:lang w:val="en-US" w:eastAsia="zh-CN"/>
        </w:rPr>
        <w:t>2025年6月24日9时00分</w:t>
      </w:r>
      <w:r>
        <w:rPr>
          <w:rFonts w:hint="eastAsia"/>
          <w:color w:val="auto"/>
          <w:sz w:val="21"/>
          <w:szCs w:val="21"/>
          <w:highlight w:val="none"/>
        </w:rPr>
        <w:t>（北京时间）</w:t>
      </w:r>
    </w:p>
    <w:p w14:paraId="141F597F">
      <w:pPr>
        <w:spacing w:line="360" w:lineRule="auto"/>
        <w:rPr>
          <w:color w:val="auto"/>
          <w:sz w:val="21"/>
          <w:szCs w:val="21"/>
          <w:highlight w:val="none"/>
        </w:rPr>
      </w:pPr>
      <w:r>
        <w:rPr>
          <w:rFonts w:hint="eastAsia"/>
          <w:color w:val="auto"/>
          <w:sz w:val="21"/>
          <w:szCs w:val="21"/>
          <w:highlight w:val="none"/>
          <w:lang w:eastAsia="zh-CN"/>
        </w:rPr>
        <w:t>地址（网址）：通过广西政府采购云平台实行在线投标</w:t>
      </w:r>
      <w:r>
        <w:rPr>
          <w:rFonts w:hint="eastAsia" w:ascii="宋体" w:hAnsi="宋体" w:cs="宋体"/>
          <w:color w:val="auto"/>
          <w:sz w:val="21"/>
          <w:szCs w:val="21"/>
          <w:highlight w:val="none"/>
        </w:rPr>
        <w:t>。</w:t>
      </w:r>
    </w:p>
    <w:p w14:paraId="3C64693B">
      <w:pPr>
        <w:numPr>
          <w:ilvl w:val="0"/>
          <w:numId w:val="2"/>
        </w:numPr>
        <w:spacing w:line="360" w:lineRule="auto"/>
        <w:rPr>
          <w:rFonts w:hint="eastAsia"/>
          <w:color w:val="auto"/>
          <w:sz w:val="21"/>
          <w:szCs w:val="21"/>
          <w:highlight w:val="none"/>
        </w:rPr>
      </w:pPr>
      <w:bookmarkStart w:id="20" w:name="_Toc28359016"/>
      <w:bookmarkStart w:id="21" w:name="_Toc28359093"/>
      <w:bookmarkStart w:id="22" w:name="_Toc35393633"/>
      <w:bookmarkStart w:id="23" w:name="_Toc35393802"/>
      <w:r>
        <w:rPr>
          <w:rFonts w:hint="eastAsia"/>
          <w:b/>
          <w:bCs/>
          <w:color w:val="auto"/>
          <w:sz w:val="21"/>
          <w:szCs w:val="21"/>
          <w:highlight w:val="none"/>
        </w:rPr>
        <w:t>开启</w:t>
      </w:r>
      <w:bookmarkEnd w:id="20"/>
      <w:bookmarkEnd w:id="21"/>
      <w:bookmarkEnd w:id="22"/>
      <w:bookmarkEnd w:id="23"/>
      <w:r>
        <w:rPr>
          <w:rFonts w:hint="eastAsia"/>
          <w:b/>
          <w:bCs/>
          <w:color w:val="auto"/>
          <w:sz w:val="21"/>
          <w:szCs w:val="21"/>
          <w:highlight w:val="none"/>
        </w:rPr>
        <w:t>：</w:t>
      </w:r>
      <w:r>
        <w:rPr>
          <w:rFonts w:hint="eastAsia"/>
          <w:color w:val="auto"/>
          <w:sz w:val="21"/>
          <w:szCs w:val="21"/>
          <w:highlight w:val="none"/>
        </w:rPr>
        <w:t>时间：</w:t>
      </w:r>
      <w:r>
        <w:rPr>
          <w:rFonts w:hint="eastAsia" w:ascii="宋体" w:hAnsi="宋体" w:cs="宋体"/>
          <w:color w:val="auto"/>
          <w:sz w:val="21"/>
          <w:szCs w:val="21"/>
          <w:highlight w:val="none"/>
          <w:lang w:val="en-US" w:eastAsia="zh-CN"/>
        </w:rPr>
        <w:t>2025年6月24日9时00分</w:t>
      </w:r>
      <w:r>
        <w:rPr>
          <w:rFonts w:hint="eastAsia"/>
          <w:color w:val="auto"/>
          <w:sz w:val="21"/>
          <w:szCs w:val="21"/>
          <w:highlight w:val="none"/>
        </w:rPr>
        <w:t>（北京时间）</w:t>
      </w:r>
    </w:p>
    <w:p w14:paraId="44FB9412">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color w:val="auto"/>
          <w:sz w:val="21"/>
          <w:szCs w:val="21"/>
          <w:highlight w:val="none"/>
          <w:lang w:eastAsia="zh-CN"/>
        </w:rPr>
        <w:t>地址：</w:t>
      </w:r>
      <w:r>
        <w:rPr>
          <w:rFonts w:hint="eastAsia" w:ascii="Times New Roman" w:hAnsi="Times New Roman" w:eastAsia="宋体" w:cs="Times New Roman"/>
          <w:color w:val="auto"/>
          <w:sz w:val="21"/>
          <w:szCs w:val="21"/>
          <w:highlight w:val="none"/>
        </w:rPr>
        <w:t>本项目采用远程异地评审，主会场在</w:t>
      </w:r>
      <w:r>
        <w:rPr>
          <w:rFonts w:hint="eastAsia"/>
          <w:color w:val="auto"/>
          <w:sz w:val="21"/>
          <w:szCs w:val="21"/>
          <w:highlight w:val="none"/>
          <w:lang w:eastAsia="zh-CN"/>
        </w:rPr>
        <w:t>广西亿隆项目管理有限公司【崇左市友谊大道东源名城D区9栋三单元20</w:t>
      </w:r>
      <w:r>
        <w:rPr>
          <w:rFonts w:hint="eastAsia"/>
          <w:color w:val="auto"/>
          <w:sz w:val="21"/>
          <w:szCs w:val="21"/>
          <w:highlight w:val="none"/>
          <w:lang w:val="en-US" w:eastAsia="zh-CN"/>
        </w:rPr>
        <w:t>2</w:t>
      </w:r>
      <w:r>
        <w:rPr>
          <w:rFonts w:hint="eastAsia"/>
          <w:color w:val="auto"/>
          <w:sz w:val="21"/>
          <w:szCs w:val="21"/>
          <w:highlight w:val="none"/>
          <w:lang w:eastAsia="zh-CN"/>
        </w:rPr>
        <w:t>号】</w:t>
      </w:r>
      <w:r>
        <w:rPr>
          <w:rFonts w:hint="eastAsia" w:ascii="Times New Roman" w:hAnsi="Times New Roman" w:eastAsia="宋体" w:cs="Times New Roman"/>
          <w:color w:val="auto"/>
          <w:sz w:val="21"/>
          <w:szCs w:val="21"/>
          <w:highlight w:val="none"/>
        </w:rPr>
        <w:t>通过广西政府采购云平台实行在线解密开启，</w:t>
      </w:r>
      <w:r>
        <w:rPr>
          <w:rFonts w:hint="eastAsia" w:cs="Times New Roman"/>
          <w:color w:val="auto"/>
          <w:sz w:val="21"/>
          <w:szCs w:val="21"/>
          <w:highlight w:val="none"/>
          <w:lang w:eastAsia="zh-CN"/>
        </w:rPr>
        <w:t>副会场在南宁市西乡塘区科园大道27号湖南大厦615号房</w:t>
      </w:r>
      <w:r>
        <w:rPr>
          <w:rFonts w:hint="eastAsia" w:ascii="宋体" w:hAnsi="宋体" w:cs="宋体"/>
          <w:color w:val="auto"/>
          <w:sz w:val="21"/>
          <w:szCs w:val="21"/>
          <w:highlight w:val="none"/>
          <w:lang w:eastAsia="zh-CN"/>
        </w:rPr>
        <w:t>。</w:t>
      </w:r>
    </w:p>
    <w:p w14:paraId="07348904">
      <w:pPr>
        <w:spacing w:line="360" w:lineRule="auto"/>
        <w:rPr>
          <w:color w:val="auto"/>
          <w:sz w:val="21"/>
          <w:szCs w:val="21"/>
          <w:highlight w:val="none"/>
        </w:rPr>
      </w:pPr>
      <w:bookmarkStart w:id="24" w:name="_Toc35393803"/>
      <w:bookmarkStart w:id="25" w:name="_Toc28359017"/>
      <w:bookmarkStart w:id="26" w:name="_Toc35393634"/>
      <w:bookmarkStart w:id="27" w:name="_Toc28359094"/>
      <w:r>
        <w:rPr>
          <w:rFonts w:hint="eastAsia"/>
          <w:b/>
          <w:bCs/>
          <w:color w:val="auto"/>
          <w:sz w:val="21"/>
          <w:szCs w:val="21"/>
          <w:highlight w:val="none"/>
        </w:rPr>
        <w:t>六、公告期限</w:t>
      </w:r>
      <w:bookmarkEnd w:id="24"/>
      <w:bookmarkEnd w:id="25"/>
      <w:bookmarkEnd w:id="26"/>
      <w:bookmarkEnd w:id="27"/>
      <w:r>
        <w:rPr>
          <w:rFonts w:hint="eastAsia"/>
          <w:b/>
          <w:bCs/>
          <w:color w:val="auto"/>
          <w:sz w:val="21"/>
          <w:szCs w:val="21"/>
          <w:highlight w:val="none"/>
        </w:rPr>
        <w:t>：</w:t>
      </w:r>
      <w:r>
        <w:rPr>
          <w:rFonts w:hint="eastAsia"/>
          <w:color w:val="auto"/>
          <w:sz w:val="21"/>
          <w:szCs w:val="21"/>
          <w:highlight w:val="none"/>
        </w:rPr>
        <w:t>自本公告发布之日起</w:t>
      </w:r>
      <w:r>
        <w:rPr>
          <w:rFonts w:hint="eastAsia"/>
          <w:color w:val="auto"/>
          <w:sz w:val="21"/>
          <w:szCs w:val="21"/>
          <w:highlight w:val="none"/>
          <w:lang w:val="en-US" w:eastAsia="zh-CN"/>
        </w:rPr>
        <w:t>5</w:t>
      </w:r>
      <w:r>
        <w:rPr>
          <w:rFonts w:hint="eastAsia"/>
          <w:color w:val="auto"/>
          <w:sz w:val="21"/>
          <w:szCs w:val="21"/>
          <w:highlight w:val="none"/>
        </w:rPr>
        <w:t>个工作日。</w:t>
      </w:r>
    </w:p>
    <w:p w14:paraId="74D8517C">
      <w:pPr>
        <w:spacing w:line="360" w:lineRule="auto"/>
        <w:rPr>
          <w:rFonts w:hint="eastAsia"/>
          <w:b/>
          <w:bCs/>
          <w:color w:val="auto"/>
          <w:sz w:val="21"/>
          <w:szCs w:val="21"/>
          <w:highlight w:val="none"/>
        </w:rPr>
      </w:pPr>
      <w:bookmarkStart w:id="28" w:name="_Toc35393635"/>
      <w:bookmarkStart w:id="29" w:name="_Toc35393804"/>
      <w:r>
        <w:rPr>
          <w:rFonts w:hint="eastAsia"/>
          <w:b/>
          <w:bCs/>
          <w:color w:val="auto"/>
          <w:sz w:val="21"/>
          <w:szCs w:val="21"/>
          <w:highlight w:val="none"/>
        </w:rPr>
        <w:t>七、其他补充事宜</w:t>
      </w:r>
      <w:bookmarkEnd w:id="28"/>
      <w:bookmarkEnd w:id="29"/>
      <w:r>
        <w:rPr>
          <w:rFonts w:hint="eastAsia"/>
          <w:b/>
          <w:bCs/>
          <w:color w:val="auto"/>
          <w:sz w:val="21"/>
          <w:szCs w:val="21"/>
          <w:highlight w:val="none"/>
        </w:rPr>
        <w:t>：</w:t>
      </w:r>
    </w:p>
    <w:p w14:paraId="642C3DA2">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bookmarkStart w:id="30" w:name="_Toc35393636"/>
      <w:bookmarkStart w:id="31" w:name="_Toc35393805"/>
      <w:bookmarkStart w:id="32" w:name="_Toc28359095"/>
      <w:bookmarkStart w:id="33" w:name="_Toc28359018"/>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6F7A9198">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14:paraId="570915E5">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14:paraId="337D732E">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本次公告同时在中国政府采购网（http://pub.ccgp.gov.cn/）、广西壮族自治区政府采购网（http://www.ccgp-guangxi.gov.cn/）上发布</w:t>
      </w:r>
      <w:r>
        <w:rPr>
          <w:rFonts w:hint="eastAsia" w:ascii="宋体" w:hAnsi="宋体" w:cs="宋体"/>
          <w:color w:val="auto"/>
          <w:sz w:val="21"/>
          <w:szCs w:val="21"/>
          <w:highlight w:val="none"/>
        </w:rPr>
        <w:t>。</w:t>
      </w:r>
      <w:r>
        <w:rPr>
          <w:rFonts w:hint="eastAsia" w:ascii="宋体" w:hAnsi="宋体"/>
          <w:color w:val="auto"/>
          <w:sz w:val="21"/>
          <w:szCs w:val="21"/>
          <w:highlight w:val="none"/>
        </w:rPr>
        <w:t xml:space="preserve">  </w:t>
      </w:r>
    </w:p>
    <w:p w14:paraId="47EB10BC">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w:t>
      </w:r>
      <w:r>
        <w:rPr>
          <w:rFonts w:hint="eastAsia" w:ascii="宋体" w:hAnsi="宋体" w:cs="宋体"/>
          <w:color w:val="auto"/>
          <w:kern w:val="0"/>
          <w:sz w:val="21"/>
          <w:szCs w:val="21"/>
          <w:highlight w:val="none"/>
        </w:rPr>
        <w:t>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标）说明</w:t>
      </w:r>
      <w:r>
        <w:rPr>
          <w:rFonts w:hint="eastAsia" w:ascii="宋体" w:hAnsi="宋体" w:cs="宋体"/>
          <w:color w:val="auto"/>
          <w:kern w:val="0"/>
          <w:sz w:val="21"/>
          <w:szCs w:val="21"/>
          <w:highlight w:val="none"/>
          <w:lang w:eastAsia="zh-CN"/>
        </w:rPr>
        <w:t>：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color w:val="auto"/>
          <w:kern w:val="0"/>
          <w:sz w:val="21"/>
          <w:szCs w:val="21"/>
          <w:highlight w:val="none"/>
        </w:rPr>
        <w:t>。供应商未按规定编制并加密的</w:t>
      </w: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将予以拒收。</w:t>
      </w:r>
    </w:p>
    <w:p w14:paraId="4056FD03">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eastAsia="宋体" w:cs="宋体"/>
          <w:color w:val="auto"/>
          <w:kern w:val="0"/>
          <w:sz w:val="21"/>
          <w:szCs w:val="21"/>
          <w:highlight w:val="none"/>
          <w:lang w:eastAsia="zh-CN"/>
        </w:rPr>
        <w:t>磋商须知正文后</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14:paraId="54895A9E">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7.本项目不收取磋商保证金</w:t>
      </w:r>
      <w:r>
        <w:rPr>
          <w:rFonts w:hint="eastAsia" w:ascii="宋体" w:hAnsi="宋体" w:eastAsia="宋体" w:cs="宋体"/>
          <w:color w:val="auto"/>
          <w:kern w:val="0"/>
          <w:sz w:val="21"/>
          <w:szCs w:val="21"/>
          <w:highlight w:val="none"/>
          <w:lang w:eastAsia="zh-CN"/>
        </w:rPr>
        <w:t>。</w:t>
      </w:r>
    </w:p>
    <w:p w14:paraId="22F27E6E">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7D8178B7">
      <w:pPr>
        <w:keepNext w:val="0"/>
        <w:keepLines w:val="0"/>
        <w:pageBreakBefore w:val="0"/>
        <w:kinsoku/>
        <w:wordWrap w:val="0"/>
        <w:overflowPunct/>
        <w:topLinePunct w:val="0"/>
        <w:bidi w:val="0"/>
        <w:spacing w:line="360" w:lineRule="auto"/>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r>
        <w:rPr>
          <w:rFonts w:hint="eastAsia" w:ascii="Times New Roman" w:hAnsi="Times New Roman" w:eastAsia="宋体" w:cs="Times New Roman"/>
          <w:color w:val="auto"/>
          <w:sz w:val="21"/>
          <w:szCs w:val="21"/>
          <w:highlight w:val="none"/>
        </w:rPr>
        <w:t>本项目采用远程异地评审，主会场在</w:t>
      </w:r>
      <w:r>
        <w:rPr>
          <w:rFonts w:hint="eastAsia"/>
          <w:color w:val="auto"/>
          <w:sz w:val="21"/>
          <w:szCs w:val="21"/>
          <w:highlight w:val="none"/>
          <w:lang w:eastAsia="zh-CN"/>
        </w:rPr>
        <w:t>广西亿隆项目管理有限公司【崇左市友谊大道东源名城D区9栋三单元20</w:t>
      </w:r>
      <w:r>
        <w:rPr>
          <w:rFonts w:hint="eastAsia"/>
          <w:color w:val="auto"/>
          <w:sz w:val="21"/>
          <w:szCs w:val="21"/>
          <w:highlight w:val="none"/>
          <w:lang w:val="en-US" w:eastAsia="zh-CN"/>
        </w:rPr>
        <w:t>2</w:t>
      </w:r>
      <w:r>
        <w:rPr>
          <w:rFonts w:hint="eastAsia"/>
          <w:color w:val="auto"/>
          <w:sz w:val="21"/>
          <w:szCs w:val="21"/>
          <w:highlight w:val="none"/>
          <w:lang w:eastAsia="zh-CN"/>
        </w:rPr>
        <w:t>号】</w:t>
      </w:r>
      <w:r>
        <w:rPr>
          <w:rFonts w:hint="eastAsia" w:ascii="Times New Roman" w:hAnsi="Times New Roman" w:eastAsia="宋体" w:cs="Times New Roman"/>
          <w:color w:val="auto"/>
          <w:sz w:val="21"/>
          <w:szCs w:val="21"/>
          <w:highlight w:val="none"/>
        </w:rPr>
        <w:t>通过广西政府采购云平台实行在线解密开启，</w:t>
      </w:r>
      <w:r>
        <w:rPr>
          <w:rFonts w:hint="eastAsia" w:cs="Times New Roman"/>
          <w:color w:val="auto"/>
          <w:sz w:val="21"/>
          <w:szCs w:val="21"/>
          <w:highlight w:val="none"/>
          <w:lang w:eastAsia="zh-CN"/>
        </w:rPr>
        <w:t>副会场在南宁市西乡塘区科园大道27号湖南大厦615号房</w:t>
      </w:r>
      <w:r>
        <w:rPr>
          <w:rFonts w:hint="eastAsia" w:ascii="宋体" w:hAnsi="宋体" w:cs="宋体"/>
          <w:color w:val="auto"/>
          <w:sz w:val="21"/>
          <w:szCs w:val="21"/>
          <w:highlight w:val="none"/>
          <w:lang w:eastAsia="zh-CN"/>
        </w:rPr>
        <w:t>。</w:t>
      </w:r>
    </w:p>
    <w:p w14:paraId="5467BB13">
      <w:pPr>
        <w:keepNext w:val="0"/>
        <w:keepLines w:val="0"/>
        <w:pageBreakBefore w:val="0"/>
        <w:widowControl/>
        <w:numPr>
          <w:ilvl w:val="0"/>
          <w:numId w:val="0"/>
        </w:numPr>
        <w:kinsoku/>
        <w:wordWrap/>
        <w:overflowPunct/>
        <w:topLinePunct w:val="0"/>
        <w:autoSpaceDE/>
        <w:autoSpaceDN/>
        <w:bidi w:val="0"/>
        <w:adjustRightInd/>
        <w:snapToGrid w:val="0"/>
        <w:spacing w:line="336" w:lineRule="auto"/>
        <w:ind w:firstLine="400" w:firstLineChars="200"/>
        <w:textAlignment w:val="auto"/>
        <w:rPr>
          <w:rFonts w:hint="default"/>
          <w:lang w:val="en-US" w:eastAsia="zh-CN"/>
        </w:rPr>
      </w:pPr>
    </w:p>
    <w:p w14:paraId="47F0AE72">
      <w:pPr>
        <w:spacing w:line="360" w:lineRule="auto"/>
        <w:rPr>
          <w:b/>
          <w:bCs/>
          <w:color w:val="auto"/>
          <w:sz w:val="21"/>
          <w:szCs w:val="21"/>
          <w:highlight w:val="none"/>
        </w:rPr>
      </w:pPr>
      <w:r>
        <w:rPr>
          <w:rFonts w:hint="eastAsia"/>
          <w:b/>
          <w:bCs/>
          <w:color w:val="auto"/>
          <w:sz w:val="21"/>
          <w:szCs w:val="21"/>
          <w:highlight w:val="none"/>
          <w:lang w:eastAsia="zh-CN"/>
        </w:rPr>
        <w:t>八</w:t>
      </w:r>
      <w:r>
        <w:rPr>
          <w:rFonts w:hint="eastAsia"/>
          <w:b/>
          <w:bCs/>
          <w:color w:val="auto"/>
          <w:sz w:val="21"/>
          <w:szCs w:val="21"/>
          <w:highlight w:val="none"/>
        </w:rPr>
        <w:t>、凡对本次采购提出询问，请按以下方式联系。</w:t>
      </w:r>
      <w:bookmarkEnd w:id="30"/>
      <w:bookmarkEnd w:id="31"/>
      <w:bookmarkEnd w:id="32"/>
      <w:bookmarkEnd w:id="33"/>
    </w:p>
    <w:p w14:paraId="39AF117D">
      <w:pPr>
        <w:keepNext w:val="0"/>
        <w:keepLines w:val="0"/>
        <w:pageBreakBefore w:val="0"/>
        <w:kinsoku/>
        <w:wordWrap/>
        <w:overflowPunct/>
        <w:topLinePunct w:val="0"/>
        <w:autoSpaceDE/>
        <w:autoSpaceDN/>
        <w:bidi w:val="0"/>
        <w:adjustRightInd/>
        <w:spacing w:line="336" w:lineRule="auto"/>
        <w:textAlignment w:val="auto"/>
        <w:outlineLvl w:val="0"/>
        <w:rPr>
          <w:rFonts w:hint="eastAsia" w:ascii="宋体" w:hAnsi="宋体" w:cs="宋体"/>
          <w:color w:val="auto"/>
          <w:sz w:val="21"/>
          <w:szCs w:val="21"/>
          <w:highlight w:val="none"/>
        </w:rPr>
      </w:pPr>
      <w:bookmarkStart w:id="34" w:name="_Toc543"/>
      <w:r>
        <w:rPr>
          <w:rFonts w:hint="eastAsia" w:ascii="宋体" w:hAnsi="宋体" w:cs="宋体"/>
          <w:color w:val="auto"/>
          <w:sz w:val="21"/>
          <w:szCs w:val="21"/>
          <w:highlight w:val="none"/>
        </w:rPr>
        <w:t>1.采购人信息</w:t>
      </w:r>
      <w:bookmarkEnd w:id="34"/>
    </w:p>
    <w:p w14:paraId="79CE844D">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扶绥县生态移民发展中心</w:t>
      </w:r>
      <w:r>
        <w:rPr>
          <w:rFonts w:hint="eastAsia" w:ascii="宋体" w:hAnsi="宋体" w:eastAsia="宋体" w:cs="宋体"/>
          <w:color w:val="auto"/>
          <w:sz w:val="21"/>
          <w:szCs w:val="21"/>
          <w:highlight w:val="none"/>
          <w:lang w:eastAsia="zh-CN"/>
        </w:rPr>
        <w:t>　　　　　　　　　　　　</w:t>
      </w:r>
    </w:p>
    <w:p w14:paraId="2DB3F4EA">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ascii="宋体" w:hAnsi="宋体" w:eastAsia="宋体" w:cs="宋体"/>
          <w:i w:val="0"/>
          <w:iCs w:val="0"/>
          <w:caps w:val="0"/>
          <w:color w:val="auto"/>
          <w:spacing w:val="0"/>
          <w:sz w:val="21"/>
          <w:szCs w:val="21"/>
        </w:rPr>
        <w:t>扶绥县新宁镇空港大道东22号空港大厦副楼2楼</w:t>
      </w:r>
    </w:p>
    <w:p w14:paraId="7CB44350">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ascii="宋体" w:hAnsi="宋体" w:cs="宋体"/>
          <w:color w:val="auto"/>
          <w:sz w:val="21"/>
          <w:szCs w:val="21"/>
          <w:highlight w:val="none"/>
          <w:lang w:eastAsia="zh-CN"/>
        </w:rPr>
        <w:t>陈立铧</w:t>
      </w:r>
    </w:p>
    <w:p w14:paraId="60256775">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szCs w:val="21"/>
          <w:highlight w:val="none"/>
          <w:lang w:eastAsia="zh-CN"/>
        </w:rPr>
        <w:t xml:space="preserve">项目联系人方式: </w:t>
      </w:r>
      <w:r>
        <w:rPr>
          <w:rFonts w:hint="eastAsia" w:ascii="宋体" w:hAnsi="宋体" w:eastAsia="宋体" w:cs="宋体"/>
          <w:i w:val="0"/>
          <w:iCs w:val="0"/>
          <w:caps w:val="0"/>
          <w:color w:val="auto"/>
          <w:spacing w:val="0"/>
          <w:sz w:val="21"/>
          <w:szCs w:val="21"/>
        </w:rPr>
        <w:t>0771-7511115</w:t>
      </w:r>
      <w:r>
        <w:rPr>
          <w:rFonts w:hint="eastAsia" w:asciiTheme="majorEastAsia" w:hAnsiTheme="majorEastAsia" w:eastAsiaTheme="majorEastAsia" w:cstheme="majorEastAsia"/>
          <w:color w:val="auto"/>
          <w:sz w:val="21"/>
          <w:szCs w:val="21"/>
          <w:highlight w:val="none"/>
        </w:rPr>
        <w:t xml:space="preserve">　　　　　　 　　　 </w:t>
      </w:r>
    </w:p>
    <w:p w14:paraId="49EF06E0">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bookmarkStart w:id="35" w:name="_Toc28359097"/>
      <w:bookmarkStart w:id="36" w:name="_Toc28359020"/>
      <w:bookmarkStart w:id="37" w:name="_Toc35393638"/>
      <w:bookmarkStart w:id="38" w:name="_Toc35393807"/>
      <w:r>
        <w:rPr>
          <w:rFonts w:hint="eastAsia" w:asciiTheme="majorEastAsia" w:hAnsiTheme="majorEastAsia" w:eastAsiaTheme="majorEastAsia" w:cstheme="majorEastAsia"/>
          <w:color w:val="auto"/>
          <w:sz w:val="21"/>
          <w:szCs w:val="21"/>
          <w:highlight w:val="none"/>
        </w:rPr>
        <w:t>2.采购代理机构信息</w:t>
      </w:r>
      <w:bookmarkEnd w:id="35"/>
      <w:bookmarkEnd w:id="36"/>
      <w:bookmarkEnd w:id="37"/>
      <w:bookmarkEnd w:id="38"/>
    </w:p>
    <w:p w14:paraId="0729D074">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名称：</w:t>
      </w:r>
      <w:r>
        <w:rPr>
          <w:rFonts w:hint="eastAsia" w:asciiTheme="majorEastAsia" w:hAnsiTheme="majorEastAsia" w:eastAsiaTheme="majorEastAsia" w:cstheme="majorEastAsia"/>
          <w:color w:val="auto"/>
          <w:sz w:val="21"/>
          <w:szCs w:val="21"/>
          <w:highlight w:val="none"/>
          <w:lang w:eastAsia="zh-CN"/>
        </w:rPr>
        <w:t>广西亿隆项目管理有限公司</w:t>
      </w:r>
    </w:p>
    <w:p w14:paraId="1A1F0DCF">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地址：崇左市友谊大道东源名城D区9栋</w:t>
      </w:r>
      <w:r>
        <w:rPr>
          <w:rFonts w:hint="eastAsia" w:asciiTheme="majorEastAsia" w:hAnsiTheme="majorEastAsia" w:eastAsiaTheme="majorEastAsia" w:cstheme="majorEastAsia"/>
          <w:color w:val="auto"/>
          <w:sz w:val="21"/>
          <w:szCs w:val="21"/>
          <w:highlight w:val="none"/>
          <w:lang w:eastAsia="zh-CN"/>
        </w:rPr>
        <w:t>三单元202号</w:t>
      </w:r>
    </w:p>
    <w:p w14:paraId="0F85704E">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联系人及电话:</w:t>
      </w:r>
      <w:r>
        <w:rPr>
          <w:rFonts w:hint="eastAsia" w:asciiTheme="majorEastAsia" w:hAnsiTheme="majorEastAsia" w:eastAsiaTheme="majorEastAsia" w:cstheme="majorEastAsia"/>
          <w:color w:val="auto"/>
          <w:sz w:val="21"/>
          <w:szCs w:val="21"/>
          <w:highlight w:val="none"/>
          <w:lang w:val="en-US" w:eastAsia="zh-CN"/>
        </w:rPr>
        <w:t xml:space="preserve">吴威龙 </w:t>
      </w:r>
      <w:r>
        <w:rPr>
          <w:rFonts w:hint="eastAsia" w:asciiTheme="majorEastAsia" w:hAnsiTheme="majorEastAsia" w:eastAsiaTheme="majorEastAsia" w:cstheme="majorEastAsia"/>
          <w:color w:val="auto"/>
          <w:sz w:val="21"/>
          <w:szCs w:val="21"/>
          <w:highlight w:val="none"/>
        </w:rPr>
        <w:t xml:space="preserve"> 0771-79</w:t>
      </w:r>
      <w:r>
        <w:rPr>
          <w:rFonts w:hint="eastAsia" w:asciiTheme="majorEastAsia" w:hAnsiTheme="majorEastAsia" w:eastAsiaTheme="majorEastAsia" w:cstheme="majorEastAsia"/>
          <w:color w:val="auto"/>
          <w:sz w:val="21"/>
          <w:szCs w:val="21"/>
          <w:highlight w:val="none"/>
          <w:lang w:val="en-US" w:eastAsia="zh-CN"/>
        </w:rPr>
        <w:t>11372</w:t>
      </w:r>
      <w:r>
        <w:rPr>
          <w:rFonts w:hint="eastAsia" w:asciiTheme="majorEastAsia" w:hAnsiTheme="majorEastAsia" w:eastAsiaTheme="majorEastAsia" w:cstheme="majorEastAsia"/>
          <w:color w:val="auto"/>
          <w:sz w:val="21"/>
          <w:szCs w:val="21"/>
          <w:highlight w:val="none"/>
        </w:rPr>
        <w:t>　　　　　　　　　</w:t>
      </w:r>
    </w:p>
    <w:p w14:paraId="35BFFD8A">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项目联系人方式：</w:t>
      </w:r>
      <w:r>
        <w:rPr>
          <w:rFonts w:hint="eastAsia" w:ascii="宋体" w:hAnsi="宋体" w:eastAsia="宋体" w:cs="宋体"/>
          <w:color w:val="auto"/>
          <w:sz w:val="21"/>
          <w:szCs w:val="21"/>
          <w:highlight w:val="none"/>
          <w:lang w:val="en-US" w:eastAsia="zh-CN"/>
        </w:rPr>
        <w:t>0771-</w:t>
      </w:r>
      <w:r>
        <w:rPr>
          <w:rFonts w:hint="eastAsia" w:asciiTheme="majorEastAsia" w:hAnsiTheme="majorEastAsia" w:eastAsiaTheme="majorEastAsia" w:cstheme="majorEastAsia"/>
          <w:color w:val="auto"/>
          <w:sz w:val="21"/>
          <w:szCs w:val="21"/>
          <w:highlight w:val="none"/>
        </w:rPr>
        <w:t>79</w:t>
      </w:r>
      <w:r>
        <w:rPr>
          <w:rFonts w:hint="eastAsia" w:asciiTheme="majorEastAsia" w:hAnsiTheme="majorEastAsia" w:eastAsiaTheme="majorEastAsia" w:cstheme="majorEastAsia"/>
          <w:color w:val="auto"/>
          <w:sz w:val="21"/>
          <w:szCs w:val="21"/>
          <w:highlight w:val="none"/>
          <w:lang w:val="en-US" w:eastAsia="zh-CN"/>
        </w:rPr>
        <w:t>11372</w:t>
      </w:r>
      <w:r>
        <w:rPr>
          <w:rFonts w:hint="eastAsia" w:ascii="宋体" w:hAnsi="宋体" w:eastAsia="宋体" w:cs="宋体"/>
          <w:color w:val="auto"/>
          <w:sz w:val="21"/>
          <w:szCs w:val="21"/>
          <w:highlight w:val="none"/>
          <w:lang w:eastAsia="zh-CN"/>
        </w:rPr>
        <w:t>　　　　</w:t>
      </w:r>
    </w:p>
    <w:p w14:paraId="0CF9DD74">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bookmarkStart w:id="39" w:name="_Toc17394"/>
      <w:r>
        <w:rPr>
          <w:rFonts w:hint="eastAsia" w:ascii="宋体" w:hAnsi="宋体" w:eastAsia="宋体" w:cs="宋体"/>
          <w:color w:val="auto"/>
          <w:sz w:val="21"/>
          <w:szCs w:val="21"/>
          <w:highlight w:val="none"/>
          <w:lang w:eastAsia="zh-CN"/>
        </w:rPr>
        <w:t>项目联系方式：</w:t>
      </w:r>
      <w:bookmarkEnd w:id="39"/>
    </w:p>
    <w:p w14:paraId="113981C1">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asciiTheme="majorEastAsia" w:hAnsiTheme="majorEastAsia" w:eastAsiaTheme="majorEastAsia" w:cstheme="majorEastAsia"/>
          <w:color w:val="auto"/>
          <w:sz w:val="21"/>
          <w:szCs w:val="21"/>
          <w:highlight w:val="none"/>
          <w:lang w:val="en-US" w:eastAsia="zh-CN"/>
        </w:rPr>
        <w:t>吴威龙</w:t>
      </w:r>
    </w:p>
    <w:p w14:paraId="39DC9F06">
      <w:pPr>
        <w:keepNext w:val="0"/>
        <w:keepLines w:val="0"/>
        <w:pageBreakBefore w:val="0"/>
        <w:shd w:val="clear"/>
        <w:kinsoku/>
        <w:wordWrap/>
        <w:overflowPunct/>
        <w:topLinePunct w:val="0"/>
        <w:autoSpaceDE/>
        <w:autoSpaceDN/>
        <w:bidi w:val="0"/>
        <w:adjustRightInd/>
        <w:spacing w:line="348" w:lineRule="auto"/>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项目联系人方式：</w:t>
      </w:r>
      <w:r>
        <w:rPr>
          <w:rFonts w:hint="eastAsia" w:ascii="宋体" w:hAnsi="宋体" w:eastAsia="宋体" w:cs="宋体"/>
          <w:color w:val="auto"/>
          <w:sz w:val="21"/>
          <w:szCs w:val="21"/>
          <w:highlight w:val="none"/>
          <w:lang w:val="en-US" w:eastAsia="zh-CN"/>
        </w:rPr>
        <w:t>0771-</w:t>
      </w:r>
      <w:r>
        <w:rPr>
          <w:rFonts w:hint="eastAsia" w:asciiTheme="majorEastAsia" w:hAnsiTheme="majorEastAsia" w:eastAsiaTheme="majorEastAsia" w:cstheme="majorEastAsia"/>
          <w:color w:val="auto"/>
          <w:sz w:val="21"/>
          <w:szCs w:val="21"/>
          <w:highlight w:val="none"/>
        </w:rPr>
        <w:t>79</w:t>
      </w:r>
      <w:r>
        <w:rPr>
          <w:rFonts w:hint="eastAsia" w:asciiTheme="majorEastAsia" w:hAnsiTheme="majorEastAsia" w:eastAsiaTheme="majorEastAsia" w:cstheme="majorEastAsia"/>
          <w:color w:val="auto"/>
          <w:sz w:val="21"/>
          <w:szCs w:val="21"/>
          <w:highlight w:val="none"/>
          <w:lang w:val="en-US" w:eastAsia="zh-CN"/>
        </w:rPr>
        <w:t>11372</w:t>
      </w:r>
    </w:p>
    <w:p w14:paraId="5AD97824">
      <w:pPr>
        <w:keepNext w:val="0"/>
        <w:keepLines w:val="0"/>
        <w:pageBreakBefore w:val="0"/>
        <w:shd w:val="clear"/>
        <w:kinsoku/>
        <w:wordWrap/>
        <w:overflowPunct/>
        <w:topLinePunct w:val="0"/>
        <w:autoSpaceDE/>
        <w:autoSpaceDN/>
        <w:bidi w:val="0"/>
        <w:adjustRightInd/>
        <w:spacing w:line="348" w:lineRule="auto"/>
        <w:textAlignment w:val="auto"/>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监督部门：</w:t>
      </w:r>
      <w:r>
        <w:rPr>
          <w:rFonts w:hint="eastAsia" w:asciiTheme="majorEastAsia" w:hAnsiTheme="majorEastAsia" w:eastAsiaTheme="majorEastAsia" w:cstheme="majorEastAsia"/>
          <w:color w:val="auto"/>
          <w:sz w:val="21"/>
          <w:szCs w:val="21"/>
          <w:highlight w:val="none"/>
          <w:lang w:eastAsia="zh-CN"/>
        </w:rPr>
        <w:t>扶绥县政府采购监督管理股</w:t>
      </w:r>
      <w:r>
        <w:rPr>
          <w:rFonts w:hint="eastAsia" w:asciiTheme="majorEastAsia" w:hAnsiTheme="majorEastAsia" w:eastAsiaTheme="majorEastAsia" w:cstheme="majorEastAsia"/>
          <w:color w:val="auto"/>
          <w:sz w:val="21"/>
          <w:szCs w:val="21"/>
          <w:highlight w:val="none"/>
          <w:lang w:val="en-US" w:eastAsia="zh-CN"/>
        </w:rPr>
        <w:t xml:space="preserve">    电话：</w:t>
      </w:r>
      <w:r>
        <w:rPr>
          <w:rFonts w:hint="eastAsia" w:asciiTheme="majorEastAsia" w:hAnsiTheme="majorEastAsia" w:eastAsiaTheme="majorEastAsia" w:cstheme="majorEastAsia"/>
          <w:color w:val="auto"/>
          <w:sz w:val="21"/>
          <w:szCs w:val="21"/>
          <w:highlight w:val="none"/>
          <w:lang w:eastAsia="zh-CN"/>
        </w:rPr>
        <w:t>0771-</w:t>
      </w:r>
      <w:r>
        <w:rPr>
          <w:rFonts w:hint="eastAsia" w:asciiTheme="majorEastAsia" w:hAnsiTheme="majorEastAsia" w:eastAsiaTheme="majorEastAsia" w:cstheme="majorEastAsia"/>
          <w:color w:val="auto"/>
          <w:sz w:val="21"/>
          <w:szCs w:val="21"/>
          <w:highlight w:val="none"/>
          <w:lang w:val="en-US" w:eastAsia="zh-CN"/>
        </w:rPr>
        <w:t>7536611</w:t>
      </w:r>
      <w:r>
        <w:rPr>
          <w:rFonts w:hint="eastAsia" w:asciiTheme="majorEastAsia" w:hAnsiTheme="majorEastAsia" w:eastAsiaTheme="majorEastAsia" w:cstheme="majorEastAsia"/>
          <w:color w:val="auto"/>
          <w:sz w:val="21"/>
          <w:szCs w:val="21"/>
          <w:highlight w:val="none"/>
        </w:rPr>
        <w:t>　</w:t>
      </w:r>
    </w:p>
    <w:p w14:paraId="62551AD5">
      <w:pPr>
        <w:pStyle w:val="28"/>
        <w:pageBreakBefore w:val="0"/>
        <w:widowControl w:val="0"/>
        <w:numPr>
          <w:ilvl w:val="0"/>
          <w:numId w:val="0"/>
        </w:numPr>
        <w:kinsoku/>
        <w:wordWrap/>
        <w:overflowPunct/>
        <w:topLinePunct w:val="0"/>
        <w:autoSpaceDE/>
        <w:autoSpaceDN/>
        <w:bidi w:val="0"/>
        <w:adjustRightInd/>
        <w:spacing w:line="336" w:lineRule="auto"/>
        <w:jc w:val="left"/>
        <w:textAlignment w:val="auto"/>
        <w:rPr>
          <w:rFonts w:hint="eastAsia"/>
          <w:color w:val="auto"/>
        </w:rPr>
      </w:pPr>
    </w:p>
    <w:p w14:paraId="53E6DA06">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采购单位：</w:t>
      </w:r>
      <w:r>
        <w:rPr>
          <w:rFonts w:hint="eastAsia" w:asciiTheme="majorEastAsia" w:hAnsiTheme="majorEastAsia" w:eastAsiaTheme="majorEastAsia" w:cstheme="majorEastAsia"/>
          <w:color w:val="auto"/>
          <w:sz w:val="21"/>
          <w:szCs w:val="21"/>
          <w:highlight w:val="none"/>
          <w:lang w:eastAsia="zh-CN"/>
        </w:rPr>
        <w:t>扶绥县生态移民发展中心</w:t>
      </w:r>
    </w:p>
    <w:p w14:paraId="3B1EC51D">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 xml:space="preserve">   采购代理机构：</w:t>
      </w:r>
      <w:r>
        <w:rPr>
          <w:rFonts w:hint="eastAsia" w:asciiTheme="majorEastAsia" w:hAnsiTheme="majorEastAsia" w:eastAsiaTheme="majorEastAsia" w:cstheme="majorEastAsia"/>
          <w:color w:val="auto"/>
          <w:sz w:val="21"/>
          <w:szCs w:val="21"/>
          <w:highlight w:val="none"/>
          <w:lang w:eastAsia="zh-CN"/>
        </w:rPr>
        <w:t>广西亿隆项目管理有限公司</w:t>
      </w:r>
    </w:p>
    <w:p w14:paraId="05608AAE">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 xml:space="preserve">   日     期： </w:t>
      </w:r>
      <w:r>
        <w:rPr>
          <w:rFonts w:hint="eastAsia" w:asciiTheme="majorEastAsia" w:hAnsiTheme="majorEastAsia" w:eastAsiaTheme="majorEastAsia" w:cstheme="majorEastAsia"/>
          <w:color w:val="auto"/>
          <w:sz w:val="21"/>
          <w:szCs w:val="21"/>
          <w:highlight w:val="none"/>
          <w:lang w:eastAsia="zh-CN"/>
        </w:rPr>
        <w:t>202</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lang w:eastAsia="zh-CN"/>
        </w:rPr>
        <w:t>年</w:t>
      </w:r>
      <w:r>
        <w:rPr>
          <w:rFonts w:hint="eastAsia" w:asciiTheme="majorEastAsia" w:hAnsiTheme="majorEastAsia" w:eastAsiaTheme="majorEastAsia" w:cstheme="majorEastAsia"/>
          <w:color w:val="auto"/>
          <w:sz w:val="21"/>
          <w:szCs w:val="21"/>
          <w:highlight w:val="none"/>
          <w:lang w:val="en-US" w:eastAsia="zh-CN"/>
        </w:rPr>
        <w:t>6月12</w:t>
      </w:r>
      <w:r>
        <w:rPr>
          <w:rFonts w:hint="eastAsia" w:asciiTheme="majorEastAsia" w:hAnsiTheme="majorEastAsia" w:eastAsiaTheme="majorEastAsia" w:cstheme="majorEastAsia"/>
          <w:color w:val="auto"/>
          <w:sz w:val="21"/>
          <w:szCs w:val="21"/>
          <w:highlight w:val="none"/>
        </w:rPr>
        <w:t>日</w:t>
      </w:r>
    </w:p>
    <w:p w14:paraId="0A34757A">
      <w:pPr>
        <w:pStyle w:val="32"/>
        <w:rPr>
          <w:color w:val="auto"/>
        </w:rPr>
      </w:pPr>
    </w:p>
    <w:p w14:paraId="2B338671">
      <w:pPr>
        <w:pStyle w:val="31"/>
        <w:rPr>
          <w:color w:val="auto"/>
        </w:rPr>
      </w:pPr>
    </w:p>
    <w:p w14:paraId="51A7B249">
      <w:pPr>
        <w:pStyle w:val="32"/>
        <w:rPr>
          <w:color w:val="auto"/>
        </w:rPr>
      </w:pPr>
    </w:p>
    <w:p w14:paraId="64EEC011">
      <w:pPr>
        <w:pStyle w:val="31"/>
        <w:rPr>
          <w:color w:val="auto"/>
        </w:rPr>
      </w:pPr>
    </w:p>
    <w:p w14:paraId="19E02B29">
      <w:pPr>
        <w:pStyle w:val="32"/>
        <w:rPr>
          <w:color w:val="auto"/>
        </w:rPr>
      </w:pPr>
    </w:p>
    <w:p w14:paraId="772C010B">
      <w:pPr>
        <w:pStyle w:val="31"/>
        <w:rPr>
          <w:color w:val="auto"/>
        </w:rPr>
      </w:pPr>
    </w:p>
    <w:p w14:paraId="14519D5B">
      <w:pPr>
        <w:pStyle w:val="32"/>
        <w:rPr>
          <w:color w:val="auto"/>
        </w:rPr>
      </w:pPr>
    </w:p>
    <w:p w14:paraId="34CB9C7B">
      <w:pPr>
        <w:pStyle w:val="31"/>
        <w:rPr>
          <w:color w:val="auto"/>
        </w:rPr>
      </w:pPr>
    </w:p>
    <w:p w14:paraId="3D81022B">
      <w:pPr>
        <w:pStyle w:val="32"/>
        <w:rPr>
          <w:color w:val="auto"/>
        </w:rPr>
      </w:pPr>
    </w:p>
    <w:p w14:paraId="149E2910">
      <w:pPr>
        <w:pStyle w:val="31"/>
        <w:rPr>
          <w:color w:val="auto"/>
        </w:rPr>
      </w:pPr>
    </w:p>
    <w:p w14:paraId="4ECE16C1">
      <w:pPr>
        <w:pStyle w:val="32"/>
        <w:rPr>
          <w:color w:val="auto"/>
        </w:rPr>
      </w:pPr>
    </w:p>
    <w:p w14:paraId="71A4AD12">
      <w:pPr>
        <w:pStyle w:val="31"/>
        <w:rPr>
          <w:color w:val="auto"/>
        </w:rPr>
      </w:pPr>
    </w:p>
    <w:p w14:paraId="38DE7FE4">
      <w:pPr>
        <w:pStyle w:val="32"/>
        <w:rPr>
          <w:color w:val="auto"/>
        </w:rPr>
      </w:pPr>
    </w:p>
    <w:p w14:paraId="3F5B4134">
      <w:pPr>
        <w:pStyle w:val="31"/>
        <w:rPr>
          <w:color w:val="auto"/>
        </w:rPr>
      </w:pPr>
    </w:p>
    <w:p w14:paraId="41F9EEFB">
      <w:pPr>
        <w:pStyle w:val="32"/>
        <w:rPr>
          <w:color w:val="auto"/>
        </w:rPr>
      </w:pPr>
    </w:p>
    <w:p w14:paraId="638E0188">
      <w:pPr>
        <w:pStyle w:val="31"/>
        <w:rPr>
          <w:color w:val="auto"/>
        </w:rPr>
      </w:pPr>
    </w:p>
    <w:p w14:paraId="2A7F3E55">
      <w:pPr>
        <w:pStyle w:val="31"/>
        <w:rPr>
          <w:color w:val="auto"/>
        </w:rPr>
      </w:pPr>
    </w:p>
    <w:p w14:paraId="07064904">
      <w:pPr>
        <w:pStyle w:val="32"/>
        <w:rPr>
          <w:color w:val="auto"/>
        </w:rPr>
      </w:pPr>
    </w:p>
    <w:p w14:paraId="2A40ED97">
      <w:pPr>
        <w:pStyle w:val="31"/>
        <w:spacing w:line="360" w:lineRule="auto"/>
        <w:jc w:val="center"/>
        <w:outlineLvl w:val="0"/>
        <w:rPr>
          <w:color w:val="auto"/>
          <w:highlight w:val="none"/>
        </w:rPr>
      </w:pPr>
      <w:bookmarkStart w:id="40" w:name="_Toc7350"/>
      <w:r>
        <w:rPr>
          <w:rFonts w:ascii="宋体" w:hAnsi="宋体"/>
          <w:b/>
          <w:color w:val="auto"/>
          <w:sz w:val="32"/>
          <w:szCs w:val="32"/>
          <w:highlight w:val="none"/>
        </w:rPr>
        <w:t>第二章  供应商须知</w:t>
      </w:r>
      <w:bookmarkEnd w:id="40"/>
    </w:p>
    <w:p w14:paraId="0A327EB8">
      <w:pPr>
        <w:pStyle w:val="31"/>
        <w:spacing w:line="400" w:lineRule="exact"/>
        <w:jc w:val="center"/>
        <w:rPr>
          <w:rFonts w:ascii="宋体" w:hAnsi="宋体" w:cs="宋体"/>
          <w:b/>
          <w:color w:val="auto"/>
          <w:sz w:val="32"/>
          <w:szCs w:val="32"/>
          <w:highlight w:val="none"/>
        </w:rPr>
      </w:pPr>
      <w:r>
        <w:rPr>
          <w:rFonts w:ascii="宋体" w:hAnsi="宋体" w:cs="宋体"/>
          <w:b/>
          <w:color w:val="auto"/>
          <w:sz w:val="32"/>
          <w:szCs w:val="32"/>
          <w:highlight w:val="none"/>
        </w:rPr>
        <w:t>供应商须知前附表</w:t>
      </w:r>
    </w:p>
    <w:p w14:paraId="30D69248">
      <w:pPr>
        <w:pStyle w:val="31"/>
        <w:rPr>
          <w:color w:val="auto"/>
          <w:highlight w:val="none"/>
        </w:rPr>
      </w:pPr>
    </w:p>
    <w:tbl>
      <w:tblPr>
        <w:tblStyle w:val="23"/>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822"/>
        <w:gridCol w:w="11"/>
        <w:gridCol w:w="6309"/>
        <w:gridCol w:w="11"/>
      </w:tblGrid>
      <w:tr w14:paraId="5CE2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14:paraId="6240C882">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项号</w:t>
            </w:r>
          </w:p>
        </w:tc>
        <w:tc>
          <w:tcPr>
            <w:tcW w:w="1833" w:type="dxa"/>
            <w:gridSpan w:val="2"/>
            <w:vAlign w:val="center"/>
          </w:tcPr>
          <w:p w14:paraId="2591B176">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内容</w:t>
            </w:r>
          </w:p>
        </w:tc>
        <w:tc>
          <w:tcPr>
            <w:tcW w:w="6320" w:type="dxa"/>
            <w:gridSpan w:val="2"/>
            <w:vAlign w:val="center"/>
          </w:tcPr>
          <w:p w14:paraId="2BC58CB8">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说明与要求</w:t>
            </w:r>
          </w:p>
        </w:tc>
      </w:tr>
      <w:tr w14:paraId="58E4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0" w:hRule="exact"/>
          <w:jc w:val="center"/>
        </w:trPr>
        <w:tc>
          <w:tcPr>
            <w:tcW w:w="644" w:type="dxa"/>
            <w:vAlign w:val="center"/>
          </w:tcPr>
          <w:p w14:paraId="734C62BB">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w:t>
            </w:r>
          </w:p>
        </w:tc>
        <w:tc>
          <w:tcPr>
            <w:tcW w:w="1833" w:type="dxa"/>
            <w:gridSpan w:val="2"/>
            <w:vAlign w:val="center"/>
          </w:tcPr>
          <w:p w14:paraId="2A96B266">
            <w:pPr>
              <w:keepNext w:val="0"/>
              <w:keepLines w:val="0"/>
              <w:pageBreakBefore w:val="0"/>
              <w:kinsoku/>
              <w:wordWrap/>
              <w:overflowPunct/>
              <w:topLinePunct w:val="0"/>
              <w:autoSpaceDE w:val="0"/>
              <w:autoSpaceDN w:val="0"/>
              <w:bidi w:val="0"/>
              <w:adjustRightInd/>
              <w:snapToGrid/>
              <w:spacing w:line="360" w:lineRule="auto"/>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工程名称及编号</w:t>
            </w:r>
          </w:p>
        </w:tc>
        <w:tc>
          <w:tcPr>
            <w:tcW w:w="6320" w:type="dxa"/>
            <w:gridSpan w:val="2"/>
            <w:vAlign w:val="center"/>
          </w:tcPr>
          <w:p w14:paraId="7BF3C464">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工程名称：</w:t>
            </w:r>
            <w:r>
              <w:rPr>
                <w:rFonts w:hint="eastAsia" w:ascii="宋体" w:hAnsi="宋体" w:cs="宋体"/>
                <w:color w:val="auto"/>
                <w:sz w:val="21"/>
                <w:szCs w:val="21"/>
                <w:highlight w:val="none"/>
                <w:lang w:eastAsia="zh-CN"/>
              </w:rPr>
              <w:t xml:space="preserve">扶绥县东罗镇都充村新伯突屯美丽移民村建设项目 </w:t>
            </w:r>
          </w:p>
          <w:p w14:paraId="0A38B793">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lang w:val="en-US" w:eastAsia="zh-CN"/>
              </w:rPr>
              <w:t>CZZC2025-C2-210034-GXYL</w:t>
            </w:r>
          </w:p>
          <w:p w14:paraId="1F2ABB81">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Cs/>
                <w:color w:val="auto"/>
                <w:sz w:val="21"/>
                <w:szCs w:val="21"/>
                <w:highlight w:val="none"/>
                <w:lang w:eastAsia="zh-CN"/>
              </w:rPr>
            </w:pPr>
          </w:p>
        </w:tc>
      </w:tr>
      <w:tr w14:paraId="0B1A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14:paraId="5CADB872">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2</w:t>
            </w:r>
          </w:p>
        </w:tc>
        <w:tc>
          <w:tcPr>
            <w:tcW w:w="1833" w:type="dxa"/>
            <w:gridSpan w:val="2"/>
            <w:vAlign w:val="center"/>
          </w:tcPr>
          <w:p w14:paraId="69F58922">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建设地点</w:t>
            </w:r>
          </w:p>
        </w:tc>
        <w:tc>
          <w:tcPr>
            <w:tcW w:w="6320" w:type="dxa"/>
            <w:gridSpan w:val="2"/>
            <w:vAlign w:val="center"/>
          </w:tcPr>
          <w:p w14:paraId="7D02B957">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hint="default" w:ascii="宋体" w:eastAsia="宋体" w:cs="宋体"/>
                <w:bCs/>
                <w:color w:val="auto"/>
                <w:sz w:val="21"/>
                <w:szCs w:val="21"/>
                <w:highlight w:val="none"/>
                <w:lang w:val="en-US" w:eastAsia="zh-CN"/>
              </w:rPr>
            </w:pPr>
            <w:r>
              <w:rPr>
                <w:rFonts w:hint="eastAsia" w:ascii="宋体" w:cs="宋体"/>
                <w:bCs/>
                <w:color w:val="auto"/>
                <w:sz w:val="21"/>
                <w:szCs w:val="21"/>
                <w:highlight w:val="none"/>
                <w:lang w:val="en-US" w:eastAsia="zh-CN"/>
              </w:rPr>
              <w:t>崇左</w:t>
            </w:r>
            <w:r>
              <w:rPr>
                <w:rFonts w:hint="eastAsia" w:ascii="宋体" w:cs="宋体"/>
                <w:bCs/>
                <w:color w:val="auto"/>
                <w:sz w:val="21"/>
                <w:szCs w:val="21"/>
                <w:highlight w:val="none"/>
                <w:lang w:eastAsia="zh-CN"/>
              </w:rPr>
              <w:t>市</w:t>
            </w:r>
            <w:r>
              <w:rPr>
                <w:rFonts w:hint="eastAsia" w:ascii="宋体" w:hAnsi="宋体" w:cs="宋体"/>
                <w:color w:val="auto"/>
                <w:sz w:val="21"/>
                <w:szCs w:val="21"/>
                <w:highlight w:val="none"/>
                <w:lang w:eastAsia="zh-CN"/>
              </w:rPr>
              <w:t>扶绥县</w:t>
            </w:r>
          </w:p>
        </w:tc>
      </w:tr>
      <w:tr w14:paraId="1960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jc w:val="center"/>
        </w:trPr>
        <w:tc>
          <w:tcPr>
            <w:tcW w:w="644" w:type="dxa"/>
            <w:vAlign w:val="center"/>
          </w:tcPr>
          <w:p w14:paraId="35949821">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3</w:t>
            </w:r>
          </w:p>
        </w:tc>
        <w:tc>
          <w:tcPr>
            <w:tcW w:w="1833" w:type="dxa"/>
            <w:gridSpan w:val="2"/>
            <w:vAlign w:val="center"/>
          </w:tcPr>
          <w:p w14:paraId="0CBF445D">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采购预算金额</w:t>
            </w:r>
          </w:p>
        </w:tc>
        <w:tc>
          <w:tcPr>
            <w:tcW w:w="6320" w:type="dxa"/>
            <w:gridSpan w:val="2"/>
            <w:vAlign w:val="center"/>
          </w:tcPr>
          <w:p w14:paraId="7D423C76">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ascii="宋体" w:cs="宋体"/>
                <w:bCs/>
                <w:color w:val="auto"/>
                <w:sz w:val="21"/>
                <w:szCs w:val="21"/>
                <w:highlight w:val="none"/>
              </w:rPr>
            </w:pPr>
            <w:r>
              <w:rPr>
                <w:rFonts w:hint="eastAsia" w:ascii="Times New Roman" w:hAnsi="Times New Roman" w:eastAsia="宋体" w:cs="Times New Roman"/>
                <w:bCs w:val="0"/>
                <w:color w:val="auto"/>
                <w:spacing w:val="0"/>
                <w:sz w:val="21"/>
                <w:szCs w:val="21"/>
                <w:highlight w:val="none"/>
                <w:lang w:val="en-US" w:eastAsia="zh-CN" w:bidi="hi-IN"/>
              </w:rPr>
              <w:t>人民币</w:t>
            </w:r>
            <w:r>
              <w:rPr>
                <w:rFonts w:hint="eastAsia" w:cs="Times New Roman"/>
                <w:bCs w:val="0"/>
                <w:color w:val="auto"/>
                <w:spacing w:val="0"/>
                <w:sz w:val="21"/>
                <w:szCs w:val="21"/>
                <w:highlight w:val="none"/>
                <w:lang w:val="en-US" w:eastAsia="zh-CN" w:bidi="hi-IN"/>
              </w:rPr>
              <w:t>壹佰零叁万零陆佰壹拾贰元伍角叁分</w:t>
            </w:r>
            <w:r>
              <w:rPr>
                <w:rFonts w:hint="eastAsia" w:ascii="Times New Roman" w:hAnsi="Times New Roman" w:eastAsia="宋体" w:cs="Times New Roman"/>
                <w:bCs w:val="0"/>
                <w:color w:val="auto"/>
                <w:spacing w:val="0"/>
                <w:sz w:val="21"/>
                <w:szCs w:val="21"/>
                <w:highlight w:val="none"/>
                <w:lang w:val="en-US" w:eastAsia="zh-CN" w:bidi="hi-IN"/>
              </w:rPr>
              <w:t>（</w:t>
            </w:r>
            <w:r>
              <w:rPr>
                <w:rFonts w:hint="eastAsia" w:cs="Times New Roman"/>
                <w:bCs w:val="0"/>
                <w:color w:val="auto"/>
                <w:spacing w:val="0"/>
                <w:sz w:val="21"/>
                <w:szCs w:val="21"/>
                <w:highlight w:val="none"/>
                <w:lang w:val="en-US" w:eastAsia="zh-CN" w:bidi="hi-IN"/>
              </w:rPr>
              <w:t>¥1030612.53</w:t>
            </w:r>
            <w:r>
              <w:rPr>
                <w:rFonts w:hint="eastAsia" w:ascii="Times New Roman" w:hAnsi="Times New Roman" w:eastAsia="宋体" w:cs="Times New Roman"/>
                <w:bCs w:val="0"/>
                <w:color w:val="auto"/>
                <w:spacing w:val="0"/>
                <w:sz w:val="21"/>
                <w:szCs w:val="21"/>
                <w:highlight w:val="none"/>
                <w:lang w:val="en-US" w:eastAsia="zh-CN" w:bidi="hi-IN"/>
              </w:rPr>
              <w:t xml:space="preserve"> ）</w:t>
            </w:r>
          </w:p>
        </w:tc>
      </w:tr>
      <w:tr w14:paraId="722F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644" w:type="dxa"/>
            <w:vAlign w:val="center"/>
          </w:tcPr>
          <w:p w14:paraId="3BC67889">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4</w:t>
            </w:r>
          </w:p>
        </w:tc>
        <w:tc>
          <w:tcPr>
            <w:tcW w:w="1833" w:type="dxa"/>
            <w:gridSpan w:val="2"/>
            <w:vAlign w:val="center"/>
          </w:tcPr>
          <w:p w14:paraId="65502CC2">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承包方式</w:t>
            </w:r>
          </w:p>
        </w:tc>
        <w:tc>
          <w:tcPr>
            <w:tcW w:w="6320" w:type="dxa"/>
            <w:gridSpan w:val="2"/>
            <w:vAlign w:val="center"/>
          </w:tcPr>
          <w:p w14:paraId="2F7E27A7">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包工包料</w:t>
            </w:r>
          </w:p>
        </w:tc>
      </w:tr>
      <w:tr w14:paraId="1645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644" w:type="dxa"/>
            <w:vAlign w:val="center"/>
          </w:tcPr>
          <w:p w14:paraId="323224AD">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5</w:t>
            </w:r>
          </w:p>
        </w:tc>
        <w:tc>
          <w:tcPr>
            <w:tcW w:w="1833" w:type="dxa"/>
            <w:gridSpan w:val="2"/>
            <w:vAlign w:val="center"/>
          </w:tcPr>
          <w:p w14:paraId="27B676CA">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质量标准</w:t>
            </w:r>
          </w:p>
        </w:tc>
        <w:tc>
          <w:tcPr>
            <w:tcW w:w="6320" w:type="dxa"/>
            <w:gridSpan w:val="2"/>
            <w:vAlign w:val="center"/>
          </w:tcPr>
          <w:p w14:paraId="02D31266">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达到国家竣工验收规范合格标准</w:t>
            </w:r>
          </w:p>
        </w:tc>
      </w:tr>
      <w:tr w14:paraId="5F25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9" w:hRule="exact"/>
          <w:jc w:val="center"/>
        </w:trPr>
        <w:tc>
          <w:tcPr>
            <w:tcW w:w="644" w:type="dxa"/>
            <w:vAlign w:val="center"/>
          </w:tcPr>
          <w:p w14:paraId="01AEB473">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6</w:t>
            </w:r>
          </w:p>
        </w:tc>
        <w:tc>
          <w:tcPr>
            <w:tcW w:w="1833" w:type="dxa"/>
            <w:gridSpan w:val="2"/>
            <w:vAlign w:val="center"/>
          </w:tcPr>
          <w:p w14:paraId="5C5E73DA">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采购范围</w:t>
            </w:r>
          </w:p>
        </w:tc>
        <w:tc>
          <w:tcPr>
            <w:tcW w:w="6320" w:type="dxa"/>
            <w:gridSpan w:val="2"/>
            <w:vAlign w:val="center"/>
          </w:tcPr>
          <w:p w14:paraId="2D18CDB9">
            <w:pPr>
              <w:keepNext w:val="0"/>
              <w:keepLines w:val="0"/>
              <w:pageBreakBefore w:val="0"/>
              <w:kinsoku/>
              <w:wordWrap/>
              <w:overflowPunct/>
              <w:topLinePunct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cs="Times New Roman"/>
                <w:bCs w:val="0"/>
                <w:color w:val="auto"/>
                <w:spacing w:val="0"/>
                <w:sz w:val="21"/>
                <w:szCs w:val="21"/>
                <w:highlight w:val="none"/>
                <w:lang w:val="en-US" w:eastAsia="zh-CN" w:bidi="hi-IN"/>
              </w:rPr>
              <w:t>本工程为扶绥县东罗镇都充村新伯突屯美丽移民村建设项目,包括1个村1个屯，建设内容为场地硬化、人饮、廊架及亭子等设施</w:t>
            </w:r>
            <w:r>
              <w:rPr>
                <w:rFonts w:hint="eastAsia" w:ascii="Times New Roman" w:hAnsi="Times New Roman" w:eastAsia="宋体" w:cs="Times New Roman"/>
                <w:bCs w:val="0"/>
                <w:color w:val="auto"/>
                <w:spacing w:val="0"/>
                <w:sz w:val="21"/>
                <w:szCs w:val="21"/>
                <w:highlight w:val="none"/>
                <w:lang w:val="en-US" w:eastAsia="zh-CN" w:bidi="hi-IN"/>
              </w:rPr>
              <w:t>，以工程量清单和图纸包含的内容为准。</w:t>
            </w:r>
          </w:p>
        </w:tc>
      </w:tr>
      <w:tr w14:paraId="0FF0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644" w:type="dxa"/>
            <w:vAlign w:val="center"/>
          </w:tcPr>
          <w:p w14:paraId="26CE2E95">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7</w:t>
            </w:r>
          </w:p>
        </w:tc>
        <w:tc>
          <w:tcPr>
            <w:tcW w:w="1833" w:type="dxa"/>
            <w:gridSpan w:val="2"/>
            <w:vAlign w:val="center"/>
          </w:tcPr>
          <w:p w14:paraId="712D126F">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cs="宋体"/>
                <w:color w:val="auto"/>
                <w:sz w:val="21"/>
                <w:szCs w:val="21"/>
                <w:highlight w:val="none"/>
                <w:lang w:eastAsia="zh-CN"/>
              </w:rPr>
            </w:pPr>
            <w:r>
              <w:rPr>
                <w:rFonts w:hint="eastAsia" w:ascii="宋体" w:hAnsi="宋体" w:cs="宋体"/>
                <w:b/>
                <w:bCs/>
                <w:color w:val="auto"/>
                <w:kern w:val="0"/>
                <w:sz w:val="21"/>
                <w:szCs w:val="21"/>
                <w:highlight w:val="none"/>
                <w:lang w:eastAsia="zh-CN"/>
              </w:rPr>
              <w:t>工期要求</w:t>
            </w:r>
          </w:p>
        </w:tc>
        <w:tc>
          <w:tcPr>
            <w:tcW w:w="6320" w:type="dxa"/>
            <w:gridSpan w:val="2"/>
            <w:vAlign w:val="center"/>
          </w:tcPr>
          <w:p w14:paraId="29E477B3">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en-US" w:eastAsia="zh-CN"/>
              </w:rPr>
              <w:t>日历天</w:t>
            </w:r>
          </w:p>
        </w:tc>
      </w:tr>
      <w:tr w14:paraId="6162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exact"/>
          <w:jc w:val="center"/>
        </w:trPr>
        <w:tc>
          <w:tcPr>
            <w:tcW w:w="644" w:type="dxa"/>
            <w:vAlign w:val="center"/>
          </w:tcPr>
          <w:p w14:paraId="6AB08E0F">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8</w:t>
            </w:r>
          </w:p>
        </w:tc>
        <w:tc>
          <w:tcPr>
            <w:tcW w:w="1833" w:type="dxa"/>
            <w:gridSpan w:val="2"/>
            <w:vAlign w:val="center"/>
          </w:tcPr>
          <w:p w14:paraId="47C5C9CA">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cs="宋体"/>
                <w:bCs/>
                <w:color w:val="auto"/>
                <w:sz w:val="21"/>
                <w:szCs w:val="21"/>
                <w:highlight w:val="none"/>
                <w:lang w:eastAsia="zh-CN"/>
              </w:rPr>
            </w:pPr>
            <w:r>
              <w:rPr>
                <w:rFonts w:hint="eastAsia" w:ascii="宋体" w:hAnsi="宋体" w:cs="宋体"/>
                <w:b/>
                <w:bCs w:val="0"/>
                <w:color w:val="auto"/>
                <w:sz w:val="21"/>
                <w:szCs w:val="21"/>
                <w:highlight w:val="none"/>
                <w:lang w:eastAsia="zh-CN"/>
              </w:rPr>
              <w:t>资金来源</w:t>
            </w:r>
          </w:p>
        </w:tc>
        <w:tc>
          <w:tcPr>
            <w:tcW w:w="6320" w:type="dxa"/>
            <w:gridSpan w:val="2"/>
            <w:vAlign w:val="center"/>
          </w:tcPr>
          <w:p w14:paraId="03E6AE0C">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color w:val="auto"/>
                <w:sz w:val="21"/>
                <w:szCs w:val="21"/>
                <w:highlight w:val="none"/>
                <w:lang w:eastAsia="zh-CN"/>
              </w:rPr>
              <w:t>广西壮族自治区生态移民发展中心关于下达2025年大中型水库移民后期扶持资金及中央水库移民扶持基金（提前批）项目建议计划投资额度的通知</w:t>
            </w:r>
          </w:p>
        </w:tc>
      </w:tr>
      <w:tr w14:paraId="39C7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14:paraId="5D4E8878">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9</w:t>
            </w:r>
          </w:p>
        </w:tc>
        <w:tc>
          <w:tcPr>
            <w:tcW w:w="1833" w:type="dxa"/>
            <w:gridSpan w:val="2"/>
            <w:vAlign w:val="center"/>
          </w:tcPr>
          <w:p w14:paraId="19C7FD80">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磋商单位资质</w:t>
            </w:r>
          </w:p>
          <w:p w14:paraId="67325D56">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color w:val="auto"/>
                <w:kern w:val="0"/>
                <w:sz w:val="21"/>
                <w:szCs w:val="21"/>
                <w:highlight w:val="none"/>
              </w:rPr>
            </w:pPr>
            <w:r>
              <w:rPr>
                <w:rFonts w:hint="eastAsia" w:ascii="宋体" w:hAnsi="宋体" w:cs="宋体"/>
                <w:b/>
                <w:bCs/>
                <w:color w:val="auto"/>
                <w:kern w:val="0"/>
                <w:sz w:val="21"/>
                <w:szCs w:val="21"/>
                <w:highlight w:val="none"/>
              </w:rPr>
              <w:t>等级要求</w:t>
            </w:r>
          </w:p>
        </w:tc>
        <w:tc>
          <w:tcPr>
            <w:tcW w:w="6320" w:type="dxa"/>
            <w:gridSpan w:val="2"/>
            <w:vAlign w:val="center"/>
          </w:tcPr>
          <w:p w14:paraId="398B78BC">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1.满足《中华人民共和国政府采购法》第二十二条规定；</w:t>
            </w:r>
          </w:p>
          <w:p w14:paraId="7D1C2ED5">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供应商为中小企业</w:t>
            </w:r>
            <w:r>
              <w:rPr>
                <w:rFonts w:hint="eastAsia"/>
                <w:color w:val="auto"/>
                <w:sz w:val="21"/>
                <w:szCs w:val="21"/>
                <w:highlight w:val="none"/>
              </w:rPr>
              <w:t>。</w:t>
            </w:r>
          </w:p>
          <w:p w14:paraId="11313956">
            <w:pPr>
              <w:keepNext w:val="0"/>
              <w:keepLines w:val="0"/>
              <w:pageBreakBefore w:val="0"/>
              <w:kinsoku/>
              <w:wordWrap/>
              <w:overflowPunct/>
              <w:topLinePunct w:val="0"/>
              <w:autoSpaceDE/>
              <w:autoSpaceDN/>
              <w:bidi w:val="0"/>
              <w:adjustRightInd/>
              <w:spacing w:line="336" w:lineRule="auto"/>
              <w:ind w:firstLine="420" w:firstLineChars="200"/>
              <w:textAlignment w:val="auto"/>
              <w:rPr>
                <w:rFonts w:ascii="宋体" w:cs="宋体"/>
                <w:bCs/>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.本项目的特定资格要求：</w:t>
            </w:r>
            <w:r>
              <w:rPr>
                <w:rFonts w:hint="eastAsia" w:ascii="宋体" w:hAnsi="宋体" w:eastAsia="宋体" w:cs="宋体"/>
                <w:color w:val="auto"/>
                <w:sz w:val="21"/>
                <w:szCs w:val="21"/>
                <w:highlight w:val="none"/>
                <w:lang w:eastAsia="zh-CN"/>
              </w:rPr>
              <w:t>具备</w:t>
            </w:r>
            <w:r>
              <w:rPr>
                <w:rFonts w:hint="eastAsia" w:ascii="宋体" w:hAnsi="宋体" w:cs="宋体"/>
                <w:color w:val="auto"/>
                <w:sz w:val="21"/>
                <w:szCs w:val="21"/>
                <w:highlight w:val="none"/>
                <w:lang w:eastAsia="zh-CN"/>
              </w:rPr>
              <w:t>市政公用工程施工总承包三级</w:t>
            </w:r>
            <w:r>
              <w:rPr>
                <w:rFonts w:hint="eastAsia" w:ascii="宋体" w:hAnsi="宋体" w:eastAsia="宋体" w:cs="宋体"/>
                <w:color w:val="auto"/>
                <w:sz w:val="21"/>
                <w:szCs w:val="21"/>
                <w:highlight w:val="none"/>
                <w:lang w:eastAsia="zh-CN"/>
              </w:rPr>
              <w:t>及以上资质，并在人员、设备、资金等方面具有相应的施工能力</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拟派驻的项目经理须具备</w:t>
            </w:r>
            <w:r>
              <w:rPr>
                <w:rFonts w:hint="eastAsia" w:ascii="宋体" w:hAnsi="宋体" w:cs="宋体"/>
                <w:color w:val="auto"/>
                <w:sz w:val="21"/>
                <w:szCs w:val="21"/>
                <w:highlight w:val="none"/>
                <w:lang w:eastAsia="zh-CN"/>
              </w:rPr>
              <w:t>市政公用工程专业二级</w:t>
            </w:r>
            <w:r>
              <w:rPr>
                <w:rFonts w:hint="eastAsia" w:ascii="宋体" w:hAnsi="宋体" w:eastAsia="宋体" w:cs="宋体"/>
                <w:color w:val="auto"/>
                <w:sz w:val="21"/>
                <w:szCs w:val="21"/>
                <w:highlight w:val="none"/>
                <w:lang w:eastAsia="zh-CN"/>
              </w:rPr>
              <w:t>以上（含</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lang w:eastAsia="zh-CN"/>
              </w:rPr>
              <w:t>级）注册建造师执业资格，具备有效的安全生产考核合格证书（B类），且为本单位在职员工</w:t>
            </w:r>
            <w:r>
              <w:rPr>
                <w:rFonts w:hint="eastAsia"/>
                <w:color w:val="auto"/>
                <w:sz w:val="21"/>
                <w:szCs w:val="21"/>
                <w:highlight w:val="none"/>
                <w:lang w:eastAsia="zh-CN"/>
              </w:rPr>
              <w:t>。</w:t>
            </w:r>
          </w:p>
        </w:tc>
      </w:tr>
      <w:tr w14:paraId="7822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14:paraId="370C51BC">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10</w:t>
            </w:r>
          </w:p>
        </w:tc>
        <w:tc>
          <w:tcPr>
            <w:tcW w:w="1833" w:type="dxa"/>
            <w:gridSpan w:val="2"/>
            <w:vAlign w:val="center"/>
          </w:tcPr>
          <w:p w14:paraId="4DB47620">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资格审查方式</w:t>
            </w:r>
          </w:p>
        </w:tc>
        <w:tc>
          <w:tcPr>
            <w:tcW w:w="6320" w:type="dxa"/>
            <w:gridSpan w:val="2"/>
            <w:vAlign w:val="center"/>
          </w:tcPr>
          <w:p w14:paraId="143B65F7">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资格后审</w:t>
            </w:r>
          </w:p>
        </w:tc>
      </w:tr>
      <w:tr w14:paraId="0823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14:paraId="0059EA36">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11</w:t>
            </w:r>
          </w:p>
        </w:tc>
        <w:tc>
          <w:tcPr>
            <w:tcW w:w="1833" w:type="dxa"/>
            <w:gridSpan w:val="2"/>
            <w:vAlign w:val="center"/>
          </w:tcPr>
          <w:p w14:paraId="55D9FAC4">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工程报价方式</w:t>
            </w:r>
          </w:p>
        </w:tc>
        <w:tc>
          <w:tcPr>
            <w:tcW w:w="6320" w:type="dxa"/>
            <w:gridSpan w:val="2"/>
            <w:vAlign w:val="center"/>
          </w:tcPr>
          <w:p w14:paraId="24247132">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工程量清单报价</w:t>
            </w:r>
          </w:p>
        </w:tc>
      </w:tr>
      <w:tr w14:paraId="43B8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14:paraId="27B805A6">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12</w:t>
            </w:r>
          </w:p>
        </w:tc>
        <w:tc>
          <w:tcPr>
            <w:tcW w:w="1833" w:type="dxa"/>
            <w:gridSpan w:val="2"/>
            <w:vAlign w:val="center"/>
          </w:tcPr>
          <w:p w14:paraId="3AB5EFA0">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竞标有效期</w:t>
            </w:r>
          </w:p>
        </w:tc>
        <w:tc>
          <w:tcPr>
            <w:tcW w:w="6320" w:type="dxa"/>
            <w:gridSpan w:val="2"/>
            <w:vAlign w:val="center"/>
          </w:tcPr>
          <w:p w14:paraId="4947149B">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rPr>
            </w:pPr>
            <w:r>
              <w:rPr>
                <w:rFonts w:hint="eastAsia" w:ascii="宋体" w:hAnsi="宋体" w:cs="宋体"/>
                <w:color w:val="auto"/>
                <w:kern w:val="0"/>
                <w:sz w:val="21"/>
                <w:szCs w:val="21"/>
                <w:highlight w:val="none"/>
              </w:rPr>
              <w:t>45日（自提交响应文件截止之日算起）</w:t>
            </w:r>
          </w:p>
        </w:tc>
      </w:tr>
      <w:tr w14:paraId="1B96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5" w:hRule="atLeast"/>
          <w:jc w:val="center"/>
        </w:trPr>
        <w:tc>
          <w:tcPr>
            <w:tcW w:w="644" w:type="dxa"/>
            <w:vAlign w:val="center"/>
          </w:tcPr>
          <w:p w14:paraId="0788A565">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13</w:t>
            </w:r>
          </w:p>
        </w:tc>
        <w:tc>
          <w:tcPr>
            <w:tcW w:w="1822" w:type="dxa"/>
            <w:vAlign w:val="center"/>
          </w:tcPr>
          <w:p w14:paraId="419AEBB9">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tc>
        <w:tc>
          <w:tcPr>
            <w:tcW w:w="6320" w:type="dxa"/>
            <w:gridSpan w:val="2"/>
          </w:tcPr>
          <w:p w14:paraId="6439E4B6">
            <w:pPr>
              <w:pStyle w:val="28"/>
              <w:keepNext w:val="0"/>
              <w:keepLines w:val="0"/>
              <w:pageBreakBefore w:val="0"/>
              <w:kinsoku/>
              <w:wordWrap/>
              <w:overflowPunct/>
              <w:topLinePunct w:val="0"/>
              <w:bidi w:val="0"/>
              <w:adjustRightInd/>
              <w:snapToGrid/>
              <w:spacing w:line="360" w:lineRule="auto"/>
              <w:ind w:firstLine="460" w:firstLineChars="200"/>
              <w:textAlignment w:val="auto"/>
              <w:rPr>
                <w:rFonts w:hint="default"/>
                <w:color w:val="auto"/>
                <w:sz w:val="21"/>
                <w:szCs w:val="21"/>
                <w:lang w:val="en-US" w:eastAsia="zh-CN"/>
              </w:rPr>
            </w:pPr>
            <w:r>
              <w:rPr>
                <w:rFonts w:hint="eastAsia"/>
                <w:color w:val="auto"/>
                <w:sz w:val="21"/>
                <w:szCs w:val="21"/>
                <w:lang w:eastAsia="zh-CN"/>
              </w:rPr>
              <w:t>缴纳磋商保证金金额：否</w:t>
            </w:r>
          </w:p>
        </w:tc>
      </w:tr>
      <w:tr w14:paraId="77B2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67" w:hRule="atLeast"/>
          <w:jc w:val="center"/>
        </w:trPr>
        <w:tc>
          <w:tcPr>
            <w:tcW w:w="644" w:type="dxa"/>
            <w:vAlign w:val="center"/>
          </w:tcPr>
          <w:p w14:paraId="53612A9B">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14</w:t>
            </w:r>
          </w:p>
        </w:tc>
        <w:tc>
          <w:tcPr>
            <w:tcW w:w="1822" w:type="dxa"/>
            <w:vAlign w:val="center"/>
          </w:tcPr>
          <w:p w14:paraId="2BCA022E">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踏勘现场</w:t>
            </w:r>
          </w:p>
        </w:tc>
        <w:tc>
          <w:tcPr>
            <w:tcW w:w="6320" w:type="dxa"/>
            <w:gridSpan w:val="2"/>
            <w:vAlign w:val="center"/>
          </w:tcPr>
          <w:p w14:paraId="7B5366D3">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磋商单位自行对工程现场及周围环境进行踏勘</w:t>
            </w:r>
          </w:p>
        </w:tc>
      </w:tr>
      <w:tr w14:paraId="0960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92" w:hRule="atLeast"/>
          <w:jc w:val="center"/>
        </w:trPr>
        <w:tc>
          <w:tcPr>
            <w:tcW w:w="644" w:type="dxa"/>
            <w:vAlign w:val="center"/>
          </w:tcPr>
          <w:p w14:paraId="6FE9B5EE">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15</w:t>
            </w:r>
          </w:p>
        </w:tc>
        <w:tc>
          <w:tcPr>
            <w:tcW w:w="1822" w:type="dxa"/>
            <w:vAlign w:val="center"/>
          </w:tcPr>
          <w:p w14:paraId="3903356C">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响应文件份数</w:t>
            </w:r>
          </w:p>
        </w:tc>
        <w:tc>
          <w:tcPr>
            <w:tcW w:w="6320" w:type="dxa"/>
            <w:gridSpan w:val="2"/>
            <w:vAlign w:val="center"/>
          </w:tcPr>
          <w:p w14:paraId="327B4996">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1.电子响应文件，电子响应文件按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要求及本竞争性磋商文件要求制作、加密并递交。 </w:t>
            </w:r>
          </w:p>
          <w:p w14:paraId="075466E9">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2.以介质存储的数据电文形式的电子备份响应文件，按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项目采购-电子招投标操作指南中上传的电子响应文件格式，以 DVD 光盘或者 U 盘等形式提供。数量为1 份。 </w:t>
            </w:r>
          </w:p>
          <w:p w14:paraId="32ABDF7F">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14:paraId="3FA4CB48">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14:paraId="189A321E">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14:paraId="7D15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1072" w:hRule="atLeast"/>
          <w:jc w:val="center"/>
        </w:trPr>
        <w:tc>
          <w:tcPr>
            <w:tcW w:w="644" w:type="dxa"/>
            <w:vAlign w:val="center"/>
          </w:tcPr>
          <w:p w14:paraId="338EF87F">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16</w:t>
            </w:r>
          </w:p>
        </w:tc>
        <w:tc>
          <w:tcPr>
            <w:tcW w:w="1822" w:type="dxa"/>
            <w:vAlign w:val="center"/>
          </w:tcPr>
          <w:p w14:paraId="6E6C0CCA">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响应文件提交</w:t>
            </w:r>
          </w:p>
          <w:p w14:paraId="691531B6">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u w:val="single"/>
              </w:rPr>
            </w:pPr>
            <w:r>
              <w:rPr>
                <w:rFonts w:hint="eastAsia" w:ascii="宋体" w:hAnsi="宋体" w:cs="宋体"/>
                <w:b/>
                <w:bCs/>
                <w:color w:val="auto"/>
                <w:kern w:val="0"/>
                <w:sz w:val="21"/>
                <w:szCs w:val="21"/>
                <w:highlight w:val="none"/>
              </w:rPr>
              <w:t>地点及截止时间</w:t>
            </w:r>
          </w:p>
        </w:tc>
        <w:tc>
          <w:tcPr>
            <w:tcW w:w="6320" w:type="dxa"/>
            <w:gridSpan w:val="2"/>
            <w:vAlign w:val="center"/>
          </w:tcPr>
          <w:p w14:paraId="31F50750">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kern w:val="0"/>
                <w:sz w:val="21"/>
                <w:szCs w:val="21"/>
                <w:highlight w:val="none"/>
              </w:rPr>
              <w:t>：</w:t>
            </w:r>
            <w:r>
              <w:rPr>
                <w:rFonts w:hint="eastAsia"/>
                <w:color w:val="auto"/>
                <w:sz w:val="21"/>
                <w:szCs w:val="21"/>
                <w:highlight w:val="none"/>
                <w:lang w:eastAsia="zh-CN"/>
              </w:rPr>
              <w:t>通过广西政府采购云平台实行在线投标</w:t>
            </w:r>
          </w:p>
          <w:p w14:paraId="6B3CAED1">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u w:val="single"/>
              </w:rPr>
            </w:pPr>
            <w:r>
              <w:rPr>
                <w:rFonts w:hint="eastAsia" w:ascii="宋体" w:hAnsi="宋体" w:cs="宋体"/>
                <w:color w:val="auto"/>
                <w:sz w:val="21"/>
                <w:szCs w:val="21"/>
                <w:highlight w:val="none"/>
              </w:rPr>
              <w:t>时间：</w:t>
            </w:r>
            <w:r>
              <w:rPr>
                <w:rFonts w:hint="eastAsia"/>
                <w:color w:val="auto"/>
                <w:sz w:val="21"/>
                <w:szCs w:val="21"/>
                <w:highlight w:val="none"/>
                <w:lang w:val="en-US" w:eastAsia="zh-CN"/>
              </w:rPr>
              <w:t>2025年6月24 日9时00分</w:t>
            </w:r>
            <w:r>
              <w:rPr>
                <w:rFonts w:hint="eastAsia" w:ascii="宋体" w:hAnsi="宋体" w:cs="宋体"/>
                <w:color w:val="auto"/>
                <w:sz w:val="21"/>
                <w:szCs w:val="21"/>
                <w:highlight w:val="none"/>
              </w:rPr>
              <w:t>前</w:t>
            </w:r>
          </w:p>
        </w:tc>
      </w:tr>
      <w:tr w14:paraId="2534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82" w:hRule="atLeast"/>
          <w:jc w:val="center"/>
        </w:trPr>
        <w:tc>
          <w:tcPr>
            <w:tcW w:w="644" w:type="dxa"/>
            <w:vAlign w:val="center"/>
          </w:tcPr>
          <w:p w14:paraId="3E4D88DF">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17</w:t>
            </w:r>
          </w:p>
        </w:tc>
        <w:tc>
          <w:tcPr>
            <w:tcW w:w="1822" w:type="dxa"/>
            <w:vAlign w:val="center"/>
          </w:tcPr>
          <w:p w14:paraId="48230847">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开标地点</w:t>
            </w:r>
          </w:p>
          <w:p w14:paraId="48EA5465">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及时间</w:t>
            </w:r>
          </w:p>
        </w:tc>
        <w:tc>
          <w:tcPr>
            <w:tcW w:w="6320" w:type="dxa"/>
            <w:gridSpan w:val="2"/>
            <w:vAlign w:val="center"/>
          </w:tcPr>
          <w:p w14:paraId="2D2DFD66">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rPr>
              <w:t>地点：</w:t>
            </w:r>
            <w:r>
              <w:rPr>
                <w:rFonts w:hint="eastAsia"/>
                <w:color w:val="auto"/>
                <w:sz w:val="21"/>
                <w:szCs w:val="21"/>
                <w:highlight w:val="none"/>
                <w:lang w:eastAsia="zh-CN"/>
              </w:rPr>
              <w:t>在广西亿隆项目管理有限公司【崇左市友谊大道东源名城D区9栋三单元20</w:t>
            </w:r>
            <w:r>
              <w:rPr>
                <w:rFonts w:hint="eastAsia"/>
                <w:color w:val="auto"/>
                <w:sz w:val="21"/>
                <w:szCs w:val="21"/>
                <w:highlight w:val="none"/>
                <w:lang w:val="en-US" w:eastAsia="zh-CN"/>
              </w:rPr>
              <w:t>2</w:t>
            </w:r>
            <w:r>
              <w:rPr>
                <w:rFonts w:hint="eastAsia"/>
                <w:color w:val="auto"/>
                <w:sz w:val="21"/>
                <w:szCs w:val="21"/>
                <w:highlight w:val="none"/>
                <w:lang w:eastAsia="zh-CN"/>
              </w:rPr>
              <w:t>号】登录</w:t>
            </w:r>
            <w:r>
              <w:rPr>
                <w:rFonts w:hint="eastAsia"/>
                <w:color w:val="auto"/>
                <w:sz w:val="21"/>
                <w:szCs w:val="21"/>
                <w:highlight w:val="none"/>
                <w:lang w:val="en-US" w:eastAsia="zh-CN"/>
              </w:rPr>
              <w:t>广西政府采购云平台</w:t>
            </w:r>
            <w:r>
              <w:rPr>
                <w:rFonts w:hint="eastAsia"/>
                <w:color w:val="auto"/>
                <w:sz w:val="21"/>
                <w:szCs w:val="21"/>
                <w:highlight w:val="none"/>
                <w:lang w:eastAsia="zh-CN"/>
              </w:rPr>
              <w:t>进行在线解密开启</w:t>
            </w:r>
            <w:r>
              <w:rPr>
                <w:rFonts w:hint="eastAsia" w:ascii="宋体" w:hAnsi="宋体" w:cs="宋体"/>
                <w:color w:val="auto"/>
                <w:sz w:val="21"/>
                <w:szCs w:val="21"/>
                <w:highlight w:val="none"/>
                <w:lang w:eastAsia="zh-CN"/>
              </w:rPr>
              <w:t>。</w:t>
            </w:r>
          </w:p>
          <w:p w14:paraId="19B139D4">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hint="eastAsia"/>
                <w:color w:val="auto"/>
                <w:sz w:val="21"/>
                <w:szCs w:val="21"/>
                <w:highlight w:val="none"/>
                <w:lang w:eastAsia="zh-CN"/>
              </w:rPr>
            </w:pPr>
            <w:r>
              <w:rPr>
                <w:rFonts w:hint="eastAsia"/>
                <w:color w:val="auto"/>
                <w:sz w:val="21"/>
                <w:szCs w:val="21"/>
                <w:highlight w:val="none"/>
              </w:rPr>
              <w:t>时间</w:t>
            </w:r>
            <w:r>
              <w:rPr>
                <w:rFonts w:hint="eastAsia"/>
                <w:color w:val="auto"/>
                <w:sz w:val="21"/>
                <w:szCs w:val="21"/>
                <w:highlight w:val="none"/>
                <w:lang w:eastAsia="zh-CN"/>
              </w:rPr>
              <w:t>：</w:t>
            </w:r>
            <w:r>
              <w:rPr>
                <w:rFonts w:hint="eastAsia"/>
                <w:color w:val="auto"/>
                <w:sz w:val="21"/>
                <w:szCs w:val="21"/>
                <w:highlight w:val="none"/>
                <w:lang w:val="en-US" w:eastAsia="zh-CN"/>
              </w:rPr>
              <w:t>2025年6月24日9时00分</w:t>
            </w:r>
            <w:r>
              <w:rPr>
                <w:rFonts w:hint="eastAsia"/>
                <w:color w:val="auto"/>
                <w:sz w:val="21"/>
                <w:szCs w:val="21"/>
                <w:highlight w:val="none"/>
                <w:lang w:eastAsia="zh-CN"/>
              </w:rPr>
              <w:t>后</w:t>
            </w:r>
          </w:p>
          <w:p w14:paraId="37684D81">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eastAsia="宋体" w:cs="Times New Roman"/>
                <w:color w:val="auto"/>
                <w:sz w:val="21"/>
                <w:szCs w:val="21"/>
                <w:highlight w:val="none"/>
                <w:lang w:val="en-US" w:eastAsia="zh-CN"/>
              </w:rPr>
            </w:pPr>
            <w:r>
              <w:rPr>
                <w:rFonts w:hint="eastAsia"/>
                <w:color w:val="auto"/>
                <w:sz w:val="21"/>
                <w:szCs w:val="21"/>
                <w:highlight w:val="none"/>
                <w:lang w:val="en-US" w:eastAsia="zh-CN"/>
              </w:rPr>
              <w:t xml:space="preserve">电子响应文件解密时间：首次响应文件提交截止时间后30分钟内，供应商必须在此时间段内登录广西政府采购云平台，用“项目采购-开标评标”功能完成电子响应文件的解密。 </w:t>
            </w:r>
            <w:r>
              <w:rPr>
                <w:rFonts w:hint="eastAsia" w:eastAsia="宋体" w:cs="Times New Roman"/>
                <w:color w:val="auto"/>
                <w:sz w:val="21"/>
                <w:szCs w:val="21"/>
                <w:highlight w:val="none"/>
                <w:lang w:val="en-US" w:eastAsia="zh-CN"/>
              </w:rPr>
              <w:t>若竞标供应商在规定时间内未按时解密的，视为响应文件撤回。</w:t>
            </w:r>
          </w:p>
          <w:p w14:paraId="45C2D282">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color w:val="auto"/>
                <w:sz w:val="21"/>
                <w:szCs w:val="21"/>
                <w:lang w:val="en-US" w:eastAsia="zh-CN"/>
              </w:rPr>
              <w:t>供应商可以根据自身情况提供以介质（U盘或光盘等）存储的数据电文形成的电子备份投标文件。电子备份投标文件应当在投标文件递交截止时间前按要求密封并送达开标地址，逾期送达或未按要求密封将被拒收。如在政采云系统规定时间内，供应商解密失败后可通知采购代理机构通过备份文件进行上传，如备份文件无法上传由供应商自行承担责任，电子备份投标文件应当密封包装并在包装上标注项目名称、单位名称并加盖公章。</w:t>
            </w:r>
          </w:p>
        </w:tc>
      </w:tr>
      <w:tr w14:paraId="44A4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63" w:hRule="atLeast"/>
          <w:jc w:val="center"/>
        </w:trPr>
        <w:tc>
          <w:tcPr>
            <w:tcW w:w="644" w:type="dxa"/>
            <w:vAlign w:val="center"/>
          </w:tcPr>
          <w:p w14:paraId="3F43CB9D">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18</w:t>
            </w:r>
          </w:p>
        </w:tc>
        <w:tc>
          <w:tcPr>
            <w:tcW w:w="1822" w:type="dxa"/>
            <w:vAlign w:val="center"/>
          </w:tcPr>
          <w:p w14:paraId="1F8F35C8">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评标方法</w:t>
            </w:r>
          </w:p>
        </w:tc>
        <w:tc>
          <w:tcPr>
            <w:tcW w:w="6320" w:type="dxa"/>
            <w:gridSpan w:val="2"/>
            <w:vAlign w:val="center"/>
          </w:tcPr>
          <w:p w14:paraId="42CF4A53">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color w:val="auto"/>
                <w:kern w:val="0"/>
                <w:sz w:val="21"/>
                <w:szCs w:val="21"/>
                <w:highlight w:val="none"/>
              </w:rPr>
            </w:pPr>
            <w:r>
              <w:rPr>
                <w:rFonts w:hint="eastAsia" w:ascii="宋体" w:hAnsi="宋体" w:cs="宋体"/>
                <w:color w:val="auto"/>
                <w:sz w:val="21"/>
                <w:szCs w:val="21"/>
                <w:highlight w:val="none"/>
              </w:rPr>
              <w:t>综合评分法</w:t>
            </w:r>
          </w:p>
        </w:tc>
      </w:tr>
      <w:tr w14:paraId="14FB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6B4514DD">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val="en-US" w:eastAsia="zh-CN"/>
              </w:rPr>
            </w:pPr>
            <w:r>
              <w:rPr>
                <w:rFonts w:ascii="宋体" w:hAnsi="宋体" w:cs="宋体"/>
                <w:b/>
                <w:color w:val="auto"/>
                <w:kern w:val="0"/>
                <w:sz w:val="21"/>
                <w:szCs w:val="21"/>
                <w:highlight w:val="none"/>
              </w:rPr>
              <w:t>19</w:t>
            </w:r>
          </w:p>
        </w:tc>
        <w:tc>
          <w:tcPr>
            <w:tcW w:w="1822" w:type="dxa"/>
            <w:vAlign w:val="center"/>
          </w:tcPr>
          <w:p w14:paraId="2AD1DBD9">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农民工工资</w:t>
            </w:r>
          </w:p>
          <w:p w14:paraId="603567FF">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保障金</w:t>
            </w:r>
          </w:p>
        </w:tc>
        <w:tc>
          <w:tcPr>
            <w:tcW w:w="6320" w:type="dxa"/>
            <w:gridSpan w:val="2"/>
            <w:vAlign w:val="center"/>
          </w:tcPr>
          <w:p w14:paraId="24182B1E">
            <w:pPr>
              <w:keepNext w:val="0"/>
              <w:keepLines w:val="0"/>
              <w:pageBreakBefore w:val="0"/>
              <w:kinsoku/>
              <w:wordWrap/>
              <w:overflowPunct/>
              <w:topLinePunct w:val="0"/>
              <w:bidi w:val="0"/>
              <w:adjustRightInd/>
              <w:snapToGrid/>
              <w:spacing w:line="336"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无</w:t>
            </w:r>
          </w:p>
        </w:tc>
      </w:tr>
      <w:tr w14:paraId="4496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1004DE46">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20</w:t>
            </w:r>
          </w:p>
        </w:tc>
        <w:tc>
          <w:tcPr>
            <w:tcW w:w="1822" w:type="dxa"/>
            <w:vAlign w:val="center"/>
          </w:tcPr>
          <w:p w14:paraId="14591468">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计税方式</w:t>
            </w:r>
          </w:p>
        </w:tc>
        <w:tc>
          <w:tcPr>
            <w:tcW w:w="6320" w:type="dxa"/>
            <w:gridSpan w:val="2"/>
            <w:vAlign w:val="center"/>
          </w:tcPr>
          <w:p w14:paraId="4F3D3398">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一般计税</w:t>
            </w:r>
          </w:p>
        </w:tc>
      </w:tr>
      <w:tr w14:paraId="3BC4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88" w:hRule="atLeast"/>
          <w:jc w:val="center"/>
        </w:trPr>
        <w:tc>
          <w:tcPr>
            <w:tcW w:w="644" w:type="dxa"/>
            <w:vAlign w:val="center"/>
          </w:tcPr>
          <w:p w14:paraId="2B0905FE">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21</w:t>
            </w:r>
          </w:p>
        </w:tc>
        <w:tc>
          <w:tcPr>
            <w:tcW w:w="1822" w:type="dxa"/>
            <w:vAlign w:val="center"/>
          </w:tcPr>
          <w:p w14:paraId="7A8AF18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履约保证金</w:t>
            </w:r>
          </w:p>
        </w:tc>
        <w:tc>
          <w:tcPr>
            <w:tcW w:w="6320" w:type="dxa"/>
            <w:gridSpan w:val="2"/>
            <w:vAlign w:val="center"/>
          </w:tcPr>
          <w:p w14:paraId="6B6C2E45">
            <w:pPr>
              <w:keepNext w:val="0"/>
              <w:keepLines w:val="0"/>
              <w:pageBreakBefore w:val="0"/>
              <w:kinsoku/>
              <w:wordWrap/>
              <w:overflowPunct/>
              <w:topLinePunct w:val="0"/>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val="en-US" w:eastAsia="zh-CN"/>
              </w:rPr>
              <w:t>无</w:t>
            </w:r>
          </w:p>
        </w:tc>
      </w:tr>
      <w:tr w14:paraId="0BE5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287" w:hRule="atLeast"/>
          <w:jc w:val="center"/>
        </w:trPr>
        <w:tc>
          <w:tcPr>
            <w:tcW w:w="644" w:type="dxa"/>
            <w:vAlign w:val="center"/>
          </w:tcPr>
          <w:p w14:paraId="7F68E309">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22</w:t>
            </w:r>
          </w:p>
        </w:tc>
        <w:tc>
          <w:tcPr>
            <w:tcW w:w="1822" w:type="dxa"/>
            <w:vAlign w:val="center"/>
          </w:tcPr>
          <w:p w14:paraId="0BB2B5F7">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采购代理服务费</w:t>
            </w:r>
          </w:p>
        </w:tc>
        <w:tc>
          <w:tcPr>
            <w:tcW w:w="6320" w:type="dxa"/>
            <w:gridSpan w:val="2"/>
            <w:vAlign w:val="center"/>
          </w:tcPr>
          <w:p w14:paraId="3004BBDB">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采购代理服务费原发改办价格[2003]857号、原发改价格[2011]534号按照标准进行收取。</w:t>
            </w:r>
          </w:p>
        </w:tc>
      </w:tr>
      <w:tr w14:paraId="605F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72" w:hRule="atLeast"/>
          <w:jc w:val="center"/>
        </w:trPr>
        <w:tc>
          <w:tcPr>
            <w:tcW w:w="644" w:type="dxa"/>
            <w:vAlign w:val="center"/>
          </w:tcPr>
          <w:p w14:paraId="2FAE2D1E">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23</w:t>
            </w:r>
          </w:p>
        </w:tc>
        <w:tc>
          <w:tcPr>
            <w:tcW w:w="1822" w:type="dxa"/>
            <w:vAlign w:val="center"/>
          </w:tcPr>
          <w:p w14:paraId="16C499FF">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其他</w:t>
            </w:r>
          </w:p>
        </w:tc>
        <w:tc>
          <w:tcPr>
            <w:tcW w:w="6320" w:type="dxa"/>
            <w:gridSpan w:val="2"/>
            <w:vAlign w:val="center"/>
          </w:tcPr>
          <w:p w14:paraId="19E79671">
            <w:pPr>
              <w:keepNext w:val="0"/>
              <w:keepLines w:val="0"/>
              <w:pageBreakBefore w:val="0"/>
              <w:kinsoku/>
              <w:wordWrap/>
              <w:overflowPunct/>
              <w:topLinePunct w:val="0"/>
              <w:bidi w:val="0"/>
              <w:adjustRightInd/>
              <w:snapToGrid/>
              <w:spacing w:line="360" w:lineRule="auto"/>
              <w:ind w:firstLine="420" w:firstLineChars="200"/>
              <w:jc w:val="left"/>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14:paraId="684BBA62">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9559F91">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r>
              <w:rPr>
                <w:rFonts w:hint="eastAsia" w:ascii="Calibri" w:hAnsi="Calibri" w:cs="Times New Roman"/>
                <w:color w:val="auto"/>
                <w:kern w:val="2"/>
                <w:sz w:val="21"/>
                <w:szCs w:val="21"/>
                <w:highlight w:val="none"/>
                <w:lang w:val="en-US" w:eastAsia="zh-CN" w:bidi="ar-SA"/>
              </w:rPr>
              <w:t>（注：</w:t>
            </w:r>
            <w:r>
              <w:rPr>
                <w:rFonts w:hint="eastAsia" w:ascii="Calibri" w:hAnsi="Calibri" w:eastAsia="宋体" w:cs="Times New Roman"/>
                <w:color w:val="auto"/>
                <w:kern w:val="2"/>
                <w:sz w:val="21"/>
                <w:szCs w:val="21"/>
                <w:highlight w:val="none"/>
                <w:lang w:val="en-US" w:eastAsia="zh-CN" w:bidi="ar-SA"/>
              </w:rPr>
              <w:t>本项目实行电子化投标</w:t>
            </w:r>
            <w:r>
              <w:rPr>
                <w:rFonts w:hint="eastAsia" w:ascii="Calibri" w:hAnsi="Calibri"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文件中描述供应商的“签字”是指供应商通过指定电子化政府采购平台办理数字证书（</w:t>
            </w:r>
            <w:r>
              <w:rPr>
                <w:rFonts w:hint="eastAsia" w:ascii="Calibri" w:hAnsi="Calibri" w:cs="Times New Roman"/>
                <w:color w:val="auto"/>
                <w:kern w:val="2"/>
                <w:sz w:val="21"/>
                <w:szCs w:val="21"/>
                <w:highlight w:val="none"/>
                <w:lang w:val="en-US" w:eastAsia="zh-CN" w:bidi="ar-SA"/>
              </w:rPr>
              <w:t>个人</w:t>
            </w:r>
            <w:r>
              <w:rPr>
                <w:rFonts w:hint="eastAsia" w:ascii="Calibri" w:hAnsi="Calibri" w:eastAsia="宋体" w:cs="Times New Roman"/>
                <w:color w:val="auto"/>
                <w:kern w:val="2"/>
                <w:sz w:val="21"/>
                <w:szCs w:val="21"/>
                <w:highlight w:val="none"/>
                <w:lang w:val="en-US" w:eastAsia="zh-CN" w:bidi="ar-SA"/>
              </w:rPr>
              <w:t>CA认证证书）获得的以供应商法定代表人（负责人、自然人）或者委托代理人姓名制作的个人电子</w:t>
            </w:r>
            <w:r>
              <w:rPr>
                <w:rFonts w:hint="eastAsia" w:ascii="Calibri" w:hAnsi="Calibri" w:cs="Times New Roman"/>
                <w:color w:val="auto"/>
                <w:kern w:val="2"/>
                <w:sz w:val="21"/>
                <w:szCs w:val="21"/>
                <w:highlight w:val="none"/>
                <w:lang w:val="en-US" w:eastAsia="zh-CN" w:bidi="ar-SA"/>
              </w:rPr>
              <w:t>签字</w:t>
            </w:r>
            <w:r>
              <w:rPr>
                <w:rFonts w:hint="eastAsia" w:ascii="Calibri" w:hAnsi="Calibri" w:eastAsia="宋体" w:cs="Times New Roman"/>
                <w:color w:val="auto"/>
                <w:kern w:val="2"/>
                <w:sz w:val="21"/>
                <w:szCs w:val="21"/>
                <w:highlight w:val="none"/>
                <w:lang w:val="en-US" w:eastAsia="zh-CN" w:bidi="ar-SA"/>
              </w:rPr>
              <w:t>章或手写签字。没有办理个人CA证书的，可以为手写签字的形式。</w:t>
            </w:r>
            <w:r>
              <w:rPr>
                <w:rFonts w:hint="eastAsia" w:ascii="Calibri" w:hAnsi="Calibri" w:cs="Times New Roman"/>
                <w:color w:val="auto"/>
                <w:kern w:val="2"/>
                <w:sz w:val="21"/>
                <w:szCs w:val="21"/>
                <w:highlight w:val="none"/>
                <w:lang w:val="en-US" w:eastAsia="zh-CN" w:bidi="ar-SA"/>
              </w:rPr>
              <w:t>）</w:t>
            </w:r>
          </w:p>
          <w:p w14:paraId="67110409">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4.自然人竞标的，磋商文件规定盖公章处由自然人摁手指指印。</w:t>
            </w:r>
          </w:p>
          <w:p w14:paraId="10FEAC3D">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Calibri" w:hAnsi="Calibri" w:eastAsia="宋体" w:cs="Times New Roman"/>
                <w:color w:val="auto"/>
                <w:kern w:val="2"/>
                <w:sz w:val="21"/>
                <w:szCs w:val="21"/>
                <w:highlight w:val="none"/>
                <w:lang w:val="en-US" w:eastAsia="zh-CN" w:bidi="ar-SA"/>
              </w:rPr>
              <w:t>5.本磋商文件所称的“以上”“</w:t>
            </w:r>
            <w:r>
              <w:rPr>
                <w:rFonts w:hint="eastAsia" w:ascii="宋体" w:hAnsi="宋体" w:cs="宋体"/>
                <w:color w:val="auto"/>
                <w:kern w:val="0"/>
                <w:sz w:val="21"/>
                <w:szCs w:val="21"/>
                <w:highlight w:val="none"/>
                <w:lang w:val="en-US" w:eastAsia="zh-CN"/>
              </w:rPr>
              <w:t>以下”“以内”“届满”，包括本数；所称的“不满”“超过”“以外”，不包括本数。</w:t>
            </w:r>
          </w:p>
          <w:p w14:paraId="3A880F68">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default" w:ascii="Calibri" w:hAnsi="Calibri"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14:paraId="323C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24" w:hRule="atLeast"/>
          <w:jc w:val="center"/>
        </w:trPr>
        <w:tc>
          <w:tcPr>
            <w:tcW w:w="644" w:type="dxa"/>
            <w:vAlign w:val="center"/>
          </w:tcPr>
          <w:p w14:paraId="76C67A52">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24</w:t>
            </w:r>
          </w:p>
        </w:tc>
        <w:tc>
          <w:tcPr>
            <w:tcW w:w="1822" w:type="dxa"/>
            <w:vAlign w:val="center"/>
          </w:tcPr>
          <w:p w14:paraId="44EACA52">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电子投标准备工作</w:t>
            </w:r>
          </w:p>
        </w:tc>
        <w:tc>
          <w:tcPr>
            <w:tcW w:w="6320" w:type="dxa"/>
            <w:gridSpan w:val="2"/>
            <w:vAlign w:val="center"/>
          </w:tcPr>
          <w:p w14:paraId="26DB1CC0">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参与电子竞标的准备工作：</w:t>
            </w:r>
          </w:p>
          <w:p w14:paraId="47BABEDF">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19AC0E7B">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25DBB550">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02BE6A65">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止未完成提交（上传）的，视为撤回响应文件。提交响应文件截止时间以后提交（上传）的响应文件，广西政府采购云平台将予以拒收。</w:t>
            </w:r>
          </w:p>
          <w:p w14:paraId="5085DB53">
            <w:pPr>
              <w:pStyle w:val="31"/>
              <w:keepNext w:val="0"/>
              <w:keepLines w:val="0"/>
              <w:pageBreakBefore w:val="0"/>
              <w:kinsoku/>
              <w:overflowPunct/>
              <w:topLinePunct w:val="0"/>
              <w:bidi w:val="0"/>
              <w:adjustRightInd/>
              <w:spacing w:line="360" w:lineRule="auto"/>
              <w:ind w:firstLine="420" w:firstLineChars="200"/>
              <w:textAlignment w:val="auto"/>
              <w:rPr>
                <w:rFonts w:hint="eastAsia"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）供应商需要在具备有摄像头及语音功能且互联网网络状况良好的电脑登录广西政府采购云平台远程开标大厅参与本次磋商，否则后果自负</w:t>
            </w:r>
            <w:r>
              <w:rPr>
                <w:rFonts w:hint="eastAsia" w:ascii="宋体" w:hAnsi="宋体" w:cs="宋体"/>
                <w:color w:val="auto"/>
                <w:sz w:val="21"/>
                <w:szCs w:val="21"/>
                <w:highlight w:val="none"/>
                <w:lang w:eastAsia="zh-CN"/>
              </w:rPr>
              <w:t>。</w:t>
            </w:r>
          </w:p>
        </w:tc>
      </w:tr>
      <w:tr w14:paraId="13C3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14:paraId="24205D4D">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25</w:t>
            </w:r>
          </w:p>
        </w:tc>
        <w:tc>
          <w:tcPr>
            <w:tcW w:w="1822" w:type="dxa"/>
            <w:vAlign w:val="center"/>
          </w:tcPr>
          <w:p w14:paraId="18196C2E">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b/>
                <w:bCs/>
                <w:color w:val="auto"/>
                <w:sz w:val="21"/>
                <w:szCs w:val="21"/>
                <w:highlight w:val="none"/>
              </w:rPr>
              <w:t>电子响应文件的制作、加密</w:t>
            </w:r>
          </w:p>
        </w:tc>
        <w:tc>
          <w:tcPr>
            <w:tcW w:w="6320" w:type="dxa"/>
            <w:gridSpan w:val="2"/>
            <w:vAlign w:val="center"/>
          </w:tcPr>
          <w:p w14:paraId="7EE9C868">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1、供应商制作电子响应文件前，应登陆</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进行“申请获取采购文件”操作，否则，有可能导致无法在线编制响应文件并参与竞标，其不利后果由供应商自行承担。</w:t>
            </w:r>
          </w:p>
          <w:p w14:paraId="75AC367A">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15.2供应商下载或获取竞争性磋商文件后，登录“政采云电子投标客户端”，按照本磋商文件规定的响应文件格式、顺序以及</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的要求，通过“政采云电子投标客户端”编制电子响应文件。</w:t>
            </w:r>
          </w:p>
          <w:p w14:paraId="01F88C78">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2DE835E9">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电子响应文件不得涂改，若有修改错漏处，须由法定代表人（负责人、自然人）或授权委托代理人通过“政采云电子投标客户端”采用政采云个人CA证书签章，没有办理政采云个人CA证书签章的，在响应文件中响应位置手写签字后扫描或者拍照</w:t>
            </w:r>
            <w:r>
              <w:rPr>
                <w:rFonts w:hint="eastAsia" w:ascii="宋体" w:hAnsi="宋体"/>
                <w:color w:val="auto"/>
                <w:sz w:val="21"/>
                <w:szCs w:val="21"/>
                <w:highlight w:val="none"/>
                <w:lang w:eastAsia="zh-CN"/>
              </w:rPr>
              <w:t>转换成</w:t>
            </w:r>
            <w:r>
              <w:rPr>
                <w:rFonts w:hint="eastAsia" w:ascii="宋体" w:hAnsi="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14:paraId="44B116E1">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4、供应商编制、生成电子响应文件后应当加密响应文件。供应商未按规定编制并加密的响应文件，</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将予以拒收。</w:t>
            </w:r>
          </w:p>
        </w:tc>
      </w:tr>
      <w:tr w14:paraId="4B71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74" w:hRule="atLeast"/>
          <w:jc w:val="center"/>
        </w:trPr>
        <w:tc>
          <w:tcPr>
            <w:tcW w:w="644" w:type="dxa"/>
            <w:vAlign w:val="center"/>
          </w:tcPr>
          <w:p w14:paraId="0821C482">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26</w:t>
            </w:r>
          </w:p>
        </w:tc>
        <w:tc>
          <w:tcPr>
            <w:tcW w:w="1822" w:type="dxa"/>
            <w:vAlign w:val="center"/>
          </w:tcPr>
          <w:p w14:paraId="2B15027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预留份额</w:t>
            </w:r>
          </w:p>
        </w:tc>
        <w:tc>
          <w:tcPr>
            <w:tcW w:w="6320" w:type="dxa"/>
            <w:gridSpan w:val="2"/>
            <w:vAlign w:val="center"/>
          </w:tcPr>
          <w:p w14:paraId="69BDD819">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本项目专门面向中小企业，预留份额</w:t>
            </w:r>
            <w:r>
              <w:rPr>
                <w:rFonts w:hint="eastAsia" w:ascii="宋体" w:hAnsi="宋体"/>
                <w:color w:val="auto"/>
                <w:sz w:val="21"/>
                <w:szCs w:val="21"/>
                <w:highlight w:val="none"/>
                <w:lang w:val="en-US" w:eastAsia="zh-CN"/>
              </w:rPr>
              <w:t>100%，本项目属于建筑业。</w:t>
            </w:r>
          </w:p>
        </w:tc>
      </w:tr>
    </w:tbl>
    <w:p w14:paraId="25B89EBA">
      <w:pPr>
        <w:pStyle w:val="31"/>
        <w:spacing w:line="360" w:lineRule="auto"/>
        <w:jc w:val="center"/>
        <w:rPr>
          <w:rFonts w:ascii="宋体" w:hAnsi="宋体"/>
          <w:color w:val="auto"/>
          <w:highlight w:val="none"/>
        </w:rPr>
      </w:pPr>
    </w:p>
    <w:p w14:paraId="675FBFD8">
      <w:pPr>
        <w:pStyle w:val="31"/>
        <w:spacing w:line="360" w:lineRule="auto"/>
        <w:jc w:val="center"/>
        <w:rPr>
          <w:rFonts w:ascii="宋体" w:hAnsi="宋体"/>
          <w:b/>
          <w:color w:val="auto"/>
          <w:sz w:val="28"/>
          <w:szCs w:val="28"/>
          <w:highlight w:val="none"/>
        </w:rPr>
        <w:sectPr>
          <w:footerReference r:id="rId9" w:type="default"/>
          <w:pgSz w:w="11906" w:h="16838"/>
          <w:pgMar w:top="1134" w:right="1469" w:bottom="737" w:left="1817" w:header="851" w:footer="851" w:gutter="0"/>
          <w:pgNumType w:start="1"/>
          <w:cols w:space="720" w:num="1"/>
          <w:formProt w:val="1"/>
          <w:docGrid w:linePitch="312" w:charSpace="43007"/>
        </w:sectPr>
      </w:pPr>
      <w:r>
        <w:rPr>
          <w:rFonts w:ascii="宋体" w:hAnsi="宋体"/>
          <w:b/>
          <w:color w:val="auto"/>
          <w:sz w:val="28"/>
          <w:szCs w:val="28"/>
          <w:highlight w:val="none"/>
        </w:rPr>
        <w:t xml:space="preserve"> </w:t>
      </w:r>
    </w:p>
    <w:p w14:paraId="14E7B245">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供 应 商 须 知</w:t>
      </w:r>
    </w:p>
    <w:p w14:paraId="5E307EB9">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一、总则</w:t>
      </w:r>
    </w:p>
    <w:p w14:paraId="550CB33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 适用范围</w:t>
      </w:r>
    </w:p>
    <w:p w14:paraId="4169BE1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1.1 本文件仅适用于本文件中所叙述的工程类采购项目。</w:t>
      </w:r>
    </w:p>
    <w:p w14:paraId="583BB4B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 定义</w:t>
      </w:r>
    </w:p>
    <w:p w14:paraId="255AADE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2.1“采购人”是指：</w:t>
      </w:r>
      <w:r>
        <w:rPr>
          <w:rFonts w:hint="eastAsia" w:ascii="宋体" w:hAnsi="宋体"/>
          <w:color w:val="auto"/>
          <w:szCs w:val="21"/>
          <w:highlight w:val="none"/>
          <w:lang w:val="zh-CN"/>
        </w:rPr>
        <w:t>扶绥县生态移民发展中心</w:t>
      </w:r>
    </w:p>
    <w:p w14:paraId="6182AE3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lang w:eastAsia="zh-CN"/>
        </w:rPr>
      </w:pPr>
      <w:r>
        <w:rPr>
          <w:rFonts w:ascii="宋体" w:hAnsi="宋体"/>
          <w:color w:val="auto"/>
          <w:szCs w:val="21"/>
          <w:highlight w:val="none"/>
        </w:rPr>
        <w:t>2.2“采购代理机构”是指：</w:t>
      </w:r>
      <w:r>
        <w:rPr>
          <w:rFonts w:hint="eastAsia" w:ascii="宋体" w:hAnsi="宋体"/>
          <w:color w:val="auto"/>
          <w:szCs w:val="21"/>
          <w:highlight w:val="none"/>
          <w:lang w:eastAsia="zh-CN"/>
        </w:rPr>
        <w:t>广西亿隆项目管理有限公司</w:t>
      </w:r>
    </w:p>
    <w:p w14:paraId="1935148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2.3“响应供应商”是指响应本文件要求，参加磋商的法人或者其它组织。如果该供应商在本次磋商中成交，即成为“成交供应商”。</w:t>
      </w:r>
    </w:p>
    <w:p w14:paraId="11A0912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2.4“货物”是指各种形态和种类的物品，包括原材料、燃料、设备、产品等。</w:t>
      </w:r>
    </w:p>
    <w:p w14:paraId="11DB28C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2.5“服务”是指除货物和工程以外的其它采购对象。</w:t>
      </w:r>
    </w:p>
    <w:p w14:paraId="3E4FFAA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2.6“竞争性磋商响应文件”是指：响应供应商根据本文件要求，编制包含报价、技术和服务等所有内容的文件。</w:t>
      </w:r>
    </w:p>
    <w:p w14:paraId="0270DEE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2.7计税方式：详见竞标须知前附表</w:t>
      </w:r>
    </w:p>
    <w:p w14:paraId="2F12282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 响应供应商的基本条件：</w:t>
      </w:r>
    </w:p>
    <w:p w14:paraId="452E35C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3.1</w:t>
      </w:r>
      <w:r>
        <w:rPr>
          <w:rFonts w:hint="eastAsia" w:ascii="宋体" w:hAnsi="宋体" w:cs="宋体"/>
          <w:color w:val="auto"/>
          <w:szCs w:val="21"/>
          <w:highlight w:val="none"/>
        </w:rPr>
        <w:t>供应商的资格条件详见“竞争性磋商公告”。</w:t>
      </w:r>
    </w:p>
    <w:p w14:paraId="6A2D4B9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 磋商费用</w:t>
      </w:r>
    </w:p>
    <w:p w14:paraId="2DB6D13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4.1响应供应商应自行承担所有与编写和提交竞争性磋商响应文件有关的费用，不论磋商结果如何，采购人和</w:t>
      </w:r>
      <w:r>
        <w:rPr>
          <w:rFonts w:hint="eastAsia" w:ascii="宋体" w:hAnsi="宋体"/>
          <w:color w:val="auto"/>
          <w:szCs w:val="21"/>
          <w:highlight w:val="none"/>
          <w:lang w:eastAsia="zh-CN"/>
        </w:rPr>
        <w:t>广西亿隆项目管理有限公司</w:t>
      </w:r>
      <w:r>
        <w:rPr>
          <w:rFonts w:ascii="宋体" w:hAnsi="宋体"/>
          <w:color w:val="auto"/>
          <w:szCs w:val="21"/>
          <w:highlight w:val="none"/>
        </w:rPr>
        <w:t>在任何情况下无义务和责任承担此类费用。</w:t>
      </w:r>
    </w:p>
    <w:p w14:paraId="01CEB5B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 磋商无效的情形</w:t>
      </w:r>
    </w:p>
    <w:p w14:paraId="6EC87F0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5.1有下列情形之一的视为响应供应商相互串通竞标，响应文件将被视为无效：</w:t>
      </w:r>
    </w:p>
    <w:p w14:paraId="0AACFD67">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（1）不同响应供应商的响应文件由同一单位或者个人编制；或不同响应供应商报名的IP地址一致的；</w:t>
      </w:r>
    </w:p>
    <w:p w14:paraId="4202E28D">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（2）不同响应供应商委托同一单位或者个人办理磋商事宜；</w:t>
      </w:r>
    </w:p>
    <w:p w14:paraId="1D5D4891">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（3）不同的响应供应商的响应文件载明的项目管理员为同一个人；</w:t>
      </w:r>
    </w:p>
    <w:p w14:paraId="553F307C">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（4）不同响应供应商的响应文件异常一致或磋商报价呈规律性差异；</w:t>
      </w:r>
    </w:p>
    <w:p w14:paraId="0DE115E9">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（5）不同响应供应商的响应文件相互混装。</w:t>
      </w:r>
    </w:p>
    <w:p w14:paraId="7C159A2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5.2特别说明</w:t>
      </w:r>
    </w:p>
    <w:p w14:paraId="640E538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14:paraId="22AD207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14:paraId="76CC8F6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（3）响应供应商应仔细阅读磋商文件的所有内容，按照磋商文件的要求提交响应文件，并对所提供的全部资料的真实性承担法律责任。</w:t>
      </w:r>
    </w:p>
    <w:p w14:paraId="6C5D274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响应供应商在采购活动中提供任何虚假材料，其磋商无效，并报监管部门查处；成交后发现的，响应供应商须依照《中华人民共和国消费者权益保护法》第49条之规定双倍赔偿采购人，且民事赔偿并不免除违法响应供应商的行政与刑事责任。</w:t>
      </w:r>
    </w:p>
    <w:p w14:paraId="2B2A954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（5）本项目不允许转包、分包。如成交响应供应商出现转包或分包情形，采购单位有权取消其成交资格。</w:t>
      </w:r>
    </w:p>
    <w:p w14:paraId="5226970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ascii="宋体" w:hAnsi="宋体"/>
          <w:color w:val="auto"/>
          <w:szCs w:val="21"/>
          <w:highlight w:val="none"/>
        </w:rPr>
        <w:t>6、</w:t>
      </w:r>
      <w:r>
        <w:rPr>
          <w:rFonts w:ascii="宋体" w:hAnsi="宋体" w:cs="宋体"/>
          <w:b/>
          <w:bCs/>
          <w:color w:val="auto"/>
          <w:sz w:val="24"/>
          <w:highlight w:val="none"/>
        </w:rPr>
        <w:t>磋商文件的澄清和修改</w:t>
      </w:r>
    </w:p>
    <w:p w14:paraId="2B33E0B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3804246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3BFDE5F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6.3澄清或者修改的内容为磋商文件的组成部分。当澄清或者修改通知就同一内容的表述不一致时，以最后发出的书面文件为准。</w:t>
      </w:r>
    </w:p>
    <w:p w14:paraId="3C2B711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6.4 磋商文件的澄清或者修改都应该通过本项目采购代理机构以法定形式发布，采购人非通过本机构，不得擅自澄清、答复、修改或补充磋商文件。</w:t>
      </w:r>
    </w:p>
    <w:p w14:paraId="672A910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6.5 采购代理机构可以视采购具体情况，延长响应文件提交截止时间和磋商时间，并在本项目竞争性磋商公告发布的同一媒体上发布变更公告。</w:t>
      </w:r>
    </w:p>
    <w:p w14:paraId="35BD806A">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二、竞争性磋商响应文件的编制</w:t>
      </w:r>
    </w:p>
    <w:p w14:paraId="2CA33AB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 竞争性磋商响应文件编制基本要求</w:t>
      </w:r>
    </w:p>
    <w:p w14:paraId="2FF1784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1</w:t>
      </w:r>
      <w:r>
        <w:rPr>
          <w:rFonts w:ascii="宋体" w:hAnsi="宋体"/>
          <w:color w:val="auto"/>
          <w:szCs w:val="21"/>
          <w:highlight w:val="none"/>
        </w:rPr>
        <w:t xml:space="preserve"> 响应供应商提交的竞争性磋商响应文件以及响应供应商与</w:t>
      </w:r>
      <w:r>
        <w:rPr>
          <w:rFonts w:hint="eastAsia" w:ascii="宋体" w:hAnsi="宋体"/>
          <w:color w:val="auto"/>
          <w:szCs w:val="21"/>
          <w:highlight w:val="none"/>
          <w:lang w:eastAsia="zh-CN"/>
        </w:rPr>
        <w:t>采购代理机构或</w:t>
      </w:r>
      <w:r>
        <w:rPr>
          <w:rFonts w:ascii="宋体" w:hAnsi="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14:paraId="1ECB814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w:t>
      </w:r>
      <w:r>
        <w:rPr>
          <w:rFonts w:ascii="宋体" w:hAnsi="宋体"/>
          <w:color w:val="auto"/>
          <w:szCs w:val="21"/>
          <w:highlight w:val="none"/>
        </w:rPr>
        <w:t>响应供应商应认真阅读、并充分理解本文件的全部内容（包括所有的补充、修改内容），承诺并履行本文件中各项条款规定及要求。</w:t>
      </w:r>
    </w:p>
    <w:p w14:paraId="01EF15D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3</w:t>
      </w:r>
      <w:r>
        <w:rPr>
          <w:rFonts w:ascii="宋体" w:hAnsi="宋体"/>
          <w:color w:val="auto"/>
          <w:szCs w:val="21"/>
          <w:highlight w:val="none"/>
        </w:rPr>
        <w:t xml:space="preserve"> 竞争性磋商响应文件必须按本文件全部内容，包括所有的补充通知及附件进行编制。</w:t>
      </w:r>
    </w:p>
    <w:p w14:paraId="6AB7DE8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7.5 如因响应供应商只填写和提供了本文件要求的部分内容和附件，而给评审造成困难，其可能导致的结果和责任由响应供应商自行承担。</w:t>
      </w:r>
    </w:p>
    <w:p w14:paraId="31C6C07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7.6供应商编写的且在响应文件递交截止时间前递交的响应文件由</w:t>
      </w:r>
      <w:r>
        <w:rPr>
          <w:rFonts w:hint="eastAsia" w:ascii="宋体" w:hAnsi="宋体"/>
          <w:color w:val="auto"/>
          <w:szCs w:val="21"/>
          <w:highlight w:val="none"/>
          <w:lang w:eastAsia="zh-CN"/>
        </w:rPr>
        <w:t>资格文件</w:t>
      </w:r>
      <w:r>
        <w:rPr>
          <w:rFonts w:ascii="宋体" w:hAnsi="宋体"/>
          <w:color w:val="auto"/>
          <w:szCs w:val="21"/>
          <w:highlight w:val="none"/>
        </w:rPr>
        <w:t>、</w:t>
      </w:r>
      <w:r>
        <w:rPr>
          <w:rFonts w:hint="eastAsia" w:ascii="宋体" w:hAnsi="宋体"/>
          <w:color w:val="auto"/>
          <w:szCs w:val="21"/>
          <w:highlight w:val="none"/>
          <w:lang w:eastAsia="zh-CN"/>
        </w:rPr>
        <w:t>商务报价文件</w:t>
      </w:r>
      <w:r>
        <w:rPr>
          <w:rFonts w:ascii="宋体" w:hAnsi="宋体"/>
          <w:color w:val="auto"/>
          <w:szCs w:val="21"/>
          <w:highlight w:val="none"/>
        </w:rPr>
        <w:t>和</w:t>
      </w:r>
      <w:r>
        <w:rPr>
          <w:rFonts w:hint="eastAsia" w:ascii="宋体" w:hAnsi="宋体"/>
          <w:color w:val="auto"/>
          <w:szCs w:val="21"/>
          <w:highlight w:val="none"/>
          <w:lang w:eastAsia="zh-CN"/>
        </w:rPr>
        <w:t>技术文件</w:t>
      </w:r>
      <w:r>
        <w:rPr>
          <w:rFonts w:ascii="宋体" w:hAnsi="宋体"/>
          <w:color w:val="auto"/>
          <w:szCs w:val="21"/>
          <w:highlight w:val="none"/>
        </w:rPr>
        <w:t>组成，必须包括下列内容：</w:t>
      </w:r>
    </w:p>
    <w:p w14:paraId="1B8BED9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7.6.1响应文件的</w:t>
      </w:r>
      <w:r>
        <w:rPr>
          <w:rFonts w:hint="eastAsia" w:ascii="宋体" w:hAnsi="宋体"/>
          <w:color w:val="auto"/>
          <w:szCs w:val="21"/>
          <w:highlight w:val="none"/>
          <w:lang w:eastAsia="zh-CN"/>
        </w:rPr>
        <w:t>资格文件</w:t>
      </w:r>
      <w:r>
        <w:rPr>
          <w:rFonts w:ascii="宋体" w:hAnsi="宋体"/>
          <w:color w:val="auto"/>
          <w:szCs w:val="21"/>
          <w:highlight w:val="none"/>
        </w:rPr>
        <w:t>主要包括下列内容：</w:t>
      </w:r>
    </w:p>
    <w:p w14:paraId="6887E05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（1）崇左市政府采购供应商信用承诺</w:t>
      </w:r>
      <w:r>
        <w:rPr>
          <w:rFonts w:hint="eastAsia" w:ascii="宋体" w:hAnsi="宋体" w:cs="Times New Roman"/>
          <w:color w:val="auto"/>
          <w:szCs w:val="21"/>
          <w:highlight w:val="none"/>
          <w:lang w:eastAsia="zh-CN"/>
        </w:rPr>
        <w:t>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149E103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有效的资质证书副本复印件及有效的安全生产许可证副本复印件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4EC4814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67C476F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3B989C0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eastAsia="宋体" w:cs="Times New Roman"/>
          <w:color w:val="auto"/>
          <w:szCs w:val="21"/>
          <w:highlight w:val="none"/>
          <w:lang w:eastAsia="zh-CN"/>
        </w:rPr>
        <w:t>中小企业声明函或《政府采购促进中小企业发展管理办法 财库〔2020〕46号》要求提供的证明文件（</w:t>
      </w:r>
      <w:r>
        <w:rPr>
          <w:rFonts w:hint="eastAsia" w:ascii="宋体" w:hAnsi="宋体"/>
          <w:b/>
          <w:bCs/>
          <w:color w:val="auto"/>
          <w:szCs w:val="21"/>
          <w:highlight w:val="none"/>
          <w:lang w:eastAsia="zh-CN"/>
        </w:rPr>
        <w:t>必须提供，否则竞标无效</w:t>
      </w:r>
    </w:p>
    <w:p w14:paraId="2181C13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1DDC08B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7.6.2响应文件的</w:t>
      </w:r>
      <w:r>
        <w:rPr>
          <w:rFonts w:hint="eastAsia" w:ascii="宋体" w:hAnsi="宋体"/>
          <w:color w:val="auto"/>
          <w:szCs w:val="21"/>
          <w:highlight w:val="none"/>
          <w:lang w:eastAsia="zh-CN"/>
        </w:rPr>
        <w:t>商务报价文件</w:t>
      </w:r>
      <w:r>
        <w:rPr>
          <w:rFonts w:ascii="宋体" w:hAnsi="宋体"/>
          <w:color w:val="auto"/>
          <w:szCs w:val="21"/>
          <w:highlight w:val="none"/>
        </w:rPr>
        <w:t>主要包括下列内容：</w:t>
      </w:r>
    </w:p>
    <w:p w14:paraId="16AB61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（1）法定代表人身份证明书，须附上法定代表</w:t>
      </w:r>
      <w:r>
        <w:rPr>
          <w:rFonts w:hint="eastAsia" w:ascii="宋体" w:hAnsi="宋体"/>
          <w:color w:val="auto"/>
          <w:sz w:val="21"/>
          <w:szCs w:val="21"/>
          <w:highlight w:val="none"/>
          <w:lang w:val="en-US" w:eastAsia="zh-CN"/>
        </w:rPr>
        <w:t>人身份证复印件；</w:t>
      </w:r>
      <w:r>
        <w:rPr>
          <w:rFonts w:hint="eastAsia" w:ascii="宋体" w:hAnsi="宋体"/>
          <w:b/>
          <w:bCs/>
          <w:color w:val="auto"/>
          <w:sz w:val="21"/>
          <w:szCs w:val="21"/>
          <w:highlight w:val="none"/>
          <w:lang w:val="en-US" w:eastAsia="zh-CN"/>
        </w:rPr>
        <w:t>（必须提供，否则竞标无效）</w:t>
      </w:r>
    </w:p>
    <w:p w14:paraId="08E164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（2）法定代表人授权委托书，须附上委托代理人的身份证复印件；</w:t>
      </w:r>
      <w:r>
        <w:rPr>
          <w:rFonts w:hint="eastAsia" w:ascii="宋体" w:hAnsi="宋体"/>
          <w:b/>
          <w:bCs/>
          <w:color w:val="auto"/>
          <w:sz w:val="21"/>
          <w:szCs w:val="21"/>
          <w:highlight w:val="none"/>
          <w:lang w:val="en-US" w:eastAsia="zh-CN"/>
        </w:rPr>
        <w:t>（委托代理时必须提供，否则竞标无效）</w:t>
      </w:r>
    </w:p>
    <w:p w14:paraId="5AE424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（3）无虚假应标、串通竞标行为的承诺函;</w:t>
      </w:r>
      <w:r>
        <w:rPr>
          <w:rFonts w:hint="eastAsia" w:ascii="宋体" w:hAnsi="宋体"/>
          <w:b/>
          <w:bCs/>
          <w:color w:val="auto"/>
          <w:sz w:val="21"/>
          <w:szCs w:val="21"/>
          <w:highlight w:val="none"/>
          <w:lang w:val="en-US" w:eastAsia="zh-CN"/>
        </w:rPr>
        <w:t>（必须提供，否则竞标无效）</w:t>
      </w:r>
    </w:p>
    <w:p w14:paraId="15EC4AA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4</w:t>
      </w:r>
      <w:r>
        <w:rPr>
          <w:rFonts w:ascii="宋体" w:hAnsi="宋体"/>
          <w:color w:val="auto"/>
          <w:sz w:val="21"/>
          <w:szCs w:val="21"/>
          <w:highlight w:val="none"/>
        </w:rPr>
        <w:t>）磋商函；</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440FB3F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5</w:t>
      </w:r>
      <w:r>
        <w:rPr>
          <w:rFonts w:ascii="宋体" w:hAnsi="宋体"/>
          <w:color w:val="auto"/>
          <w:sz w:val="21"/>
          <w:szCs w:val="21"/>
          <w:highlight w:val="none"/>
        </w:rPr>
        <w:t>）磋商函附录；</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3057021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6</w:t>
      </w:r>
      <w:r>
        <w:rPr>
          <w:rFonts w:ascii="宋体" w:hAnsi="宋体"/>
          <w:color w:val="auto"/>
          <w:sz w:val="21"/>
          <w:szCs w:val="21"/>
          <w:highlight w:val="none"/>
        </w:rPr>
        <w:t>）磋商报价表；</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043A2A7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7</w:t>
      </w:r>
      <w:r>
        <w:rPr>
          <w:rFonts w:ascii="宋体" w:hAnsi="宋体"/>
          <w:color w:val="auto"/>
          <w:sz w:val="21"/>
          <w:szCs w:val="21"/>
          <w:highlight w:val="none"/>
        </w:rPr>
        <w:t>）</w:t>
      </w:r>
      <w:r>
        <w:rPr>
          <w:rFonts w:hint="eastAsia" w:ascii="宋体" w:hAnsi="宋体"/>
          <w:color w:val="auto"/>
          <w:sz w:val="21"/>
          <w:szCs w:val="21"/>
          <w:highlight w:val="none"/>
          <w:lang w:eastAsia="zh-CN"/>
        </w:rPr>
        <w:t>已标价工程量清单</w:t>
      </w:r>
      <w:r>
        <w:rPr>
          <w:rFonts w:ascii="宋体" w:hAnsi="宋体"/>
          <w:color w:val="auto"/>
          <w:sz w:val="21"/>
          <w:szCs w:val="21"/>
          <w:highlight w:val="none"/>
        </w:rPr>
        <w:t>（格式后附）；</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19FA274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16E5BA7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7.6.3响应文件的</w:t>
      </w:r>
      <w:r>
        <w:rPr>
          <w:rFonts w:hint="eastAsia" w:ascii="宋体" w:hAnsi="宋体"/>
          <w:color w:val="auto"/>
          <w:szCs w:val="21"/>
          <w:highlight w:val="none"/>
          <w:lang w:eastAsia="zh-CN"/>
        </w:rPr>
        <w:t>技术文件</w:t>
      </w:r>
      <w:r>
        <w:rPr>
          <w:rFonts w:ascii="宋体" w:hAnsi="宋体"/>
          <w:color w:val="auto"/>
          <w:szCs w:val="21"/>
          <w:highlight w:val="none"/>
        </w:rPr>
        <w:t>主要包括下列内容：</w:t>
      </w:r>
    </w:p>
    <w:p w14:paraId="1A1C9A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（1）施工组织设计；</w:t>
      </w:r>
    </w:p>
    <w:p w14:paraId="2DEDA7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项目管理机构：</w:t>
      </w:r>
    </w:p>
    <w:p w14:paraId="212FB05D">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1）项目管理机构配备情况表；</w:t>
      </w:r>
    </w:p>
    <w:p w14:paraId="2591C550">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2）项目经理（注册建造师）简历表；</w:t>
      </w:r>
    </w:p>
    <w:p w14:paraId="103786DD">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3）项目技术负责人简历表。</w:t>
      </w:r>
    </w:p>
    <w:p w14:paraId="254C7A29">
      <w:pPr>
        <w:pStyle w:val="35"/>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供应商认为有必要提供的声明及其他证明材料</w:t>
      </w:r>
      <w:r>
        <w:rPr>
          <w:rFonts w:hint="eastAsia" w:ascii="宋体" w:hAnsi="宋体" w:cs="Times New Roman"/>
          <w:color w:val="auto"/>
          <w:kern w:val="2"/>
          <w:sz w:val="21"/>
          <w:szCs w:val="21"/>
          <w:highlight w:val="none"/>
          <w:lang w:val="en-US" w:eastAsia="zh-CN" w:bidi="ar-SA"/>
        </w:rPr>
        <w:t>（如有，请提供）</w:t>
      </w:r>
    </w:p>
    <w:p w14:paraId="43A3AD1C">
      <w:pPr>
        <w:pStyle w:val="32"/>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bCs/>
          <w:color w:val="auto"/>
          <w:spacing w:val="0"/>
          <w:kern w:val="2"/>
          <w:sz w:val="21"/>
          <w:szCs w:val="21"/>
          <w:highlight w:val="none"/>
          <w:lang w:val="en-US" w:eastAsia="zh-CN" w:bidi="ar-SA"/>
        </w:rPr>
      </w:pPr>
      <w:r>
        <w:rPr>
          <w:rFonts w:hint="eastAsia" w:ascii="宋体" w:hAnsi="宋体" w:eastAsia="宋体" w:cs="Times New Roman"/>
          <w:b/>
          <w:bCs/>
          <w:color w:val="auto"/>
          <w:spacing w:val="0"/>
          <w:kern w:val="2"/>
          <w:sz w:val="21"/>
          <w:szCs w:val="21"/>
          <w:highlight w:val="none"/>
          <w:lang w:val="en-US" w:eastAsia="zh-CN" w:bidi="ar-SA"/>
        </w:rPr>
        <w:t>注：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政采云个人CA证书签章的可在响应文件中涉及到签字的位置手写签字后扫描或者拍照做成 PDF 的格式上传，无个人CA证书签章或手写签字的，响应文件按无效处理。</w:t>
      </w:r>
    </w:p>
    <w:p w14:paraId="0857819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 计量单位</w:t>
      </w:r>
    </w:p>
    <w:p w14:paraId="25711D3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8.1 除技术要求中另有规定外，本文件所要求使用的计量单位均应采用国家法定计量单位。</w:t>
      </w:r>
    </w:p>
    <w:p w14:paraId="46171EAA">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三、采购预算与磋商报价要求</w:t>
      </w:r>
    </w:p>
    <w:p w14:paraId="6ED3A3B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olor w:val="auto"/>
          <w:szCs w:val="21"/>
          <w:highlight w:val="none"/>
          <w:lang w:val="en-US" w:eastAsia="zh-CN"/>
        </w:rPr>
      </w:pPr>
      <w:r>
        <w:rPr>
          <w:rFonts w:ascii="宋体" w:hAnsi="宋体"/>
          <w:color w:val="auto"/>
          <w:szCs w:val="21"/>
          <w:highlight w:val="none"/>
        </w:rPr>
        <w:t>9.1本项目采购预算金额为：</w:t>
      </w:r>
      <w:r>
        <w:rPr>
          <w:rFonts w:hint="eastAsia" w:ascii="宋体" w:hAnsi="宋体"/>
          <w:color w:val="auto"/>
          <w:szCs w:val="21"/>
          <w:highlight w:val="none"/>
          <w:lang w:val="en-US" w:eastAsia="zh-CN"/>
        </w:rPr>
        <w:t>与竞争性磋商公告一致，</w:t>
      </w:r>
      <w:r>
        <w:rPr>
          <w:rFonts w:hint="eastAsia" w:ascii="宋体" w:hAnsi="宋体" w:cs="宋体"/>
          <w:color w:val="auto"/>
          <w:szCs w:val="21"/>
          <w:highlight w:val="none"/>
        </w:rPr>
        <w:t>报价超出采购预算总金额的将被视为无效竞标。</w:t>
      </w:r>
    </w:p>
    <w:p w14:paraId="20A8DA3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9.2本工程采用</w:t>
      </w:r>
      <w:r>
        <w:rPr>
          <w:rFonts w:ascii="宋体" w:hAnsi="宋体"/>
          <w:b/>
          <w:color w:val="auto"/>
          <w:szCs w:val="21"/>
          <w:highlight w:val="none"/>
          <w:u w:val="single"/>
        </w:rPr>
        <w:t>工程量清单</w:t>
      </w:r>
      <w:r>
        <w:rPr>
          <w:rFonts w:ascii="宋体" w:hAnsi="宋体"/>
          <w:bCs/>
          <w:color w:val="auto"/>
          <w:szCs w:val="21"/>
          <w:highlight w:val="none"/>
        </w:rPr>
        <w:t>方式</w:t>
      </w:r>
      <w:r>
        <w:rPr>
          <w:rFonts w:ascii="宋体" w:hAnsi="宋体"/>
          <w:color w:val="auto"/>
          <w:szCs w:val="21"/>
          <w:highlight w:val="none"/>
        </w:rPr>
        <w:t>报价</w:t>
      </w:r>
      <w:r>
        <w:rPr>
          <w:rFonts w:ascii="宋体" w:hAnsi="宋体"/>
          <w:color w:val="auto"/>
          <w:highlight w:val="none"/>
        </w:rPr>
        <w:t>。</w:t>
      </w:r>
    </w:p>
    <w:p w14:paraId="66ACC85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9.2.1</w:t>
      </w:r>
      <w:r>
        <w:rPr>
          <w:rFonts w:ascii="宋体" w:hAnsi="宋体"/>
          <w:color w:val="auto"/>
          <w:szCs w:val="21"/>
          <w:highlight w:val="none"/>
        </w:rPr>
        <w:t>合同价款采用</w:t>
      </w:r>
      <w:r>
        <w:rPr>
          <w:rFonts w:hint="eastAsia" w:ascii="宋体" w:hAnsi="宋体"/>
          <w:b/>
          <w:bCs/>
          <w:color w:val="auto"/>
          <w:szCs w:val="21"/>
          <w:highlight w:val="none"/>
          <w:u w:val="single"/>
        </w:rPr>
        <w:t>单价合同</w:t>
      </w:r>
      <w:r>
        <w:rPr>
          <w:rFonts w:ascii="宋体" w:hAnsi="宋体"/>
          <w:b/>
          <w:color w:val="auto"/>
          <w:highlight w:val="none"/>
          <w:u w:val="single"/>
        </w:rPr>
        <w:t xml:space="preserve"> </w:t>
      </w:r>
      <w:r>
        <w:rPr>
          <w:rFonts w:ascii="宋体" w:hAnsi="宋体"/>
          <w:color w:val="auto"/>
          <w:szCs w:val="21"/>
          <w:highlight w:val="none"/>
        </w:rPr>
        <w:t>的方式确定，工程量按实际结算，</w:t>
      </w:r>
      <w:r>
        <w:rPr>
          <w:rFonts w:hint="eastAsia" w:ascii="宋体" w:hAnsi="宋体"/>
          <w:bCs/>
          <w:color w:val="auto"/>
          <w:szCs w:val="21"/>
          <w:highlight w:val="none"/>
        </w:rPr>
        <w:t>磋商</w:t>
      </w:r>
      <w:r>
        <w:rPr>
          <w:rFonts w:ascii="宋体" w:hAnsi="宋体"/>
          <w:bCs/>
          <w:color w:val="auto"/>
          <w:szCs w:val="21"/>
          <w:highlight w:val="none"/>
        </w:rPr>
        <w:t>报价</w:t>
      </w:r>
      <w:r>
        <w:rPr>
          <w:rFonts w:ascii="宋体" w:hAnsi="宋体"/>
          <w:color w:val="auto"/>
          <w:szCs w:val="21"/>
          <w:highlight w:val="none"/>
        </w:rPr>
        <w:t>为</w:t>
      </w:r>
      <w:r>
        <w:rPr>
          <w:rFonts w:ascii="宋体" w:hAnsi="宋体"/>
          <w:bCs/>
          <w:color w:val="auto"/>
          <w:szCs w:val="21"/>
          <w:highlight w:val="none"/>
        </w:rPr>
        <w:t>供应商</w:t>
      </w:r>
      <w:r>
        <w:rPr>
          <w:rFonts w:ascii="宋体" w:hAnsi="宋体"/>
          <w:color w:val="auto"/>
          <w:szCs w:val="21"/>
          <w:highlight w:val="none"/>
        </w:rPr>
        <w:t>在</w:t>
      </w:r>
      <w:r>
        <w:rPr>
          <w:rFonts w:ascii="宋体" w:hAnsi="宋体"/>
          <w:bCs/>
          <w:color w:val="auto"/>
          <w:szCs w:val="21"/>
          <w:highlight w:val="none"/>
        </w:rPr>
        <w:t>响应文件</w:t>
      </w:r>
      <w:r>
        <w:rPr>
          <w:rFonts w:ascii="宋体" w:hAnsi="宋体"/>
          <w:color w:val="auto"/>
          <w:szCs w:val="21"/>
          <w:highlight w:val="none"/>
        </w:rPr>
        <w:t>中提出的各项支付金额的总和。</w:t>
      </w:r>
    </w:p>
    <w:p w14:paraId="7C88065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9.2.2</w:t>
      </w:r>
      <w:r>
        <w:rPr>
          <w:rFonts w:ascii="宋体" w:hAnsi="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14:paraId="5252E87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9.2.3 因设计变更引起工程项目、工程量变化的，变更合同价款按下列方法进行：</w:t>
      </w:r>
    </w:p>
    <w:p w14:paraId="4ECA8F5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（1）工程量清单中有相同项目的按供应商谈判时的成交价格进行结算；</w:t>
      </w:r>
    </w:p>
    <w:p w14:paraId="6B49559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（2）有类似项目的参考类似成交价格结算；</w:t>
      </w:r>
    </w:p>
    <w:p w14:paraId="5A2126E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（3）没有适用于变更工程的单价，则有定额的套定额计算，执行本响应文件计算依据并乘以下浮系数（成交报价/工程采购预算价）结算，其中材料价格有信息价的按施工期间的《</w:t>
      </w:r>
      <w:r>
        <w:rPr>
          <w:rFonts w:hint="eastAsia" w:ascii="宋体" w:hAnsi="宋体"/>
          <w:color w:val="auto"/>
          <w:szCs w:val="21"/>
          <w:highlight w:val="none"/>
          <w:lang w:eastAsia="zh-CN"/>
        </w:rPr>
        <w:t>崇左市建设工程造价信息</w:t>
      </w:r>
      <w:r>
        <w:rPr>
          <w:rFonts w:ascii="宋体" w:hAnsi="宋体"/>
          <w:color w:val="auto"/>
          <w:szCs w:val="21"/>
          <w:highlight w:val="none"/>
        </w:rPr>
        <w:t>》相应价格信息进行计算，无信息价的由发包人及承包人根据市场价格协商议定；新增项目无定额可套的，根据市场价格协商确定综合价格；新增项目单价必须经发包人审定。</w:t>
      </w:r>
    </w:p>
    <w:p w14:paraId="2207431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9.2.4</w:t>
      </w:r>
      <w:r>
        <w:rPr>
          <w:rFonts w:ascii="宋体" w:hAnsi="宋体"/>
          <w:color w:val="auto"/>
          <w:szCs w:val="21"/>
          <w:highlight w:val="none"/>
        </w:rPr>
        <w:t>供应商应认真填写工程量清单中所列的所有各细目的单价和合价，填写工程量清单时应注意：</w:t>
      </w:r>
    </w:p>
    <w:p w14:paraId="44AC4CD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（1）有工程数量的应报单价和合价。</w:t>
      </w:r>
    </w:p>
    <w:p w14:paraId="5EDEFAC5">
      <w:pPr>
        <w:pStyle w:val="31"/>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（2）供应商应按采购人提供的工程量清单中列出的工程项目和工程量填报单价和合价。每一项目只允许有一个报价。任何有选择的报价将不予接受。</w:t>
      </w:r>
      <w:r>
        <w:rPr>
          <w:rFonts w:ascii="宋体" w:hAnsi="宋体"/>
          <w:b/>
          <w:color w:val="auto"/>
          <w:szCs w:val="21"/>
          <w:highlight w:val="none"/>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ascii="宋体" w:hAnsi="宋体"/>
          <w:color w:val="auto"/>
          <w:szCs w:val="21"/>
          <w:highlight w:val="none"/>
        </w:rPr>
        <w:t>。</w:t>
      </w:r>
    </w:p>
    <w:p w14:paraId="2D6A61E5">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highlight w:val="none"/>
        </w:rPr>
        <w:t>9.2.5</w:t>
      </w:r>
      <w:r>
        <w:rPr>
          <w:rFonts w:ascii="宋体" w:hAnsi="宋体"/>
          <w:b/>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p>
    <w:p w14:paraId="6426140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9.2.6</w:t>
      </w:r>
      <w:r>
        <w:rPr>
          <w:rFonts w:ascii="宋体" w:hAnsi="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14:paraId="3CF8D5A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9.2.7</w:t>
      </w:r>
      <w:r>
        <w:rPr>
          <w:rFonts w:ascii="宋体" w:hAnsi="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14:paraId="21BBE9D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9.2.8</w:t>
      </w:r>
      <w:r>
        <w:rPr>
          <w:rFonts w:ascii="宋体" w:hAnsi="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14:paraId="7F54AD8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9.2.9 </w:t>
      </w:r>
      <w:r>
        <w:rPr>
          <w:rFonts w:ascii="宋体" w:hAnsi="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14:paraId="60357B5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9.2.10 </w:t>
      </w:r>
      <w:r>
        <w:rPr>
          <w:rFonts w:ascii="宋体" w:hAnsi="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14:paraId="6F9DD8B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9.2.11 </w:t>
      </w:r>
      <w:r>
        <w:rPr>
          <w:rFonts w:ascii="宋体" w:hAnsi="宋体"/>
          <w:color w:val="auto"/>
          <w:szCs w:val="21"/>
          <w:highlight w:val="none"/>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14:paraId="525581C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color w:val="auto"/>
          <w:szCs w:val="21"/>
          <w:highlight w:val="none"/>
        </w:rPr>
      </w:pPr>
      <w:r>
        <w:rPr>
          <w:rFonts w:ascii="宋体" w:hAnsi="宋体"/>
          <w:color w:val="auto"/>
          <w:highlight w:val="none"/>
        </w:rPr>
        <w:t xml:space="preserve">9.2.12 </w:t>
      </w:r>
      <w:r>
        <w:rPr>
          <w:rFonts w:ascii="宋体" w:hAnsi="宋体"/>
          <w:b/>
          <w:color w:val="auto"/>
          <w:szCs w:val="21"/>
          <w:highlight w:val="none"/>
        </w:rPr>
        <w:t>本项目采用多次报价方式，</w:t>
      </w:r>
      <w:r>
        <w:rPr>
          <w:rFonts w:hint="eastAsia" w:ascii="宋体" w:hAnsi="宋体"/>
          <w:b/>
          <w:color w:val="auto"/>
          <w:szCs w:val="21"/>
          <w:highlight w:val="none"/>
        </w:rPr>
        <w:t>未书面退出磋商的供应商必须在规定时间内登录</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在线提交最后报价，其最后报价不得超出采购预算；磋商过程中磋商文件未作实质性变动的，最后报价不得超过首次报价。</w:t>
      </w:r>
      <w:r>
        <w:rPr>
          <w:rFonts w:ascii="宋体" w:hAnsi="宋体"/>
          <w:b/>
          <w:color w:val="auto"/>
          <w:szCs w:val="21"/>
          <w:highlight w:val="none"/>
        </w:rPr>
        <w:t>供应商的最终报价如有变动，则必须以工程量清单报价表（</w:t>
      </w:r>
      <w:r>
        <w:rPr>
          <w:rFonts w:hint="eastAsia" w:ascii="宋体" w:hAnsi="宋体"/>
          <w:b/>
          <w:color w:val="auto"/>
          <w:szCs w:val="21"/>
          <w:highlight w:val="none"/>
        </w:rPr>
        <w:t>已标价工程量清单</w:t>
      </w:r>
      <w:r>
        <w:rPr>
          <w:rFonts w:ascii="宋体" w:hAnsi="宋体"/>
          <w:b/>
          <w:color w:val="auto"/>
          <w:szCs w:val="21"/>
          <w:highlight w:val="none"/>
        </w:rPr>
        <w:t>）的格式编制提交，供应商须提前做好相关准备并按时</w:t>
      </w:r>
      <w:r>
        <w:rPr>
          <w:rFonts w:hint="eastAsia" w:ascii="宋体" w:hAnsi="宋体"/>
          <w:b/>
          <w:color w:val="auto"/>
          <w:szCs w:val="21"/>
          <w:highlight w:val="none"/>
        </w:rPr>
        <w:t>上传</w:t>
      </w:r>
      <w:r>
        <w:rPr>
          <w:rFonts w:ascii="宋体" w:hAnsi="宋体"/>
          <w:b/>
          <w:color w:val="auto"/>
          <w:szCs w:val="21"/>
          <w:highlight w:val="none"/>
        </w:rPr>
        <w:t>最终</w:t>
      </w:r>
      <w:r>
        <w:rPr>
          <w:rFonts w:hint="eastAsia" w:ascii="宋体" w:hAnsi="宋体"/>
          <w:b/>
          <w:color w:val="auto"/>
          <w:szCs w:val="21"/>
          <w:highlight w:val="none"/>
          <w:lang w:eastAsia="zh-CN"/>
        </w:rPr>
        <w:t>商务</w:t>
      </w:r>
      <w:r>
        <w:rPr>
          <w:rFonts w:ascii="宋体" w:hAnsi="宋体"/>
          <w:b/>
          <w:color w:val="auto"/>
          <w:szCs w:val="21"/>
          <w:highlight w:val="none"/>
        </w:rPr>
        <w:t>报价文件，否则磋商</w:t>
      </w:r>
      <w:r>
        <w:rPr>
          <w:rFonts w:hint="eastAsia" w:ascii="宋体" w:hAnsi="宋体" w:eastAsia="宋体" w:cs="Times New Roman"/>
          <w:b/>
          <w:color w:val="auto"/>
          <w:szCs w:val="21"/>
          <w:highlight w:val="none"/>
        </w:rPr>
        <w:t>无效。</w:t>
      </w:r>
    </w:p>
    <w:p w14:paraId="223314A2">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9.2.13 供应商的竞标报价须按竞争性谈判文件及澄清答疑中所确认的工程量清单及清单顺序进行报价，否则，将视为实质上不响应竞争性谈判文件的要求。</w:t>
      </w:r>
    </w:p>
    <w:p w14:paraId="1A17E43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9.3</w:t>
      </w:r>
      <w:r>
        <w:rPr>
          <w:rFonts w:ascii="宋体" w:hAnsi="宋体"/>
          <w:color w:val="auto"/>
          <w:szCs w:val="21"/>
          <w:highlight w:val="none"/>
        </w:rPr>
        <w:t>计算依据：</w:t>
      </w:r>
    </w:p>
    <w:p w14:paraId="05AACA8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pPr>
      <w:r>
        <w:rPr>
          <w:rFonts w:ascii="宋体" w:hAnsi="宋体"/>
          <w:color w:val="auto"/>
          <w:highlight w:val="none"/>
        </w:rPr>
        <w:t>9.3.1 本</w:t>
      </w:r>
      <w:r>
        <w:rPr>
          <w:rFonts w:ascii="宋体" w:hAnsi="宋体"/>
          <w:color w:val="auto"/>
          <w:szCs w:val="21"/>
          <w:highlight w:val="none"/>
        </w:rPr>
        <w:t>工程的计算依据：</w:t>
      </w:r>
      <w:r>
        <w:rPr>
          <w:rFonts w:ascii="宋体" w:hAnsi="宋体"/>
          <w:b/>
          <w:color w:val="auto"/>
          <w:szCs w:val="21"/>
          <w:highlight w:val="none"/>
        </w:rPr>
        <w:t>详见工程量清单</w:t>
      </w:r>
    </w:p>
    <w:p w14:paraId="3EACAF4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9.4 磋商有效期：</w:t>
      </w:r>
    </w:p>
    <w:p w14:paraId="3D482E53">
      <w:pPr>
        <w:pStyle w:val="13"/>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9.4.1</w:t>
      </w:r>
      <w:r>
        <w:rPr>
          <w:color w:val="auto"/>
          <w:sz w:val="21"/>
          <w:szCs w:val="21"/>
          <w:highlight w:val="none"/>
        </w:rPr>
        <w:t>磋商截止日期后</w:t>
      </w:r>
      <w:r>
        <w:rPr>
          <w:rFonts w:hint="eastAsia"/>
          <w:color w:val="auto"/>
          <w:sz w:val="21"/>
          <w:szCs w:val="21"/>
          <w:highlight w:val="none"/>
          <w:lang w:val="en-US" w:eastAsia="zh-CN"/>
        </w:rPr>
        <w:t>45</w:t>
      </w:r>
      <w:r>
        <w:rPr>
          <w:color w:val="auto"/>
          <w:sz w:val="21"/>
          <w:szCs w:val="21"/>
          <w:highlight w:val="none"/>
        </w:rPr>
        <w:t>天</w:t>
      </w:r>
      <w:r>
        <w:rPr>
          <w:rFonts w:ascii="Times New Roman" w:hAnsi="Times New Roman"/>
          <w:color w:val="auto"/>
          <w:sz w:val="21"/>
          <w:szCs w:val="21"/>
          <w:highlight w:val="none"/>
        </w:rPr>
        <w:t>。</w:t>
      </w:r>
    </w:p>
    <w:p w14:paraId="6E7E8208">
      <w:pPr>
        <w:pStyle w:val="13"/>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color w:val="auto"/>
          <w:sz w:val="21"/>
          <w:szCs w:val="21"/>
          <w:highlight w:val="none"/>
        </w:rPr>
      </w:pPr>
      <w:r>
        <w:rPr>
          <w:rFonts w:ascii="Times New Roman" w:hAnsi="Times New Roman"/>
          <w:color w:val="auto"/>
          <w:sz w:val="21"/>
          <w:szCs w:val="21"/>
          <w:highlight w:val="none"/>
        </w:rPr>
        <w:t xml:space="preserve">9.4.2 </w:t>
      </w:r>
      <w:r>
        <w:rPr>
          <w:color w:val="auto"/>
          <w:sz w:val="21"/>
          <w:szCs w:val="21"/>
          <w:highlight w:val="none"/>
        </w:rPr>
        <w:t>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8.4条的规定仍然适用。</w:t>
      </w:r>
    </w:p>
    <w:p w14:paraId="1CFA10B9">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color w:val="auto"/>
          <w:szCs w:val="21"/>
          <w:highlight w:val="none"/>
        </w:rPr>
      </w:pPr>
      <w:r>
        <w:rPr>
          <w:rFonts w:ascii="宋体" w:hAnsi="宋体"/>
          <w:b/>
          <w:color w:val="auto"/>
          <w:szCs w:val="21"/>
          <w:highlight w:val="none"/>
        </w:rPr>
        <w:t>四、</w:t>
      </w:r>
      <w:r>
        <w:rPr>
          <w:rFonts w:hint="eastAsia" w:ascii="宋体" w:hAnsi="宋体"/>
          <w:b/>
          <w:color w:val="auto"/>
          <w:szCs w:val="21"/>
          <w:highlight w:val="none"/>
        </w:rPr>
        <w:t>电子响应文件的制作、加密要求、</w:t>
      </w:r>
      <w:r>
        <w:rPr>
          <w:rFonts w:hint="eastAsia" w:ascii="宋体" w:hAnsi="宋体" w:cs="宋体"/>
          <w:b/>
          <w:color w:val="auto"/>
          <w:kern w:val="0"/>
          <w:szCs w:val="21"/>
          <w:highlight w:val="none"/>
        </w:rPr>
        <w:t>供应商公章及签字</w:t>
      </w:r>
    </w:p>
    <w:p w14:paraId="7B5CC3B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w:t>
      </w:r>
      <w:r>
        <w:rPr>
          <w:rFonts w:hint="eastAsia" w:ascii="宋体" w:hAnsi="宋体"/>
          <w:b/>
          <w:color w:val="auto"/>
          <w:szCs w:val="21"/>
          <w:highlight w:val="none"/>
        </w:rPr>
        <w:t>电子响应文件的制作、加密要求</w:t>
      </w:r>
    </w:p>
    <w:p w14:paraId="6E5CBCF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10.1.1供应商制作电子响应文件前，应登陆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进行“申请获取采购文件”操作，否则，有可能导致无法在线编制响应文件并参与竞标，其不利后果由供应商自行承担。</w:t>
      </w:r>
    </w:p>
    <w:p w14:paraId="09C8FF3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10.1.2供应商下载或获取竞争性磋商文件后，登录“政采云电子投标客户端”，按照本磋商文件规定的响应文件格式、顺序以及</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的要求，通过“政采云电子投标客户端”编制电子响应文件。</w:t>
      </w:r>
    </w:p>
    <w:p w14:paraId="67ED368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10.1.3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1518D36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10.1.4电子响应文件不得涂改，若有修改错漏处，须由法定代表人（负责人、自然人）或授权委托代理人通过“政采云电子投标客户端”采用政采云个人CA证书签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章，没有办理政采云个人CA证书签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章的，在响应文件中响应位置手写签字后扫描或者拍照</w:t>
      </w:r>
      <w:r>
        <w:rPr>
          <w:rFonts w:hint="eastAsia" w:ascii="宋体" w:hAnsi="宋体"/>
          <w:color w:val="auto"/>
          <w:szCs w:val="21"/>
          <w:highlight w:val="none"/>
          <w:lang w:eastAsia="zh-CN"/>
        </w:rPr>
        <w:t>转换</w:t>
      </w:r>
      <w:r>
        <w:rPr>
          <w:rFonts w:hint="eastAsia" w:ascii="宋体" w:hAnsi="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14:paraId="6C21EE4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10.1.5供应商编制、生成电子响应文件后应当加密响应文件。供应商未按规定编制并加密的响应文件，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p w14:paraId="65953DE6">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10.2供应商公章及签字</w:t>
      </w:r>
    </w:p>
    <w:p w14:paraId="08738A5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10.2.1本竞争性磋商文件中描述供应商的“公章”是指供应商通过指定电子化政府采购平台办理数字证书（CA认证证书）获得的以法定主体行为名称制作的电子印章。</w:t>
      </w:r>
    </w:p>
    <w:p w14:paraId="359D109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10.2.2本竞争性磋商文件中要求供应商对其电子响应文件的相关内容加盖公章的，均指采用CA证书签章。</w:t>
      </w:r>
    </w:p>
    <w:p w14:paraId="68E8983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4A21541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 xml:space="preserve">11. </w:t>
      </w:r>
      <w:r>
        <w:rPr>
          <w:rFonts w:hint="eastAsia" w:ascii="宋体" w:hAnsi="宋体" w:cs="宋体"/>
          <w:b/>
          <w:color w:val="auto"/>
          <w:kern w:val="0"/>
          <w:szCs w:val="21"/>
          <w:highlight w:val="none"/>
        </w:rPr>
        <w:t>首次响应文件的提交、撤回、修改、响应文件的解密</w:t>
      </w:r>
    </w:p>
    <w:p w14:paraId="36698046">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11.1首次响应文件的提交、撤回、修改</w:t>
      </w:r>
    </w:p>
    <w:p w14:paraId="3EAB130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11.1.1响应文件的提交截止时间：详见竞争性磋商公告</w:t>
      </w:r>
    </w:p>
    <w:p w14:paraId="64AE45B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11.1.2地点：通过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在线提交。</w:t>
      </w:r>
    </w:p>
    <w:p w14:paraId="613257D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11.1.3供应商应当在响应文件提交截止时间前，将生成的电子响应文件上传提交至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的，视为未提交响应文件。</w:t>
      </w:r>
    </w:p>
    <w:p w14:paraId="39F359C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11.1.4除竞争性磋商文件另有规定外，供应商所提交的响应文件不予退还。</w:t>
      </w:r>
    </w:p>
    <w:p w14:paraId="45AD65F6">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11.2响应文件的解密</w:t>
      </w:r>
    </w:p>
    <w:p w14:paraId="13B7897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color w:val="auto"/>
          <w:szCs w:val="21"/>
          <w:highlight w:val="none"/>
          <w:lang w:val="en-US" w:eastAsia="zh-CN"/>
        </w:rPr>
        <w:t>19.2</w:t>
      </w:r>
      <w:r>
        <w:rPr>
          <w:rFonts w:hint="eastAsia" w:ascii="宋体" w:hAnsi="宋体"/>
          <w:color w:val="auto"/>
          <w:szCs w:val="21"/>
          <w:highlight w:val="none"/>
        </w:rPr>
        <w:t>电子交易活动的中止。)</w:t>
      </w:r>
    </w:p>
    <w:p w14:paraId="4A60AE9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如供应商成功解密响应文件，但未在“政采云”电子开标大厅参加磋商的，视同认可磋商过程和结果，由此产生的后果由供应商自行负责。参与磋商的供应商不足3家的，不得磋商。</w:t>
      </w:r>
    </w:p>
    <w:p w14:paraId="154029F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12. 迟交的竞争性磋商响应文件</w:t>
      </w:r>
    </w:p>
    <w:p w14:paraId="60F6BFE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广西亿隆项目管理有限公司</w:t>
      </w:r>
      <w:r>
        <w:rPr>
          <w:rFonts w:ascii="宋体" w:hAnsi="宋体"/>
          <w:color w:val="auto"/>
          <w:szCs w:val="21"/>
          <w:highlight w:val="none"/>
        </w:rPr>
        <w:t>将拒绝或原封退回在其规定的递交竞争性磋商响应文件截止时间之后收到的任何竞争性磋商响应文件。</w:t>
      </w:r>
    </w:p>
    <w:p w14:paraId="174B329C">
      <w:pPr>
        <w:pStyle w:val="31"/>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rPr>
        <w:t>五、竞争性磋商（简称磋商）与评审</w:t>
      </w:r>
    </w:p>
    <w:p w14:paraId="56E9E155">
      <w:pPr>
        <w:tabs>
          <w:tab w:val="center" w:pos="4411"/>
          <w:tab w:val="left" w:pos="5475"/>
        </w:tabs>
        <w:spacing w:line="380" w:lineRule="exact"/>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13磋商小组组成及磋商时间、地点、人员</w:t>
      </w:r>
    </w:p>
    <w:p w14:paraId="444C1CEC">
      <w:pPr>
        <w:spacing w:line="380" w:lineRule="exact"/>
        <w:ind w:firstLine="435"/>
        <w:rPr>
          <w:rFonts w:hint="eastAsia" w:ascii="宋体" w:hAnsi="宋体" w:cs="宋体"/>
          <w:b/>
          <w:color w:val="auto"/>
          <w:sz w:val="21"/>
          <w:szCs w:val="21"/>
          <w:highlight w:val="none"/>
        </w:rPr>
      </w:pPr>
      <w:r>
        <w:rPr>
          <w:rFonts w:hint="eastAsia" w:ascii="宋体" w:hAnsi="宋体" w:cs="宋体"/>
          <w:b/>
          <w:color w:val="auto"/>
          <w:sz w:val="21"/>
          <w:szCs w:val="21"/>
          <w:highlight w:val="none"/>
        </w:rPr>
        <w:t>13.1 磋商小组组成：</w:t>
      </w:r>
    </w:p>
    <w:p w14:paraId="6BE410E8">
      <w:pPr>
        <w:tabs>
          <w:tab w:val="left" w:pos="1140"/>
        </w:tabs>
        <w:spacing w:line="38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磋商及评审组织工作由采购代理机构负责，具体磋商、评审工作由依法组建的磋商小组负责，本项目的磋商小组依法由采购人代表及采购招投标专家库中随机抽取的评审专家组成，成员总数为3人。</w:t>
      </w:r>
    </w:p>
    <w:p w14:paraId="39B78BCE">
      <w:pPr>
        <w:tabs>
          <w:tab w:val="left" w:pos="1305"/>
        </w:tabs>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13.2 磋商时间、地点、人员：</w:t>
      </w:r>
    </w:p>
    <w:p w14:paraId="5242C2F4">
      <w:pPr>
        <w:spacing w:line="380" w:lineRule="exact"/>
        <w:ind w:left="300" w:leftChars="150" w:firstLine="105" w:firstLineChars="50"/>
        <w:rPr>
          <w:rFonts w:hint="eastAsia" w:ascii="宋体" w:hAnsi="宋体" w:cs="宋体"/>
          <w:color w:val="auto"/>
          <w:sz w:val="21"/>
          <w:szCs w:val="21"/>
          <w:highlight w:val="none"/>
        </w:rPr>
      </w:pPr>
      <w:r>
        <w:rPr>
          <w:rFonts w:hint="eastAsia" w:ascii="宋体" w:hAnsi="宋体" w:cs="宋体"/>
          <w:color w:val="auto"/>
          <w:sz w:val="21"/>
          <w:szCs w:val="21"/>
          <w:highlight w:val="none"/>
        </w:rPr>
        <w:t>13.2.1 磋商时间：首次响应文件提交截止时间后。</w:t>
      </w:r>
    </w:p>
    <w:p w14:paraId="30F59B5C">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13.2.2 磋商地点：</w:t>
      </w:r>
      <w:r>
        <w:rPr>
          <w:rFonts w:hint="eastAsia" w:ascii="宋体" w:hAnsi="宋体" w:cs="宋体"/>
          <w:bCs/>
          <w:color w:val="auto"/>
          <w:sz w:val="21"/>
          <w:szCs w:val="21"/>
          <w:highlight w:val="none"/>
        </w:rPr>
        <w:t>供应商代表在响应文件提交当天实时登陆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5B8218D2">
      <w:pPr>
        <w:tabs>
          <w:tab w:val="left" w:pos="1140"/>
        </w:tabs>
        <w:spacing w:line="380" w:lineRule="exact"/>
        <w:ind w:left="40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13.2.3 磋商参加人员：供应商法定代表人(负责人、自然人)或相应的委托代理人参加磋商。请供</w:t>
      </w:r>
    </w:p>
    <w:p w14:paraId="4866369B">
      <w:pPr>
        <w:tabs>
          <w:tab w:val="left" w:pos="1140"/>
        </w:tabs>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应商</w:t>
      </w:r>
      <w:r>
        <w:rPr>
          <w:rFonts w:hint="eastAsia" w:ascii="宋体" w:hAnsi="宋体" w:cs="宋体"/>
          <w:bCs/>
          <w:color w:val="auto"/>
          <w:sz w:val="21"/>
          <w:szCs w:val="21"/>
          <w:highlight w:val="none"/>
        </w:rPr>
        <w:t>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等候在线磋商。</w:t>
      </w:r>
    </w:p>
    <w:p w14:paraId="5F99E48E">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13.2.4 首次响应文件提交截止时间后，登录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在线解密开启。</w:t>
      </w:r>
    </w:p>
    <w:p w14:paraId="65006925">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14.评审原则和评审办法</w:t>
      </w:r>
    </w:p>
    <w:p w14:paraId="069B16D5">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14.1 磋商小组必须坚持公平、公正、科学和择优的原则。</w:t>
      </w:r>
    </w:p>
    <w:p w14:paraId="46775652">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14.2综合评分法，具体详见第六章</w:t>
      </w:r>
      <w:r>
        <w:rPr>
          <w:rFonts w:hint="eastAsia" w:ascii="宋体" w:hAnsi="宋体" w:cs="宋体"/>
          <w:color w:val="auto"/>
          <w:sz w:val="21"/>
          <w:szCs w:val="21"/>
          <w:highlight w:val="none"/>
          <w:lang w:eastAsia="zh-CN"/>
        </w:rPr>
        <w:t>评分办法和标准</w:t>
      </w:r>
      <w:r>
        <w:rPr>
          <w:rFonts w:hint="eastAsia" w:ascii="宋体" w:hAnsi="宋体" w:cs="宋体"/>
          <w:color w:val="auto"/>
          <w:sz w:val="21"/>
          <w:szCs w:val="21"/>
          <w:highlight w:val="none"/>
        </w:rPr>
        <w:t>。</w:t>
      </w:r>
    </w:p>
    <w:p w14:paraId="373CC8B5">
      <w:pPr>
        <w:pStyle w:val="13"/>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14.3 磋商小组应按磋商文件进行评审，不得擅自更改评审办法。</w:t>
      </w:r>
    </w:p>
    <w:p w14:paraId="1908F171">
      <w:pPr>
        <w:pStyle w:val="13"/>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14.4 在评审过程中，磋商小组任何人不得对某个供应商发表任何倾向性意见，不得向其他磋商小组成员明示或者暗示自己的评审意见。</w:t>
      </w:r>
    </w:p>
    <w:p w14:paraId="72149CE4">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14:paraId="31D25BAE">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15.评审程序及磋商要求</w:t>
      </w:r>
    </w:p>
    <w:p w14:paraId="6D9615D7">
      <w:pPr>
        <w:pStyle w:val="13"/>
        <w:spacing w:line="380" w:lineRule="exact"/>
        <w:ind w:firstLine="315" w:firstLineChars="150"/>
        <w:rPr>
          <w:rFonts w:hint="eastAsia" w:cs="宋体"/>
          <w:color w:val="auto"/>
          <w:sz w:val="21"/>
          <w:szCs w:val="21"/>
          <w:highlight w:val="none"/>
        </w:rPr>
      </w:pPr>
      <w:r>
        <w:rPr>
          <w:rFonts w:hint="eastAsia" w:cs="宋体"/>
          <w:color w:val="auto"/>
          <w:sz w:val="21"/>
          <w:szCs w:val="21"/>
          <w:highlight w:val="none"/>
        </w:rPr>
        <w:t>15.1磋商小组成员的通讯工具或相关电子设备交由</w:t>
      </w:r>
      <w:r>
        <w:rPr>
          <w:rFonts w:hint="eastAsia" w:cs="宋体"/>
          <w:color w:val="auto"/>
          <w:sz w:val="21"/>
          <w:szCs w:val="21"/>
          <w:highlight w:val="none"/>
          <w:lang w:val="en-US" w:eastAsia="zh-CN"/>
        </w:rPr>
        <w:t>代理机构</w:t>
      </w:r>
      <w:r>
        <w:rPr>
          <w:rFonts w:hint="eastAsia" w:cs="宋体"/>
          <w:color w:val="auto"/>
          <w:sz w:val="21"/>
          <w:szCs w:val="21"/>
          <w:highlight w:val="none"/>
        </w:rPr>
        <w:t>统一保管后到达评标室，采购代理机构核实磋商小组成员身份，告知回避要求，宣布评审工作纪律和程序，推选磋商小组组长。</w:t>
      </w:r>
    </w:p>
    <w:p w14:paraId="07DCB52E">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14:paraId="1AE40944">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310D259B">
      <w:pPr>
        <w:spacing w:line="380" w:lineRule="exact"/>
        <w:ind w:firstLine="316" w:firstLineChars="150"/>
        <w:rPr>
          <w:rFonts w:hint="eastAsia" w:ascii="宋体" w:hAnsi="宋体" w:cs="宋体"/>
          <w:color w:val="auto"/>
          <w:sz w:val="21"/>
          <w:szCs w:val="21"/>
          <w:highlight w:val="none"/>
        </w:rPr>
      </w:pPr>
      <w:r>
        <w:rPr>
          <w:rFonts w:hint="eastAsia" w:ascii="宋体" w:hAnsi="宋体" w:cs="宋体"/>
          <w:b/>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0529346A">
      <w:pP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15.4.1查询渠道：《国家企业信用信息公示系统》（网址：www.gsxt.gov.cn/index.html）</w:t>
      </w:r>
    </w:p>
    <w:p w14:paraId="273EF1D4">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15.4.2审查流程：</w:t>
      </w:r>
    </w:p>
    <w:p w14:paraId="50FA5CF4">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（1）进入《国家企业信用信息公示系统》（网址：www.gsxt.gov.cn/index.html），输入企业名称，进入企业信息主页面；</w:t>
      </w:r>
    </w:p>
    <w:p w14:paraId="51A09D64">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（2）查看主页“股东及出资信息”栏，或年报中的“股东及出资信息”栏信息；</w:t>
      </w:r>
    </w:p>
    <w:p w14:paraId="068263C1">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（3）将各供应商的股东及出资信息进行比对，得出审查结论；</w:t>
      </w:r>
    </w:p>
    <w:p w14:paraId="0FEE15E8">
      <w:pPr>
        <w:snapToGrid w:val="0"/>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（4）将相关资料作为评审资料打印存档。</w:t>
      </w:r>
    </w:p>
    <w:p w14:paraId="411C4A0C">
      <w:pPr>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0BBA04F1">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采用在线书面形式，并加盖公章（CA证书签章），或者由法定代表人（负责人）或其授权委托代理人个人CA证书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的格式上传），供应商为自然人的，应当由本人个人CA证书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的格式上传）并附身份证明。</w:t>
      </w:r>
    </w:p>
    <w:p w14:paraId="78F1109D">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6FD8C1DF">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14:paraId="4DEB2DEB">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磋商中，磋商小组不得透露与磋商有关的其他供应商的技术资料、价格和其他信息。</w:t>
      </w:r>
    </w:p>
    <w:p w14:paraId="0310DB8A">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采购代理机构（磋商小组）对磋商过程和重要磋商内容进行记录，磋商双方在记录上签字确认（或CA证书签章）。</w:t>
      </w:r>
    </w:p>
    <w:p w14:paraId="6DA52F1C">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14:paraId="7897D634">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对磋商文件作出的实质性变动是磋商文件的有效组成部分，磋商小组应当及时通过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以书面形式同时通知所有参加磋商的供应商。</w:t>
      </w:r>
    </w:p>
    <w:p w14:paraId="546EB6DD">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供应商必须按照磋商文件的变动情况和磋商小组的要求重新提交响应文件，并由其法定代表人(负责人、自然人)或相应的授权委托代表个人CA证书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章的可在响应文件中涉及到签字的位置手写签字后扫描或者拍照做成 PDF 的格式上传）或者加盖供应商公章（CA证书签章）。逾时不交的，视同放弃磋商。</w:t>
      </w:r>
    </w:p>
    <w:p w14:paraId="362AD3BF">
      <w:pPr>
        <w:widowControl/>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15.7最后报价</w:t>
      </w:r>
    </w:p>
    <w:p w14:paraId="42D2DA1E">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15.7.1磋商文件能够详细列明采购标的的技术、服务要求的，磋商结束后，磋商小组应当要求所有继续参加磋商的供应商在规定时间内通过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w:t>
      </w:r>
    </w:p>
    <w:p w14:paraId="5CE2A974">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在线提交最后报价；采购过程中符合要求的供应商（社会资本）只有1家的，采购人或者采购代理机构应当终止竞争性磋商采购活动，发布项目终止公告并说明原因，重新开展采购活动。</w:t>
      </w:r>
    </w:p>
    <w:p w14:paraId="611C8ECF">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15.7.3最后报价是供应商响应文件的有效组成部分。</w:t>
      </w:r>
    </w:p>
    <w:p w14:paraId="2124141A">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15.8已提交响应文件的供应商，在提交最后报价之前，可以根据磋商情况书面退出磋商。</w:t>
      </w:r>
    </w:p>
    <w:p w14:paraId="003AC183">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未书面退出磋商的供应商必须在规定时间内通过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在线提交最后报价；磋商过程中磋商文件未作实质性变动的，</w:t>
      </w:r>
      <w:r>
        <w:rPr>
          <w:rFonts w:hint="eastAsia" w:ascii="宋体" w:hAnsi="宋体"/>
          <w:color w:val="auto"/>
          <w:sz w:val="21"/>
          <w:szCs w:val="21"/>
          <w:highlight w:val="none"/>
        </w:rPr>
        <w:t>最后报价不得大于首次报价</w:t>
      </w:r>
      <w:r>
        <w:rPr>
          <w:rFonts w:hint="eastAsia" w:ascii="宋体" w:hAnsi="宋体" w:cs="宋体"/>
          <w:color w:val="auto"/>
          <w:sz w:val="21"/>
          <w:szCs w:val="21"/>
          <w:highlight w:val="none"/>
        </w:rPr>
        <w:t>。</w:t>
      </w:r>
    </w:p>
    <w:p w14:paraId="0F72ED8B">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15.9综合比较与评价：</w:t>
      </w:r>
    </w:p>
    <w:p w14:paraId="7AB580D5">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15.9.1 磋商小组按竞争性磋商文件中规定的评审办法，对资格性审查和符合性审查合格的响应文件进行商务和技术评估，综合比较与评价。</w:t>
      </w:r>
    </w:p>
    <w:p w14:paraId="1B27238A">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14:paraId="08917536">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15.9.3采购代理机构对评审数据进行校对、核对，对畸高、畸低的重大差异评分提示磋商小组复核或书面说明理由。</w:t>
      </w:r>
    </w:p>
    <w:p w14:paraId="7FB36384">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14:paraId="3B01995D">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15.11采购代理机构发现磋商小组有明显的违规倾向或歧视现象，或不按评</w:t>
      </w:r>
      <w:r>
        <w:rPr>
          <w:rFonts w:hint="eastAsia" w:ascii="宋体" w:hAnsi="宋体" w:eastAsia="宋体" w:cs="宋体"/>
          <w:color w:val="auto"/>
          <w:sz w:val="21"/>
          <w:szCs w:val="21"/>
          <w:highlight w:val="none"/>
        </w:rPr>
        <w:t>审办法进行，或其他不正常行为的，应当及时制止。如制止无效，应及时向政府采购监督管理机构报告。</w:t>
      </w:r>
    </w:p>
    <w:p w14:paraId="357C0C99">
      <w:pPr>
        <w:pStyle w:val="13"/>
        <w:spacing w:line="380" w:lineRule="exact"/>
        <w:rPr>
          <w:rFonts w:hint="eastAsia" w:cs="宋体"/>
          <w:b/>
          <w:bCs/>
          <w:color w:val="auto"/>
          <w:sz w:val="21"/>
          <w:szCs w:val="21"/>
          <w:highlight w:val="none"/>
        </w:rPr>
      </w:pPr>
      <w:r>
        <w:rPr>
          <w:rFonts w:hint="eastAsia" w:cs="宋体"/>
          <w:b/>
          <w:bCs/>
          <w:color w:val="auto"/>
          <w:sz w:val="21"/>
          <w:szCs w:val="21"/>
          <w:highlight w:val="none"/>
        </w:rPr>
        <w:t>16.</w:t>
      </w:r>
      <w:r>
        <w:rPr>
          <w:rFonts w:hint="eastAsia" w:cs="宋体"/>
          <w:b/>
          <w:color w:val="auto"/>
          <w:sz w:val="21"/>
          <w:szCs w:val="21"/>
          <w:highlight w:val="none"/>
        </w:rPr>
        <w:t>推荐及确定成交候选供应商原则</w:t>
      </w:r>
    </w:p>
    <w:p w14:paraId="77425E1B">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14:paraId="3162D51D">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（2）本项目确定一名成交供应商。采购单位应当确定磋商小组推荐排名第一的成交候选供应商为成交供应商。</w:t>
      </w:r>
    </w:p>
    <w:p w14:paraId="02577304">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28FB6204">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（4）排名第二的成交候选供应商因前款规定的同样原因不能签订合同的，采购单位可以确定排名第三的成交候选人为成交供应商。以此类推。</w:t>
      </w:r>
    </w:p>
    <w:p w14:paraId="095C7BF1">
      <w:pPr>
        <w:widowControl/>
        <w:shd w:val="clear" w:color="auto" w:fill="FFFFFF"/>
        <w:spacing w:line="380" w:lineRule="exact"/>
        <w:jc w:val="left"/>
        <w:rPr>
          <w:rFonts w:hint="eastAsia" w:ascii="宋体" w:hAnsi="宋体" w:cs="宋体"/>
          <w:b/>
          <w:color w:val="auto"/>
          <w:sz w:val="21"/>
          <w:szCs w:val="21"/>
          <w:highlight w:val="none"/>
        </w:rPr>
      </w:pP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属于下列情况之一者，响应文件无效：</w:t>
      </w:r>
    </w:p>
    <w:p w14:paraId="5EE0DDB3">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（1）未按磋商文件规定完整提交响应文件或未按规定要求签字、签章的，或未提供授权委托书（委托代理的）；</w:t>
      </w:r>
    </w:p>
    <w:p w14:paraId="2E607794">
      <w:pPr>
        <w:snapToGrid w:val="0"/>
        <w:spacing w:line="380" w:lineRule="exact"/>
        <w:ind w:firstLine="420" w:firstLineChars="200"/>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（2）超越了行政审批的经营范围的；</w:t>
      </w:r>
    </w:p>
    <w:p w14:paraId="4BE74201">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（3）不具备磋商文件规定的资格要求的；</w:t>
      </w:r>
    </w:p>
    <w:p w14:paraId="27FF332D">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（4）响应文件未按磋商文件的内容和要求编制，或提供虚假材料的；</w:t>
      </w:r>
    </w:p>
    <w:p w14:paraId="0CEB93D2">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（5）响应文件有效期、服务期限、服务承诺不能满足磋商文件要求的；</w:t>
      </w:r>
    </w:p>
    <w:p w14:paraId="23529552">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（6）供应商未就“项目需求”中的所有服务内容作完整唯一报价的；</w:t>
      </w:r>
    </w:p>
    <w:p w14:paraId="1F06C42E">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（7）未在磋商小组规定的时间内重新提交响应文件的；</w:t>
      </w:r>
    </w:p>
    <w:p w14:paraId="65FAAD47">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（8）未满足磋商文件实质性要求的；或者响应文件有采购人不能接受的附加条件的；</w:t>
      </w:r>
    </w:p>
    <w:p w14:paraId="39D5928A">
      <w:pPr>
        <w:pStyle w:val="13"/>
        <w:spacing w:line="380" w:lineRule="exact"/>
        <w:ind w:firstLine="420" w:firstLineChars="200"/>
        <w:rPr>
          <w:rFonts w:hint="eastAsia" w:cs="宋体"/>
          <w:color w:val="auto"/>
          <w:sz w:val="21"/>
          <w:szCs w:val="21"/>
          <w:highlight w:val="none"/>
        </w:rPr>
      </w:pPr>
      <w:r>
        <w:rPr>
          <w:rFonts w:hint="eastAsia" w:cs="宋体"/>
          <w:color w:val="auto"/>
          <w:sz w:val="21"/>
          <w:szCs w:val="21"/>
          <w:highlight w:val="none"/>
        </w:rPr>
        <w:t>（9）不符合法律、法规和磋商文件规定的其他实质性要求和条件的。</w:t>
      </w:r>
    </w:p>
    <w:p w14:paraId="3EA38C96">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18.出现下列情形之一的，采购人或者采购代理机构应当终止竞争性磋商采购活动，发布项目终止公告并说明原因，重新开展采购活动：</w:t>
      </w:r>
    </w:p>
    <w:p w14:paraId="0469C543">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（1）因情况变化，不再符合规定的竞争性磋商采购方式适用情形的；</w:t>
      </w:r>
    </w:p>
    <w:p w14:paraId="3E51085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（2）出现影响采购公正的违法、违规行为的；</w:t>
      </w:r>
    </w:p>
    <w:p w14:paraId="48091A4D">
      <w:pPr>
        <w:widowControl/>
        <w:spacing w:line="380" w:lineRule="exact"/>
        <w:ind w:firstLine="422" w:firstLineChars="20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（3）除本须知第15.7.2条及法律法规规定的情形外，在采购过程中符合要求的供应商或者报价未超过采购预算的供应商不足3家的。</w:t>
      </w:r>
    </w:p>
    <w:p w14:paraId="79E7A9E2">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38486F34">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19.2电子交易活动的中止。采购过程中出现以下情形，导致电子交易平台无法正常运行，或者无法保证电子交易的公平、公正和安全时，采购机构可中止电子交易活动：</w:t>
      </w:r>
    </w:p>
    <w:p w14:paraId="0FD68A11">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(1)电子交易平台发生故障而无法登录访问的：</w:t>
      </w:r>
    </w:p>
    <w:p w14:paraId="5813A0D0">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(2)电子交易平台应用或数据库出现错误，不能进行正常操作的：</w:t>
      </w:r>
    </w:p>
    <w:p w14:paraId="352CF9CE">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(3)电子交易平台发现严重安全漏洞，有潜在泄密危险的；</w:t>
      </w:r>
    </w:p>
    <w:p w14:paraId="4FE2A3F3">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(4)病毒发作导致不能进行正常操作的；</w:t>
      </w:r>
    </w:p>
    <w:p w14:paraId="1F0D1A82">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(5)其他无法保证电子交易的公平、公正和安全的情况。</w:t>
      </w:r>
    </w:p>
    <w:p w14:paraId="6FB87EDE">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0778CD9">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20.磋商过程的监控</w:t>
      </w:r>
    </w:p>
    <w:p w14:paraId="4185C6F5">
      <w:pPr>
        <w:pStyle w:val="13"/>
        <w:spacing w:line="380" w:lineRule="exact"/>
        <w:ind w:firstLine="411" w:firstLineChars="196"/>
        <w:rPr>
          <w:rFonts w:hint="eastAsia" w:cs="宋体"/>
          <w:color w:val="auto"/>
          <w:sz w:val="21"/>
          <w:szCs w:val="21"/>
          <w:highlight w:val="none"/>
        </w:rPr>
      </w:pPr>
      <w:r>
        <w:rPr>
          <w:rFonts w:hint="eastAsia" w:cs="宋体"/>
          <w:color w:val="auto"/>
          <w:sz w:val="21"/>
          <w:szCs w:val="21"/>
          <w:highlight w:val="none"/>
        </w:rPr>
        <w:t>本项目磋商过程实行全程录音、录像监控，供应商在磋商过程中所进行的试图影响磋商结果的不公正活动，可能导致其响应被拒绝。</w:t>
      </w:r>
    </w:p>
    <w:p w14:paraId="394FEE20">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21. 信用查询 </w:t>
      </w:r>
    </w:p>
    <w:p w14:paraId="2E32CBD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086F0510">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⑴查询渠道：“信用中国”网站(www.creditchina.gov.cn)、中国政府采购网(www.ccgp.gov.cn)等；</w:t>
      </w:r>
    </w:p>
    <w:p w14:paraId="09C611DF">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⑵查询截止时间：成交通知书发出前；</w:t>
      </w:r>
    </w:p>
    <w:p w14:paraId="70A8455F">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⑶信用信息查询记录和证据留存方式：在查询网站中直接打印查询记录，打印材料作为采购活动资料保存；</w:t>
      </w:r>
    </w:p>
    <w:p w14:paraId="71E1EEC0">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14:paraId="7BA8E982">
      <w:pPr>
        <w:pStyle w:val="13"/>
        <w:spacing w:line="380" w:lineRule="exact"/>
        <w:rPr>
          <w:rFonts w:hint="eastAsia" w:cs="宋体"/>
          <w:b/>
          <w:color w:val="auto"/>
          <w:sz w:val="21"/>
          <w:szCs w:val="21"/>
          <w:highlight w:val="none"/>
        </w:rPr>
      </w:pPr>
      <w:r>
        <w:rPr>
          <w:rFonts w:hint="eastAsia" w:cs="宋体"/>
          <w:b/>
          <w:color w:val="auto"/>
          <w:sz w:val="21"/>
          <w:szCs w:val="21"/>
          <w:highlight w:val="none"/>
        </w:rPr>
        <w:t>22.成交公告及成交通知书</w:t>
      </w:r>
    </w:p>
    <w:p w14:paraId="05740D89">
      <w:pPr>
        <w:snapToGrid w:val="0"/>
        <w:spacing w:line="380" w:lineRule="exact"/>
        <w:ind w:firstLine="411" w:firstLineChars="196"/>
        <w:outlineLvl w:val="4"/>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22.1 采购代理机构于评审结束后</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w:t>
      </w:r>
      <w:r>
        <w:rPr>
          <w:rFonts w:hint="eastAsia" w:ascii="宋体" w:hAnsi="宋体" w:eastAsia="宋体" w:cs="宋体"/>
          <w:color w:val="auto"/>
          <w:sz w:val="21"/>
          <w:szCs w:val="21"/>
          <w:highlight w:val="none"/>
        </w:rPr>
        <w:t>工作日内将评审报告送交采购人，采购人应当自收到评审报告</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个工作日内在评审报告推荐的成交候选供应商中按顺序确定成交供应商，采购代理机构在成交供应商确定之日起两个工作日内在指定媒体上公告成交信息</w:t>
      </w:r>
      <w:r>
        <w:rPr>
          <w:rFonts w:hint="eastAsia" w:ascii="宋体" w:hAnsi="宋体" w:cs="宋体"/>
          <w:color w:val="auto"/>
          <w:sz w:val="21"/>
          <w:szCs w:val="21"/>
          <w:highlight w:val="none"/>
          <w:lang w:eastAsia="zh-CN"/>
        </w:rPr>
        <w:t>，并</w:t>
      </w:r>
      <w:r>
        <w:rPr>
          <w:rFonts w:hint="eastAsia" w:ascii="宋体" w:hAnsi="宋体" w:eastAsia="宋体" w:cs="宋体"/>
          <w:color w:val="auto"/>
          <w:sz w:val="21"/>
          <w:szCs w:val="21"/>
          <w:highlight w:val="none"/>
        </w:rPr>
        <w:t>发出成交通知书。</w:t>
      </w:r>
    </w:p>
    <w:p w14:paraId="074BCE44">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22.2中小企业在政府采购活动过程中，请根据自己的真实情况出具《中小企业声</w:t>
      </w:r>
      <w:r>
        <w:rPr>
          <w:rFonts w:hint="eastAsia" w:ascii="宋体" w:hAnsi="宋体" w:cs="宋体"/>
          <w:color w:val="auto"/>
          <w:sz w:val="21"/>
          <w:szCs w:val="21"/>
          <w:highlight w:val="none"/>
        </w:rPr>
        <w:t>明函》。采购人或采购代理机构在公告成交结果时，同时公告其《中小企业声明函》，接受社会监督。</w:t>
      </w:r>
    </w:p>
    <w:p w14:paraId="04130209">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22.3在发布成交公告的同时，采购代理机构向成交供应商发出成交通知书。</w:t>
      </w:r>
    </w:p>
    <w:p w14:paraId="55D039C1">
      <w:pPr>
        <w:snapToGrid w:val="0"/>
        <w:spacing w:line="380" w:lineRule="exact"/>
        <w:ind w:firstLine="411" w:firstLineChars="196"/>
        <w:outlineLvl w:val="4"/>
        <w:rPr>
          <w:rFonts w:hint="eastAsia" w:cs="宋体"/>
          <w:b/>
          <w:color w:val="auto"/>
          <w:sz w:val="28"/>
          <w:szCs w:val="28"/>
          <w:highlight w:val="none"/>
        </w:rPr>
      </w:pPr>
      <w:r>
        <w:rPr>
          <w:rFonts w:hint="eastAsia" w:ascii="宋体" w:hAnsi="宋体" w:cs="宋体"/>
          <w:color w:val="auto"/>
          <w:sz w:val="21"/>
          <w:szCs w:val="21"/>
          <w:highlight w:val="none"/>
        </w:rPr>
        <w:t>22.4采购代理机构无义务向未成交的供应商解释未成交原因和退还响应文件。</w:t>
      </w:r>
    </w:p>
    <w:p w14:paraId="71F6A551">
      <w:pPr>
        <w:pStyle w:val="31"/>
        <w:spacing w:line="360" w:lineRule="auto"/>
        <w:rPr>
          <w:rFonts w:ascii="宋体" w:hAnsi="宋体"/>
          <w:b/>
          <w:color w:val="auto"/>
          <w:szCs w:val="21"/>
          <w:highlight w:val="none"/>
        </w:rPr>
      </w:pPr>
      <w:r>
        <w:rPr>
          <w:rFonts w:ascii="宋体" w:hAnsi="宋体"/>
          <w:b/>
          <w:color w:val="auto"/>
          <w:szCs w:val="21"/>
          <w:highlight w:val="none"/>
        </w:rPr>
        <w:t>八、采购代理服务费</w:t>
      </w:r>
    </w:p>
    <w:p w14:paraId="374156C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 详见“响应供应商须知前附表”。</w:t>
      </w:r>
    </w:p>
    <w:p w14:paraId="24527FCA">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九、履约保证金</w:t>
      </w:r>
    </w:p>
    <w:p w14:paraId="155BB80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 详见“响应供应商须知前附表”。</w:t>
      </w:r>
    </w:p>
    <w:p w14:paraId="285FDF79">
      <w:pPr>
        <w:pStyle w:val="32"/>
        <w:rPr>
          <w:color w:val="auto"/>
        </w:rPr>
      </w:pPr>
    </w:p>
    <w:p w14:paraId="141043B3">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十、质疑和投诉</w:t>
      </w:r>
    </w:p>
    <w:p w14:paraId="13B68076">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质疑。</w:t>
      </w:r>
    </w:p>
    <w:p w14:paraId="49E40961">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1响应供应商认为采购文件、采购过程、成交结果使自己的权益受到损害的，可以在知道或者应知其权益受到损害之日起7个工作日内，以书面形式向采购人、采购代理机构提出质疑。响应供应商应在法定质疑期内一次性提出针对同一采购程序环节的质疑。</w:t>
      </w:r>
    </w:p>
    <w:p w14:paraId="4A58ABEC">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2提出质疑的响应供应商（以下简称质疑响应供应商）应当是参与所质疑项目采购活动的响应供应商。潜在响应供应商已依法获取其可质疑的采购文件的，可以对该文件提出质疑。对采购文件提出质疑的，应当在获取采购文件或者采购文件公告期限届满之日起7个工作日内提出。</w:t>
      </w:r>
    </w:p>
    <w:p w14:paraId="27192EE6">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.3响应供应商提出质疑应当提交质疑函和必要的证明材料。质疑函应当包括下列内容：</w:t>
      </w:r>
    </w:p>
    <w:p w14:paraId="2A9D73E7">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（1）响应供应商的姓名或者名称、地址、邮编、联系人及联系电话；</w:t>
      </w:r>
    </w:p>
    <w:p w14:paraId="1E5B3966">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（2）质疑项目的名称、编号；</w:t>
      </w:r>
    </w:p>
    <w:p w14:paraId="57D03C9F">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（3）具体、明确的质疑事项和与质疑事项相关的请求；</w:t>
      </w:r>
    </w:p>
    <w:p w14:paraId="0D441958">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（4）事实依据；</w:t>
      </w:r>
    </w:p>
    <w:p w14:paraId="60877480">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（5）必要的法律依据；</w:t>
      </w:r>
    </w:p>
    <w:p w14:paraId="2E5D480E">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（6）提出质疑的日期。</w:t>
      </w:r>
    </w:p>
    <w:p w14:paraId="42AB4F5C">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质疑书应当署名。质疑响应供应商为自然人的，应当由本人签字；质疑响应供应商为法人或者其他组织的，应当由法定代表人或者主要负责人签字和盖章，并加盖公章。</w:t>
      </w:r>
    </w:p>
    <w:p w14:paraId="0EFE125F">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4响应供应商可以委托代理人进行质疑。其授权委托书应当载明代理人的姓名或者名称、代理事项、具体权限、期限和相关事项。响应供应商为自然人的，应当由本人签字；响应供应商为法人或者其他组织的，应当由法定代表人、主要负责人签字和盖章，并加盖公章。代理人提出质疑，应当提交响应供应商签署的授权委托书。</w:t>
      </w:r>
    </w:p>
    <w:p w14:paraId="0664C6D4">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.5质疑函应明确阐述采购文件、采购过程、成交结果中使自己合法权益受到损害的实质性内容，提供相关事实、依据和证据及其来源或线索，便于有关单位调查、答复和处理。</w:t>
      </w:r>
    </w:p>
    <w:p w14:paraId="589D62C6">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.6采购人、采购代理机构在收到响应供应商的质疑函后7个工作日内作出答复，并以书面形式通知质疑响应供应商和其他有关响应供应商。但答复的内容不得涉及商业秘密。</w:t>
      </w:r>
    </w:p>
    <w:p w14:paraId="655DBA6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bCs/>
          <w:color w:val="auto"/>
          <w:highlight w:val="none"/>
          <w:lang w:eastAsia="zh-CN"/>
        </w:rPr>
      </w:pPr>
      <w:r>
        <w:rPr>
          <w:rFonts w:hint="eastAsia" w:ascii="宋体" w:hAnsi="宋体"/>
          <w:color w:val="auto"/>
          <w:szCs w:val="21"/>
          <w:highlight w:val="none"/>
        </w:rPr>
        <w:t>25</w:t>
      </w:r>
      <w:r>
        <w:rPr>
          <w:rFonts w:ascii="宋体" w:hAnsi="宋体"/>
          <w:color w:val="auto"/>
          <w:szCs w:val="21"/>
          <w:highlight w:val="none"/>
        </w:rPr>
        <w:t>.7递交质疑函的联系事项：</w:t>
      </w:r>
      <w:r>
        <w:rPr>
          <w:rFonts w:hint="eastAsia" w:ascii="宋体" w:hAnsi="宋体"/>
          <w:color w:val="auto"/>
          <w:szCs w:val="21"/>
          <w:highlight w:val="none"/>
          <w:lang w:eastAsia="zh-CN"/>
        </w:rPr>
        <w:t>（详见公告）</w:t>
      </w:r>
    </w:p>
    <w:p w14:paraId="505394F8">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投诉。质疑响应供应商对采购人、采购代理机构的答复不满意，或者采购人、采购代理机构未在规定时间内作出答复的，可以在答复期满后15个工作日内向同级监管部门提起投诉。</w:t>
      </w:r>
    </w:p>
    <w:p w14:paraId="49BCDC16">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十一、签订合同</w:t>
      </w:r>
    </w:p>
    <w:p w14:paraId="13C9622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.1 成交供应商在收到成交通知书后，按规定缴纳履约保证金后（如有），须在</w:t>
      </w:r>
      <w:r>
        <w:rPr>
          <w:rFonts w:hint="eastAsia" w:ascii="宋体" w:hAnsi="宋体"/>
          <w:color w:val="auto"/>
          <w:szCs w:val="21"/>
          <w:highlight w:val="none"/>
        </w:rPr>
        <w:t>1</w:t>
      </w:r>
      <w:r>
        <w:rPr>
          <w:rFonts w:ascii="宋体" w:hAnsi="宋体"/>
          <w:color w:val="auto"/>
          <w:szCs w:val="21"/>
          <w:highlight w:val="none"/>
        </w:rPr>
        <w:t>5日历日内持成交通知书等材料与采购人签订施工合同</w:t>
      </w:r>
      <w:r>
        <w:rPr>
          <w:rFonts w:hint="eastAsia" w:ascii="宋体" w:hAnsi="宋体"/>
          <w:color w:val="auto"/>
          <w:szCs w:val="21"/>
          <w:highlight w:val="none"/>
          <w:lang w:eastAsia="zh-CN"/>
        </w:rPr>
        <w:t>（如因不可抗力原因延迟签订合同的，自不可抗力事由消除之日起5个工作日内完成合同签订事宜）</w:t>
      </w:r>
      <w:r>
        <w:rPr>
          <w:rFonts w:ascii="宋体" w:hAnsi="宋体"/>
          <w:color w:val="auto"/>
          <w:szCs w:val="21"/>
          <w:highlight w:val="none"/>
        </w:rPr>
        <w:t>，否则采购人将取消其成交资格。</w:t>
      </w:r>
    </w:p>
    <w:p w14:paraId="04616D6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.2  发出成交通知书后，成交供应商有提供虚假材料或虚假承诺或未按相关规定与采购人签订合同等事宜的的，成交无效；给采购人造成的损失的，成交供应商还应当予以赔偿。</w:t>
      </w:r>
    </w:p>
    <w:p w14:paraId="598C0BA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.3  发出成交通知书后，采购人无正当理由拒签合同的并给成交供应商造成损失的，应当赔偿损失。</w:t>
      </w:r>
    </w:p>
    <w:p w14:paraId="16F9582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.4  成交供应商因不可抗力或者自身原因不能履行采购合同的，采购人可以与排位在成交供应商之后第一位的成交候选供应商签订采购合同（或重新招标），以此类推。</w:t>
      </w:r>
    </w:p>
    <w:p w14:paraId="59B618E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19.5 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14:paraId="0D21B49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 xml:space="preserve">.6 采购人或成交供应商在合同履行过程中存在违反采购合同行为的，权益受损当事人应当将有关违约的情况以及拟采取的措施，及时书面报告采购代理机构。 </w:t>
      </w:r>
    </w:p>
    <w:p w14:paraId="659B163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sectPr>
          <w:pgSz w:w="11906" w:h="16838"/>
          <w:pgMar w:top="1134" w:right="1134" w:bottom="1134" w:left="1417" w:header="851" w:footer="851" w:gutter="0"/>
          <w:cols w:space="720" w:num="1"/>
          <w:formProt w:val="1"/>
          <w:docGrid w:linePitch="312" w:charSpace="43007"/>
        </w:sectPr>
      </w:pPr>
      <w:r>
        <w:rPr>
          <w:rFonts w:hint="eastAsia" w:ascii="宋体" w:hAnsi="宋体"/>
          <w:color w:val="auto"/>
          <w:szCs w:val="21"/>
          <w:highlight w:val="none"/>
        </w:rPr>
        <w:t>26</w:t>
      </w:r>
      <w:r>
        <w:rPr>
          <w:rFonts w:ascii="宋体" w:hAnsi="宋体"/>
          <w:color w:val="auto"/>
          <w:szCs w:val="21"/>
          <w:highlight w:val="none"/>
        </w:rPr>
        <w:t>.7 成交供应商拒绝签订采购合同的，并给采购人造成其损失的，还应当赔偿损失，并作为不良行为记录在案。同时，已缴纳的成交服务费不予退还。</w:t>
      </w:r>
    </w:p>
    <w:p w14:paraId="2344115A">
      <w:pPr>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w:t>
      </w:r>
    </w:p>
    <w:p w14:paraId="4DA251D3">
      <w:pPr>
        <w:pStyle w:val="43"/>
        <w:ind w:firstLine="480"/>
        <w:rPr>
          <w:rFonts w:hint="eastAsia"/>
          <w:color w:val="auto"/>
          <w:highlight w:val="none"/>
        </w:rPr>
      </w:pPr>
    </w:p>
    <w:p w14:paraId="208C435B">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14:paraId="1B4BB727">
      <w:pPr>
        <w:spacing w:line="360" w:lineRule="auto"/>
        <w:ind w:firstLine="400" w:firstLineChars="200"/>
        <w:rPr>
          <w:rFonts w:hint="eastAsia" w:ascii="宋体" w:hAnsi="宋体" w:cs="宋体"/>
          <w:color w:val="auto"/>
          <w:szCs w:val="21"/>
          <w:highlight w:val="none"/>
        </w:rPr>
      </w:pPr>
    </w:p>
    <w:p w14:paraId="7D1E0750">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各供应商：</w:t>
      </w:r>
    </w:p>
    <w:p w14:paraId="00EECAF9">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欢迎贵公司参与崇左市政府采购活动！</w:t>
      </w:r>
    </w:p>
    <w:p w14:paraId="32E4229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81E270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相关金融产品和银行业金融机构联系方式，可在中征应收账款融资服务平台查询（网址：</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"https://www.crcrfsp.com/" </w:instrText>
      </w:r>
      <w:r>
        <w:rPr>
          <w:rFonts w:hint="eastAsia" w:ascii="宋体" w:hAnsi="宋体" w:cs="宋体"/>
          <w:color w:val="auto"/>
          <w:sz w:val="21"/>
          <w:szCs w:val="21"/>
          <w:highlight w:val="none"/>
        </w:rPr>
        <w:fldChar w:fldCharType="separate"/>
      </w:r>
      <w:r>
        <w:rPr>
          <w:rStyle w:val="27"/>
          <w:rFonts w:hint="eastAsia" w:ascii="宋体" w:hAnsi="宋体" w:cs="宋体"/>
          <w:color w:val="auto"/>
          <w:sz w:val="21"/>
          <w:szCs w:val="21"/>
          <w:highlight w:val="none"/>
        </w:rPr>
        <w:t>https://www.crcrfsp.com/</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，客服电话：400-009-0001）。</w:t>
      </w:r>
    </w:p>
    <w:p w14:paraId="685014D3">
      <w:pPr>
        <w:pStyle w:val="43"/>
        <w:ind w:firstLine="420"/>
        <w:rPr>
          <w:rFonts w:hint="eastAsia" w:ascii="宋体" w:hAnsi="宋体" w:cs="宋体"/>
          <w:color w:val="auto"/>
          <w:sz w:val="21"/>
          <w:szCs w:val="21"/>
          <w:highlight w:val="none"/>
        </w:rPr>
      </w:pPr>
    </w:p>
    <w:p w14:paraId="61187C6A">
      <w:pPr>
        <w:spacing w:line="360" w:lineRule="auto"/>
        <w:rPr>
          <w:rFonts w:hint="eastAsia" w:ascii="宋体" w:hAnsi="宋体" w:cs="宋体"/>
          <w:color w:val="auto"/>
          <w:szCs w:val="21"/>
          <w:highlight w:val="none"/>
        </w:rPr>
      </w:pPr>
    </w:p>
    <w:p w14:paraId="699C854B">
      <w:pPr>
        <w:pStyle w:val="43"/>
        <w:ind w:firstLine="420"/>
        <w:rPr>
          <w:rFonts w:hint="eastAsia" w:ascii="宋体" w:hAnsi="宋体" w:cs="宋体"/>
          <w:color w:val="auto"/>
          <w:sz w:val="21"/>
          <w:szCs w:val="21"/>
          <w:highlight w:val="none"/>
        </w:rPr>
      </w:pPr>
    </w:p>
    <w:p w14:paraId="59F36777">
      <w:pPr>
        <w:spacing w:line="360" w:lineRule="auto"/>
        <w:rPr>
          <w:rFonts w:hint="eastAsia" w:ascii="宋体" w:hAnsi="宋体" w:cs="宋体"/>
          <w:color w:val="auto"/>
          <w:szCs w:val="21"/>
          <w:highlight w:val="none"/>
        </w:rPr>
      </w:pPr>
    </w:p>
    <w:p w14:paraId="339981A1">
      <w:pPr>
        <w:spacing w:line="360" w:lineRule="auto"/>
        <w:rPr>
          <w:rFonts w:hint="eastAsia" w:ascii="宋体" w:hAnsi="宋体" w:cs="宋体"/>
          <w:color w:val="auto"/>
          <w:szCs w:val="21"/>
          <w:highlight w:val="none"/>
        </w:rPr>
      </w:pPr>
    </w:p>
    <w:p w14:paraId="66B79935">
      <w:pPr>
        <w:pStyle w:val="43"/>
        <w:ind w:firstLine="420"/>
        <w:rPr>
          <w:rFonts w:hint="eastAsia" w:ascii="宋体" w:hAnsi="宋体" w:cs="宋体"/>
          <w:color w:val="auto"/>
          <w:sz w:val="21"/>
          <w:szCs w:val="21"/>
          <w:highlight w:val="none"/>
        </w:rPr>
      </w:pPr>
    </w:p>
    <w:p w14:paraId="3583E222">
      <w:pPr>
        <w:spacing w:line="360" w:lineRule="auto"/>
        <w:rPr>
          <w:rFonts w:hint="eastAsia" w:ascii="宋体" w:hAnsi="宋体" w:cs="宋体"/>
          <w:color w:val="auto"/>
          <w:szCs w:val="21"/>
          <w:highlight w:val="none"/>
        </w:rPr>
      </w:pPr>
    </w:p>
    <w:p w14:paraId="31AA5C97">
      <w:pPr>
        <w:spacing w:line="360" w:lineRule="auto"/>
        <w:rPr>
          <w:rFonts w:hint="eastAsia" w:ascii="宋体" w:hAnsi="宋体" w:cs="宋体"/>
          <w:color w:val="auto"/>
          <w:szCs w:val="21"/>
          <w:highlight w:val="none"/>
        </w:rPr>
      </w:pPr>
    </w:p>
    <w:p w14:paraId="24FF2561">
      <w:pPr>
        <w:pStyle w:val="43"/>
        <w:ind w:firstLine="420"/>
        <w:rPr>
          <w:rFonts w:hint="eastAsia" w:ascii="宋体" w:hAnsi="宋体" w:cs="宋体"/>
          <w:color w:val="auto"/>
          <w:sz w:val="21"/>
          <w:szCs w:val="21"/>
          <w:highlight w:val="none"/>
        </w:rPr>
      </w:pPr>
    </w:p>
    <w:p w14:paraId="2FD966B1">
      <w:pPr>
        <w:spacing w:line="360" w:lineRule="auto"/>
        <w:rPr>
          <w:rFonts w:hint="eastAsia" w:ascii="宋体" w:hAnsi="宋体" w:cs="宋体"/>
          <w:color w:val="auto"/>
          <w:szCs w:val="21"/>
          <w:highlight w:val="none"/>
        </w:rPr>
      </w:pPr>
    </w:p>
    <w:p w14:paraId="488762A6">
      <w:pPr>
        <w:pStyle w:val="43"/>
        <w:ind w:firstLine="420"/>
        <w:rPr>
          <w:rFonts w:hint="eastAsia" w:ascii="宋体" w:hAnsi="宋体" w:cs="宋体"/>
          <w:color w:val="auto"/>
          <w:sz w:val="21"/>
          <w:szCs w:val="21"/>
          <w:highlight w:val="none"/>
        </w:rPr>
      </w:pPr>
    </w:p>
    <w:p w14:paraId="6989CD28">
      <w:pPr>
        <w:rPr>
          <w:rFonts w:hint="eastAsia" w:ascii="黑体" w:hAnsi="黑体" w:eastAsia="黑体" w:cs="黑体"/>
          <w:color w:val="auto"/>
          <w:szCs w:val="32"/>
          <w:highlight w:val="none"/>
        </w:rPr>
      </w:pPr>
    </w:p>
    <w:p w14:paraId="479D2039">
      <w:pPr>
        <w:pStyle w:val="43"/>
        <w:ind w:firstLine="480"/>
        <w:rPr>
          <w:rFonts w:hint="eastAsia" w:ascii="黑体" w:hAnsi="黑体" w:eastAsia="黑体" w:cs="黑体"/>
          <w:color w:val="auto"/>
          <w:szCs w:val="32"/>
          <w:highlight w:val="none"/>
        </w:rPr>
      </w:pPr>
    </w:p>
    <w:p w14:paraId="70BF5A58">
      <w:pPr>
        <w:rPr>
          <w:rFonts w:hint="eastAsia" w:ascii="黑体" w:hAnsi="黑体" w:eastAsia="黑体" w:cs="黑体"/>
          <w:color w:val="auto"/>
          <w:szCs w:val="32"/>
          <w:highlight w:val="none"/>
        </w:rPr>
      </w:pPr>
    </w:p>
    <w:p w14:paraId="2CA52587">
      <w:pPr>
        <w:pStyle w:val="3"/>
        <w:rPr>
          <w:rFonts w:hint="eastAsia" w:ascii="黑体" w:hAnsi="黑体" w:cs="黑体"/>
          <w:color w:val="auto"/>
          <w:highlight w:val="none"/>
        </w:rPr>
      </w:pPr>
    </w:p>
    <w:p w14:paraId="74C7E677">
      <w:pPr>
        <w:rPr>
          <w:rFonts w:hint="eastAsia"/>
          <w:color w:val="auto"/>
          <w:highlight w:val="none"/>
        </w:rPr>
      </w:pPr>
    </w:p>
    <w:p w14:paraId="1183D887">
      <w:pPr>
        <w:pStyle w:val="3"/>
        <w:rPr>
          <w:rFonts w:hint="eastAsia"/>
          <w:color w:val="auto"/>
          <w:highlight w:val="none"/>
        </w:rPr>
      </w:pPr>
    </w:p>
    <w:p w14:paraId="5140F862">
      <w:pPr>
        <w:rPr>
          <w:rFonts w:hint="eastAsia"/>
          <w:color w:val="auto"/>
          <w:highlight w:val="none"/>
        </w:rPr>
      </w:pPr>
    </w:p>
    <w:p w14:paraId="3BAB4252">
      <w:pPr>
        <w:spacing w:line="540" w:lineRule="exact"/>
        <w:rPr>
          <w:rFonts w:hint="eastAsia" w:ascii="黑体" w:hAnsi="黑体" w:eastAsia="黑体" w:cs="黑体"/>
          <w:b/>
          <w:bCs/>
          <w:color w:val="auto"/>
          <w:sz w:val="28"/>
          <w:szCs w:val="44"/>
          <w:highlight w:val="none"/>
          <w:lang w:eastAsia="zh-CN"/>
        </w:rPr>
      </w:pPr>
      <w:r>
        <w:rPr>
          <w:rFonts w:hint="eastAsia" w:ascii="黑体" w:hAnsi="黑体" w:eastAsia="黑体" w:cs="黑体"/>
          <w:b/>
          <w:bCs/>
          <w:color w:val="auto"/>
          <w:sz w:val="28"/>
          <w:szCs w:val="44"/>
          <w:highlight w:val="none"/>
        </w:rPr>
        <w:t>附件</w:t>
      </w:r>
      <w:r>
        <w:rPr>
          <w:rFonts w:hint="eastAsia" w:ascii="黑体" w:hAnsi="黑体" w:eastAsia="黑体" w:cs="黑体"/>
          <w:b/>
          <w:bCs/>
          <w:color w:val="auto"/>
          <w:sz w:val="28"/>
          <w:szCs w:val="44"/>
          <w:highlight w:val="none"/>
          <w:lang w:val="en-US" w:eastAsia="zh-CN"/>
        </w:rPr>
        <w:t>2</w:t>
      </w:r>
    </w:p>
    <w:p w14:paraId="0BAEAC6C">
      <w:pPr>
        <w:pStyle w:val="43"/>
        <w:ind w:firstLine="480"/>
        <w:rPr>
          <w:color w:val="auto"/>
          <w:highlight w:val="none"/>
        </w:rPr>
      </w:pPr>
    </w:p>
    <w:p w14:paraId="3D0A4B9D">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14:paraId="7F411851">
      <w:pPr>
        <w:rPr>
          <w:rFonts w:hint="eastAsia"/>
          <w:color w:val="auto"/>
          <w:highlight w:val="none"/>
        </w:rPr>
      </w:pPr>
      <w:r>
        <w:rPr>
          <w:rFonts w:hint="eastAsia" w:eastAsia="仿宋_GB2312"/>
          <w:color w:val="auto"/>
          <w:highlight w:val="none"/>
        </w:rPr>
        <w:drawing>
          <wp:inline distT="0" distB="0" distL="114300" distR="114300">
            <wp:extent cx="4926965" cy="7002780"/>
            <wp:effectExtent l="0" t="0" r="6985" b="7620"/>
            <wp:docPr id="6"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流程图1011"/>
                    <pic:cNvPicPr>
                      <a:picLocks noChangeAspect="1"/>
                    </pic:cNvPicPr>
                  </pic:nvPicPr>
                  <pic:blipFill>
                    <a:blip r:embed="rId16"/>
                    <a:stretch>
                      <a:fillRect/>
                    </a:stretch>
                  </pic:blipFill>
                  <pic:spPr>
                    <a:xfrm>
                      <a:off x="0" y="0"/>
                      <a:ext cx="4926965" cy="7002780"/>
                    </a:xfrm>
                    <a:prstGeom prst="rect">
                      <a:avLst/>
                    </a:prstGeom>
                    <a:noFill/>
                    <a:ln>
                      <a:noFill/>
                    </a:ln>
                  </pic:spPr>
                </pic:pic>
              </a:graphicData>
            </a:graphic>
          </wp:inline>
        </w:drawing>
      </w:r>
    </w:p>
    <w:p w14:paraId="44858F1B">
      <w:pPr>
        <w:widowControl/>
        <w:ind w:firstLine="400" w:firstLineChars="200"/>
        <w:rPr>
          <w:rFonts w:hint="eastAsia"/>
          <w:color w:val="auto"/>
          <w:highlight w:val="none"/>
        </w:rPr>
      </w:pPr>
    </w:p>
    <w:p w14:paraId="55DDD7E5">
      <w:pPr>
        <w:pStyle w:val="43"/>
        <w:ind w:firstLine="480"/>
        <w:rPr>
          <w:rFonts w:hint="eastAsia"/>
          <w:color w:val="auto"/>
          <w:highlight w:val="none"/>
        </w:rPr>
      </w:pPr>
    </w:p>
    <w:p w14:paraId="59C103D6">
      <w:pPr>
        <w:rPr>
          <w:rFonts w:hint="eastAsia"/>
          <w:color w:val="auto"/>
          <w:highlight w:val="none"/>
        </w:rPr>
      </w:pPr>
    </w:p>
    <w:p w14:paraId="032BFD90">
      <w:pPr>
        <w:rPr>
          <w:rFonts w:hint="eastAsia"/>
          <w:color w:val="auto"/>
          <w:highlight w:val="none"/>
        </w:rPr>
      </w:pPr>
    </w:p>
    <w:p w14:paraId="0C7D480B">
      <w:pPr>
        <w:widowControl/>
        <w:spacing w:line="720" w:lineRule="exact"/>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3</w:t>
      </w:r>
    </w:p>
    <w:p w14:paraId="25784F46">
      <w:pPr>
        <w:pStyle w:val="43"/>
        <w:ind w:firstLine="480"/>
        <w:rPr>
          <w:color w:val="auto"/>
          <w:highlight w:val="none"/>
        </w:rPr>
      </w:pPr>
    </w:p>
    <w:p w14:paraId="13F1BFE3">
      <w:pPr>
        <w:pStyle w:val="43"/>
        <w:ind w:firstLine="562"/>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23"/>
        <w:tblW w:w="8314" w:type="dxa"/>
        <w:tblInd w:w="96" w:type="dxa"/>
        <w:tblLayout w:type="fixed"/>
        <w:tblCellMar>
          <w:top w:w="0" w:type="dxa"/>
          <w:left w:w="108" w:type="dxa"/>
          <w:bottom w:w="0" w:type="dxa"/>
          <w:right w:w="108" w:type="dxa"/>
        </w:tblCellMar>
      </w:tblPr>
      <w:tblGrid>
        <w:gridCol w:w="2674"/>
        <w:gridCol w:w="3515"/>
        <w:gridCol w:w="2125"/>
      </w:tblGrid>
      <w:tr w14:paraId="0EEEE69E">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1593A77F">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DB21743">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BFE46C">
            <w:pPr>
              <w:widowControl/>
              <w:spacing w:line="400" w:lineRule="exact"/>
              <w:jc w:val="center"/>
              <w:textAlignment w:val="center"/>
              <w:rPr>
                <w:rFonts w:hint="eastAsia" w:ascii="宋体" w:hAnsi="宋体" w:cs="宋体"/>
                <w:b/>
                <w:bCs/>
                <w:color w:val="auto"/>
                <w:sz w:val="28"/>
                <w:szCs w:val="28"/>
                <w:highlight w:val="none"/>
              </w:rPr>
            </w:pPr>
            <w:r>
              <w:rPr>
                <w:rFonts w:hint="eastAsia" w:cs="宋体"/>
                <w:b/>
                <w:bCs/>
                <w:color w:val="auto"/>
                <w:kern w:val="0"/>
                <w:sz w:val="28"/>
                <w:szCs w:val="28"/>
                <w:highlight w:val="none"/>
                <w:lang w:bidi="ar"/>
              </w:rPr>
              <w:t>业务</w:t>
            </w:r>
            <w:r>
              <w:rPr>
                <w:rFonts w:hint="eastAsia" w:ascii="宋体" w:hAnsi="宋体" w:cs="宋体"/>
                <w:b/>
                <w:bCs/>
                <w:color w:val="auto"/>
                <w:kern w:val="0"/>
                <w:sz w:val="28"/>
                <w:szCs w:val="28"/>
                <w:highlight w:val="none"/>
                <w:lang w:bidi="ar"/>
              </w:rPr>
              <w:t>咨询电话</w:t>
            </w:r>
          </w:p>
        </w:tc>
      </w:tr>
      <w:tr w14:paraId="63F00AE8">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5F1D8DD">
            <w:pPr>
              <w:widowControl/>
              <w:jc w:val="left"/>
              <w:textAlignment w:val="center"/>
              <w:rPr>
                <w:rFonts w:hint="eastAsia" w:cs="宋体"/>
                <w:color w:val="auto"/>
                <w:szCs w:val="21"/>
                <w:highlight w:val="none"/>
              </w:rPr>
            </w:pPr>
            <w:r>
              <w:rPr>
                <w:rFonts w:hint="eastAsia" w:cs="宋体"/>
                <w:b/>
                <w:bCs/>
                <w:color w:val="auto"/>
                <w:szCs w:val="21"/>
                <w:highlight w:val="none"/>
              </w:rPr>
              <w:t>崇左市本级及江州区</w:t>
            </w:r>
          </w:p>
        </w:tc>
      </w:tr>
      <w:tr w14:paraId="77AACE43">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71D01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FCC7B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F6526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0771-7820436 0771-7820439</w:t>
            </w:r>
          </w:p>
        </w:tc>
      </w:tr>
      <w:tr w14:paraId="63ACDE90">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1C74F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764F60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77BCD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0771-7917212</w:t>
            </w:r>
          </w:p>
        </w:tc>
      </w:tr>
      <w:tr w14:paraId="656576E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7A355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2FBB92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B944AE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0771-7917054</w:t>
            </w:r>
          </w:p>
        </w:tc>
      </w:tr>
      <w:tr w14:paraId="4BA5620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F7A7B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4ABED6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DB5C7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0771-7831103</w:t>
            </w:r>
          </w:p>
        </w:tc>
      </w:tr>
      <w:tr w14:paraId="7AFE567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1CFCA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E0D2D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393AFB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0771-7928650 0771-7920613</w:t>
            </w:r>
          </w:p>
        </w:tc>
      </w:tr>
      <w:tr w14:paraId="72A6C53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1D938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2E07D5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029478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0771-7925660</w:t>
            </w:r>
          </w:p>
        </w:tc>
      </w:tr>
      <w:tr w14:paraId="7FA726AC">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EA4D1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C7758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10951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0771-7968699</w:t>
            </w:r>
          </w:p>
        </w:tc>
      </w:tr>
      <w:tr w14:paraId="713D876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AD5CC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A498D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B04BB0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0771-7916636</w:t>
            </w:r>
          </w:p>
        </w:tc>
      </w:tr>
      <w:tr w14:paraId="420EB38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5C95D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ECFEA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442D8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0771-7988895</w:t>
            </w:r>
          </w:p>
        </w:tc>
      </w:tr>
      <w:tr w14:paraId="0D0AECC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AEA65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19E565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93C30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0771-7960855</w:t>
            </w:r>
          </w:p>
        </w:tc>
      </w:tr>
      <w:tr w14:paraId="6E429E4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13257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DD1578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8BCBD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0771-7821126</w:t>
            </w:r>
          </w:p>
        </w:tc>
      </w:tr>
      <w:tr w14:paraId="6CA6D7B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A4F33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D1CC6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B02F80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0771-7831866</w:t>
            </w:r>
          </w:p>
        </w:tc>
      </w:tr>
      <w:tr w14:paraId="73163B42">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07815F77">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扶绥县</w:t>
            </w:r>
          </w:p>
        </w:tc>
      </w:tr>
      <w:tr w14:paraId="0BCB1C62">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ECE64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7EA6C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A244A8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0771-7535612</w:t>
            </w:r>
          </w:p>
        </w:tc>
      </w:tr>
      <w:tr w14:paraId="44DE5793">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152CD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06C65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C6EC6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0771-7917330</w:t>
            </w:r>
          </w:p>
        </w:tc>
      </w:tr>
      <w:tr w14:paraId="0E521F78">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EECB8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84DA7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67A1C9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0771-7516511 0771-7531157</w:t>
            </w:r>
          </w:p>
        </w:tc>
      </w:tr>
      <w:tr w14:paraId="7D9EF76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370B0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342BFA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9B472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0771-7525822</w:t>
            </w:r>
          </w:p>
        </w:tc>
      </w:tr>
      <w:tr w14:paraId="75D9FDD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AF067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FA400B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F655D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0771-5025887</w:t>
            </w:r>
          </w:p>
        </w:tc>
      </w:tr>
      <w:tr w14:paraId="7738AD8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7558E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27465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FCCAB7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0771-7533041</w:t>
            </w:r>
          </w:p>
        </w:tc>
      </w:tr>
      <w:tr w14:paraId="25DAD8F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ACBAF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D2418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DC7E6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0771-7536178 0771-7536177</w:t>
            </w:r>
          </w:p>
        </w:tc>
      </w:tr>
      <w:tr w14:paraId="5FF1C30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2E58E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336BD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0908B8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0771-7661101</w:t>
            </w:r>
          </w:p>
        </w:tc>
      </w:tr>
      <w:tr w14:paraId="64F9F1B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D06DC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0ED320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F73F0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0771-7500768</w:t>
            </w:r>
          </w:p>
        </w:tc>
      </w:tr>
      <w:tr w14:paraId="1BA2D59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3D413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97043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C19FB7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0771-7525678</w:t>
            </w:r>
          </w:p>
        </w:tc>
      </w:tr>
      <w:tr w14:paraId="67AB742B">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F1CCA3">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33DDE30">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CF0336">
            <w:pPr>
              <w:widowControl/>
              <w:jc w:val="center"/>
              <w:textAlignment w:val="center"/>
              <w:rPr>
                <w:rFonts w:hint="eastAsia" w:ascii="宋体" w:hAnsi="宋体" w:cs="宋体"/>
                <w:color w:val="auto"/>
                <w:szCs w:val="21"/>
                <w:highlight w:val="none"/>
              </w:rPr>
            </w:pPr>
          </w:p>
        </w:tc>
      </w:tr>
      <w:tr w14:paraId="156ECAE8">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78157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F7DC7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270093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0771-8620729</w:t>
            </w:r>
          </w:p>
        </w:tc>
      </w:tr>
      <w:tr w14:paraId="385E41FA">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928D1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3E2859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E2624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0771-7917093</w:t>
            </w:r>
          </w:p>
        </w:tc>
      </w:tr>
      <w:tr w14:paraId="531F2E4E">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F22D1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29EF249">
            <w:pPr>
              <w:widowControl/>
              <w:spacing w:after="90" w:line="23"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228BF3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0771-8629006</w:t>
            </w:r>
          </w:p>
        </w:tc>
      </w:tr>
      <w:tr w14:paraId="5E978E08">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BC7EB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13ED3D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F6434B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0771-8628166</w:t>
            </w:r>
          </w:p>
        </w:tc>
      </w:tr>
      <w:tr w14:paraId="495552ED">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8A42D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B9223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181622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0771-8630787</w:t>
            </w:r>
          </w:p>
        </w:tc>
      </w:tr>
      <w:tr w14:paraId="0503AD5F">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5CA7B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35960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0D090D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0771-8622237</w:t>
            </w:r>
          </w:p>
        </w:tc>
      </w:tr>
      <w:tr w14:paraId="34C58C9B">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83FC95E">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大新县</w:t>
            </w:r>
          </w:p>
        </w:tc>
      </w:tr>
      <w:tr w14:paraId="2196CF99">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BAF29F">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B937673">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22298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0771-3628078</w:t>
            </w:r>
          </w:p>
        </w:tc>
      </w:tr>
      <w:tr w14:paraId="1F579FE0">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38FF2B8">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F211AE5">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C9AD5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w:t>
            </w:r>
            <w:r>
              <w:rPr>
                <w:rFonts w:hint="eastAsia" w:ascii="宋体" w:hAnsi="宋体" w:cs="宋体"/>
                <w:color w:val="auto"/>
                <w:szCs w:val="21"/>
                <w:highlight w:val="none"/>
              </w:rPr>
              <w:t>7917015</w:t>
            </w:r>
          </w:p>
        </w:tc>
      </w:tr>
      <w:tr w14:paraId="1FFEC4C4">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A62067">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ABF9E4">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32D9BC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0771-3689766</w:t>
            </w:r>
          </w:p>
        </w:tc>
      </w:tr>
      <w:tr w14:paraId="64A0FC4F">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C1699E">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23951D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67F2825">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0771-3623887</w:t>
            </w:r>
          </w:p>
        </w:tc>
      </w:tr>
      <w:tr w14:paraId="48BF4E48">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74E5E9">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E59E3E">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680677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0771-3621996</w:t>
            </w:r>
          </w:p>
        </w:tc>
      </w:tr>
      <w:tr w14:paraId="50EA5526">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BF2EDE">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FE9984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D24EFE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0771-3628366</w:t>
            </w:r>
          </w:p>
        </w:tc>
      </w:tr>
      <w:tr w14:paraId="34D46FF4">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3192BE">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ADD7BC">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4747B66">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0771-3698002</w:t>
            </w:r>
          </w:p>
        </w:tc>
      </w:tr>
      <w:tr w14:paraId="59EE800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DBF3C3">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FC2E0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5DBCD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0771-3626199</w:t>
            </w:r>
          </w:p>
        </w:tc>
      </w:tr>
      <w:tr w14:paraId="0EEBCF57">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AB9036">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9BFE28C">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E93710E">
            <w:pPr>
              <w:widowControl/>
              <w:jc w:val="center"/>
              <w:textAlignment w:val="center"/>
              <w:rPr>
                <w:rFonts w:hint="eastAsia" w:ascii="宋体" w:hAnsi="宋体" w:cs="宋体"/>
                <w:color w:val="auto"/>
                <w:szCs w:val="21"/>
                <w:highlight w:val="none"/>
              </w:rPr>
            </w:pPr>
          </w:p>
        </w:tc>
      </w:tr>
      <w:tr w14:paraId="676D9C45">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351EE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B6B23F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2814F5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0771-8868619</w:t>
            </w:r>
          </w:p>
        </w:tc>
      </w:tr>
      <w:tr w14:paraId="231C9353">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D1675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6F159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161F4F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0771-8812504</w:t>
            </w:r>
          </w:p>
        </w:tc>
      </w:tr>
      <w:tr w14:paraId="654D1E1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3F833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F0E1CD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342F35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0771-8820525</w:t>
            </w:r>
          </w:p>
        </w:tc>
      </w:tr>
      <w:tr w14:paraId="4DE57AEB">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A9573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E026F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557111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0771-8813013</w:t>
            </w:r>
          </w:p>
        </w:tc>
      </w:tr>
      <w:tr w14:paraId="3266C91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3AE19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33902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2D178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0771-8871021</w:t>
            </w:r>
          </w:p>
        </w:tc>
      </w:tr>
      <w:tr w14:paraId="564EE75C">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BE81A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06AB79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2102A3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0771-8811533</w:t>
            </w:r>
          </w:p>
        </w:tc>
      </w:tr>
      <w:tr w14:paraId="1EBFE65B">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BF7EB1">
            <w:pPr>
              <w:widowControl/>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62C719">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68A5A52">
            <w:pPr>
              <w:widowControl/>
              <w:jc w:val="center"/>
              <w:textAlignment w:val="center"/>
              <w:rPr>
                <w:rFonts w:hint="eastAsia" w:ascii="宋体" w:hAnsi="宋体" w:cs="宋体"/>
                <w:color w:val="auto"/>
                <w:szCs w:val="21"/>
                <w:highlight w:val="none"/>
              </w:rPr>
            </w:pPr>
          </w:p>
        </w:tc>
      </w:tr>
      <w:tr w14:paraId="3C8B20EB">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B1905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FDE3E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99FF9D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0771-3532211</w:t>
            </w:r>
          </w:p>
        </w:tc>
      </w:tr>
      <w:tr w14:paraId="65ABABD3">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C0059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34FD96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C46B2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0771-7917046</w:t>
            </w:r>
          </w:p>
        </w:tc>
      </w:tr>
      <w:tr w14:paraId="15FBBEFD">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82335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A9371F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5D7E7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0771-3521361</w:t>
            </w:r>
          </w:p>
        </w:tc>
      </w:tr>
      <w:tr w14:paraId="44F53C6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3B653E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7F31EB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21AA8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0771-3522157</w:t>
            </w:r>
          </w:p>
        </w:tc>
      </w:tr>
      <w:tr w14:paraId="63870057">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DB643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37DB90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68307A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0771-3528688</w:t>
            </w:r>
          </w:p>
        </w:tc>
      </w:tr>
      <w:tr w14:paraId="51B18FC0">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559A0EC">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凭祥市</w:t>
            </w:r>
          </w:p>
        </w:tc>
      </w:tr>
      <w:tr w14:paraId="54046DB5">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03995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19338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DA4787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0771-8529259</w:t>
            </w:r>
          </w:p>
        </w:tc>
      </w:tr>
      <w:tr w14:paraId="2D8800B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82C12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270310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8B3A22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0771-7917258</w:t>
            </w:r>
          </w:p>
        </w:tc>
      </w:tr>
      <w:tr w14:paraId="63442F2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826E6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E0541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4E2EBD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14:paraId="76A38A4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541FD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6B69F1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4C2594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0771-8551161</w:t>
            </w:r>
          </w:p>
        </w:tc>
      </w:tr>
      <w:tr w14:paraId="643D4ED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1A378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F4A346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604C81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0771-8561665</w:t>
            </w:r>
          </w:p>
        </w:tc>
      </w:tr>
      <w:tr w14:paraId="0A4BC96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C299E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2CAD25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01FADA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0771-8520356</w:t>
            </w:r>
          </w:p>
        </w:tc>
      </w:tr>
      <w:tr w14:paraId="6430075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96F99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495DA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9BCD0D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0771-8535667</w:t>
            </w:r>
          </w:p>
        </w:tc>
      </w:tr>
      <w:tr w14:paraId="1095E60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927F5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BDAF31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425BF3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0771-8520550</w:t>
            </w:r>
          </w:p>
        </w:tc>
      </w:tr>
      <w:tr w14:paraId="24BC172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C74F5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D5B9E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0E9352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0771-8556667</w:t>
            </w:r>
          </w:p>
        </w:tc>
      </w:tr>
    </w:tbl>
    <w:p w14:paraId="79B7D1AD">
      <w:pPr>
        <w:pStyle w:val="32"/>
        <w:rPr>
          <w:color w:val="auto"/>
          <w:highlight w:val="none"/>
        </w:rPr>
      </w:pPr>
    </w:p>
    <w:p w14:paraId="7A1D2160">
      <w:pPr>
        <w:pStyle w:val="31"/>
        <w:rPr>
          <w:color w:val="auto"/>
          <w:highlight w:val="none"/>
        </w:rPr>
      </w:pPr>
    </w:p>
    <w:p w14:paraId="74CAFA3A">
      <w:pPr>
        <w:pStyle w:val="32"/>
        <w:rPr>
          <w:color w:val="auto"/>
        </w:rPr>
        <w:sectPr>
          <w:pgSz w:w="11906" w:h="16838"/>
          <w:pgMar w:top="1134" w:right="1134" w:bottom="1134" w:left="1417" w:header="851" w:footer="851" w:gutter="0"/>
          <w:cols w:space="720" w:num="1"/>
          <w:formProt w:val="1"/>
          <w:docGrid w:linePitch="312" w:charSpace="43007"/>
        </w:sectPr>
      </w:pPr>
    </w:p>
    <w:p w14:paraId="5E7F9718">
      <w:pPr>
        <w:pStyle w:val="32"/>
        <w:rPr>
          <w:color w:val="auto"/>
          <w:highlight w:val="none"/>
        </w:rPr>
      </w:pPr>
    </w:p>
    <w:p w14:paraId="49CBC567">
      <w:pPr>
        <w:pStyle w:val="31"/>
        <w:spacing w:line="360" w:lineRule="auto"/>
        <w:rPr>
          <w:rFonts w:ascii="宋体" w:hAnsi="宋体"/>
          <w:color w:val="auto"/>
          <w:szCs w:val="21"/>
          <w:highlight w:val="none"/>
        </w:rPr>
      </w:pPr>
    </w:p>
    <w:p w14:paraId="64692337">
      <w:pPr>
        <w:pStyle w:val="31"/>
        <w:spacing w:line="360" w:lineRule="auto"/>
        <w:rPr>
          <w:rFonts w:ascii="宋体" w:hAnsi="宋体"/>
          <w:b/>
          <w:color w:val="auto"/>
          <w:sz w:val="32"/>
          <w:szCs w:val="32"/>
          <w:highlight w:val="none"/>
        </w:rPr>
      </w:pPr>
    </w:p>
    <w:p w14:paraId="5EB11C32">
      <w:pPr>
        <w:pStyle w:val="31"/>
        <w:spacing w:line="360" w:lineRule="auto"/>
        <w:jc w:val="center"/>
        <w:outlineLvl w:val="0"/>
        <w:rPr>
          <w:rFonts w:ascii="宋体" w:hAnsi="宋体"/>
          <w:b/>
          <w:color w:val="auto"/>
          <w:sz w:val="32"/>
          <w:szCs w:val="32"/>
          <w:highlight w:val="none"/>
        </w:rPr>
      </w:pPr>
      <w:bookmarkStart w:id="41" w:name="_Toc17060"/>
      <w:r>
        <w:rPr>
          <w:rFonts w:ascii="宋体" w:hAnsi="宋体"/>
          <w:b/>
          <w:color w:val="auto"/>
          <w:sz w:val="32"/>
          <w:szCs w:val="32"/>
          <w:highlight w:val="none"/>
        </w:rPr>
        <w:t>第三章   技术规范</w:t>
      </w:r>
      <w:bookmarkEnd w:id="41"/>
    </w:p>
    <w:p w14:paraId="2A1DBE46">
      <w:pPr>
        <w:pStyle w:val="31"/>
        <w:spacing w:line="360" w:lineRule="auto"/>
        <w:jc w:val="center"/>
        <w:rPr>
          <w:rFonts w:ascii="宋体" w:hAnsi="宋体"/>
          <w:b/>
          <w:color w:val="auto"/>
          <w:sz w:val="32"/>
          <w:szCs w:val="32"/>
          <w:highlight w:val="none"/>
        </w:rPr>
      </w:pPr>
    </w:p>
    <w:p w14:paraId="4BEAF94C">
      <w:pPr>
        <w:pStyle w:val="13"/>
        <w:spacing w:line="360" w:lineRule="auto"/>
        <w:ind w:right="92" w:rightChars="46" w:firstLine="550" w:firstLineChars="250"/>
        <w:rPr>
          <w:b/>
          <w:color w:val="auto"/>
          <w:sz w:val="21"/>
          <w:szCs w:val="21"/>
          <w:highlight w:val="none"/>
        </w:rPr>
      </w:pPr>
      <w:r>
        <w:rPr>
          <w:rFonts w:hint="eastAsia" w:ascii="宋体" w:hAnsi="宋体" w:cs="宋体"/>
          <w:color w:val="auto"/>
          <w:kern w:val="0"/>
          <w:sz w:val="22"/>
          <w:highlight w:val="none"/>
        </w:rPr>
        <w:t>本工程执行国家现行的</w:t>
      </w:r>
      <w:r>
        <w:rPr>
          <w:rFonts w:hint="eastAsia" w:ascii="宋体" w:hAnsi="宋体" w:cs="宋体"/>
          <w:color w:val="auto"/>
          <w:sz w:val="22"/>
          <w:szCs w:val="21"/>
          <w:highlight w:val="none"/>
        </w:rPr>
        <w:t>有关的工程建设标准、技术规范</w:t>
      </w:r>
      <w:r>
        <w:rPr>
          <w:rFonts w:hint="eastAsia" w:ascii="宋体" w:hAnsi="宋体" w:cs="宋体"/>
          <w:color w:val="auto"/>
          <w:sz w:val="22"/>
          <w:highlight w:val="none"/>
        </w:rPr>
        <w:t>及强制性标准条文、以及施工图纸载明的其他有关规范标</w:t>
      </w:r>
      <w:r>
        <w:rPr>
          <w:rFonts w:hint="eastAsia" w:ascii="宋体" w:hAnsi="宋体" w:cs="宋体"/>
          <w:color w:val="auto"/>
          <w:kern w:val="0"/>
          <w:sz w:val="22"/>
          <w:highlight w:val="none"/>
        </w:rPr>
        <w:t>准</w:t>
      </w:r>
      <w:r>
        <w:rPr>
          <w:rFonts w:hint="eastAsia"/>
          <w:b/>
          <w:color w:val="auto"/>
          <w:sz w:val="21"/>
          <w:szCs w:val="21"/>
          <w:highlight w:val="none"/>
        </w:rPr>
        <w:t>。</w:t>
      </w:r>
    </w:p>
    <w:p w14:paraId="6702DE06">
      <w:pPr>
        <w:pStyle w:val="13"/>
        <w:spacing w:line="360" w:lineRule="auto"/>
        <w:jc w:val="center"/>
        <w:rPr>
          <w:b/>
          <w:color w:val="auto"/>
          <w:sz w:val="32"/>
          <w:szCs w:val="32"/>
          <w:highlight w:val="none"/>
        </w:rPr>
      </w:pPr>
    </w:p>
    <w:p w14:paraId="2803B30F">
      <w:pPr>
        <w:pStyle w:val="13"/>
        <w:spacing w:line="360" w:lineRule="auto"/>
        <w:jc w:val="center"/>
        <w:rPr>
          <w:b/>
          <w:color w:val="auto"/>
          <w:sz w:val="32"/>
          <w:szCs w:val="32"/>
          <w:highlight w:val="none"/>
        </w:rPr>
      </w:pPr>
    </w:p>
    <w:p w14:paraId="3D4173E9">
      <w:pPr>
        <w:pStyle w:val="13"/>
        <w:spacing w:line="360" w:lineRule="auto"/>
        <w:jc w:val="center"/>
        <w:rPr>
          <w:b/>
          <w:color w:val="auto"/>
          <w:sz w:val="32"/>
          <w:szCs w:val="32"/>
          <w:highlight w:val="none"/>
        </w:rPr>
      </w:pPr>
    </w:p>
    <w:p w14:paraId="3C1732A4">
      <w:pPr>
        <w:pStyle w:val="13"/>
        <w:spacing w:line="360" w:lineRule="auto"/>
        <w:jc w:val="center"/>
        <w:rPr>
          <w:b/>
          <w:color w:val="auto"/>
          <w:sz w:val="32"/>
          <w:szCs w:val="32"/>
          <w:highlight w:val="none"/>
        </w:rPr>
      </w:pPr>
    </w:p>
    <w:p w14:paraId="52F3D851">
      <w:pPr>
        <w:pStyle w:val="13"/>
        <w:spacing w:line="360" w:lineRule="auto"/>
        <w:rPr>
          <w:b/>
          <w:color w:val="auto"/>
          <w:sz w:val="32"/>
          <w:szCs w:val="32"/>
          <w:highlight w:val="none"/>
        </w:rPr>
      </w:pPr>
    </w:p>
    <w:p w14:paraId="5588363C">
      <w:pPr>
        <w:pStyle w:val="13"/>
        <w:spacing w:line="360" w:lineRule="auto"/>
        <w:jc w:val="center"/>
        <w:rPr>
          <w:b/>
          <w:color w:val="auto"/>
          <w:sz w:val="32"/>
          <w:szCs w:val="32"/>
          <w:highlight w:val="none"/>
        </w:rPr>
      </w:pPr>
    </w:p>
    <w:p w14:paraId="6648C22C">
      <w:pPr>
        <w:pStyle w:val="13"/>
        <w:spacing w:line="360" w:lineRule="auto"/>
        <w:jc w:val="center"/>
        <w:rPr>
          <w:b/>
          <w:color w:val="auto"/>
          <w:sz w:val="32"/>
          <w:szCs w:val="32"/>
          <w:highlight w:val="none"/>
        </w:rPr>
      </w:pPr>
    </w:p>
    <w:p w14:paraId="5A7B7DA1">
      <w:pPr>
        <w:pStyle w:val="13"/>
        <w:spacing w:line="360" w:lineRule="auto"/>
        <w:jc w:val="center"/>
        <w:rPr>
          <w:b/>
          <w:color w:val="auto"/>
          <w:sz w:val="32"/>
          <w:szCs w:val="32"/>
          <w:highlight w:val="none"/>
        </w:rPr>
      </w:pPr>
    </w:p>
    <w:p w14:paraId="7BD0E848">
      <w:pPr>
        <w:pStyle w:val="13"/>
        <w:spacing w:line="360" w:lineRule="auto"/>
        <w:jc w:val="center"/>
        <w:rPr>
          <w:b/>
          <w:color w:val="auto"/>
          <w:sz w:val="32"/>
          <w:szCs w:val="32"/>
          <w:highlight w:val="none"/>
        </w:rPr>
      </w:pPr>
    </w:p>
    <w:p w14:paraId="15626211">
      <w:pPr>
        <w:pStyle w:val="13"/>
        <w:spacing w:line="360" w:lineRule="auto"/>
        <w:jc w:val="center"/>
        <w:rPr>
          <w:b/>
          <w:color w:val="auto"/>
          <w:sz w:val="32"/>
          <w:szCs w:val="32"/>
          <w:highlight w:val="none"/>
        </w:rPr>
      </w:pPr>
    </w:p>
    <w:p w14:paraId="64B5F143">
      <w:pPr>
        <w:pStyle w:val="13"/>
        <w:spacing w:line="360" w:lineRule="auto"/>
        <w:jc w:val="center"/>
        <w:rPr>
          <w:b/>
          <w:color w:val="auto"/>
          <w:sz w:val="32"/>
          <w:szCs w:val="32"/>
          <w:highlight w:val="none"/>
        </w:rPr>
      </w:pPr>
    </w:p>
    <w:p w14:paraId="6B898077">
      <w:pPr>
        <w:pStyle w:val="13"/>
        <w:spacing w:line="360" w:lineRule="auto"/>
        <w:jc w:val="center"/>
        <w:rPr>
          <w:b/>
          <w:color w:val="auto"/>
          <w:sz w:val="32"/>
          <w:szCs w:val="32"/>
          <w:highlight w:val="none"/>
        </w:rPr>
      </w:pPr>
    </w:p>
    <w:p w14:paraId="5D4BA074">
      <w:pPr>
        <w:pStyle w:val="13"/>
        <w:spacing w:line="360" w:lineRule="auto"/>
        <w:rPr>
          <w:b/>
          <w:color w:val="auto"/>
          <w:sz w:val="32"/>
          <w:szCs w:val="32"/>
          <w:highlight w:val="none"/>
        </w:rPr>
      </w:pPr>
    </w:p>
    <w:p w14:paraId="62B572C4">
      <w:pPr>
        <w:pStyle w:val="31"/>
        <w:rPr>
          <w:b/>
          <w:color w:val="auto"/>
          <w:sz w:val="32"/>
          <w:szCs w:val="32"/>
          <w:highlight w:val="none"/>
        </w:rPr>
      </w:pPr>
    </w:p>
    <w:p w14:paraId="693B19E2">
      <w:pPr>
        <w:pStyle w:val="32"/>
        <w:rPr>
          <w:color w:val="auto"/>
          <w:sz w:val="32"/>
          <w:szCs w:val="32"/>
          <w:highlight w:val="none"/>
        </w:rPr>
      </w:pPr>
    </w:p>
    <w:p w14:paraId="51BAB374">
      <w:pPr>
        <w:pStyle w:val="31"/>
        <w:rPr>
          <w:b/>
          <w:color w:val="auto"/>
          <w:sz w:val="32"/>
          <w:szCs w:val="32"/>
          <w:highlight w:val="none"/>
        </w:rPr>
      </w:pPr>
    </w:p>
    <w:p w14:paraId="727A6F81">
      <w:pPr>
        <w:pStyle w:val="31"/>
        <w:rPr>
          <w:b/>
          <w:color w:val="auto"/>
          <w:sz w:val="32"/>
          <w:szCs w:val="32"/>
          <w:highlight w:val="none"/>
        </w:rPr>
      </w:pPr>
    </w:p>
    <w:p w14:paraId="34A9BFBF">
      <w:pPr>
        <w:pStyle w:val="32"/>
        <w:rPr>
          <w:color w:val="auto"/>
          <w:highlight w:val="none"/>
        </w:rPr>
      </w:pPr>
    </w:p>
    <w:p w14:paraId="7472CE8D">
      <w:pPr>
        <w:pStyle w:val="31"/>
        <w:rPr>
          <w:color w:val="auto"/>
          <w:highlight w:val="none"/>
        </w:rPr>
      </w:pPr>
    </w:p>
    <w:p w14:paraId="7C390A00">
      <w:pPr>
        <w:pStyle w:val="13"/>
        <w:spacing w:line="360" w:lineRule="auto"/>
        <w:jc w:val="center"/>
        <w:rPr>
          <w:b/>
          <w:color w:val="auto"/>
          <w:sz w:val="32"/>
          <w:szCs w:val="32"/>
          <w:highlight w:val="none"/>
        </w:rPr>
      </w:pPr>
    </w:p>
    <w:p w14:paraId="783AA608">
      <w:pPr>
        <w:pStyle w:val="13"/>
        <w:spacing w:line="360" w:lineRule="auto"/>
        <w:jc w:val="center"/>
        <w:outlineLvl w:val="0"/>
        <w:rPr>
          <w:b/>
          <w:color w:val="auto"/>
          <w:sz w:val="32"/>
          <w:szCs w:val="32"/>
          <w:highlight w:val="none"/>
        </w:rPr>
      </w:pPr>
      <w:bookmarkStart w:id="42" w:name="_Toc26040"/>
      <w:r>
        <w:rPr>
          <w:b/>
          <w:color w:val="auto"/>
          <w:sz w:val="32"/>
          <w:szCs w:val="32"/>
          <w:highlight w:val="none"/>
        </w:rPr>
        <w:t>第四章  响应文件格式</w:t>
      </w:r>
      <w:bookmarkEnd w:id="42"/>
    </w:p>
    <w:p w14:paraId="32FE47AE">
      <w:pPr>
        <w:pStyle w:val="13"/>
        <w:spacing w:line="360" w:lineRule="auto"/>
        <w:jc w:val="center"/>
        <w:rPr>
          <w:b/>
          <w:color w:val="auto"/>
          <w:sz w:val="32"/>
          <w:szCs w:val="32"/>
          <w:highlight w:val="none"/>
        </w:rPr>
      </w:pPr>
    </w:p>
    <w:p w14:paraId="6FD7BD8A">
      <w:pPr>
        <w:pStyle w:val="13"/>
        <w:spacing w:line="360" w:lineRule="auto"/>
        <w:jc w:val="center"/>
        <w:rPr>
          <w:b/>
          <w:color w:val="auto"/>
          <w:sz w:val="32"/>
          <w:szCs w:val="32"/>
          <w:highlight w:val="none"/>
        </w:rPr>
      </w:pPr>
    </w:p>
    <w:p w14:paraId="62757821">
      <w:pPr>
        <w:pStyle w:val="31"/>
        <w:rPr>
          <w:b/>
          <w:color w:val="auto"/>
          <w:sz w:val="32"/>
          <w:szCs w:val="32"/>
          <w:highlight w:val="none"/>
        </w:rPr>
      </w:pPr>
    </w:p>
    <w:p w14:paraId="72EFE0BC">
      <w:pPr>
        <w:pStyle w:val="32"/>
        <w:rPr>
          <w:color w:val="auto"/>
          <w:highlight w:val="none"/>
        </w:rPr>
      </w:pPr>
    </w:p>
    <w:p w14:paraId="33AED2DD">
      <w:pPr>
        <w:pStyle w:val="31"/>
        <w:spacing w:line="360" w:lineRule="auto"/>
        <w:ind w:left="481"/>
        <w:jc w:val="center"/>
        <w:rPr>
          <w:rFonts w:ascii="宋体" w:hAnsi="宋体"/>
          <w:b/>
          <w:color w:val="auto"/>
          <w:sz w:val="48"/>
          <w:szCs w:val="48"/>
          <w:highlight w:val="none"/>
        </w:rPr>
      </w:pPr>
      <w:r>
        <w:rPr>
          <w:rFonts w:hint="eastAsia" w:ascii="宋体" w:hAnsi="宋体"/>
          <w:b/>
          <w:color w:val="auto"/>
          <w:sz w:val="48"/>
          <w:szCs w:val="48"/>
          <w:highlight w:val="none"/>
          <w:lang w:eastAsia="zh-CN"/>
        </w:rPr>
        <w:t>电子</w:t>
      </w:r>
      <w:r>
        <w:rPr>
          <w:rFonts w:ascii="宋体" w:hAnsi="宋体"/>
          <w:b/>
          <w:color w:val="auto"/>
          <w:sz w:val="48"/>
          <w:szCs w:val="48"/>
          <w:highlight w:val="none"/>
        </w:rPr>
        <w:t>响应文件</w:t>
      </w:r>
    </w:p>
    <w:p w14:paraId="533A1D84">
      <w:pPr>
        <w:pStyle w:val="31"/>
        <w:spacing w:line="360" w:lineRule="auto"/>
        <w:ind w:left="431"/>
        <w:jc w:val="center"/>
        <w:rPr>
          <w:rFonts w:ascii="宋体" w:hAnsi="宋体"/>
          <w:b/>
          <w:color w:val="auto"/>
          <w:sz w:val="28"/>
          <w:szCs w:val="28"/>
          <w:highlight w:val="none"/>
        </w:rPr>
      </w:pPr>
      <w:r>
        <w:rPr>
          <w:rFonts w:ascii="宋体" w:hAnsi="宋体"/>
          <w:b/>
          <w:color w:val="auto"/>
          <w:sz w:val="28"/>
          <w:szCs w:val="28"/>
          <w:highlight w:val="none"/>
        </w:rPr>
        <w:t>（外包装封面）</w:t>
      </w:r>
    </w:p>
    <w:p w14:paraId="26210604">
      <w:pPr>
        <w:pStyle w:val="31"/>
        <w:spacing w:line="360" w:lineRule="auto"/>
        <w:ind w:left="413"/>
        <w:jc w:val="left"/>
        <w:rPr>
          <w:rFonts w:ascii="宋体" w:hAnsi="宋体"/>
          <w:color w:val="auto"/>
          <w:szCs w:val="21"/>
          <w:highlight w:val="none"/>
        </w:rPr>
      </w:pPr>
    </w:p>
    <w:p w14:paraId="2E646787">
      <w:pPr>
        <w:pStyle w:val="13"/>
        <w:spacing w:line="360" w:lineRule="auto"/>
        <w:jc w:val="center"/>
        <w:rPr>
          <w:rFonts w:ascii="方正隶书简体" w:hAnsi="方正隶书简体" w:eastAsia="方正隶书简体"/>
          <w:b/>
          <w:color w:val="auto"/>
          <w:sz w:val="30"/>
          <w:szCs w:val="30"/>
          <w:highlight w:val="none"/>
        </w:rPr>
      </w:pPr>
    </w:p>
    <w:p w14:paraId="5A951A7D">
      <w:pPr>
        <w:pStyle w:val="13"/>
        <w:spacing w:line="360" w:lineRule="auto"/>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项目名称：</w:t>
      </w:r>
    </w:p>
    <w:p w14:paraId="06E34CB4">
      <w:pPr>
        <w:pStyle w:val="13"/>
        <w:spacing w:line="360" w:lineRule="auto"/>
        <w:rPr>
          <w:rFonts w:ascii="Times New Roman" w:hAnsi="Times New Roman" w:eastAsia="方正隶书简体"/>
          <w:b/>
          <w:color w:val="auto"/>
          <w:sz w:val="30"/>
          <w:szCs w:val="30"/>
          <w:highlight w:val="none"/>
        </w:rPr>
      </w:pPr>
    </w:p>
    <w:p w14:paraId="6F2E2230">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项目编号：</w:t>
      </w:r>
    </w:p>
    <w:p w14:paraId="66A6F501">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供应商名称：</w:t>
      </w:r>
    </w:p>
    <w:p w14:paraId="61DD77DE">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法定代表人或授权委托代理人：</w:t>
      </w:r>
    </w:p>
    <w:p w14:paraId="12029115">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供应商地址：</w:t>
      </w:r>
    </w:p>
    <w:p w14:paraId="1DF83EAD">
      <w:pPr>
        <w:pStyle w:val="13"/>
        <w:spacing w:line="360" w:lineRule="auto"/>
        <w:jc w:val="left"/>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开标时间以前不得开封</w:t>
      </w:r>
    </w:p>
    <w:p w14:paraId="244CB19E">
      <w:pPr>
        <w:pStyle w:val="13"/>
        <w:spacing w:line="360" w:lineRule="auto"/>
        <w:rPr>
          <w:color w:val="auto"/>
          <w:szCs w:val="21"/>
          <w:highlight w:val="none"/>
        </w:rPr>
      </w:pPr>
    </w:p>
    <w:p w14:paraId="3BA2DF22">
      <w:pPr>
        <w:pStyle w:val="13"/>
        <w:spacing w:line="360" w:lineRule="auto"/>
        <w:rPr>
          <w:color w:val="auto"/>
          <w:szCs w:val="21"/>
          <w:highlight w:val="none"/>
        </w:rPr>
      </w:pPr>
    </w:p>
    <w:p w14:paraId="07599F55">
      <w:pPr>
        <w:pStyle w:val="13"/>
        <w:spacing w:line="360" w:lineRule="auto"/>
        <w:rPr>
          <w:color w:val="auto"/>
          <w:szCs w:val="21"/>
          <w:highlight w:val="none"/>
        </w:rPr>
      </w:pPr>
    </w:p>
    <w:p w14:paraId="3C57CA4D">
      <w:pPr>
        <w:pStyle w:val="13"/>
        <w:spacing w:line="360" w:lineRule="auto"/>
        <w:rPr>
          <w:color w:val="auto"/>
          <w:szCs w:val="21"/>
          <w:highlight w:val="none"/>
        </w:rPr>
      </w:pPr>
    </w:p>
    <w:p w14:paraId="152D3FA6">
      <w:pPr>
        <w:pStyle w:val="13"/>
        <w:spacing w:line="360" w:lineRule="auto"/>
        <w:rPr>
          <w:color w:val="auto"/>
          <w:szCs w:val="21"/>
          <w:highlight w:val="none"/>
        </w:rPr>
      </w:pPr>
    </w:p>
    <w:p w14:paraId="69BCEE0B">
      <w:pPr>
        <w:pStyle w:val="13"/>
        <w:spacing w:line="360" w:lineRule="auto"/>
        <w:rPr>
          <w:color w:val="auto"/>
          <w:szCs w:val="21"/>
          <w:highlight w:val="none"/>
        </w:rPr>
      </w:pPr>
    </w:p>
    <w:p w14:paraId="72B44A48">
      <w:pPr>
        <w:pStyle w:val="13"/>
        <w:spacing w:line="360" w:lineRule="auto"/>
        <w:rPr>
          <w:color w:val="auto"/>
          <w:szCs w:val="21"/>
          <w:highlight w:val="none"/>
        </w:rPr>
      </w:pPr>
    </w:p>
    <w:p w14:paraId="784796B6">
      <w:pPr>
        <w:pStyle w:val="31"/>
        <w:spacing w:line="360" w:lineRule="auto"/>
        <w:ind w:left="481"/>
        <w:jc w:val="center"/>
        <w:rPr>
          <w:rFonts w:ascii="宋体" w:hAnsi="宋体"/>
          <w:b/>
          <w:color w:val="auto"/>
          <w:sz w:val="48"/>
          <w:szCs w:val="48"/>
          <w:highlight w:val="none"/>
        </w:rPr>
      </w:pPr>
    </w:p>
    <w:p w14:paraId="2593C098">
      <w:pPr>
        <w:pStyle w:val="31"/>
        <w:spacing w:line="360" w:lineRule="auto"/>
        <w:rPr>
          <w:rFonts w:ascii="宋体" w:hAnsi="宋体"/>
          <w:b/>
          <w:color w:val="auto"/>
          <w:sz w:val="48"/>
          <w:szCs w:val="48"/>
          <w:highlight w:val="none"/>
        </w:rPr>
      </w:pPr>
    </w:p>
    <w:p w14:paraId="0A868B63">
      <w:pPr>
        <w:pStyle w:val="2"/>
        <w:spacing w:line="360" w:lineRule="auto"/>
        <w:jc w:val="center"/>
        <w:rPr>
          <w:rFonts w:hint="eastAsia" w:ascii="宋体" w:eastAsia="宋体" w:cs="宋体"/>
          <w:color w:val="auto"/>
          <w:sz w:val="36"/>
          <w:highlight w:val="none"/>
          <w:lang w:eastAsia="zh-CN"/>
        </w:rPr>
      </w:pPr>
      <w:r>
        <w:rPr>
          <w:rFonts w:hint="eastAsia" w:ascii="宋体" w:hAnsi="宋体" w:cs="宋体"/>
          <w:color w:val="auto"/>
          <w:sz w:val="36"/>
          <w:highlight w:val="none"/>
          <w:lang w:eastAsia="zh-CN"/>
        </w:rPr>
        <w:t>响应文件资格审查部分</w:t>
      </w:r>
    </w:p>
    <w:p w14:paraId="2AE4C89B">
      <w:pPr>
        <w:pStyle w:val="3"/>
        <w:spacing w:line="360" w:lineRule="auto"/>
        <w:jc w:val="center"/>
        <w:rPr>
          <w:rFonts w:ascii="宋体" w:hAnsi="宋体" w:eastAsia="宋体" w:cs="宋体"/>
          <w:color w:val="auto"/>
          <w:kern w:val="0"/>
          <w:highlight w:val="none"/>
        </w:rPr>
      </w:pPr>
      <w:bookmarkStart w:id="43" w:name="_Toc18079"/>
      <w:bookmarkStart w:id="44" w:name="_Toc255977433"/>
      <w:bookmarkStart w:id="45" w:name="_Toc243630952"/>
      <w:bookmarkStart w:id="46" w:name="_Toc243584342"/>
      <w:bookmarkStart w:id="47" w:name="_Toc28199"/>
      <w:bookmarkStart w:id="48" w:name="_Toc29414"/>
      <w:bookmarkStart w:id="49" w:name="_Toc247292436"/>
      <w:bookmarkStart w:id="50" w:name="_Toc24704"/>
      <w:bookmarkStart w:id="51" w:name="_Toc247301829"/>
      <w:bookmarkStart w:id="52" w:name="_Toc193089296"/>
      <w:r>
        <w:rPr>
          <w:rFonts w:hint="eastAsia" w:ascii="宋体" w:hAnsi="宋体" w:eastAsia="宋体" w:cs="宋体"/>
          <w:color w:val="auto"/>
          <w:kern w:val="0"/>
          <w:highlight w:val="none"/>
        </w:rPr>
        <w:t>封面格式</w:t>
      </w:r>
      <w:bookmarkEnd w:id="43"/>
      <w:bookmarkEnd w:id="44"/>
      <w:bookmarkEnd w:id="45"/>
      <w:bookmarkEnd w:id="46"/>
      <w:bookmarkEnd w:id="47"/>
      <w:bookmarkEnd w:id="48"/>
      <w:bookmarkEnd w:id="49"/>
      <w:bookmarkEnd w:id="50"/>
      <w:bookmarkEnd w:id="51"/>
      <w:bookmarkEnd w:id="52"/>
    </w:p>
    <w:tbl>
      <w:tblPr>
        <w:tblStyle w:val="2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14:paraId="1F89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14:paraId="28B45577">
            <w:pPr>
              <w:autoSpaceDE w:val="0"/>
              <w:autoSpaceDN w:val="0"/>
              <w:adjustRightInd w:val="0"/>
              <w:spacing w:line="360" w:lineRule="auto"/>
              <w:jc w:val="center"/>
              <w:outlineLvl w:val="0"/>
              <w:rPr>
                <w:rFonts w:ascii="宋体" w:cs="宋体"/>
                <w:b/>
                <w:color w:val="auto"/>
                <w:kern w:val="0"/>
                <w:sz w:val="40"/>
                <w:szCs w:val="21"/>
                <w:highlight w:val="none"/>
              </w:rPr>
            </w:pPr>
          </w:p>
          <w:p w14:paraId="1B934ED5">
            <w:pPr>
              <w:autoSpaceDE w:val="0"/>
              <w:autoSpaceDN w:val="0"/>
              <w:adjustRightInd w:val="0"/>
              <w:spacing w:line="360" w:lineRule="auto"/>
              <w:jc w:val="center"/>
              <w:outlineLvl w:val="0"/>
              <w:rPr>
                <w:rFonts w:hint="eastAsia" w:ascii="宋体" w:eastAsia="宋体" w:cs="宋体"/>
                <w:b/>
                <w:color w:val="auto"/>
                <w:kern w:val="0"/>
                <w:sz w:val="32"/>
                <w:szCs w:val="21"/>
                <w:highlight w:val="none"/>
                <w:lang w:eastAsia="zh-CN"/>
              </w:rPr>
            </w:pPr>
            <w:r>
              <w:rPr>
                <w:rFonts w:hint="eastAsia" w:ascii="宋体" w:cs="宋体"/>
                <w:b/>
                <w:color w:val="auto"/>
                <w:kern w:val="0"/>
                <w:sz w:val="40"/>
                <w:szCs w:val="21"/>
                <w:highlight w:val="none"/>
                <w:lang w:eastAsia="zh-CN"/>
              </w:rPr>
              <w:t>（项目名称）</w:t>
            </w:r>
          </w:p>
          <w:p w14:paraId="4B9CC1FB">
            <w:pPr>
              <w:autoSpaceDE w:val="0"/>
              <w:autoSpaceDN w:val="0"/>
              <w:adjustRightInd w:val="0"/>
              <w:spacing w:line="360" w:lineRule="auto"/>
              <w:jc w:val="center"/>
              <w:outlineLvl w:val="0"/>
              <w:rPr>
                <w:rFonts w:ascii="宋体" w:cs="宋体"/>
                <w:b/>
                <w:color w:val="auto"/>
                <w:kern w:val="0"/>
                <w:sz w:val="22"/>
                <w:szCs w:val="21"/>
                <w:highlight w:val="none"/>
              </w:rPr>
            </w:pPr>
          </w:p>
          <w:p w14:paraId="4335E607">
            <w:pPr>
              <w:autoSpaceDE w:val="0"/>
              <w:autoSpaceDN w:val="0"/>
              <w:adjustRightInd w:val="0"/>
              <w:spacing w:line="360" w:lineRule="auto"/>
              <w:jc w:val="center"/>
              <w:outlineLvl w:val="0"/>
              <w:rPr>
                <w:rFonts w:ascii="宋体" w:cs="宋体"/>
                <w:color w:val="auto"/>
                <w:kern w:val="0"/>
                <w:sz w:val="22"/>
                <w:szCs w:val="21"/>
                <w:highlight w:val="none"/>
              </w:rPr>
            </w:pPr>
          </w:p>
          <w:p w14:paraId="60B4D782">
            <w:pPr>
              <w:pStyle w:val="28"/>
              <w:rPr>
                <w:color w:val="auto"/>
                <w:highlight w:val="none"/>
              </w:rPr>
            </w:pPr>
          </w:p>
          <w:p w14:paraId="722CF5B5">
            <w:pPr>
              <w:autoSpaceDE w:val="0"/>
              <w:autoSpaceDN w:val="0"/>
              <w:adjustRightInd w:val="0"/>
              <w:spacing w:line="360" w:lineRule="auto"/>
              <w:jc w:val="center"/>
              <w:outlineLvl w:val="0"/>
              <w:rPr>
                <w:rFonts w:ascii="宋体" w:cs="宋体"/>
                <w:b/>
                <w:color w:val="auto"/>
                <w:kern w:val="0"/>
                <w:sz w:val="56"/>
                <w:szCs w:val="21"/>
                <w:highlight w:val="none"/>
              </w:rPr>
            </w:pPr>
            <w:bookmarkStart w:id="53" w:name="_Toc243584345"/>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53"/>
          </w:p>
          <w:p w14:paraId="2266926D">
            <w:pPr>
              <w:autoSpaceDE w:val="0"/>
              <w:autoSpaceDN w:val="0"/>
              <w:adjustRightInd w:val="0"/>
              <w:spacing w:line="360" w:lineRule="auto"/>
              <w:jc w:val="left"/>
              <w:rPr>
                <w:rFonts w:hint="eastAsia" w:ascii="宋体" w:eastAsia="宋体" w:cs="宋体"/>
                <w:color w:val="auto"/>
                <w:kern w:val="0"/>
                <w:sz w:val="22"/>
                <w:szCs w:val="21"/>
                <w:highlight w:val="none"/>
                <w:lang w:eastAsia="zh-CN"/>
              </w:rPr>
            </w:pPr>
            <w:r>
              <w:rPr>
                <w:rFonts w:hint="eastAsia" w:ascii="宋体" w:hAnsi="宋体" w:cs="宋体"/>
                <w:b/>
                <w:color w:val="auto"/>
                <w:kern w:val="0"/>
                <w:sz w:val="32"/>
                <w:szCs w:val="32"/>
                <w:highlight w:val="none"/>
                <w:lang w:val="en-US" w:eastAsia="zh-CN"/>
              </w:rPr>
              <w:t xml:space="preserve"> </w:t>
            </w:r>
          </w:p>
          <w:p w14:paraId="1C4B3E76">
            <w:pPr>
              <w:autoSpaceDE w:val="0"/>
              <w:autoSpaceDN w:val="0"/>
              <w:adjustRightInd w:val="0"/>
              <w:spacing w:line="360" w:lineRule="auto"/>
              <w:jc w:val="left"/>
              <w:rPr>
                <w:rFonts w:ascii="宋体" w:cs="宋体"/>
                <w:color w:val="auto"/>
                <w:kern w:val="0"/>
                <w:sz w:val="22"/>
                <w:szCs w:val="21"/>
                <w:highlight w:val="none"/>
              </w:rPr>
            </w:pPr>
          </w:p>
          <w:p w14:paraId="744940C0">
            <w:pPr>
              <w:autoSpaceDE w:val="0"/>
              <w:autoSpaceDN w:val="0"/>
              <w:adjustRightInd w:val="0"/>
              <w:spacing w:line="360" w:lineRule="auto"/>
              <w:jc w:val="left"/>
              <w:rPr>
                <w:rFonts w:ascii="宋体" w:cs="宋体"/>
                <w:color w:val="auto"/>
                <w:kern w:val="0"/>
                <w:sz w:val="22"/>
                <w:szCs w:val="21"/>
                <w:highlight w:val="none"/>
              </w:rPr>
            </w:pPr>
          </w:p>
          <w:p w14:paraId="00B96307">
            <w:pPr>
              <w:autoSpaceDE w:val="0"/>
              <w:autoSpaceDN w:val="0"/>
              <w:adjustRightInd w:val="0"/>
              <w:spacing w:line="360" w:lineRule="auto"/>
              <w:rPr>
                <w:rFonts w:ascii="宋体" w:cs="宋体"/>
                <w:color w:val="auto"/>
                <w:kern w:val="0"/>
                <w:sz w:val="22"/>
                <w:szCs w:val="21"/>
                <w:highlight w:val="none"/>
              </w:rPr>
            </w:pPr>
          </w:p>
          <w:p w14:paraId="7D857AE1">
            <w:pPr>
              <w:autoSpaceDE w:val="0"/>
              <w:autoSpaceDN w:val="0"/>
              <w:adjustRightInd w:val="0"/>
              <w:spacing w:line="360" w:lineRule="auto"/>
              <w:outlineLvl w:val="0"/>
              <w:rPr>
                <w:rFonts w:ascii="宋体" w:cs="宋体"/>
                <w:color w:val="auto"/>
                <w:kern w:val="0"/>
                <w:sz w:val="22"/>
                <w:szCs w:val="21"/>
                <w:highlight w:val="none"/>
              </w:rPr>
            </w:pPr>
          </w:p>
          <w:p w14:paraId="131B240D">
            <w:pPr>
              <w:autoSpaceDE w:val="0"/>
              <w:autoSpaceDN w:val="0"/>
              <w:adjustRightInd w:val="0"/>
              <w:spacing w:line="360" w:lineRule="auto"/>
              <w:jc w:val="center"/>
              <w:outlineLvl w:val="0"/>
              <w:rPr>
                <w:rFonts w:ascii="宋体" w:cs="宋体"/>
                <w:color w:val="auto"/>
                <w:kern w:val="0"/>
                <w:sz w:val="22"/>
                <w:szCs w:val="21"/>
                <w:highlight w:val="none"/>
              </w:rPr>
            </w:pPr>
          </w:p>
          <w:p w14:paraId="57253E61">
            <w:pPr>
              <w:autoSpaceDE w:val="0"/>
              <w:autoSpaceDN w:val="0"/>
              <w:adjustRightInd w:val="0"/>
              <w:spacing w:line="360" w:lineRule="auto"/>
              <w:jc w:val="center"/>
              <w:outlineLvl w:val="0"/>
              <w:rPr>
                <w:rFonts w:ascii="宋体" w:cs="宋体"/>
                <w:color w:val="auto"/>
                <w:kern w:val="0"/>
                <w:sz w:val="22"/>
                <w:szCs w:val="21"/>
                <w:highlight w:val="none"/>
              </w:rPr>
            </w:pPr>
          </w:p>
          <w:p w14:paraId="3A3B4B99">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4" w:name="_Toc243584346"/>
            <w:r>
              <w:rPr>
                <w:rFonts w:hint="eastAsia" w:ascii="宋体" w:hAnsi="宋体" w:cs="宋体"/>
                <w:color w:val="auto"/>
                <w:kern w:val="0"/>
                <w:sz w:val="24"/>
                <w:szCs w:val="21"/>
                <w:highlight w:val="none"/>
              </w:rPr>
              <w:t>项目名称：</w:t>
            </w:r>
            <w:bookmarkEnd w:id="54"/>
          </w:p>
          <w:p w14:paraId="768B32E1">
            <w:pPr>
              <w:autoSpaceDE w:val="0"/>
              <w:autoSpaceDN w:val="0"/>
              <w:adjustRightInd w:val="0"/>
              <w:spacing w:line="360" w:lineRule="auto"/>
              <w:ind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资格审查部分</w:t>
            </w:r>
          </w:p>
          <w:p w14:paraId="45659FD4">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5" w:name="_Toc24358434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55"/>
          </w:p>
          <w:p w14:paraId="77EC608F">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14:paraId="1E7509D0">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6B4B12CA">
      <w:pPr>
        <w:pStyle w:val="31"/>
        <w:spacing w:line="360" w:lineRule="auto"/>
        <w:jc w:val="center"/>
        <w:rPr>
          <w:rFonts w:ascii="宋体" w:hAnsi="宋体"/>
          <w:b/>
          <w:color w:val="auto"/>
          <w:sz w:val="28"/>
          <w:szCs w:val="28"/>
          <w:highlight w:val="none"/>
        </w:rPr>
      </w:pPr>
    </w:p>
    <w:p w14:paraId="241C1036">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47620FCB">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07D6246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崇</w:t>
      </w:r>
      <w:r>
        <w:rPr>
          <w:rFonts w:hint="eastAsia" w:ascii="宋体" w:hAnsi="宋体" w:cs="Times New Roman"/>
          <w:color w:val="auto"/>
          <w:szCs w:val="21"/>
          <w:highlight w:val="none"/>
          <w:lang w:eastAsia="zh-CN"/>
        </w:rPr>
        <w:t>左市政府采购供应商信用承诺函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026377F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有效的资质证书副本复印件和有效的安全生产许可证副本复印件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24B8951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3C94253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753706A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eastAsia="宋体" w:cs="Times New Roman"/>
          <w:color w:val="auto"/>
          <w:szCs w:val="21"/>
          <w:highlight w:val="none"/>
          <w:lang w:eastAsia="zh-CN"/>
        </w:rPr>
        <w:t>中小企业声明函或《政府采购促进中小企业发展管理办法 财库〔2020〕46号》要求提供的证明文件（</w:t>
      </w:r>
      <w:r>
        <w:rPr>
          <w:rFonts w:hint="eastAsia" w:ascii="宋体" w:hAnsi="宋体"/>
          <w:b/>
          <w:bCs/>
          <w:color w:val="auto"/>
          <w:szCs w:val="21"/>
          <w:highlight w:val="none"/>
          <w:lang w:eastAsia="zh-CN"/>
        </w:rPr>
        <w:t>必须提供，否则竞标无效）</w:t>
      </w:r>
    </w:p>
    <w:p w14:paraId="7ED6726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312DB758">
      <w:pPr>
        <w:pStyle w:val="31"/>
        <w:spacing w:line="360" w:lineRule="auto"/>
        <w:rPr>
          <w:rFonts w:ascii="宋体" w:hAnsi="宋体"/>
          <w:b/>
          <w:color w:val="auto"/>
          <w:sz w:val="28"/>
          <w:szCs w:val="28"/>
          <w:highlight w:val="none"/>
        </w:rPr>
      </w:pPr>
    </w:p>
    <w:p w14:paraId="7AEDCBD6">
      <w:pPr>
        <w:pStyle w:val="31"/>
        <w:spacing w:line="360" w:lineRule="auto"/>
        <w:rPr>
          <w:rFonts w:ascii="宋体" w:hAnsi="宋体"/>
          <w:b/>
          <w:color w:val="auto"/>
          <w:sz w:val="28"/>
          <w:szCs w:val="28"/>
          <w:highlight w:val="none"/>
        </w:rPr>
      </w:pPr>
    </w:p>
    <w:p w14:paraId="0CC59682">
      <w:pPr>
        <w:pStyle w:val="32"/>
        <w:rPr>
          <w:rFonts w:ascii="宋体" w:hAnsi="宋体"/>
          <w:b/>
          <w:color w:val="auto"/>
          <w:sz w:val="28"/>
          <w:szCs w:val="28"/>
          <w:highlight w:val="none"/>
        </w:rPr>
      </w:pPr>
    </w:p>
    <w:p w14:paraId="25F5CADD">
      <w:pPr>
        <w:pStyle w:val="31"/>
        <w:rPr>
          <w:rFonts w:ascii="宋体" w:hAnsi="宋体"/>
          <w:b/>
          <w:color w:val="auto"/>
          <w:sz w:val="28"/>
          <w:szCs w:val="28"/>
          <w:highlight w:val="none"/>
        </w:rPr>
      </w:pPr>
    </w:p>
    <w:p w14:paraId="2459768F">
      <w:pPr>
        <w:pStyle w:val="32"/>
        <w:rPr>
          <w:rFonts w:ascii="宋体" w:hAnsi="宋体"/>
          <w:b/>
          <w:color w:val="auto"/>
          <w:sz w:val="28"/>
          <w:szCs w:val="28"/>
          <w:highlight w:val="none"/>
        </w:rPr>
      </w:pPr>
    </w:p>
    <w:p w14:paraId="62E36A1D">
      <w:pPr>
        <w:pStyle w:val="31"/>
        <w:rPr>
          <w:rFonts w:ascii="宋体" w:hAnsi="宋体"/>
          <w:b/>
          <w:color w:val="auto"/>
          <w:sz w:val="28"/>
          <w:szCs w:val="28"/>
          <w:highlight w:val="none"/>
        </w:rPr>
      </w:pPr>
    </w:p>
    <w:p w14:paraId="047483DD">
      <w:pPr>
        <w:pStyle w:val="32"/>
        <w:rPr>
          <w:rFonts w:ascii="宋体" w:hAnsi="宋体"/>
          <w:b/>
          <w:color w:val="auto"/>
          <w:sz w:val="28"/>
          <w:szCs w:val="28"/>
          <w:highlight w:val="none"/>
        </w:rPr>
      </w:pPr>
    </w:p>
    <w:p w14:paraId="796F32E2">
      <w:pPr>
        <w:pStyle w:val="31"/>
        <w:rPr>
          <w:rFonts w:ascii="宋体" w:hAnsi="宋体"/>
          <w:b/>
          <w:color w:val="auto"/>
          <w:sz w:val="28"/>
          <w:szCs w:val="28"/>
          <w:highlight w:val="none"/>
        </w:rPr>
      </w:pPr>
    </w:p>
    <w:p w14:paraId="20D5E95A">
      <w:pPr>
        <w:pStyle w:val="32"/>
        <w:rPr>
          <w:rFonts w:ascii="宋体" w:hAnsi="宋体"/>
          <w:b/>
          <w:color w:val="auto"/>
          <w:sz w:val="28"/>
          <w:szCs w:val="28"/>
          <w:highlight w:val="none"/>
        </w:rPr>
      </w:pPr>
    </w:p>
    <w:p w14:paraId="7EBA6A87">
      <w:pPr>
        <w:pStyle w:val="31"/>
        <w:rPr>
          <w:rFonts w:ascii="宋体" w:hAnsi="宋体"/>
          <w:b/>
          <w:color w:val="auto"/>
          <w:sz w:val="28"/>
          <w:szCs w:val="28"/>
          <w:highlight w:val="none"/>
        </w:rPr>
      </w:pPr>
    </w:p>
    <w:p w14:paraId="61EA6F5D">
      <w:pPr>
        <w:pStyle w:val="32"/>
        <w:rPr>
          <w:rFonts w:ascii="宋体" w:hAnsi="宋体"/>
          <w:b/>
          <w:color w:val="auto"/>
          <w:sz w:val="28"/>
          <w:szCs w:val="28"/>
          <w:highlight w:val="none"/>
        </w:rPr>
      </w:pPr>
    </w:p>
    <w:p w14:paraId="08FC5D31">
      <w:pPr>
        <w:pStyle w:val="31"/>
        <w:rPr>
          <w:rFonts w:ascii="宋体" w:hAnsi="宋体"/>
          <w:b/>
          <w:color w:val="auto"/>
          <w:sz w:val="28"/>
          <w:szCs w:val="28"/>
          <w:highlight w:val="none"/>
        </w:rPr>
      </w:pPr>
    </w:p>
    <w:p w14:paraId="32EC78C6">
      <w:pPr>
        <w:pStyle w:val="32"/>
        <w:rPr>
          <w:rFonts w:ascii="宋体" w:hAnsi="宋体"/>
          <w:b/>
          <w:color w:val="auto"/>
          <w:sz w:val="28"/>
          <w:szCs w:val="28"/>
          <w:highlight w:val="none"/>
        </w:rPr>
      </w:pPr>
    </w:p>
    <w:p w14:paraId="2FB4C44B">
      <w:pPr>
        <w:pStyle w:val="31"/>
        <w:rPr>
          <w:rFonts w:ascii="宋体" w:hAnsi="宋体"/>
          <w:b/>
          <w:color w:val="auto"/>
          <w:sz w:val="28"/>
          <w:szCs w:val="28"/>
          <w:highlight w:val="none"/>
        </w:rPr>
      </w:pPr>
    </w:p>
    <w:p w14:paraId="7D052700">
      <w:pPr>
        <w:pStyle w:val="32"/>
        <w:rPr>
          <w:rFonts w:ascii="宋体" w:hAnsi="宋体"/>
          <w:b/>
          <w:color w:val="auto"/>
          <w:sz w:val="28"/>
          <w:szCs w:val="28"/>
          <w:highlight w:val="none"/>
        </w:rPr>
      </w:pPr>
    </w:p>
    <w:p w14:paraId="11CC536D">
      <w:pPr>
        <w:pStyle w:val="31"/>
        <w:rPr>
          <w:rFonts w:ascii="宋体" w:hAnsi="宋体"/>
          <w:b/>
          <w:color w:val="auto"/>
          <w:sz w:val="28"/>
          <w:szCs w:val="28"/>
          <w:highlight w:val="none"/>
        </w:rPr>
      </w:pPr>
    </w:p>
    <w:p w14:paraId="18F1A59D">
      <w:pPr>
        <w:pStyle w:val="32"/>
        <w:rPr>
          <w:rFonts w:ascii="宋体" w:hAnsi="宋体"/>
          <w:b/>
          <w:color w:val="auto"/>
          <w:sz w:val="28"/>
          <w:szCs w:val="28"/>
          <w:highlight w:val="none"/>
        </w:rPr>
      </w:pPr>
    </w:p>
    <w:p w14:paraId="210E5DBE">
      <w:pPr>
        <w:pStyle w:val="31"/>
        <w:rPr>
          <w:rFonts w:ascii="宋体" w:hAnsi="宋体"/>
          <w:b/>
          <w:color w:val="auto"/>
          <w:sz w:val="28"/>
          <w:szCs w:val="28"/>
          <w:highlight w:val="none"/>
        </w:rPr>
      </w:pPr>
    </w:p>
    <w:p w14:paraId="6EC5B669">
      <w:pPr>
        <w:pStyle w:val="32"/>
        <w:rPr>
          <w:rFonts w:ascii="宋体" w:hAnsi="宋体"/>
          <w:b/>
          <w:color w:val="auto"/>
          <w:sz w:val="28"/>
          <w:szCs w:val="28"/>
          <w:highlight w:val="none"/>
        </w:rPr>
      </w:pPr>
    </w:p>
    <w:p w14:paraId="2E3C730F">
      <w:pPr>
        <w:pStyle w:val="31"/>
        <w:rPr>
          <w:rFonts w:ascii="宋体" w:hAnsi="宋体"/>
          <w:b/>
          <w:color w:val="auto"/>
          <w:sz w:val="28"/>
          <w:szCs w:val="28"/>
          <w:highlight w:val="none"/>
        </w:rPr>
      </w:pPr>
    </w:p>
    <w:p w14:paraId="1F3EC9FD">
      <w:pPr>
        <w:pStyle w:val="32"/>
        <w:rPr>
          <w:color w:val="auto"/>
        </w:rPr>
      </w:pPr>
    </w:p>
    <w:p w14:paraId="1E72BF6F">
      <w:pPr>
        <w:pStyle w:val="32"/>
        <w:rPr>
          <w:rFonts w:ascii="宋体" w:hAnsi="宋体"/>
          <w:b/>
          <w:color w:val="auto"/>
          <w:sz w:val="28"/>
          <w:szCs w:val="28"/>
          <w:highlight w:val="none"/>
        </w:rPr>
      </w:pPr>
    </w:p>
    <w:p w14:paraId="4857BF04">
      <w:pPr>
        <w:pStyle w:val="31"/>
        <w:rPr>
          <w:rFonts w:ascii="宋体" w:hAnsi="宋体"/>
          <w:b/>
          <w:color w:val="auto"/>
          <w:sz w:val="28"/>
          <w:szCs w:val="28"/>
          <w:highlight w:val="none"/>
        </w:rPr>
      </w:pPr>
    </w:p>
    <w:p w14:paraId="26B242A0">
      <w:pPr>
        <w:pStyle w:val="32"/>
        <w:rPr>
          <w:color w:val="auto"/>
        </w:rPr>
      </w:pPr>
    </w:p>
    <w:p w14:paraId="1B12165A">
      <w:pPr>
        <w:pStyle w:val="31"/>
        <w:spacing w:line="360" w:lineRule="auto"/>
        <w:rPr>
          <w:rFonts w:hint="eastAsia" w:ascii="宋体" w:hAnsi="宋体" w:eastAsia="宋体" w:cs="Times New Roman"/>
          <w:b/>
          <w:color w:val="auto"/>
          <w:spacing w:val="0"/>
          <w:kern w:val="2"/>
          <w:sz w:val="24"/>
          <w:szCs w:val="24"/>
          <w:highlight w:val="none"/>
          <w:lang w:val="en-US" w:eastAsia="zh-CN" w:bidi="ar-SA"/>
        </w:rPr>
      </w:pPr>
      <w:r>
        <w:rPr>
          <w:rFonts w:hint="eastAsia" w:ascii="宋体" w:hAnsi="宋体" w:cs="Times New Roman"/>
          <w:b/>
          <w:color w:val="auto"/>
          <w:spacing w:val="0"/>
          <w:kern w:val="2"/>
          <w:sz w:val="24"/>
          <w:szCs w:val="24"/>
          <w:highlight w:val="none"/>
          <w:lang w:val="en-US" w:eastAsia="zh-CN" w:bidi="ar-SA"/>
        </w:rPr>
        <w:t>1</w:t>
      </w:r>
      <w:r>
        <w:rPr>
          <w:rFonts w:hint="eastAsia" w:ascii="宋体" w:hAnsi="宋体" w:eastAsia="宋体" w:cs="Times New Roman"/>
          <w:b/>
          <w:color w:val="auto"/>
          <w:spacing w:val="0"/>
          <w:kern w:val="2"/>
          <w:sz w:val="24"/>
          <w:szCs w:val="24"/>
          <w:highlight w:val="none"/>
          <w:lang w:val="en-US" w:eastAsia="zh-CN" w:bidi="ar-SA"/>
        </w:rPr>
        <w:t>、崇左市政府采购供应商信用承诺函；</w:t>
      </w:r>
    </w:p>
    <w:p w14:paraId="7E19B48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u w:val="single"/>
          <w:lang w:val="en-US" w:eastAsia="zh-CN"/>
        </w:rPr>
      </w:pPr>
      <w:r>
        <w:rPr>
          <w:rFonts w:hint="eastAsia" w:ascii="宋体" w:hAnsi="宋体" w:eastAsia="宋体" w:cs="宋体"/>
          <w:color w:val="auto"/>
          <w:kern w:val="0"/>
          <w:sz w:val="22"/>
          <w:szCs w:val="22"/>
          <w:lang w:val="en-US" w:eastAsia="zh-CN" w:bidi="ar"/>
        </w:rPr>
        <w:t>致</w:t>
      </w:r>
      <w:r>
        <w:rPr>
          <w:rFonts w:hint="eastAsia" w:ascii="宋体" w:hAnsi="宋体" w:eastAsia="宋体" w:cs="宋体"/>
          <w:color w:val="auto"/>
          <w:kern w:val="0"/>
          <w:sz w:val="22"/>
          <w:szCs w:val="22"/>
          <w:u w:val="single"/>
          <w:lang w:val="en-US" w:eastAsia="zh-CN" w:bidi="ar"/>
        </w:rPr>
        <w:t>（采购代理机构名称）</w:t>
      </w:r>
      <w:r>
        <w:rPr>
          <w:rFonts w:hint="eastAsia" w:ascii="宋体" w:hAnsi="宋体" w:eastAsia="宋体" w:cs="宋体"/>
          <w:color w:val="auto"/>
          <w:kern w:val="0"/>
          <w:sz w:val="22"/>
          <w:szCs w:val="22"/>
          <w:u w:val="none"/>
          <w:lang w:val="en-US" w:eastAsia="zh-CN" w:bidi="ar"/>
        </w:rPr>
        <w:t>:</w:t>
      </w:r>
    </w:p>
    <w:p w14:paraId="44897B31">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rPr>
      </w:pPr>
      <w:r>
        <w:rPr>
          <w:rFonts w:hint="eastAsia" w:ascii="宋体" w:hAnsi="宋体" w:eastAsia="宋体" w:cs="宋体"/>
          <w:color w:val="auto"/>
          <w:kern w:val="0"/>
          <w:sz w:val="22"/>
          <w:szCs w:val="22"/>
          <w:lang w:val="en-US" w:eastAsia="zh-CN" w:bidi="ar"/>
        </w:rPr>
        <w:t>我方自愿参加</w:t>
      </w:r>
      <w:r>
        <w:rPr>
          <w:rFonts w:hint="eastAsia" w:ascii="宋体" w:hAnsi="宋体" w:eastAsia="宋体" w:cs="宋体"/>
          <w:color w:val="auto"/>
          <w:kern w:val="0"/>
          <w:sz w:val="22"/>
          <w:szCs w:val="22"/>
          <w:u w:val="single"/>
          <w:lang w:val="en-US" w:eastAsia="zh-CN" w:bidi="ar"/>
        </w:rPr>
        <w:t xml:space="preserve"> （项目名称） 项目（项目编号：         ）</w:t>
      </w:r>
      <w:r>
        <w:rPr>
          <w:rFonts w:hint="eastAsia" w:ascii="宋体" w:hAnsi="宋体" w:eastAsia="宋体" w:cs="宋体"/>
          <w:color w:val="auto"/>
          <w:kern w:val="0"/>
          <w:sz w:val="22"/>
          <w:szCs w:val="22"/>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lang w:val="en-US" w:eastAsia="zh-CN" w:bidi="ar"/>
        </w:rPr>
        <w:t xml:space="preserve">： </w:t>
      </w:r>
    </w:p>
    <w:p w14:paraId="5EADB1D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1.我方</w:t>
      </w:r>
      <w:r>
        <w:rPr>
          <w:rFonts w:hint="eastAsia" w:ascii="宋体" w:hAnsi="宋体" w:eastAsia="宋体" w:cs="宋体"/>
          <w:color w:val="auto"/>
          <w:spacing w:val="6"/>
          <w:sz w:val="22"/>
          <w:szCs w:val="22"/>
          <w:lang w:val="en-US" w:eastAsia="zh-CN"/>
        </w:rPr>
        <w:t>具有独立承担民事责任的能力或我方属于银行、保险、石油石化、电力、电信等有行业特殊情况的法人的分支机构在参加本次政府采购活动前已取得总公司的授权。</w:t>
      </w:r>
    </w:p>
    <w:p w14:paraId="6F0576CC">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2.我方具有符合采购文件资格要求的财务状况报告。 </w:t>
      </w:r>
    </w:p>
    <w:p w14:paraId="4F86AB03">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rPr>
      </w:pPr>
      <w:r>
        <w:rPr>
          <w:rFonts w:hint="eastAsia" w:ascii="宋体" w:hAnsi="宋体" w:eastAsia="宋体" w:cs="宋体"/>
          <w:color w:val="auto"/>
          <w:spacing w:val="-6"/>
          <w:kern w:val="0"/>
          <w:sz w:val="22"/>
          <w:szCs w:val="22"/>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lang w:val="en-US" w:eastAsia="zh-CN" w:bidi="ar"/>
        </w:rPr>
        <w:t xml:space="preserve"> </w:t>
      </w:r>
    </w:p>
    <w:p w14:paraId="02F4FDD5">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4.我方具有符合采购文件资格要求履行合同所必需的设备和专业技术能力。 </w:t>
      </w:r>
    </w:p>
    <w:p w14:paraId="47EF097F">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5.我方参加政府采购活动前3年内在经营活动中没有重大违法记录。 </w:t>
      </w:r>
    </w:p>
    <w:p w14:paraId="137863DA">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我方对以上承诺内容的真实性负责。如有虚假，将依法承担相应责任。</w:t>
      </w:r>
    </w:p>
    <w:p w14:paraId="3E70EB07">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p>
    <w:p w14:paraId="614EFE26">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p>
    <w:p w14:paraId="506EE1DD">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供应商名称（盖章）： </w:t>
      </w:r>
    </w:p>
    <w:p w14:paraId="1E91BDBB">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日期：</w:t>
      </w:r>
    </w:p>
    <w:p w14:paraId="6258A0F9">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lang w:val="en-US" w:eastAsia="zh-CN" w:bidi="ar"/>
        </w:rPr>
      </w:pPr>
    </w:p>
    <w:p w14:paraId="4591407E">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bidi="ar"/>
        </w:rPr>
        <w:t>注：1.</w:t>
      </w:r>
      <w:r>
        <w:rPr>
          <w:rFonts w:hint="eastAsia" w:ascii="宋体" w:hAnsi="宋体" w:eastAsia="宋体" w:cs="宋体"/>
          <w:i w:val="0"/>
          <w:iCs w:val="0"/>
          <w:caps w:val="0"/>
          <w:color w:val="auto"/>
          <w:spacing w:val="0"/>
          <w:sz w:val="22"/>
          <w:szCs w:val="22"/>
          <w:lang w:val="en-US" w:eastAsia="zh-CN"/>
        </w:rPr>
        <w:t>参与政府采购活动的供应商可按第1点的内容：“</w:t>
      </w:r>
      <w:r>
        <w:rPr>
          <w:rFonts w:hint="eastAsia" w:ascii="宋体" w:hAnsi="宋体" w:eastAsia="宋体" w:cs="宋体"/>
          <w:color w:val="auto"/>
          <w:kern w:val="0"/>
          <w:sz w:val="22"/>
          <w:szCs w:val="22"/>
          <w:lang w:val="en-US" w:eastAsia="zh-CN" w:bidi="ar"/>
        </w:rPr>
        <w:t>我方</w:t>
      </w:r>
      <w:r>
        <w:rPr>
          <w:rFonts w:hint="eastAsia" w:ascii="宋体" w:hAnsi="宋体" w:eastAsia="宋体" w:cs="宋体"/>
          <w:color w:val="auto"/>
          <w:spacing w:val="6"/>
          <w:sz w:val="22"/>
          <w:szCs w:val="22"/>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lang w:val="en-US" w:eastAsia="zh-CN" w:bidi="ar"/>
        </w:rPr>
        <w:t>我方</w:t>
      </w:r>
      <w:r>
        <w:rPr>
          <w:rFonts w:hint="eastAsia" w:ascii="宋体" w:hAnsi="宋体" w:eastAsia="宋体" w:cs="宋体"/>
          <w:color w:val="auto"/>
          <w:spacing w:val="6"/>
          <w:sz w:val="22"/>
          <w:szCs w:val="22"/>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lang w:val="en-US" w:eastAsia="zh-CN"/>
        </w:rPr>
        <w:t>2.第1点所指的行业特殊情况使用了“等”字表示列举未尽，即行业特殊情况包含但不限于银行、保险、石油石化、电力、电信。</w:t>
      </w:r>
    </w:p>
    <w:p w14:paraId="23E5714D">
      <w:pPr>
        <w:numPr>
          <w:ilvl w:val="0"/>
          <w:numId w:val="0"/>
        </w:numPr>
        <w:snapToGrid w:val="0"/>
        <w:spacing w:beforeLines="50" w:after="50"/>
        <w:ind w:leftChars="0"/>
        <w:jc w:val="left"/>
        <w:rPr>
          <w:rFonts w:hint="eastAsia" w:ascii="宋体" w:hAnsi="宋体" w:eastAsia="宋体" w:cs="宋体"/>
          <w:b/>
          <w:color w:val="auto"/>
          <w:sz w:val="22"/>
          <w:szCs w:val="22"/>
        </w:rPr>
      </w:pPr>
    </w:p>
    <w:p w14:paraId="338318B9">
      <w:pPr>
        <w:pStyle w:val="10"/>
        <w:rPr>
          <w:rFonts w:hint="eastAsia"/>
          <w:color w:val="auto"/>
        </w:rPr>
      </w:pPr>
    </w:p>
    <w:p w14:paraId="34D10BB2">
      <w:pPr>
        <w:numPr>
          <w:ilvl w:val="0"/>
          <w:numId w:val="0"/>
        </w:numPr>
        <w:snapToGrid w:val="0"/>
        <w:spacing w:beforeLines="50" w:after="50"/>
        <w:ind w:leftChars="0"/>
        <w:jc w:val="left"/>
        <w:rPr>
          <w:rFonts w:hint="eastAsia" w:ascii="宋体" w:hAnsi="宋体" w:eastAsia="宋体" w:cs="宋体"/>
          <w:b/>
          <w:color w:val="auto"/>
          <w:sz w:val="22"/>
          <w:szCs w:val="22"/>
        </w:rPr>
      </w:pPr>
    </w:p>
    <w:p w14:paraId="333B6E38">
      <w:pPr>
        <w:pStyle w:val="31"/>
        <w:spacing w:line="360" w:lineRule="auto"/>
        <w:rPr>
          <w:rFonts w:ascii="宋体" w:hAnsi="宋体"/>
          <w:b/>
          <w:color w:val="auto"/>
          <w:sz w:val="28"/>
          <w:szCs w:val="28"/>
          <w:highlight w:val="none"/>
        </w:rPr>
      </w:pPr>
    </w:p>
    <w:p w14:paraId="1FEFD550">
      <w:pPr>
        <w:pStyle w:val="32"/>
        <w:rPr>
          <w:rFonts w:ascii="宋体" w:hAnsi="宋体"/>
          <w:b/>
          <w:color w:val="auto"/>
          <w:sz w:val="28"/>
          <w:szCs w:val="28"/>
          <w:highlight w:val="none"/>
        </w:rPr>
      </w:pPr>
    </w:p>
    <w:p w14:paraId="3B390D7A">
      <w:pPr>
        <w:pStyle w:val="31"/>
        <w:rPr>
          <w:rFonts w:ascii="宋体" w:hAnsi="宋体"/>
          <w:b/>
          <w:color w:val="auto"/>
          <w:sz w:val="28"/>
          <w:szCs w:val="28"/>
          <w:highlight w:val="none"/>
        </w:rPr>
      </w:pPr>
    </w:p>
    <w:p w14:paraId="2FEDDFFD">
      <w:pPr>
        <w:pStyle w:val="32"/>
        <w:rPr>
          <w:rFonts w:ascii="宋体" w:hAnsi="宋体"/>
          <w:b/>
          <w:color w:val="auto"/>
          <w:sz w:val="28"/>
          <w:szCs w:val="28"/>
          <w:highlight w:val="none"/>
        </w:rPr>
      </w:pPr>
    </w:p>
    <w:p w14:paraId="6EBCAE43">
      <w:pPr>
        <w:pStyle w:val="31"/>
        <w:rPr>
          <w:rFonts w:ascii="宋体" w:hAnsi="宋体"/>
          <w:b/>
          <w:color w:val="auto"/>
          <w:sz w:val="28"/>
          <w:szCs w:val="28"/>
          <w:highlight w:val="none"/>
        </w:rPr>
      </w:pPr>
    </w:p>
    <w:p w14:paraId="42B49C57">
      <w:pPr>
        <w:pStyle w:val="32"/>
        <w:rPr>
          <w:color w:val="auto"/>
        </w:rPr>
      </w:pPr>
    </w:p>
    <w:p w14:paraId="7106E794">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w:t>
      </w:r>
      <w:r>
        <w:rPr>
          <w:rFonts w:hint="eastAsia" w:ascii="宋体" w:hAnsi="宋体"/>
          <w:b/>
          <w:color w:val="auto"/>
          <w:sz w:val="24"/>
          <w:highlight w:val="none"/>
          <w:lang w:eastAsia="zh-CN"/>
        </w:rPr>
        <w:t>有效的资质证书副本复印件和有效的安全生产许可证副本复印件</w:t>
      </w:r>
      <w:r>
        <w:rPr>
          <w:rFonts w:hint="eastAsia" w:ascii="宋体" w:hAnsi="宋体"/>
          <w:b/>
          <w:color w:val="auto"/>
          <w:sz w:val="24"/>
          <w:highlight w:val="none"/>
        </w:rPr>
        <w:t>；</w:t>
      </w:r>
    </w:p>
    <w:p w14:paraId="44E3B196">
      <w:pPr>
        <w:pStyle w:val="32"/>
        <w:rPr>
          <w:color w:val="auto"/>
          <w:highlight w:val="none"/>
        </w:rPr>
      </w:pPr>
    </w:p>
    <w:p w14:paraId="25B8E479">
      <w:pPr>
        <w:pStyle w:val="31"/>
        <w:numPr>
          <w:ilvl w:val="0"/>
          <w:numId w:val="0"/>
        </w:numPr>
        <w:spacing w:line="360" w:lineRule="auto"/>
        <w:jc w:val="left"/>
        <w:rPr>
          <w:rFonts w:hint="eastAsia" w:ascii="宋体" w:hAnsi="宋体"/>
          <w:b/>
          <w:color w:val="auto"/>
          <w:sz w:val="24"/>
          <w:highlight w:val="none"/>
        </w:rPr>
      </w:pPr>
      <w:r>
        <w:rPr>
          <w:rFonts w:hint="eastAsia" w:ascii="宋体" w:hAnsi="宋体"/>
          <w:b/>
          <w:color w:val="auto"/>
          <w:sz w:val="24"/>
          <w:highlight w:val="none"/>
          <w:lang w:val="en-US" w:eastAsia="zh-CN"/>
        </w:rPr>
        <w:t>3、</w:t>
      </w:r>
      <w:r>
        <w:rPr>
          <w:rFonts w:hint="eastAsia" w:ascii="宋体" w:hAnsi="宋体"/>
          <w:b/>
          <w:color w:val="auto"/>
          <w:sz w:val="24"/>
          <w:highlight w:val="none"/>
        </w:rPr>
        <w:t>拟派项目经理的身份证复印件、注册建造师证和安全生产考核合格证书（B类）复印件</w:t>
      </w:r>
    </w:p>
    <w:p w14:paraId="28B27719">
      <w:pPr>
        <w:pStyle w:val="31"/>
        <w:rPr>
          <w:rFonts w:hint="eastAsia" w:ascii="宋体" w:hAnsi="宋体"/>
          <w:b/>
          <w:color w:val="auto"/>
          <w:sz w:val="24"/>
          <w:highlight w:val="none"/>
          <w:lang w:eastAsia="zh-CN"/>
        </w:rPr>
      </w:pPr>
    </w:p>
    <w:p w14:paraId="18218B70">
      <w:pPr>
        <w:pStyle w:val="32"/>
        <w:rPr>
          <w:rFonts w:hint="eastAsia" w:ascii="宋体" w:hAnsi="宋体"/>
          <w:b/>
          <w:color w:val="auto"/>
          <w:sz w:val="24"/>
          <w:highlight w:val="none"/>
          <w:lang w:eastAsia="zh-CN"/>
        </w:rPr>
      </w:pPr>
    </w:p>
    <w:p w14:paraId="046D30E0">
      <w:pPr>
        <w:pStyle w:val="31"/>
        <w:numPr>
          <w:ilvl w:val="0"/>
          <w:numId w:val="0"/>
        </w:numP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4、</w:t>
      </w:r>
      <w:r>
        <w:rPr>
          <w:rFonts w:hint="eastAsia" w:ascii="宋体" w:hAnsi="宋体"/>
          <w:b/>
          <w:color w:val="auto"/>
          <w:sz w:val="24"/>
          <w:highlight w:val="none"/>
          <w:lang w:eastAsia="zh-CN"/>
        </w:rPr>
        <w:t>投标人直接控股、管理关系信息表</w:t>
      </w:r>
    </w:p>
    <w:p w14:paraId="1A468827">
      <w:pPr>
        <w:snapToGrid w:val="0"/>
        <w:spacing w:before="50" w:after="120" w:afterLines="50"/>
        <w:jc w:val="center"/>
        <w:rPr>
          <w:rFonts w:ascii="宋体" w:hAnsi="宋体"/>
          <w:b/>
          <w:color w:val="auto"/>
          <w:sz w:val="28"/>
          <w:szCs w:val="28"/>
          <w:highlight w:val="none"/>
        </w:rPr>
      </w:pPr>
      <w:r>
        <w:rPr>
          <w:rFonts w:hint="eastAsia" w:ascii="宋体" w:hAnsi="宋体"/>
          <w:b/>
          <w:color w:val="auto"/>
          <w:sz w:val="28"/>
          <w:szCs w:val="28"/>
          <w:highlight w:val="none"/>
        </w:rPr>
        <w:t>投标人直接控股股东信息表</w:t>
      </w:r>
    </w:p>
    <w:tbl>
      <w:tblPr>
        <w:tblStyle w:val="23"/>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BEB2C03">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7561CE1">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B5FCE28">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5D25166">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7660626">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DD77386">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备注</w:t>
            </w:r>
          </w:p>
        </w:tc>
      </w:tr>
      <w:tr w14:paraId="15991AF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60D80A">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DD4B11">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242B72">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D5B457">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DA0EE3">
            <w:pPr>
              <w:widowControl/>
              <w:wordWrap w:val="0"/>
              <w:spacing w:line="200" w:lineRule="atLeast"/>
              <w:jc w:val="center"/>
              <w:rPr>
                <w:rFonts w:ascii="宋体" w:hAnsi="宋体" w:cs="宋体"/>
                <w:color w:val="auto"/>
                <w:sz w:val="21"/>
                <w:szCs w:val="16"/>
                <w:highlight w:val="none"/>
              </w:rPr>
            </w:pPr>
          </w:p>
        </w:tc>
      </w:tr>
      <w:tr w14:paraId="4A095A4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039EDC">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5EA8E9">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D9B2D1">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E6D43C">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CDA07D">
            <w:pPr>
              <w:widowControl/>
              <w:wordWrap w:val="0"/>
              <w:spacing w:line="200" w:lineRule="atLeast"/>
              <w:jc w:val="center"/>
              <w:rPr>
                <w:rFonts w:ascii="宋体" w:hAnsi="宋体" w:cs="宋体"/>
                <w:color w:val="auto"/>
                <w:sz w:val="21"/>
                <w:szCs w:val="16"/>
                <w:highlight w:val="none"/>
              </w:rPr>
            </w:pPr>
          </w:p>
        </w:tc>
      </w:tr>
      <w:tr w14:paraId="46B8887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8E6373">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414232">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8ABA3C">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2A6863">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A4069CF">
            <w:pPr>
              <w:widowControl/>
              <w:wordWrap w:val="0"/>
              <w:spacing w:line="200" w:lineRule="atLeast"/>
              <w:jc w:val="center"/>
              <w:rPr>
                <w:rFonts w:ascii="宋体" w:hAnsi="宋体" w:cs="宋体"/>
                <w:color w:val="auto"/>
                <w:sz w:val="21"/>
                <w:szCs w:val="16"/>
                <w:highlight w:val="none"/>
              </w:rPr>
            </w:pPr>
          </w:p>
        </w:tc>
      </w:tr>
      <w:tr w14:paraId="2547844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0A06D9">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9B4682">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97122F">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D86EFC">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525837">
            <w:pPr>
              <w:widowControl/>
              <w:wordWrap w:val="0"/>
              <w:spacing w:line="200" w:lineRule="atLeast"/>
              <w:jc w:val="center"/>
              <w:rPr>
                <w:rFonts w:ascii="宋体" w:hAnsi="宋体" w:cs="宋体"/>
                <w:color w:val="auto"/>
                <w:sz w:val="21"/>
                <w:szCs w:val="16"/>
                <w:highlight w:val="none"/>
              </w:rPr>
            </w:pPr>
          </w:p>
        </w:tc>
      </w:tr>
    </w:tbl>
    <w:p w14:paraId="3D2A355E">
      <w:pPr>
        <w:snapToGrid w:val="0"/>
        <w:jc w:val="left"/>
        <w:rPr>
          <w:rFonts w:ascii="宋体" w:hAnsi="宋体"/>
          <w:color w:val="auto"/>
          <w:sz w:val="21"/>
          <w:szCs w:val="16"/>
          <w:highlight w:val="none"/>
        </w:rPr>
      </w:pPr>
      <w:r>
        <w:rPr>
          <w:rFonts w:hint="eastAsia" w:ascii="宋体" w:hAnsi="宋体"/>
          <w:color w:val="auto"/>
          <w:sz w:val="21"/>
          <w:szCs w:val="16"/>
          <w:highlight w:val="none"/>
        </w:rPr>
        <w:t>注：</w:t>
      </w:r>
    </w:p>
    <w:p w14:paraId="078AC6DA">
      <w:pPr>
        <w:snapToGrid w:val="0"/>
        <w:jc w:val="left"/>
        <w:rPr>
          <w:rFonts w:ascii="宋体" w:hAnsi="宋体"/>
          <w:color w:val="auto"/>
          <w:sz w:val="21"/>
          <w:szCs w:val="16"/>
          <w:highlight w:val="none"/>
        </w:rPr>
      </w:pPr>
      <w:r>
        <w:rPr>
          <w:rFonts w:hint="eastAsia" w:ascii="宋体" w:hAnsi="宋体"/>
          <w:color w:val="auto"/>
          <w:sz w:val="21"/>
          <w:szCs w:val="16"/>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4B15250">
      <w:pPr>
        <w:snapToGrid w:val="0"/>
        <w:jc w:val="left"/>
        <w:rPr>
          <w:rFonts w:ascii="宋体" w:hAnsi="宋体"/>
          <w:color w:val="auto"/>
          <w:sz w:val="21"/>
          <w:szCs w:val="16"/>
          <w:highlight w:val="none"/>
        </w:rPr>
      </w:pPr>
      <w:r>
        <w:rPr>
          <w:rFonts w:hint="eastAsia" w:ascii="宋体" w:hAnsi="宋体"/>
          <w:color w:val="auto"/>
          <w:sz w:val="21"/>
          <w:szCs w:val="16"/>
          <w:highlight w:val="none"/>
        </w:rPr>
        <w:t>2.本表所指的控股关系仅限于直接控股关系，不包括间接的控股关系。公司实际控制人与公司之间的关系不属于本表所指的直接控股关系。</w:t>
      </w:r>
    </w:p>
    <w:p w14:paraId="2A2BD7FA">
      <w:pPr>
        <w:snapToGrid w:val="0"/>
        <w:jc w:val="left"/>
        <w:rPr>
          <w:rFonts w:ascii="宋体" w:hAnsi="宋体"/>
          <w:color w:val="auto"/>
          <w:sz w:val="21"/>
          <w:szCs w:val="16"/>
          <w:highlight w:val="none"/>
        </w:rPr>
      </w:pPr>
      <w:r>
        <w:rPr>
          <w:rFonts w:hint="eastAsia" w:ascii="宋体" w:hAnsi="宋体"/>
          <w:color w:val="auto"/>
          <w:sz w:val="21"/>
          <w:szCs w:val="16"/>
          <w:highlight w:val="none"/>
        </w:rPr>
        <w:t>3.投标人无直接控股股东的填写：无</w:t>
      </w:r>
    </w:p>
    <w:p w14:paraId="3027DDA0">
      <w:pPr>
        <w:snapToGrid w:val="0"/>
        <w:jc w:val="left"/>
        <w:rPr>
          <w:rFonts w:ascii="宋体" w:hAnsi="宋体"/>
          <w:color w:val="auto"/>
          <w:sz w:val="21"/>
          <w:szCs w:val="16"/>
          <w:highlight w:val="none"/>
        </w:rPr>
      </w:pPr>
    </w:p>
    <w:p w14:paraId="640B6534">
      <w:pPr>
        <w:snapToGrid w:val="0"/>
        <w:jc w:val="left"/>
        <w:rPr>
          <w:rFonts w:ascii="宋体" w:hAnsi="宋体"/>
          <w:color w:val="auto"/>
          <w:sz w:val="21"/>
          <w:szCs w:val="16"/>
          <w:highlight w:val="none"/>
        </w:rPr>
      </w:pPr>
    </w:p>
    <w:p w14:paraId="63391E53">
      <w:pPr>
        <w:snapToGrid w:val="0"/>
        <w:jc w:val="left"/>
        <w:rPr>
          <w:rFonts w:ascii="宋体" w:hAnsi="宋体"/>
          <w:color w:val="auto"/>
          <w:sz w:val="21"/>
          <w:szCs w:val="16"/>
          <w:highlight w:val="none"/>
        </w:rPr>
      </w:pPr>
    </w:p>
    <w:p w14:paraId="40176BBA">
      <w:pPr>
        <w:pStyle w:val="31"/>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3B462603">
      <w:pPr>
        <w:pStyle w:val="31"/>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10F1BB00">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39D00021">
      <w:pPr>
        <w:snapToGrid w:val="0"/>
        <w:jc w:val="center"/>
        <w:rPr>
          <w:rFonts w:ascii="宋体" w:hAnsi="宋体"/>
          <w:b/>
          <w:color w:val="auto"/>
          <w:sz w:val="28"/>
          <w:szCs w:val="28"/>
          <w:highlight w:val="none"/>
        </w:rPr>
      </w:pPr>
      <w:r>
        <w:rPr>
          <w:rFonts w:ascii="宋体" w:hAnsi="宋体"/>
          <w:b/>
          <w:color w:val="auto"/>
          <w:sz w:val="22"/>
          <w:szCs w:val="22"/>
          <w:highlight w:val="none"/>
        </w:rPr>
        <w:br w:type="page"/>
      </w:r>
    </w:p>
    <w:p w14:paraId="2184DCD0">
      <w:pPr>
        <w:snapToGrid w:val="0"/>
        <w:jc w:val="center"/>
        <w:rPr>
          <w:rFonts w:ascii="宋体" w:hAnsi="宋体"/>
          <w:color w:val="auto"/>
          <w:highlight w:val="none"/>
        </w:rPr>
      </w:pPr>
      <w:r>
        <w:rPr>
          <w:rFonts w:hint="eastAsia" w:ascii="宋体" w:hAnsi="宋体"/>
          <w:b/>
          <w:color w:val="auto"/>
          <w:sz w:val="28"/>
          <w:szCs w:val="28"/>
          <w:highlight w:val="none"/>
        </w:rPr>
        <w:t>投标人直接管理关系信息表</w:t>
      </w:r>
    </w:p>
    <w:tbl>
      <w:tblPr>
        <w:tblStyle w:val="23"/>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04F64C30">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5083B19">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81DEC58">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62FB94C">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91B8D04">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5914BF3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69D0B2">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9FF57B">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1559F9">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18C5F5">
            <w:pPr>
              <w:widowControl/>
              <w:wordWrap w:val="0"/>
              <w:spacing w:line="200" w:lineRule="atLeast"/>
              <w:jc w:val="center"/>
              <w:rPr>
                <w:rFonts w:ascii="宋体" w:hAnsi="宋体" w:cs="宋体"/>
                <w:color w:val="auto"/>
                <w:sz w:val="21"/>
                <w:szCs w:val="21"/>
                <w:highlight w:val="none"/>
              </w:rPr>
            </w:pPr>
          </w:p>
        </w:tc>
      </w:tr>
      <w:tr w14:paraId="5C46630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209347">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BBD55C">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469BE1">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E64B4E">
            <w:pPr>
              <w:widowControl/>
              <w:wordWrap w:val="0"/>
              <w:spacing w:line="200" w:lineRule="atLeast"/>
              <w:jc w:val="center"/>
              <w:rPr>
                <w:rFonts w:ascii="宋体" w:hAnsi="宋体" w:cs="宋体"/>
                <w:color w:val="auto"/>
                <w:sz w:val="21"/>
                <w:szCs w:val="21"/>
                <w:highlight w:val="none"/>
              </w:rPr>
            </w:pPr>
          </w:p>
        </w:tc>
      </w:tr>
      <w:tr w14:paraId="14A3A4D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EE324B">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2D1A50">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62C43E">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A58366">
            <w:pPr>
              <w:widowControl/>
              <w:wordWrap w:val="0"/>
              <w:spacing w:line="200" w:lineRule="atLeast"/>
              <w:jc w:val="center"/>
              <w:rPr>
                <w:rFonts w:ascii="宋体" w:hAnsi="宋体" w:cs="宋体"/>
                <w:color w:val="auto"/>
                <w:sz w:val="21"/>
                <w:szCs w:val="21"/>
                <w:highlight w:val="none"/>
              </w:rPr>
            </w:pPr>
          </w:p>
        </w:tc>
      </w:tr>
      <w:tr w14:paraId="6FE0172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27292E">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152AA4">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5D7A23">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350321">
            <w:pPr>
              <w:widowControl/>
              <w:wordWrap w:val="0"/>
              <w:spacing w:line="200" w:lineRule="atLeast"/>
              <w:jc w:val="center"/>
              <w:rPr>
                <w:rFonts w:ascii="宋体" w:hAnsi="宋体" w:cs="宋体"/>
                <w:color w:val="auto"/>
                <w:sz w:val="21"/>
                <w:szCs w:val="21"/>
                <w:highlight w:val="none"/>
              </w:rPr>
            </w:pPr>
          </w:p>
        </w:tc>
      </w:tr>
    </w:tbl>
    <w:p w14:paraId="4881E8A4">
      <w:pPr>
        <w:snapToGrid w:val="0"/>
        <w:jc w:val="left"/>
        <w:rPr>
          <w:rFonts w:ascii="宋体" w:hAnsi="宋体"/>
          <w:color w:val="auto"/>
          <w:sz w:val="21"/>
          <w:szCs w:val="21"/>
          <w:highlight w:val="none"/>
        </w:rPr>
      </w:pPr>
      <w:r>
        <w:rPr>
          <w:rFonts w:hint="eastAsia" w:ascii="宋体" w:hAnsi="宋体"/>
          <w:color w:val="auto"/>
          <w:sz w:val="21"/>
          <w:szCs w:val="21"/>
          <w:highlight w:val="none"/>
        </w:rPr>
        <w:t>注：</w:t>
      </w:r>
    </w:p>
    <w:p w14:paraId="765D6AD9">
      <w:pPr>
        <w:snapToGrid w:val="0"/>
        <w:jc w:val="left"/>
        <w:rPr>
          <w:rFonts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14:paraId="1456D999">
      <w:pPr>
        <w:snapToGrid w:val="0"/>
        <w:jc w:val="left"/>
        <w:rPr>
          <w:rFonts w:ascii="宋体" w:hAnsi="宋体"/>
          <w:color w:val="auto"/>
          <w:sz w:val="21"/>
          <w:szCs w:val="21"/>
          <w:highlight w:val="none"/>
        </w:rPr>
      </w:pPr>
      <w:r>
        <w:rPr>
          <w:rFonts w:hint="eastAsia" w:ascii="宋体" w:hAnsi="宋体"/>
          <w:color w:val="auto"/>
          <w:sz w:val="21"/>
          <w:szCs w:val="21"/>
          <w:highlight w:val="none"/>
        </w:rPr>
        <w:t>2.本表所指的管理关系仅限于直接管理关系，不包括间接的管理关系。</w:t>
      </w:r>
    </w:p>
    <w:p w14:paraId="50FCAFF9">
      <w:pPr>
        <w:snapToGrid w:val="0"/>
        <w:jc w:val="left"/>
        <w:rPr>
          <w:rFonts w:ascii="宋体" w:hAnsi="宋体"/>
          <w:color w:val="auto"/>
          <w:sz w:val="21"/>
          <w:szCs w:val="21"/>
          <w:highlight w:val="none"/>
        </w:rPr>
      </w:pPr>
      <w:r>
        <w:rPr>
          <w:rFonts w:hint="eastAsia" w:ascii="宋体" w:hAnsi="宋体"/>
          <w:color w:val="auto"/>
          <w:sz w:val="21"/>
          <w:szCs w:val="21"/>
          <w:highlight w:val="none"/>
        </w:rPr>
        <w:t>3.投标人无直接管理关系的填写：无</w:t>
      </w:r>
    </w:p>
    <w:p w14:paraId="073A15DE">
      <w:pPr>
        <w:snapToGrid w:val="0"/>
        <w:jc w:val="left"/>
        <w:rPr>
          <w:rFonts w:ascii="宋体" w:hAnsi="宋体"/>
          <w:color w:val="auto"/>
          <w:highlight w:val="none"/>
        </w:rPr>
      </w:pPr>
    </w:p>
    <w:p w14:paraId="467979FF">
      <w:pPr>
        <w:snapToGrid w:val="0"/>
        <w:jc w:val="left"/>
        <w:rPr>
          <w:rFonts w:ascii="宋体" w:hAnsi="宋体"/>
          <w:color w:val="auto"/>
          <w:highlight w:val="none"/>
        </w:rPr>
      </w:pPr>
    </w:p>
    <w:p w14:paraId="4124C801">
      <w:pPr>
        <w:snapToGrid w:val="0"/>
        <w:jc w:val="left"/>
        <w:rPr>
          <w:rFonts w:ascii="宋体" w:hAnsi="宋体"/>
          <w:color w:val="auto"/>
          <w:highlight w:val="none"/>
        </w:rPr>
      </w:pPr>
    </w:p>
    <w:p w14:paraId="2563058B">
      <w:pPr>
        <w:snapToGrid w:val="0"/>
        <w:jc w:val="left"/>
        <w:rPr>
          <w:color w:val="auto"/>
          <w:highlight w:val="none"/>
        </w:rPr>
      </w:pPr>
    </w:p>
    <w:p w14:paraId="0E69A5C9">
      <w:pPr>
        <w:snapToGrid w:val="0"/>
        <w:jc w:val="left"/>
        <w:rPr>
          <w:color w:val="auto"/>
          <w:highlight w:val="none"/>
        </w:rPr>
      </w:pPr>
    </w:p>
    <w:p w14:paraId="44308F4F">
      <w:pPr>
        <w:snapToGrid w:val="0"/>
        <w:jc w:val="left"/>
        <w:rPr>
          <w:color w:val="auto"/>
          <w:highlight w:val="none"/>
        </w:rPr>
      </w:pPr>
    </w:p>
    <w:p w14:paraId="6B5EA929">
      <w:pPr>
        <w:snapToGrid w:val="0"/>
        <w:jc w:val="left"/>
        <w:rPr>
          <w:rFonts w:ascii="宋体" w:hAnsi="宋体"/>
          <w:color w:val="auto"/>
          <w:szCs w:val="21"/>
          <w:highlight w:val="none"/>
        </w:rPr>
      </w:pPr>
    </w:p>
    <w:p w14:paraId="76A4D9DB">
      <w:pPr>
        <w:pStyle w:val="31"/>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269AAD8C">
      <w:pPr>
        <w:pStyle w:val="31"/>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18F73E13">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3B5368EA">
      <w:pPr>
        <w:pStyle w:val="13"/>
        <w:spacing w:line="460" w:lineRule="exact"/>
        <w:ind w:firstLine="420"/>
        <w:rPr>
          <w:rFonts w:hint="eastAsia"/>
          <w:color w:val="auto"/>
          <w:szCs w:val="21"/>
          <w:highlight w:val="none"/>
          <w:u w:val="single"/>
        </w:rPr>
      </w:pPr>
    </w:p>
    <w:p w14:paraId="6F4FA06D">
      <w:pPr>
        <w:pStyle w:val="32"/>
        <w:rPr>
          <w:rFonts w:hint="eastAsia"/>
          <w:color w:val="auto"/>
          <w:highlight w:val="none"/>
        </w:rPr>
      </w:pPr>
    </w:p>
    <w:p w14:paraId="3BAC233E">
      <w:pPr>
        <w:pStyle w:val="31"/>
        <w:rPr>
          <w:rFonts w:hint="eastAsia"/>
          <w:color w:val="auto"/>
          <w:highlight w:val="none"/>
        </w:rPr>
      </w:pPr>
    </w:p>
    <w:p w14:paraId="06790A11">
      <w:pPr>
        <w:pStyle w:val="32"/>
        <w:rPr>
          <w:rFonts w:hint="eastAsia"/>
          <w:color w:val="auto"/>
          <w:highlight w:val="none"/>
        </w:rPr>
      </w:pPr>
    </w:p>
    <w:p w14:paraId="5E879289">
      <w:pPr>
        <w:pStyle w:val="31"/>
        <w:rPr>
          <w:rFonts w:hint="eastAsia"/>
          <w:color w:val="auto"/>
          <w:highlight w:val="none"/>
        </w:rPr>
      </w:pPr>
    </w:p>
    <w:p w14:paraId="18AFCBB6">
      <w:pPr>
        <w:pStyle w:val="32"/>
        <w:rPr>
          <w:rFonts w:hint="eastAsia"/>
          <w:color w:val="auto"/>
          <w:highlight w:val="none"/>
        </w:rPr>
      </w:pPr>
    </w:p>
    <w:p w14:paraId="6A1457AC">
      <w:pPr>
        <w:pStyle w:val="31"/>
        <w:rPr>
          <w:rFonts w:hint="eastAsia"/>
          <w:color w:val="auto"/>
          <w:highlight w:val="none"/>
        </w:rPr>
      </w:pPr>
    </w:p>
    <w:p w14:paraId="0FC65676">
      <w:pPr>
        <w:pStyle w:val="32"/>
        <w:rPr>
          <w:rFonts w:hint="eastAsia"/>
          <w:color w:val="auto"/>
          <w:highlight w:val="none"/>
        </w:rPr>
      </w:pPr>
    </w:p>
    <w:p w14:paraId="64BD0F06">
      <w:pPr>
        <w:pStyle w:val="31"/>
        <w:rPr>
          <w:rFonts w:hint="eastAsia"/>
          <w:color w:val="auto"/>
          <w:highlight w:val="none"/>
        </w:rPr>
      </w:pPr>
    </w:p>
    <w:p w14:paraId="5389D068">
      <w:pPr>
        <w:pStyle w:val="32"/>
        <w:rPr>
          <w:rFonts w:hint="eastAsia"/>
          <w:color w:val="auto"/>
          <w:highlight w:val="none"/>
        </w:rPr>
      </w:pPr>
    </w:p>
    <w:p w14:paraId="13A7574A">
      <w:pPr>
        <w:pStyle w:val="31"/>
        <w:rPr>
          <w:rFonts w:hint="eastAsia"/>
          <w:color w:val="auto"/>
          <w:highlight w:val="none"/>
        </w:rPr>
      </w:pPr>
    </w:p>
    <w:p w14:paraId="2C8D4C74">
      <w:pPr>
        <w:pStyle w:val="32"/>
        <w:rPr>
          <w:rFonts w:hint="eastAsia"/>
          <w:color w:val="auto"/>
          <w:highlight w:val="none"/>
        </w:rPr>
      </w:pPr>
    </w:p>
    <w:p w14:paraId="7B2FF0F9">
      <w:pPr>
        <w:pStyle w:val="31"/>
        <w:rPr>
          <w:rFonts w:hint="eastAsia"/>
          <w:color w:val="auto"/>
          <w:highlight w:val="none"/>
        </w:rPr>
      </w:pPr>
    </w:p>
    <w:p w14:paraId="1227F43C">
      <w:pPr>
        <w:pStyle w:val="32"/>
        <w:rPr>
          <w:rFonts w:hint="eastAsia"/>
          <w:color w:val="auto"/>
          <w:highlight w:val="none"/>
        </w:rPr>
      </w:pPr>
    </w:p>
    <w:p w14:paraId="3DA0253B">
      <w:pPr>
        <w:pStyle w:val="31"/>
        <w:rPr>
          <w:rFonts w:hint="eastAsia"/>
          <w:color w:val="auto"/>
          <w:highlight w:val="none"/>
        </w:rPr>
      </w:pPr>
    </w:p>
    <w:p w14:paraId="4A41D0B0">
      <w:pPr>
        <w:pStyle w:val="32"/>
        <w:rPr>
          <w:rFonts w:hint="eastAsia"/>
          <w:color w:val="auto"/>
          <w:highlight w:val="none"/>
        </w:rPr>
      </w:pPr>
    </w:p>
    <w:p w14:paraId="19E0B8C0">
      <w:pPr>
        <w:pStyle w:val="31"/>
        <w:rPr>
          <w:rFonts w:hint="eastAsia"/>
          <w:color w:val="auto"/>
          <w:highlight w:val="none"/>
        </w:rPr>
      </w:pPr>
    </w:p>
    <w:p w14:paraId="6329870E">
      <w:pPr>
        <w:pStyle w:val="31"/>
        <w:numPr>
          <w:ilvl w:val="0"/>
          <w:numId w:val="3"/>
        </w:numPr>
        <w:spacing w:line="360" w:lineRule="auto"/>
        <w:ind w:left="0" w:leftChars="0" w:firstLine="0" w:firstLineChars="0"/>
        <w:rPr>
          <w:rFonts w:hint="eastAsia" w:ascii="宋体" w:hAnsi="宋体" w:cs="Times New Roman"/>
          <w:b/>
          <w:color w:val="auto"/>
          <w:sz w:val="24"/>
          <w:highlight w:val="none"/>
          <w:lang w:val="en-US" w:eastAsia="zh-CN"/>
        </w:rPr>
      </w:pPr>
      <w:r>
        <w:rPr>
          <w:rFonts w:hint="eastAsia" w:ascii="宋体" w:hAnsi="宋体" w:cs="Times New Roman"/>
          <w:b/>
          <w:color w:val="auto"/>
          <w:sz w:val="24"/>
          <w:highlight w:val="none"/>
          <w:lang w:val="en-US" w:eastAsia="zh-CN"/>
        </w:rPr>
        <w:t>中小企业声明函（必须提供中小企业声明函或《政府采购促进中小企业发展管理办法 财库〔2020〕46号》要求提供的证明文件，否则响应文件按无效响应处理）。</w:t>
      </w:r>
    </w:p>
    <w:p w14:paraId="007CC8A5">
      <w:pPr>
        <w:pStyle w:val="32"/>
        <w:widowControl w:val="0"/>
        <w:numPr>
          <w:ilvl w:val="0"/>
          <w:numId w:val="0"/>
        </w:numPr>
        <w:jc w:val="both"/>
        <w:rPr>
          <w:color w:val="auto"/>
          <w:highlight w:val="none"/>
        </w:rPr>
      </w:pPr>
    </w:p>
    <w:p w14:paraId="52112B40">
      <w:pPr>
        <w:jc w:val="center"/>
        <w:rPr>
          <w:rFonts w:hint="eastAsia"/>
          <w:color w:val="auto"/>
          <w:highlight w:val="none"/>
        </w:rPr>
      </w:pPr>
    </w:p>
    <w:p w14:paraId="65CCACAB">
      <w:pPr>
        <w:spacing w:line="300" w:lineRule="exact"/>
        <w:ind w:left="422" w:hanging="422" w:hangingChars="150"/>
        <w:jc w:val="center"/>
        <w:rPr>
          <w:rFonts w:hint="eastAsia"/>
          <w:b/>
          <w:color w:val="auto"/>
          <w:sz w:val="28"/>
          <w:szCs w:val="28"/>
          <w:highlight w:val="none"/>
        </w:rPr>
      </w:pPr>
      <w:r>
        <w:rPr>
          <w:rFonts w:hint="eastAsia"/>
          <w:b/>
          <w:color w:val="auto"/>
          <w:sz w:val="28"/>
          <w:szCs w:val="28"/>
          <w:highlight w:val="none"/>
        </w:rPr>
        <w:t>中小企业声明函（工程）</w:t>
      </w:r>
    </w:p>
    <w:p w14:paraId="239BD3A6">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p>
    <w:p w14:paraId="22A9438B">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633031DB">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 xml:space="preserve">，属于 </w:t>
      </w:r>
      <w:r>
        <w:rPr>
          <w:rFonts w:hint="eastAsia"/>
          <w:color w:val="auto"/>
          <w:sz w:val="21"/>
          <w:szCs w:val="21"/>
          <w:highlight w:val="none"/>
          <w:u w:val="single"/>
        </w:rPr>
        <w:t xml:space="preserve">（采购文件中明确的所属行业） </w:t>
      </w:r>
      <w:r>
        <w:rPr>
          <w:rFonts w:hint="eastAsia"/>
          <w:color w:val="auto"/>
          <w:sz w:val="21"/>
          <w:szCs w:val="21"/>
          <w:highlight w:val="none"/>
        </w:rPr>
        <w:t>；承建（承接）企业为</w:t>
      </w:r>
      <w:r>
        <w:rPr>
          <w:rFonts w:hint="eastAsia"/>
          <w:color w:val="auto"/>
          <w:sz w:val="21"/>
          <w:szCs w:val="21"/>
          <w:highlight w:val="none"/>
          <w:u w:val="single"/>
        </w:rPr>
        <w:t xml:space="preserve"> （企业名称）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4796AF1E">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（标的名称） </w:t>
      </w:r>
      <w:r>
        <w:rPr>
          <w:rFonts w:hint="eastAsia"/>
          <w:color w:val="auto"/>
          <w:sz w:val="21"/>
          <w:szCs w:val="21"/>
          <w:highlight w:val="none"/>
        </w:rPr>
        <w:t>，属于</w:t>
      </w:r>
      <w:r>
        <w:rPr>
          <w:rFonts w:hint="eastAsia"/>
          <w:color w:val="auto"/>
          <w:sz w:val="21"/>
          <w:szCs w:val="21"/>
          <w:highlight w:val="none"/>
          <w:u w:val="single"/>
        </w:rPr>
        <w:t xml:space="preserve"> （采购文件中明确的所属行业） </w:t>
      </w:r>
      <w:r>
        <w:rPr>
          <w:rFonts w:hint="eastAsia"/>
          <w:color w:val="auto"/>
          <w:sz w:val="21"/>
          <w:szCs w:val="21"/>
          <w:highlight w:val="none"/>
        </w:rPr>
        <w:t xml:space="preserve">；承建（承接）企业为 </w:t>
      </w:r>
      <w:r>
        <w:rPr>
          <w:rFonts w:hint="eastAsia"/>
          <w:color w:val="auto"/>
          <w:sz w:val="21"/>
          <w:szCs w:val="21"/>
          <w:highlight w:val="none"/>
          <w:u w:val="single"/>
        </w:rPr>
        <w:t xml:space="preserve">（企业名称）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35AE59DC">
      <w:pPr>
        <w:pStyle w:val="19"/>
        <w:shd w:val="clear" w:color="auto" w:fill="FFFFFF"/>
        <w:spacing w:before="0" w:beforeAutospacing="0" w:after="0" w:afterAutospacing="0" w:line="460" w:lineRule="exact"/>
        <w:ind w:firstLine="539"/>
        <w:rPr>
          <w:rFonts w:hint="eastAsia"/>
          <w:color w:val="auto"/>
          <w:sz w:val="21"/>
          <w:szCs w:val="21"/>
          <w:highlight w:val="none"/>
        </w:rPr>
      </w:pPr>
      <w:r>
        <w:rPr>
          <w:rFonts w:hint="eastAsia"/>
          <w:color w:val="auto"/>
          <w:sz w:val="21"/>
          <w:szCs w:val="21"/>
          <w:highlight w:val="none"/>
        </w:rPr>
        <w:t>……</w:t>
      </w:r>
    </w:p>
    <w:p w14:paraId="39F1B4CA">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14:paraId="1C427FC2">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14:paraId="23930901">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14:paraId="644C7A78">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14:paraId="1AD18FB7">
      <w:pPr>
        <w:pStyle w:val="19"/>
        <w:shd w:val="clear" w:color="auto" w:fill="FFFFFF"/>
        <w:spacing w:before="0" w:beforeAutospacing="0" w:after="0" w:afterAutospacing="0" w:line="460" w:lineRule="exact"/>
        <w:ind w:firstLine="4560" w:firstLineChars="1900"/>
        <w:jc w:val="both"/>
        <w:rPr>
          <w:rFonts w:hint="eastAsia"/>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盖章</w:t>
      </w:r>
      <w:r>
        <w:rPr>
          <w:rFonts w:hint="eastAsia"/>
          <w:color w:val="auto"/>
          <w:sz w:val="21"/>
          <w:szCs w:val="21"/>
          <w:highlight w:val="none"/>
        </w:rPr>
        <w:t>）：</w:t>
      </w:r>
    </w:p>
    <w:p w14:paraId="2A982355">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r>
        <w:rPr>
          <w:rFonts w:hint="eastAsia"/>
          <w:color w:val="auto"/>
          <w:sz w:val="21"/>
          <w:szCs w:val="21"/>
          <w:highlight w:val="none"/>
        </w:rPr>
        <w:t>日 期：</w:t>
      </w:r>
    </w:p>
    <w:p w14:paraId="3A0D15F0">
      <w:pPr>
        <w:pStyle w:val="19"/>
        <w:shd w:val="clear" w:color="auto" w:fill="FFFFFF"/>
        <w:spacing w:before="0" w:beforeAutospacing="0" w:after="0" w:afterAutospacing="0" w:line="460" w:lineRule="exact"/>
        <w:ind w:firstLine="539"/>
        <w:rPr>
          <w:rFonts w:hint="eastAsia"/>
          <w:color w:val="auto"/>
          <w:sz w:val="21"/>
          <w:szCs w:val="21"/>
          <w:highlight w:val="none"/>
        </w:rPr>
      </w:pPr>
    </w:p>
    <w:p w14:paraId="620CA90A">
      <w:pPr>
        <w:pStyle w:val="19"/>
        <w:shd w:val="clear" w:color="auto" w:fill="FFFFFF"/>
        <w:spacing w:before="0" w:beforeAutospacing="0" w:after="0" w:afterAutospacing="0" w:line="460" w:lineRule="exact"/>
        <w:ind w:firstLine="539"/>
        <w:rPr>
          <w:rFonts w:hint="eastAsia"/>
          <w:color w:val="auto"/>
          <w:sz w:val="21"/>
          <w:szCs w:val="21"/>
          <w:highlight w:val="none"/>
        </w:rPr>
      </w:pPr>
    </w:p>
    <w:p w14:paraId="152E2056">
      <w:pPr>
        <w:pStyle w:val="19"/>
        <w:shd w:val="clear" w:color="auto" w:fill="FFFFFF"/>
        <w:spacing w:before="0" w:beforeAutospacing="0" w:after="0" w:afterAutospacing="0" w:line="460" w:lineRule="exact"/>
        <w:ind w:firstLine="539"/>
        <w:rPr>
          <w:rFonts w:hint="eastAsia"/>
          <w:color w:val="auto"/>
          <w:sz w:val="21"/>
          <w:szCs w:val="21"/>
          <w:highlight w:val="none"/>
        </w:rPr>
      </w:pPr>
    </w:p>
    <w:p w14:paraId="5F46063B">
      <w:pPr>
        <w:pStyle w:val="19"/>
        <w:shd w:val="clear" w:color="auto" w:fill="FFFFFF"/>
        <w:spacing w:before="0" w:beforeAutospacing="0" w:after="0" w:afterAutospacing="0" w:line="460" w:lineRule="exact"/>
        <w:ind w:firstLine="539"/>
        <w:rPr>
          <w:rFonts w:hint="eastAsia"/>
          <w:bCs/>
          <w:color w:val="auto"/>
          <w:sz w:val="28"/>
          <w:szCs w:val="28"/>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174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55pt;height:0.05pt;width:171.2pt;z-index:251661312;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bkNi0wAAAAYBAAAPAAAAAAAAAAEAIAAAACIAAABkcnMvZG93bnJldi54bWxQSwECFAAU&#10;AAAACACHTuJAy8HhSfYBAADmAwAADgAAAAAAAAABACAAAAAiAQAAZHJzL2Uyb0RvYy54bWxQSwUG&#10;AAAAAAYABgBZAQAAigUAAAAA&#10;">
                <v:fill on="f" focussize="0,0"/>
                <v:stroke color="#000000" joinstyle="round"/>
                <v:imagedata o:title=""/>
                <o:lock v:ext="edit" aspectratio="f"/>
              </v:line>
            </w:pict>
          </mc:Fallback>
        </mc:AlternateContent>
      </w:r>
      <w:r>
        <w:rPr>
          <w:rFonts w:hint="eastAsia"/>
          <w:color w:val="auto"/>
          <w:sz w:val="21"/>
          <w:szCs w:val="21"/>
          <w:highlight w:val="none"/>
        </w:rPr>
        <w:t>从业人员、营业收入、资产总额填报上一年度数据，无上一年度数据的新成立企业可不填报。</w:t>
      </w:r>
    </w:p>
    <w:p w14:paraId="75FB37DE">
      <w:pPr>
        <w:pStyle w:val="32"/>
        <w:rPr>
          <w:rFonts w:hint="eastAsia"/>
          <w:color w:val="auto"/>
          <w:highlight w:val="none"/>
        </w:rPr>
        <w:sectPr>
          <w:pgSz w:w="11906" w:h="16838"/>
          <w:pgMar w:top="1134" w:right="1134" w:bottom="1134" w:left="1417" w:header="851" w:footer="851" w:gutter="0"/>
          <w:pgNumType w:fmt="decimal"/>
          <w:cols w:space="720" w:num="1"/>
          <w:formProt w:val="1"/>
          <w:docGrid w:linePitch="312" w:charSpace="43007"/>
        </w:sectPr>
      </w:pPr>
    </w:p>
    <w:p w14:paraId="1F3EC603">
      <w:pPr>
        <w:rPr>
          <w:rFonts w:hint="eastAsia"/>
          <w:color w:val="auto"/>
          <w:highlight w:val="none"/>
        </w:rPr>
      </w:pPr>
    </w:p>
    <w:p w14:paraId="50523F21">
      <w:pPr>
        <w:pStyle w:val="36"/>
        <w:shd w:val="clear" w:color="auto" w:fill="FFFFFF"/>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14:paraId="6D7324EF">
      <w:pPr>
        <w:pStyle w:val="19"/>
        <w:shd w:val="clear" w:color="auto" w:fill="FFFFFF"/>
        <w:spacing w:before="0" w:beforeAutospacing="0" w:after="0" w:afterAutospacing="0" w:line="460" w:lineRule="exact"/>
        <w:ind w:firstLine="539"/>
        <w:rPr>
          <w:rFonts w:hint="eastAsia"/>
          <w:color w:val="auto"/>
          <w:highlight w:val="none"/>
        </w:rPr>
      </w:pPr>
    </w:p>
    <w:p w14:paraId="6815D664">
      <w:pPr>
        <w:pStyle w:val="19"/>
        <w:shd w:val="clear" w:color="auto" w:fill="FFFFFF"/>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7ACF5C77">
      <w:pPr>
        <w:pStyle w:val="19"/>
        <w:shd w:val="clear" w:color="auto" w:fill="FFFFFF"/>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14:paraId="1EF0733B">
      <w:pPr>
        <w:pStyle w:val="19"/>
        <w:shd w:val="clear" w:color="auto" w:fill="FFFFFF"/>
        <w:spacing w:before="0" w:beforeAutospacing="0" w:after="0" w:afterAutospacing="0" w:line="460" w:lineRule="exact"/>
        <w:ind w:firstLine="539"/>
        <w:rPr>
          <w:rFonts w:hint="eastAsia"/>
          <w:color w:val="auto"/>
          <w:sz w:val="21"/>
          <w:szCs w:val="21"/>
          <w:highlight w:val="none"/>
        </w:rPr>
      </w:pPr>
    </w:p>
    <w:p w14:paraId="5ABF7079">
      <w:pPr>
        <w:pStyle w:val="19"/>
        <w:shd w:val="clear" w:color="auto" w:fill="FFFFFF"/>
        <w:spacing w:before="0" w:beforeAutospacing="0" w:after="0" w:afterAutospacing="0" w:line="460" w:lineRule="exact"/>
        <w:ind w:firstLine="539"/>
        <w:rPr>
          <w:rFonts w:hint="eastAsia"/>
          <w:color w:val="auto"/>
          <w:sz w:val="21"/>
          <w:szCs w:val="21"/>
          <w:highlight w:val="none"/>
        </w:rPr>
      </w:pPr>
    </w:p>
    <w:p w14:paraId="4A997D2F">
      <w:pPr>
        <w:pStyle w:val="19"/>
        <w:shd w:val="clear" w:color="auto" w:fill="FFFFFF"/>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14:paraId="2B5D7D70">
      <w:pPr>
        <w:pStyle w:val="19"/>
        <w:shd w:val="clear" w:color="auto" w:fill="FFFFFF"/>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14:paraId="17CB5DA1">
      <w:pPr>
        <w:pStyle w:val="31"/>
        <w:spacing w:line="360" w:lineRule="auto"/>
        <w:rPr>
          <w:rFonts w:ascii="宋体" w:hAnsi="宋体"/>
          <w:b/>
          <w:color w:val="auto"/>
          <w:sz w:val="48"/>
          <w:szCs w:val="48"/>
          <w:highlight w:val="none"/>
        </w:rPr>
      </w:pPr>
    </w:p>
    <w:p w14:paraId="5C3448A6">
      <w:pPr>
        <w:pStyle w:val="32"/>
        <w:rPr>
          <w:rFonts w:ascii="宋体" w:hAnsi="宋体"/>
          <w:b/>
          <w:color w:val="auto"/>
          <w:sz w:val="48"/>
          <w:szCs w:val="48"/>
          <w:highlight w:val="none"/>
        </w:rPr>
      </w:pPr>
    </w:p>
    <w:p w14:paraId="414EB1E0">
      <w:pPr>
        <w:pStyle w:val="31"/>
        <w:rPr>
          <w:rFonts w:ascii="宋体" w:hAnsi="宋体"/>
          <w:b/>
          <w:color w:val="auto"/>
          <w:sz w:val="48"/>
          <w:szCs w:val="48"/>
          <w:highlight w:val="none"/>
        </w:rPr>
      </w:pPr>
    </w:p>
    <w:p w14:paraId="360A6C22">
      <w:pPr>
        <w:pStyle w:val="32"/>
        <w:rPr>
          <w:rFonts w:ascii="宋体" w:hAnsi="宋体"/>
          <w:b/>
          <w:color w:val="auto"/>
          <w:sz w:val="48"/>
          <w:szCs w:val="48"/>
          <w:highlight w:val="none"/>
        </w:rPr>
      </w:pPr>
    </w:p>
    <w:p w14:paraId="5483AF2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Theme="majorEastAsia"/>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14:paraId="06D32626">
      <w:pPr>
        <w:pStyle w:val="31"/>
        <w:rPr>
          <w:rFonts w:ascii="宋体" w:hAnsi="宋体"/>
          <w:b/>
          <w:color w:val="auto"/>
          <w:sz w:val="48"/>
          <w:szCs w:val="48"/>
          <w:highlight w:val="none"/>
        </w:rPr>
      </w:pPr>
    </w:p>
    <w:p w14:paraId="6978193D">
      <w:pPr>
        <w:pStyle w:val="32"/>
        <w:rPr>
          <w:rFonts w:ascii="宋体" w:hAnsi="宋体"/>
          <w:b/>
          <w:color w:val="auto"/>
          <w:sz w:val="48"/>
          <w:szCs w:val="48"/>
          <w:highlight w:val="none"/>
        </w:rPr>
      </w:pPr>
    </w:p>
    <w:p w14:paraId="4573570A">
      <w:pPr>
        <w:pStyle w:val="31"/>
        <w:rPr>
          <w:rFonts w:ascii="宋体" w:hAnsi="宋体"/>
          <w:b/>
          <w:color w:val="auto"/>
          <w:sz w:val="48"/>
          <w:szCs w:val="48"/>
          <w:highlight w:val="none"/>
        </w:rPr>
      </w:pPr>
    </w:p>
    <w:p w14:paraId="11394810">
      <w:pPr>
        <w:pStyle w:val="32"/>
        <w:rPr>
          <w:rFonts w:ascii="宋体" w:hAnsi="宋体"/>
          <w:b/>
          <w:color w:val="auto"/>
          <w:sz w:val="48"/>
          <w:szCs w:val="48"/>
          <w:highlight w:val="none"/>
        </w:rPr>
      </w:pPr>
    </w:p>
    <w:p w14:paraId="4607FE3E">
      <w:pPr>
        <w:pStyle w:val="31"/>
        <w:rPr>
          <w:rFonts w:ascii="宋体" w:hAnsi="宋体"/>
          <w:b/>
          <w:color w:val="auto"/>
          <w:sz w:val="48"/>
          <w:szCs w:val="48"/>
          <w:highlight w:val="none"/>
        </w:rPr>
      </w:pPr>
    </w:p>
    <w:p w14:paraId="15D3A08C">
      <w:pPr>
        <w:pStyle w:val="32"/>
        <w:rPr>
          <w:color w:val="auto"/>
        </w:rPr>
      </w:pPr>
    </w:p>
    <w:p w14:paraId="4A385E32">
      <w:pPr>
        <w:pStyle w:val="32"/>
        <w:rPr>
          <w:rFonts w:ascii="宋体" w:hAnsi="宋体"/>
          <w:b/>
          <w:color w:val="auto"/>
          <w:sz w:val="48"/>
          <w:szCs w:val="48"/>
          <w:highlight w:val="none"/>
        </w:rPr>
      </w:pPr>
    </w:p>
    <w:p w14:paraId="1E3F1E0C">
      <w:pPr>
        <w:pStyle w:val="31"/>
        <w:rPr>
          <w:color w:val="auto"/>
          <w:highlight w:val="none"/>
        </w:rPr>
      </w:pPr>
    </w:p>
    <w:p w14:paraId="4058BE79">
      <w:pPr>
        <w:pStyle w:val="32"/>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w:t>
      </w:r>
    </w:p>
    <w:p w14:paraId="508609DC">
      <w:pPr>
        <w:pStyle w:val="31"/>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14:paraId="2EE89A36">
      <w:pPr>
        <w:pStyle w:val="32"/>
        <w:rPr>
          <w:rFonts w:hint="eastAsia"/>
          <w:color w:val="auto"/>
          <w:highlight w:val="none"/>
          <w:lang w:eastAsia="zh-CN"/>
        </w:rPr>
      </w:pPr>
    </w:p>
    <w:p w14:paraId="542D4F74">
      <w:pPr>
        <w:pStyle w:val="31"/>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14:paraId="2C796A5E">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14:paraId="769B7024">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5C4FBAA">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14:paraId="11DB7242">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14:paraId="38B421EF">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14:paraId="7F8EDD6A">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14:paraId="51A04743">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6CEF10D">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四、各行业划型标准为：</w:t>
      </w:r>
    </w:p>
    <w:p w14:paraId="1F064877">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0E203522">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B1B065">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85060D7">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7FE8D45">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E620F91">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9B0FF6">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351A20">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03ADD82">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069DAE">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B0B8B2A">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A0C71ED">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73EA633">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7BA092A">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1B159D6">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43C0BA75">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14:paraId="4392D991">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14:paraId="13FDA67C">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79F3FF42">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14:paraId="7637DAB7">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14:paraId="22F5698D">
      <w:pPr>
        <w:pStyle w:val="31"/>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十、本规定自发布之日起执行，原国家经贸委、原国家计委、财政部和国家统计局2003年颁布的《中小企业标准暂行规定》同时废止。</w:t>
      </w:r>
    </w:p>
    <w:p w14:paraId="5D20BED2">
      <w:pPr>
        <w:pStyle w:val="31"/>
        <w:spacing w:line="360" w:lineRule="auto"/>
        <w:rPr>
          <w:rFonts w:hint="eastAsia" w:ascii="宋体" w:hAnsi="宋体" w:eastAsia="宋体" w:cs="宋体"/>
          <w:color w:val="auto"/>
          <w:sz w:val="21"/>
          <w:szCs w:val="21"/>
          <w:highlight w:val="none"/>
          <w:lang w:eastAsia="zh-CN"/>
        </w:rPr>
      </w:pPr>
    </w:p>
    <w:p w14:paraId="0D0A454B">
      <w:pPr>
        <w:pStyle w:val="44"/>
        <w:rPr>
          <w:color w:val="auto"/>
          <w:highlight w:val="none"/>
        </w:rPr>
      </w:pPr>
    </w:p>
    <w:p w14:paraId="3CF2D15C">
      <w:pPr>
        <w:pStyle w:val="31"/>
        <w:rPr>
          <w:color w:val="auto"/>
          <w:highlight w:val="none"/>
        </w:rPr>
      </w:pPr>
    </w:p>
    <w:p w14:paraId="21A748EB">
      <w:pPr>
        <w:pStyle w:val="32"/>
        <w:rPr>
          <w:color w:val="auto"/>
          <w:highlight w:val="none"/>
        </w:rPr>
      </w:pPr>
    </w:p>
    <w:p w14:paraId="37159D30">
      <w:pPr>
        <w:pStyle w:val="31"/>
        <w:rPr>
          <w:color w:val="auto"/>
          <w:highlight w:val="none"/>
        </w:rPr>
      </w:pPr>
    </w:p>
    <w:p w14:paraId="0146C76B">
      <w:pPr>
        <w:pStyle w:val="32"/>
        <w:rPr>
          <w:color w:val="auto"/>
          <w:highlight w:val="none"/>
        </w:rPr>
      </w:pPr>
    </w:p>
    <w:p w14:paraId="45D4650E">
      <w:pPr>
        <w:pStyle w:val="31"/>
        <w:rPr>
          <w:color w:val="auto"/>
          <w:highlight w:val="none"/>
        </w:rPr>
      </w:pPr>
    </w:p>
    <w:p w14:paraId="46143E31">
      <w:pPr>
        <w:pStyle w:val="32"/>
        <w:rPr>
          <w:color w:val="auto"/>
          <w:highlight w:val="none"/>
        </w:rPr>
      </w:pPr>
    </w:p>
    <w:p w14:paraId="6C97FAA0">
      <w:pPr>
        <w:pStyle w:val="31"/>
        <w:rPr>
          <w:color w:val="auto"/>
          <w:highlight w:val="none"/>
        </w:rPr>
      </w:pPr>
    </w:p>
    <w:p w14:paraId="1F47A152">
      <w:pPr>
        <w:pStyle w:val="32"/>
        <w:rPr>
          <w:color w:val="auto"/>
          <w:highlight w:val="none"/>
        </w:rPr>
      </w:pPr>
    </w:p>
    <w:p w14:paraId="22CF1640">
      <w:pPr>
        <w:pStyle w:val="31"/>
        <w:rPr>
          <w:color w:val="auto"/>
          <w:highlight w:val="none"/>
        </w:rPr>
      </w:pPr>
    </w:p>
    <w:p w14:paraId="621D88CD">
      <w:pPr>
        <w:pStyle w:val="32"/>
        <w:rPr>
          <w:color w:val="auto"/>
          <w:highlight w:val="none"/>
        </w:rPr>
      </w:pPr>
    </w:p>
    <w:p w14:paraId="7DD514B1">
      <w:pPr>
        <w:pStyle w:val="31"/>
        <w:rPr>
          <w:color w:val="auto"/>
          <w:highlight w:val="none"/>
        </w:rPr>
      </w:pPr>
    </w:p>
    <w:p w14:paraId="5A2B03BC">
      <w:pPr>
        <w:pStyle w:val="32"/>
        <w:rPr>
          <w:color w:val="auto"/>
          <w:highlight w:val="none"/>
        </w:rPr>
      </w:pPr>
    </w:p>
    <w:p w14:paraId="6FCCFAC0">
      <w:pPr>
        <w:pStyle w:val="31"/>
        <w:rPr>
          <w:color w:val="auto"/>
          <w:highlight w:val="none"/>
        </w:rPr>
      </w:pPr>
    </w:p>
    <w:p w14:paraId="0E1A81F4">
      <w:pPr>
        <w:pStyle w:val="32"/>
        <w:rPr>
          <w:color w:val="auto"/>
          <w:highlight w:val="none"/>
        </w:rPr>
      </w:pPr>
    </w:p>
    <w:p w14:paraId="7D2180A1">
      <w:pPr>
        <w:pStyle w:val="31"/>
        <w:rPr>
          <w:color w:val="auto"/>
          <w:highlight w:val="none"/>
        </w:rPr>
      </w:pPr>
    </w:p>
    <w:p w14:paraId="3A601374">
      <w:pPr>
        <w:pStyle w:val="32"/>
        <w:rPr>
          <w:color w:val="auto"/>
          <w:highlight w:val="none"/>
        </w:rPr>
      </w:pPr>
    </w:p>
    <w:p w14:paraId="7A0BD9E1">
      <w:pPr>
        <w:pStyle w:val="31"/>
        <w:rPr>
          <w:color w:val="auto"/>
          <w:highlight w:val="none"/>
        </w:rPr>
      </w:pPr>
    </w:p>
    <w:p w14:paraId="5E102165">
      <w:pPr>
        <w:pStyle w:val="32"/>
        <w:rPr>
          <w:color w:val="auto"/>
          <w:highlight w:val="none"/>
        </w:rPr>
      </w:pPr>
    </w:p>
    <w:p w14:paraId="56047BA2">
      <w:pPr>
        <w:pStyle w:val="31"/>
        <w:rPr>
          <w:color w:val="auto"/>
          <w:highlight w:val="none"/>
        </w:rPr>
      </w:pPr>
    </w:p>
    <w:p w14:paraId="26BEBEF7">
      <w:pPr>
        <w:pStyle w:val="32"/>
        <w:rPr>
          <w:color w:val="auto"/>
          <w:highlight w:val="none"/>
        </w:rPr>
      </w:pPr>
    </w:p>
    <w:p w14:paraId="15B50136">
      <w:pPr>
        <w:pStyle w:val="31"/>
        <w:rPr>
          <w:color w:val="auto"/>
          <w:highlight w:val="none"/>
        </w:rPr>
      </w:pPr>
    </w:p>
    <w:p w14:paraId="750AEBE6">
      <w:pPr>
        <w:pStyle w:val="32"/>
        <w:rPr>
          <w:color w:val="auto"/>
          <w:highlight w:val="none"/>
        </w:rPr>
      </w:pPr>
    </w:p>
    <w:p w14:paraId="4FA438ED">
      <w:pPr>
        <w:pStyle w:val="31"/>
        <w:rPr>
          <w:color w:val="auto"/>
          <w:highlight w:val="none"/>
        </w:rPr>
      </w:pPr>
    </w:p>
    <w:p w14:paraId="59DAC0DB">
      <w:pPr>
        <w:pStyle w:val="32"/>
        <w:rPr>
          <w:color w:val="auto"/>
          <w:highlight w:val="none"/>
        </w:rPr>
      </w:pPr>
    </w:p>
    <w:p w14:paraId="3D5DBD8A">
      <w:pPr>
        <w:pStyle w:val="31"/>
        <w:rPr>
          <w:color w:val="auto"/>
        </w:rPr>
      </w:pPr>
    </w:p>
    <w:p w14:paraId="1C9FEE00">
      <w:pPr>
        <w:pStyle w:val="32"/>
        <w:rPr>
          <w:rFonts w:ascii="宋体" w:hAnsi="宋体"/>
          <w:b/>
          <w:color w:val="auto"/>
          <w:sz w:val="48"/>
          <w:szCs w:val="48"/>
          <w:highlight w:val="none"/>
        </w:rPr>
      </w:pPr>
    </w:p>
    <w:p w14:paraId="2F8D7001">
      <w:pPr>
        <w:pStyle w:val="2"/>
        <w:spacing w:line="360" w:lineRule="auto"/>
        <w:jc w:val="center"/>
        <w:rPr>
          <w:rFonts w:ascii="宋体" w:cs="宋体"/>
          <w:color w:val="auto"/>
          <w:sz w:val="36"/>
          <w:highlight w:val="none"/>
        </w:rPr>
      </w:pPr>
      <w:bookmarkStart w:id="56" w:name="_Toc243630963"/>
      <w:bookmarkStart w:id="57" w:name="_Toc24872"/>
      <w:bookmarkStart w:id="58" w:name="_Toc24800"/>
      <w:bookmarkStart w:id="59" w:name="_Toc16635"/>
      <w:bookmarkStart w:id="60" w:name="_Toc255977446"/>
      <w:bookmarkStart w:id="61" w:name="_Toc247301841"/>
      <w:bookmarkStart w:id="62" w:name="_Toc243584363"/>
      <w:bookmarkStart w:id="63" w:name="_Toc247292448"/>
      <w:r>
        <w:rPr>
          <w:rFonts w:hint="eastAsia" w:ascii="宋体" w:hAnsi="宋体" w:cs="宋体"/>
          <w:color w:val="auto"/>
          <w:sz w:val="36"/>
          <w:highlight w:val="none"/>
        </w:rPr>
        <w:t>响应文件</w:t>
      </w:r>
      <w:r>
        <w:rPr>
          <w:rFonts w:hint="eastAsia" w:ascii="宋体" w:hAnsi="宋体" w:cs="宋体"/>
          <w:color w:val="auto"/>
          <w:sz w:val="36"/>
          <w:highlight w:val="none"/>
          <w:lang w:eastAsia="zh-CN"/>
        </w:rPr>
        <w:t>商务报价文件</w:t>
      </w:r>
      <w:r>
        <w:rPr>
          <w:rFonts w:hint="eastAsia" w:ascii="宋体" w:hAnsi="宋体" w:cs="宋体"/>
          <w:color w:val="auto"/>
          <w:sz w:val="36"/>
          <w:highlight w:val="none"/>
        </w:rPr>
        <w:t>部分</w:t>
      </w:r>
      <w:bookmarkEnd w:id="56"/>
      <w:bookmarkEnd w:id="57"/>
      <w:bookmarkEnd w:id="58"/>
      <w:bookmarkEnd w:id="59"/>
      <w:bookmarkEnd w:id="60"/>
      <w:bookmarkEnd w:id="61"/>
      <w:bookmarkEnd w:id="62"/>
      <w:bookmarkEnd w:id="63"/>
    </w:p>
    <w:p w14:paraId="7ACB7D34">
      <w:pPr>
        <w:pStyle w:val="3"/>
        <w:spacing w:line="360" w:lineRule="auto"/>
        <w:jc w:val="center"/>
        <w:rPr>
          <w:rFonts w:ascii="宋体" w:hAnsi="宋体" w:eastAsia="宋体" w:cs="宋体"/>
          <w:color w:val="auto"/>
          <w:kern w:val="0"/>
          <w:highlight w:val="none"/>
        </w:rPr>
      </w:pPr>
      <w:bookmarkStart w:id="64" w:name="_Toc27322"/>
      <w:bookmarkStart w:id="65" w:name="_Toc32493"/>
      <w:bookmarkStart w:id="66" w:name="_Toc247292449"/>
      <w:bookmarkStart w:id="67" w:name="_Toc11962"/>
      <w:bookmarkStart w:id="68" w:name="_Toc27920"/>
      <w:bookmarkStart w:id="69" w:name="_Toc255977447"/>
      <w:bookmarkStart w:id="70" w:name="_Toc247301842"/>
      <w:bookmarkStart w:id="71" w:name="_Toc2585"/>
      <w:r>
        <w:rPr>
          <w:rFonts w:hint="eastAsia" w:ascii="宋体" w:hAnsi="宋体" w:eastAsia="宋体" w:cs="宋体"/>
          <w:color w:val="auto"/>
          <w:kern w:val="0"/>
          <w:highlight w:val="none"/>
        </w:rPr>
        <w:t>封面格式</w:t>
      </w:r>
      <w:bookmarkEnd w:id="64"/>
      <w:bookmarkEnd w:id="65"/>
      <w:bookmarkEnd w:id="66"/>
      <w:bookmarkEnd w:id="67"/>
      <w:bookmarkEnd w:id="68"/>
      <w:bookmarkEnd w:id="69"/>
      <w:bookmarkEnd w:id="70"/>
      <w:bookmarkEnd w:id="71"/>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753D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6F486AAC">
            <w:pPr>
              <w:autoSpaceDE w:val="0"/>
              <w:autoSpaceDN w:val="0"/>
              <w:adjustRightInd w:val="0"/>
              <w:spacing w:line="360" w:lineRule="auto"/>
              <w:jc w:val="center"/>
              <w:outlineLvl w:val="0"/>
              <w:rPr>
                <w:rFonts w:ascii="宋体" w:cs="宋体"/>
                <w:b/>
                <w:color w:val="auto"/>
                <w:kern w:val="0"/>
                <w:sz w:val="40"/>
                <w:szCs w:val="21"/>
                <w:highlight w:val="none"/>
              </w:rPr>
            </w:pPr>
          </w:p>
          <w:p w14:paraId="75B695E5">
            <w:pPr>
              <w:autoSpaceDE w:val="0"/>
              <w:autoSpaceDN w:val="0"/>
              <w:adjustRightInd w:val="0"/>
              <w:spacing w:line="360" w:lineRule="auto"/>
              <w:jc w:val="center"/>
              <w:outlineLvl w:val="0"/>
              <w:rPr>
                <w:rFonts w:ascii="宋体" w:cs="宋体"/>
                <w:b/>
                <w:color w:val="auto"/>
                <w:kern w:val="0"/>
                <w:sz w:val="40"/>
                <w:szCs w:val="21"/>
                <w:highlight w:val="none"/>
              </w:rPr>
            </w:pPr>
          </w:p>
          <w:p w14:paraId="1204B574">
            <w:pPr>
              <w:autoSpaceDE w:val="0"/>
              <w:autoSpaceDN w:val="0"/>
              <w:adjustRightInd w:val="0"/>
              <w:spacing w:line="360" w:lineRule="auto"/>
              <w:jc w:val="center"/>
              <w:outlineLvl w:val="0"/>
              <w:rPr>
                <w:rFonts w:ascii="宋体" w:cs="宋体"/>
                <w:b/>
                <w:color w:val="auto"/>
                <w:kern w:val="0"/>
                <w:sz w:val="22"/>
                <w:szCs w:val="21"/>
                <w:highlight w:val="none"/>
              </w:rPr>
            </w:pPr>
            <w:bookmarkStart w:id="72" w:name="_Toc32370"/>
            <w:r>
              <w:rPr>
                <w:rFonts w:hint="eastAsia" w:ascii="宋体" w:hAnsi="宋体" w:cs="宋体"/>
                <w:b/>
                <w:color w:val="auto"/>
                <w:kern w:val="0"/>
                <w:sz w:val="32"/>
                <w:szCs w:val="21"/>
                <w:highlight w:val="none"/>
                <w:lang w:val="en-US" w:eastAsia="zh-CN"/>
              </w:rPr>
              <w:t>（项目名称）</w:t>
            </w:r>
            <w:bookmarkEnd w:id="72"/>
          </w:p>
          <w:p w14:paraId="7E26BA67">
            <w:pPr>
              <w:autoSpaceDE w:val="0"/>
              <w:autoSpaceDN w:val="0"/>
              <w:adjustRightInd w:val="0"/>
              <w:spacing w:line="360" w:lineRule="auto"/>
              <w:jc w:val="center"/>
              <w:outlineLvl w:val="0"/>
              <w:rPr>
                <w:rFonts w:ascii="宋体" w:cs="宋体"/>
                <w:color w:val="auto"/>
                <w:kern w:val="0"/>
                <w:sz w:val="22"/>
                <w:szCs w:val="21"/>
                <w:highlight w:val="none"/>
              </w:rPr>
            </w:pPr>
          </w:p>
          <w:p w14:paraId="182E3D4B">
            <w:pPr>
              <w:autoSpaceDE w:val="0"/>
              <w:autoSpaceDN w:val="0"/>
              <w:adjustRightInd w:val="0"/>
              <w:spacing w:line="360" w:lineRule="auto"/>
              <w:jc w:val="center"/>
              <w:outlineLvl w:val="0"/>
              <w:rPr>
                <w:rFonts w:ascii="宋体" w:cs="宋体"/>
                <w:color w:val="auto"/>
                <w:kern w:val="0"/>
                <w:sz w:val="22"/>
                <w:szCs w:val="21"/>
                <w:highlight w:val="none"/>
              </w:rPr>
            </w:pPr>
          </w:p>
          <w:p w14:paraId="43673C42">
            <w:pPr>
              <w:autoSpaceDE w:val="0"/>
              <w:autoSpaceDN w:val="0"/>
              <w:adjustRightInd w:val="0"/>
              <w:spacing w:line="360" w:lineRule="auto"/>
              <w:jc w:val="center"/>
              <w:outlineLvl w:val="0"/>
              <w:rPr>
                <w:rFonts w:ascii="宋体" w:cs="宋体"/>
                <w:b/>
                <w:color w:val="auto"/>
                <w:kern w:val="0"/>
                <w:sz w:val="56"/>
                <w:szCs w:val="21"/>
                <w:highlight w:val="none"/>
              </w:rPr>
            </w:pPr>
            <w:bookmarkStart w:id="73" w:name="_Toc6427"/>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73"/>
          </w:p>
          <w:p w14:paraId="56DE9540">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14:paraId="449D826C">
            <w:pPr>
              <w:autoSpaceDE w:val="0"/>
              <w:autoSpaceDN w:val="0"/>
              <w:adjustRightInd w:val="0"/>
              <w:spacing w:line="360" w:lineRule="auto"/>
              <w:jc w:val="center"/>
              <w:outlineLvl w:val="0"/>
              <w:rPr>
                <w:rFonts w:ascii="宋体" w:cs="宋体"/>
                <w:color w:val="auto"/>
                <w:kern w:val="0"/>
                <w:sz w:val="22"/>
                <w:szCs w:val="21"/>
                <w:highlight w:val="none"/>
              </w:rPr>
            </w:pPr>
          </w:p>
          <w:p w14:paraId="15689E6B">
            <w:pPr>
              <w:autoSpaceDE w:val="0"/>
              <w:autoSpaceDN w:val="0"/>
              <w:adjustRightInd w:val="0"/>
              <w:spacing w:line="360" w:lineRule="auto"/>
              <w:jc w:val="center"/>
              <w:outlineLvl w:val="0"/>
              <w:rPr>
                <w:rFonts w:ascii="宋体" w:cs="宋体"/>
                <w:color w:val="auto"/>
                <w:kern w:val="0"/>
                <w:sz w:val="22"/>
                <w:szCs w:val="21"/>
                <w:highlight w:val="none"/>
              </w:rPr>
            </w:pPr>
          </w:p>
          <w:p w14:paraId="70313087">
            <w:pPr>
              <w:autoSpaceDE w:val="0"/>
              <w:autoSpaceDN w:val="0"/>
              <w:adjustRightInd w:val="0"/>
              <w:spacing w:line="360" w:lineRule="auto"/>
              <w:jc w:val="center"/>
              <w:outlineLvl w:val="0"/>
              <w:rPr>
                <w:rFonts w:ascii="宋体" w:cs="宋体"/>
                <w:color w:val="auto"/>
                <w:kern w:val="0"/>
                <w:sz w:val="22"/>
                <w:szCs w:val="21"/>
                <w:highlight w:val="none"/>
              </w:rPr>
            </w:pPr>
          </w:p>
          <w:p w14:paraId="74A7D4C5">
            <w:pPr>
              <w:autoSpaceDE w:val="0"/>
              <w:autoSpaceDN w:val="0"/>
              <w:adjustRightInd w:val="0"/>
              <w:spacing w:line="360" w:lineRule="auto"/>
              <w:jc w:val="center"/>
              <w:outlineLvl w:val="0"/>
              <w:rPr>
                <w:rFonts w:ascii="宋体" w:cs="宋体"/>
                <w:color w:val="auto"/>
                <w:kern w:val="0"/>
                <w:sz w:val="22"/>
                <w:szCs w:val="21"/>
                <w:highlight w:val="none"/>
              </w:rPr>
            </w:pPr>
          </w:p>
          <w:p w14:paraId="35E13DD8">
            <w:pPr>
              <w:autoSpaceDE w:val="0"/>
              <w:autoSpaceDN w:val="0"/>
              <w:adjustRightInd w:val="0"/>
              <w:spacing w:line="360" w:lineRule="auto"/>
              <w:jc w:val="center"/>
              <w:outlineLvl w:val="0"/>
              <w:rPr>
                <w:rFonts w:ascii="宋体" w:cs="宋体"/>
                <w:color w:val="auto"/>
                <w:kern w:val="0"/>
                <w:sz w:val="22"/>
                <w:szCs w:val="21"/>
                <w:highlight w:val="none"/>
              </w:rPr>
            </w:pPr>
          </w:p>
          <w:p w14:paraId="7C766EAB">
            <w:pPr>
              <w:autoSpaceDE w:val="0"/>
              <w:autoSpaceDN w:val="0"/>
              <w:adjustRightInd w:val="0"/>
              <w:spacing w:line="360" w:lineRule="auto"/>
              <w:jc w:val="center"/>
              <w:outlineLvl w:val="0"/>
              <w:rPr>
                <w:rFonts w:ascii="宋体" w:hAnsi="宋体" w:cs="宋体"/>
                <w:color w:val="auto"/>
                <w:kern w:val="0"/>
                <w:sz w:val="22"/>
                <w:szCs w:val="21"/>
                <w:highlight w:val="none"/>
              </w:rPr>
            </w:pPr>
          </w:p>
          <w:p w14:paraId="093146CD">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4" w:name="_Toc243584368"/>
            <w:bookmarkStart w:id="75" w:name="_Toc28065"/>
            <w:r>
              <w:rPr>
                <w:rFonts w:hint="eastAsia" w:ascii="宋体" w:hAnsi="宋体" w:cs="宋体"/>
                <w:color w:val="auto"/>
                <w:kern w:val="0"/>
                <w:sz w:val="24"/>
                <w:szCs w:val="21"/>
                <w:highlight w:val="none"/>
              </w:rPr>
              <w:t>项目名称：</w:t>
            </w:r>
            <w:bookmarkEnd w:id="74"/>
            <w:bookmarkEnd w:id="75"/>
          </w:p>
          <w:p w14:paraId="06591215">
            <w:pPr>
              <w:autoSpaceDE w:val="0"/>
              <w:autoSpaceDN w:val="0"/>
              <w:adjustRightInd w:val="0"/>
              <w:spacing w:line="360" w:lineRule="auto"/>
              <w:ind w:firstLine="480" w:firstLineChars="200"/>
              <w:rPr>
                <w:rFonts w:hint="default" w:asci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lang w:eastAsia="zh-CN"/>
              </w:rPr>
              <w:t>商务</w:t>
            </w:r>
            <w:r>
              <w:rPr>
                <w:rFonts w:hint="eastAsia" w:ascii="宋体" w:hAnsi="宋体" w:cs="宋体"/>
                <w:color w:val="auto"/>
                <w:kern w:val="0"/>
                <w:sz w:val="24"/>
                <w:szCs w:val="21"/>
                <w:highlight w:val="none"/>
                <w:u w:val="single"/>
                <w:lang w:eastAsia="zh-CN"/>
              </w:rPr>
              <w:t>报价文件部分</w:t>
            </w:r>
          </w:p>
          <w:p w14:paraId="6544D3A3">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6" w:name="_Toc4027"/>
            <w:bookmarkStart w:id="77" w:name="_Toc243584369"/>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76"/>
            <w:bookmarkEnd w:id="77"/>
          </w:p>
          <w:p w14:paraId="75BAB01F">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78" w:name="_Toc243584370"/>
            <w:bookmarkStart w:id="79" w:name="_Toc25307"/>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78"/>
            <w:bookmarkEnd w:id="79"/>
          </w:p>
          <w:p w14:paraId="1834C9F9">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376DC651">
      <w:pPr>
        <w:pStyle w:val="31"/>
        <w:spacing w:line="360" w:lineRule="auto"/>
        <w:rPr>
          <w:rFonts w:ascii="宋体" w:hAnsi="宋体"/>
          <w:b/>
          <w:color w:val="auto"/>
          <w:sz w:val="28"/>
          <w:szCs w:val="28"/>
          <w:highlight w:val="none"/>
        </w:rPr>
      </w:pPr>
    </w:p>
    <w:p w14:paraId="1674980C">
      <w:pPr>
        <w:pStyle w:val="31"/>
        <w:spacing w:line="360" w:lineRule="auto"/>
        <w:rPr>
          <w:rFonts w:ascii="宋体" w:hAnsi="宋体"/>
          <w:b/>
          <w:color w:val="auto"/>
          <w:sz w:val="28"/>
          <w:szCs w:val="28"/>
          <w:highlight w:val="none"/>
        </w:rPr>
      </w:pPr>
    </w:p>
    <w:p w14:paraId="21FA7C86">
      <w:pPr>
        <w:pStyle w:val="31"/>
        <w:spacing w:line="360" w:lineRule="auto"/>
        <w:rPr>
          <w:rFonts w:ascii="宋体" w:hAnsi="宋体"/>
          <w:b/>
          <w:color w:val="auto"/>
          <w:sz w:val="28"/>
          <w:szCs w:val="28"/>
          <w:highlight w:val="none"/>
        </w:rPr>
      </w:pPr>
    </w:p>
    <w:p w14:paraId="1CBC0FE2">
      <w:pPr>
        <w:pStyle w:val="31"/>
        <w:spacing w:line="360" w:lineRule="auto"/>
        <w:rPr>
          <w:rFonts w:ascii="宋体" w:hAnsi="宋体"/>
          <w:b/>
          <w:color w:val="auto"/>
          <w:sz w:val="28"/>
          <w:szCs w:val="28"/>
          <w:highlight w:val="none"/>
        </w:rPr>
      </w:pPr>
    </w:p>
    <w:p w14:paraId="7A892B69">
      <w:pPr>
        <w:pStyle w:val="31"/>
        <w:spacing w:line="360" w:lineRule="auto"/>
        <w:rPr>
          <w:rFonts w:ascii="宋体" w:hAnsi="宋体"/>
          <w:b/>
          <w:color w:val="auto"/>
          <w:sz w:val="28"/>
          <w:szCs w:val="28"/>
          <w:highlight w:val="none"/>
        </w:rPr>
      </w:pPr>
    </w:p>
    <w:p w14:paraId="644CEA83">
      <w:pPr>
        <w:pStyle w:val="31"/>
        <w:spacing w:line="360" w:lineRule="auto"/>
        <w:rPr>
          <w:rFonts w:ascii="宋体" w:hAnsi="宋体"/>
          <w:b/>
          <w:color w:val="auto"/>
          <w:sz w:val="28"/>
          <w:szCs w:val="28"/>
          <w:highlight w:val="none"/>
        </w:rPr>
      </w:pPr>
    </w:p>
    <w:p w14:paraId="76F39B3E">
      <w:pPr>
        <w:pStyle w:val="31"/>
        <w:spacing w:line="360" w:lineRule="auto"/>
        <w:rPr>
          <w:rFonts w:ascii="宋体" w:hAnsi="宋体"/>
          <w:b/>
          <w:color w:val="auto"/>
          <w:sz w:val="28"/>
          <w:szCs w:val="28"/>
          <w:highlight w:val="none"/>
        </w:rPr>
      </w:pPr>
    </w:p>
    <w:p w14:paraId="57600740">
      <w:pPr>
        <w:pStyle w:val="31"/>
        <w:spacing w:line="360" w:lineRule="auto"/>
        <w:rPr>
          <w:rFonts w:ascii="宋体" w:hAnsi="宋体"/>
          <w:b/>
          <w:color w:val="auto"/>
          <w:sz w:val="28"/>
          <w:szCs w:val="28"/>
          <w:highlight w:val="none"/>
        </w:rPr>
      </w:pPr>
    </w:p>
    <w:p w14:paraId="6CB5D9E6">
      <w:pPr>
        <w:pStyle w:val="31"/>
        <w:spacing w:line="360" w:lineRule="auto"/>
        <w:rPr>
          <w:rFonts w:ascii="宋体" w:hAnsi="宋体"/>
          <w:b/>
          <w:color w:val="auto"/>
          <w:sz w:val="28"/>
          <w:szCs w:val="28"/>
          <w:highlight w:val="none"/>
        </w:rPr>
      </w:pPr>
    </w:p>
    <w:p w14:paraId="2F5A6B4D">
      <w:pPr>
        <w:pStyle w:val="31"/>
        <w:spacing w:line="360" w:lineRule="auto"/>
        <w:rPr>
          <w:rFonts w:ascii="宋体" w:hAnsi="宋体"/>
          <w:b/>
          <w:color w:val="auto"/>
          <w:sz w:val="28"/>
          <w:szCs w:val="28"/>
          <w:highlight w:val="none"/>
        </w:rPr>
      </w:pPr>
    </w:p>
    <w:p w14:paraId="256BEBC2">
      <w:pPr>
        <w:pStyle w:val="31"/>
        <w:spacing w:line="360" w:lineRule="auto"/>
        <w:rPr>
          <w:rFonts w:ascii="宋体" w:hAnsi="宋体"/>
          <w:b/>
          <w:color w:val="auto"/>
          <w:sz w:val="28"/>
          <w:szCs w:val="28"/>
          <w:highlight w:val="none"/>
        </w:rPr>
      </w:pPr>
    </w:p>
    <w:p w14:paraId="5509F9DE">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3A66ACDE">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18BB3CB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5020E7E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14:paraId="5B05201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B60622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ascii="宋体" w:hAnsi="宋体"/>
          <w:color w:val="auto"/>
          <w:szCs w:val="21"/>
          <w:highlight w:val="none"/>
        </w:rPr>
        <w:t>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44D2900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751127A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77A901E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12C4101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6E4EA899">
      <w:pPr>
        <w:pStyle w:val="32"/>
        <w:rPr>
          <w:color w:val="auto"/>
          <w:highlight w:val="none"/>
        </w:rPr>
      </w:pPr>
    </w:p>
    <w:p w14:paraId="6717BE3A">
      <w:pPr>
        <w:pStyle w:val="31"/>
        <w:spacing w:line="360" w:lineRule="auto"/>
        <w:rPr>
          <w:rFonts w:hint="eastAsia" w:ascii="宋体" w:hAnsi="宋体"/>
          <w:color w:val="auto"/>
          <w:szCs w:val="21"/>
          <w:highlight w:val="none"/>
        </w:rPr>
      </w:pPr>
    </w:p>
    <w:p w14:paraId="3C0120D3">
      <w:pPr>
        <w:pStyle w:val="32"/>
        <w:rPr>
          <w:color w:val="auto"/>
          <w:highlight w:val="none"/>
        </w:rPr>
      </w:pPr>
    </w:p>
    <w:p w14:paraId="648CD901">
      <w:pPr>
        <w:pStyle w:val="31"/>
        <w:spacing w:line="360" w:lineRule="auto"/>
        <w:rPr>
          <w:rFonts w:ascii="宋体" w:hAnsi="宋体"/>
          <w:b/>
          <w:color w:val="auto"/>
          <w:sz w:val="28"/>
          <w:szCs w:val="28"/>
          <w:highlight w:val="none"/>
        </w:rPr>
      </w:pPr>
    </w:p>
    <w:p w14:paraId="1B314C99">
      <w:pPr>
        <w:pStyle w:val="31"/>
        <w:spacing w:line="360" w:lineRule="auto"/>
        <w:jc w:val="left"/>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553092B3">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1、</w:t>
      </w:r>
      <w:r>
        <w:rPr>
          <w:rFonts w:ascii="宋体" w:hAnsi="宋体"/>
          <w:b/>
          <w:color w:val="auto"/>
          <w:sz w:val="24"/>
          <w:highlight w:val="none"/>
        </w:rPr>
        <w:t>法定代表人身份证明书，须附上法定代表人身份证复印件</w:t>
      </w:r>
    </w:p>
    <w:p w14:paraId="7CC1C175">
      <w:pPr>
        <w:pStyle w:val="31"/>
        <w:snapToGrid w:val="0"/>
        <w:spacing w:line="360" w:lineRule="auto"/>
        <w:jc w:val="center"/>
        <w:rPr>
          <w:rFonts w:ascii="宋体" w:hAnsi="宋体"/>
          <w:b/>
          <w:color w:val="auto"/>
          <w:sz w:val="24"/>
          <w:highlight w:val="none"/>
        </w:rPr>
      </w:pPr>
    </w:p>
    <w:p w14:paraId="291906E9">
      <w:pPr>
        <w:pStyle w:val="31"/>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14:paraId="1FCD00D2">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14:paraId="64CA41ED">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14:paraId="5DEEB6B2">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14:paraId="37DA6501">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14:paraId="7164ED1C">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14:paraId="27ACE1DF">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14:paraId="256A7374">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（磋商单位名称）</w:t>
      </w:r>
      <w:r>
        <w:rPr>
          <w:rFonts w:hint="eastAsia" w:ascii="宋体" w:hAnsi="宋体" w:cs="宋体"/>
          <w:color w:val="auto"/>
          <w:kern w:val="0"/>
          <w:sz w:val="21"/>
          <w:szCs w:val="21"/>
          <w:highlight w:val="none"/>
        </w:rPr>
        <w:t>的法定代表人。</w:t>
      </w:r>
    </w:p>
    <w:p w14:paraId="393E0369">
      <w:pPr>
        <w:autoSpaceDE w:val="0"/>
        <w:autoSpaceDN w:val="0"/>
        <w:adjustRightInd w:val="0"/>
        <w:spacing w:line="480" w:lineRule="auto"/>
        <w:rPr>
          <w:rFonts w:ascii="宋体" w:cs="宋体"/>
          <w:color w:val="auto"/>
          <w:kern w:val="0"/>
          <w:sz w:val="21"/>
          <w:szCs w:val="21"/>
          <w:highlight w:val="none"/>
        </w:rPr>
      </w:pPr>
    </w:p>
    <w:p w14:paraId="321E6475">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14:paraId="436B6C03">
      <w:pPr>
        <w:autoSpaceDE w:val="0"/>
        <w:autoSpaceDN w:val="0"/>
        <w:adjustRightInd w:val="0"/>
        <w:spacing w:line="360" w:lineRule="auto"/>
        <w:jc w:val="left"/>
        <w:outlineLvl w:val="0"/>
        <w:rPr>
          <w:rFonts w:ascii="宋体" w:cs="宋体"/>
          <w:color w:val="auto"/>
          <w:kern w:val="0"/>
          <w:sz w:val="21"/>
          <w:szCs w:val="21"/>
          <w:highlight w:val="none"/>
          <w:u w:val="single"/>
        </w:rPr>
      </w:pPr>
      <w:r>
        <w:rPr>
          <w:rFonts w:hint="eastAsia" w:ascii="宋体" w:hAnsi="宋体" w:cs="宋体"/>
          <w:color w:val="auto"/>
          <w:kern w:val="0"/>
          <w:sz w:val="21"/>
          <w:szCs w:val="21"/>
          <w:highlight w:val="none"/>
        </w:rPr>
        <w:t>磋商单位</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p>
    <w:p w14:paraId="6BCAC9EA">
      <w:pPr>
        <w:autoSpaceDE w:val="0"/>
        <w:autoSpaceDN w:val="0"/>
        <w:adjustRightInd w:val="0"/>
        <w:spacing w:line="360" w:lineRule="auto"/>
        <w:jc w:val="left"/>
        <w:rPr>
          <w:rFonts w:ascii="宋体" w:cs="宋体"/>
          <w:color w:val="auto"/>
          <w:kern w:val="0"/>
          <w:sz w:val="21"/>
          <w:szCs w:val="21"/>
          <w:highlight w:val="none"/>
        </w:rPr>
      </w:pPr>
    </w:p>
    <w:p w14:paraId="406475B9">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14:paraId="319F658B">
      <w:pPr>
        <w:autoSpaceDE w:val="0"/>
        <w:autoSpaceDN w:val="0"/>
        <w:adjustRightInd w:val="0"/>
        <w:spacing w:line="360" w:lineRule="auto"/>
        <w:jc w:val="left"/>
        <w:rPr>
          <w:rFonts w:ascii="宋体" w:cs="宋体"/>
          <w:color w:val="auto"/>
          <w:kern w:val="0"/>
          <w:sz w:val="21"/>
          <w:szCs w:val="21"/>
          <w:highlight w:val="none"/>
        </w:rPr>
      </w:pPr>
    </w:p>
    <w:p w14:paraId="4731A5A8">
      <w:pPr>
        <w:autoSpaceDE w:val="0"/>
        <w:autoSpaceDN w:val="0"/>
        <w:adjustRightInd w:val="0"/>
        <w:spacing w:line="360" w:lineRule="auto"/>
        <w:jc w:val="left"/>
        <w:rPr>
          <w:rFonts w:ascii="宋体" w:cs="宋体"/>
          <w:color w:val="auto"/>
          <w:kern w:val="0"/>
          <w:sz w:val="21"/>
          <w:szCs w:val="21"/>
          <w:highlight w:val="none"/>
        </w:rPr>
      </w:pPr>
    </w:p>
    <w:p w14:paraId="0F559635">
      <w:pP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附：法定代表人身份证正反面复印件及营业执照复印件</w:t>
      </w:r>
    </w:p>
    <w:p w14:paraId="0017C91E">
      <w:pPr>
        <w:pStyle w:val="31"/>
        <w:spacing w:line="360" w:lineRule="auto"/>
        <w:ind w:right="97"/>
        <w:rPr>
          <w:rFonts w:ascii="宋体" w:hAnsi="宋体" w:cs="宋体"/>
          <w:color w:val="auto"/>
          <w:sz w:val="21"/>
          <w:szCs w:val="21"/>
          <w:highlight w:val="none"/>
        </w:rPr>
      </w:pPr>
    </w:p>
    <w:p w14:paraId="061882F3">
      <w:pPr>
        <w:pStyle w:val="31"/>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14:paraId="024ABBC0">
      <w:pPr>
        <w:pStyle w:val="31"/>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14:paraId="62D254BB">
      <w:pPr>
        <w:pStyle w:val="31"/>
        <w:spacing w:line="360" w:lineRule="auto"/>
        <w:rPr>
          <w:rFonts w:ascii="宋体" w:hAnsi="宋体"/>
          <w:b/>
          <w:color w:val="auto"/>
          <w:sz w:val="28"/>
          <w:szCs w:val="28"/>
          <w:highlight w:val="none"/>
        </w:rPr>
      </w:pPr>
    </w:p>
    <w:p w14:paraId="7869A461">
      <w:pPr>
        <w:pStyle w:val="28"/>
        <w:rPr>
          <w:rFonts w:ascii="宋体" w:hAnsi="宋体" w:cs="宋体"/>
          <w:color w:val="auto"/>
          <w:sz w:val="36"/>
          <w:highlight w:val="none"/>
        </w:rPr>
      </w:pPr>
    </w:p>
    <w:p w14:paraId="54F908CD">
      <w:pPr>
        <w:rPr>
          <w:rFonts w:ascii="宋体" w:hAnsi="宋体" w:cs="宋体"/>
          <w:color w:val="auto"/>
          <w:sz w:val="36"/>
          <w:highlight w:val="none"/>
        </w:rPr>
      </w:pPr>
    </w:p>
    <w:p w14:paraId="22373157">
      <w:pPr>
        <w:rPr>
          <w:rFonts w:ascii="宋体" w:hAnsi="宋体" w:cs="宋体"/>
          <w:color w:val="auto"/>
          <w:sz w:val="36"/>
          <w:highlight w:val="none"/>
        </w:rPr>
      </w:pPr>
    </w:p>
    <w:p w14:paraId="675CDD63">
      <w:pPr>
        <w:rPr>
          <w:rFonts w:ascii="宋体" w:hAnsi="宋体" w:cs="宋体"/>
          <w:color w:val="auto"/>
          <w:sz w:val="36"/>
          <w:highlight w:val="none"/>
        </w:rPr>
      </w:pPr>
    </w:p>
    <w:p w14:paraId="00FF51D1">
      <w:pPr>
        <w:rPr>
          <w:rFonts w:ascii="宋体" w:hAnsi="宋体" w:cs="宋体"/>
          <w:color w:val="auto"/>
          <w:sz w:val="36"/>
          <w:highlight w:val="none"/>
        </w:rPr>
      </w:pPr>
    </w:p>
    <w:p w14:paraId="41C2F177">
      <w:pPr>
        <w:pStyle w:val="10"/>
        <w:rPr>
          <w:rFonts w:ascii="宋体" w:hAnsi="宋体" w:cs="宋体"/>
          <w:color w:val="auto"/>
          <w:sz w:val="36"/>
          <w:highlight w:val="none"/>
        </w:rPr>
      </w:pPr>
    </w:p>
    <w:p w14:paraId="7DC08332">
      <w:pPr>
        <w:rPr>
          <w:rFonts w:ascii="宋体" w:hAnsi="宋体" w:cs="宋体"/>
          <w:color w:val="auto"/>
          <w:sz w:val="36"/>
          <w:highlight w:val="none"/>
        </w:rPr>
      </w:pPr>
    </w:p>
    <w:p w14:paraId="26BCD744">
      <w:pPr>
        <w:pStyle w:val="10"/>
        <w:rPr>
          <w:color w:val="auto"/>
        </w:rPr>
      </w:pPr>
    </w:p>
    <w:p w14:paraId="0934CBA4">
      <w:pPr>
        <w:rPr>
          <w:rFonts w:ascii="宋体" w:hAnsi="宋体" w:cs="宋体"/>
          <w:color w:val="auto"/>
          <w:sz w:val="36"/>
          <w:highlight w:val="none"/>
        </w:rPr>
      </w:pPr>
    </w:p>
    <w:p w14:paraId="4E875BA3">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授权委托书及代理人身份证复印件</w:t>
      </w:r>
    </w:p>
    <w:p w14:paraId="114A38CD">
      <w:pPr>
        <w:pStyle w:val="31"/>
        <w:snapToGrid w:val="0"/>
        <w:spacing w:line="360" w:lineRule="auto"/>
        <w:jc w:val="center"/>
        <w:rPr>
          <w:rFonts w:ascii="宋体" w:hAnsi="宋体"/>
          <w:b/>
          <w:color w:val="auto"/>
          <w:sz w:val="24"/>
          <w:highlight w:val="none"/>
        </w:rPr>
      </w:pPr>
    </w:p>
    <w:p w14:paraId="61EC9BAC">
      <w:pPr>
        <w:pStyle w:val="32"/>
        <w:rPr>
          <w:color w:val="auto"/>
        </w:rPr>
      </w:pPr>
    </w:p>
    <w:p w14:paraId="305984DB">
      <w:pPr>
        <w:pStyle w:val="31"/>
        <w:snapToGrid w:val="0"/>
        <w:spacing w:line="360" w:lineRule="auto"/>
        <w:jc w:val="center"/>
        <w:rPr>
          <w:rFonts w:ascii="宋体" w:hAnsi="宋体"/>
          <w:b/>
          <w:color w:val="auto"/>
          <w:sz w:val="24"/>
          <w:highlight w:val="none"/>
        </w:rPr>
      </w:pPr>
      <w:r>
        <w:rPr>
          <w:rFonts w:hint="eastAsia" w:ascii="宋体" w:hAnsi="宋体"/>
          <w:b/>
          <w:color w:val="auto"/>
          <w:sz w:val="24"/>
          <w:highlight w:val="none"/>
          <w:lang w:val="en-US" w:eastAsia="zh-CN"/>
        </w:rPr>
        <w:t>法定代表人</w:t>
      </w:r>
      <w:r>
        <w:rPr>
          <w:rFonts w:ascii="宋体" w:hAnsi="宋体"/>
          <w:b/>
          <w:color w:val="auto"/>
          <w:sz w:val="24"/>
          <w:highlight w:val="none"/>
        </w:rPr>
        <w:t>授权委托书</w:t>
      </w:r>
    </w:p>
    <w:p w14:paraId="79038C79">
      <w:pPr>
        <w:pStyle w:val="31"/>
        <w:snapToGrid w:val="0"/>
        <w:spacing w:line="360" w:lineRule="auto"/>
        <w:rPr>
          <w:rFonts w:ascii="宋体" w:hAnsi="宋体"/>
          <w:color w:val="auto"/>
          <w:sz w:val="28"/>
          <w:szCs w:val="28"/>
          <w:highlight w:val="none"/>
        </w:rPr>
      </w:pPr>
    </w:p>
    <w:p w14:paraId="193AFCC7">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（磋商单位名称）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14:paraId="7DA4F62E">
      <w:pPr>
        <w:autoSpaceDE w:val="0"/>
        <w:autoSpaceDN w:val="0"/>
        <w:adjustRightInd w:val="0"/>
        <w:spacing w:line="600" w:lineRule="auto"/>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14:paraId="5D2919BD">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代理人无转委权。特此授权。</w:t>
      </w:r>
    </w:p>
    <w:p w14:paraId="297ACF75">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14:paraId="03FA59F2">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14:paraId="50E5FC65">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磋商单位</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15A97E11">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5FF6F791">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3AFA93BD">
      <w:pPr>
        <w:pStyle w:val="31"/>
        <w:autoSpaceDE w:val="0"/>
        <w:autoSpaceDN w:val="0"/>
        <w:spacing w:line="360" w:lineRule="auto"/>
        <w:ind w:left="480" w:hanging="480"/>
        <w:rPr>
          <w:rFonts w:ascii="宋体" w:hAnsi="宋体"/>
          <w:color w:val="auto"/>
          <w:szCs w:val="21"/>
          <w:highlight w:val="none"/>
        </w:rPr>
      </w:pPr>
    </w:p>
    <w:p w14:paraId="1CD6BD72">
      <w:pPr>
        <w:pStyle w:val="31"/>
        <w:spacing w:line="360" w:lineRule="auto"/>
        <w:rPr>
          <w:rFonts w:ascii="宋体" w:hAnsi="宋体"/>
          <w:b/>
          <w:color w:val="auto"/>
          <w:sz w:val="24"/>
          <w:highlight w:val="none"/>
        </w:rPr>
      </w:pPr>
      <w:r>
        <w:rPr>
          <w:rFonts w:ascii="宋体" w:hAnsi="宋体"/>
          <w:b/>
          <w:color w:val="auto"/>
          <w:sz w:val="24"/>
          <w:highlight w:val="none"/>
        </w:rPr>
        <w:t>附：代理人身份证复印件</w:t>
      </w:r>
    </w:p>
    <w:p w14:paraId="0EB9F981">
      <w:pPr>
        <w:rPr>
          <w:rFonts w:ascii="宋体" w:hAnsi="宋体" w:cs="宋体"/>
          <w:color w:val="auto"/>
          <w:sz w:val="36"/>
          <w:highlight w:val="none"/>
        </w:rPr>
      </w:pPr>
    </w:p>
    <w:p w14:paraId="46197DCC">
      <w:pPr>
        <w:rPr>
          <w:rFonts w:ascii="宋体" w:hAnsi="宋体" w:cs="宋体"/>
          <w:color w:val="auto"/>
          <w:sz w:val="36"/>
          <w:highlight w:val="none"/>
        </w:rPr>
      </w:pPr>
    </w:p>
    <w:p w14:paraId="223036E7">
      <w:pPr>
        <w:rPr>
          <w:rFonts w:ascii="宋体" w:hAnsi="宋体" w:cs="宋体"/>
          <w:color w:val="auto"/>
          <w:sz w:val="36"/>
          <w:highlight w:val="none"/>
        </w:rPr>
      </w:pPr>
    </w:p>
    <w:p w14:paraId="5F4E38FA">
      <w:pPr>
        <w:rPr>
          <w:rFonts w:ascii="宋体" w:hAnsi="宋体" w:cs="宋体"/>
          <w:color w:val="auto"/>
          <w:sz w:val="36"/>
          <w:highlight w:val="none"/>
        </w:rPr>
      </w:pPr>
    </w:p>
    <w:p w14:paraId="431CCDE7">
      <w:pPr>
        <w:rPr>
          <w:rFonts w:ascii="宋体" w:hAnsi="宋体" w:cs="宋体"/>
          <w:color w:val="auto"/>
          <w:sz w:val="36"/>
          <w:highlight w:val="none"/>
        </w:rPr>
      </w:pPr>
    </w:p>
    <w:p w14:paraId="0BC047D1">
      <w:pPr>
        <w:rPr>
          <w:rFonts w:ascii="宋体" w:hAnsi="宋体" w:cs="宋体"/>
          <w:color w:val="auto"/>
          <w:sz w:val="36"/>
          <w:highlight w:val="none"/>
        </w:rPr>
      </w:pPr>
    </w:p>
    <w:p w14:paraId="281BC437">
      <w:pPr>
        <w:rPr>
          <w:rFonts w:ascii="宋体" w:hAnsi="宋体" w:cs="宋体"/>
          <w:color w:val="auto"/>
          <w:sz w:val="36"/>
          <w:highlight w:val="none"/>
        </w:rPr>
      </w:pPr>
    </w:p>
    <w:p w14:paraId="4595FB3B">
      <w:pPr>
        <w:pStyle w:val="10"/>
        <w:rPr>
          <w:color w:val="auto"/>
        </w:rPr>
      </w:pPr>
    </w:p>
    <w:p w14:paraId="176FCC87">
      <w:pPr>
        <w:rPr>
          <w:rFonts w:ascii="宋体" w:hAnsi="宋体" w:cs="宋体"/>
          <w:color w:val="auto"/>
          <w:sz w:val="36"/>
          <w:highlight w:val="none"/>
        </w:rPr>
      </w:pPr>
    </w:p>
    <w:p w14:paraId="6986D2C2">
      <w:pPr>
        <w:pStyle w:val="31"/>
        <w:numPr>
          <w:ilvl w:val="0"/>
          <w:numId w:val="0"/>
        </w:numPr>
        <w:spacing w:line="360" w:lineRule="auto"/>
        <w:ind w:leftChars="0"/>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3、无虚假应标、串通竞标行为的承诺函;（必须提供）</w:t>
      </w:r>
    </w:p>
    <w:p w14:paraId="5DEE8A30">
      <w:pPr>
        <w:pStyle w:val="32"/>
        <w:numPr>
          <w:ilvl w:val="0"/>
          <w:numId w:val="0"/>
        </w:numPr>
        <w:ind w:leftChars="0"/>
        <w:rPr>
          <w:rFonts w:hint="eastAsia"/>
          <w:color w:val="auto"/>
          <w:highlight w:val="none"/>
          <w:lang w:val="en-US" w:eastAsia="zh-CN"/>
        </w:rPr>
      </w:pPr>
    </w:p>
    <w:p w14:paraId="2B466136">
      <w:pPr>
        <w:pStyle w:val="31"/>
        <w:spacing w:line="360" w:lineRule="auto"/>
        <w:rPr>
          <w:rFonts w:ascii="宋体" w:hAnsi="宋体" w:cs="仿宋_GB2312"/>
          <w:b/>
          <w:bCs/>
          <w:color w:val="auto"/>
          <w:sz w:val="21"/>
          <w:szCs w:val="21"/>
          <w:highlight w:val="none"/>
        </w:rPr>
      </w:pPr>
      <w:r>
        <w:rPr>
          <w:rFonts w:ascii="宋体" w:hAnsi="宋体" w:cs="宋体"/>
          <w:b/>
          <w:bCs/>
          <w:color w:val="auto"/>
          <w:sz w:val="21"/>
          <w:szCs w:val="21"/>
          <w:highlight w:val="none"/>
        </w:rPr>
        <w:t>一、我公司承诺如有虚假应标行为的，我方愿意承担一切后果，并不再寻求任何旨在减轻或者免除法律责任的辩解。</w:t>
      </w:r>
    </w:p>
    <w:p w14:paraId="081874F3">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二、我公司承诺无下列相互串通竞标的情形：</w:t>
      </w:r>
    </w:p>
    <w:p w14:paraId="6C298ECB">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1.不同供应商的响应文件由同一单位或者个人编制；或者不同供应商报名的IP地址一致的；</w:t>
      </w:r>
    </w:p>
    <w:p w14:paraId="09031D37">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2.不同供应商委托同一单位或者个人办理竞标事宜；</w:t>
      </w:r>
    </w:p>
    <w:p w14:paraId="3AE1A6DB">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3.不同的供应商的响应文件载明的项目管理员或者联系人员为同一个人；</w:t>
      </w:r>
    </w:p>
    <w:p w14:paraId="1036BFF0">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4.不</w:t>
      </w:r>
      <w:r>
        <w:rPr>
          <w:rFonts w:ascii="宋体" w:hAnsi="宋体" w:cs="仿宋_GB2312"/>
          <w:color w:val="auto"/>
          <w:spacing w:val="-6"/>
          <w:sz w:val="21"/>
          <w:szCs w:val="21"/>
          <w:highlight w:val="none"/>
        </w:rPr>
        <w:t>同供应商的响应文件异常一致或者竞标报价呈规律性差异；</w:t>
      </w:r>
    </w:p>
    <w:p w14:paraId="648BC77F">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5.不同供应商的响应文件相互混装。</w:t>
      </w:r>
    </w:p>
    <w:p w14:paraId="63AAB772">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三、我公司承诺无下列恶意串通的情形：</w:t>
      </w:r>
    </w:p>
    <w:p w14:paraId="1A5102BC">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1.供应商直接或者间接从采购人或者采购代理机构处获得其他供应商的相关信息并修改其响应文件；</w:t>
      </w:r>
    </w:p>
    <w:p w14:paraId="24A8DAC9">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2.供应商按照采购人或者采购代理机构的授意撤换、修改响应文件；</w:t>
      </w:r>
    </w:p>
    <w:p w14:paraId="5E13826F">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3.供</w:t>
      </w:r>
      <w:r>
        <w:rPr>
          <w:rFonts w:ascii="宋体" w:hAnsi="宋体" w:cs="仿宋_GB2312"/>
          <w:color w:val="auto"/>
          <w:spacing w:val="-6"/>
          <w:sz w:val="21"/>
          <w:szCs w:val="21"/>
          <w:highlight w:val="none"/>
        </w:rPr>
        <w:t>应商之间协商报价、技术方案等响应文件的实质性内容；</w:t>
      </w:r>
    </w:p>
    <w:p w14:paraId="5095F066">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4.属于同一集团、协会、商会等组织成员的供应商按照该组织要求协同参加采购活动；</w:t>
      </w:r>
    </w:p>
    <w:p w14:paraId="1092D649">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14:paraId="52BCD96B">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6.供应商之间商定部分供应商放弃参加采购活动或者放弃成交；</w:t>
      </w:r>
    </w:p>
    <w:p w14:paraId="2AAC15E2">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7.供应商与采购人或者采购代理机构之间、供应商相互之间，为</w:t>
      </w:r>
      <w:r>
        <w:rPr>
          <w:rFonts w:ascii="宋体" w:hAnsi="宋体" w:cs="仿宋_GB2312"/>
          <w:color w:val="auto"/>
          <w:spacing w:val="-6"/>
          <w:sz w:val="21"/>
          <w:szCs w:val="21"/>
          <w:highlight w:val="none"/>
        </w:rPr>
        <w:t>谋求特定供应商成交或者排斥其他供应商的其他串通行为。</w:t>
      </w:r>
    </w:p>
    <w:p w14:paraId="7EFC0A03">
      <w:pPr>
        <w:pStyle w:val="31"/>
        <w:spacing w:line="360" w:lineRule="auto"/>
        <w:rPr>
          <w:rFonts w:ascii="宋体" w:hAnsi="宋体" w:cs="仿宋_GB2312"/>
          <w:color w:val="auto"/>
          <w:sz w:val="21"/>
          <w:szCs w:val="21"/>
          <w:highlight w:val="none"/>
        </w:rPr>
      </w:pPr>
    </w:p>
    <w:p w14:paraId="228170FD">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以上情形一经核查属实，我方愿意承担一切后果，并不再寻求任何旨在减轻或者免除法律责任的辩解。</w:t>
      </w:r>
    </w:p>
    <w:p w14:paraId="6407D770">
      <w:pPr>
        <w:pStyle w:val="31"/>
        <w:spacing w:line="360" w:lineRule="auto"/>
        <w:rPr>
          <w:rFonts w:ascii="宋体" w:hAnsi="宋体" w:cs="仿宋_GB2312"/>
          <w:color w:val="auto"/>
          <w:sz w:val="21"/>
          <w:szCs w:val="21"/>
          <w:highlight w:val="none"/>
        </w:rPr>
      </w:pPr>
    </w:p>
    <w:p w14:paraId="6E269590">
      <w:pPr>
        <w:pStyle w:val="31"/>
        <w:spacing w:line="360" w:lineRule="auto"/>
        <w:rPr>
          <w:rFonts w:ascii="宋体" w:hAnsi="宋体" w:cs="仿宋_GB2312"/>
          <w:color w:val="auto"/>
          <w:sz w:val="21"/>
          <w:szCs w:val="21"/>
          <w:highlight w:val="none"/>
        </w:rPr>
      </w:pPr>
    </w:p>
    <w:p w14:paraId="394F9B8C">
      <w:pPr>
        <w:pStyle w:val="31"/>
        <w:spacing w:line="360" w:lineRule="auto"/>
        <w:rPr>
          <w:rFonts w:ascii="宋体" w:hAnsi="宋体" w:cs="仿宋_GB2312"/>
          <w:color w:val="auto"/>
          <w:sz w:val="21"/>
          <w:szCs w:val="21"/>
          <w:highlight w:val="none"/>
        </w:rPr>
      </w:pPr>
      <w:r>
        <w:rPr>
          <w:rFonts w:hint="eastAsia" w:ascii="宋体" w:hAnsi="宋体" w:cs="宋体"/>
          <w:color w:val="auto"/>
          <w:kern w:val="0"/>
          <w:sz w:val="24"/>
          <w:szCs w:val="21"/>
          <w:highlight w:val="none"/>
        </w:rPr>
        <w:t>磋商单位</w:t>
      </w:r>
      <w:r>
        <w:rPr>
          <w:rFonts w:ascii="宋体" w:hAnsi="宋体" w:cs="仿宋_GB2312"/>
          <w:color w:val="auto"/>
          <w:sz w:val="21"/>
          <w:szCs w:val="21"/>
          <w:highlight w:val="none"/>
        </w:rPr>
        <w:t>（盖公章 ）：</w:t>
      </w:r>
    </w:p>
    <w:p w14:paraId="10921CCD">
      <w:pPr>
        <w:pStyle w:val="31"/>
        <w:spacing w:line="360" w:lineRule="auto"/>
        <w:ind w:firstLine="840" w:firstLineChars="400"/>
        <w:jc w:val="both"/>
        <w:rPr>
          <w:rFonts w:ascii="宋体" w:hAnsi="宋体" w:cs="仿宋_GB2312"/>
          <w:color w:val="auto"/>
          <w:sz w:val="21"/>
          <w:szCs w:val="21"/>
          <w:highlight w:val="none"/>
        </w:rPr>
      </w:pPr>
      <w:r>
        <w:rPr>
          <w:rFonts w:ascii="宋体" w:hAnsi="宋体" w:cs="仿宋_GB2312"/>
          <w:color w:val="auto"/>
          <w:sz w:val="21"/>
          <w:szCs w:val="21"/>
          <w:highlight w:val="none"/>
        </w:rPr>
        <w:t>年   月   日</w:t>
      </w:r>
    </w:p>
    <w:p w14:paraId="63B02C7B">
      <w:pPr>
        <w:pStyle w:val="31"/>
        <w:spacing w:line="360" w:lineRule="auto"/>
        <w:jc w:val="left"/>
        <w:rPr>
          <w:rFonts w:hint="eastAsia" w:ascii="宋体" w:hAnsi="宋体"/>
          <w:b/>
          <w:color w:val="auto"/>
          <w:sz w:val="28"/>
          <w:szCs w:val="28"/>
          <w:highlight w:val="none"/>
          <w:lang w:val="en-US" w:eastAsia="zh-CN"/>
        </w:rPr>
      </w:pPr>
    </w:p>
    <w:p w14:paraId="0D8E0F84">
      <w:pPr>
        <w:pStyle w:val="31"/>
        <w:spacing w:line="360" w:lineRule="auto"/>
        <w:jc w:val="left"/>
        <w:rPr>
          <w:rFonts w:hint="eastAsia" w:ascii="宋体" w:hAnsi="宋体"/>
          <w:b/>
          <w:color w:val="auto"/>
          <w:sz w:val="28"/>
          <w:szCs w:val="28"/>
          <w:highlight w:val="none"/>
          <w:lang w:val="en-US" w:eastAsia="zh-CN"/>
        </w:rPr>
      </w:pPr>
    </w:p>
    <w:p w14:paraId="06C6D5AC">
      <w:pPr>
        <w:pStyle w:val="31"/>
        <w:spacing w:line="360" w:lineRule="auto"/>
        <w:jc w:val="left"/>
        <w:rPr>
          <w:rFonts w:hint="eastAsia" w:ascii="宋体" w:hAnsi="宋体"/>
          <w:b/>
          <w:color w:val="auto"/>
          <w:sz w:val="28"/>
          <w:szCs w:val="28"/>
          <w:highlight w:val="none"/>
          <w:lang w:val="en-US" w:eastAsia="zh-CN"/>
        </w:rPr>
      </w:pPr>
    </w:p>
    <w:p w14:paraId="0EDFACD9">
      <w:pPr>
        <w:pStyle w:val="31"/>
        <w:spacing w:line="360" w:lineRule="auto"/>
        <w:jc w:val="left"/>
        <w:rPr>
          <w:rFonts w:hint="eastAsia" w:ascii="宋体" w:hAnsi="宋体"/>
          <w:b/>
          <w:color w:val="auto"/>
          <w:sz w:val="28"/>
          <w:szCs w:val="28"/>
          <w:highlight w:val="none"/>
          <w:lang w:val="en-US" w:eastAsia="zh-CN"/>
        </w:rPr>
      </w:pPr>
    </w:p>
    <w:p w14:paraId="1F86997B">
      <w:pPr>
        <w:pStyle w:val="31"/>
        <w:spacing w:line="360" w:lineRule="auto"/>
        <w:jc w:val="left"/>
        <w:rPr>
          <w:rFonts w:hint="eastAsia" w:ascii="宋体" w:hAnsi="宋体"/>
          <w:b/>
          <w:color w:val="auto"/>
          <w:sz w:val="28"/>
          <w:szCs w:val="28"/>
          <w:highlight w:val="none"/>
          <w:lang w:val="en-US" w:eastAsia="zh-CN"/>
        </w:rPr>
      </w:pPr>
    </w:p>
    <w:p w14:paraId="4213E5FD">
      <w:pPr>
        <w:pStyle w:val="31"/>
        <w:spacing w:line="360" w:lineRule="auto"/>
        <w:jc w:val="left"/>
        <w:rPr>
          <w:rFonts w:hint="eastAsia" w:ascii="宋体" w:hAnsi="宋体"/>
          <w:b/>
          <w:color w:val="auto"/>
          <w:sz w:val="28"/>
          <w:szCs w:val="28"/>
          <w:highlight w:val="none"/>
          <w:lang w:val="en-US" w:eastAsia="zh-CN"/>
        </w:rPr>
      </w:pPr>
    </w:p>
    <w:p w14:paraId="54B9813E">
      <w:pPr>
        <w:pStyle w:val="31"/>
        <w:spacing w:line="360" w:lineRule="auto"/>
        <w:jc w:val="left"/>
        <w:rPr>
          <w:rFonts w:hint="eastAsia" w:ascii="宋体" w:hAnsi="宋体"/>
          <w:b/>
          <w:color w:val="auto"/>
          <w:sz w:val="28"/>
          <w:szCs w:val="28"/>
          <w:highlight w:val="none"/>
          <w:lang w:val="en-US" w:eastAsia="zh-CN"/>
        </w:rPr>
      </w:pPr>
    </w:p>
    <w:p w14:paraId="370D5A2B">
      <w:pPr>
        <w:pStyle w:val="31"/>
        <w:spacing w:line="360" w:lineRule="auto"/>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4、</w:t>
      </w:r>
      <w:r>
        <w:rPr>
          <w:rFonts w:ascii="宋体" w:hAnsi="宋体"/>
          <w:b/>
          <w:color w:val="auto"/>
          <w:sz w:val="28"/>
          <w:szCs w:val="28"/>
          <w:highlight w:val="none"/>
        </w:rPr>
        <w:t>磋商函</w:t>
      </w:r>
    </w:p>
    <w:p w14:paraId="1249CC02">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磋  商  函</w:t>
      </w:r>
    </w:p>
    <w:p w14:paraId="3D8C2C51">
      <w:pPr>
        <w:pStyle w:val="31"/>
        <w:spacing w:line="360" w:lineRule="auto"/>
        <w:ind w:left="141"/>
        <w:rPr>
          <w:rFonts w:ascii="宋体" w:hAnsi="宋体"/>
          <w:color w:val="auto"/>
          <w:szCs w:val="21"/>
          <w:highlight w:val="none"/>
          <w:u w:val="single"/>
        </w:rPr>
      </w:pPr>
    </w:p>
    <w:p w14:paraId="45B6E901">
      <w:pPr>
        <w:spacing w:line="360" w:lineRule="auto"/>
        <w:rPr>
          <w:rFonts w:ascii="宋体" w:cs="宋体"/>
          <w:color w:val="auto"/>
          <w:kern w:val="0"/>
          <w:sz w:val="21"/>
          <w:szCs w:val="22"/>
          <w:highlight w:val="none"/>
          <w:u w:val="single"/>
        </w:rPr>
      </w:pPr>
      <w:r>
        <w:rPr>
          <w:rFonts w:hint="eastAsia" w:ascii="宋体" w:hAnsi="宋体" w:cs="宋体"/>
          <w:color w:val="auto"/>
          <w:kern w:val="0"/>
          <w:sz w:val="21"/>
          <w:szCs w:val="22"/>
          <w:highlight w:val="none"/>
          <w:u w:val="single"/>
        </w:rPr>
        <w:t>致：（采购人名称）</w:t>
      </w:r>
    </w:p>
    <w:p w14:paraId="453F317B">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1.</w:t>
      </w:r>
      <w:r>
        <w:rPr>
          <w:rFonts w:hint="eastAsia" w:ascii="宋体" w:hAnsi="宋体" w:cs="宋体"/>
          <w:color w:val="auto"/>
          <w:kern w:val="0"/>
          <w:sz w:val="21"/>
          <w:szCs w:val="22"/>
          <w:highlight w:val="none"/>
        </w:rPr>
        <w:t>根据你方</w:t>
      </w:r>
      <w:r>
        <w:rPr>
          <w:rFonts w:hint="eastAsia" w:ascii="宋体" w:hAnsi="宋体" w:cs="宋体"/>
          <w:color w:val="auto"/>
          <w:kern w:val="0"/>
          <w:sz w:val="21"/>
          <w:szCs w:val="22"/>
          <w:highlight w:val="none"/>
          <w:u w:val="single"/>
        </w:rPr>
        <w:t>（项目名称和编号）</w:t>
      </w:r>
      <w:r>
        <w:rPr>
          <w:rFonts w:hint="eastAsia" w:ascii="宋体" w:hAnsi="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r>
        <w:rPr>
          <w:rFonts w:ascii="宋体" w:cs="宋体"/>
          <w:color w:val="auto"/>
          <w:kern w:val="0"/>
          <w:sz w:val="21"/>
          <w:szCs w:val="22"/>
          <w:highlight w:val="none"/>
          <w:u w:val="single"/>
        </w:rPr>
        <w:t>¥</w:t>
      </w:r>
      <w:r>
        <w:rPr>
          <w:rFonts w:hint="eastAsia" w:asci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元）</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的竞标总价，并按上述图纸、合同条款、工程建设标准的条件要求承包上述工程的施工、竣工，并承担任何质量缺陷保修责任。</w:t>
      </w:r>
    </w:p>
    <w:p w14:paraId="4987E39B">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2. </w:t>
      </w:r>
      <w:r>
        <w:rPr>
          <w:rFonts w:hint="eastAsia" w:ascii="宋体" w:hAnsi="宋体" w:cs="宋体"/>
          <w:color w:val="auto"/>
          <w:kern w:val="0"/>
          <w:sz w:val="21"/>
          <w:szCs w:val="22"/>
          <w:highlight w:val="none"/>
        </w:rPr>
        <w:t>我方已详细审核全部采购文件，包括采购补遗文件及有关附件。</w:t>
      </w:r>
    </w:p>
    <w:p w14:paraId="761D4AF2">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3. </w:t>
      </w:r>
      <w:r>
        <w:rPr>
          <w:rFonts w:hint="eastAsia" w:ascii="宋体" w:hAnsi="宋体" w:cs="宋体"/>
          <w:color w:val="auto"/>
          <w:kern w:val="0"/>
          <w:sz w:val="21"/>
          <w:szCs w:val="22"/>
          <w:highlight w:val="none"/>
        </w:rPr>
        <w:t>我方承认</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附录是我方</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的组成部分。</w:t>
      </w:r>
    </w:p>
    <w:p w14:paraId="2747100B">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4. </w:t>
      </w:r>
      <w:r>
        <w:rPr>
          <w:rFonts w:hint="eastAsia" w:ascii="宋体" w:hAnsi="宋体" w:cs="宋体"/>
          <w:color w:val="auto"/>
          <w:kern w:val="0"/>
          <w:sz w:val="21"/>
          <w:szCs w:val="22"/>
          <w:highlight w:val="none"/>
        </w:rPr>
        <w:t>一旦我方成交，我方保证按合同协议书中约定的工期</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日历日</w:t>
      </w:r>
      <w:r>
        <w:rPr>
          <w:rFonts w:hint="eastAsia" w:ascii="宋体" w:hAnsi="宋体" w:cs="宋体"/>
          <w:color w:val="auto"/>
          <w:kern w:val="0"/>
          <w:sz w:val="21"/>
          <w:szCs w:val="22"/>
          <w:highlight w:val="none"/>
        </w:rPr>
        <w:t>内完成并移交全部工程，并保证工程质量</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p>
    <w:p w14:paraId="586C2EB7">
      <w:pPr>
        <w:autoSpaceDE w:val="0"/>
        <w:autoSpaceDN w:val="0"/>
        <w:adjustRightInd w:val="0"/>
        <w:spacing w:line="360" w:lineRule="auto"/>
        <w:ind w:firstLine="417" w:firstLineChars="199"/>
        <w:rPr>
          <w:rFonts w:ascii="宋体" w:cs="宋体"/>
          <w:color w:val="auto"/>
          <w:kern w:val="0"/>
          <w:sz w:val="21"/>
          <w:szCs w:val="22"/>
          <w:highlight w:val="none"/>
        </w:rPr>
      </w:pPr>
      <w:r>
        <w:rPr>
          <w:rFonts w:ascii="宋体" w:hAnsi="宋体" w:cs="宋体"/>
          <w:color w:val="auto"/>
          <w:kern w:val="0"/>
          <w:sz w:val="21"/>
          <w:szCs w:val="22"/>
          <w:highlight w:val="none"/>
        </w:rPr>
        <w:t xml:space="preserve">5. </w:t>
      </w:r>
      <w:r>
        <w:rPr>
          <w:rFonts w:hint="eastAsia" w:ascii="宋体" w:hAnsi="宋体" w:cs="宋体"/>
          <w:color w:val="auto"/>
          <w:kern w:val="0"/>
          <w:sz w:val="21"/>
          <w:szCs w:val="22"/>
          <w:highlight w:val="none"/>
        </w:rPr>
        <w:t>我方同意所提交的响应文件在“竞标须知”规定的竞标有效期内有效，在此期间内如果成交，我方将受此约束。</w:t>
      </w:r>
    </w:p>
    <w:p w14:paraId="5D8A1F45">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6. </w:t>
      </w:r>
      <w:r>
        <w:rPr>
          <w:rFonts w:hint="eastAsia" w:ascii="宋体" w:hAnsi="宋体" w:cs="宋体"/>
          <w:color w:val="auto"/>
          <w:kern w:val="0"/>
          <w:sz w:val="21"/>
          <w:szCs w:val="22"/>
          <w:highlight w:val="none"/>
        </w:rPr>
        <w:t>除非另外达成协议并生效，你方的成交通知书和本响应文件将成为约束双方的合同文件的组成部分。</w:t>
      </w:r>
    </w:p>
    <w:p w14:paraId="3E6791B3">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7. </w:t>
      </w:r>
      <w:r>
        <w:rPr>
          <w:rFonts w:hint="eastAsia" w:ascii="宋体" w:hAnsi="宋体" w:cs="宋体"/>
          <w:color w:val="auto"/>
          <w:kern w:val="0"/>
          <w:sz w:val="21"/>
          <w:szCs w:val="22"/>
          <w:highlight w:val="none"/>
        </w:rPr>
        <w:t>我方将与本</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一起，提交人民币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bCs/>
          <w:color w:val="auto"/>
          <w:kern w:val="0"/>
          <w:sz w:val="21"/>
          <w:szCs w:val="22"/>
          <w:highlight w:val="none"/>
          <w:u w:val="none"/>
        </w:rPr>
        <w:t>元</w:t>
      </w:r>
      <w:r>
        <w:rPr>
          <w:rFonts w:hint="eastAsia" w:ascii="宋体" w:hAnsi="宋体" w:cs="宋体"/>
          <w:color w:val="auto"/>
          <w:kern w:val="0"/>
          <w:sz w:val="21"/>
          <w:szCs w:val="22"/>
          <w:highlight w:val="none"/>
        </w:rPr>
        <w:t>的磋商保证金。</w:t>
      </w:r>
    </w:p>
    <w:p w14:paraId="42F2E054">
      <w:pPr>
        <w:autoSpaceDE w:val="0"/>
        <w:autoSpaceDN w:val="0"/>
        <w:adjustRightInd w:val="0"/>
        <w:spacing w:line="360" w:lineRule="auto"/>
        <w:ind w:firstLine="555"/>
        <w:rPr>
          <w:rFonts w:ascii="宋体" w:cs="宋体"/>
          <w:color w:val="auto"/>
          <w:kern w:val="0"/>
          <w:sz w:val="21"/>
          <w:szCs w:val="22"/>
          <w:highlight w:val="none"/>
        </w:rPr>
      </w:pPr>
    </w:p>
    <w:p w14:paraId="41E76F95">
      <w:pPr>
        <w:autoSpaceDE w:val="0"/>
        <w:autoSpaceDN w:val="0"/>
        <w:adjustRightInd w:val="0"/>
        <w:spacing w:line="360" w:lineRule="auto"/>
        <w:ind w:firstLine="840" w:firstLineChars="400"/>
        <w:rPr>
          <w:rFonts w:ascii="宋体" w:cs="宋体"/>
          <w:color w:val="auto"/>
          <w:kern w:val="0"/>
          <w:sz w:val="21"/>
          <w:szCs w:val="22"/>
          <w:highlight w:val="none"/>
        </w:rPr>
      </w:pPr>
      <w:r>
        <w:rPr>
          <w:rFonts w:hint="eastAsia" w:ascii="宋体" w:hAnsi="宋体" w:cs="宋体"/>
          <w:color w:val="auto"/>
          <w:kern w:val="0"/>
          <w:sz w:val="21"/>
          <w:szCs w:val="22"/>
          <w:highlight w:val="none"/>
        </w:rPr>
        <w:t>竞标人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4481E9B6">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单位地址：</w:t>
      </w:r>
    </w:p>
    <w:p w14:paraId="29976B54">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法定代表人或其授权代理人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7D5B3DE6">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邮政编码：</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电话：</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传真：</w:t>
      </w:r>
    </w:p>
    <w:p w14:paraId="3923E3B8">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开户银行名称：</w:t>
      </w:r>
    </w:p>
    <w:p w14:paraId="47D86B99">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开户银行帐号：</w:t>
      </w:r>
    </w:p>
    <w:p w14:paraId="0147997E">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开户银行地址：</w:t>
      </w:r>
    </w:p>
    <w:p w14:paraId="3901D192">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3650D780">
      <w:pPr>
        <w:pStyle w:val="31"/>
        <w:spacing w:line="360" w:lineRule="auto"/>
        <w:ind w:right="97"/>
        <w:rPr>
          <w:rFonts w:ascii="宋体" w:hAnsi="宋体" w:cs="宋体"/>
          <w:color w:val="auto"/>
          <w:szCs w:val="21"/>
          <w:highlight w:val="none"/>
        </w:rPr>
      </w:pPr>
    </w:p>
    <w:p w14:paraId="6E5291B5">
      <w:pPr>
        <w:pStyle w:val="31"/>
        <w:spacing w:line="360" w:lineRule="auto"/>
        <w:rPr>
          <w:rFonts w:ascii="宋体" w:hAnsi="宋体"/>
          <w:b/>
          <w:color w:val="auto"/>
          <w:sz w:val="28"/>
          <w:szCs w:val="28"/>
          <w:highlight w:val="none"/>
        </w:rPr>
      </w:pPr>
    </w:p>
    <w:p w14:paraId="205FC252">
      <w:pPr>
        <w:pStyle w:val="32"/>
        <w:rPr>
          <w:color w:val="auto"/>
          <w:highlight w:val="none"/>
        </w:rPr>
      </w:pPr>
    </w:p>
    <w:p w14:paraId="2131BC7A">
      <w:pPr>
        <w:pStyle w:val="31"/>
        <w:spacing w:line="360" w:lineRule="auto"/>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745EAD3C">
      <w:pPr>
        <w:pStyle w:val="31"/>
        <w:spacing w:line="360" w:lineRule="auto"/>
        <w:rPr>
          <w:rFonts w:ascii="宋体" w:hAnsi="宋体"/>
          <w:b/>
          <w:color w:val="auto"/>
          <w:sz w:val="28"/>
          <w:szCs w:val="28"/>
          <w:highlight w:val="none"/>
        </w:rPr>
      </w:pPr>
      <w:r>
        <w:rPr>
          <w:rFonts w:hint="eastAsia" w:ascii="宋体" w:hAnsi="宋体"/>
          <w:b/>
          <w:color w:val="auto"/>
          <w:sz w:val="28"/>
          <w:szCs w:val="28"/>
          <w:highlight w:val="none"/>
          <w:lang w:val="en-US" w:eastAsia="zh-CN"/>
        </w:rPr>
        <w:t>5、</w:t>
      </w:r>
      <w:r>
        <w:rPr>
          <w:rFonts w:ascii="宋体" w:hAnsi="宋体"/>
          <w:b/>
          <w:color w:val="auto"/>
          <w:sz w:val="28"/>
          <w:szCs w:val="28"/>
          <w:highlight w:val="none"/>
        </w:rPr>
        <w:t xml:space="preserve">磋商函附录       </w:t>
      </w:r>
    </w:p>
    <w:p w14:paraId="42504731">
      <w:pPr>
        <w:pStyle w:val="37"/>
        <w:spacing w:line="360" w:lineRule="auto"/>
        <w:jc w:val="center"/>
        <w:rPr>
          <w:color w:val="auto"/>
          <w:sz w:val="32"/>
          <w:szCs w:val="32"/>
          <w:highlight w:val="none"/>
        </w:rPr>
      </w:pPr>
      <w:bookmarkStart w:id="80" w:name="_Toc514605589"/>
      <w:bookmarkStart w:id="81" w:name="_Toc514605322"/>
      <w:bookmarkStart w:id="82" w:name="_Toc1106"/>
      <w:bookmarkStart w:id="83" w:name="_Toc31318"/>
      <w:bookmarkStart w:id="84" w:name="_Toc514606977"/>
      <w:bookmarkStart w:id="85" w:name="_Toc514607588"/>
      <w:r>
        <w:rPr>
          <w:color w:val="auto"/>
          <w:sz w:val="30"/>
          <w:szCs w:val="30"/>
          <w:highlight w:val="none"/>
        </w:rPr>
        <w:t>磋商函附录</w:t>
      </w:r>
      <w:bookmarkEnd w:id="80"/>
      <w:bookmarkEnd w:id="81"/>
      <w:bookmarkEnd w:id="82"/>
      <w:bookmarkEnd w:id="83"/>
      <w:bookmarkEnd w:id="84"/>
      <w:bookmarkEnd w:id="85"/>
    </w:p>
    <w:tbl>
      <w:tblPr>
        <w:tblStyle w:val="23"/>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14:paraId="123F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156544EF">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序号</w:t>
            </w:r>
          </w:p>
        </w:tc>
        <w:tc>
          <w:tcPr>
            <w:tcW w:w="2145" w:type="dxa"/>
            <w:vAlign w:val="center"/>
          </w:tcPr>
          <w:p w14:paraId="0BC9E544">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项目内容</w:t>
            </w:r>
          </w:p>
        </w:tc>
        <w:tc>
          <w:tcPr>
            <w:tcW w:w="1854" w:type="dxa"/>
            <w:vAlign w:val="center"/>
          </w:tcPr>
          <w:p w14:paraId="3946BC87">
            <w:pPr>
              <w:autoSpaceDE w:val="0"/>
              <w:autoSpaceDN w:val="0"/>
              <w:adjustRightInd w:val="0"/>
              <w:spacing w:line="360" w:lineRule="auto"/>
              <w:jc w:val="center"/>
              <w:rPr>
                <w:rFonts w:hint="default" w:asci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合同要求内容</w:t>
            </w:r>
          </w:p>
        </w:tc>
        <w:tc>
          <w:tcPr>
            <w:tcW w:w="2633" w:type="dxa"/>
            <w:vAlign w:val="center"/>
          </w:tcPr>
          <w:p w14:paraId="5C6739A8">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lang w:val="en-US" w:eastAsia="zh-CN"/>
              </w:rPr>
              <w:t>响应</w:t>
            </w:r>
            <w:r>
              <w:rPr>
                <w:rFonts w:hint="eastAsia" w:ascii="宋体" w:hAnsi="宋体" w:cs="宋体"/>
                <w:color w:val="auto"/>
                <w:kern w:val="0"/>
                <w:sz w:val="21"/>
                <w:szCs w:val="22"/>
                <w:highlight w:val="none"/>
              </w:rPr>
              <w:t>内容</w:t>
            </w:r>
          </w:p>
        </w:tc>
        <w:tc>
          <w:tcPr>
            <w:tcW w:w="900" w:type="dxa"/>
            <w:vAlign w:val="center"/>
          </w:tcPr>
          <w:p w14:paraId="27E84789">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备注</w:t>
            </w:r>
          </w:p>
        </w:tc>
      </w:tr>
      <w:tr w14:paraId="34D5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843" w:type="dxa"/>
            <w:vAlign w:val="center"/>
          </w:tcPr>
          <w:p w14:paraId="268887ED">
            <w:pPr>
              <w:autoSpaceDE w:val="0"/>
              <w:autoSpaceDN w:val="0"/>
              <w:adjustRightInd w:val="0"/>
              <w:spacing w:line="360" w:lineRule="auto"/>
              <w:jc w:val="center"/>
              <w:rPr>
                <w:rFonts w:ascii="宋体" w:hAnsi="宋体" w:cs="宋体"/>
                <w:color w:val="auto"/>
                <w:kern w:val="0"/>
                <w:sz w:val="21"/>
                <w:szCs w:val="22"/>
                <w:highlight w:val="none"/>
              </w:rPr>
            </w:pPr>
            <w:r>
              <w:rPr>
                <w:rFonts w:ascii="宋体" w:hAnsi="宋体" w:cs="宋体"/>
                <w:color w:val="auto"/>
                <w:kern w:val="0"/>
                <w:sz w:val="21"/>
                <w:szCs w:val="22"/>
                <w:highlight w:val="none"/>
              </w:rPr>
              <w:t>1</w:t>
            </w:r>
          </w:p>
        </w:tc>
        <w:tc>
          <w:tcPr>
            <w:tcW w:w="2145" w:type="dxa"/>
            <w:vAlign w:val="center"/>
          </w:tcPr>
          <w:p w14:paraId="0CE6B4A0">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预付款支付</w:t>
            </w:r>
          </w:p>
        </w:tc>
        <w:tc>
          <w:tcPr>
            <w:tcW w:w="1854" w:type="dxa"/>
            <w:vAlign w:val="center"/>
          </w:tcPr>
          <w:p w14:paraId="2B4D8CE2">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2DB575AB">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6A735C27">
            <w:pPr>
              <w:autoSpaceDE w:val="0"/>
              <w:autoSpaceDN w:val="0"/>
              <w:adjustRightInd w:val="0"/>
              <w:spacing w:line="360" w:lineRule="auto"/>
              <w:jc w:val="center"/>
              <w:rPr>
                <w:rFonts w:ascii="宋体" w:cs="宋体"/>
                <w:color w:val="auto"/>
                <w:kern w:val="0"/>
                <w:sz w:val="21"/>
                <w:szCs w:val="22"/>
                <w:highlight w:val="none"/>
              </w:rPr>
            </w:pPr>
          </w:p>
        </w:tc>
      </w:tr>
      <w:tr w14:paraId="615B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336C1FF2">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2</w:t>
            </w:r>
          </w:p>
        </w:tc>
        <w:tc>
          <w:tcPr>
            <w:tcW w:w="2145" w:type="dxa"/>
            <w:vAlign w:val="center"/>
          </w:tcPr>
          <w:p w14:paraId="3A94535F">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工程</w:t>
            </w:r>
            <w:r>
              <w:rPr>
                <w:rFonts w:hint="eastAsia" w:ascii="宋体" w:hAnsi="宋体" w:cs="宋体"/>
                <w:color w:val="auto"/>
                <w:kern w:val="0"/>
                <w:sz w:val="21"/>
                <w:szCs w:val="22"/>
                <w:highlight w:val="none"/>
                <w:lang w:eastAsia="zh-CN"/>
              </w:rPr>
              <w:t>款支付</w:t>
            </w:r>
          </w:p>
        </w:tc>
        <w:tc>
          <w:tcPr>
            <w:tcW w:w="1854" w:type="dxa"/>
            <w:vAlign w:val="center"/>
          </w:tcPr>
          <w:p w14:paraId="6763DC32">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23BE3D3B">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36E2DA4D">
            <w:pPr>
              <w:autoSpaceDE w:val="0"/>
              <w:autoSpaceDN w:val="0"/>
              <w:adjustRightInd w:val="0"/>
              <w:spacing w:line="360" w:lineRule="auto"/>
              <w:jc w:val="center"/>
              <w:rPr>
                <w:rFonts w:ascii="宋体" w:cs="宋体"/>
                <w:color w:val="auto"/>
                <w:kern w:val="0"/>
                <w:sz w:val="21"/>
                <w:szCs w:val="22"/>
                <w:highlight w:val="none"/>
              </w:rPr>
            </w:pPr>
          </w:p>
        </w:tc>
      </w:tr>
      <w:tr w14:paraId="49C4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4EBC1E5B">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3</w:t>
            </w:r>
          </w:p>
        </w:tc>
        <w:tc>
          <w:tcPr>
            <w:tcW w:w="2145" w:type="dxa"/>
            <w:vAlign w:val="center"/>
          </w:tcPr>
          <w:p w14:paraId="22AF4DE8">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质量保修期</w:t>
            </w:r>
          </w:p>
        </w:tc>
        <w:tc>
          <w:tcPr>
            <w:tcW w:w="1854" w:type="dxa"/>
            <w:vAlign w:val="center"/>
          </w:tcPr>
          <w:p w14:paraId="610C0415">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7FED4392">
            <w:pPr>
              <w:autoSpaceDE w:val="0"/>
              <w:autoSpaceDN w:val="0"/>
              <w:adjustRightInd w:val="0"/>
              <w:spacing w:line="360" w:lineRule="auto"/>
              <w:jc w:val="center"/>
              <w:rPr>
                <w:rFonts w:ascii="宋体" w:hAnsi="宋体" w:cs="宋体"/>
                <w:color w:val="auto"/>
                <w:kern w:val="0"/>
                <w:sz w:val="21"/>
                <w:szCs w:val="22"/>
                <w:highlight w:val="none"/>
              </w:rPr>
            </w:pPr>
          </w:p>
        </w:tc>
        <w:tc>
          <w:tcPr>
            <w:tcW w:w="900" w:type="dxa"/>
            <w:vAlign w:val="center"/>
          </w:tcPr>
          <w:p w14:paraId="0BC8A005">
            <w:pPr>
              <w:autoSpaceDE w:val="0"/>
              <w:autoSpaceDN w:val="0"/>
              <w:adjustRightInd w:val="0"/>
              <w:spacing w:line="360" w:lineRule="auto"/>
              <w:jc w:val="center"/>
              <w:rPr>
                <w:rFonts w:ascii="宋体" w:cs="宋体"/>
                <w:color w:val="auto"/>
                <w:kern w:val="0"/>
                <w:sz w:val="21"/>
                <w:szCs w:val="22"/>
                <w:highlight w:val="none"/>
              </w:rPr>
            </w:pPr>
          </w:p>
        </w:tc>
      </w:tr>
      <w:tr w14:paraId="234B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2F635A72">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4</w:t>
            </w:r>
          </w:p>
        </w:tc>
        <w:tc>
          <w:tcPr>
            <w:tcW w:w="2145" w:type="dxa"/>
            <w:vAlign w:val="center"/>
          </w:tcPr>
          <w:p w14:paraId="47069D2D">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质量保证金</w:t>
            </w:r>
          </w:p>
        </w:tc>
        <w:tc>
          <w:tcPr>
            <w:tcW w:w="1854" w:type="dxa"/>
            <w:vAlign w:val="center"/>
          </w:tcPr>
          <w:p w14:paraId="2CC4EC99">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14:paraId="6B2E4C1A">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7F76ED79">
            <w:pPr>
              <w:autoSpaceDE w:val="0"/>
              <w:autoSpaceDN w:val="0"/>
              <w:adjustRightInd w:val="0"/>
              <w:spacing w:line="360" w:lineRule="auto"/>
              <w:jc w:val="center"/>
              <w:rPr>
                <w:rFonts w:ascii="宋体" w:cs="宋体"/>
                <w:color w:val="auto"/>
                <w:kern w:val="0"/>
                <w:sz w:val="21"/>
                <w:szCs w:val="22"/>
                <w:highlight w:val="none"/>
              </w:rPr>
            </w:pPr>
          </w:p>
        </w:tc>
      </w:tr>
      <w:tr w14:paraId="3655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1518B0CF">
            <w:pPr>
              <w:autoSpaceDE w:val="0"/>
              <w:autoSpaceDN w:val="0"/>
              <w:adjustRightInd w:val="0"/>
              <w:spacing w:line="360" w:lineRule="auto"/>
              <w:ind w:left="-540" w:leftChars="-270" w:firstLine="504" w:firstLineChars="240"/>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5</w:t>
            </w:r>
          </w:p>
        </w:tc>
        <w:tc>
          <w:tcPr>
            <w:tcW w:w="2145" w:type="dxa"/>
            <w:vAlign w:val="center"/>
          </w:tcPr>
          <w:p w14:paraId="31AA1CC9">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竞标工期</w:t>
            </w:r>
          </w:p>
        </w:tc>
        <w:tc>
          <w:tcPr>
            <w:tcW w:w="1854" w:type="dxa"/>
            <w:vAlign w:val="center"/>
          </w:tcPr>
          <w:p w14:paraId="001FE12E">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14:paraId="448C168E">
            <w:pPr>
              <w:autoSpaceDE w:val="0"/>
              <w:autoSpaceDN w:val="0"/>
              <w:adjustRightInd w:val="0"/>
              <w:spacing w:line="360" w:lineRule="auto"/>
              <w:jc w:val="center"/>
              <w:rPr>
                <w:rFonts w:ascii="宋体" w:cs="宋体"/>
                <w:color w:val="auto"/>
                <w:kern w:val="0"/>
                <w:sz w:val="21"/>
                <w:szCs w:val="22"/>
                <w:highlight w:val="none"/>
                <w:u w:val="single"/>
              </w:rPr>
            </w:pPr>
          </w:p>
        </w:tc>
        <w:tc>
          <w:tcPr>
            <w:tcW w:w="900" w:type="dxa"/>
            <w:vAlign w:val="center"/>
          </w:tcPr>
          <w:p w14:paraId="361F3312">
            <w:pPr>
              <w:autoSpaceDE w:val="0"/>
              <w:autoSpaceDN w:val="0"/>
              <w:adjustRightInd w:val="0"/>
              <w:spacing w:line="360" w:lineRule="auto"/>
              <w:jc w:val="center"/>
              <w:rPr>
                <w:rFonts w:ascii="宋体" w:cs="宋体"/>
                <w:color w:val="auto"/>
                <w:kern w:val="0"/>
                <w:sz w:val="21"/>
                <w:szCs w:val="22"/>
                <w:highlight w:val="none"/>
              </w:rPr>
            </w:pPr>
          </w:p>
        </w:tc>
      </w:tr>
      <w:tr w14:paraId="2BCA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5DC5193B">
            <w:pPr>
              <w:autoSpaceDE w:val="0"/>
              <w:autoSpaceDN w:val="0"/>
              <w:adjustRightInd w:val="0"/>
              <w:spacing w:line="360" w:lineRule="auto"/>
              <w:ind w:left="-540" w:leftChars="-270" w:firstLine="504" w:firstLineChars="240"/>
              <w:jc w:val="center"/>
              <w:rPr>
                <w:rFonts w:hint="default" w:ascii="宋体" w:hAns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w:t>
            </w:r>
          </w:p>
        </w:tc>
        <w:tc>
          <w:tcPr>
            <w:tcW w:w="2145" w:type="dxa"/>
            <w:vAlign w:val="center"/>
          </w:tcPr>
          <w:p w14:paraId="7A19E97A">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cs="宋体"/>
                <w:color w:val="auto"/>
                <w:kern w:val="0"/>
                <w:sz w:val="21"/>
                <w:szCs w:val="22"/>
                <w:highlight w:val="none"/>
                <w:lang w:val="en-US" w:eastAsia="zh-CN"/>
              </w:rPr>
              <w:t>......</w:t>
            </w:r>
          </w:p>
        </w:tc>
        <w:tc>
          <w:tcPr>
            <w:tcW w:w="1854" w:type="dxa"/>
            <w:vAlign w:val="center"/>
          </w:tcPr>
          <w:p w14:paraId="763847DB">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6F332246">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27CAC219">
            <w:pPr>
              <w:autoSpaceDE w:val="0"/>
              <w:autoSpaceDN w:val="0"/>
              <w:adjustRightInd w:val="0"/>
              <w:spacing w:line="360" w:lineRule="auto"/>
              <w:jc w:val="center"/>
              <w:rPr>
                <w:rFonts w:ascii="宋体" w:cs="宋体"/>
                <w:color w:val="auto"/>
                <w:kern w:val="0"/>
                <w:sz w:val="21"/>
                <w:szCs w:val="22"/>
                <w:highlight w:val="none"/>
                <w:u w:val="single"/>
              </w:rPr>
            </w:pPr>
          </w:p>
        </w:tc>
      </w:tr>
    </w:tbl>
    <w:p w14:paraId="6A3A2C68">
      <w:pPr>
        <w:pStyle w:val="31"/>
        <w:snapToGrid w:val="0"/>
        <w:spacing w:line="360" w:lineRule="auto"/>
        <w:rPr>
          <w:rFonts w:hint="eastAsia" w:ascii="宋体" w:hAnsi="宋体" w:eastAsia="宋体"/>
          <w:color w:val="auto"/>
          <w:sz w:val="22"/>
          <w:szCs w:val="22"/>
          <w:highlight w:val="none"/>
          <w:lang w:eastAsia="zh-CN"/>
        </w:rPr>
      </w:pPr>
    </w:p>
    <w:p w14:paraId="7B8E6C1F">
      <w:pPr>
        <w:pStyle w:val="13"/>
        <w:spacing w:line="360" w:lineRule="auto"/>
        <w:rPr>
          <w:color w:val="auto"/>
          <w:sz w:val="21"/>
          <w:szCs w:val="22"/>
          <w:highlight w:val="none"/>
        </w:rPr>
      </w:pPr>
      <w:r>
        <w:rPr>
          <w:rFonts w:hint="eastAsia"/>
          <w:color w:val="auto"/>
          <w:sz w:val="21"/>
          <w:szCs w:val="22"/>
          <w:highlight w:val="none"/>
        </w:rPr>
        <w:t>法定代表人(负责人、自然人)或相应的委托代理人签字（</w:t>
      </w:r>
      <w:r>
        <w:rPr>
          <w:rFonts w:hint="eastAsia"/>
          <w:color w:val="auto"/>
          <w:sz w:val="21"/>
          <w:szCs w:val="22"/>
          <w:highlight w:val="none"/>
          <w:lang w:eastAsia="zh-CN"/>
        </w:rPr>
        <w:t>签字或盖</w:t>
      </w:r>
      <w:r>
        <w:rPr>
          <w:rFonts w:hint="eastAsia"/>
          <w:color w:val="auto"/>
          <w:sz w:val="21"/>
          <w:szCs w:val="22"/>
          <w:highlight w:val="none"/>
        </w:rPr>
        <w:t>章）</w:t>
      </w:r>
      <w:r>
        <w:rPr>
          <w:color w:val="auto"/>
          <w:sz w:val="21"/>
          <w:szCs w:val="22"/>
          <w:highlight w:val="none"/>
        </w:rPr>
        <w:t xml:space="preserve">: </w:t>
      </w:r>
    </w:p>
    <w:p w14:paraId="64A045C6">
      <w:pPr>
        <w:pStyle w:val="13"/>
        <w:spacing w:line="360" w:lineRule="auto"/>
        <w:rPr>
          <w:color w:val="auto"/>
          <w:sz w:val="21"/>
          <w:szCs w:val="22"/>
          <w:highlight w:val="none"/>
        </w:rPr>
      </w:pPr>
      <w:r>
        <w:rPr>
          <w:rFonts w:hint="eastAsia" w:ascii="宋体" w:hAnsi="宋体" w:cs="宋体"/>
          <w:color w:val="auto"/>
          <w:kern w:val="0"/>
          <w:sz w:val="24"/>
          <w:szCs w:val="21"/>
          <w:highlight w:val="none"/>
        </w:rPr>
        <w:t>磋商单位</w:t>
      </w:r>
      <w:r>
        <w:rPr>
          <w:rFonts w:hint="eastAsia"/>
          <w:color w:val="auto"/>
          <w:sz w:val="21"/>
          <w:szCs w:val="22"/>
          <w:highlight w:val="none"/>
        </w:rPr>
        <w:t>（</w:t>
      </w:r>
      <w:r>
        <w:rPr>
          <w:rFonts w:hint="eastAsia"/>
          <w:color w:val="auto"/>
          <w:sz w:val="21"/>
          <w:szCs w:val="22"/>
          <w:highlight w:val="none"/>
          <w:lang w:eastAsia="zh-CN"/>
        </w:rPr>
        <w:t>盖</w:t>
      </w:r>
      <w:r>
        <w:rPr>
          <w:rFonts w:hint="eastAsia"/>
          <w:color w:val="auto"/>
          <w:sz w:val="21"/>
          <w:szCs w:val="22"/>
          <w:highlight w:val="none"/>
        </w:rPr>
        <w:t>章）</w:t>
      </w:r>
      <w:r>
        <w:rPr>
          <w:color w:val="auto"/>
          <w:sz w:val="21"/>
          <w:szCs w:val="22"/>
          <w:highlight w:val="none"/>
        </w:rPr>
        <w:t>：</w:t>
      </w:r>
    </w:p>
    <w:p w14:paraId="2F18A42F">
      <w:pPr>
        <w:pStyle w:val="13"/>
        <w:spacing w:line="360" w:lineRule="auto"/>
        <w:rPr>
          <w:color w:val="auto"/>
          <w:sz w:val="21"/>
          <w:szCs w:val="22"/>
          <w:highlight w:val="none"/>
        </w:rPr>
      </w:pPr>
      <w:r>
        <w:rPr>
          <w:color w:val="auto"/>
          <w:sz w:val="21"/>
          <w:szCs w:val="22"/>
          <w:highlight w:val="none"/>
        </w:rPr>
        <w:t xml:space="preserve">时间：   年  月  日 </w:t>
      </w:r>
    </w:p>
    <w:p w14:paraId="64C482F8">
      <w:pPr>
        <w:pStyle w:val="13"/>
        <w:spacing w:line="360" w:lineRule="auto"/>
        <w:rPr>
          <w:b/>
          <w:color w:val="auto"/>
          <w:sz w:val="32"/>
          <w:szCs w:val="32"/>
          <w:highlight w:val="none"/>
        </w:rPr>
      </w:pPr>
    </w:p>
    <w:p w14:paraId="6F1493CF">
      <w:pPr>
        <w:pStyle w:val="31"/>
        <w:rPr>
          <w:b/>
          <w:color w:val="auto"/>
          <w:sz w:val="28"/>
          <w:szCs w:val="28"/>
          <w:highlight w:val="none"/>
        </w:rPr>
      </w:pPr>
    </w:p>
    <w:p w14:paraId="5F707336">
      <w:pPr>
        <w:pStyle w:val="13"/>
        <w:spacing w:line="360" w:lineRule="auto"/>
        <w:rPr>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2C4F57ED">
      <w:pPr>
        <w:pStyle w:val="13"/>
        <w:spacing w:line="360" w:lineRule="auto"/>
        <w:rPr>
          <w:b/>
          <w:color w:val="auto"/>
          <w:sz w:val="28"/>
          <w:szCs w:val="28"/>
          <w:highlight w:val="none"/>
        </w:rPr>
      </w:pPr>
      <w:r>
        <w:rPr>
          <w:rFonts w:hint="eastAsia"/>
          <w:b/>
          <w:color w:val="auto"/>
          <w:sz w:val="28"/>
          <w:szCs w:val="28"/>
          <w:highlight w:val="none"/>
          <w:lang w:val="en-US" w:eastAsia="zh-CN"/>
        </w:rPr>
        <w:t>6、</w:t>
      </w:r>
      <w:r>
        <w:rPr>
          <w:b/>
          <w:color w:val="auto"/>
          <w:sz w:val="28"/>
          <w:szCs w:val="28"/>
          <w:highlight w:val="none"/>
        </w:rPr>
        <w:t>磋商报价表</w:t>
      </w:r>
    </w:p>
    <w:p w14:paraId="6E85AB5A">
      <w:pPr>
        <w:pStyle w:val="37"/>
        <w:spacing w:line="360" w:lineRule="auto"/>
        <w:jc w:val="center"/>
        <w:rPr>
          <w:rFonts w:ascii="宋体" w:hAnsi="宋体"/>
          <w:color w:val="auto"/>
          <w:sz w:val="36"/>
          <w:szCs w:val="22"/>
          <w:highlight w:val="none"/>
        </w:rPr>
      </w:pPr>
      <w:bookmarkStart w:id="86" w:name="_Toc514605323"/>
      <w:bookmarkStart w:id="87" w:name="_Toc514607589"/>
      <w:bookmarkStart w:id="88" w:name="_Toc514606978"/>
      <w:bookmarkStart w:id="89" w:name="_Toc514605590"/>
      <w:bookmarkStart w:id="90" w:name="_Toc32185"/>
      <w:bookmarkStart w:id="91" w:name="_Toc435"/>
      <w:r>
        <w:rPr>
          <w:rFonts w:ascii="宋体" w:hAnsi="宋体"/>
          <w:color w:val="auto"/>
          <w:szCs w:val="21"/>
          <w:highlight w:val="none"/>
        </w:rPr>
        <w:t>磋商报价表</w:t>
      </w:r>
      <w:bookmarkEnd w:id="86"/>
      <w:bookmarkEnd w:id="87"/>
      <w:bookmarkEnd w:id="88"/>
      <w:bookmarkEnd w:id="89"/>
      <w:bookmarkEnd w:id="90"/>
      <w:bookmarkEnd w:id="91"/>
    </w:p>
    <w:p w14:paraId="7DF8426F">
      <w:pPr>
        <w:spacing w:line="360" w:lineRule="auto"/>
        <w:rPr>
          <w:rFonts w:ascii="宋体" w:cs="宋体"/>
          <w:color w:val="auto"/>
          <w:kern w:val="0"/>
          <w:sz w:val="21"/>
          <w:szCs w:val="22"/>
          <w:highlight w:val="none"/>
        </w:rPr>
      </w:pPr>
      <w:r>
        <w:rPr>
          <w:rFonts w:hint="eastAsia" w:ascii="宋体" w:hAnsi="宋体" w:cs="宋体"/>
          <w:color w:val="auto"/>
          <w:sz w:val="21"/>
          <w:szCs w:val="22"/>
          <w:highlight w:val="none"/>
          <w:u w:val="single"/>
        </w:rPr>
        <w:t>（工程项目名称）</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rPr>
        <w:t>工程</w:t>
      </w:r>
      <w:r>
        <w:rPr>
          <w:rFonts w:hint="eastAsia" w:ascii="宋体" w:hAnsi="宋体" w:cs="宋体"/>
          <w:color w:val="auto"/>
          <w:kern w:val="0"/>
          <w:sz w:val="21"/>
          <w:szCs w:val="22"/>
          <w:highlight w:val="none"/>
        </w:rPr>
        <w:t>币种：人民币</w:t>
      </w:r>
    </w:p>
    <w:tbl>
      <w:tblPr>
        <w:tblStyle w:val="23"/>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6BB9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443160EA">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项目内容</w:t>
            </w:r>
          </w:p>
        </w:tc>
        <w:tc>
          <w:tcPr>
            <w:tcW w:w="3176" w:type="dxa"/>
            <w:vAlign w:val="center"/>
          </w:tcPr>
          <w:p w14:paraId="0EA31418">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金额</w:t>
            </w:r>
          </w:p>
        </w:tc>
        <w:tc>
          <w:tcPr>
            <w:tcW w:w="2400" w:type="dxa"/>
            <w:vAlign w:val="center"/>
          </w:tcPr>
          <w:p w14:paraId="13D72F92">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备注</w:t>
            </w:r>
          </w:p>
        </w:tc>
      </w:tr>
      <w:tr w14:paraId="63F2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9217E1A">
            <w:pPr>
              <w:spacing w:line="360" w:lineRule="auto"/>
              <w:jc w:val="center"/>
              <w:rPr>
                <w:rFonts w:ascii="宋体" w:cs="宋体"/>
                <w:color w:val="auto"/>
                <w:sz w:val="21"/>
                <w:szCs w:val="22"/>
                <w:highlight w:val="none"/>
              </w:rPr>
            </w:pPr>
          </w:p>
        </w:tc>
        <w:tc>
          <w:tcPr>
            <w:tcW w:w="3176" w:type="dxa"/>
            <w:vAlign w:val="center"/>
          </w:tcPr>
          <w:p w14:paraId="61DD029F">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609BAEF8">
            <w:pPr>
              <w:spacing w:line="360" w:lineRule="auto"/>
              <w:jc w:val="center"/>
              <w:rPr>
                <w:rFonts w:ascii="宋体" w:cs="宋体"/>
                <w:color w:val="auto"/>
                <w:sz w:val="21"/>
                <w:szCs w:val="22"/>
                <w:highlight w:val="none"/>
              </w:rPr>
            </w:pPr>
          </w:p>
        </w:tc>
      </w:tr>
      <w:tr w14:paraId="6B73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4D1B9A0">
            <w:pPr>
              <w:spacing w:line="360" w:lineRule="auto"/>
              <w:jc w:val="center"/>
              <w:rPr>
                <w:rFonts w:ascii="宋体" w:cs="宋体"/>
                <w:color w:val="auto"/>
                <w:sz w:val="21"/>
                <w:szCs w:val="22"/>
                <w:highlight w:val="none"/>
              </w:rPr>
            </w:pPr>
          </w:p>
        </w:tc>
        <w:tc>
          <w:tcPr>
            <w:tcW w:w="3176" w:type="dxa"/>
            <w:vAlign w:val="center"/>
          </w:tcPr>
          <w:p w14:paraId="44832DF0">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0C5D31FD">
            <w:pPr>
              <w:spacing w:line="360" w:lineRule="auto"/>
              <w:jc w:val="center"/>
              <w:rPr>
                <w:rFonts w:ascii="宋体" w:cs="宋体"/>
                <w:color w:val="auto"/>
                <w:sz w:val="21"/>
                <w:szCs w:val="22"/>
                <w:highlight w:val="none"/>
              </w:rPr>
            </w:pPr>
          </w:p>
        </w:tc>
      </w:tr>
      <w:tr w14:paraId="1C94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37441182">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合计</w:t>
            </w:r>
          </w:p>
        </w:tc>
        <w:tc>
          <w:tcPr>
            <w:tcW w:w="3176" w:type="dxa"/>
            <w:vAlign w:val="center"/>
          </w:tcPr>
          <w:p w14:paraId="16EA3CBC">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764CCD98">
            <w:pPr>
              <w:spacing w:line="360" w:lineRule="auto"/>
              <w:jc w:val="center"/>
              <w:rPr>
                <w:rFonts w:ascii="宋体" w:cs="宋体"/>
                <w:color w:val="auto"/>
                <w:sz w:val="21"/>
                <w:szCs w:val="22"/>
                <w:highlight w:val="none"/>
              </w:rPr>
            </w:pPr>
          </w:p>
        </w:tc>
      </w:tr>
      <w:tr w14:paraId="2991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78297283">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竞标总报价：</w:t>
            </w:r>
            <w:r>
              <w:rPr>
                <w:rFonts w:hint="eastAsia" w:ascii="宋体" w:hAnsi="宋体" w:cs="宋体"/>
                <w:color w:val="auto"/>
                <w:sz w:val="21"/>
                <w:szCs w:val="22"/>
                <w:highlight w:val="none"/>
                <w:u w:val="single"/>
                <w:lang w:val="en-US" w:eastAsia="zh-CN"/>
              </w:rPr>
              <w:t xml:space="preserve"> 人民币                        </w:t>
            </w:r>
            <w:r>
              <w:rPr>
                <w:rFonts w:hint="eastAsia" w:ascii="宋体" w:hAnsi="宋体" w:cs="宋体"/>
                <w:color w:val="auto"/>
                <w:sz w:val="21"/>
                <w:szCs w:val="22"/>
                <w:highlight w:val="none"/>
                <w:u w:val="single"/>
              </w:rPr>
              <w:t>（</w:t>
            </w:r>
            <w:r>
              <w:rPr>
                <w:rFonts w:hint="eastAsia" w:ascii="宋体" w:cs="宋体"/>
                <w:color w:val="auto"/>
                <w:sz w:val="21"/>
                <w:szCs w:val="22"/>
                <w:highlight w:val="none"/>
                <w:u w:val="single"/>
              </w:rPr>
              <w:t>¥</w:t>
            </w:r>
            <w:r>
              <w:rPr>
                <w:rFonts w:hint="eastAsia" w:ascii="宋体" w:hAnsi="宋体" w:cs="宋体"/>
                <w:color w:val="auto"/>
                <w:sz w:val="21"/>
                <w:szCs w:val="22"/>
                <w:highlight w:val="none"/>
                <w:u w:val="single"/>
              </w:rPr>
              <w:t>）</w:t>
            </w:r>
          </w:p>
        </w:tc>
      </w:tr>
      <w:tr w14:paraId="5D66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4" w:type="dxa"/>
            <w:gridSpan w:val="3"/>
          </w:tcPr>
          <w:p w14:paraId="1CF70E50">
            <w:pPr>
              <w:spacing w:line="360" w:lineRule="auto"/>
              <w:ind w:right="700"/>
              <w:rPr>
                <w:rFonts w:ascii="宋体" w:cs="宋体"/>
                <w:color w:val="auto"/>
                <w:sz w:val="21"/>
                <w:szCs w:val="22"/>
                <w:highlight w:val="none"/>
              </w:rPr>
            </w:pPr>
            <w:r>
              <w:rPr>
                <w:rFonts w:hint="eastAsia" w:ascii="宋体" w:hAnsi="宋体" w:cs="宋体"/>
                <w:color w:val="auto"/>
                <w:sz w:val="21"/>
                <w:szCs w:val="22"/>
                <w:highlight w:val="none"/>
              </w:rPr>
              <w:t>说明：</w:t>
            </w:r>
          </w:p>
        </w:tc>
      </w:tr>
      <w:tr w14:paraId="6706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42FB324F">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工期（日历日）</w:t>
            </w:r>
          </w:p>
        </w:tc>
        <w:tc>
          <w:tcPr>
            <w:tcW w:w="5576" w:type="dxa"/>
            <w:gridSpan w:val="2"/>
            <w:vAlign w:val="center"/>
          </w:tcPr>
          <w:p w14:paraId="25BF3512">
            <w:pPr>
              <w:spacing w:line="360" w:lineRule="auto"/>
              <w:ind w:right="700"/>
              <w:jc w:val="center"/>
              <w:rPr>
                <w:rFonts w:ascii="宋体" w:cs="宋体"/>
                <w:color w:val="auto"/>
                <w:sz w:val="21"/>
                <w:szCs w:val="22"/>
                <w:highlight w:val="none"/>
              </w:rPr>
            </w:pPr>
          </w:p>
        </w:tc>
      </w:tr>
      <w:tr w14:paraId="39A8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8212726">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承诺工程质量</w:t>
            </w:r>
          </w:p>
        </w:tc>
        <w:tc>
          <w:tcPr>
            <w:tcW w:w="5576" w:type="dxa"/>
            <w:gridSpan w:val="2"/>
            <w:vAlign w:val="center"/>
          </w:tcPr>
          <w:p w14:paraId="737BE0A2">
            <w:pPr>
              <w:spacing w:line="360" w:lineRule="auto"/>
              <w:ind w:right="700"/>
              <w:jc w:val="center"/>
              <w:rPr>
                <w:rFonts w:ascii="宋体" w:cs="宋体"/>
                <w:color w:val="auto"/>
                <w:sz w:val="21"/>
                <w:szCs w:val="22"/>
                <w:highlight w:val="none"/>
              </w:rPr>
            </w:pPr>
          </w:p>
        </w:tc>
      </w:tr>
    </w:tbl>
    <w:p w14:paraId="558771B8">
      <w:pPr>
        <w:spacing w:line="360" w:lineRule="auto"/>
        <w:ind w:right="700" w:firstLine="315" w:firstLineChars="150"/>
        <w:rPr>
          <w:rFonts w:ascii="宋体" w:cs="宋体"/>
          <w:color w:val="auto"/>
          <w:sz w:val="21"/>
          <w:szCs w:val="22"/>
          <w:highlight w:val="none"/>
        </w:rPr>
      </w:pPr>
    </w:p>
    <w:p w14:paraId="2BD63398">
      <w:pPr>
        <w:spacing w:line="360" w:lineRule="auto"/>
        <w:ind w:firstLine="840" w:firstLineChars="400"/>
        <w:rPr>
          <w:rFonts w:ascii="宋体" w:cs="宋体"/>
          <w:color w:val="auto"/>
          <w:sz w:val="21"/>
          <w:szCs w:val="22"/>
          <w:highlight w:val="none"/>
        </w:rPr>
      </w:pPr>
    </w:p>
    <w:p w14:paraId="23C06122">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磋商单位</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（盖章）</w:t>
      </w:r>
    </w:p>
    <w:p w14:paraId="08282A88">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法定代表人或其授权代理人</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（签字或盖章）</w:t>
      </w:r>
    </w:p>
    <w:p w14:paraId="02910AA0">
      <w:pPr>
        <w:pStyle w:val="20"/>
        <w:spacing w:line="360" w:lineRule="auto"/>
        <w:ind w:firstLine="840" w:firstLineChars="400"/>
        <w:rPr>
          <w:rFonts w:hint="eastAsia" w:ascii="宋体" w:hAnsi="宋体" w:cs="宋体"/>
          <w:color w:val="auto"/>
          <w:sz w:val="21"/>
          <w:szCs w:val="22"/>
          <w:highlight w:val="none"/>
        </w:rPr>
      </w:pPr>
      <w:r>
        <w:rPr>
          <w:rFonts w:hint="eastAsia" w:ascii="宋体" w:hAnsi="宋体" w:cs="宋体"/>
          <w:color w:val="auto"/>
          <w:sz w:val="21"/>
          <w:szCs w:val="22"/>
          <w:highlight w:val="none"/>
        </w:rPr>
        <w:t>日期：</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日</w:t>
      </w:r>
    </w:p>
    <w:p w14:paraId="25B3B632">
      <w:pPr>
        <w:rPr>
          <w:rFonts w:hint="eastAsia" w:ascii="宋体" w:hAnsi="宋体" w:cs="宋体"/>
          <w:color w:val="auto"/>
          <w:szCs w:val="21"/>
          <w:highlight w:val="none"/>
        </w:rPr>
      </w:pPr>
    </w:p>
    <w:p w14:paraId="7B6ABD5D">
      <w:pPr>
        <w:pStyle w:val="10"/>
        <w:rPr>
          <w:rFonts w:hint="eastAsia" w:ascii="宋体" w:hAnsi="宋体" w:cs="宋体"/>
          <w:color w:val="auto"/>
          <w:szCs w:val="21"/>
          <w:highlight w:val="none"/>
        </w:rPr>
      </w:pPr>
    </w:p>
    <w:p w14:paraId="27BCB618">
      <w:pPr>
        <w:rPr>
          <w:rFonts w:hint="eastAsia" w:ascii="宋体" w:hAnsi="宋体" w:cs="宋体"/>
          <w:color w:val="auto"/>
          <w:szCs w:val="21"/>
          <w:highlight w:val="none"/>
        </w:rPr>
      </w:pPr>
    </w:p>
    <w:p w14:paraId="764E2BC2">
      <w:pPr>
        <w:pStyle w:val="10"/>
        <w:rPr>
          <w:rFonts w:hint="eastAsia" w:ascii="宋体" w:hAnsi="宋体" w:cs="宋体"/>
          <w:color w:val="auto"/>
          <w:szCs w:val="21"/>
          <w:highlight w:val="none"/>
        </w:rPr>
      </w:pPr>
    </w:p>
    <w:p w14:paraId="55E75A3E">
      <w:pPr>
        <w:rPr>
          <w:rFonts w:hint="eastAsia" w:ascii="宋体" w:hAnsi="宋体" w:cs="宋体"/>
          <w:color w:val="auto"/>
          <w:szCs w:val="21"/>
          <w:highlight w:val="none"/>
        </w:rPr>
      </w:pPr>
    </w:p>
    <w:p w14:paraId="09CD85F4">
      <w:pPr>
        <w:pStyle w:val="10"/>
        <w:rPr>
          <w:rFonts w:hint="eastAsia" w:ascii="宋体" w:hAnsi="宋体" w:cs="宋体"/>
          <w:color w:val="auto"/>
          <w:szCs w:val="21"/>
          <w:highlight w:val="none"/>
        </w:rPr>
      </w:pPr>
    </w:p>
    <w:p w14:paraId="158447E6">
      <w:pPr>
        <w:rPr>
          <w:rFonts w:hint="eastAsia" w:ascii="宋体" w:hAnsi="宋体" w:cs="宋体"/>
          <w:color w:val="auto"/>
          <w:szCs w:val="21"/>
          <w:highlight w:val="none"/>
        </w:rPr>
      </w:pPr>
    </w:p>
    <w:p w14:paraId="54687D6F">
      <w:pPr>
        <w:pStyle w:val="10"/>
        <w:rPr>
          <w:rFonts w:hint="eastAsia" w:ascii="宋体" w:hAnsi="宋体" w:cs="宋体"/>
          <w:color w:val="auto"/>
          <w:szCs w:val="21"/>
          <w:highlight w:val="none"/>
        </w:rPr>
      </w:pPr>
    </w:p>
    <w:p w14:paraId="2E3A1C50">
      <w:pPr>
        <w:rPr>
          <w:rFonts w:hint="eastAsia" w:ascii="宋体" w:hAnsi="宋体" w:cs="宋体"/>
          <w:color w:val="auto"/>
          <w:szCs w:val="21"/>
          <w:highlight w:val="none"/>
        </w:rPr>
      </w:pPr>
    </w:p>
    <w:p w14:paraId="313C9471">
      <w:pPr>
        <w:pStyle w:val="10"/>
        <w:rPr>
          <w:rFonts w:hint="eastAsia" w:ascii="宋体" w:hAnsi="宋体" w:cs="宋体"/>
          <w:color w:val="auto"/>
          <w:szCs w:val="21"/>
          <w:highlight w:val="none"/>
        </w:rPr>
      </w:pPr>
    </w:p>
    <w:p w14:paraId="253C63AF">
      <w:pPr>
        <w:rPr>
          <w:rFonts w:hint="eastAsia" w:ascii="宋体" w:hAnsi="宋体" w:cs="宋体"/>
          <w:color w:val="auto"/>
          <w:szCs w:val="21"/>
          <w:highlight w:val="none"/>
        </w:rPr>
      </w:pPr>
    </w:p>
    <w:p w14:paraId="5ABA0129">
      <w:pPr>
        <w:pStyle w:val="10"/>
        <w:rPr>
          <w:rFonts w:hint="eastAsia" w:ascii="宋体" w:hAnsi="宋体" w:cs="宋体"/>
          <w:color w:val="auto"/>
          <w:szCs w:val="21"/>
          <w:highlight w:val="none"/>
        </w:rPr>
      </w:pPr>
    </w:p>
    <w:p w14:paraId="11BEED54">
      <w:pPr>
        <w:rPr>
          <w:rFonts w:hint="eastAsia" w:ascii="宋体" w:hAnsi="宋体" w:cs="宋体"/>
          <w:color w:val="auto"/>
          <w:szCs w:val="21"/>
          <w:highlight w:val="none"/>
        </w:rPr>
      </w:pPr>
    </w:p>
    <w:p w14:paraId="440EB77F">
      <w:pPr>
        <w:pStyle w:val="10"/>
        <w:rPr>
          <w:rFonts w:hint="eastAsia" w:ascii="宋体" w:hAnsi="宋体" w:cs="宋体"/>
          <w:color w:val="auto"/>
          <w:szCs w:val="21"/>
          <w:highlight w:val="none"/>
        </w:rPr>
      </w:pPr>
    </w:p>
    <w:p w14:paraId="105F55D0">
      <w:pPr>
        <w:rPr>
          <w:rFonts w:hint="eastAsia"/>
          <w:color w:val="auto"/>
        </w:rPr>
      </w:pPr>
    </w:p>
    <w:p w14:paraId="0BE456BB">
      <w:pPr>
        <w:pStyle w:val="28"/>
        <w:rPr>
          <w:rFonts w:hint="eastAsia" w:ascii="宋体" w:hAnsi="宋体" w:cs="宋体"/>
          <w:color w:val="auto"/>
          <w:szCs w:val="21"/>
          <w:highlight w:val="none"/>
        </w:rPr>
      </w:pPr>
    </w:p>
    <w:p w14:paraId="5B1F831A">
      <w:pPr>
        <w:numPr>
          <w:ilvl w:val="0"/>
          <w:numId w:val="0"/>
        </w:numPr>
        <w:spacing w:line="360" w:lineRule="auto"/>
        <w:rPr>
          <w:rFonts w:hint="eastAsia"/>
          <w:b/>
          <w:color w:val="auto"/>
          <w:sz w:val="28"/>
          <w:szCs w:val="28"/>
          <w:highlight w:val="none"/>
          <w:lang w:eastAsia="zh-CN"/>
        </w:rPr>
      </w:pPr>
      <w:bookmarkStart w:id="92" w:name="_Toc502737803"/>
      <w:bookmarkEnd w:id="92"/>
      <w:bookmarkStart w:id="93" w:name="_Toc392941016"/>
      <w:bookmarkEnd w:id="93"/>
      <w:bookmarkStart w:id="94" w:name="_Toc458689680"/>
      <w:bookmarkEnd w:id="94"/>
      <w:r>
        <w:rPr>
          <w:rFonts w:hint="eastAsia"/>
          <w:b/>
          <w:color w:val="auto"/>
          <w:sz w:val="28"/>
          <w:szCs w:val="28"/>
          <w:highlight w:val="none"/>
          <w:lang w:val="en-US" w:eastAsia="zh-CN"/>
        </w:rPr>
        <w:t>7、</w:t>
      </w:r>
      <w:r>
        <w:rPr>
          <w:rFonts w:hint="eastAsia"/>
          <w:b/>
          <w:color w:val="auto"/>
          <w:sz w:val="28"/>
          <w:szCs w:val="28"/>
          <w:highlight w:val="none"/>
          <w:lang w:eastAsia="zh-CN"/>
        </w:rPr>
        <w:t>已标价工程量清单</w:t>
      </w:r>
    </w:p>
    <w:p w14:paraId="3E278538">
      <w:pPr>
        <w:spacing w:line="400" w:lineRule="exact"/>
        <w:ind w:firstLine="400" w:firstLineChars="200"/>
        <w:rPr>
          <w:rFonts w:hint="eastAsia" w:ascii="宋体" w:hAnsi="宋体" w:cs="宋体"/>
          <w:color w:val="auto"/>
          <w:sz w:val="21"/>
          <w:szCs w:val="21"/>
          <w:highlight w:val="none"/>
        </w:rPr>
      </w:pPr>
      <w:r>
        <w:rPr>
          <w:rFonts w:hint="eastAsia" w:ascii="宋体" w:hAnsi="宋体" w:cs="宋体"/>
          <w:color w:val="auto"/>
          <w:szCs w:val="21"/>
          <w:highlight w:val="none"/>
        </w:rPr>
        <w:t>注：</w:t>
      </w:r>
      <w:r>
        <w:rPr>
          <w:rFonts w:hint="eastAsia" w:ascii="宋体" w:hAnsi="宋体" w:cs="宋体"/>
          <w:color w:val="auto"/>
          <w:sz w:val="21"/>
          <w:szCs w:val="21"/>
          <w:highlight w:val="none"/>
        </w:rPr>
        <w:t>投标人在编制投标文件时,应编写报价说明。</w:t>
      </w:r>
      <w:r>
        <w:rPr>
          <w:rFonts w:hint="eastAsia" w:ascii="宋体" w:hAnsi="宋体" w:cs="宋体"/>
          <w:bCs/>
          <w:color w:val="auto"/>
          <w:sz w:val="21"/>
          <w:szCs w:val="21"/>
          <w:highlight w:val="none"/>
        </w:rPr>
        <w:t>投标人编制报价时，其定额和费用标准不作限制。投标人可充分发挥自身优势，结合建筑市场的供求关系，自行选用定额和费用标准。</w:t>
      </w:r>
    </w:p>
    <w:p w14:paraId="1F9E5661">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投标人编制投标报价应附有编制说明，报价编制依据、选用定额，费率取值（其他直接费、现场经费、间接费、利润、税金等费用的费率取值）等。</w:t>
      </w:r>
    </w:p>
    <w:p w14:paraId="2C6398DB">
      <w:pPr>
        <w:pStyle w:val="2"/>
        <w:numPr>
          <w:ilvl w:val="0"/>
          <w:numId w:val="0"/>
        </w:numPr>
        <w:spacing w:line="360" w:lineRule="auto"/>
        <w:ind w:firstLine="2168" w:firstLineChars="600"/>
        <w:jc w:val="both"/>
        <w:rPr>
          <w:rFonts w:hint="eastAsia" w:ascii="宋体" w:hAnsi="宋体" w:cs="宋体"/>
          <w:color w:val="auto"/>
          <w:sz w:val="36"/>
          <w:highlight w:val="none"/>
        </w:rPr>
      </w:pPr>
    </w:p>
    <w:p w14:paraId="54420BBA">
      <w:pPr>
        <w:rPr>
          <w:rFonts w:hint="eastAsia" w:ascii="宋体" w:hAnsi="宋体" w:cs="宋体"/>
          <w:color w:val="auto"/>
          <w:sz w:val="36"/>
          <w:highlight w:val="none"/>
        </w:rPr>
      </w:pPr>
    </w:p>
    <w:p w14:paraId="1FF2CFB7">
      <w:pPr>
        <w:pStyle w:val="10"/>
        <w:rPr>
          <w:rFonts w:hint="eastAsia" w:ascii="宋体" w:hAnsi="宋体" w:cs="宋体"/>
          <w:color w:val="auto"/>
          <w:sz w:val="36"/>
          <w:highlight w:val="none"/>
        </w:rPr>
      </w:pPr>
    </w:p>
    <w:p w14:paraId="369BCCDC">
      <w:pPr>
        <w:pStyle w:val="2"/>
        <w:numPr>
          <w:ilvl w:val="0"/>
          <w:numId w:val="4"/>
        </w:numPr>
        <w:spacing w:line="360" w:lineRule="auto"/>
        <w:jc w:val="left"/>
        <w:rPr>
          <w:rFonts w:hint="eastAsia" w:ascii="Times New Roman" w:hAnsi="Times New Roman" w:eastAsia="宋体" w:cs="Times New Roman"/>
          <w:b/>
          <w:color w:val="auto"/>
          <w:kern w:val="0"/>
          <w:sz w:val="28"/>
          <w:szCs w:val="28"/>
          <w:highlight w:val="none"/>
          <w:lang w:val="en-US" w:eastAsia="zh-CN" w:bidi="hi-IN"/>
        </w:rPr>
      </w:pPr>
      <w:r>
        <w:rPr>
          <w:rFonts w:hint="eastAsia" w:ascii="Times New Roman" w:hAnsi="Times New Roman" w:eastAsia="宋体" w:cs="Times New Roman"/>
          <w:b/>
          <w:color w:val="auto"/>
          <w:kern w:val="0"/>
          <w:sz w:val="28"/>
          <w:szCs w:val="28"/>
          <w:highlight w:val="none"/>
          <w:lang w:val="en-US" w:eastAsia="zh-CN" w:bidi="hi-IN"/>
        </w:rPr>
        <w:t>供应商认为有必要提供的声明及其他证明材料；</w:t>
      </w:r>
    </w:p>
    <w:p w14:paraId="2EC0BD16">
      <w:pPr>
        <w:pStyle w:val="31"/>
        <w:spacing w:line="360" w:lineRule="auto"/>
        <w:rPr>
          <w:rFonts w:ascii="宋体" w:hAnsi="宋体"/>
          <w:b/>
          <w:bCs/>
          <w:color w:val="auto"/>
          <w:sz w:val="24"/>
          <w:highlight w:val="none"/>
        </w:rPr>
      </w:pPr>
    </w:p>
    <w:p w14:paraId="249807C8">
      <w:pPr>
        <w:pStyle w:val="32"/>
        <w:rPr>
          <w:rFonts w:ascii="宋体" w:hAnsi="宋体"/>
          <w:b/>
          <w:bCs/>
          <w:color w:val="auto"/>
          <w:sz w:val="24"/>
          <w:highlight w:val="none"/>
        </w:rPr>
      </w:pPr>
    </w:p>
    <w:p w14:paraId="70326767">
      <w:pPr>
        <w:pStyle w:val="31"/>
        <w:rPr>
          <w:rFonts w:ascii="宋体" w:hAnsi="宋体"/>
          <w:b/>
          <w:bCs/>
          <w:color w:val="auto"/>
          <w:sz w:val="24"/>
          <w:highlight w:val="none"/>
        </w:rPr>
      </w:pPr>
    </w:p>
    <w:p w14:paraId="496D6874">
      <w:pPr>
        <w:pStyle w:val="32"/>
        <w:rPr>
          <w:rFonts w:ascii="宋体" w:hAnsi="宋体"/>
          <w:b/>
          <w:bCs/>
          <w:color w:val="auto"/>
          <w:sz w:val="24"/>
          <w:highlight w:val="none"/>
        </w:rPr>
      </w:pPr>
    </w:p>
    <w:p w14:paraId="05403588">
      <w:pPr>
        <w:pStyle w:val="31"/>
        <w:rPr>
          <w:rFonts w:ascii="宋体" w:hAnsi="宋体"/>
          <w:b/>
          <w:bCs/>
          <w:color w:val="auto"/>
          <w:sz w:val="24"/>
          <w:highlight w:val="none"/>
        </w:rPr>
      </w:pPr>
    </w:p>
    <w:p w14:paraId="26F8AE7A">
      <w:pPr>
        <w:pStyle w:val="32"/>
        <w:rPr>
          <w:rFonts w:ascii="宋体" w:hAnsi="宋体"/>
          <w:b/>
          <w:bCs/>
          <w:color w:val="auto"/>
          <w:sz w:val="24"/>
          <w:highlight w:val="none"/>
        </w:rPr>
      </w:pPr>
    </w:p>
    <w:p w14:paraId="0DE643E0">
      <w:pPr>
        <w:pStyle w:val="31"/>
        <w:rPr>
          <w:rFonts w:ascii="宋体" w:hAnsi="宋体"/>
          <w:b/>
          <w:bCs/>
          <w:color w:val="auto"/>
          <w:sz w:val="24"/>
          <w:highlight w:val="none"/>
        </w:rPr>
      </w:pPr>
    </w:p>
    <w:p w14:paraId="2514A588">
      <w:pPr>
        <w:pStyle w:val="32"/>
        <w:rPr>
          <w:rFonts w:ascii="宋体" w:hAnsi="宋体"/>
          <w:b/>
          <w:bCs/>
          <w:color w:val="auto"/>
          <w:sz w:val="24"/>
          <w:highlight w:val="none"/>
        </w:rPr>
      </w:pPr>
    </w:p>
    <w:p w14:paraId="00354318">
      <w:pPr>
        <w:pStyle w:val="31"/>
        <w:rPr>
          <w:rFonts w:ascii="宋体" w:hAnsi="宋体"/>
          <w:b/>
          <w:bCs/>
          <w:color w:val="auto"/>
          <w:sz w:val="24"/>
          <w:highlight w:val="none"/>
        </w:rPr>
      </w:pPr>
    </w:p>
    <w:p w14:paraId="6FA51857">
      <w:pPr>
        <w:pStyle w:val="32"/>
        <w:rPr>
          <w:rFonts w:ascii="宋体" w:hAnsi="宋体"/>
          <w:b/>
          <w:bCs/>
          <w:color w:val="auto"/>
          <w:sz w:val="24"/>
          <w:highlight w:val="none"/>
        </w:rPr>
      </w:pPr>
    </w:p>
    <w:p w14:paraId="741064BD">
      <w:pPr>
        <w:pStyle w:val="31"/>
        <w:rPr>
          <w:rFonts w:ascii="宋体" w:hAnsi="宋体"/>
          <w:b/>
          <w:bCs/>
          <w:color w:val="auto"/>
          <w:sz w:val="24"/>
          <w:highlight w:val="none"/>
        </w:rPr>
      </w:pPr>
    </w:p>
    <w:p w14:paraId="4796405F">
      <w:pPr>
        <w:pStyle w:val="32"/>
        <w:rPr>
          <w:rFonts w:ascii="宋体" w:hAnsi="宋体"/>
          <w:b/>
          <w:bCs/>
          <w:color w:val="auto"/>
          <w:sz w:val="24"/>
          <w:highlight w:val="none"/>
        </w:rPr>
      </w:pPr>
    </w:p>
    <w:p w14:paraId="53DBD8DA">
      <w:pPr>
        <w:pStyle w:val="31"/>
        <w:rPr>
          <w:rFonts w:ascii="宋体" w:hAnsi="宋体"/>
          <w:b/>
          <w:bCs/>
          <w:color w:val="auto"/>
          <w:sz w:val="24"/>
          <w:highlight w:val="none"/>
        </w:rPr>
      </w:pPr>
    </w:p>
    <w:p w14:paraId="10EA3D5E">
      <w:pPr>
        <w:pStyle w:val="32"/>
        <w:rPr>
          <w:rFonts w:ascii="宋体" w:hAnsi="宋体"/>
          <w:b/>
          <w:bCs/>
          <w:color w:val="auto"/>
          <w:sz w:val="24"/>
          <w:highlight w:val="none"/>
        </w:rPr>
      </w:pPr>
    </w:p>
    <w:p w14:paraId="177060F6">
      <w:pPr>
        <w:pStyle w:val="31"/>
        <w:rPr>
          <w:rFonts w:ascii="宋体" w:hAnsi="宋体"/>
          <w:b/>
          <w:bCs/>
          <w:color w:val="auto"/>
          <w:sz w:val="24"/>
          <w:highlight w:val="none"/>
        </w:rPr>
      </w:pPr>
    </w:p>
    <w:p w14:paraId="468B09EE">
      <w:pPr>
        <w:pStyle w:val="32"/>
        <w:rPr>
          <w:rFonts w:ascii="宋体" w:hAnsi="宋体"/>
          <w:b/>
          <w:bCs/>
          <w:color w:val="auto"/>
          <w:sz w:val="24"/>
          <w:highlight w:val="none"/>
        </w:rPr>
      </w:pPr>
    </w:p>
    <w:p w14:paraId="1CF4A110">
      <w:pPr>
        <w:pStyle w:val="31"/>
        <w:rPr>
          <w:rFonts w:ascii="宋体" w:hAnsi="宋体"/>
          <w:b/>
          <w:bCs/>
          <w:color w:val="auto"/>
          <w:sz w:val="24"/>
          <w:highlight w:val="none"/>
        </w:rPr>
      </w:pPr>
    </w:p>
    <w:p w14:paraId="53CD2EC5">
      <w:pPr>
        <w:pStyle w:val="32"/>
        <w:rPr>
          <w:rFonts w:ascii="宋体" w:hAnsi="宋体"/>
          <w:b/>
          <w:bCs/>
          <w:color w:val="auto"/>
          <w:sz w:val="24"/>
          <w:highlight w:val="none"/>
        </w:rPr>
      </w:pPr>
    </w:p>
    <w:p w14:paraId="272B7002">
      <w:pPr>
        <w:pStyle w:val="31"/>
        <w:rPr>
          <w:rFonts w:ascii="宋体" w:hAnsi="宋体"/>
          <w:b/>
          <w:bCs/>
          <w:color w:val="auto"/>
          <w:sz w:val="24"/>
          <w:highlight w:val="none"/>
        </w:rPr>
      </w:pPr>
    </w:p>
    <w:p w14:paraId="5A988C69">
      <w:pPr>
        <w:pStyle w:val="32"/>
        <w:rPr>
          <w:rFonts w:ascii="宋体" w:hAnsi="宋体"/>
          <w:b/>
          <w:bCs/>
          <w:color w:val="auto"/>
          <w:sz w:val="24"/>
          <w:highlight w:val="none"/>
        </w:rPr>
      </w:pPr>
    </w:p>
    <w:p w14:paraId="3A7425AD">
      <w:pPr>
        <w:pStyle w:val="31"/>
        <w:rPr>
          <w:rFonts w:ascii="宋体" w:hAnsi="宋体"/>
          <w:b/>
          <w:bCs/>
          <w:color w:val="auto"/>
          <w:sz w:val="24"/>
          <w:highlight w:val="none"/>
        </w:rPr>
      </w:pPr>
    </w:p>
    <w:p w14:paraId="172CB18D">
      <w:pPr>
        <w:pStyle w:val="32"/>
        <w:rPr>
          <w:color w:val="auto"/>
        </w:rPr>
      </w:pPr>
    </w:p>
    <w:p w14:paraId="700B16E6">
      <w:pPr>
        <w:pStyle w:val="2"/>
        <w:spacing w:line="360" w:lineRule="auto"/>
        <w:jc w:val="center"/>
        <w:rPr>
          <w:rFonts w:ascii="宋体" w:cs="宋体"/>
          <w:color w:val="auto"/>
          <w:sz w:val="36"/>
          <w:highlight w:val="none"/>
        </w:rPr>
      </w:pPr>
      <w:bookmarkStart w:id="95" w:name="_Toc22137"/>
      <w:bookmarkStart w:id="96" w:name="_Toc23492"/>
      <w:bookmarkStart w:id="97" w:name="_Toc16105"/>
      <w:r>
        <w:rPr>
          <w:rFonts w:hint="eastAsia" w:ascii="宋体" w:hAnsi="宋体" w:cs="宋体"/>
          <w:color w:val="auto"/>
          <w:sz w:val="36"/>
          <w:highlight w:val="none"/>
        </w:rPr>
        <w:t>响应文件</w:t>
      </w:r>
      <w:r>
        <w:rPr>
          <w:rFonts w:hint="eastAsia" w:ascii="宋体" w:hAnsi="宋体" w:cs="宋体"/>
          <w:color w:val="auto"/>
          <w:sz w:val="36"/>
          <w:highlight w:val="none"/>
          <w:lang w:eastAsia="zh-CN"/>
        </w:rPr>
        <w:t>技术文件</w:t>
      </w:r>
      <w:r>
        <w:rPr>
          <w:rFonts w:hint="eastAsia" w:ascii="宋体" w:hAnsi="宋体" w:cs="宋体"/>
          <w:color w:val="auto"/>
          <w:sz w:val="36"/>
          <w:highlight w:val="none"/>
        </w:rPr>
        <w:t>部分</w:t>
      </w:r>
      <w:bookmarkEnd w:id="95"/>
      <w:bookmarkEnd w:id="96"/>
      <w:bookmarkEnd w:id="97"/>
    </w:p>
    <w:p w14:paraId="749516A5">
      <w:pPr>
        <w:pStyle w:val="3"/>
        <w:spacing w:line="360" w:lineRule="auto"/>
        <w:jc w:val="center"/>
        <w:rPr>
          <w:rFonts w:ascii="宋体" w:hAnsi="宋体" w:eastAsia="宋体" w:cs="宋体"/>
          <w:color w:val="auto"/>
          <w:kern w:val="0"/>
          <w:highlight w:val="none"/>
        </w:rPr>
      </w:pPr>
      <w:bookmarkStart w:id="98" w:name="_Toc13855"/>
      <w:bookmarkStart w:id="99" w:name="_Toc9157"/>
      <w:bookmarkStart w:id="100" w:name="_Toc9540"/>
      <w:r>
        <w:rPr>
          <w:rFonts w:hint="eastAsia" w:ascii="宋体" w:hAnsi="宋体" w:eastAsia="宋体" w:cs="宋体"/>
          <w:color w:val="auto"/>
          <w:kern w:val="0"/>
          <w:highlight w:val="none"/>
        </w:rPr>
        <w:t>封面格式</w:t>
      </w:r>
      <w:bookmarkEnd w:id="98"/>
      <w:bookmarkEnd w:id="99"/>
      <w:bookmarkEnd w:id="100"/>
    </w:p>
    <w:p w14:paraId="087ED580">
      <w:pPr>
        <w:pStyle w:val="31"/>
        <w:spacing w:line="360" w:lineRule="auto"/>
        <w:rPr>
          <w:rFonts w:ascii="宋体" w:hAnsi="宋体"/>
          <w:b/>
          <w:bCs/>
          <w:color w:val="auto"/>
          <w:sz w:val="24"/>
          <w:highlight w:val="none"/>
        </w:rPr>
      </w:pPr>
    </w:p>
    <w:p w14:paraId="6A2FE34E">
      <w:pPr>
        <w:pStyle w:val="31"/>
        <w:rPr>
          <w:color w:val="auto"/>
          <w:highlight w:val="none"/>
        </w:rPr>
      </w:pP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5A2D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0BAAF85C">
            <w:pPr>
              <w:autoSpaceDE w:val="0"/>
              <w:autoSpaceDN w:val="0"/>
              <w:adjustRightInd w:val="0"/>
              <w:spacing w:line="360" w:lineRule="auto"/>
              <w:jc w:val="center"/>
              <w:outlineLvl w:val="0"/>
              <w:rPr>
                <w:rFonts w:hint="eastAsia" w:ascii="宋体" w:eastAsia="宋体" w:cs="宋体"/>
                <w:b/>
                <w:color w:val="auto"/>
                <w:kern w:val="0"/>
                <w:sz w:val="22"/>
                <w:szCs w:val="21"/>
                <w:highlight w:val="none"/>
                <w:lang w:eastAsia="zh-CN"/>
              </w:rPr>
            </w:pPr>
            <w:bookmarkStart w:id="101" w:name="_Toc31228"/>
            <w:r>
              <w:rPr>
                <w:rFonts w:hint="eastAsia" w:ascii="宋体" w:hAnsi="宋体" w:cs="宋体"/>
                <w:b/>
                <w:color w:val="auto"/>
                <w:kern w:val="0"/>
                <w:sz w:val="32"/>
                <w:szCs w:val="21"/>
                <w:highlight w:val="none"/>
                <w:lang w:eastAsia="zh-CN"/>
              </w:rPr>
              <w:t>（项目名称）</w:t>
            </w:r>
            <w:bookmarkEnd w:id="101"/>
          </w:p>
          <w:p w14:paraId="62876ED0">
            <w:pPr>
              <w:autoSpaceDE w:val="0"/>
              <w:autoSpaceDN w:val="0"/>
              <w:adjustRightInd w:val="0"/>
              <w:spacing w:line="360" w:lineRule="auto"/>
              <w:jc w:val="center"/>
              <w:outlineLvl w:val="0"/>
              <w:rPr>
                <w:rFonts w:ascii="宋体" w:cs="宋体"/>
                <w:color w:val="auto"/>
                <w:kern w:val="0"/>
                <w:sz w:val="22"/>
                <w:szCs w:val="21"/>
                <w:highlight w:val="none"/>
              </w:rPr>
            </w:pPr>
          </w:p>
          <w:p w14:paraId="1BAE53A9">
            <w:pPr>
              <w:pStyle w:val="28"/>
              <w:rPr>
                <w:rFonts w:ascii="宋体" w:cs="宋体"/>
                <w:color w:val="auto"/>
                <w:kern w:val="0"/>
                <w:sz w:val="22"/>
                <w:szCs w:val="21"/>
                <w:highlight w:val="none"/>
              </w:rPr>
            </w:pPr>
          </w:p>
          <w:p w14:paraId="2EBF4C1F">
            <w:pPr>
              <w:pStyle w:val="28"/>
              <w:rPr>
                <w:rFonts w:ascii="宋体" w:cs="宋体"/>
                <w:color w:val="auto"/>
                <w:kern w:val="0"/>
                <w:sz w:val="22"/>
                <w:szCs w:val="21"/>
                <w:highlight w:val="none"/>
              </w:rPr>
            </w:pPr>
          </w:p>
          <w:p w14:paraId="51BA1906">
            <w:pPr>
              <w:pStyle w:val="28"/>
              <w:rPr>
                <w:rFonts w:ascii="宋体" w:cs="宋体"/>
                <w:color w:val="auto"/>
                <w:kern w:val="0"/>
                <w:sz w:val="22"/>
                <w:szCs w:val="21"/>
                <w:highlight w:val="none"/>
              </w:rPr>
            </w:pPr>
          </w:p>
          <w:p w14:paraId="650E0559">
            <w:pPr>
              <w:pStyle w:val="28"/>
              <w:rPr>
                <w:rFonts w:ascii="宋体" w:cs="宋体"/>
                <w:color w:val="auto"/>
                <w:kern w:val="0"/>
                <w:sz w:val="22"/>
                <w:szCs w:val="21"/>
                <w:highlight w:val="none"/>
              </w:rPr>
            </w:pPr>
          </w:p>
          <w:p w14:paraId="006BD003">
            <w:pPr>
              <w:pStyle w:val="28"/>
              <w:rPr>
                <w:rFonts w:ascii="宋体" w:cs="宋体"/>
                <w:color w:val="auto"/>
                <w:kern w:val="0"/>
                <w:sz w:val="22"/>
                <w:szCs w:val="21"/>
                <w:highlight w:val="none"/>
              </w:rPr>
            </w:pPr>
          </w:p>
          <w:p w14:paraId="773165B7">
            <w:pPr>
              <w:pStyle w:val="28"/>
              <w:rPr>
                <w:rFonts w:ascii="宋体" w:cs="宋体"/>
                <w:color w:val="auto"/>
                <w:kern w:val="0"/>
                <w:sz w:val="22"/>
                <w:szCs w:val="21"/>
                <w:highlight w:val="none"/>
              </w:rPr>
            </w:pPr>
          </w:p>
          <w:p w14:paraId="196151A2">
            <w:pPr>
              <w:pStyle w:val="28"/>
              <w:rPr>
                <w:rFonts w:ascii="宋体" w:cs="宋体"/>
                <w:color w:val="auto"/>
                <w:kern w:val="0"/>
                <w:sz w:val="22"/>
                <w:szCs w:val="21"/>
                <w:highlight w:val="none"/>
              </w:rPr>
            </w:pPr>
          </w:p>
          <w:p w14:paraId="6F97C4BC">
            <w:pPr>
              <w:autoSpaceDE w:val="0"/>
              <w:autoSpaceDN w:val="0"/>
              <w:adjustRightInd w:val="0"/>
              <w:spacing w:line="360" w:lineRule="auto"/>
              <w:jc w:val="center"/>
              <w:outlineLvl w:val="0"/>
              <w:rPr>
                <w:rFonts w:ascii="宋体" w:cs="宋体"/>
                <w:color w:val="auto"/>
                <w:kern w:val="0"/>
                <w:sz w:val="22"/>
                <w:szCs w:val="21"/>
                <w:highlight w:val="none"/>
              </w:rPr>
            </w:pPr>
          </w:p>
          <w:p w14:paraId="3A6575CD">
            <w:pPr>
              <w:autoSpaceDE w:val="0"/>
              <w:autoSpaceDN w:val="0"/>
              <w:adjustRightInd w:val="0"/>
              <w:spacing w:line="360" w:lineRule="auto"/>
              <w:jc w:val="center"/>
              <w:outlineLvl w:val="0"/>
              <w:rPr>
                <w:rFonts w:ascii="宋体" w:cs="宋体"/>
                <w:b/>
                <w:color w:val="auto"/>
                <w:kern w:val="0"/>
                <w:sz w:val="56"/>
                <w:szCs w:val="21"/>
                <w:highlight w:val="none"/>
              </w:rPr>
            </w:pPr>
            <w:bookmarkStart w:id="102" w:name="_Toc20346"/>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102"/>
          </w:p>
          <w:p w14:paraId="3FFF369E">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14:paraId="2A074FF8">
            <w:pPr>
              <w:autoSpaceDE w:val="0"/>
              <w:autoSpaceDN w:val="0"/>
              <w:adjustRightInd w:val="0"/>
              <w:spacing w:line="360" w:lineRule="auto"/>
              <w:jc w:val="center"/>
              <w:outlineLvl w:val="0"/>
              <w:rPr>
                <w:rFonts w:ascii="宋体" w:cs="宋体"/>
                <w:color w:val="auto"/>
                <w:kern w:val="0"/>
                <w:sz w:val="22"/>
                <w:szCs w:val="21"/>
                <w:highlight w:val="none"/>
              </w:rPr>
            </w:pPr>
          </w:p>
          <w:p w14:paraId="2AF47E55">
            <w:pPr>
              <w:autoSpaceDE w:val="0"/>
              <w:autoSpaceDN w:val="0"/>
              <w:adjustRightInd w:val="0"/>
              <w:spacing w:line="360" w:lineRule="auto"/>
              <w:jc w:val="center"/>
              <w:outlineLvl w:val="0"/>
              <w:rPr>
                <w:rFonts w:ascii="宋体" w:cs="宋体"/>
                <w:color w:val="auto"/>
                <w:kern w:val="0"/>
                <w:sz w:val="22"/>
                <w:szCs w:val="21"/>
                <w:highlight w:val="none"/>
              </w:rPr>
            </w:pPr>
          </w:p>
          <w:p w14:paraId="3C6446BD">
            <w:pPr>
              <w:autoSpaceDE w:val="0"/>
              <w:autoSpaceDN w:val="0"/>
              <w:adjustRightInd w:val="0"/>
              <w:spacing w:line="360" w:lineRule="auto"/>
              <w:jc w:val="center"/>
              <w:outlineLvl w:val="0"/>
              <w:rPr>
                <w:rFonts w:ascii="宋体" w:hAnsi="宋体" w:cs="宋体"/>
                <w:color w:val="auto"/>
                <w:kern w:val="0"/>
                <w:sz w:val="22"/>
                <w:szCs w:val="21"/>
                <w:highlight w:val="none"/>
              </w:rPr>
            </w:pPr>
          </w:p>
          <w:p w14:paraId="3BFB5EF2">
            <w:pPr>
              <w:pStyle w:val="28"/>
              <w:rPr>
                <w:color w:val="auto"/>
                <w:highlight w:val="none"/>
              </w:rPr>
            </w:pPr>
          </w:p>
          <w:p w14:paraId="6A82F3C1">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03" w:name="_Toc20289"/>
            <w:r>
              <w:rPr>
                <w:rFonts w:hint="eastAsia" w:ascii="宋体" w:hAnsi="宋体" w:cs="宋体"/>
                <w:color w:val="auto"/>
                <w:kern w:val="0"/>
                <w:sz w:val="24"/>
                <w:szCs w:val="21"/>
                <w:highlight w:val="none"/>
              </w:rPr>
              <w:t>项目名称：</w:t>
            </w:r>
            <w:bookmarkEnd w:id="103"/>
          </w:p>
          <w:p w14:paraId="0ACDBDAA">
            <w:pPr>
              <w:autoSpaceDE w:val="0"/>
              <w:autoSpaceDN w:val="0"/>
              <w:adjustRightInd w:val="0"/>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技术文件</w:t>
            </w:r>
            <w:r>
              <w:rPr>
                <w:rFonts w:hint="eastAsia" w:ascii="宋体" w:hAnsi="宋体" w:cs="宋体"/>
                <w:color w:val="auto"/>
                <w:kern w:val="0"/>
                <w:sz w:val="24"/>
                <w:szCs w:val="21"/>
                <w:highlight w:val="none"/>
                <w:u w:val="single"/>
              </w:rPr>
              <w:t>部分</w:t>
            </w:r>
          </w:p>
          <w:p w14:paraId="57ACA9DB">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04" w:name="_Toc7578"/>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（盖章）</w:t>
            </w:r>
            <w:bookmarkEnd w:id="104"/>
          </w:p>
          <w:p w14:paraId="0788FC74">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105" w:name="_Toc7735"/>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105"/>
          </w:p>
          <w:p w14:paraId="0F6814B4">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年</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月</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日</w:t>
            </w:r>
          </w:p>
        </w:tc>
      </w:tr>
    </w:tbl>
    <w:p w14:paraId="37412F30">
      <w:pPr>
        <w:pStyle w:val="31"/>
        <w:spacing w:line="360" w:lineRule="auto"/>
        <w:rPr>
          <w:rFonts w:ascii="宋体" w:hAnsi="宋体" w:cs="宋体"/>
          <w:color w:val="auto"/>
          <w:sz w:val="24"/>
          <w:highlight w:val="none"/>
        </w:rPr>
      </w:pPr>
    </w:p>
    <w:p w14:paraId="3B0014CE">
      <w:pPr>
        <w:pStyle w:val="31"/>
        <w:spacing w:line="360" w:lineRule="auto"/>
        <w:rPr>
          <w:rFonts w:ascii="宋体" w:hAnsi="宋体" w:cs="宋体"/>
          <w:color w:val="auto"/>
          <w:sz w:val="24"/>
          <w:highlight w:val="none"/>
        </w:rPr>
      </w:pPr>
    </w:p>
    <w:p w14:paraId="0AF44642">
      <w:pPr>
        <w:pStyle w:val="31"/>
        <w:spacing w:line="360" w:lineRule="auto"/>
        <w:rPr>
          <w:rFonts w:ascii="宋体" w:hAnsi="宋体" w:cs="宋体"/>
          <w:color w:val="auto"/>
          <w:sz w:val="24"/>
          <w:highlight w:val="none"/>
        </w:rPr>
      </w:pPr>
    </w:p>
    <w:p w14:paraId="51C48507">
      <w:pPr>
        <w:pStyle w:val="32"/>
        <w:rPr>
          <w:rFonts w:ascii="宋体" w:hAnsi="宋体" w:cs="宋体"/>
          <w:color w:val="auto"/>
          <w:sz w:val="24"/>
          <w:highlight w:val="none"/>
        </w:rPr>
      </w:pPr>
    </w:p>
    <w:p w14:paraId="69C3AE57">
      <w:pPr>
        <w:pStyle w:val="31"/>
        <w:rPr>
          <w:rFonts w:ascii="宋体" w:hAnsi="宋体" w:cs="宋体"/>
          <w:color w:val="auto"/>
          <w:sz w:val="24"/>
          <w:highlight w:val="none"/>
        </w:rPr>
      </w:pPr>
    </w:p>
    <w:p w14:paraId="2DF5C601">
      <w:pPr>
        <w:pStyle w:val="32"/>
        <w:rPr>
          <w:color w:val="auto"/>
          <w:highlight w:val="none"/>
        </w:rPr>
      </w:pPr>
    </w:p>
    <w:p w14:paraId="1DDFABF0">
      <w:pPr>
        <w:pStyle w:val="31"/>
        <w:spacing w:line="360" w:lineRule="auto"/>
        <w:jc w:val="center"/>
        <w:rPr>
          <w:rFonts w:ascii="宋体" w:hAnsi="宋体" w:cs="宋体"/>
          <w:color w:val="auto"/>
          <w:sz w:val="24"/>
          <w:highlight w:val="none"/>
        </w:rPr>
      </w:pPr>
    </w:p>
    <w:p w14:paraId="7B648CE6">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5C06CF41">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4F8653D0">
      <w:pPr>
        <w:pStyle w:val="31"/>
        <w:spacing w:line="360" w:lineRule="auto"/>
        <w:jc w:val="center"/>
        <w:rPr>
          <w:rFonts w:ascii="宋体" w:hAnsi="宋体"/>
          <w:b/>
          <w:color w:val="auto"/>
          <w:sz w:val="28"/>
          <w:szCs w:val="28"/>
          <w:highlight w:val="none"/>
        </w:rPr>
      </w:pPr>
    </w:p>
    <w:p w14:paraId="7C3B377B">
      <w:pPr>
        <w:spacing w:line="360" w:lineRule="auto"/>
        <w:rPr>
          <w:b/>
          <w:bCs/>
          <w:color w:val="auto"/>
          <w:sz w:val="24"/>
          <w:szCs w:val="28"/>
          <w:highlight w:val="none"/>
        </w:rPr>
      </w:pPr>
      <w:r>
        <w:rPr>
          <w:rFonts w:hint="eastAsia"/>
          <w:b/>
          <w:bCs/>
          <w:color w:val="auto"/>
          <w:sz w:val="24"/>
          <w:szCs w:val="28"/>
          <w:highlight w:val="none"/>
          <w:lang w:val="en-US" w:eastAsia="zh-CN"/>
        </w:rPr>
        <w:t>1、</w:t>
      </w:r>
      <w:r>
        <w:rPr>
          <w:b/>
          <w:bCs/>
          <w:color w:val="auto"/>
          <w:sz w:val="24"/>
          <w:szCs w:val="28"/>
          <w:highlight w:val="none"/>
        </w:rPr>
        <w:t>施工组织设计；</w:t>
      </w:r>
    </w:p>
    <w:p w14:paraId="05D28132">
      <w:pPr>
        <w:spacing w:line="360" w:lineRule="auto"/>
        <w:rPr>
          <w:b/>
          <w:bCs/>
          <w:color w:val="auto"/>
          <w:sz w:val="24"/>
          <w:szCs w:val="28"/>
          <w:highlight w:val="none"/>
        </w:rPr>
      </w:pPr>
      <w:r>
        <w:rPr>
          <w:rFonts w:hint="eastAsia"/>
          <w:b/>
          <w:bCs/>
          <w:color w:val="auto"/>
          <w:sz w:val="24"/>
          <w:szCs w:val="28"/>
          <w:highlight w:val="none"/>
          <w:lang w:val="en-US" w:eastAsia="zh-CN"/>
        </w:rPr>
        <w:t>2</w:t>
      </w:r>
      <w:r>
        <w:rPr>
          <w:rFonts w:hint="eastAsia"/>
          <w:b/>
          <w:bCs/>
          <w:color w:val="auto"/>
          <w:sz w:val="24"/>
          <w:szCs w:val="28"/>
          <w:highlight w:val="none"/>
        </w:rPr>
        <w:t>、</w:t>
      </w:r>
      <w:r>
        <w:rPr>
          <w:b/>
          <w:bCs/>
          <w:color w:val="auto"/>
          <w:sz w:val="24"/>
          <w:szCs w:val="28"/>
          <w:highlight w:val="none"/>
        </w:rPr>
        <w:t>项目管理机构</w:t>
      </w:r>
      <w:r>
        <w:rPr>
          <w:rFonts w:hint="eastAsia"/>
          <w:b/>
          <w:bCs/>
          <w:color w:val="auto"/>
          <w:sz w:val="24"/>
          <w:szCs w:val="28"/>
          <w:highlight w:val="none"/>
        </w:rPr>
        <w:t>：</w:t>
      </w:r>
    </w:p>
    <w:p w14:paraId="52A832C7">
      <w:pPr>
        <w:pStyle w:val="35"/>
        <w:spacing w:line="460" w:lineRule="exact"/>
        <w:rPr>
          <w:color w:val="auto"/>
          <w:highlight w:val="none"/>
        </w:rPr>
      </w:pPr>
      <w:r>
        <w:rPr>
          <w:rFonts w:hint="eastAsia"/>
          <w:color w:val="auto"/>
          <w:highlight w:val="none"/>
        </w:rPr>
        <w:t>（1）</w:t>
      </w:r>
      <w:r>
        <w:rPr>
          <w:color w:val="auto"/>
          <w:highlight w:val="none"/>
        </w:rPr>
        <w:t>项目管理机构配备情况表；</w:t>
      </w:r>
    </w:p>
    <w:p w14:paraId="169E4765">
      <w:pPr>
        <w:pStyle w:val="35"/>
        <w:spacing w:line="460" w:lineRule="exact"/>
        <w:rPr>
          <w:color w:val="auto"/>
          <w:highlight w:val="none"/>
        </w:rPr>
      </w:pPr>
      <w:r>
        <w:rPr>
          <w:rFonts w:hint="eastAsia"/>
          <w:color w:val="auto"/>
          <w:highlight w:val="none"/>
        </w:rPr>
        <w:t>（2）</w:t>
      </w:r>
      <w:r>
        <w:rPr>
          <w:color w:val="auto"/>
          <w:highlight w:val="none"/>
        </w:rPr>
        <w:t>项目经理（注册建造师）简历表；</w:t>
      </w:r>
    </w:p>
    <w:p w14:paraId="34C4431E">
      <w:pPr>
        <w:pStyle w:val="35"/>
        <w:spacing w:line="460" w:lineRule="exact"/>
        <w:rPr>
          <w:color w:val="auto"/>
          <w:highlight w:val="none"/>
        </w:rPr>
      </w:pPr>
      <w:r>
        <w:rPr>
          <w:rFonts w:hint="eastAsia"/>
          <w:color w:val="auto"/>
          <w:highlight w:val="none"/>
        </w:rPr>
        <w:t>（3）</w:t>
      </w:r>
      <w:r>
        <w:rPr>
          <w:color w:val="auto"/>
          <w:highlight w:val="none"/>
        </w:rPr>
        <w:t>项目技术负责人简历表。</w:t>
      </w:r>
    </w:p>
    <w:p w14:paraId="24C32C2B">
      <w:pPr>
        <w:pStyle w:val="35"/>
        <w:spacing w:line="460" w:lineRule="exact"/>
        <w:rPr>
          <w:rFonts w:hint="eastAsia" w:ascii="Calibri" w:hAnsi="Calibri" w:eastAsia="宋体" w:cs="Times New Roman"/>
          <w:b/>
          <w:bCs/>
          <w:color w:val="auto"/>
          <w:kern w:val="2"/>
          <w:sz w:val="24"/>
          <w:szCs w:val="28"/>
          <w:highlight w:val="none"/>
          <w:lang w:val="en-US" w:eastAsia="zh-CN" w:bidi="ar-SA"/>
        </w:rPr>
      </w:pPr>
      <w:r>
        <w:rPr>
          <w:rFonts w:hint="eastAsia" w:ascii="Calibri" w:hAnsi="Calibri" w:cs="Times New Roman"/>
          <w:b/>
          <w:bCs/>
          <w:color w:val="auto"/>
          <w:kern w:val="2"/>
          <w:sz w:val="24"/>
          <w:szCs w:val="28"/>
          <w:highlight w:val="none"/>
          <w:lang w:val="en-US" w:eastAsia="zh-CN" w:bidi="ar-SA"/>
        </w:rPr>
        <w:t>3</w:t>
      </w:r>
      <w:r>
        <w:rPr>
          <w:rFonts w:hint="eastAsia" w:ascii="Calibri" w:hAnsi="Calibri" w:eastAsia="宋体" w:cs="Times New Roman"/>
          <w:b/>
          <w:bCs/>
          <w:color w:val="auto"/>
          <w:kern w:val="2"/>
          <w:sz w:val="24"/>
          <w:szCs w:val="28"/>
          <w:highlight w:val="none"/>
          <w:lang w:val="en-US" w:eastAsia="zh-CN" w:bidi="ar-SA"/>
        </w:rPr>
        <w:t>、供应商认为有必要提供的声明及其他证明材料（如有，请提供）</w:t>
      </w:r>
    </w:p>
    <w:p w14:paraId="4040DCC8">
      <w:pPr>
        <w:spacing w:line="460" w:lineRule="exact"/>
        <w:ind w:firstLine="400" w:firstLineChars="200"/>
        <w:rPr>
          <w:color w:val="auto"/>
          <w:szCs w:val="28"/>
          <w:highlight w:val="none"/>
        </w:rPr>
      </w:pPr>
    </w:p>
    <w:p w14:paraId="5AF82206">
      <w:pPr>
        <w:pStyle w:val="28"/>
        <w:rPr>
          <w:color w:val="auto"/>
          <w:highlight w:val="none"/>
        </w:rPr>
      </w:pPr>
    </w:p>
    <w:p w14:paraId="643EAC07">
      <w:pPr>
        <w:pStyle w:val="2"/>
        <w:spacing w:line="360" w:lineRule="auto"/>
        <w:jc w:val="center"/>
        <w:rPr>
          <w:rFonts w:ascii="宋体" w:hAnsi="宋体" w:cs="宋体"/>
          <w:color w:val="auto"/>
          <w:sz w:val="36"/>
          <w:highlight w:val="none"/>
        </w:rPr>
      </w:pPr>
    </w:p>
    <w:p w14:paraId="07226B58">
      <w:pPr>
        <w:pStyle w:val="2"/>
        <w:spacing w:line="360" w:lineRule="auto"/>
        <w:jc w:val="center"/>
        <w:rPr>
          <w:rFonts w:ascii="宋体" w:hAnsi="宋体" w:cs="宋体"/>
          <w:color w:val="auto"/>
          <w:sz w:val="36"/>
          <w:highlight w:val="none"/>
        </w:rPr>
      </w:pPr>
    </w:p>
    <w:p w14:paraId="0BBB6527">
      <w:pPr>
        <w:pStyle w:val="2"/>
        <w:spacing w:line="360" w:lineRule="auto"/>
        <w:jc w:val="center"/>
        <w:rPr>
          <w:rFonts w:ascii="宋体" w:hAnsi="宋体" w:cs="宋体"/>
          <w:color w:val="auto"/>
          <w:sz w:val="36"/>
          <w:highlight w:val="none"/>
        </w:rPr>
      </w:pPr>
    </w:p>
    <w:p w14:paraId="01A430CF">
      <w:pPr>
        <w:rPr>
          <w:rFonts w:ascii="宋体" w:hAnsi="宋体" w:cs="宋体"/>
          <w:color w:val="auto"/>
          <w:sz w:val="36"/>
          <w:highlight w:val="none"/>
        </w:rPr>
      </w:pPr>
    </w:p>
    <w:p w14:paraId="0C43B73B">
      <w:pPr>
        <w:pStyle w:val="10"/>
        <w:rPr>
          <w:rFonts w:ascii="宋体" w:hAnsi="宋体" w:cs="宋体"/>
          <w:color w:val="auto"/>
          <w:sz w:val="36"/>
          <w:highlight w:val="none"/>
        </w:rPr>
      </w:pPr>
    </w:p>
    <w:p w14:paraId="11CCB85C">
      <w:pPr>
        <w:rPr>
          <w:rFonts w:ascii="宋体" w:hAnsi="宋体" w:cs="宋体"/>
          <w:color w:val="auto"/>
          <w:sz w:val="36"/>
          <w:highlight w:val="none"/>
        </w:rPr>
      </w:pPr>
    </w:p>
    <w:p w14:paraId="2AB3F4E0">
      <w:pPr>
        <w:pStyle w:val="10"/>
        <w:rPr>
          <w:rFonts w:ascii="宋体" w:hAnsi="宋体" w:cs="宋体"/>
          <w:color w:val="auto"/>
          <w:sz w:val="36"/>
          <w:highlight w:val="none"/>
        </w:rPr>
      </w:pPr>
    </w:p>
    <w:p w14:paraId="34DFDC5B">
      <w:pPr>
        <w:rPr>
          <w:rFonts w:ascii="宋体" w:hAnsi="宋体" w:cs="宋体"/>
          <w:color w:val="auto"/>
          <w:sz w:val="36"/>
          <w:highlight w:val="none"/>
        </w:rPr>
      </w:pPr>
    </w:p>
    <w:p w14:paraId="307911D6">
      <w:pPr>
        <w:pStyle w:val="10"/>
        <w:rPr>
          <w:color w:val="auto"/>
        </w:rPr>
      </w:pPr>
    </w:p>
    <w:p w14:paraId="363E0901">
      <w:pPr>
        <w:rPr>
          <w:rFonts w:ascii="宋体" w:hAnsi="宋体" w:cs="宋体"/>
          <w:color w:val="auto"/>
          <w:sz w:val="36"/>
          <w:highlight w:val="none"/>
        </w:rPr>
      </w:pPr>
    </w:p>
    <w:p w14:paraId="1297E32C">
      <w:pPr>
        <w:rPr>
          <w:rFonts w:ascii="宋体" w:hAnsi="宋体" w:cs="宋体"/>
          <w:color w:val="auto"/>
          <w:sz w:val="36"/>
          <w:highlight w:val="none"/>
        </w:rPr>
      </w:pPr>
    </w:p>
    <w:p w14:paraId="597B60C8">
      <w:pPr>
        <w:rPr>
          <w:rFonts w:ascii="宋体" w:hAnsi="宋体" w:cs="宋体"/>
          <w:color w:val="auto"/>
          <w:sz w:val="36"/>
          <w:highlight w:val="none"/>
        </w:rPr>
      </w:pPr>
    </w:p>
    <w:p w14:paraId="3E5F96C0">
      <w:pPr>
        <w:rPr>
          <w:rFonts w:ascii="宋体" w:hAnsi="宋体" w:cs="宋体"/>
          <w:color w:val="auto"/>
          <w:sz w:val="36"/>
          <w:highlight w:val="none"/>
        </w:rPr>
      </w:pPr>
    </w:p>
    <w:p w14:paraId="3453CE82">
      <w:pPr>
        <w:rPr>
          <w:rFonts w:ascii="宋体" w:hAnsi="宋体" w:cs="宋体"/>
          <w:color w:val="auto"/>
          <w:sz w:val="36"/>
          <w:highlight w:val="none"/>
        </w:rPr>
      </w:pPr>
    </w:p>
    <w:p w14:paraId="7DD888CD">
      <w:pPr>
        <w:rPr>
          <w:rFonts w:ascii="宋体" w:hAnsi="宋体" w:cs="宋体"/>
          <w:color w:val="auto"/>
          <w:sz w:val="36"/>
          <w:highlight w:val="none"/>
        </w:rPr>
      </w:pPr>
    </w:p>
    <w:p w14:paraId="735004EE">
      <w:pPr>
        <w:jc w:val="center"/>
        <w:rPr>
          <w:b/>
          <w:bCs/>
          <w:color w:val="auto"/>
          <w:sz w:val="28"/>
          <w:szCs w:val="28"/>
        </w:rPr>
      </w:pPr>
      <w:r>
        <w:rPr>
          <w:rFonts w:hint="eastAsia"/>
          <w:b/>
          <w:bCs/>
          <w:color w:val="auto"/>
          <w:sz w:val="28"/>
          <w:szCs w:val="28"/>
          <w:lang w:val="en-US" w:eastAsia="zh-CN"/>
        </w:rPr>
        <w:t>一</w:t>
      </w:r>
      <w:r>
        <w:rPr>
          <w:rFonts w:hint="eastAsia"/>
          <w:b/>
          <w:bCs/>
          <w:color w:val="auto"/>
          <w:sz w:val="28"/>
          <w:szCs w:val="28"/>
        </w:rPr>
        <w:t>、施工组织设计</w:t>
      </w:r>
    </w:p>
    <w:p w14:paraId="4FEB15AE">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1、</w:t>
      </w:r>
      <w:r>
        <w:rPr>
          <w:rFonts w:hint="eastAsia"/>
          <w:color w:val="auto"/>
          <w:sz w:val="21"/>
          <w:szCs w:val="22"/>
          <w:highlight w:val="none"/>
        </w:rPr>
        <w:t>磋商单位</w:t>
      </w:r>
      <w:r>
        <w:rPr>
          <w:color w:val="auto"/>
          <w:sz w:val="21"/>
          <w:szCs w:val="22"/>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CBA90F3">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2．施工组织设计除采用文字表述外可附下列图表，图表及格式要求附后。</w:t>
      </w:r>
    </w:p>
    <w:p w14:paraId="001E47A0">
      <w:pPr>
        <w:spacing w:line="460" w:lineRule="exact"/>
        <w:ind w:firstLine="420" w:firstLineChars="200"/>
        <w:rPr>
          <w:color w:val="auto"/>
          <w:sz w:val="21"/>
          <w:szCs w:val="22"/>
          <w:highlight w:val="none"/>
        </w:rPr>
      </w:pPr>
      <w:r>
        <w:rPr>
          <w:color w:val="auto"/>
          <w:sz w:val="21"/>
          <w:szCs w:val="22"/>
          <w:highlight w:val="none"/>
        </w:rPr>
        <w:t>附表一  拟投入本工程的主要施工设备表</w:t>
      </w:r>
    </w:p>
    <w:p w14:paraId="59C184D3">
      <w:pPr>
        <w:spacing w:line="460" w:lineRule="exact"/>
        <w:ind w:firstLine="420" w:firstLineChars="200"/>
        <w:rPr>
          <w:color w:val="auto"/>
          <w:sz w:val="21"/>
          <w:szCs w:val="22"/>
          <w:highlight w:val="none"/>
        </w:rPr>
      </w:pPr>
      <w:r>
        <w:rPr>
          <w:color w:val="auto"/>
          <w:sz w:val="21"/>
          <w:szCs w:val="22"/>
          <w:highlight w:val="none"/>
        </w:rPr>
        <w:t>附表二  拟配备本工程的试验和检测仪器设备表</w:t>
      </w:r>
    </w:p>
    <w:p w14:paraId="0DFFF4F5">
      <w:pPr>
        <w:spacing w:line="460" w:lineRule="exact"/>
        <w:ind w:firstLine="420" w:firstLineChars="200"/>
        <w:rPr>
          <w:color w:val="auto"/>
          <w:sz w:val="21"/>
          <w:szCs w:val="22"/>
          <w:highlight w:val="none"/>
        </w:rPr>
      </w:pPr>
      <w:r>
        <w:rPr>
          <w:color w:val="auto"/>
          <w:sz w:val="21"/>
          <w:szCs w:val="22"/>
          <w:highlight w:val="none"/>
        </w:rPr>
        <w:t>附表三  劳动力计划表</w:t>
      </w:r>
    </w:p>
    <w:p w14:paraId="0A1E2A37">
      <w:pPr>
        <w:spacing w:line="460" w:lineRule="exact"/>
        <w:ind w:firstLine="420" w:firstLineChars="200"/>
        <w:rPr>
          <w:color w:val="auto"/>
          <w:sz w:val="21"/>
          <w:szCs w:val="22"/>
          <w:highlight w:val="none"/>
        </w:rPr>
      </w:pPr>
      <w:r>
        <w:rPr>
          <w:color w:val="auto"/>
          <w:sz w:val="21"/>
          <w:szCs w:val="22"/>
          <w:highlight w:val="none"/>
        </w:rPr>
        <w:t>附表四  计划开、竣工日期和施工进度网络图</w:t>
      </w:r>
    </w:p>
    <w:p w14:paraId="6B091EAB">
      <w:pPr>
        <w:spacing w:line="460" w:lineRule="exact"/>
        <w:ind w:firstLine="420" w:firstLineChars="200"/>
        <w:rPr>
          <w:color w:val="auto"/>
          <w:sz w:val="21"/>
          <w:szCs w:val="22"/>
          <w:highlight w:val="none"/>
        </w:rPr>
      </w:pPr>
      <w:r>
        <w:rPr>
          <w:color w:val="auto"/>
          <w:sz w:val="21"/>
          <w:szCs w:val="22"/>
          <w:highlight w:val="none"/>
        </w:rPr>
        <w:t>附表五  施工总平面图</w:t>
      </w:r>
    </w:p>
    <w:p w14:paraId="1AEA9C77">
      <w:pPr>
        <w:spacing w:line="460" w:lineRule="exact"/>
        <w:ind w:firstLine="420" w:firstLineChars="200"/>
        <w:rPr>
          <w:color w:val="auto"/>
          <w:sz w:val="21"/>
          <w:szCs w:val="22"/>
          <w:highlight w:val="none"/>
        </w:rPr>
      </w:pPr>
      <w:r>
        <w:rPr>
          <w:color w:val="auto"/>
          <w:sz w:val="21"/>
          <w:szCs w:val="22"/>
          <w:highlight w:val="none"/>
        </w:rPr>
        <w:t>附表六  临时用地表</w:t>
      </w:r>
    </w:p>
    <w:p w14:paraId="1E1F1274">
      <w:pPr>
        <w:spacing w:line="460" w:lineRule="exact"/>
        <w:ind w:firstLine="420" w:firstLineChars="200"/>
        <w:rPr>
          <w:color w:val="auto"/>
          <w:sz w:val="21"/>
          <w:szCs w:val="22"/>
          <w:highlight w:val="none"/>
        </w:rPr>
      </w:pPr>
    </w:p>
    <w:p w14:paraId="3ADD6868">
      <w:pPr>
        <w:rPr>
          <w:color w:val="auto"/>
          <w:sz w:val="21"/>
          <w:szCs w:val="22"/>
          <w:highlight w:val="none"/>
        </w:rPr>
      </w:pPr>
      <w:r>
        <w:rPr>
          <w:color w:val="auto"/>
          <w:sz w:val="21"/>
          <w:szCs w:val="21"/>
          <w:highlight w:val="none"/>
        </w:rPr>
        <w:t>附表一：拟投入本</w:t>
      </w:r>
      <w:r>
        <w:rPr>
          <w:color w:val="auto"/>
          <w:sz w:val="21"/>
          <w:szCs w:val="22"/>
          <w:highlight w:val="none"/>
        </w:rPr>
        <w:t>工程</w:t>
      </w:r>
      <w:r>
        <w:rPr>
          <w:color w:val="auto"/>
          <w:sz w:val="21"/>
          <w:szCs w:val="21"/>
          <w:highlight w:val="none"/>
        </w:rPr>
        <w:t>的主要施工设备表</w:t>
      </w:r>
      <w:r>
        <w:rPr>
          <w:rFonts w:hint="eastAsia"/>
          <w:color w:val="auto"/>
          <w:sz w:val="21"/>
          <w:szCs w:val="21"/>
          <w:highlight w:val="none"/>
        </w:rPr>
        <w:t>（可根据项目实际情况增减内容）</w:t>
      </w:r>
    </w:p>
    <w:tbl>
      <w:tblPr>
        <w:tblStyle w:val="2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37C2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7" w:hRule="atLeast"/>
          <w:jc w:val="center"/>
        </w:trPr>
        <w:tc>
          <w:tcPr>
            <w:tcW w:w="758" w:type="dxa"/>
            <w:vAlign w:val="center"/>
          </w:tcPr>
          <w:p w14:paraId="715F400D">
            <w:pPr>
              <w:jc w:val="center"/>
              <w:rPr>
                <w:color w:val="auto"/>
                <w:sz w:val="21"/>
                <w:szCs w:val="22"/>
                <w:highlight w:val="none"/>
              </w:rPr>
            </w:pPr>
            <w:r>
              <w:rPr>
                <w:color w:val="auto"/>
                <w:sz w:val="21"/>
                <w:szCs w:val="22"/>
                <w:highlight w:val="none"/>
              </w:rPr>
              <w:t>序号</w:t>
            </w:r>
          </w:p>
        </w:tc>
        <w:tc>
          <w:tcPr>
            <w:tcW w:w="1226" w:type="dxa"/>
            <w:vAlign w:val="center"/>
          </w:tcPr>
          <w:p w14:paraId="1448181F">
            <w:pPr>
              <w:jc w:val="center"/>
              <w:rPr>
                <w:color w:val="auto"/>
                <w:sz w:val="21"/>
                <w:szCs w:val="22"/>
                <w:highlight w:val="none"/>
              </w:rPr>
            </w:pPr>
            <w:r>
              <w:rPr>
                <w:color w:val="auto"/>
                <w:sz w:val="21"/>
                <w:szCs w:val="22"/>
                <w:highlight w:val="none"/>
              </w:rPr>
              <w:t>设备名称</w:t>
            </w:r>
          </w:p>
        </w:tc>
        <w:tc>
          <w:tcPr>
            <w:tcW w:w="851" w:type="dxa"/>
            <w:vAlign w:val="center"/>
          </w:tcPr>
          <w:p w14:paraId="00333B10">
            <w:pPr>
              <w:jc w:val="center"/>
              <w:rPr>
                <w:color w:val="auto"/>
                <w:sz w:val="21"/>
                <w:szCs w:val="22"/>
                <w:highlight w:val="none"/>
              </w:rPr>
            </w:pPr>
            <w:r>
              <w:rPr>
                <w:color w:val="auto"/>
                <w:sz w:val="21"/>
                <w:szCs w:val="22"/>
                <w:highlight w:val="none"/>
              </w:rPr>
              <w:t>型号</w:t>
            </w:r>
          </w:p>
          <w:p w14:paraId="2060FC1F">
            <w:pPr>
              <w:jc w:val="center"/>
              <w:rPr>
                <w:color w:val="auto"/>
                <w:sz w:val="21"/>
                <w:szCs w:val="22"/>
                <w:highlight w:val="none"/>
              </w:rPr>
            </w:pPr>
            <w:r>
              <w:rPr>
                <w:color w:val="auto"/>
                <w:sz w:val="21"/>
                <w:szCs w:val="22"/>
                <w:highlight w:val="none"/>
              </w:rPr>
              <w:t>规格</w:t>
            </w:r>
          </w:p>
        </w:tc>
        <w:tc>
          <w:tcPr>
            <w:tcW w:w="708" w:type="dxa"/>
            <w:vAlign w:val="center"/>
          </w:tcPr>
          <w:p w14:paraId="02309BB3">
            <w:pPr>
              <w:jc w:val="center"/>
              <w:rPr>
                <w:color w:val="auto"/>
                <w:sz w:val="21"/>
                <w:szCs w:val="22"/>
                <w:highlight w:val="none"/>
              </w:rPr>
            </w:pPr>
            <w:r>
              <w:rPr>
                <w:color w:val="auto"/>
                <w:sz w:val="21"/>
                <w:szCs w:val="22"/>
                <w:highlight w:val="none"/>
              </w:rPr>
              <w:t>数量</w:t>
            </w:r>
          </w:p>
        </w:tc>
        <w:tc>
          <w:tcPr>
            <w:tcW w:w="709" w:type="dxa"/>
            <w:vAlign w:val="center"/>
          </w:tcPr>
          <w:p w14:paraId="1C6A015E">
            <w:pPr>
              <w:jc w:val="center"/>
              <w:rPr>
                <w:color w:val="auto"/>
                <w:sz w:val="21"/>
                <w:szCs w:val="22"/>
                <w:highlight w:val="none"/>
              </w:rPr>
            </w:pPr>
            <w:r>
              <w:rPr>
                <w:color w:val="auto"/>
                <w:sz w:val="21"/>
                <w:szCs w:val="22"/>
                <w:highlight w:val="none"/>
              </w:rPr>
              <w:t>国别</w:t>
            </w:r>
          </w:p>
          <w:p w14:paraId="3FFDC6CF">
            <w:pPr>
              <w:jc w:val="center"/>
              <w:rPr>
                <w:color w:val="auto"/>
                <w:sz w:val="21"/>
                <w:szCs w:val="22"/>
                <w:highlight w:val="none"/>
              </w:rPr>
            </w:pPr>
            <w:r>
              <w:rPr>
                <w:color w:val="auto"/>
                <w:sz w:val="21"/>
                <w:szCs w:val="22"/>
                <w:highlight w:val="none"/>
              </w:rPr>
              <w:t>产地</w:t>
            </w:r>
          </w:p>
        </w:tc>
        <w:tc>
          <w:tcPr>
            <w:tcW w:w="851" w:type="dxa"/>
            <w:vAlign w:val="center"/>
          </w:tcPr>
          <w:p w14:paraId="27015340">
            <w:pPr>
              <w:jc w:val="center"/>
              <w:rPr>
                <w:color w:val="auto"/>
                <w:sz w:val="21"/>
                <w:szCs w:val="22"/>
                <w:highlight w:val="none"/>
              </w:rPr>
            </w:pPr>
            <w:r>
              <w:rPr>
                <w:color w:val="auto"/>
                <w:sz w:val="21"/>
                <w:szCs w:val="22"/>
                <w:highlight w:val="none"/>
              </w:rPr>
              <w:t>制造</w:t>
            </w:r>
          </w:p>
          <w:p w14:paraId="4D8EB51A">
            <w:pPr>
              <w:jc w:val="center"/>
              <w:rPr>
                <w:color w:val="auto"/>
                <w:sz w:val="21"/>
                <w:szCs w:val="22"/>
                <w:highlight w:val="none"/>
              </w:rPr>
            </w:pPr>
            <w:r>
              <w:rPr>
                <w:color w:val="auto"/>
                <w:sz w:val="21"/>
                <w:szCs w:val="22"/>
                <w:highlight w:val="none"/>
              </w:rPr>
              <w:t>年份</w:t>
            </w:r>
          </w:p>
        </w:tc>
        <w:tc>
          <w:tcPr>
            <w:tcW w:w="1134" w:type="dxa"/>
            <w:vAlign w:val="center"/>
          </w:tcPr>
          <w:p w14:paraId="058BF6FD">
            <w:pPr>
              <w:jc w:val="center"/>
              <w:rPr>
                <w:color w:val="auto"/>
                <w:sz w:val="21"/>
                <w:szCs w:val="22"/>
                <w:highlight w:val="none"/>
              </w:rPr>
            </w:pPr>
            <w:r>
              <w:rPr>
                <w:color w:val="auto"/>
                <w:sz w:val="21"/>
                <w:szCs w:val="22"/>
                <w:highlight w:val="none"/>
              </w:rPr>
              <w:t>额定功率</w:t>
            </w:r>
          </w:p>
          <w:p w14:paraId="18530C75">
            <w:pPr>
              <w:jc w:val="center"/>
              <w:rPr>
                <w:color w:val="auto"/>
                <w:sz w:val="21"/>
                <w:szCs w:val="22"/>
                <w:highlight w:val="none"/>
              </w:rPr>
            </w:pPr>
            <w:r>
              <w:rPr>
                <w:color w:val="auto"/>
                <w:sz w:val="21"/>
                <w:szCs w:val="22"/>
                <w:highlight w:val="none"/>
              </w:rPr>
              <w:t>（KW）</w:t>
            </w:r>
          </w:p>
        </w:tc>
        <w:tc>
          <w:tcPr>
            <w:tcW w:w="992" w:type="dxa"/>
            <w:vAlign w:val="center"/>
          </w:tcPr>
          <w:p w14:paraId="0918836E">
            <w:pPr>
              <w:jc w:val="center"/>
              <w:rPr>
                <w:color w:val="auto"/>
                <w:sz w:val="21"/>
                <w:szCs w:val="22"/>
                <w:highlight w:val="none"/>
              </w:rPr>
            </w:pPr>
            <w:r>
              <w:rPr>
                <w:color w:val="auto"/>
                <w:sz w:val="21"/>
                <w:szCs w:val="22"/>
                <w:highlight w:val="none"/>
              </w:rPr>
              <w:t>生产</w:t>
            </w:r>
          </w:p>
          <w:p w14:paraId="3249CA32">
            <w:pPr>
              <w:jc w:val="center"/>
              <w:rPr>
                <w:color w:val="auto"/>
                <w:sz w:val="21"/>
                <w:szCs w:val="22"/>
                <w:highlight w:val="none"/>
              </w:rPr>
            </w:pPr>
            <w:r>
              <w:rPr>
                <w:color w:val="auto"/>
                <w:sz w:val="21"/>
                <w:szCs w:val="22"/>
                <w:highlight w:val="none"/>
              </w:rPr>
              <w:t>能力</w:t>
            </w:r>
          </w:p>
        </w:tc>
        <w:tc>
          <w:tcPr>
            <w:tcW w:w="1134" w:type="dxa"/>
            <w:vAlign w:val="center"/>
          </w:tcPr>
          <w:p w14:paraId="275A1B61">
            <w:pPr>
              <w:jc w:val="center"/>
              <w:rPr>
                <w:color w:val="auto"/>
                <w:sz w:val="21"/>
                <w:szCs w:val="22"/>
                <w:highlight w:val="none"/>
              </w:rPr>
            </w:pPr>
            <w:r>
              <w:rPr>
                <w:color w:val="auto"/>
                <w:sz w:val="21"/>
                <w:szCs w:val="22"/>
                <w:highlight w:val="none"/>
              </w:rPr>
              <w:t>用于施</w:t>
            </w:r>
          </w:p>
          <w:p w14:paraId="7D07189E">
            <w:pPr>
              <w:jc w:val="center"/>
              <w:rPr>
                <w:color w:val="auto"/>
                <w:sz w:val="21"/>
                <w:szCs w:val="22"/>
                <w:highlight w:val="none"/>
              </w:rPr>
            </w:pPr>
            <w:r>
              <w:rPr>
                <w:color w:val="auto"/>
                <w:sz w:val="21"/>
                <w:szCs w:val="22"/>
                <w:highlight w:val="none"/>
              </w:rPr>
              <w:t>工部位</w:t>
            </w:r>
          </w:p>
        </w:tc>
        <w:tc>
          <w:tcPr>
            <w:tcW w:w="992" w:type="dxa"/>
            <w:vAlign w:val="center"/>
          </w:tcPr>
          <w:p w14:paraId="0209BAD7">
            <w:pPr>
              <w:jc w:val="center"/>
              <w:rPr>
                <w:color w:val="auto"/>
                <w:sz w:val="21"/>
                <w:szCs w:val="22"/>
                <w:highlight w:val="none"/>
              </w:rPr>
            </w:pPr>
            <w:r>
              <w:rPr>
                <w:color w:val="auto"/>
                <w:sz w:val="21"/>
                <w:szCs w:val="22"/>
                <w:highlight w:val="none"/>
              </w:rPr>
              <w:t>备注</w:t>
            </w:r>
          </w:p>
        </w:tc>
      </w:tr>
      <w:tr w14:paraId="6847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7684F7E">
            <w:pPr>
              <w:spacing w:line="360" w:lineRule="auto"/>
              <w:rPr>
                <w:color w:val="auto"/>
                <w:sz w:val="21"/>
                <w:szCs w:val="22"/>
                <w:highlight w:val="none"/>
              </w:rPr>
            </w:pPr>
          </w:p>
        </w:tc>
        <w:tc>
          <w:tcPr>
            <w:tcW w:w="1226" w:type="dxa"/>
          </w:tcPr>
          <w:p w14:paraId="37938A4F">
            <w:pPr>
              <w:spacing w:line="360" w:lineRule="auto"/>
              <w:ind w:firstLine="420" w:firstLineChars="200"/>
              <w:rPr>
                <w:color w:val="auto"/>
                <w:sz w:val="21"/>
                <w:szCs w:val="22"/>
                <w:highlight w:val="none"/>
              </w:rPr>
            </w:pPr>
          </w:p>
        </w:tc>
        <w:tc>
          <w:tcPr>
            <w:tcW w:w="851" w:type="dxa"/>
          </w:tcPr>
          <w:p w14:paraId="6429B731">
            <w:pPr>
              <w:spacing w:line="360" w:lineRule="auto"/>
              <w:rPr>
                <w:color w:val="auto"/>
                <w:sz w:val="21"/>
                <w:szCs w:val="22"/>
                <w:highlight w:val="none"/>
              </w:rPr>
            </w:pPr>
          </w:p>
        </w:tc>
        <w:tc>
          <w:tcPr>
            <w:tcW w:w="708" w:type="dxa"/>
          </w:tcPr>
          <w:p w14:paraId="4CA0CAB1">
            <w:pPr>
              <w:spacing w:line="360" w:lineRule="auto"/>
              <w:rPr>
                <w:color w:val="auto"/>
                <w:sz w:val="21"/>
                <w:szCs w:val="22"/>
                <w:highlight w:val="none"/>
              </w:rPr>
            </w:pPr>
          </w:p>
        </w:tc>
        <w:tc>
          <w:tcPr>
            <w:tcW w:w="709" w:type="dxa"/>
          </w:tcPr>
          <w:p w14:paraId="3E075E30">
            <w:pPr>
              <w:spacing w:line="360" w:lineRule="auto"/>
              <w:rPr>
                <w:color w:val="auto"/>
                <w:sz w:val="21"/>
                <w:szCs w:val="22"/>
                <w:highlight w:val="none"/>
              </w:rPr>
            </w:pPr>
          </w:p>
        </w:tc>
        <w:tc>
          <w:tcPr>
            <w:tcW w:w="851" w:type="dxa"/>
          </w:tcPr>
          <w:p w14:paraId="5942B892">
            <w:pPr>
              <w:spacing w:line="360" w:lineRule="auto"/>
              <w:rPr>
                <w:color w:val="auto"/>
                <w:sz w:val="21"/>
                <w:szCs w:val="22"/>
                <w:highlight w:val="none"/>
              </w:rPr>
            </w:pPr>
          </w:p>
        </w:tc>
        <w:tc>
          <w:tcPr>
            <w:tcW w:w="1134" w:type="dxa"/>
          </w:tcPr>
          <w:p w14:paraId="268DF9B2">
            <w:pPr>
              <w:spacing w:line="360" w:lineRule="auto"/>
              <w:rPr>
                <w:color w:val="auto"/>
                <w:sz w:val="21"/>
                <w:szCs w:val="22"/>
                <w:highlight w:val="none"/>
              </w:rPr>
            </w:pPr>
          </w:p>
        </w:tc>
        <w:tc>
          <w:tcPr>
            <w:tcW w:w="992" w:type="dxa"/>
          </w:tcPr>
          <w:p w14:paraId="1AFB6778">
            <w:pPr>
              <w:spacing w:line="360" w:lineRule="auto"/>
              <w:rPr>
                <w:color w:val="auto"/>
                <w:sz w:val="21"/>
                <w:szCs w:val="22"/>
                <w:highlight w:val="none"/>
              </w:rPr>
            </w:pPr>
          </w:p>
        </w:tc>
        <w:tc>
          <w:tcPr>
            <w:tcW w:w="1134" w:type="dxa"/>
          </w:tcPr>
          <w:p w14:paraId="70C6E0F8">
            <w:pPr>
              <w:spacing w:line="360" w:lineRule="auto"/>
              <w:rPr>
                <w:color w:val="auto"/>
                <w:sz w:val="21"/>
                <w:szCs w:val="22"/>
                <w:highlight w:val="none"/>
              </w:rPr>
            </w:pPr>
          </w:p>
        </w:tc>
        <w:tc>
          <w:tcPr>
            <w:tcW w:w="992" w:type="dxa"/>
          </w:tcPr>
          <w:p w14:paraId="01BC7166">
            <w:pPr>
              <w:spacing w:line="360" w:lineRule="auto"/>
              <w:rPr>
                <w:color w:val="auto"/>
                <w:sz w:val="21"/>
                <w:szCs w:val="22"/>
                <w:highlight w:val="none"/>
              </w:rPr>
            </w:pPr>
          </w:p>
        </w:tc>
      </w:tr>
      <w:tr w14:paraId="7D52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4694AE52">
            <w:pPr>
              <w:spacing w:line="360" w:lineRule="auto"/>
              <w:rPr>
                <w:color w:val="auto"/>
                <w:sz w:val="21"/>
                <w:szCs w:val="22"/>
                <w:highlight w:val="none"/>
              </w:rPr>
            </w:pPr>
          </w:p>
        </w:tc>
        <w:tc>
          <w:tcPr>
            <w:tcW w:w="1226" w:type="dxa"/>
          </w:tcPr>
          <w:p w14:paraId="07BD384C">
            <w:pPr>
              <w:spacing w:line="360" w:lineRule="auto"/>
              <w:rPr>
                <w:color w:val="auto"/>
                <w:sz w:val="21"/>
                <w:szCs w:val="22"/>
                <w:highlight w:val="none"/>
              </w:rPr>
            </w:pPr>
          </w:p>
        </w:tc>
        <w:tc>
          <w:tcPr>
            <w:tcW w:w="851" w:type="dxa"/>
          </w:tcPr>
          <w:p w14:paraId="3086F855">
            <w:pPr>
              <w:spacing w:line="360" w:lineRule="auto"/>
              <w:rPr>
                <w:color w:val="auto"/>
                <w:sz w:val="21"/>
                <w:szCs w:val="22"/>
                <w:highlight w:val="none"/>
              </w:rPr>
            </w:pPr>
          </w:p>
        </w:tc>
        <w:tc>
          <w:tcPr>
            <w:tcW w:w="708" w:type="dxa"/>
          </w:tcPr>
          <w:p w14:paraId="443E4AD3">
            <w:pPr>
              <w:spacing w:line="360" w:lineRule="auto"/>
              <w:rPr>
                <w:color w:val="auto"/>
                <w:sz w:val="21"/>
                <w:szCs w:val="22"/>
                <w:highlight w:val="none"/>
              </w:rPr>
            </w:pPr>
          </w:p>
        </w:tc>
        <w:tc>
          <w:tcPr>
            <w:tcW w:w="709" w:type="dxa"/>
          </w:tcPr>
          <w:p w14:paraId="2F155B4B">
            <w:pPr>
              <w:spacing w:line="360" w:lineRule="auto"/>
              <w:rPr>
                <w:color w:val="auto"/>
                <w:sz w:val="21"/>
                <w:szCs w:val="22"/>
                <w:highlight w:val="none"/>
              </w:rPr>
            </w:pPr>
          </w:p>
        </w:tc>
        <w:tc>
          <w:tcPr>
            <w:tcW w:w="851" w:type="dxa"/>
          </w:tcPr>
          <w:p w14:paraId="62B41707">
            <w:pPr>
              <w:spacing w:line="360" w:lineRule="auto"/>
              <w:rPr>
                <w:color w:val="auto"/>
                <w:sz w:val="21"/>
                <w:szCs w:val="22"/>
                <w:highlight w:val="none"/>
              </w:rPr>
            </w:pPr>
          </w:p>
        </w:tc>
        <w:tc>
          <w:tcPr>
            <w:tcW w:w="1134" w:type="dxa"/>
          </w:tcPr>
          <w:p w14:paraId="3DCCE475">
            <w:pPr>
              <w:spacing w:line="360" w:lineRule="auto"/>
              <w:rPr>
                <w:color w:val="auto"/>
                <w:sz w:val="21"/>
                <w:szCs w:val="22"/>
                <w:highlight w:val="none"/>
              </w:rPr>
            </w:pPr>
          </w:p>
        </w:tc>
        <w:tc>
          <w:tcPr>
            <w:tcW w:w="992" w:type="dxa"/>
          </w:tcPr>
          <w:p w14:paraId="25EB0423">
            <w:pPr>
              <w:spacing w:line="360" w:lineRule="auto"/>
              <w:rPr>
                <w:color w:val="auto"/>
                <w:sz w:val="21"/>
                <w:szCs w:val="22"/>
                <w:highlight w:val="none"/>
              </w:rPr>
            </w:pPr>
          </w:p>
        </w:tc>
        <w:tc>
          <w:tcPr>
            <w:tcW w:w="1134" w:type="dxa"/>
          </w:tcPr>
          <w:p w14:paraId="39DE8500">
            <w:pPr>
              <w:spacing w:line="360" w:lineRule="auto"/>
              <w:rPr>
                <w:color w:val="auto"/>
                <w:sz w:val="21"/>
                <w:szCs w:val="22"/>
                <w:highlight w:val="none"/>
              </w:rPr>
            </w:pPr>
          </w:p>
        </w:tc>
        <w:tc>
          <w:tcPr>
            <w:tcW w:w="992" w:type="dxa"/>
          </w:tcPr>
          <w:p w14:paraId="0163978D">
            <w:pPr>
              <w:spacing w:line="360" w:lineRule="auto"/>
              <w:rPr>
                <w:color w:val="auto"/>
                <w:sz w:val="21"/>
                <w:szCs w:val="22"/>
                <w:highlight w:val="none"/>
              </w:rPr>
            </w:pPr>
          </w:p>
        </w:tc>
      </w:tr>
      <w:tr w14:paraId="2411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49D876C4">
            <w:pPr>
              <w:spacing w:line="360" w:lineRule="auto"/>
              <w:rPr>
                <w:color w:val="auto"/>
                <w:sz w:val="21"/>
                <w:szCs w:val="22"/>
                <w:highlight w:val="none"/>
              </w:rPr>
            </w:pPr>
          </w:p>
        </w:tc>
        <w:tc>
          <w:tcPr>
            <w:tcW w:w="1226" w:type="dxa"/>
          </w:tcPr>
          <w:p w14:paraId="4EF3890F">
            <w:pPr>
              <w:spacing w:line="360" w:lineRule="auto"/>
              <w:rPr>
                <w:color w:val="auto"/>
                <w:sz w:val="21"/>
                <w:szCs w:val="22"/>
                <w:highlight w:val="none"/>
              </w:rPr>
            </w:pPr>
          </w:p>
        </w:tc>
        <w:tc>
          <w:tcPr>
            <w:tcW w:w="851" w:type="dxa"/>
          </w:tcPr>
          <w:p w14:paraId="139F1766">
            <w:pPr>
              <w:spacing w:line="360" w:lineRule="auto"/>
              <w:rPr>
                <w:color w:val="auto"/>
                <w:sz w:val="21"/>
                <w:szCs w:val="22"/>
                <w:highlight w:val="none"/>
              </w:rPr>
            </w:pPr>
          </w:p>
        </w:tc>
        <w:tc>
          <w:tcPr>
            <w:tcW w:w="708" w:type="dxa"/>
          </w:tcPr>
          <w:p w14:paraId="2A19624E">
            <w:pPr>
              <w:spacing w:line="360" w:lineRule="auto"/>
              <w:rPr>
                <w:color w:val="auto"/>
                <w:sz w:val="21"/>
                <w:szCs w:val="22"/>
                <w:highlight w:val="none"/>
              </w:rPr>
            </w:pPr>
          </w:p>
        </w:tc>
        <w:tc>
          <w:tcPr>
            <w:tcW w:w="709" w:type="dxa"/>
          </w:tcPr>
          <w:p w14:paraId="026EDE4A">
            <w:pPr>
              <w:spacing w:line="360" w:lineRule="auto"/>
              <w:rPr>
                <w:color w:val="auto"/>
                <w:sz w:val="21"/>
                <w:szCs w:val="22"/>
                <w:highlight w:val="none"/>
              </w:rPr>
            </w:pPr>
          </w:p>
        </w:tc>
        <w:tc>
          <w:tcPr>
            <w:tcW w:w="851" w:type="dxa"/>
          </w:tcPr>
          <w:p w14:paraId="0C1C9C77">
            <w:pPr>
              <w:spacing w:line="360" w:lineRule="auto"/>
              <w:rPr>
                <w:color w:val="auto"/>
                <w:sz w:val="21"/>
                <w:szCs w:val="22"/>
                <w:highlight w:val="none"/>
              </w:rPr>
            </w:pPr>
          </w:p>
        </w:tc>
        <w:tc>
          <w:tcPr>
            <w:tcW w:w="1134" w:type="dxa"/>
          </w:tcPr>
          <w:p w14:paraId="70E4819E">
            <w:pPr>
              <w:spacing w:line="360" w:lineRule="auto"/>
              <w:rPr>
                <w:color w:val="auto"/>
                <w:sz w:val="21"/>
                <w:szCs w:val="22"/>
                <w:highlight w:val="none"/>
              </w:rPr>
            </w:pPr>
          </w:p>
        </w:tc>
        <w:tc>
          <w:tcPr>
            <w:tcW w:w="992" w:type="dxa"/>
          </w:tcPr>
          <w:p w14:paraId="4BC07C87">
            <w:pPr>
              <w:spacing w:line="360" w:lineRule="auto"/>
              <w:rPr>
                <w:color w:val="auto"/>
                <w:sz w:val="21"/>
                <w:szCs w:val="22"/>
                <w:highlight w:val="none"/>
              </w:rPr>
            </w:pPr>
          </w:p>
        </w:tc>
        <w:tc>
          <w:tcPr>
            <w:tcW w:w="1134" w:type="dxa"/>
          </w:tcPr>
          <w:p w14:paraId="0E1A25F1">
            <w:pPr>
              <w:spacing w:line="360" w:lineRule="auto"/>
              <w:rPr>
                <w:color w:val="auto"/>
                <w:sz w:val="21"/>
                <w:szCs w:val="22"/>
                <w:highlight w:val="none"/>
              </w:rPr>
            </w:pPr>
          </w:p>
        </w:tc>
        <w:tc>
          <w:tcPr>
            <w:tcW w:w="992" w:type="dxa"/>
          </w:tcPr>
          <w:p w14:paraId="6C69EEB5">
            <w:pPr>
              <w:spacing w:line="360" w:lineRule="auto"/>
              <w:rPr>
                <w:color w:val="auto"/>
                <w:sz w:val="21"/>
                <w:szCs w:val="22"/>
                <w:highlight w:val="none"/>
              </w:rPr>
            </w:pPr>
          </w:p>
        </w:tc>
      </w:tr>
    </w:tbl>
    <w:p w14:paraId="6CCA3BBA">
      <w:pPr>
        <w:rPr>
          <w:color w:val="auto"/>
          <w:sz w:val="21"/>
          <w:szCs w:val="21"/>
          <w:highlight w:val="none"/>
        </w:rPr>
      </w:pPr>
    </w:p>
    <w:p w14:paraId="5FC26B63">
      <w:pPr>
        <w:rPr>
          <w:color w:val="auto"/>
          <w:sz w:val="21"/>
          <w:szCs w:val="21"/>
          <w:highlight w:val="none"/>
        </w:rPr>
      </w:pPr>
    </w:p>
    <w:p w14:paraId="4105936F">
      <w:pPr>
        <w:rPr>
          <w:color w:val="auto"/>
          <w:sz w:val="21"/>
          <w:szCs w:val="22"/>
          <w:highlight w:val="none"/>
        </w:rPr>
      </w:pPr>
      <w:r>
        <w:rPr>
          <w:color w:val="auto"/>
          <w:sz w:val="21"/>
          <w:szCs w:val="21"/>
          <w:highlight w:val="none"/>
        </w:rPr>
        <w:t>附表二：拟配备本工程的试验和检测仪器设备表</w:t>
      </w:r>
      <w:r>
        <w:rPr>
          <w:rFonts w:hint="eastAsia"/>
          <w:color w:val="auto"/>
          <w:sz w:val="21"/>
          <w:szCs w:val="21"/>
          <w:highlight w:val="none"/>
        </w:rPr>
        <w:t>（可根据项目实际情况增减内容）</w:t>
      </w:r>
    </w:p>
    <w:p w14:paraId="63E47574">
      <w:pPr>
        <w:rPr>
          <w:color w:val="auto"/>
          <w:sz w:val="21"/>
          <w:szCs w:val="21"/>
          <w:highlight w:val="none"/>
        </w:rPr>
      </w:pPr>
    </w:p>
    <w:tbl>
      <w:tblPr>
        <w:tblStyle w:val="2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13AA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8" w:type="dxa"/>
            <w:vAlign w:val="center"/>
          </w:tcPr>
          <w:p w14:paraId="5EC377C3">
            <w:pPr>
              <w:jc w:val="center"/>
              <w:rPr>
                <w:color w:val="auto"/>
                <w:sz w:val="21"/>
                <w:szCs w:val="22"/>
                <w:highlight w:val="none"/>
              </w:rPr>
            </w:pPr>
            <w:r>
              <w:rPr>
                <w:color w:val="auto"/>
                <w:sz w:val="21"/>
                <w:szCs w:val="22"/>
                <w:highlight w:val="none"/>
              </w:rPr>
              <w:t>序号</w:t>
            </w:r>
          </w:p>
        </w:tc>
        <w:tc>
          <w:tcPr>
            <w:tcW w:w="1226" w:type="dxa"/>
            <w:vAlign w:val="center"/>
          </w:tcPr>
          <w:p w14:paraId="176241B0">
            <w:pPr>
              <w:jc w:val="center"/>
              <w:rPr>
                <w:color w:val="auto"/>
                <w:sz w:val="21"/>
                <w:szCs w:val="22"/>
                <w:highlight w:val="none"/>
              </w:rPr>
            </w:pPr>
            <w:r>
              <w:rPr>
                <w:color w:val="auto"/>
                <w:sz w:val="21"/>
                <w:szCs w:val="22"/>
                <w:highlight w:val="none"/>
              </w:rPr>
              <w:t>仪器设备名称</w:t>
            </w:r>
          </w:p>
        </w:tc>
        <w:tc>
          <w:tcPr>
            <w:tcW w:w="851" w:type="dxa"/>
            <w:vAlign w:val="center"/>
          </w:tcPr>
          <w:p w14:paraId="0234332B">
            <w:pPr>
              <w:jc w:val="center"/>
              <w:rPr>
                <w:color w:val="auto"/>
                <w:sz w:val="21"/>
                <w:szCs w:val="22"/>
                <w:highlight w:val="none"/>
              </w:rPr>
            </w:pPr>
            <w:r>
              <w:rPr>
                <w:color w:val="auto"/>
                <w:sz w:val="21"/>
                <w:szCs w:val="22"/>
                <w:highlight w:val="none"/>
              </w:rPr>
              <w:t>型号</w:t>
            </w:r>
          </w:p>
          <w:p w14:paraId="1968F962">
            <w:pPr>
              <w:jc w:val="center"/>
              <w:rPr>
                <w:color w:val="auto"/>
                <w:sz w:val="21"/>
                <w:szCs w:val="22"/>
                <w:highlight w:val="none"/>
              </w:rPr>
            </w:pPr>
            <w:r>
              <w:rPr>
                <w:color w:val="auto"/>
                <w:sz w:val="21"/>
                <w:szCs w:val="22"/>
                <w:highlight w:val="none"/>
              </w:rPr>
              <w:t>规格</w:t>
            </w:r>
          </w:p>
        </w:tc>
        <w:tc>
          <w:tcPr>
            <w:tcW w:w="708" w:type="dxa"/>
            <w:vAlign w:val="center"/>
          </w:tcPr>
          <w:p w14:paraId="398A0F87">
            <w:pPr>
              <w:jc w:val="center"/>
              <w:rPr>
                <w:color w:val="auto"/>
                <w:sz w:val="21"/>
                <w:szCs w:val="22"/>
                <w:highlight w:val="none"/>
              </w:rPr>
            </w:pPr>
            <w:r>
              <w:rPr>
                <w:color w:val="auto"/>
                <w:sz w:val="21"/>
                <w:szCs w:val="22"/>
                <w:highlight w:val="none"/>
              </w:rPr>
              <w:t>数量</w:t>
            </w:r>
          </w:p>
        </w:tc>
        <w:tc>
          <w:tcPr>
            <w:tcW w:w="709" w:type="dxa"/>
            <w:vAlign w:val="center"/>
          </w:tcPr>
          <w:p w14:paraId="36352B41">
            <w:pPr>
              <w:jc w:val="center"/>
              <w:rPr>
                <w:color w:val="auto"/>
                <w:sz w:val="21"/>
                <w:szCs w:val="22"/>
                <w:highlight w:val="none"/>
              </w:rPr>
            </w:pPr>
            <w:r>
              <w:rPr>
                <w:color w:val="auto"/>
                <w:sz w:val="21"/>
                <w:szCs w:val="22"/>
                <w:highlight w:val="none"/>
              </w:rPr>
              <w:t>国别</w:t>
            </w:r>
          </w:p>
          <w:p w14:paraId="2CA99751">
            <w:pPr>
              <w:jc w:val="center"/>
              <w:rPr>
                <w:color w:val="auto"/>
                <w:sz w:val="21"/>
                <w:szCs w:val="22"/>
                <w:highlight w:val="none"/>
              </w:rPr>
            </w:pPr>
            <w:r>
              <w:rPr>
                <w:color w:val="auto"/>
                <w:sz w:val="21"/>
                <w:szCs w:val="22"/>
                <w:highlight w:val="none"/>
              </w:rPr>
              <w:t>产地</w:t>
            </w:r>
          </w:p>
        </w:tc>
        <w:tc>
          <w:tcPr>
            <w:tcW w:w="1134" w:type="dxa"/>
            <w:vAlign w:val="center"/>
          </w:tcPr>
          <w:p w14:paraId="7377F568">
            <w:pPr>
              <w:jc w:val="center"/>
              <w:rPr>
                <w:color w:val="auto"/>
                <w:sz w:val="21"/>
                <w:szCs w:val="22"/>
                <w:highlight w:val="none"/>
              </w:rPr>
            </w:pPr>
            <w:r>
              <w:rPr>
                <w:color w:val="auto"/>
                <w:sz w:val="21"/>
                <w:szCs w:val="22"/>
                <w:highlight w:val="none"/>
              </w:rPr>
              <w:t>制造年份</w:t>
            </w:r>
          </w:p>
        </w:tc>
        <w:tc>
          <w:tcPr>
            <w:tcW w:w="1276" w:type="dxa"/>
            <w:vAlign w:val="center"/>
          </w:tcPr>
          <w:p w14:paraId="6D4C68C7">
            <w:pPr>
              <w:jc w:val="center"/>
              <w:rPr>
                <w:color w:val="auto"/>
                <w:sz w:val="21"/>
                <w:szCs w:val="22"/>
                <w:highlight w:val="none"/>
              </w:rPr>
            </w:pPr>
            <w:r>
              <w:rPr>
                <w:color w:val="auto"/>
                <w:sz w:val="21"/>
                <w:szCs w:val="22"/>
                <w:highlight w:val="none"/>
              </w:rPr>
              <w:t>已使用</w:t>
            </w:r>
          </w:p>
          <w:p w14:paraId="250152A8">
            <w:pPr>
              <w:jc w:val="center"/>
              <w:rPr>
                <w:color w:val="auto"/>
                <w:sz w:val="21"/>
                <w:szCs w:val="22"/>
                <w:highlight w:val="none"/>
              </w:rPr>
            </w:pPr>
            <w:r>
              <w:rPr>
                <w:color w:val="auto"/>
                <w:sz w:val="21"/>
                <w:szCs w:val="22"/>
                <w:highlight w:val="none"/>
              </w:rPr>
              <w:t>台时数</w:t>
            </w:r>
          </w:p>
        </w:tc>
        <w:tc>
          <w:tcPr>
            <w:tcW w:w="1134" w:type="dxa"/>
            <w:vAlign w:val="center"/>
          </w:tcPr>
          <w:p w14:paraId="2D94CE49">
            <w:pPr>
              <w:jc w:val="center"/>
              <w:rPr>
                <w:color w:val="auto"/>
                <w:sz w:val="21"/>
                <w:szCs w:val="22"/>
                <w:highlight w:val="none"/>
              </w:rPr>
            </w:pPr>
            <w:r>
              <w:rPr>
                <w:color w:val="auto"/>
                <w:sz w:val="21"/>
                <w:szCs w:val="22"/>
                <w:highlight w:val="none"/>
              </w:rPr>
              <w:t>用途</w:t>
            </w:r>
          </w:p>
        </w:tc>
        <w:tc>
          <w:tcPr>
            <w:tcW w:w="1559" w:type="dxa"/>
            <w:vAlign w:val="center"/>
          </w:tcPr>
          <w:p w14:paraId="5963773C">
            <w:pPr>
              <w:jc w:val="center"/>
              <w:rPr>
                <w:color w:val="auto"/>
                <w:sz w:val="21"/>
                <w:szCs w:val="22"/>
                <w:highlight w:val="none"/>
              </w:rPr>
            </w:pPr>
            <w:r>
              <w:rPr>
                <w:color w:val="auto"/>
                <w:sz w:val="21"/>
                <w:szCs w:val="22"/>
                <w:highlight w:val="none"/>
              </w:rPr>
              <w:t>备注</w:t>
            </w:r>
          </w:p>
        </w:tc>
      </w:tr>
      <w:tr w14:paraId="0B02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D704564">
            <w:pPr>
              <w:spacing w:line="360" w:lineRule="auto"/>
              <w:ind w:firstLine="420" w:firstLineChars="200"/>
              <w:rPr>
                <w:color w:val="auto"/>
                <w:sz w:val="21"/>
                <w:szCs w:val="22"/>
                <w:highlight w:val="none"/>
              </w:rPr>
            </w:pPr>
          </w:p>
        </w:tc>
        <w:tc>
          <w:tcPr>
            <w:tcW w:w="1226" w:type="dxa"/>
            <w:vAlign w:val="center"/>
          </w:tcPr>
          <w:p w14:paraId="10ADDB9F">
            <w:pPr>
              <w:spacing w:line="360" w:lineRule="auto"/>
              <w:ind w:firstLine="420" w:firstLineChars="200"/>
              <w:rPr>
                <w:color w:val="auto"/>
                <w:sz w:val="21"/>
                <w:szCs w:val="22"/>
                <w:highlight w:val="none"/>
              </w:rPr>
            </w:pPr>
          </w:p>
        </w:tc>
        <w:tc>
          <w:tcPr>
            <w:tcW w:w="851" w:type="dxa"/>
            <w:vAlign w:val="center"/>
          </w:tcPr>
          <w:p w14:paraId="5FA8DABA">
            <w:pPr>
              <w:spacing w:line="360" w:lineRule="auto"/>
              <w:ind w:firstLine="420" w:firstLineChars="200"/>
              <w:rPr>
                <w:color w:val="auto"/>
                <w:sz w:val="21"/>
                <w:szCs w:val="22"/>
                <w:highlight w:val="none"/>
              </w:rPr>
            </w:pPr>
          </w:p>
        </w:tc>
        <w:tc>
          <w:tcPr>
            <w:tcW w:w="708" w:type="dxa"/>
            <w:vAlign w:val="center"/>
          </w:tcPr>
          <w:p w14:paraId="6A2207FF">
            <w:pPr>
              <w:spacing w:line="360" w:lineRule="auto"/>
              <w:ind w:firstLine="420" w:firstLineChars="200"/>
              <w:rPr>
                <w:color w:val="auto"/>
                <w:sz w:val="21"/>
                <w:szCs w:val="22"/>
                <w:highlight w:val="none"/>
              </w:rPr>
            </w:pPr>
          </w:p>
        </w:tc>
        <w:tc>
          <w:tcPr>
            <w:tcW w:w="709" w:type="dxa"/>
            <w:vAlign w:val="center"/>
          </w:tcPr>
          <w:p w14:paraId="1BE85B2D">
            <w:pPr>
              <w:spacing w:line="360" w:lineRule="auto"/>
              <w:ind w:firstLine="420" w:firstLineChars="200"/>
              <w:rPr>
                <w:color w:val="auto"/>
                <w:sz w:val="21"/>
                <w:szCs w:val="22"/>
                <w:highlight w:val="none"/>
              </w:rPr>
            </w:pPr>
          </w:p>
        </w:tc>
        <w:tc>
          <w:tcPr>
            <w:tcW w:w="1134" w:type="dxa"/>
            <w:vAlign w:val="center"/>
          </w:tcPr>
          <w:p w14:paraId="44479A3F">
            <w:pPr>
              <w:spacing w:line="360" w:lineRule="auto"/>
              <w:ind w:firstLine="420" w:firstLineChars="200"/>
              <w:rPr>
                <w:color w:val="auto"/>
                <w:sz w:val="21"/>
                <w:szCs w:val="22"/>
                <w:highlight w:val="none"/>
              </w:rPr>
            </w:pPr>
          </w:p>
        </w:tc>
        <w:tc>
          <w:tcPr>
            <w:tcW w:w="1276" w:type="dxa"/>
            <w:vAlign w:val="center"/>
          </w:tcPr>
          <w:p w14:paraId="6914A792">
            <w:pPr>
              <w:spacing w:line="360" w:lineRule="auto"/>
              <w:ind w:firstLine="420" w:firstLineChars="200"/>
              <w:rPr>
                <w:color w:val="auto"/>
                <w:sz w:val="21"/>
                <w:szCs w:val="22"/>
                <w:highlight w:val="none"/>
              </w:rPr>
            </w:pPr>
          </w:p>
        </w:tc>
        <w:tc>
          <w:tcPr>
            <w:tcW w:w="1134" w:type="dxa"/>
            <w:vAlign w:val="center"/>
          </w:tcPr>
          <w:p w14:paraId="0810D8E7">
            <w:pPr>
              <w:spacing w:line="360" w:lineRule="auto"/>
              <w:ind w:firstLine="420" w:firstLineChars="200"/>
              <w:rPr>
                <w:color w:val="auto"/>
                <w:sz w:val="21"/>
                <w:szCs w:val="22"/>
                <w:highlight w:val="none"/>
              </w:rPr>
            </w:pPr>
          </w:p>
        </w:tc>
        <w:tc>
          <w:tcPr>
            <w:tcW w:w="1559" w:type="dxa"/>
            <w:vAlign w:val="center"/>
          </w:tcPr>
          <w:p w14:paraId="13BE099E">
            <w:pPr>
              <w:spacing w:line="360" w:lineRule="auto"/>
              <w:ind w:firstLine="420" w:firstLineChars="200"/>
              <w:rPr>
                <w:color w:val="auto"/>
                <w:sz w:val="21"/>
                <w:szCs w:val="22"/>
                <w:highlight w:val="none"/>
              </w:rPr>
            </w:pPr>
          </w:p>
        </w:tc>
      </w:tr>
      <w:tr w14:paraId="35F8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6590880">
            <w:pPr>
              <w:spacing w:line="360" w:lineRule="auto"/>
              <w:ind w:firstLine="420" w:firstLineChars="200"/>
              <w:rPr>
                <w:color w:val="auto"/>
                <w:sz w:val="21"/>
                <w:szCs w:val="22"/>
                <w:highlight w:val="none"/>
              </w:rPr>
            </w:pPr>
          </w:p>
        </w:tc>
        <w:tc>
          <w:tcPr>
            <w:tcW w:w="1226" w:type="dxa"/>
            <w:vAlign w:val="center"/>
          </w:tcPr>
          <w:p w14:paraId="5B6ED679">
            <w:pPr>
              <w:spacing w:line="360" w:lineRule="auto"/>
              <w:ind w:firstLine="420" w:firstLineChars="200"/>
              <w:rPr>
                <w:color w:val="auto"/>
                <w:sz w:val="21"/>
                <w:szCs w:val="22"/>
                <w:highlight w:val="none"/>
              </w:rPr>
            </w:pPr>
          </w:p>
        </w:tc>
        <w:tc>
          <w:tcPr>
            <w:tcW w:w="851" w:type="dxa"/>
            <w:vAlign w:val="center"/>
          </w:tcPr>
          <w:p w14:paraId="07A05DC1">
            <w:pPr>
              <w:spacing w:line="360" w:lineRule="auto"/>
              <w:ind w:firstLine="420" w:firstLineChars="200"/>
              <w:rPr>
                <w:color w:val="auto"/>
                <w:sz w:val="21"/>
                <w:szCs w:val="22"/>
                <w:highlight w:val="none"/>
              </w:rPr>
            </w:pPr>
          </w:p>
        </w:tc>
        <w:tc>
          <w:tcPr>
            <w:tcW w:w="708" w:type="dxa"/>
            <w:vAlign w:val="center"/>
          </w:tcPr>
          <w:p w14:paraId="67E498B0">
            <w:pPr>
              <w:spacing w:line="360" w:lineRule="auto"/>
              <w:ind w:firstLine="420" w:firstLineChars="200"/>
              <w:rPr>
                <w:color w:val="auto"/>
                <w:sz w:val="21"/>
                <w:szCs w:val="22"/>
                <w:highlight w:val="none"/>
              </w:rPr>
            </w:pPr>
          </w:p>
        </w:tc>
        <w:tc>
          <w:tcPr>
            <w:tcW w:w="709" w:type="dxa"/>
            <w:vAlign w:val="center"/>
          </w:tcPr>
          <w:p w14:paraId="5377088C">
            <w:pPr>
              <w:spacing w:line="360" w:lineRule="auto"/>
              <w:ind w:firstLine="420" w:firstLineChars="200"/>
              <w:rPr>
                <w:color w:val="auto"/>
                <w:sz w:val="21"/>
                <w:szCs w:val="22"/>
                <w:highlight w:val="none"/>
              </w:rPr>
            </w:pPr>
          </w:p>
        </w:tc>
        <w:tc>
          <w:tcPr>
            <w:tcW w:w="1134" w:type="dxa"/>
            <w:vAlign w:val="center"/>
          </w:tcPr>
          <w:p w14:paraId="1F6A06D4">
            <w:pPr>
              <w:spacing w:line="360" w:lineRule="auto"/>
              <w:ind w:firstLine="420" w:firstLineChars="200"/>
              <w:rPr>
                <w:color w:val="auto"/>
                <w:sz w:val="21"/>
                <w:szCs w:val="22"/>
                <w:highlight w:val="none"/>
              </w:rPr>
            </w:pPr>
          </w:p>
        </w:tc>
        <w:tc>
          <w:tcPr>
            <w:tcW w:w="1276" w:type="dxa"/>
            <w:vAlign w:val="center"/>
          </w:tcPr>
          <w:p w14:paraId="46391980">
            <w:pPr>
              <w:spacing w:line="360" w:lineRule="auto"/>
              <w:ind w:firstLine="420" w:firstLineChars="200"/>
              <w:rPr>
                <w:color w:val="auto"/>
                <w:sz w:val="21"/>
                <w:szCs w:val="22"/>
                <w:highlight w:val="none"/>
              </w:rPr>
            </w:pPr>
          </w:p>
        </w:tc>
        <w:tc>
          <w:tcPr>
            <w:tcW w:w="1134" w:type="dxa"/>
            <w:vAlign w:val="center"/>
          </w:tcPr>
          <w:p w14:paraId="02C9FE4F">
            <w:pPr>
              <w:spacing w:line="360" w:lineRule="auto"/>
              <w:ind w:firstLine="420" w:firstLineChars="200"/>
              <w:rPr>
                <w:color w:val="auto"/>
                <w:sz w:val="21"/>
                <w:szCs w:val="22"/>
                <w:highlight w:val="none"/>
              </w:rPr>
            </w:pPr>
          </w:p>
        </w:tc>
        <w:tc>
          <w:tcPr>
            <w:tcW w:w="1559" w:type="dxa"/>
            <w:vAlign w:val="center"/>
          </w:tcPr>
          <w:p w14:paraId="23A31C02">
            <w:pPr>
              <w:spacing w:line="360" w:lineRule="auto"/>
              <w:ind w:firstLine="420" w:firstLineChars="200"/>
              <w:rPr>
                <w:color w:val="auto"/>
                <w:sz w:val="21"/>
                <w:szCs w:val="22"/>
                <w:highlight w:val="none"/>
              </w:rPr>
            </w:pPr>
          </w:p>
        </w:tc>
      </w:tr>
      <w:tr w14:paraId="1D3A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D02F640">
            <w:pPr>
              <w:spacing w:line="360" w:lineRule="auto"/>
              <w:ind w:firstLine="420" w:firstLineChars="200"/>
              <w:rPr>
                <w:color w:val="auto"/>
                <w:sz w:val="21"/>
                <w:szCs w:val="22"/>
                <w:highlight w:val="none"/>
              </w:rPr>
            </w:pPr>
          </w:p>
        </w:tc>
        <w:tc>
          <w:tcPr>
            <w:tcW w:w="1226" w:type="dxa"/>
            <w:vAlign w:val="center"/>
          </w:tcPr>
          <w:p w14:paraId="1BE54212">
            <w:pPr>
              <w:spacing w:line="360" w:lineRule="auto"/>
              <w:ind w:firstLine="420" w:firstLineChars="200"/>
              <w:rPr>
                <w:color w:val="auto"/>
                <w:sz w:val="21"/>
                <w:szCs w:val="22"/>
                <w:highlight w:val="none"/>
              </w:rPr>
            </w:pPr>
          </w:p>
        </w:tc>
        <w:tc>
          <w:tcPr>
            <w:tcW w:w="851" w:type="dxa"/>
            <w:vAlign w:val="center"/>
          </w:tcPr>
          <w:p w14:paraId="35EF0ED8">
            <w:pPr>
              <w:spacing w:line="360" w:lineRule="auto"/>
              <w:ind w:firstLine="420" w:firstLineChars="200"/>
              <w:rPr>
                <w:color w:val="auto"/>
                <w:sz w:val="21"/>
                <w:szCs w:val="22"/>
                <w:highlight w:val="none"/>
              </w:rPr>
            </w:pPr>
          </w:p>
        </w:tc>
        <w:tc>
          <w:tcPr>
            <w:tcW w:w="708" w:type="dxa"/>
            <w:vAlign w:val="center"/>
          </w:tcPr>
          <w:p w14:paraId="0202EE4C">
            <w:pPr>
              <w:spacing w:line="360" w:lineRule="auto"/>
              <w:ind w:firstLine="420" w:firstLineChars="200"/>
              <w:rPr>
                <w:color w:val="auto"/>
                <w:sz w:val="21"/>
                <w:szCs w:val="22"/>
                <w:highlight w:val="none"/>
              </w:rPr>
            </w:pPr>
          </w:p>
        </w:tc>
        <w:tc>
          <w:tcPr>
            <w:tcW w:w="709" w:type="dxa"/>
            <w:vAlign w:val="center"/>
          </w:tcPr>
          <w:p w14:paraId="20C50ACE">
            <w:pPr>
              <w:spacing w:line="360" w:lineRule="auto"/>
              <w:ind w:firstLine="420" w:firstLineChars="200"/>
              <w:rPr>
                <w:color w:val="auto"/>
                <w:sz w:val="21"/>
                <w:szCs w:val="22"/>
                <w:highlight w:val="none"/>
              </w:rPr>
            </w:pPr>
          </w:p>
        </w:tc>
        <w:tc>
          <w:tcPr>
            <w:tcW w:w="1134" w:type="dxa"/>
            <w:vAlign w:val="center"/>
          </w:tcPr>
          <w:p w14:paraId="05738445">
            <w:pPr>
              <w:spacing w:line="360" w:lineRule="auto"/>
              <w:ind w:firstLine="420" w:firstLineChars="200"/>
              <w:rPr>
                <w:color w:val="auto"/>
                <w:sz w:val="21"/>
                <w:szCs w:val="22"/>
                <w:highlight w:val="none"/>
              </w:rPr>
            </w:pPr>
          </w:p>
        </w:tc>
        <w:tc>
          <w:tcPr>
            <w:tcW w:w="1276" w:type="dxa"/>
            <w:vAlign w:val="center"/>
          </w:tcPr>
          <w:p w14:paraId="67B28E0E">
            <w:pPr>
              <w:spacing w:line="360" w:lineRule="auto"/>
              <w:ind w:firstLine="420" w:firstLineChars="200"/>
              <w:rPr>
                <w:color w:val="auto"/>
                <w:sz w:val="21"/>
                <w:szCs w:val="22"/>
                <w:highlight w:val="none"/>
              </w:rPr>
            </w:pPr>
          </w:p>
        </w:tc>
        <w:tc>
          <w:tcPr>
            <w:tcW w:w="1134" w:type="dxa"/>
            <w:vAlign w:val="center"/>
          </w:tcPr>
          <w:p w14:paraId="0342B10A">
            <w:pPr>
              <w:spacing w:line="360" w:lineRule="auto"/>
              <w:ind w:firstLine="420" w:firstLineChars="200"/>
              <w:rPr>
                <w:color w:val="auto"/>
                <w:sz w:val="21"/>
                <w:szCs w:val="22"/>
                <w:highlight w:val="none"/>
              </w:rPr>
            </w:pPr>
          </w:p>
        </w:tc>
        <w:tc>
          <w:tcPr>
            <w:tcW w:w="1559" w:type="dxa"/>
            <w:vAlign w:val="center"/>
          </w:tcPr>
          <w:p w14:paraId="707E9279">
            <w:pPr>
              <w:spacing w:line="360" w:lineRule="auto"/>
              <w:ind w:firstLine="420" w:firstLineChars="200"/>
              <w:rPr>
                <w:color w:val="auto"/>
                <w:sz w:val="21"/>
                <w:szCs w:val="22"/>
                <w:highlight w:val="none"/>
              </w:rPr>
            </w:pPr>
          </w:p>
        </w:tc>
      </w:tr>
    </w:tbl>
    <w:p w14:paraId="1CD2279C">
      <w:pPr>
        <w:rPr>
          <w:color w:val="auto"/>
          <w:sz w:val="21"/>
          <w:szCs w:val="21"/>
          <w:highlight w:val="none"/>
        </w:rPr>
      </w:pPr>
    </w:p>
    <w:p w14:paraId="590E663C">
      <w:pPr>
        <w:rPr>
          <w:color w:val="auto"/>
          <w:sz w:val="21"/>
          <w:szCs w:val="21"/>
          <w:highlight w:val="none"/>
        </w:rPr>
      </w:pPr>
    </w:p>
    <w:p w14:paraId="2F283408">
      <w:pPr>
        <w:rPr>
          <w:color w:val="auto"/>
          <w:sz w:val="21"/>
          <w:szCs w:val="21"/>
          <w:highlight w:val="none"/>
        </w:rPr>
      </w:pPr>
    </w:p>
    <w:p w14:paraId="4F3470C7">
      <w:pPr>
        <w:pStyle w:val="10"/>
        <w:rPr>
          <w:color w:val="auto"/>
        </w:rPr>
      </w:pPr>
    </w:p>
    <w:p w14:paraId="6F73B029">
      <w:pPr>
        <w:rPr>
          <w:color w:val="auto"/>
          <w:sz w:val="21"/>
          <w:szCs w:val="21"/>
          <w:highlight w:val="none"/>
        </w:rPr>
      </w:pPr>
    </w:p>
    <w:p w14:paraId="777CE9DA">
      <w:pPr>
        <w:pStyle w:val="28"/>
        <w:rPr>
          <w:color w:val="auto"/>
          <w:sz w:val="21"/>
          <w:szCs w:val="21"/>
          <w:highlight w:val="none"/>
        </w:rPr>
      </w:pPr>
    </w:p>
    <w:p w14:paraId="585DD9AA">
      <w:pPr>
        <w:pStyle w:val="28"/>
        <w:rPr>
          <w:color w:val="auto"/>
          <w:sz w:val="21"/>
          <w:szCs w:val="21"/>
          <w:highlight w:val="none"/>
        </w:rPr>
      </w:pPr>
    </w:p>
    <w:p w14:paraId="11C7BA5D">
      <w:pPr>
        <w:pStyle w:val="28"/>
        <w:rPr>
          <w:color w:val="auto"/>
          <w:sz w:val="28"/>
          <w:szCs w:val="21"/>
          <w:highlight w:val="none"/>
        </w:rPr>
      </w:pPr>
    </w:p>
    <w:p w14:paraId="33D77A27">
      <w:pPr>
        <w:pStyle w:val="28"/>
        <w:rPr>
          <w:color w:val="auto"/>
          <w:sz w:val="28"/>
          <w:szCs w:val="21"/>
          <w:highlight w:val="none"/>
        </w:rPr>
      </w:pPr>
    </w:p>
    <w:p w14:paraId="3566D707">
      <w:pPr>
        <w:rPr>
          <w:color w:val="auto"/>
          <w:sz w:val="21"/>
          <w:szCs w:val="21"/>
          <w:highlight w:val="none"/>
        </w:rPr>
      </w:pPr>
      <w:r>
        <w:rPr>
          <w:color w:val="auto"/>
          <w:sz w:val="21"/>
          <w:szCs w:val="21"/>
          <w:highlight w:val="none"/>
        </w:rPr>
        <w:t>附表三：劳动力计划表</w:t>
      </w:r>
    </w:p>
    <w:p w14:paraId="2ABEB26C">
      <w:pPr>
        <w:ind w:firstLine="7245" w:firstLineChars="3450"/>
        <w:rPr>
          <w:color w:val="auto"/>
          <w:sz w:val="21"/>
          <w:szCs w:val="22"/>
          <w:highlight w:val="none"/>
        </w:rPr>
      </w:pPr>
      <w:r>
        <w:rPr>
          <w:color w:val="auto"/>
          <w:sz w:val="21"/>
          <w:szCs w:val="22"/>
          <w:highlight w:val="none"/>
        </w:rPr>
        <w:t xml:space="preserve">    单位：人</w:t>
      </w:r>
    </w:p>
    <w:tbl>
      <w:tblPr>
        <w:tblStyle w:val="2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0001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958C5A8">
            <w:pPr>
              <w:spacing w:line="360" w:lineRule="auto"/>
              <w:jc w:val="center"/>
              <w:rPr>
                <w:color w:val="auto"/>
                <w:sz w:val="21"/>
                <w:szCs w:val="22"/>
                <w:highlight w:val="none"/>
              </w:rPr>
            </w:pPr>
            <w:r>
              <w:rPr>
                <w:color w:val="auto"/>
                <w:sz w:val="21"/>
                <w:szCs w:val="22"/>
                <w:highlight w:val="none"/>
              </w:rPr>
              <w:t>工种</w:t>
            </w:r>
          </w:p>
        </w:tc>
        <w:tc>
          <w:tcPr>
            <w:tcW w:w="8506" w:type="dxa"/>
            <w:gridSpan w:val="7"/>
            <w:vAlign w:val="center"/>
          </w:tcPr>
          <w:p w14:paraId="004B9C11">
            <w:pPr>
              <w:spacing w:line="360" w:lineRule="auto"/>
              <w:jc w:val="center"/>
              <w:rPr>
                <w:color w:val="auto"/>
                <w:sz w:val="21"/>
                <w:szCs w:val="22"/>
                <w:highlight w:val="none"/>
              </w:rPr>
            </w:pPr>
            <w:r>
              <w:rPr>
                <w:color w:val="auto"/>
                <w:sz w:val="21"/>
                <w:szCs w:val="22"/>
                <w:highlight w:val="none"/>
              </w:rPr>
              <w:t>按工程施工阶段投入劳动力情况</w:t>
            </w:r>
          </w:p>
        </w:tc>
      </w:tr>
      <w:tr w14:paraId="7F13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2E2A672">
            <w:pPr>
              <w:spacing w:line="360" w:lineRule="auto"/>
              <w:jc w:val="center"/>
              <w:rPr>
                <w:color w:val="auto"/>
                <w:sz w:val="21"/>
                <w:szCs w:val="22"/>
                <w:highlight w:val="none"/>
              </w:rPr>
            </w:pPr>
          </w:p>
        </w:tc>
        <w:tc>
          <w:tcPr>
            <w:tcW w:w="961" w:type="dxa"/>
            <w:vAlign w:val="center"/>
          </w:tcPr>
          <w:p w14:paraId="18F8E28A">
            <w:pPr>
              <w:spacing w:line="360" w:lineRule="auto"/>
              <w:jc w:val="center"/>
              <w:rPr>
                <w:color w:val="auto"/>
                <w:sz w:val="21"/>
                <w:szCs w:val="22"/>
                <w:highlight w:val="none"/>
              </w:rPr>
            </w:pPr>
          </w:p>
        </w:tc>
        <w:tc>
          <w:tcPr>
            <w:tcW w:w="1257" w:type="dxa"/>
            <w:vAlign w:val="center"/>
          </w:tcPr>
          <w:p w14:paraId="2202F2D3">
            <w:pPr>
              <w:spacing w:line="360" w:lineRule="auto"/>
              <w:jc w:val="center"/>
              <w:rPr>
                <w:color w:val="auto"/>
                <w:sz w:val="21"/>
                <w:szCs w:val="22"/>
                <w:highlight w:val="none"/>
              </w:rPr>
            </w:pPr>
          </w:p>
        </w:tc>
        <w:tc>
          <w:tcPr>
            <w:tcW w:w="1258" w:type="dxa"/>
            <w:vAlign w:val="center"/>
          </w:tcPr>
          <w:p w14:paraId="18ADF167">
            <w:pPr>
              <w:spacing w:line="360" w:lineRule="auto"/>
              <w:jc w:val="center"/>
              <w:rPr>
                <w:color w:val="auto"/>
                <w:sz w:val="21"/>
                <w:szCs w:val="22"/>
                <w:highlight w:val="none"/>
              </w:rPr>
            </w:pPr>
          </w:p>
        </w:tc>
        <w:tc>
          <w:tcPr>
            <w:tcW w:w="1257" w:type="dxa"/>
            <w:vAlign w:val="center"/>
          </w:tcPr>
          <w:p w14:paraId="63E45764">
            <w:pPr>
              <w:spacing w:line="360" w:lineRule="auto"/>
              <w:jc w:val="center"/>
              <w:rPr>
                <w:color w:val="auto"/>
                <w:sz w:val="21"/>
                <w:szCs w:val="22"/>
                <w:highlight w:val="none"/>
              </w:rPr>
            </w:pPr>
          </w:p>
        </w:tc>
        <w:tc>
          <w:tcPr>
            <w:tcW w:w="1258" w:type="dxa"/>
            <w:vAlign w:val="center"/>
          </w:tcPr>
          <w:p w14:paraId="1AA214B4">
            <w:pPr>
              <w:spacing w:line="360" w:lineRule="auto"/>
              <w:jc w:val="center"/>
              <w:rPr>
                <w:color w:val="auto"/>
                <w:sz w:val="21"/>
                <w:szCs w:val="22"/>
                <w:highlight w:val="none"/>
              </w:rPr>
            </w:pPr>
          </w:p>
        </w:tc>
        <w:tc>
          <w:tcPr>
            <w:tcW w:w="1257" w:type="dxa"/>
            <w:vAlign w:val="center"/>
          </w:tcPr>
          <w:p w14:paraId="5CA7C039">
            <w:pPr>
              <w:spacing w:line="360" w:lineRule="auto"/>
              <w:jc w:val="center"/>
              <w:rPr>
                <w:color w:val="auto"/>
                <w:sz w:val="21"/>
                <w:szCs w:val="22"/>
                <w:highlight w:val="none"/>
              </w:rPr>
            </w:pPr>
          </w:p>
        </w:tc>
        <w:tc>
          <w:tcPr>
            <w:tcW w:w="1258" w:type="dxa"/>
            <w:vAlign w:val="center"/>
          </w:tcPr>
          <w:p w14:paraId="6AA60435">
            <w:pPr>
              <w:spacing w:line="360" w:lineRule="auto"/>
              <w:jc w:val="center"/>
              <w:rPr>
                <w:color w:val="auto"/>
                <w:sz w:val="21"/>
                <w:szCs w:val="22"/>
                <w:highlight w:val="none"/>
              </w:rPr>
            </w:pPr>
          </w:p>
        </w:tc>
      </w:tr>
      <w:tr w14:paraId="5AAB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14:paraId="6AEA5F71">
            <w:pPr>
              <w:spacing w:line="360" w:lineRule="auto"/>
              <w:jc w:val="center"/>
              <w:rPr>
                <w:color w:val="auto"/>
                <w:sz w:val="21"/>
                <w:szCs w:val="22"/>
                <w:highlight w:val="none"/>
              </w:rPr>
            </w:pPr>
          </w:p>
        </w:tc>
        <w:tc>
          <w:tcPr>
            <w:tcW w:w="961" w:type="dxa"/>
            <w:vAlign w:val="center"/>
          </w:tcPr>
          <w:p w14:paraId="50327CF7">
            <w:pPr>
              <w:spacing w:line="360" w:lineRule="auto"/>
              <w:jc w:val="center"/>
              <w:rPr>
                <w:color w:val="auto"/>
                <w:sz w:val="21"/>
                <w:szCs w:val="22"/>
                <w:highlight w:val="none"/>
              </w:rPr>
            </w:pPr>
          </w:p>
        </w:tc>
        <w:tc>
          <w:tcPr>
            <w:tcW w:w="1257" w:type="dxa"/>
            <w:vAlign w:val="center"/>
          </w:tcPr>
          <w:p w14:paraId="5AB0D8A6">
            <w:pPr>
              <w:spacing w:line="360" w:lineRule="auto"/>
              <w:jc w:val="center"/>
              <w:rPr>
                <w:color w:val="auto"/>
                <w:sz w:val="21"/>
                <w:szCs w:val="22"/>
                <w:highlight w:val="none"/>
              </w:rPr>
            </w:pPr>
          </w:p>
        </w:tc>
        <w:tc>
          <w:tcPr>
            <w:tcW w:w="1258" w:type="dxa"/>
            <w:vAlign w:val="center"/>
          </w:tcPr>
          <w:p w14:paraId="69FF1A44">
            <w:pPr>
              <w:spacing w:line="360" w:lineRule="auto"/>
              <w:jc w:val="center"/>
              <w:rPr>
                <w:color w:val="auto"/>
                <w:sz w:val="21"/>
                <w:szCs w:val="22"/>
                <w:highlight w:val="none"/>
              </w:rPr>
            </w:pPr>
          </w:p>
        </w:tc>
        <w:tc>
          <w:tcPr>
            <w:tcW w:w="1257" w:type="dxa"/>
            <w:vAlign w:val="center"/>
          </w:tcPr>
          <w:p w14:paraId="7CAA8C07">
            <w:pPr>
              <w:spacing w:line="360" w:lineRule="auto"/>
              <w:jc w:val="center"/>
              <w:rPr>
                <w:color w:val="auto"/>
                <w:sz w:val="21"/>
                <w:szCs w:val="22"/>
                <w:highlight w:val="none"/>
              </w:rPr>
            </w:pPr>
          </w:p>
        </w:tc>
        <w:tc>
          <w:tcPr>
            <w:tcW w:w="1258" w:type="dxa"/>
            <w:vAlign w:val="center"/>
          </w:tcPr>
          <w:p w14:paraId="105B97CF">
            <w:pPr>
              <w:spacing w:line="360" w:lineRule="auto"/>
              <w:jc w:val="center"/>
              <w:rPr>
                <w:color w:val="auto"/>
                <w:sz w:val="21"/>
                <w:szCs w:val="22"/>
                <w:highlight w:val="none"/>
              </w:rPr>
            </w:pPr>
          </w:p>
        </w:tc>
        <w:tc>
          <w:tcPr>
            <w:tcW w:w="1257" w:type="dxa"/>
            <w:vAlign w:val="center"/>
          </w:tcPr>
          <w:p w14:paraId="39999915">
            <w:pPr>
              <w:spacing w:line="360" w:lineRule="auto"/>
              <w:jc w:val="center"/>
              <w:rPr>
                <w:color w:val="auto"/>
                <w:sz w:val="21"/>
                <w:szCs w:val="22"/>
                <w:highlight w:val="none"/>
              </w:rPr>
            </w:pPr>
          </w:p>
        </w:tc>
        <w:tc>
          <w:tcPr>
            <w:tcW w:w="1258" w:type="dxa"/>
            <w:vAlign w:val="center"/>
          </w:tcPr>
          <w:p w14:paraId="32AE5206">
            <w:pPr>
              <w:spacing w:line="360" w:lineRule="auto"/>
              <w:jc w:val="center"/>
              <w:rPr>
                <w:color w:val="auto"/>
                <w:sz w:val="21"/>
                <w:szCs w:val="22"/>
                <w:highlight w:val="none"/>
              </w:rPr>
            </w:pPr>
          </w:p>
        </w:tc>
      </w:tr>
      <w:tr w14:paraId="123B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1935233">
            <w:pPr>
              <w:spacing w:line="360" w:lineRule="auto"/>
              <w:jc w:val="center"/>
              <w:rPr>
                <w:color w:val="auto"/>
                <w:sz w:val="21"/>
                <w:szCs w:val="22"/>
                <w:highlight w:val="none"/>
              </w:rPr>
            </w:pPr>
          </w:p>
        </w:tc>
        <w:tc>
          <w:tcPr>
            <w:tcW w:w="961" w:type="dxa"/>
            <w:vAlign w:val="center"/>
          </w:tcPr>
          <w:p w14:paraId="500D64AA">
            <w:pPr>
              <w:spacing w:line="360" w:lineRule="auto"/>
              <w:jc w:val="center"/>
              <w:rPr>
                <w:color w:val="auto"/>
                <w:sz w:val="21"/>
                <w:szCs w:val="22"/>
                <w:highlight w:val="none"/>
              </w:rPr>
            </w:pPr>
          </w:p>
        </w:tc>
        <w:tc>
          <w:tcPr>
            <w:tcW w:w="1257" w:type="dxa"/>
            <w:vAlign w:val="center"/>
          </w:tcPr>
          <w:p w14:paraId="2DA54C67">
            <w:pPr>
              <w:spacing w:line="360" w:lineRule="auto"/>
              <w:jc w:val="center"/>
              <w:rPr>
                <w:color w:val="auto"/>
                <w:sz w:val="21"/>
                <w:szCs w:val="22"/>
                <w:highlight w:val="none"/>
              </w:rPr>
            </w:pPr>
          </w:p>
        </w:tc>
        <w:tc>
          <w:tcPr>
            <w:tcW w:w="1258" w:type="dxa"/>
            <w:vAlign w:val="center"/>
          </w:tcPr>
          <w:p w14:paraId="5F77A805">
            <w:pPr>
              <w:spacing w:line="360" w:lineRule="auto"/>
              <w:jc w:val="center"/>
              <w:rPr>
                <w:color w:val="auto"/>
                <w:sz w:val="21"/>
                <w:szCs w:val="22"/>
                <w:highlight w:val="none"/>
              </w:rPr>
            </w:pPr>
          </w:p>
        </w:tc>
        <w:tc>
          <w:tcPr>
            <w:tcW w:w="1257" w:type="dxa"/>
            <w:vAlign w:val="center"/>
          </w:tcPr>
          <w:p w14:paraId="1E676167">
            <w:pPr>
              <w:spacing w:line="360" w:lineRule="auto"/>
              <w:jc w:val="center"/>
              <w:rPr>
                <w:color w:val="auto"/>
                <w:sz w:val="21"/>
                <w:szCs w:val="22"/>
                <w:highlight w:val="none"/>
              </w:rPr>
            </w:pPr>
          </w:p>
        </w:tc>
        <w:tc>
          <w:tcPr>
            <w:tcW w:w="1258" w:type="dxa"/>
            <w:vAlign w:val="center"/>
          </w:tcPr>
          <w:p w14:paraId="2660563F">
            <w:pPr>
              <w:spacing w:line="360" w:lineRule="auto"/>
              <w:jc w:val="center"/>
              <w:rPr>
                <w:color w:val="auto"/>
                <w:sz w:val="21"/>
                <w:szCs w:val="22"/>
                <w:highlight w:val="none"/>
              </w:rPr>
            </w:pPr>
          </w:p>
        </w:tc>
        <w:tc>
          <w:tcPr>
            <w:tcW w:w="1257" w:type="dxa"/>
            <w:vAlign w:val="center"/>
          </w:tcPr>
          <w:p w14:paraId="3E4B3799">
            <w:pPr>
              <w:spacing w:line="360" w:lineRule="auto"/>
              <w:jc w:val="center"/>
              <w:rPr>
                <w:color w:val="auto"/>
                <w:sz w:val="21"/>
                <w:szCs w:val="22"/>
                <w:highlight w:val="none"/>
              </w:rPr>
            </w:pPr>
          </w:p>
        </w:tc>
        <w:tc>
          <w:tcPr>
            <w:tcW w:w="1258" w:type="dxa"/>
            <w:vAlign w:val="center"/>
          </w:tcPr>
          <w:p w14:paraId="4872F910">
            <w:pPr>
              <w:spacing w:line="360" w:lineRule="auto"/>
              <w:jc w:val="center"/>
              <w:rPr>
                <w:color w:val="auto"/>
                <w:sz w:val="21"/>
                <w:szCs w:val="22"/>
                <w:highlight w:val="none"/>
              </w:rPr>
            </w:pPr>
          </w:p>
        </w:tc>
      </w:tr>
      <w:tr w14:paraId="6939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994B131">
            <w:pPr>
              <w:spacing w:line="360" w:lineRule="auto"/>
              <w:jc w:val="center"/>
              <w:rPr>
                <w:color w:val="auto"/>
                <w:sz w:val="21"/>
                <w:szCs w:val="22"/>
                <w:highlight w:val="none"/>
              </w:rPr>
            </w:pPr>
          </w:p>
        </w:tc>
        <w:tc>
          <w:tcPr>
            <w:tcW w:w="961" w:type="dxa"/>
            <w:vAlign w:val="center"/>
          </w:tcPr>
          <w:p w14:paraId="4280626B">
            <w:pPr>
              <w:spacing w:line="360" w:lineRule="auto"/>
              <w:jc w:val="center"/>
              <w:rPr>
                <w:color w:val="auto"/>
                <w:sz w:val="21"/>
                <w:szCs w:val="22"/>
                <w:highlight w:val="none"/>
              </w:rPr>
            </w:pPr>
          </w:p>
        </w:tc>
        <w:tc>
          <w:tcPr>
            <w:tcW w:w="1257" w:type="dxa"/>
            <w:vAlign w:val="center"/>
          </w:tcPr>
          <w:p w14:paraId="3438AA2E">
            <w:pPr>
              <w:spacing w:line="360" w:lineRule="auto"/>
              <w:jc w:val="center"/>
              <w:rPr>
                <w:color w:val="auto"/>
                <w:sz w:val="21"/>
                <w:szCs w:val="22"/>
                <w:highlight w:val="none"/>
              </w:rPr>
            </w:pPr>
          </w:p>
        </w:tc>
        <w:tc>
          <w:tcPr>
            <w:tcW w:w="1258" w:type="dxa"/>
            <w:vAlign w:val="center"/>
          </w:tcPr>
          <w:p w14:paraId="607127A5">
            <w:pPr>
              <w:spacing w:line="360" w:lineRule="auto"/>
              <w:jc w:val="center"/>
              <w:rPr>
                <w:color w:val="auto"/>
                <w:sz w:val="21"/>
                <w:szCs w:val="22"/>
                <w:highlight w:val="none"/>
              </w:rPr>
            </w:pPr>
          </w:p>
        </w:tc>
        <w:tc>
          <w:tcPr>
            <w:tcW w:w="1257" w:type="dxa"/>
            <w:vAlign w:val="center"/>
          </w:tcPr>
          <w:p w14:paraId="0A083706">
            <w:pPr>
              <w:spacing w:line="360" w:lineRule="auto"/>
              <w:jc w:val="center"/>
              <w:rPr>
                <w:color w:val="auto"/>
                <w:sz w:val="21"/>
                <w:szCs w:val="22"/>
                <w:highlight w:val="none"/>
              </w:rPr>
            </w:pPr>
          </w:p>
        </w:tc>
        <w:tc>
          <w:tcPr>
            <w:tcW w:w="1258" w:type="dxa"/>
            <w:vAlign w:val="center"/>
          </w:tcPr>
          <w:p w14:paraId="394F9C24">
            <w:pPr>
              <w:spacing w:line="360" w:lineRule="auto"/>
              <w:jc w:val="center"/>
              <w:rPr>
                <w:color w:val="auto"/>
                <w:sz w:val="21"/>
                <w:szCs w:val="22"/>
                <w:highlight w:val="none"/>
              </w:rPr>
            </w:pPr>
          </w:p>
        </w:tc>
        <w:tc>
          <w:tcPr>
            <w:tcW w:w="1257" w:type="dxa"/>
            <w:vAlign w:val="center"/>
          </w:tcPr>
          <w:p w14:paraId="3F8DD124">
            <w:pPr>
              <w:spacing w:line="360" w:lineRule="auto"/>
              <w:jc w:val="center"/>
              <w:rPr>
                <w:color w:val="auto"/>
                <w:sz w:val="21"/>
                <w:szCs w:val="22"/>
                <w:highlight w:val="none"/>
              </w:rPr>
            </w:pPr>
          </w:p>
        </w:tc>
        <w:tc>
          <w:tcPr>
            <w:tcW w:w="1258" w:type="dxa"/>
            <w:vAlign w:val="center"/>
          </w:tcPr>
          <w:p w14:paraId="0D150E1A">
            <w:pPr>
              <w:spacing w:line="360" w:lineRule="auto"/>
              <w:jc w:val="center"/>
              <w:rPr>
                <w:color w:val="auto"/>
                <w:sz w:val="21"/>
                <w:szCs w:val="22"/>
                <w:highlight w:val="none"/>
              </w:rPr>
            </w:pPr>
          </w:p>
        </w:tc>
      </w:tr>
      <w:tr w14:paraId="4810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15756B6">
            <w:pPr>
              <w:spacing w:line="360" w:lineRule="auto"/>
              <w:jc w:val="center"/>
              <w:rPr>
                <w:color w:val="auto"/>
                <w:sz w:val="21"/>
                <w:szCs w:val="22"/>
                <w:highlight w:val="none"/>
              </w:rPr>
            </w:pPr>
          </w:p>
        </w:tc>
        <w:tc>
          <w:tcPr>
            <w:tcW w:w="961" w:type="dxa"/>
            <w:vAlign w:val="center"/>
          </w:tcPr>
          <w:p w14:paraId="2367811B">
            <w:pPr>
              <w:spacing w:line="360" w:lineRule="auto"/>
              <w:jc w:val="center"/>
              <w:rPr>
                <w:color w:val="auto"/>
                <w:sz w:val="21"/>
                <w:szCs w:val="22"/>
                <w:highlight w:val="none"/>
              </w:rPr>
            </w:pPr>
          </w:p>
        </w:tc>
        <w:tc>
          <w:tcPr>
            <w:tcW w:w="1257" w:type="dxa"/>
            <w:vAlign w:val="center"/>
          </w:tcPr>
          <w:p w14:paraId="00A8A977">
            <w:pPr>
              <w:spacing w:line="360" w:lineRule="auto"/>
              <w:jc w:val="center"/>
              <w:rPr>
                <w:color w:val="auto"/>
                <w:sz w:val="21"/>
                <w:szCs w:val="22"/>
                <w:highlight w:val="none"/>
              </w:rPr>
            </w:pPr>
          </w:p>
        </w:tc>
        <w:tc>
          <w:tcPr>
            <w:tcW w:w="1258" w:type="dxa"/>
            <w:vAlign w:val="center"/>
          </w:tcPr>
          <w:p w14:paraId="14634544">
            <w:pPr>
              <w:spacing w:line="360" w:lineRule="auto"/>
              <w:jc w:val="center"/>
              <w:rPr>
                <w:color w:val="auto"/>
                <w:sz w:val="21"/>
                <w:szCs w:val="22"/>
                <w:highlight w:val="none"/>
              </w:rPr>
            </w:pPr>
          </w:p>
        </w:tc>
        <w:tc>
          <w:tcPr>
            <w:tcW w:w="1257" w:type="dxa"/>
            <w:vAlign w:val="center"/>
          </w:tcPr>
          <w:p w14:paraId="7A84C71D">
            <w:pPr>
              <w:spacing w:line="360" w:lineRule="auto"/>
              <w:jc w:val="center"/>
              <w:rPr>
                <w:color w:val="auto"/>
                <w:sz w:val="21"/>
                <w:szCs w:val="22"/>
                <w:highlight w:val="none"/>
              </w:rPr>
            </w:pPr>
          </w:p>
        </w:tc>
        <w:tc>
          <w:tcPr>
            <w:tcW w:w="1258" w:type="dxa"/>
            <w:vAlign w:val="center"/>
          </w:tcPr>
          <w:p w14:paraId="65821C75">
            <w:pPr>
              <w:spacing w:line="360" w:lineRule="auto"/>
              <w:jc w:val="center"/>
              <w:rPr>
                <w:color w:val="auto"/>
                <w:sz w:val="21"/>
                <w:szCs w:val="22"/>
                <w:highlight w:val="none"/>
              </w:rPr>
            </w:pPr>
          </w:p>
        </w:tc>
        <w:tc>
          <w:tcPr>
            <w:tcW w:w="1257" w:type="dxa"/>
            <w:vAlign w:val="center"/>
          </w:tcPr>
          <w:p w14:paraId="0386C3F6">
            <w:pPr>
              <w:spacing w:line="360" w:lineRule="auto"/>
              <w:jc w:val="center"/>
              <w:rPr>
                <w:color w:val="auto"/>
                <w:sz w:val="21"/>
                <w:szCs w:val="22"/>
                <w:highlight w:val="none"/>
              </w:rPr>
            </w:pPr>
          </w:p>
        </w:tc>
        <w:tc>
          <w:tcPr>
            <w:tcW w:w="1258" w:type="dxa"/>
            <w:vAlign w:val="center"/>
          </w:tcPr>
          <w:p w14:paraId="59AF8C17">
            <w:pPr>
              <w:spacing w:line="360" w:lineRule="auto"/>
              <w:jc w:val="center"/>
              <w:rPr>
                <w:color w:val="auto"/>
                <w:sz w:val="21"/>
                <w:szCs w:val="22"/>
                <w:highlight w:val="none"/>
              </w:rPr>
            </w:pPr>
          </w:p>
        </w:tc>
      </w:tr>
    </w:tbl>
    <w:p w14:paraId="6B3A152D">
      <w:pPr>
        <w:rPr>
          <w:color w:val="auto"/>
          <w:sz w:val="21"/>
          <w:szCs w:val="21"/>
          <w:highlight w:val="none"/>
        </w:rPr>
      </w:pPr>
    </w:p>
    <w:p w14:paraId="12AB0118">
      <w:pPr>
        <w:rPr>
          <w:b/>
          <w:color w:val="auto"/>
          <w:sz w:val="21"/>
          <w:szCs w:val="21"/>
          <w:highlight w:val="none"/>
        </w:rPr>
      </w:pPr>
    </w:p>
    <w:p w14:paraId="5C7D2454">
      <w:pPr>
        <w:rPr>
          <w:color w:val="auto"/>
          <w:sz w:val="21"/>
          <w:szCs w:val="21"/>
          <w:highlight w:val="none"/>
        </w:rPr>
      </w:pPr>
      <w:r>
        <w:rPr>
          <w:color w:val="auto"/>
          <w:sz w:val="21"/>
          <w:szCs w:val="21"/>
          <w:highlight w:val="none"/>
        </w:rPr>
        <w:t>附表四：计划开、竣工日期和施工进度</w:t>
      </w:r>
      <w:r>
        <w:rPr>
          <w:rFonts w:hint="eastAsia"/>
          <w:color w:val="auto"/>
          <w:sz w:val="21"/>
          <w:szCs w:val="21"/>
          <w:highlight w:val="none"/>
        </w:rPr>
        <w:t>计划（网络图或横道图）</w:t>
      </w:r>
    </w:p>
    <w:p w14:paraId="7632BAB3">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磋商单位</w:t>
      </w:r>
      <w:r>
        <w:rPr>
          <w:color w:val="auto"/>
          <w:sz w:val="21"/>
          <w:szCs w:val="21"/>
          <w:highlight w:val="none"/>
        </w:rPr>
        <w:t>应提交施工进度</w:t>
      </w:r>
      <w:r>
        <w:rPr>
          <w:rFonts w:hint="eastAsia"/>
          <w:color w:val="auto"/>
          <w:sz w:val="21"/>
          <w:szCs w:val="21"/>
          <w:highlight w:val="none"/>
        </w:rPr>
        <w:t>计划</w:t>
      </w:r>
      <w:r>
        <w:rPr>
          <w:color w:val="auto"/>
          <w:sz w:val="21"/>
          <w:szCs w:val="21"/>
          <w:highlight w:val="none"/>
        </w:rPr>
        <w:t>，说明按招标文件要求的工期进行施工的各个关键日期。中标的</w:t>
      </w:r>
      <w:r>
        <w:rPr>
          <w:rFonts w:hint="eastAsia"/>
          <w:color w:val="auto"/>
          <w:sz w:val="21"/>
          <w:szCs w:val="21"/>
          <w:highlight w:val="none"/>
        </w:rPr>
        <w:t>磋商单位</w:t>
      </w:r>
      <w:r>
        <w:rPr>
          <w:color w:val="auto"/>
          <w:sz w:val="21"/>
          <w:szCs w:val="21"/>
          <w:highlight w:val="none"/>
        </w:rPr>
        <w:t>还应按合同条件有关条款的要求提交详细的施工进度计划。</w:t>
      </w:r>
    </w:p>
    <w:p w14:paraId="41CE0A18">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color w:val="auto"/>
          <w:sz w:val="21"/>
          <w:szCs w:val="21"/>
          <w:highlight w:val="none"/>
        </w:rPr>
        <w:t>施工进度</w:t>
      </w:r>
      <w:r>
        <w:rPr>
          <w:rFonts w:hint="eastAsia"/>
          <w:color w:val="auto"/>
          <w:sz w:val="21"/>
          <w:szCs w:val="21"/>
          <w:highlight w:val="none"/>
        </w:rPr>
        <w:t>计划</w:t>
      </w:r>
      <w:r>
        <w:rPr>
          <w:color w:val="auto"/>
          <w:sz w:val="21"/>
          <w:szCs w:val="21"/>
          <w:highlight w:val="none"/>
        </w:rPr>
        <w:t>可采用网络图（或横道图）表示，说明计划开工日期和各分项工程各阶段的完工日期。</w:t>
      </w:r>
    </w:p>
    <w:p w14:paraId="3D20E960">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color w:val="auto"/>
          <w:sz w:val="21"/>
          <w:szCs w:val="21"/>
          <w:highlight w:val="none"/>
        </w:rPr>
        <w:t>施工进度计划应与施工组织设计相适应。</w:t>
      </w:r>
    </w:p>
    <w:p w14:paraId="155D4541">
      <w:pPr>
        <w:rPr>
          <w:color w:val="auto"/>
          <w:sz w:val="21"/>
          <w:szCs w:val="21"/>
          <w:highlight w:val="none"/>
        </w:rPr>
      </w:pPr>
    </w:p>
    <w:p w14:paraId="7ED23437">
      <w:pPr>
        <w:rPr>
          <w:color w:val="auto"/>
          <w:sz w:val="21"/>
          <w:szCs w:val="21"/>
          <w:highlight w:val="none"/>
        </w:rPr>
      </w:pPr>
      <w:r>
        <w:rPr>
          <w:color w:val="auto"/>
          <w:sz w:val="21"/>
          <w:szCs w:val="21"/>
          <w:highlight w:val="none"/>
        </w:rPr>
        <w:t>附表五：施工总平面图</w:t>
      </w:r>
    </w:p>
    <w:p w14:paraId="26FE7A8F">
      <w:pPr>
        <w:spacing w:line="460" w:lineRule="exact"/>
        <w:ind w:firstLine="420" w:firstLineChars="200"/>
        <w:rPr>
          <w:color w:val="auto"/>
          <w:sz w:val="21"/>
          <w:szCs w:val="22"/>
          <w:highlight w:val="none"/>
        </w:rPr>
      </w:pPr>
      <w:r>
        <w:rPr>
          <w:rFonts w:hint="eastAsia"/>
          <w:color w:val="auto"/>
          <w:sz w:val="21"/>
          <w:szCs w:val="22"/>
          <w:highlight w:val="none"/>
        </w:rPr>
        <w:t>磋商单位</w:t>
      </w:r>
      <w:r>
        <w:rPr>
          <w:color w:val="auto"/>
          <w:sz w:val="21"/>
          <w:szCs w:val="22"/>
          <w:highlight w:val="none"/>
        </w:rPr>
        <w:t>应递交一份施工总平面图，绘出现场临时设施布置图表并附文字说明，说明临时设施、加工车间、现场办公、设备及仓储、供电、供水、卫生、生活、道路、消防等设施的情况和布置。</w:t>
      </w:r>
    </w:p>
    <w:p w14:paraId="71AD946D">
      <w:pPr>
        <w:rPr>
          <w:color w:val="auto"/>
          <w:sz w:val="21"/>
          <w:szCs w:val="21"/>
          <w:highlight w:val="none"/>
        </w:rPr>
      </w:pPr>
    </w:p>
    <w:p w14:paraId="460FAD2E">
      <w:pPr>
        <w:rPr>
          <w:color w:val="auto"/>
          <w:sz w:val="21"/>
          <w:szCs w:val="21"/>
          <w:highlight w:val="none"/>
        </w:rPr>
      </w:pPr>
    </w:p>
    <w:p w14:paraId="6CB7A6A9">
      <w:pPr>
        <w:rPr>
          <w:color w:val="auto"/>
          <w:sz w:val="21"/>
          <w:szCs w:val="21"/>
          <w:highlight w:val="none"/>
        </w:rPr>
      </w:pPr>
      <w:r>
        <w:rPr>
          <w:color w:val="auto"/>
          <w:sz w:val="21"/>
          <w:szCs w:val="21"/>
          <w:highlight w:val="none"/>
        </w:rPr>
        <w:t>附表六：临时用地表</w:t>
      </w:r>
    </w:p>
    <w:tbl>
      <w:tblPr>
        <w:tblStyle w:val="2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5C87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70FCA39A">
            <w:pPr>
              <w:jc w:val="center"/>
              <w:rPr>
                <w:color w:val="auto"/>
                <w:sz w:val="21"/>
                <w:szCs w:val="21"/>
                <w:highlight w:val="none"/>
              </w:rPr>
            </w:pPr>
            <w:r>
              <w:rPr>
                <w:color w:val="auto"/>
                <w:sz w:val="21"/>
                <w:szCs w:val="22"/>
                <w:highlight w:val="none"/>
              </w:rPr>
              <w:t>用途</w:t>
            </w:r>
          </w:p>
        </w:tc>
        <w:tc>
          <w:tcPr>
            <w:tcW w:w="2357" w:type="dxa"/>
            <w:vAlign w:val="center"/>
          </w:tcPr>
          <w:p w14:paraId="4CAE881B">
            <w:pPr>
              <w:jc w:val="center"/>
              <w:rPr>
                <w:color w:val="auto"/>
                <w:sz w:val="21"/>
                <w:szCs w:val="21"/>
                <w:highlight w:val="none"/>
              </w:rPr>
            </w:pPr>
            <w:r>
              <w:rPr>
                <w:color w:val="auto"/>
                <w:sz w:val="21"/>
                <w:szCs w:val="22"/>
                <w:highlight w:val="none"/>
              </w:rPr>
              <w:t>面积（平方米）</w:t>
            </w:r>
          </w:p>
        </w:tc>
        <w:tc>
          <w:tcPr>
            <w:tcW w:w="2356" w:type="dxa"/>
            <w:vAlign w:val="center"/>
          </w:tcPr>
          <w:p w14:paraId="42160B05">
            <w:pPr>
              <w:jc w:val="center"/>
              <w:rPr>
                <w:color w:val="auto"/>
                <w:sz w:val="21"/>
                <w:szCs w:val="21"/>
                <w:highlight w:val="none"/>
              </w:rPr>
            </w:pPr>
            <w:r>
              <w:rPr>
                <w:color w:val="auto"/>
                <w:sz w:val="21"/>
                <w:szCs w:val="22"/>
                <w:highlight w:val="none"/>
              </w:rPr>
              <w:t>位置</w:t>
            </w:r>
          </w:p>
        </w:tc>
        <w:tc>
          <w:tcPr>
            <w:tcW w:w="2357" w:type="dxa"/>
            <w:vAlign w:val="center"/>
          </w:tcPr>
          <w:p w14:paraId="3E881277">
            <w:pPr>
              <w:jc w:val="center"/>
              <w:rPr>
                <w:color w:val="auto"/>
                <w:sz w:val="21"/>
                <w:szCs w:val="21"/>
                <w:highlight w:val="none"/>
              </w:rPr>
            </w:pPr>
            <w:r>
              <w:rPr>
                <w:color w:val="auto"/>
                <w:sz w:val="21"/>
                <w:szCs w:val="22"/>
                <w:highlight w:val="none"/>
              </w:rPr>
              <w:t>需用时间</w:t>
            </w:r>
          </w:p>
        </w:tc>
      </w:tr>
      <w:tr w14:paraId="781D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B10DD71">
            <w:pPr>
              <w:rPr>
                <w:color w:val="auto"/>
                <w:sz w:val="21"/>
                <w:szCs w:val="21"/>
                <w:highlight w:val="none"/>
              </w:rPr>
            </w:pPr>
          </w:p>
        </w:tc>
        <w:tc>
          <w:tcPr>
            <w:tcW w:w="2357" w:type="dxa"/>
          </w:tcPr>
          <w:p w14:paraId="3EB0D505">
            <w:pPr>
              <w:rPr>
                <w:color w:val="auto"/>
                <w:sz w:val="21"/>
                <w:szCs w:val="21"/>
                <w:highlight w:val="none"/>
              </w:rPr>
            </w:pPr>
          </w:p>
        </w:tc>
        <w:tc>
          <w:tcPr>
            <w:tcW w:w="2356" w:type="dxa"/>
          </w:tcPr>
          <w:p w14:paraId="6FD7509B">
            <w:pPr>
              <w:rPr>
                <w:color w:val="auto"/>
                <w:sz w:val="21"/>
                <w:szCs w:val="21"/>
                <w:highlight w:val="none"/>
              </w:rPr>
            </w:pPr>
          </w:p>
        </w:tc>
        <w:tc>
          <w:tcPr>
            <w:tcW w:w="2357" w:type="dxa"/>
          </w:tcPr>
          <w:p w14:paraId="7861DE9B">
            <w:pPr>
              <w:rPr>
                <w:color w:val="auto"/>
                <w:sz w:val="21"/>
                <w:szCs w:val="21"/>
                <w:highlight w:val="none"/>
              </w:rPr>
            </w:pPr>
          </w:p>
        </w:tc>
      </w:tr>
      <w:tr w14:paraId="1DA6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282F566">
            <w:pPr>
              <w:rPr>
                <w:color w:val="auto"/>
                <w:sz w:val="21"/>
                <w:szCs w:val="21"/>
                <w:highlight w:val="none"/>
              </w:rPr>
            </w:pPr>
          </w:p>
        </w:tc>
        <w:tc>
          <w:tcPr>
            <w:tcW w:w="2357" w:type="dxa"/>
          </w:tcPr>
          <w:p w14:paraId="21210A3D">
            <w:pPr>
              <w:rPr>
                <w:color w:val="auto"/>
                <w:sz w:val="21"/>
                <w:szCs w:val="21"/>
                <w:highlight w:val="none"/>
              </w:rPr>
            </w:pPr>
          </w:p>
        </w:tc>
        <w:tc>
          <w:tcPr>
            <w:tcW w:w="2356" w:type="dxa"/>
          </w:tcPr>
          <w:p w14:paraId="18B245A0">
            <w:pPr>
              <w:rPr>
                <w:color w:val="auto"/>
                <w:sz w:val="21"/>
                <w:szCs w:val="21"/>
                <w:highlight w:val="none"/>
              </w:rPr>
            </w:pPr>
          </w:p>
        </w:tc>
        <w:tc>
          <w:tcPr>
            <w:tcW w:w="2357" w:type="dxa"/>
          </w:tcPr>
          <w:p w14:paraId="3768408F">
            <w:pPr>
              <w:rPr>
                <w:color w:val="auto"/>
                <w:sz w:val="21"/>
                <w:szCs w:val="21"/>
                <w:highlight w:val="none"/>
              </w:rPr>
            </w:pPr>
          </w:p>
        </w:tc>
      </w:tr>
      <w:tr w14:paraId="5C98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73586289">
            <w:pPr>
              <w:rPr>
                <w:color w:val="auto"/>
                <w:sz w:val="21"/>
                <w:szCs w:val="21"/>
                <w:highlight w:val="none"/>
              </w:rPr>
            </w:pPr>
          </w:p>
        </w:tc>
        <w:tc>
          <w:tcPr>
            <w:tcW w:w="2357" w:type="dxa"/>
          </w:tcPr>
          <w:p w14:paraId="581CD2F3">
            <w:pPr>
              <w:rPr>
                <w:color w:val="auto"/>
                <w:sz w:val="21"/>
                <w:szCs w:val="21"/>
                <w:highlight w:val="none"/>
              </w:rPr>
            </w:pPr>
          </w:p>
        </w:tc>
        <w:tc>
          <w:tcPr>
            <w:tcW w:w="2356" w:type="dxa"/>
          </w:tcPr>
          <w:p w14:paraId="6F4E0AFE">
            <w:pPr>
              <w:rPr>
                <w:color w:val="auto"/>
                <w:sz w:val="21"/>
                <w:szCs w:val="21"/>
                <w:highlight w:val="none"/>
              </w:rPr>
            </w:pPr>
          </w:p>
        </w:tc>
        <w:tc>
          <w:tcPr>
            <w:tcW w:w="2357" w:type="dxa"/>
          </w:tcPr>
          <w:p w14:paraId="0C4BAD29">
            <w:pPr>
              <w:rPr>
                <w:color w:val="auto"/>
                <w:sz w:val="21"/>
                <w:szCs w:val="21"/>
                <w:highlight w:val="none"/>
              </w:rPr>
            </w:pPr>
          </w:p>
        </w:tc>
      </w:tr>
      <w:tr w14:paraId="6474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11BFD614">
            <w:pPr>
              <w:rPr>
                <w:color w:val="auto"/>
                <w:sz w:val="21"/>
                <w:szCs w:val="21"/>
                <w:highlight w:val="none"/>
              </w:rPr>
            </w:pPr>
          </w:p>
        </w:tc>
        <w:tc>
          <w:tcPr>
            <w:tcW w:w="2357" w:type="dxa"/>
          </w:tcPr>
          <w:p w14:paraId="2B5DE205">
            <w:pPr>
              <w:rPr>
                <w:color w:val="auto"/>
                <w:sz w:val="21"/>
                <w:szCs w:val="21"/>
                <w:highlight w:val="none"/>
              </w:rPr>
            </w:pPr>
          </w:p>
        </w:tc>
        <w:tc>
          <w:tcPr>
            <w:tcW w:w="2356" w:type="dxa"/>
          </w:tcPr>
          <w:p w14:paraId="45C9C034">
            <w:pPr>
              <w:rPr>
                <w:color w:val="auto"/>
                <w:sz w:val="21"/>
                <w:szCs w:val="21"/>
                <w:highlight w:val="none"/>
              </w:rPr>
            </w:pPr>
          </w:p>
        </w:tc>
        <w:tc>
          <w:tcPr>
            <w:tcW w:w="2357" w:type="dxa"/>
          </w:tcPr>
          <w:p w14:paraId="6EED2E40">
            <w:pPr>
              <w:rPr>
                <w:color w:val="auto"/>
                <w:sz w:val="21"/>
                <w:szCs w:val="21"/>
                <w:highlight w:val="none"/>
              </w:rPr>
            </w:pPr>
          </w:p>
        </w:tc>
      </w:tr>
    </w:tbl>
    <w:p w14:paraId="5584A9E6">
      <w:pPr>
        <w:rPr>
          <w:color w:val="auto"/>
          <w:sz w:val="21"/>
          <w:szCs w:val="21"/>
          <w:highlight w:val="none"/>
        </w:rPr>
      </w:pPr>
    </w:p>
    <w:p w14:paraId="6DD0F795">
      <w:pPr>
        <w:spacing w:beforeLines="50" w:afterLines="100" w:line="440" w:lineRule="exact"/>
        <w:ind w:right="420"/>
        <w:jc w:val="center"/>
        <w:outlineLvl w:val="0"/>
        <w:rPr>
          <w:color w:val="auto"/>
          <w:sz w:val="32"/>
          <w:szCs w:val="32"/>
          <w:highlight w:val="none"/>
        </w:rPr>
        <w:sectPr>
          <w:pgSz w:w="11907" w:h="16840"/>
          <w:pgMar w:top="1440" w:right="1440" w:bottom="1440" w:left="1797" w:header="851" w:footer="851" w:gutter="0"/>
          <w:pgNumType w:fmt="decimal"/>
          <w:cols w:space="720" w:num="1"/>
          <w:formProt w:val="1"/>
          <w:docGrid w:linePitch="312" w:charSpace="0"/>
        </w:sectPr>
      </w:pPr>
    </w:p>
    <w:p w14:paraId="1C5BAAC3">
      <w:pPr>
        <w:pStyle w:val="35"/>
        <w:jc w:val="center"/>
        <w:rPr>
          <w:b/>
          <w:bCs/>
          <w:color w:val="auto"/>
          <w:sz w:val="36"/>
          <w:szCs w:val="22"/>
          <w:highlight w:val="none"/>
        </w:rPr>
      </w:pPr>
      <w:r>
        <w:rPr>
          <w:rFonts w:hint="eastAsia"/>
          <w:b/>
          <w:bCs/>
          <w:color w:val="auto"/>
          <w:sz w:val="36"/>
          <w:szCs w:val="22"/>
          <w:highlight w:val="none"/>
          <w:lang w:val="en-US" w:eastAsia="zh-CN"/>
        </w:rPr>
        <w:t>二、</w:t>
      </w:r>
      <w:r>
        <w:rPr>
          <w:b/>
          <w:bCs/>
          <w:color w:val="auto"/>
          <w:sz w:val="36"/>
          <w:szCs w:val="22"/>
          <w:highlight w:val="none"/>
        </w:rPr>
        <w:t>项目管理机构</w:t>
      </w:r>
    </w:p>
    <w:p w14:paraId="0C9AB2D1">
      <w:pPr>
        <w:pStyle w:val="35"/>
        <w:jc w:val="center"/>
        <w:rPr>
          <w:b/>
          <w:color w:val="auto"/>
          <w:sz w:val="28"/>
          <w:szCs w:val="28"/>
          <w:highlight w:val="none"/>
        </w:rPr>
      </w:pPr>
      <w:bookmarkStart w:id="106" w:name="_Toc172364025"/>
      <w:bookmarkStart w:id="107" w:name="_Toc153274947"/>
      <w:bookmarkStart w:id="108" w:name="_Toc251052184"/>
      <w:bookmarkStart w:id="109" w:name="_Toc173579005"/>
      <w:r>
        <w:rPr>
          <w:rFonts w:hint="eastAsia"/>
          <w:b/>
          <w:bCs/>
          <w:color w:val="auto"/>
          <w:sz w:val="24"/>
          <w:szCs w:val="21"/>
          <w:highlight w:val="none"/>
          <w:lang w:val="en-US" w:eastAsia="zh-CN"/>
        </w:rPr>
        <w:t>2.</w:t>
      </w:r>
      <w:r>
        <w:rPr>
          <w:b/>
          <w:bCs/>
          <w:color w:val="auto"/>
          <w:sz w:val="24"/>
          <w:szCs w:val="21"/>
          <w:highlight w:val="none"/>
        </w:rPr>
        <w:t>1</w:t>
      </w:r>
      <w:r>
        <w:rPr>
          <w:b/>
          <w:color w:val="auto"/>
          <w:sz w:val="24"/>
          <w:szCs w:val="21"/>
          <w:highlight w:val="none"/>
        </w:rPr>
        <w:t>、项目管理机构配备情况表</w:t>
      </w:r>
      <w:bookmarkEnd w:id="106"/>
      <w:bookmarkEnd w:id="107"/>
      <w:bookmarkEnd w:id="108"/>
      <w:bookmarkEnd w:id="109"/>
    </w:p>
    <w:p w14:paraId="517A6702">
      <w:pPr>
        <w:pStyle w:val="35"/>
        <w:rPr>
          <w:color w:val="auto"/>
          <w:sz w:val="22"/>
          <w:szCs w:val="22"/>
          <w:highlight w:val="none"/>
          <w:u w:val="single"/>
        </w:rPr>
      </w:pPr>
    </w:p>
    <w:p w14:paraId="73B9EED8">
      <w:pPr>
        <w:pStyle w:val="35"/>
        <w:rPr>
          <w:color w:val="auto"/>
          <w:sz w:val="22"/>
          <w:szCs w:val="22"/>
          <w:highlight w:val="none"/>
        </w:rPr>
      </w:pPr>
      <w:bookmarkStart w:id="110" w:name="_Toc251052185"/>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 </w:t>
      </w:r>
      <w:bookmarkEnd w:id="110"/>
    </w:p>
    <w:tbl>
      <w:tblPr>
        <w:tblStyle w:val="2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36E2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2CBE114D">
            <w:pPr>
              <w:ind w:left="223" w:hanging="222" w:hangingChars="106"/>
              <w:jc w:val="center"/>
              <w:rPr>
                <w:color w:val="auto"/>
                <w:sz w:val="21"/>
                <w:szCs w:val="21"/>
                <w:highlight w:val="none"/>
              </w:rPr>
            </w:pPr>
            <w:r>
              <w:rPr>
                <w:rFonts w:hint="eastAsia" w:ascii="宋体" w:hAnsi="宋体" w:eastAsia="宋体" w:cs="宋体"/>
                <w:color w:val="auto"/>
                <w:sz w:val="21"/>
                <w:szCs w:val="21"/>
                <w:highlight w:val="none"/>
              </w:rPr>
              <w:t>拟在本项目工程任职</w:t>
            </w:r>
          </w:p>
        </w:tc>
        <w:tc>
          <w:tcPr>
            <w:tcW w:w="829" w:type="dxa"/>
            <w:vMerge w:val="restart"/>
            <w:vAlign w:val="center"/>
          </w:tcPr>
          <w:p w14:paraId="7521FCBE">
            <w:pPr>
              <w:ind w:left="223" w:hanging="222" w:hangingChars="106"/>
              <w:jc w:val="center"/>
              <w:rPr>
                <w:color w:val="auto"/>
                <w:sz w:val="21"/>
                <w:szCs w:val="21"/>
                <w:highlight w:val="none"/>
              </w:rPr>
            </w:pPr>
            <w:bookmarkStart w:id="111" w:name="_Toc251052187"/>
            <w:r>
              <w:rPr>
                <w:color w:val="auto"/>
                <w:sz w:val="21"/>
                <w:szCs w:val="21"/>
                <w:highlight w:val="none"/>
              </w:rPr>
              <w:t>姓名</w:t>
            </w:r>
            <w:bookmarkEnd w:id="111"/>
          </w:p>
        </w:tc>
        <w:tc>
          <w:tcPr>
            <w:tcW w:w="816" w:type="dxa"/>
            <w:vMerge w:val="restart"/>
            <w:vAlign w:val="center"/>
          </w:tcPr>
          <w:p w14:paraId="55B03632">
            <w:pPr>
              <w:ind w:left="223" w:hanging="222" w:hangingChars="106"/>
              <w:jc w:val="center"/>
              <w:rPr>
                <w:color w:val="auto"/>
                <w:sz w:val="21"/>
                <w:szCs w:val="21"/>
                <w:highlight w:val="none"/>
              </w:rPr>
            </w:pPr>
            <w:bookmarkStart w:id="112" w:name="_Toc251052188"/>
            <w:r>
              <w:rPr>
                <w:color w:val="auto"/>
                <w:sz w:val="21"/>
                <w:szCs w:val="21"/>
                <w:highlight w:val="none"/>
              </w:rPr>
              <w:t>职称</w:t>
            </w:r>
            <w:bookmarkEnd w:id="112"/>
          </w:p>
        </w:tc>
        <w:tc>
          <w:tcPr>
            <w:tcW w:w="4592" w:type="dxa"/>
            <w:gridSpan w:val="4"/>
            <w:vAlign w:val="center"/>
          </w:tcPr>
          <w:p w14:paraId="2B00BB0D">
            <w:pPr>
              <w:ind w:left="223" w:hanging="222" w:hangingChars="106"/>
              <w:jc w:val="center"/>
              <w:rPr>
                <w:color w:val="auto"/>
                <w:sz w:val="21"/>
                <w:szCs w:val="21"/>
                <w:highlight w:val="none"/>
              </w:rPr>
            </w:pPr>
            <w:bookmarkStart w:id="113" w:name="_Toc251052189"/>
            <w:r>
              <w:rPr>
                <w:color w:val="auto"/>
                <w:sz w:val="21"/>
                <w:szCs w:val="21"/>
                <w:highlight w:val="none"/>
              </w:rPr>
              <w:t>执业或职业资格证明</w:t>
            </w:r>
            <w:bookmarkEnd w:id="113"/>
          </w:p>
        </w:tc>
        <w:tc>
          <w:tcPr>
            <w:tcW w:w="2126" w:type="dxa"/>
            <w:gridSpan w:val="2"/>
            <w:vAlign w:val="center"/>
          </w:tcPr>
          <w:p w14:paraId="6205D85C">
            <w:pPr>
              <w:ind w:left="223" w:hanging="222" w:hangingChars="106"/>
              <w:jc w:val="center"/>
              <w:rPr>
                <w:color w:val="auto"/>
                <w:sz w:val="21"/>
                <w:szCs w:val="21"/>
                <w:highlight w:val="none"/>
              </w:rPr>
            </w:pPr>
            <w:bookmarkStart w:id="114" w:name="_Toc251052190"/>
            <w:r>
              <w:rPr>
                <w:color w:val="auto"/>
                <w:sz w:val="21"/>
                <w:szCs w:val="21"/>
                <w:highlight w:val="none"/>
              </w:rPr>
              <w:t>承担完工</w:t>
            </w:r>
            <w:bookmarkEnd w:id="114"/>
            <w:bookmarkStart w:id="115" w:name="_Toc251052191"/>
            <w:r>
              <w:rPr>
                <w:color w:val="auto"/>
                <w:sz w:val="21"/>
                <w:szCs w:val="21"/>
                <w:highlight w:val="none"/>
              </w:rPr>
              <w:t>工程情况</w:t>
            </w:r>
            <w:bookmarkEnd w:id="115"/>
          </w:p>
        </w:tc>
      </w:tr>
      <w:tr w14:paraId="59FB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4A886CBA">
            <w:pPr>
              <w:ind w:left="223" w:hanging="222" w:hangingChars="106"/>
              <w:jc w:val="center"/>
              <w:rPr>
                <w:color w:val="auto"/>
                <w:sz w:val="21"/>
                <w:szCs w:val="21"/>
                <w:highlight w:val="none"/>
              </w:rPr>
            </w:pPr>
          </w:p>
        </w:tc>
        <w:tc>
          <w:tcPr>
            <w:tcW w:w="829" w:type="dxa"/>
            <w:vMerge w:val="continue"/>
            <w:vAlign w:val="center"/>
          </w:tcPr>
          <w:p w14:paraId="042D6107">
            <w:pPr>
              <w:ind w:left="223" w:hanging="222" w:hangingChars="106"/>
              <w:jc w:val="center"/>
              <w:rPr>
                <w:color w:val="auto"/>
                <w:sz w:val="21"/>
                <w:szCs w:val="21"/>
                <w:highlight w:val="none"/>
              </w:rPr>
            </w:pPr>
          </w:p>
        </w:tc>
        <w:tc>
          <w:tcPr>
            <w:tcW w:w="816" w:type="dxa"/>
            <w:vMerge w:val="continue"/>
            <w:vAlign w:val="center"/>
          </w:tcPr>
          <w:p w14:paraId="68750FD6">
            <w:pPr>
              <w:ind w:left="223" w:hanging="222" w:hangingChars="106"/>
              <w:jc w:val="center"/>
              <w:rPr>
                <w:color w:val="auto"/>
                <w:sz w:val="21"/>
                <w:szCs w:val="21"/>
                <w:highlight w:val="none"/>
              </w:rPr>
            </w:pPr>
          </w:p>
        </w:tc>
        <w:tc>
          <w:tcPr>
            <w:tcW w:w="1148" w:type="dxa"/>
            <w:vAlign w:val="center"/>
          </w:tcPr>
          <w:p w14:paraId="3EFD21A6">
            <w:pPr>
              <w:ind w:left="223" w:hanging="222" w:hangingChars="106"/>
              <w:jc w:val="center"/>
              <w:rPr>
                <w:color w:val="auto"/>
                <w:sz w:val="21"/>
                <w:szCs w:val="21"/>
                <w:highlight w:val="none"/>
              </w:rPr>
            </w:pPr>
            <w:bookmarkStart w:id="116" w:name="_Toc251052192"/>
            <w:r>
              <w:rPr>
                <w:color w:val="auto"/>
                <w:sz w:val="21"/>
                <w:szCs w:val="21"/>
                <w:highlight w:val="none"/>
              </w:rPr>
              <w:t>证书名称</w:t>
            </w:r>
            <w:bookmarkEnd w:id="116"/>
          </w:p>
        </w:tc>
        <w:tc>
          <w:tcPr>
            <w:tcW w:w="1148" w:type="dxa"/>
            <w:vAlign w:val="center"/>
          </w:tcPr>
          <w:p w14:paraId="1ECB94BC">
            <w:pPr>
              <w:ind w:left="223" w:hanging="222" w:hangingChars="106"/>
              <w:jc w:val="center"/>
              <w:rPr>
                <w:color w:val="auto"/>
                <w:sz w:val="21"/>
                <w:szCs w:val="21"/>
                <w:highlight w:val="none"/>
              </w:rPr>
            </w:pPr>
            <w:bookmarkStart w:id="117" w:name="_Toc251052193"/>
            <w:r>
              <w:rPr>
                <w:color w:val="auto"/>
                <w:sz w:val="21"/>
                <w:szCs w:val="21"/>
                <w:highlight w:val="none"/>
              </w:rPr>
              <w:t>级别</w:t>
            </w:r>
            <w:bookmarkEnd w:id="117"/>
          </w:p>
        </w:tc>
        <w:tc>
          <w:tcPr>
            <w:tcW w:w="1148" w:type="dxa"/>
            <w:vAlign w:val="center"/>
          </w:tcPr>
          <w:p w14:paraId="33B81A05">
            <w:pPr>
              <w:ind w:left="223" w:hanging="222" w:hangingChars="106"/>
              <w:jc w:val="center"/>
              <w:rPr>
                <w:color w:val="auto"/>
                <w:sz w:val="21"/>
                <w:szCs w:val="21"/>
                <w:highlight w:val="none"/>
              </w:rPr>
            </w:pPr>
            <w:bookmarkStart w:id="118" w:name="_Toc251052194"/>
            <w:r>
              <w:rPr>
                <w:color w:val="auto"/>
                <w:sz w:val="21"/>
                <w:szCs w:val="21"/>
                <w:highlight w:val="none"/>
              </w:rPr>
              <w:t>证号</w:t>
            </w:r>
            <w:bookmarkEnd w:id="118"/>
          </w:p>
        </w:tc>
        <w:tc>
          <w:tcPr>
            <w:tcW w:w="1148" w:type="dxa"/>
            <w:vAlign w:val="center"/>
          </w:tcPr>
          <w:p w14:paraId="60B067A6">
            <w:pPr>
              <w:ind w:left="223" w:hanging="222" w:hangingChars="106"/>
              <w:jc w:val="center"/>
              <w:rPr>
                <w:color w:val="auto"/>
                <w:sz w:val="21"/>
                <w:szCs w:val="21"/>
                <w:highlight w:val="none"/>
              </w:rPr>
            </w:pPr>
            <w:bookmarkStart w:id="119" w:name="_Toc251052195"/>
            <w:r>
              <w:rPr>
                <w:color w:val="auto"/>
                <w:sz w:val="21"/>
                <w:szCs w:val="21"/>
                <w:highlight w:val="none"/>
              </w:rPr>
              <w:t>专业</w:t>
            </w:r>
            <w:bookmarkEnd w:id="119"/>
          </w:p>
        </w:tc>
        <w:tc>
          <w:tcPr>
            <w:tcW w:w="850" w:type="dxa"/>
            <w:vAlign w:val="center"/>
          </w:tcPr>
          <w:p w14:paraId="17D66A5E">
            <w:pPr>
              <w:ind w:left="223" w:hanging="222" w:hangingChars="106"/>
              <w:jc w:val="center"/>
              <w:rPr>
                <w:color w:val="auto"/>
                <w:sz w:val="21"/>
                <w:szCs w:val="21"/>
                <w:highlight w:val="none"/>
              </w:rPr>
            </w:pPr>
            <w:bookmarkStart w:id="120" w:name="_Toc251052197"/>
            <w:r>
              <w:rPr>
                <w:color w:val="auto"/>
                <w:sz w:val="21"/>
                <w:szCs w:val="21"/>
                <w:highlight w:val="none"/>
              </w:rPr>
              <w:t>项目数</w:t>
            </w:r>
            <w:bookmarkEnd w:id="120"/>
          </w:p>
        </w:tc>
        <w:tc>
          <w:tcPr>
            <w:tcW w:w="1276" w:type="dxa"/>
            <w:vAlign w:val="center"/>
          </w:tcPr>
          <w:p w14:paraId="55F09271">
            <w:pPr>
              <w:ind w:left="223" w:hanging="222" w:hangingChars="106"/>
              <w:jc w:val="center"/>
              <w:rPr>
                <w:color w:val="auto"/>
                <w:sz w:val="21"/>
                <w:szCs w:val="21"/>
                <w:highlight w:val="none"/>
              </w:rPr>
            </w:pPr>
            <w:bookmarkStart w:id="121" w:name="_Toc251052198"/>
            <w:r>
              <w:rPr>
                <w:color w:val="auto"/>
                <w:sz w:val="21"/>
                <w:szCs w:val="21"/>
                <w:highlight w:val="none"/>
              </w:rPr>
              <w:t>主要项目</w:t>
            </w:r>
          </w:p>
          <w:p w14:paraId="17CB9E75">
            <w:pPr>
              <w:ind w:left="223" w:hanging="222" w:hangingChars="106"/>
              <w:jc w:val="center"/>
              <w:rPr>
                <w:color w:val="auto"/>
                <w:sz w:val="21"/>
                <w:szCs w:val="21"/>
                <w:highlight w:val="none"/>
              </w:rPr>
            </w:pPr>
            <w:r>
              <w:rPr>
                <w:color w:val="auto"/>
                <w:sz w:val="21"/>
                <w:szCs w:val="21"/>
                <w:highlight w:val="none"/>
              </w:rPr>
              <w:t>名称</w:t>
            </w:r>
            <w:bookmarkEnd w:id="121"/>
          </w:p>
        </w:tc>
      </w:tr>
      <w:tr w14:paraId="6478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56073C8">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项目经理</w:t>
            </w:r>
          </w:p>
        </w:tc>
        <w:tc>
          <w:tcPr>
            <w:tcW w:w="829" w:type="dxa"/>
            <w:vAlign w:val="center"/>
          </w:tcPr>
          <w:p w14:paraId="6542237D">
            <w:pPr>
              <w:ind w:left="223" w:hanging="222" w:hangingChars="106"/>
              <w:jc w:val="center"/>
              <w:rPr>
                <w:color w:val="auto"/>
                <w:sz w:val="21"/>
                <w:szCs w:val="21"/>
                <w:highlight w:val="none"/>
              </w:rPr>
            </w:pPr>
          </w:p>
        </w:tc>
        <w:tc>
          <w:tcPr>
            <w:tcW w:w="816" w:type="dxa"/>
            <w:vAlign w:val="center"/>
          </w:tcPr>
          <w:p w14:paraId="23D2D876">
            <w:pPr>
              <w:ind w:left="223" w:hanging="222" w:hangingChars="106"/>
              <w:jc w:val="center"/>
              <w:rPr>
                <w:color w:val="auto"/>
                <w:sz w:val="21"/>
                <w:szCs w:val="21"/>
                <w:highlight w:val="none"/>
              </w:rPr>
            </w:pPr>
          </w:p>
        </w:tc>
        <w:tc>
          <w:tcPr>
            <w:tcW w:w="1148" w:type="dxa"/>
            <w:vAlign w:val="center"/>
          </w:tcPr>
          <w:p w14:paraId="33AD3199">
            <w:pPr>
              <w:ind w:left="223" w:hanging="222" w:hangingChars="106"/>
              <w:jc w:val="center"/>
              <w:rPr>
                <w:color w:val="auto"/>
                <w:sz w:val="21"/>
                <w:szCs w:val="21"/>
                <w:highlight w:val="none"/>
              </w:rPr>
            </w:pPr>
          </w:p>
        </w:tc>
        <w:tc>
          <w:tcPr>
            <w:tcW w:w="1148" w:type="dxa"/>
            <w:vAlign w:val="center"/>
          </w:tcPr>
          <w:p w14:paraId="19559B96">
            <w:pPr>
              <w:ind w:left="223" w:hanging="222" w:hangingChars="106"/>
              <w:jc w:val="center"/>
              <w:rPr>
                <w:color w:val="auto"/>
                <w:sz w:val="21"/>
                <w:szCs w:val="21"/>
                <w:highlight w:val="none"/>
              </w:rPr>
            </w:pPr>
          </w:p>
        </w:tc>
        <w:tc>
          <w:tcPr>
            <w:tcW w:w="1148" w:type="dxa"/>
            <w:vAlign w:val="center"/>
          </w:tcPr>
          <w:p w14:paraId="60049026">
            <w:pPr>
              <w:ind w:left="223" w:hanging="222" w:hangingChars="106"/>
              <w:jc w:val="center"/>
              <w:rPr>
                <w:color w:val="auto"/>
                <w:sz w:val="21"/>
                <w:szCs w:val="21"/>
                <w:highlight w:val="none"/>
              </w:rPr>
            </w:pPr>
          </w:p>
        </w:tc>
        <w:tc>
          <w:tcPr>
            <w:tcW w:w="1148" w:type="dxa"/>
            <w:vAlign w:val="center"/>
          </w:tcPr>
          <w:p w14:paraId="553E0A3B">
            <w:pPr>
              <w:ind w:left="223" w:hanging="222" w:hangingChars="106"/>
              <w:jc w:val="center"/>
              <w:rPr>
                <w:color w:val="auto"/>
                <w:sz w:val="21"/>
                <w:szCs w:val="21"/>
                <w:highlight w:val="none"/>
              </w:rPr>
            </w:pPr>
          </w:p>
        </w:tc>
        <w:tc>
          <w:tcPr>
            <w:tcW w:w="850" w:type="dxa"/>
            <w:vAlign w:val="center"/>
          </w:tcPr>
          <w:p w14:paraId="4F966B73">
            <w:pPr>
              <w:ind w:left="223" w:hanging="222" w:hangingChars="106"/>
              <w:jc w:val="center"/>
              <w:rPr>
                <w:color w:val="auto"/>
                <w:sz w:val="21"/>
                <w:szCs w:val="21"/>
                <w:highlight w:val="none"/>
              </w:rPr>
            </w:pPr>
          </w:p>
        </w:tc>
        <w:tc>
          <w:tcPr>
            <w:tcW w:w="1276" w:type="dxa"/>
            <w:vAlign w:val="center"/>
          </w:tcPr>
          <w:p w14:paraId="606C54D3">
            <w:pPr>
              <w:ind w:left="223" w:hanging="222" w:hangingChars="106"/>
              <w:jc w:val="center"/>
              <w:rPr>
                <w:color w:val="auto"/>
                <w:sz w:val="21"/>
                <w:szCs w:val="21"/>
                <w:highlight w:val="none"/>
              </w:rPr>
            </w:pPr>
          </w:p>
        </w:tc>
      </w:tr>
      <w:tr w14:paraId="29D4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256FA25D">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sz w:val="21"/>
                <w:szCs w:val="21"/>
                <w:highlight w:val="none"/>
                <w:lang w:eastAsia="zh-CN"/>
              </w:rPr>
              <w:t>技术负责人（工程类专业工程师）</w:t>
            </w:r>
          </w:p>
        </w:tc>
        <w:tc>
          <w:tcPr>
            <w:tcW w:w="829" w:type="dxa"/>
            <w:vAlign w:val="center"/>
          </w:tcPr>
          <w:p w14:paraId="6A43EF6E">
            <w:pPr>
              <w:ind w:left="223" w:hanging="222" w:hangingChars="106"/>
              <w:jc w:val="center"/>
              <w:rPr>
                <w:color w:val="auto"/>
                <w:sz w:val="21"/>
                <w:szCs w:val="21"/>
                <w:highlight w:val="none"/>
              </w:rPr>
            </w:pPr>
          </w:p>
        </w:tc>
        <w:tc>
          <w:tcPr>
            <w:tcW w:w="816" w:type="dxa"/>
            <w:vAlign w:val="center"/>
          </w:tcPr>
          <w:p w14:paraId="19C4AF1C">
            <w:pPr>
              <w:ind w:left="223" w:hanging="222" w:hangingChars="106"/>
              <w:jc w:val="center"/>
              <w:rPr>
                <w:color w:val="auto"/>
                <w:sz w:val="21"/>
                <w:szCs w:val="21"/>
                <w:highlight w:val="none"/>
              </w:rPr>
            </w:pPr>
          </w:p>
        </w:tc>
        <w:tc>
          <w:tcPr>
            <w:tcW w:w="1148" w:type="dxa"/>
            <w:vAlign w:val="center"/>
          </w:tcPr>
          <w:p w14:paraId="0236B97E">
            <w:pPr>
              <w:ind w:left="223" w:hanging="222" w:hangingChars="106"/>
              <w:jc w:val="center"/>
              <w:rPr>
                <w:color w:val="auto"/>
                <w:sz w:val="21"/>
                <w:szCs w:val="21"/>
                <w:highlight w:val="none"/>
              </w:rPr>
            </w:pPr>
          </w:p>
        </w:tc>
        <w:tc>
          <w:tcPr>
            <w:tcW w:w="1148" w:type="dxa"/>
            <w:vAlign w:val="center"/>
          </w:tcPr>
          <w:p w14:paraId="13114013">
            <w:pPr>
              <w:ind w:left="223" w:hanging="222" w:hangingChars="106"/>
              <w:jc w:val="center"/>
              <w:rPr>
                <w:color w:val="auto"/>
                <w:sz w:val="21"/>
                <w:szCs w:val="21"/>
                <w:highlight w:val="none"/>
              </w:rPr>
            </w:pPr>
          </w:p>
        </w:tc>
        <w:tc>
          <w:tcPr>
            <w:tcW w:w="1148" w:type="dxa"/>
            <w:vAlign w:val="center"/>
          </w:tcPr>
          <w:p w14:paraId="2C8A560A">
            <w:pPr>
              <w:ind w:left="223" w:hanging="222" w:hangingChars="106"/>
              <w:jc w:val="center"/>
              <w:rPr>
                <w:color w:val="auto"/>
                <w:sz w:val="21"/>
                <w:szCs w:val="21"/>
                <w:highlight w:val="none"/>
              </w:rPr>
            </w:pPr>
          </w:p>
        </w:tc>
        <w:tc>
          <w:tcPr>
            <w:tcW w:w="1148" w:type="dxa"/>
            <w:vAlign w:val="center"/>
          </w:tcPr>
          <w:p w14:paraId="6810BF59">
            <w:pPr>
              <w:ind w:left="223" w:hanging="222" w:hangingChars="106"/>
              <w:jc w:val="center"/>
              <w:rPr>
                <w:color w:val="auto"/>
                <w:sz w:val="21"/>
                <w:szCs w:val="21"/>
                <w:highlight w:val="none"/>
              </w:rPr>
            </w:pPr>
          </w:p>
        </w:tc>
        <w:tc>
          <w:tcPr>
            <w:tcW w:w="850" w:type="dxa"/>
            <w:vAlign w:val="center"/>
          </w:tcPr>
          <w:p w14:paraId="2B6474F2">
            <w:pPr>
              <w:ind w:left="223" w:hanging="222" w:hangingChars="106"/>
              <w:jc w:val="center"/>
              <w:rPr>
                <w:color w:val="auto"/>
                <w:sz w:val="21"/>
                <w:szCs w:val="21"/>
                <w:highlight w:val="none"/>
              </w:rPr>
            </w:pPr>
          </w:p>
        </w:tc>
        <w:tc>
          <w:tcPr>
            <w:tcW w:w="1276" w:type="dxa"/>
            <w:vAlign w:val="center"/>
          </w:tcPr>
          <w:p w14:paraId="01FE190F">
            <w:pPr>
              <w:ind w:left="223" w:hanging="222" w:hangingChars="106"/>
              <w:jc w:val="center"/>
              <w:rPr>
                <w:color w:val="auto"/>
                <w:sz w:val="21"/>
                <w:szCs w:val="21"/>
                <w:highlight w:val="none"/>
              </w:rPr>
            </w:pPr>
          </w:p>
        </w:tc>
      </w:tr>
      <w:tr w14:paraId="2BC1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D0E44B1">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专职安全员</w:t>
            </w:r>
          </w:p>
        </w:tc>
        <w:tc>
          <w:tcPr>
            <w:tcW w:w="829" w:type="dxa"/>
            <w:vAlign w:val="center"/>
          </w:tcPr>
          <w:p w14:paraId="2C2F11BF">
            <w:pPr>
              <w:ind w:left="223" w:hanging="222" w:hangingChars="106"/>
              <w:jc w:val="center"/>
              <w:rPr>
                <w:color w:val="auto"/>
                <w:sz w:val="21"/>
                <w:szCs w:val="21"/>
                <w:highlight w:val="none"/>
              </w:rPr>
            </w:pPr>
          </w:p>
        </w:tc>
        <w:tc>
          <w:tcPr>
            <w:tcW w:w="816" w:type="dxa"/>
            <w:vAlign w:val="center"/>
          </w:tcPr>
          <w:p w14:paraId="116521EC">
            <w:pPr>
              <w:ind w:left="223" w:hanging="222" w:hangingChars="106"/>
              <w:jc w:val="center"/>
              <w:rPr>
                <w:color w:val="auto"/>
                <w:sz w:val="21"/>
                <w:szCs w:val="21"/>
                <w:highlight w:val="none"/>
              </w:rPr>
            </w:pPr>
          </w:p>
        </w:tc>
        <w:tc>
          <w:tcPr>
            <w:tcW w:w="1148" w:type="dxa"/>
            <w:vAlign w:val="center"/>
          </w:tcPr>
          <w:p w14:paraId="545E63E6">
            <w:pPr>
              <w:ind w:left="223" w:hanging="222" w:hangingChars="106"/>
              <w:jc w:val="center"/>
              <w:rPr>
                <w:color w:val="auto"/>
                <w:sz w:val="21"/>
                <w:szCs w:val="21"/>
                <w:highlight w:val="none"/>
              </w:rPr>
            </w:pPr>
          </w:p>
        </w:tc>
        <w:tc>
          <w:tcPr>
            <w:tcW w:w="1148" w:type="dxa"/>
            <w:vAlign w:val="center"/>
          </w:tcPr>
          <w:p w14:paraId="54322F0F">
            <w:pPr>
              <w:ind w:left="223" w:hanging="222" w:hangingChars="106"/>
              <w:jc w:val="center"/>
              <w:rPr>
                <w:color w:val="auto"/>
                <w:sz w:val="21"/>
                <w:szCs w:val="21"/>
                <w:highlight w:val="none"/>
              </w:rPr>
            </w:pPr>
          </w:p>
        </w:tc>
        <w:tc>
          <w:tcPr>
            <w:tcW w:w="1148" w:type="dxa"/>
            <w:vAlign w:val="center"/>
          </w:tcPr>
          <w:p w14:paraId="11547930">
            <w:pPr>
              <w:ind w:left="223" w:hanging="222" w:hangingChars="106"/>
              <w:jc w:val="center"/>
              <w:rPr>
                <w:color w:val="auto"/>
                <w:sz w:val="21"/>
                <w:szCs w:val="21"/>
                <w:highlight w:val="none"/>
              </w:rPr>
            </w:pPr>
          </w:p>
        </w:tc>
        <w:tc>
          <w:tcPr>
            <w:tcW w:w="1148" w:type="dxa"/>
            <w:vAlign w:val="center"/>
          </w:tcPr>
          <w:p w14:paraId="18A92B11">
            <w:pPr>
              <w:ind w:left="223" w:hanging="222" w:hangingChars="106"/>
              <w:jc w:val="center"/>
              <w:rPr>
                <w:color w:val="auto"/>
                <w:sz w:val="21"/>
                <w:szCs w:val="21"/>
                <w:highlight w:val="none"/>
              </w:rPr>
            </w:pPr>
          </w:p>
        </w:tc>
        <w:tc>
          <w:tcPr>
            <w:tcW w:w="850" w:type="dxa"/>
            <w:vAlign w:val="center"/>
          </w:tcPr>
          <w:p w14:paraId="5ABE1286">
            <w:pPr>
              <w:ind w:left="223" w:hanging="222" w:hangingChars="106"/>
              <w:jc w:val="center"/>
              <w:rPr>
                <w:color w:val="auto"/>
                <w:sz w:val="21"/>
                <w:szCs w:val="21"/>
                <w:highlight w:val="none"/>
              </w:rPr>
            </w:pPr>
          </w:p>
        </w:tc>
        <w:tc>
          <w:tcPr>
            <w:tcW w:w="1276" w:type="dxa"/>
            <w:vAlign w:val="center"/>
          </w:tcPr>
          <w:p w14:paraId="11DAC836">
            <w:pPr>
              <w:ind w:left="223" w:hanging="222" w:hangingChars="106"/>
              <w:jc w:val="center"/>
              <w:rPr>
                <w:color w:val="auto"/>
                <w:sz w:val="21"/>
                <w:szCs w:val="21"/>
                <w:highlight w:val="none"/>
              </w:rPr>
            </w:pPr>
          </w:p>
        </w:tc>
      </w:tr>
      <w:tr w14:paraId="36BC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0C2E6A1">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质量员</w:t>
            </w:r>
          </w:p>
        </w:tc>
        <w:tc>
          <w:tcPr>
            <w:tcW w:w="829" w:type="dxa"/>
            <w:vAlign w:val="center"/>
          </w:tcPr>
          <w:p w14:paraId="0F1EFAB6">
            <w:pPr>
              <w:ind w:left="223" w:hanging="222" w:hangingChars="106"/>
              <w:jc w:val="center"/>
              <w:rPr>
                <w:color w:val="auto"/>
                <w:sz w:val="21"/>
                <w:szCs w:val="21"/>
                <w:highlight w:val="none"/>
              </w:rPr>
            </w:pPr>
          </w:p>
        </w:tc>
        <w:tc>
          <w:tcPr>
            <w:tcW w:w="816" w:type="dxa"/>
            <w:vAlign w:val="center"/>
          </w:tcPr>
          <w:p w14:paraId="4797C5E4">
            <w:pPr>
              <w:ind w:left="223" w:hanging="222" w:hangingChars="106"/>
              <w:jc w:val="center"/>
              <w:rPr>
                <w:color w:val="auto"/>
                <w:sz w:val="21"/>
                <w:szCs w:val="21"/>
                <w:highlight w:val="none"/>
              </w:rPr>
            </w:pPr>
          </w:p>
        </w:tc>
        <w:tc>
          <w:tcPr>
            <w:tcW w:w="1148" w:type="dxa"/>
            <w:vAlign w:val="center"/>
          </w:tcPr>
          <w:p w14:paraId="799DA8EB">
            <w:pPr>
              <w:ind w:left="223" w:hanging="222" w:hangingChars="106"/>
              <w:jc w:val="center"/>
              <w:rPr>
                <w:color w:val="auto"/>
                <w:sz w:val="21"/>
                <w:szCs w:val="21"/>
                <w:highlight w:val="none"/>
              </w:rPr>
            </w:pPr>
          </w:p>
        </w:tc>
        <w:tc>
          <w:tcPr>
            <w:tcW w:w="1148" w:type="dxa"/>
            <w:vAlign w:val="center"/>
          </w:tcPr>
          <w:p w14:paraId="66B469CB">
            <w:pPr>
              <w:ind w:left="223" w:hanging="222" w:hangingChars="106"/>
              <w:jc w:val="center"/>
              <w:rPr>
                <w:color w:val="auto"/>
                <w:sz w:val="21"/>
                <w:szCs w:val="21"/>
                <w:highlight w:val="none"/>
              </w:rPr>
            </w:pPr>
          </w:p>
        </w:tc>
        <w:tc>
          <w:tcPr>
            <w:tcW w:w="1148" w:type="dxa"/>
            <w:vAlign w:val="center"/>
          </w:tcPr>
          <w:p w14:paraId="3277C8E9">
            <w:pPr>
              <w:ind w:left="223" w:hanging="222" w:hangingChars="106"/>
              <w:jc w:val="center"/>
              <w:rPr>
                <w:color w:val="auto"/>
                <w:sz w:val="21"/>
                <w:szCs w:val="21"/>
                <w:highlight w:val="none"/>
              </w:rPr>
            </w:pPr>
          </w:p>
        </w:tc>
        <w:tc>
          <w:tcPr>
            <w:tcW w:w="1148" w:type="dxa"/>
            <w:vAlign w:val="center"/>
          </w:tcPr>
          <w:p w14:paraId="572E3FC8">
            <w:pPr>
              <w:ind w:left="223" w:hanging="222" w:hangingChars="106"/>
              <w:jc w:val="center"/>
              <w:rPr>
                <w:color w:val="auto"/>
                <w:sz w:val="21"/>
                <w:szCs w:val="21"/>
                <w:highlight w:val="none"/>
              </w:rPr>
            </w:pPr>
          </w:p>
        </w:tc>
        <w:tc>
          <w:tcPr>
            <w:tcW w:w="850" w:type="dxa"/>
            <w:vAlign w:val="center"/>
          </w:tcPr>
          <w:p w14:paraId="3BCFFBEB">
            <w:pPr>
              <w:ind w:left="223" w:hanging="222" w:hangingChars="106"/>
              <w:jc w:val="center"/>
              <w:rPr>
                <w:color w:val="auto"/>
                <w:sz w:val="21"/>
                <w:szCs w:val="21"/>
                <w:highlight w:val="none"/>
              </w:rPr>
            </w:pPr>
          </w:p>
        </w:tc>
        <w:tc>
          <w:tcPr>
            <w:tcW w:w="1276" w:type="dxa"/>
            <w:vAlign w:val="center"/>
          </w:tcPr>
          <w:p w14:paraId="32F2F265">
            <w:pPr>
              <w:ind w:left="223" w:hanging="222" w:hangingChars="106"/>
              <w:jc w:val="center"/>
              <w:rPr>
                <w:color w:val="auto"/>
                <w:sz w:val="21"/>
                <w:szCs w:val="21"/>
                <w:highlight w:val="none"/>
              </w:rPr>
            </w:pPr>
          </w:p>
        </w:tc>
      </w:tr>
      <w:tr w14:paraId="5B78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317CFE5">
            <w:pPr>
              <w:pStyle w:val="39"/>
              <w:keepNext w:val="0"/>
              <w:keepLines w:val="0"/>
              <w:pageBreakBefore w:val="0"/>
              <w:kinsoku/>
              <w:wordWrap/>
              <w:overflowPunct/>
              <w:topLinePunct w:val="0"/>
              <w:bidi w:val="0"/>
              <w:adjustRightInd/>
              <w:snapToGrid/>
              <w:jc w:val="both"/>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施工员</w:t>
            </w:r>
          </w:p>
        </w:tc>
        <w:tc>
          <w:tcPr>
            <w:tcW w:w="829" w:type="dxa"/>
            <w:vAlign w:val="center"/>
          </w:tcPr>
          <w:p w14:paraId="5F961375">
            <w:pPr>
              <w:ind w:left="223" w:hanging="222" w:hangingChars="106"/>
              <w:jc w:val="center"/>
              <w:rPr>
                <w:color w:val="auto"/>
                <w:sz w:val="21"/>
                <w:szCs w:val="21"/>
                <w:highlight w:val="none"/>
              </w:rPr>
            </w:pPr>
          </w:p>
        </w:tc>
        <w:tc>
          <w:tcPr>
            <w:tcW w:w="816" w:type="dxa"/>
            <w:vAlign w:val="center"/>
          </w:tcPr>
          <w:p w14:paraId="722FD6CE">
            <w:pPr>
              <w:ind w:left="223" w:hanging="222" w:hangingChars="106"/>
              <w:jc w:val="center"/>
              <w:rPr>
                <w:color w:val="auto"/>
                <w:sz w:val="21"/>
                <w:szCs w:val="21"/>
                <w:highlight w:val="none"/>
              </w:rPr>
            </w:pPr>
          </w:p>
        </w:tc>
        <w:tc>
          <w:tcPr>
            <w:tcW w:w="1148" w:type="dxa"/>
            <w:vAlign w:val="center"/>
          </w:tcPr>
          <w:p w14:paraId="20F8697D">
            <w:pPr>
              <w:ind w:left="223" w:hanging="222" w:hangingChars="106"/>
              <w:jc w:val="center"/>
              <w:rPr>
                <w:color w:val="auto"/>
                <w:sz w:val="21"/>
                <w:szCs w:val="21"/>
                <w:highlight w:val="none"/>
              </w:rPr>
            </w:pPr>
          </w:p>
        </w:tc>
        <w:tc>
          <w:tcPr>
            <w:tcW w:w="1148" w:type="dxa"/>
            <w:vAlign w:val="center"/>
          </w:tcPr>
          <w:p w14:paraId="7FE15FA5">
            <w:pPr>
              <w:ind w:left="223" w:hanging="222" w:hangingChars="106"/>
              <w:jc w:val="center"/>
              <w:rPr>
                <w:color w:val="auto"/>
                <w:sz w:val="21"/>
                <w:szCs w:val="21"/>
                <w:highlight w:val="none"/>
              </w:rPr>
            </w:pPr>
          </w:p>
        </w:tc>
        <w:tc>
          <w:tcPr>
            <w:tcW w:w="1148" w:type="dxa"/>
            <w:vAlign w:val="center"/>
          </w:tcPr>
          <w:p w14:paraId="6FCC89E5">
            <w:pPr>
              <w:ind w:left="223" w:hanging="222" w:hangingChars="106"/>
              <w:jc w:val="center"/>
              <w:rPr>
                <w:color w:val="auto"/>
                <w:sz w:val="21"/>
                <w:szCs w:val="21"/>
                <w:highlight w:val="none"/>
              </w:rPr>
            </w:pPr>
          </w:p>
        </w:tc>
        <w:tc>
          <w:tcPr>
            <w:tcW w:w="1148" w:type="dxa"/>
            <w:vAlign w:val="center"/>
          </w:tcPr>
          <w:p w14:paraId="6D0528BF">
            <w:pPr>
              <w:ind w:left="223" w:hanging="222" w:hangingChars="106"/>
              <w:jc w:val="center"/>
              <w:rPr>
                <w:color w:val="auto"/>
                <w:sz w:val="21"/>
                <w:szCs w:val="21"/>
                <w:highlight w:val="none"/>
              </w:rPr>
            </w:pPr>
          </w:p>
        </w:tc>
        <w:tc>
          <w:tcPr>
            <w:tcW w:w="850" w:type="dxa"/>
            <w:vAlign w:val="center"/>
          </w:tcPr>
          <w:p w14:paraId="5C18A519">
            <w:pPr>
              <w:ind w:left="223" w:hanging="222" w:hangingChars="106"/>
              <w:jc w:val="center"/>
              <w:rPr>
                <w:color w:val="auto"/>
                <w:sz w:val="21"/>
                <w:szCs w:val="21"/>
                <w:highlight w:val="none"/>
              </w:rPr>
            </w:pPr>
          </w:p>
        </w:tc>
        <w:tc>
          <w:tcPr>
            <w:tcW w:w="1276" w:type="dxa"/>
            <w:vAlign w:val="center"/>
          </w:tcPr>
          <w:p w14:paraId="0521A05A">
            <w:pPr>
              <w:ind w:left="223" w:hanging="222" w:hangingChars="106"/>
              <w:jc w:val="center"/>
              <w:rPr>
                <w:color w:val="auto"/>
                <w:sz w:val="21"/>
                <w:szCs w:val="21"/>
                <w:highlight w:val="none"/>
              </w:rPr>
            </w:pPr>
          </w:p>
        </w:tc>
      </w:tr>
      <w:tr w14:paraId="7757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117E4D3">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财务负责人</w:t>
            </w:r>
          </w:p>
        </w:tc>
        <w:tc>
          <w:tcPr>
            <w:tcW w:w="829" w:type="dxa"/>
            <w:vAlign w:val="center"/>
          </w:tcPr>
          <w:p w14:paraId="6F541DEB">
            <w:pPr>
              <w:ind w:left="223" w:hanging="222" w:hangingChars="106"/>
              <w:jc w:val="center"/>
              <w:rPr>
                <w:color w:val="auto"/>
                <w:sz w:val="21"/>
                <w:szCs w:val="21"/>
                <w:highlight w:val="none"/>
              </w:rPr>
            </w:pPr>
          </w:p>
        </w:tc>
        <w:tc>
          <w:tcPr>
            <w:tcW w:w="816" w:type="dxa"/>
            <w:vAlign w:val="center"/>
          </w:tcPr>
          <w:p w14:paraId="3799E66C">
            <w:pPr>
              <w:ind w:left="223" w:hanging="222" w:hangingChars="106"/>
              <w:jc w:val="center"/>
              <w:rPr>
                <w:color w:val="auto"/>
                <w:sz w:val="21"/>
                <w:szCs w:val="21"/>
                <w:highlight w:val="none"/>
              </w:rPr>
            </w:pPr>
          </w:p>
        </w:tc>
        <w:tc>
          <w:tcPr>
            <w:tcW w:w="1148" w:type="dxa"/>
            <w:vAlign w:val="center"/>
          </w:tcPr>
          <w:p w14:paraId="67885492">
            <w:pPr>
              <w:ind w:left="223" w:hanging="222" w:hangingChars="106"/>
              <w:jc w:val="center"/>
              <w:rPr>
                <w:color w:val="auto"/>
                <w:sz w:val="21"/>
                <w:szCs w:val="21"/>
                <w:highlight w:val="none"/>
              </w:rPr>
            </w:pPr>
          </w:p>
        </w:tc>
        <w:tc>
          <w:tcPr>
            <w:tcW w:w="1148" w:type="dxa"/>
            <w:vAlign w:val="center"/>
          </w:tcPr>
          <w:p w14:paraId="37B2925E">
            <w:pPr>
              <w:ind w:left="223" w:hanging="222" w:hangingChars="106"/>
              <w:jc w:val="center"/>
              <w:rPr>
                <w:color w:val="auto"/>
                <w:sz w:val="21"/>
                <w:szCs w:val="21"/>
                <w:highlight w:val="none"/>
              </w:rPr>
            </w:pPr>
          </w:p>
        </w:tc>
        <w:tc>
          <w:tcPr>
            <w:tcW w:w="1148" w:type="dxa"/>
            <w:vAlign w:val="center"/>
          </w:tcPr>
          <w:p w14:paraId="22736D99">
            <w:pPr>
              <w:ind w:left="223" w:hanging="222" w:hangingChars="106"/>
              <w:jc w:val="center"/>
              <w:rPr>
                <w:color w:val="auto"/>
                <w:sz w:val="21"/>
                <w:szCs w:val="21"/>
                <w:highlight w:val="none"/>
              </w:rPr>
            </w:pPr>
          </w:p>
        </w:tc>
        <w:tc>
          <w:tcPr>
            <w:tcW w:w="1148" w:type="dxa"/>
            <w:vAlign w:val="center"/>
          </w:tcPr>
          <w:p w14:paraId="1AADCEAC">
            <w:pPr>
              <w:ind w:left="223" w:hanging="222" w:hangingChars="106"/>
              <w:jc w:val="center"/>
              <w:rPr>
                <w:color w:val="auto"/>
                <w:sz w:val="21"/>
                <w:szCs w:val="21"/>
                <w:highlight w:val="none"/>
              </w:rPr>
            </w:pPr>
          </w:p>
        </w:tc>
        <w:tc>
          <w:tcPr>
            <w:tcW w:w="850" w:type="dxa"/>
            <w:vAlign w:val="center"/>
          </w:tcPr>
          <w:p w14:paraId="655678EF">
            <w:pPr>
              <w:ind w:left="223" w:hanging="222" w:hangingChars="106"/>
              <w:jc w:val="center"/>
              <w:rPr>
                <w:color w:val="auto"/>
                <w:sz w:val="21"/>
                <w:szCs w:val="21"/>
                <w:highlight w:val="none"/>
              </w:rPr>
            </w:pPr>
          </w:p>
        </w:tc>
        <w:tc>
          <w:tcPr>
            <w:tcW w:w="1276" w:type="dxa"/>
            <w:vAlign w:val="center"/>
          </w:tcPr>
          <w:p w14:paraId="6EFF9126">
            <w:pPr>
              <w:ind w:left="223" w:hanging="222" w:hangingChars="106"/>
              <w:jc w:val="center"/>
              <w:rPr>
                <w:color w:val="auto"/>
                <w:sz w:val="21"/>
                <w:szCs w:val="21"/>
                <w:highlight w:val="none"/>
              </w:rPr>
            </w:pPr>
          </w:p>
        </w:tc>
      </w:tr>
      <w:tr w14:paraId="752D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C352C61">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造价员</w:t>
            </w:r>
          </w:p>
        </w:tc>
        <w:tc>
          <w:tcPr>
            <w:tcW w:w="829" w:type="dxa"/>
            <w:vAlign w:val="center"/>
          </w:tcPr>
          <w:p w14:paraId="439F1BFF">
            <w:pPr>
              <w:ind w:left="223" w:hanging="222" w:hangingChars="106"/>
              <w:jc w:val="center"/>
              <w:rPr>
                <w:color w:val="auto"/>
                <w:sz w:val="21"/>
                <w:szCs w:val="21"/>
                <w:highlight w:val="none"/>
              </w:rPr>
            </w:pPr>
          </w:p>
        </w:tc>
        <w:tc>
          <w:tcPr>
            <w:tcW w:w="816" w:type="dxa"/>
            <w:vAlign w:val="center"/>
          </w:tcPr>
          <w:p w14:paraId="1F44EFD5">
            <w:pPr>
              <w:ind w:left="223" w:hanging="222" w:hangingChars="106"/>
              <w:jc w:val="center"/>
              <w:rPr>
                <w:color w:val="auto"/>
                <w:sz w:val="21"/>
                <w:szCs w:val="21"/>
                <w:highlight w:val="none"/>
              </w:rPr>
            </w:pPr>
          </w:p>
        </w:tc>
        <w:tc>
          <w:tcPr>
            <w:tcW w:w="1148" w:type="dxa"/>
            <w:vAlign w:val="center"/>
          </w:tcPr>
          <w:p w14:paraId="37098C22">
            <w:pPr>
              <w:ind w:left="223" w:hanging="222" w:hangingChars="106"/>
              <w:jc w:val="center"/>
              <w:rPr>
                <w:color w:val="auto"/>
                <w:sz w:val="21"/>
                <w:szCs w:val="21"/>
                <w:highlight w:val="none"/>
              </w:rPr>
            </w:pPr>
          </w:p>
        </w:tc>
        <w:tc>
          <w:tcPr>
            <w:tcW w:w="1148" w:type="dxa"/>
            <w:vAlign w:val="center"/>
          </w:tcPr>
          <w:p w14:paraId="1DD5A144">
            <w:pPr>
              <w:ind w:left="223" w:hanging="222" w:hangingChars="106"/>
              <w:jc w:val="center"/>
              <w:rPr>
                <w:color w:val="auto"/>
                <w:sz w:val="21"/>
                <w:szCs w:val="21"/>
                <w:highlight w:val="none"/>
              </w:rPr>
            </w:pPr>
          </w:p>
        </w:tc>
        <w:tc>
          <w:tcPr>
            <w:tcW w:w="1148" w:type="dxa"/>
            <w:vAlign w:val="center"/>
          </w:tcPr>
          <w:p w14:paraId="215DE60F">
            <w:pPr>
              <w:ind w:left="223" w:hanging="222" w:hangingChars="106"/>
              <w:jc w:val="center"/>
              <w:rPr>
                <w:color w:val="auto"/>
                <w:sz w:val="21"/>
                <w:szCs w:val="21"/>
                <w:highlight w:val="none"/>
              </w:rPr>
            </w:pPr>
          </w:p>
        </w:tc>
        <w:tc>
          <w:tcPr>
            <w:tcW w:w="1148" w:type="dxa"/>
            <w:vAlign w:val="center"/>
          </w:tcPr>
          <w:p w14:paraId="40FB4A15">
            <w:pPr>
              <w:ind w:left="223" w:hanging="222" w:hangingChars="106"/>
              <w:jc w:val="center"/>
              <w:rPr>
                <w:color w:val="auto"/>
                <w:sz w:val="21"/>
                <w:szCs w:val="21"/>
                <w:highlight w:val="none"/>
              </w:rPr>
            </w:pPr>
          </w:p>
        </w:tc>
        <w:tc>
          <w:tcPr>
            <w:tcW w:w="850" w:type="dxa"/>
            <w:vAlign w:val="center"/>
          </w:tcPr>
          <w:p w14:paraId="7D2B597F">
            <w:pPr>
              <w:ind w:left="223" w:hanging="222" w:hangingChars="106"/>
              <w:jc w:val="center"/>
              <w:rPr>
                <w:color w:val="auto"/>
                <w:sz w:val="21"/>
                <w:szCs w:val="21"/>
                <w:highlight w:val="none"/>
              </w:rPr>
            </w:pPr>
          </w:p>
        </w:tc>
        <w:tc>
          <w:tcPr>
            <w:tcW w:w="1276" w:type="dxa"/>
            <w:vAlign w:val="center"/>
          </w:tcPr>
          <w:p w14:paraId="17C59E02">
            <w:pPr>
              <w:ind w:left="223" w:hanging="222" w:hangingChars="106"/>
              <w:jc w:val="center"/>
              <w:rPr>
                <w:color w:val="auto"/>
                <w:sz w:val="21"/>
                <w:szCs w:val="21"/>
                <w:highlight w:val="none"/>
              </w:rPr>
            </w:pPr>
          </w:p>
        </w:tc>
      </w:tr>
      <w:tr w14:paraId="240A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1143E10">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1A725DCC">
            <w:pPr>
              <w:ind w:left="223" w:hanging="222" w:hangingChars="106"/>
              <w:jc w:val="center"/>
              <w:rPr>
                <w:color w:val="auto"/>
                <w:sz w:val="21"/>
                <w:szCs w:val="21"/>
                <w:highlight w:val="none"/>
              </w:rPr>
            </w:pPr>
          </w:p>
        </w:tc>
        <w:tc>
          <w:tcPr>
            <w:tcW w:w="816" w:type="dxa"/>
            <w:vAlign w:val="center"/>
          </w:tcPr>
          <w:p w14:paraId="0280DA3E">
            <w:pPr>
              <w:ind w:left="223" w:hanging="222" w:hangingChars="106"/>
              <w:jc w:val="center"/>
              <w:rPr>
                <w:color w:val="auto"/>
                <w:sz w:val="21"/>
                <w:szCs w:val="21"/>
                <w:highlight w:val="none"/>
              </w:rPr>
            </w:pPr>
          </w:p>
        </w:tc>
        <w:tc>
          <w:tcPr>
            <w:tcW w:w="1148" w:type="dxa"/>
            <w:vAlign w:val="center"/>
          </w:tcPr>
          <w:p w14:paraId="654C1FA5">
            <w:pPr>
              <w:ind w:left="223" w:hanging="222" w:hangingChars="106"/>
              <w:jc w:val="center"/>
              <w:rPr>
                <w:color w:val="auto"/>
                <w:sz w:val="21"/>
                <w:szCs w:val="21"/>
                <w:highlight w:val="none"/>
              </w:rPr>
            </w:pPr>
          </w:p>
        </w:tc>
        <w:tc>
          <w:tcPr>
            <w:tcW w:w="1148" w:type="dxa"/>
            <w:vAlign w:val="center"/>
          </w:tcPr>
          <w:p w14:paraId="411AF2BC">
            <w:pPr>
              <w:ind w:left="223" w:hanging="222" w:hangingChars="106"/>
              <w:jc w:val="center"/>
              <w:rPr>
                <w:color w:val="auto"/>
                <w:sz w:val="21"/>
                <w:szCs w:val="21"/>
                <w:highlight w:val="none"/>
              </w:rPr>
            </w:pPr>
          </w:p>
        </w:tc>
        <w:tc>
          <w:tcPr>
            <w:tcW w:w="1148" w:type="dxa"/>
            <w:vAlign w:val="center"/>
          </w:tcPr>
          <w:p w14:paraId="60DC8BA7">
            <w:pPr>
              <w:ind w:left="223" w:hanging="222" w:hangingChars="106"/>
              <w:jc w:val="center"/>
              <w:rPr>
                <w:color w:val="auto"/>
                <w:sz w:val="21"/>
                <w:szCs w:val="21"/>
                <w:highlight w:val="none"/>
              </w:rPr>
            </w:pPr>
          </w:p>
        </w:tc>
        <w:tc>
          <w:tcPr>
            <w:tcW w:w="1148" w:type="dxa"/>
            <w:vAlign w:val="center"/>
          </w:tcPr>
          <w:p w14:paraId="25B842ED">
            <w:pPr>
              <w:ind w:left="223" w:hanging="222" w:hangingChars="106"/>
              <w:jc w:val="center"/>
              <w:rPr>
                <w:color w:val="auto"/>
                <w:sz w:val="21"/>
                <w:szCs w:val="21"/>
                <w:highlight w:val="none"/>
              </w:rPr>
            </w:pPr>
          </w:p>
        </w:tc>
        <w:tc>
          <w:tcPr>
            <w:tcW w:w="850" w:type="dxa"/>
            <w:vAlign w:val="center"/>
          </w:tcPr>
          <w:p w14:paraId="349A7357">
            <w:pPr>
              <w:ind w:left="223" w:hanging="222" w:hangingChars="106"/>
              <w:jc w:val="center"/>
              <w:rPr>
                <w:color w:val="auto"/>
                <w:sz w:val="21"/>
                <w:szCs w:val="21"/>
                <w:highlight w:val="none"/>
              </w:rPr>
            </w:pPr>
          </w:p>
        </w:tc>
        <w:tc>
          <w:tcPr>
            <w:tcW w:w="1276" w:type="dxa"/>
            <w:vAlign w:val="center"/>
          </w:tcPr>
          <w:p w14:paraId="4AB87B88">
            <w:pPr>
              <w:ind w:left="223" w:hanging="222" w:hangingChars="106"/>
              <w:jc w:val="center"/>
              <w:rPr>
                <w:color w:val="auto"/>
                <w:sz w:val="21"/>
                <w:szCs w:val="21"/>
                <w:highlight w:val="none"/>
              </w:rPr>
            </w:pPr>
          </w:p>
        </w:tc>
      </w:tr>
      <w:tr w14:paraId="29A8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BE5EE7F">
            <w:pPr>
              <w:pStyle w:val="39"/>
              <w:keepNext w:val="0"/>
              <w:keepLines w:val="0"/>
              <w:pageBreakBefore w:val="0"/>
              <w:kinsoku/>
              <w:wordWrap/>
              <w:overflowPunct/>
              <w:topLinePunct w:val="0"/>
              <w:bidi w:val="0"/>
              <w:adjustRightInd/>
              <w:snapToGrid/>
              <w:jc w:val="center"/>
              <w:textAlignment w:val="auto"/>
              <w:outlineLvl w:val="9"/>
              <w:rPr>
                <w:rFonts w:hint="default" w:ascii="宋体" w:hAnsi="宋体" w:eastAsia="宋体" w:cs="宋体"/>
                <w:color w:val="auto"/>
                <w:kern w:val="2"/>
                <w:sz w:val="21"/>
                <w:szCs w:val="21"/>
                <w:highlight w:val="none"/>
                <w:lang w:val="en-US" w:eastAsia="zh-CN" w:bidi="zh-CN"/>
              </w:rPr>
            </w:pPr>
          </w:p>
        </w:tc>
        <w:tc>
          <w:tcPr>
            <w:tcW w:w="829" w:type="dxa"/>
            <w:vAlign w:val="center"/>
          </w:tcPr>
          <w:p w14:paraId="2130869F">
            <w:pPr>
              <w:ind w:left="223" w:hanging="222" w:hangingChars="106"/>
              <w:jc w:val="center"/>
              <w:rPr>
                <w:color w:val="auto"/>
                <w:sz w:val="21"/>
                <w:szCs w:val="21"/>
                <w:highlight w:val="none"/>
              </w:rPr>
            </w:pPr>
          </w:p>
        </w:tc>
        <w:tc>
          <w:tcPr>
            <w:tcW w:w="816" w:type="dxa"/>
            <w:vAlign w:val="center"/>
          </w:tcPr>
          <w:p w14:paraId="1A98E698">
            <w:pPr>
              <w:ind w:left="223" w:hanging="222" w:hangingChars="106"/>
              <w:jc w:val="center"/>
              <w:rPr>
                <w:color w:val="auto"/>
                <w:sz w:val="21"/>
                <w:szCs w:val="21"/>
                <w:highlight w:val="none"/>
              </w:rPr>
            </w:pPr>
          </w:p>
        </w:tc>
        <w:tc>
          <w:tcPr>
            <w:tcW w:w="1148" w:type="dxa"/>
            <w:vAlign w:val="center"/>
          </w:tcPr>
          <w:p w14:paraId="09ABF1D4">
            <w:pPr>
              <w:ind w:left="223" w:hanging="222" w:hangingChars="106"/>
              <w:jc w:val="center"/>
              <w:rPr>
                <w:color w:val="auto"/>
                <w:sz w:val="21"/>
                <w:szCs w:val="21"/>
                <w:highlight w:val="none"/>
              </w:rPr>
            </w:pPr>
          </w:p>
        </w:tc>
        <w:tc>
          <w:tcPr>
            <w:tcW w:w="1148" w:type="dxa"/>
            <w:vAlign w:val="center"/>
          </w:tcPr>
          <w:p w14:paraId="757D5CA5">
            <w:pPr>
              <w:ind w:left="223" w:hanging="222" w:hangingChars="106"/>
              <w:jc w:val="center"/>
              <w:rPr>
                <w:color w:val="auto"/>
                <w:sz w:val="21"/>
                <w:szCs w:val="21"/>
                <w:highlight w:val="none"/>
              </w:rPr>
            </w:pPr>
          </w:p>
        </w:tc>
        <w:tc>
          <w:tcPr>
            <w:tcW w:w="1148" w:type="dxa"/>
            <w:vAlign w:val="center"/>
          </w:tcPr>
          <w:p w14:paraId="2723A0AB">
            <w:pPr>
              <w:ind w:left="223" w:hanging="222" w:hangingChars="106"/>
              <w:jc w:val="center"/>
              <w:rPr>
                <w:color w:val="auto"/>
                <w:sz w:val="21"/>
                <w:szCs w:val="21"/>
                <w:highlight w:val="none"/>
              </w:rPr>
            </w:pPr>
          </w:p>
        </w:tc>
        <w:tc>
          <w:tcPr>
            <w:tcW w:w="1148" w:type="dxa"/>
            <w:vAlign w:val="center"/>
          </w:tcPr>
          <w:p w14:paraId="6077F1CC">
            <w:pPr>
              <w:ind w:left="223" w:hanging="222" w:hangingChars="106"/>
              <w:jc w:val="center"/>
              <w:rPr>
                <w:color w:val="auto"/>
                <w:sz w:val="21"/>
                <w:szCs w:val="21"/>
                <w:highlight w:val="none"/>
              </w:rPr>
            </w:pPr>
          </w:p>
        </w:tc>
        <w:tc>
          <w:tcPr>
            <w:tcW w:w="850" w:type="dxa"/>
            <w:vAlign w:val="center"/>
          </w:tcPr>
          <w:p w14:paraId="536D8BC0">
            <w:pPr>
              <w:ind w:left="223" w:hanging="222" w:hangingChars="106"/>
              <w:jc w:val="center"/>
              <w:rPr>
                <w:color w:val="auto"/>
                <w:sz w:val="21"/>
                <w:szCs w:val="21"/>
                <w:highlight w:val="none"/>
              </w:rPr>
            </w:pPr>
          </w:p>
        </w:tc>
        <w:tc>
          <w:tcPr>
            <w:tcW w:w="1276" w:type="dxa"/>
            <w:vAlign w:val="center"/>
          </w:tcPr>
          <w:p w14:paraId="04454989">
            <w:pPr>
              <w:ind w:left="223" w:hanging="222" w:hangingChars="106"/>
              <w:jc w:val="center"/>
              <w:rPr>
                <w:color w:val="auto"/>
                <w:sz w:val="21"/>
                <w:szCs w:val="21"/>
                <w:highlight w:val="none"/>
              </w:rPr>
            </w:pPr>
          </w:p>
        </w:tc>
      </w:tr>
      <w:tr w14:paraId="1ECC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680D04B">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0769C7FC">
            <w:pPr>
              <w:ind w:left="223" w:hanging="222" w:hangingChars="106"/>
              <w:jc w:val="center"/>
              <w:rPr>
                <w:color w:val="auto"/>
                <w:sz w:val="21"/>
                <w:szCs w:val="21"/>
                <w:highlight w:val="none"/>
              </w:rPr>
            </w:pPr>
          </w:p>
        </w:tc>
        <w:tc>
          <w:tcPr>
            <w:tcW w:w="816" w:type="dxa"/>
            <w:vAlign w:val="center"/>
          </w:tcPr>
          <w:p w14:paraId="1B1F9425">
            <w:pPr>
              <w:ind w:left="223" w:hanging="222" w:hangingChars="106"/>
              <w:jc w:val="center"/>
              <w:rPr>
                <w:color w:val="auto"/>
                <w:sz w:val="21"/>
                <w:szCs w:val="21"/>
                <w:highlight w:val="none"/>
              </w:rPr>
            </w:pPr>
          </w:p>
        </w:tc>
        <w:tc>
          <w:tcPr>
            <w:tcW w:w="1148" w:type="dxa"/>
            <w:vAlign w:val="center"/>
          </w:tcPr>
          <w:p w14:paraId="3963737C">
            <w:pPr>
              <w:ind w:left="223" w:hanging="222" w:hangingChars="106"/>
              <w:jc w:val="center"/>
              <w:rPr>
                <w:color w:val="auto"/>
                <w:sz w:val="21"/>
                <w:szCs w:val="21"/>
                <w:highlight w:val="none"/>
              </w:rPr>
            </w:pPr>
          </w:p>
        </w:tc>
        <w:tc>
          <w:tcPr>
            <w:tcW w:w="1148" w:type="dxa"/>
            <w:vAlign w:val="center"/>
          </w:tcPr>
          <w:p w14:paraId="0378C7E2">
            <w:pPr>
              <w:ind w:left="223" w:hanging="222" w:hangingChars="106"/>
              <w:jc w:val="center"/>
              <w:rPr>
                <w:color w:val="auto"/>
                <w:sz w:val="21"/>
                <w:szCs w:val="21"/>
                <w:highlight w:val="none"/>
              </w:rPr>
            </w:pPr>
          </w:p>
        </w:tc>
        <w:tc>
          <w:tcPr>
            <w:tcW w:w="1148" w:type="dxa"/>
            <w:vAlign w:val="center"/>
          </w:tcPr>
          <w:p w14:paraId="10438C79">
            <w:pPr>
              <w:ind w:left="223" w:hanging="222" w:hangingChars="106"/>
              <w:jc w:val="center"/>
              <w:rPr>
                <w:color w:val="auto"/>
                <w:sz w:val="21"/>
                <w:szCs w:val="21"/>
                <w:highlight w:val="none"/>
              </w:rPr>
            </w:pPr>
          </w:p>
        </w:tc>
        <w:tc>
          <w:tcPr>
            <w:tcW w:w="1148" w:type="dxa"/>
            <w:vAlign w:val="center"/>
          </w:tcPr>
          <w:p w14:paraId="5AA79760">
            <w:pPr>
              <w:ind w:left="223" w:hanging="222" w:hangingChars="106"/>
              <w:jc w:val="center"/>
              <w:rPr>
                <w:color w:val="auto"/>
                <w:sz w:val="21"/>
                <w:szCs w:val="21"/>
                <w:highlight w:val="none"/>
              </w:rPr>
            </w:pPr>
          </w:p>
        </w:tc>
        <w:tc>
          <w:tcPr>
            <w:tcW w:w="850" w:type="dxa"/>
            <w:vAlign w:val="center"/>
          </w:tcPr>
          <w:p w14:paraId="3EC34574">
            <w:pPr>
              <w:ind w:left="223" w:hanging="222" w:hangingChars="106"/>
              <w:jc w:val="center"/>
              <w:rPr>
                <w:color w:val="auto"/>
                <w:sz w:val="21"/>
                <w:szCs w:val="21"/>
                <w:highlight w:val="none"/>
              </w:rPr>
            </w:pPr>
          </w:p>
        </w:tc>
        <w:tc>
          <w:tcPr>
            <w:tcW w:w="1276" w:type="dxa"/>
            <w:vAlign w:val="center"/>
          </w:tcPr>
          <w:p w14:paraId="4AAEC8FF">
            <w:pPr>
              <w:ind w:left="223" w:hanging="222" w:hangingChars="106"/>
              <w:jc w:val="center"/>
              <w:rPr>
                <w:color w:val="auto"/>
                <w:sz w:val="21"/>
                <w:szCs w:val="21"/>
                <w:highlight w:val="none"/>
              </w:rPr>
            </w:pPr>
          </w:p>
        </w:tc>
      </w:tr>
      <w:tr w14:paraId="55C0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2E6B8795">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0F4AA10A">
            <w:pPr>
              <w:ind w:left="223" w:hanging="222" w:hangingChars="106"/>
              <w:jc w:val="center"/>
              <w:rPr>
                <w:color w:val="auto"/>
                <w:sz w:val="21"/>
                <w:szCs w:val="21"/>
                <w:highlight w:val="none"/>
              </w:rPr>
            </w:pPr>
          </w:p>
        </w:tc>
        <w:tc>
          <w:tcPr>
            <w:tcW w:w="816" w:type="dxa"/>
            <w:vAlign w:val="center"/>
          </w:tcPr>
          <w:p w14:paraId="69797A43">
            <w:pPr>
              <w:ind w:left="223" w:hanging="222" w:hangingChars="106"/>
              <w:jc w:val="center"/>
              <w:rPr>
                <w:color w:val="auto"/>
                <w:sz w:val="21"/>
                <w:szCs w:val="21"/>
                <w:highlight w:val="none"/>
              </w:rPr>
            </w:pPr>
          </w:p>
        </w:tc>
        <w:tc>
          <w:tcPr>
            <w:tcW w:w="1148" w:type="dxa"/>
            <w:vAlign w:val="center"/>
          </w:tcPr>
          <w:p w14:paraId="05CF34CC">
            <w:pPr>
              <w:ind w:left="223" w:hanging="222" w:hangingChars="106"/>
              <w:jc w:val="center"/>
              <w:rPr>
                <w:color w:val="auto"/>
                <w:sz w:val="21"/>
                <w:szCs w:val="21"/>
                <w:highlight w:val="none"/>
              </w:rPr>
            </w:pPr>
          </w:p>
        </w:tc>
        <w:tc>
          <w:tcPr>
            <w:tcW w:w="1148" w:type="dxa"/>
            <w:vAlign w:val="center"/>
          </w:tcPr>
          <w:p w14:paraId="38C2C0F2">
            <w:pPr>
              <w:ind w:left="223" w:hanging="222" w:hangingChars="106"/>
              <w:jc w:val="center"/>
              <w:rPr>
                <w:color w:val="auto"/>
                <w:sz w:val="21"/>
                <w:szCs w:val="21"/>
                <w:highlight w:val="none"/>
              </w:rPr>
            </w:pPr>
          </w:p>
        </w:tc>
        <w:tc>
          <w:tcPr>
            <w:tcW w:w="1148" w:type="dxa"/>
            <w:vAlign w:val="center"/>
          </w:tcPr>
          <w:p w14:paraId="590C81DF">
            <w:pPr>
              <w:ind w:left="223" w:hanging="222" w:hangingChars="106"/>
              <w:jc w:val="center"/>
              <w:rPr>
                <w:color w:val="auto"/>
                <w:sz w:val="21"/>
                <w:szCs w:val="21"/>
                <w:highlight w:val="none"/>
              </w:rPr>
            </w:pPr>
          </w:p>
        </w:tc>
        <w:tc>
          <w:tcPr>
            <w:tcW w:w="1148" w:type="dxa"/>
            <w:vAlign w:val="center"/>
          </w:tcPr>
          <w:p w14:paraId="206A57E2">
            <w:pPr>
              <w:ind w:left="223" w:hanging="222" w:hangingChars="106"/>
              <w:jc w:val="center"/>
              <w:rPr>
                <w:color w:val="auto"/>
                <w:sz w:val="21"/>
                <w:szCs w:val="21"/>
                <w:highlight w:val="none"/>
              </w:rPr>
            </w:pPr>
          </w:p>
        </w:tc>
        <w:tc>
          <w:tcPr>
            <w:tcW w:w="850" w:type="dxa"/>
            <w:vAlign w:val="center"/>
          </w:tcPr>
          <w:p w14:paraId="5857C123">
            <w:pPr>
              <w:ind w:left="223" w:hanging="222" w:hangingChars="106"/>
              <w:jc w:val="center"/>
              <w:rPr>
                <w:color w:val="auto"/>
                <w:sz w:val="21"/>
                <w:szCs w:val="21"/>
                <w:highlight w:val="none"/>
              </w:rPr>
            </w:pPr>
          </w:p>
        </w:tc>
        <w:tc>
          <w:tcPr>
            <w:tcW w:w="1276" w:type="dxa"/>
            <w:vAlign w:val="center"/>
          </w:tcPr>
          <w:p w14:paraId="1A95C9E3">
            <w:pPr>
              <w:ind w:left="223" w:hanging="222" w:hangingChars="106"/>
              <w:jc w:val="center"/>
              <w:rPr>
                <w:color w:val="auto"/>
                <w:sz w:val="21"/>
                <w:szCs w:val="21"/>
                <w:highlight w:val="none"/>
              </w:rPr>
            </w:pPr>
          </w:p>
        </w:tc>
      </w:tr>
      <w:tr w14:paraId="10C2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B1D18CA">
            <w:pPr>
              <w:ind w:left="223" w:hanging="222" w:hangingChars="106"/>
              <w:jc w:val="center"/>
              <w:rPr>
                <w:color w:val="auto"/>
                <w:sz w:val="21"/>
                <w:szCs w:val="21"/>
                <w:highlight w:val="none"/>
              </w:rPr>
            </w:pPr>
            <w:r>
              <w:rPr>
                <w:color w:val="auto"/>
                <w:sz w:val="21"/>
                <w:szCs w:val="21"/>
                <w:highlight w:val="none"/>
              </w:rPr>
              <w:t>……</w:t>
            </w:r>
          </w:p>
        </w:tc>
        <w:tc>
          <w:tcPr>
            <w:tcW w:w="829" w:type="dxa"/>
            <w:vAlign w:val="center"/>
          </w:tcPr>
          <w:p w14:paraId="2094C3E0">
            <w:pPr>
              <w:ind w:left="223" w:hanging="222" w:hangingChars="106"/>
              <w:jc w:val="center"/>
              <w:rPr>
                <w:color w:val="auto"/>
                <w:sz w:val="21"/>
                <w:szCs w:val="21"/>
                <w:highlight w:val="none"/>
              </w:rPr>
            </w:pPr>
          </w:p>
        </w:tc>
        <w:tc>
          <w:tcPr>
            <w:tcW w:w="816" w:type="dxa"/>
            <w:vAlign w:val="center"/>
          </w:tcPr>
          <w:p w14:paraId="53F5C019">
            <w:pPr>
              <w:ind w:left="223" w:hanging="222" w:hangingChars="106"/>
              <w:jc w:val="center"/>
              <w:rPr>
                <w:color w:val="auto"/>
                <w:sz w:val="21"/>
                <w:szCs w:val="21"/>
                <w:highlight w:val="none"/>
              </w:rPr>
            </w:pPr>
          </w:p>
        </w:tc>
        <w:tc>
          <w:tcPr>
            <w:tcW w:w="1148" w:type="dxa"/>
            <w:vAlign w:val="center"/>
          </w:tcPr>
          <w:p w14:paraId="37B29E70">
            <w:pPr>
              <w:ind w:left="223" w:hanging="222" w:hangingChars="106"/>
              <w:jc w:val="center"/>
              <w:rPr>
                <w:color w:val="auto"/>
                <w:sz w:val="21"/>
                <w:szCs w:val="21"/>
                <w:highlight w:val="none"/>
              </w:rPr>
            </w:pPr>
          </w:p>
        </w:tc>
        <w:tc>
          <w:tcPr>
            <w:tcW w:w="1148" w:type="dxa"/>
            <w:vAlign w:val="center"/>
          </w:tcPr>
          <w:p w14:paraId="47E8DD17">
            <w:pPr>
              <w:ind w:left="223" w:hanging="222" w:hangingChars="106"/>
              <w:jc w:val="center"/>
              <w:rPr>
                <w:color w:val="auto"/>
                <w:sz w:val="21"/>
                <w:szCs w:val="21"/>
                <w:highlight w:val="none"/>
              </w:rPr>
            </w:pPr>
          </w:p>
        </w:tc>
        <w:tc>
          <w:tcPr>
            <w:tcW w:w="1148" w:type="dxa"/>
            <w:vAlign w:val="center"/>
          </w:tcPr>
          <w:p w14:paraId="730756A7">
            <w:pPr>
              <w:ind w:left="223" w:hanging="222" w:hangingChars="106"/>
              <w:jc w:val="center"/>
              <w:rPr>
                <w:color w:val="auto"/>
                <w:sz w:val="21"/>
                <w:szCs w:val="21"/>
                <w:highlight w:val="none"/>
              </w:rPr>
            </w:pPr>
          </w:p>
        </w:tc>
        <w:tc>
          <w:tcPr>
            <w:tcW w:w="1148" w:type="dxa"/>
            <w:vAlign w:val="center"/>
          </w:tcPr>
          <w:p w14:paraId="5BBC1DEA">
            <w:pPr>
              <w:ind w:left="223" w:hanging="222" w:hangingChars="106"/>
              <w:jc w:val="center"/>
              <w:rPr>
                <w:color w:val="auto"/>
                <w:sz w:val="21"/>
                <w:szCs w:val="21"/>
                <w:highlight w:val="none"/>
              </w:rPr>
            </w:pPr>
          </w:p>
        </w:tc>
        <w:tc>
          <w:tcPr>
            <w:tcW w:w="850" w:type="dxa"/>
            <w:vAlign w:val="center"/>
          </w:tcPr>
          <w:p w14:paraId="68577996">
            <w:pPr>
              <w:ind w:left="223" w:hanging="222" w:hangingChars="106"/>
              <w:jc w:val="center"/>
              <w:rPr>
                <w:color w:val="auto"/>
                <w:sz w:val="21"/>
                <w:szCs w:val="21"/>
                <w:highlight w:val="none"/>
              </w:rPr>
            </w:pPr>
          </w:p>
        </w:tc>
        <w:tc>
          <w:tcPr>
            <w:tcW w:w="1276" w:type="dxa"/>
            <w:vAlign w:val="center"/>
          </w:tcPr>
          <w:p w14:paraId="38775710">
            <w:pPr>
              <w:ind w:left="223" w:hanging="222" w:hangingChars="106"/>
              <w:jc w:val="center"/>
              <w:rPr>
                <w:color w:val="auto"/>
                <w:sz w:val="21"/>
                <w:szCs w:val="21"/>
                <w:highlight w:val="none"/>
              </w:rPr>
            </w:pPr>
          </w:p>
        </w:tc>
      </w:tr>
      <w:tr w14:paraId="34D5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2870EE34">
            <w:pPr>
              <w:spacing w:line="360" w:lineRule="auto"/>
              <w:rPr>
                <w:color w:val="auto"/>
                <w:sz w:val="21"/>
                <w:szCs w:val="22"/>
                <w:highlight w:val="none"/>
              </w:rPr>
            </w:pPr>
            <w:bookmarkStart w:id="122" w:name="_Toc251052199"/>
            <w:r>
              <w:rPr>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22"/>
          </w:p>
        </w:tc>
      </w:tr>
    </w:tbl>
    <w:p w14:paraId="38978242">
      <w:pPr>
        <w:tabs>
          <w:tab w:val="left" w:pos="0"/>
        </w:tabs>
        <w:spacing w:line="360" w:lineRule="auto"/>
        <w:ind w:right="-210"/>
        <w:rPr>
          <w:color w:val="auto"/>
          <w:sz w:val="21"/>
          <w:szCs w:val="21"/>
          <w:highlight w:val="none"/>
        </w:rPr>
      </w:pPr>
    </w:p>
    <w:p w14:paraId="5E805F02">
      <w:pPr>
        <w:spacing w:line="360" w:lineRule="auto"/>
        <w:rPr>
          <w:color w:val="auto"/>
          <w:sz w:val="21"/>
          <w:szCs w:val="22"/>
          <w:highlight w:val="none"/>
        </w:rPr>
      </w:pPr>
      <w:r>
        <w:rPr>
          <w:rFonts w:eastAsia="楷体_GB2312"/>
          <w:color w:val="auto"/>
          <w:sz w:val="21"/>
          <w:szCs w:val="22"/>
          <w:highlight w:val="none"/>
        </w:rPr>
        <w:t>【</w:t>
      </w:r>
      <w:r>
        <w:rPr>
          <w:rFonts w:eastAsia="楷体_GB2312"/>
          <w:color w:val="auto"/>
          <w:sz w:val="21"/>
          <w:szCs w:val="21"/>
          <w:highlight w:val="none"/>
        </w:rPr>
        <w:t>备注：</w:t>
      </w:r>
      <w:r>
        <w:rPr>
          <w:rFonts w:hint="eastAsia" w:eastAsia="楷体_GB2312"/>
          <w:color w:val="auto"/>
          <w:sz w:val="21"/>
          <w:szCs w:val="21"/>
          <w:highlight w:val="none"/>
        </w:rPr>
        <w:t>附以上各岗位人员资格证件等相关证明材料的复印件，以及磋商单位认为需要增加的其他证明材料复印件，以上复印件均须加盖磋商单位单位公章。】</w:t>
      </w:r>
    </w:p>
    <w:p w14:paraId="21C6C36F">
      <w:pPr>
        <w:spacing w:line="360" w:lineRule="auto"/>
        <w:rPr>
          <w:rFonts w:eastAsia="楷体_GB2312"/>
          <w:color w:val="auto"/>
          <w:sz w:val="21"/>
          <w:szCs w:val="21"/>
          <w:highlight w:val="none"/>
        </w:rPr>
      </w:pPr>
    </w:p>
    <w:p w14:paraId="416CD9E7">
      <w:pPr>
        <w:tabs>
          <w:tab w:val="left" w:pos="0"/>
        </w:tabs>
        <w:spacing w:line="360" w:lineRule="auto"/>
        <w:ind w:right="-21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14:paraId="5CB9F17F">
      <w:pPr>
        <w:pStyle w:val="35"/>
        <w:jc w:val="center"/>
        <w:outlineLvl w:val="0"/>
        <w:rPr>
          <w:b/>
          <w:color w:val="auto"/>
          <w:sz w:val="24"/>
          <w:highlight w:val="none"/>
        </w:rPr>
      </w:pPr>
      <w:bookmarkStart w:id="123" w:name="_Toc7001"/>
      <w:bookmarkStart w:id="124" w:name="_Toc389065364"/>
      <w:bookmarkStart w:id="125" w:name="_Toc173579006"/>
      <w:bookmarkStart w:id="126" w:name="_Toc172364026"/>
      <w:bookmarkStart w:id="127" w:name="_Toc251052200"/>
      <w:bookmarkStart w:id="128" w:name="_Toc153274948"/>
      <w:r>
        <w:rPr>
          <w:b/>
          <w:color w:val="auto"/>
          <w:sz w:val="24"/>
          <w:highlight w:val="none"/>
        </w:rPr>
        <w:t>2、项目经理（注册建造师）简历表</w:t>
      </w:r>
      <w:bookmarkEnd w:id="123"/>
      <w:bookmarkEnd w:id="124"/>
      <w:bookmarkEnd w:id="125"/>
      <w:bookmarkEnd w:id="126"/>
      <w:bookmarkEnd w:id="127"/>
      <w:bookmarkEnd w:id="128"/>
    </w:p>
    <w:p w14:paraId="25C2B91C">
      <w:pPr>
        <w:pStyle w:val="35"/>
        <w:rPr>
          <w:color w:val="auto"/>
          <w:sz w:val="22"/>
          <w:szCs w:val="22"/>
          <w:highlight w:val="none"/>
          <w:u w:val="single"/>
        </w:rPr>
      </w:pPr>
    </w:p>
    <w:p w14:paraId="54DB569D">
      <w:pPr>
        <w:pStyle w:val="35"/>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u w:val="single"/>
        </w:rPr>
        <w:t xml:space="preserve"> 工程</w:t>
      </w:r>
    </w:p>
    <w:tbl>
      <w:tblPr>
        <w:tblStyle w:val="2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29EC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2A626CB6">
            <w:pPr>
              <w:jc w:val="center"/>
              <w:rPr>
                <w:color w:val="auto"/>
                <w:sz w:val="21"/>
                <w:szCs w:val="21"/>
                <w:highlight w:val="none"/>
              </w:rPr>
            </w:pPr>
            <w:r>
              <w:rPr>
                <w:color w:val="auto"/>
                <w:sz w:val="21"/>
                <w:szCs w:val="21"/>
                <w:highlight w:val="none"/>
              </w:rPr>
              <w:t>姓名</w:t>
            </w:r>
          </w:p>
        </w:tc>
        <w:tc>
          <w:tcPr>
            <w:tcW w:w="2340" w:type="dxa"/>
            <w:gridSpan w:val="3"/>
            <w:vAlign w:val="center"/>
          </w:tcPr>
          <w:p w14:paraId="65A688AE">
            <w:pPr>
              <w:jc w:val="center"/>
              <w:rPr>
                <w:color w:val="auto"/>
                <w:sz w:val="21"/>
                <w:szCs w:val="21"/>
                <w:highlight w:val="none"/>
              </w:rPr>
            </w:pPr>
          </w:p>
        </w:tc>
        <w:tc>
          <w:tcPr>
            <w:tcW w:w="1893" w:type="dxa"/>
            <w:gridSpan w:val="2"/>
            <w:vAlign w:val="center"/>
          </w:tcPr>
          <w:p w14:paraId="67EC985E">
            <w:pPr>
              <w:jc w:val="center"/>
              <w:rPr>
                <w:color w:val="auto"/>
                <w:sz w:val="21"/>
                <w:szCs w:val="21"/>
                <w:highlight w:val="none"/>
              </w:rPr>
            </w:pPr>
            <w:r>
              <w:rPr>
                <w:color w:val="auto"/>
                <w:sz w:val="21"/>
                <w:szCs w:val="21"/>
                <w:highlight w:val="none"/>
              </w:rPr>
              <w:t>性别</w:t>
            </w:r>
          </w:p>
        </w:tc>
        <w:tc>
          <w:tcPr>
            <w:tcW w:w="1585" w:type="dxa"/>
            <w:gridSpan w:val="2"/>
            <w:vAlign w:val="center"/>
          </w:tcPr>
          <w:p w14:paraId="6128D1BF">
            <w:pPr>
              <w:jc w:val="center"/>
              <w:rPr>
                <w:color w:val="auto"/>
                <w:sz w:val="21"/>
                <w:szCs w:val="21"/>
                <w:highlight w:val="none"/>
              </w:rPr>
            </w:pPr>
          </w:p>
        </w:tc>
        <w:tc>
          <w:tcPr>
            <w:tcW w:w="1108" w:type="dxa"/>
            <w:gridSpan w:val="2"/>
            <w:vAlign w:val="center"/>
          </w:tcPr>
          <w:p w14:paraId="7C7C6353">
            <w:pPr>
              <w:jc w:val="center"/>
              <w:rPr>
                <w:color w:val="auto"/>
                <w:sz w:val="21"/>
                <w:szCs w:val="21"/>
                <w:highlight w:val="none"/>
              </w:rPr>
            </w:pPr>
            <w:r>
              <w:rPr>
                <w:color w:val="auto"/>
                <w:sz w:val="21"/>
                <w:szCs w:val="21"/>
                <w:highlight w:val="none"/>
              </w:rPr>
              <w:t>年龄</w:t>
            </w:r>
          </w:p>
        </w:tc>
        <w:tc>
          <w:tcPr>
            <w:tcW w:w="1276" w:type="dxa"/>
            <w:vAlign w:val="center"/>
          </w:tcPr>
          <w:p w14:paraId="08577F1A">
            <w:pPr>
              <w:jc w:val="center"/>
              <w:rPr>
                <w:color w:val="auto"/>
                <w:sz w:val="21"/>
                <w:szCs w:val="21"/>
                <w:highlight w:val="none"/>
              </w:rPr>
            </w:pPr>
          </w:p>
        </w:tc>
      </w:tr>
      <w:tr w14:paraId="5D6B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3CB73D2A">
            <w:pPr>
              <w:jc w:val="center"/>
              <w:rPr>
                <w:color w:val="auto"/>
                <w:sz w:val="21"/>
                <w:szCs w:val="21"/>
                <w:highlight w:val="none"/>
              </w:rPr>
            </w:pPr>
            <w:r>
              <w:rPr>
                <w:color w:val="auto"/>
                <w:sz w:val="21"/>
                <w:szCs w:val="21"/>
                <w:highlight w:val="none"/>
              </w:rPr>
              <w:t>职务</w:t>
            </w:r>
          </w:p>
        </w:tc>
        <w:tc>
          <w:tcPr>
            <w:tcW w:w="2340" w:type="dxa"/>
            <w:gridSpan w:val="3"/>
            <w:vAlign w:val="center"/>
          </w:tcPr>
          <w:p w14:paraId="6841E8CF">
            <w:pPr>
              <w:jc w:val="center"/>
              <w:rPr>
                <w:color w:val="auto"/>
                <w:sz w:val="21"/>
                <w:szCs w:val="21"/>
                <w:highlight w:val="none"/>
              </w:rPr>
            </w:pPr>
          </w:p>
        </w:tc>
        <w:tc>
          <w:tcPr>
            <w:tcW w:w="1893" w:type="dxa"/>
            <w:gridSpan w:val="2"/>
            <w:vAlign w:val="center"/>
          </w:tcPr>
          <w:p w14:paraId="5A4B0F1E">
            <w:pPr>
              <w:jc w:val="center"/>
              <w:rPr>
                <w:color w:val="auto"/>
                <w:sz w:val="21"/>
                <w:szCs w:val="21"/>
                <w:highlight w:val="none"/>
              </w:rPr>
            </w:pPr>
            <w:r>
              <w:rPr>
                <w:color w:val="auto"/>
                <w:sz w:val="21"/>
                <w:szCs w:val="21"/>
                <w:highlight w:val="none"/>
              </w:rPr>
              <w:t>职称</w:t>
            </w:r>
          </w:p>
        </w:tc>
        <w:tc>
          <w:tcPr>
            <w:tcW w:w="1585" w:type="dxa"/>
            <w:gridSpan w:val="2"/>
            <w:vAlign w:val="center"/>
          </w:tcPr>
          <w:p w14:paraId="63F96607">
            <w:pPr>
              <w:jc w:val="center"/>
              <w:rPr>
                <w:color w:val="auto"/>
                <w:sz w:val="21"/>
                <w:szCs w:val="21"/>
                <w:highlight w:val="none"/>
              </w:rPr>
            </w:pPr>
          </w:p>
        </w:tc>
        <w:tc>
          <w:tcPr>
            <w:tcW w:w="1108" w:type="dxa"/>
            <w:gridSpan w:val="2"/>
            <w:vAlign w:val="center"/>
          </w:tcPr>
          <w:p w14:paraId="446E447E">
            <w:pPr>
              <w:jc w:val="center"/>
              <w:rPr>
                <w:color w:val="auto"/>
                <w:sz w:val="21"/>
                <w:szCs w:val="21"/>
                <w:highlight w:val="none"/>
              </w:rPr>
            </w:pPr>
            <w:r>
              <w:rPr>
                <w:color w:val="auto"/>
                <w:sz w:val="21"/>
                <w:szCs w:val="21"/>
                <w:highlight w:val="none"/>
              </w:rPr>
              <w:t>学历</w:t>
            </w:r>
          </w:p>
        </w:tc>
        <w:tc>
          <w:tcPr>
            <w:tcW w:w="1276" w:type="dxa"/>
            <w:vAlign w:val="center"/>
          </w:tcPr>
          <w:p w14:paraId="201B56AF">
            <w:pPr>
              <w:jc w:val="center"/>
              <w:rPr>
                <w:color w:val="auto"/>
                <w:sz w:val="21"/>
                <w:szCs w:val="21"/>
                <w:highlight w:val="none"/>
              </w:rPr>
            </w:pPr>
          </w:p>
        </w:tc>
      </w:tr>
      <w:tr w14:paraId="41F0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77987912">
            <w:pPr>
              <w:jc w:val="center"/>
              <w:rPr>
                <w:color w:val="auto"/>
                <w:sz w:val="21"/>
                <w:szCs w:val="21"/>
                <w:highlight w:val="none"/>
              </w:rPr>
            </w:pPr>
            <w:r>
              <w:rPr>
                <w:color w:val="auto"/>
                <w:sz w:val="21"/>
                <w:szCs w:val="21"/>
                <w:highlight w:val="none"/>
              </w:rPr>
              <w:t>参加工作时间</w:t>
            </w:r>
          </w:p>
        </w:tc>
        <w:tc>
          <w:tcPr>
            <w:tcW w:w="1893" w:type="dxa"/>
            <w:gridSpan w:val="2"/>
            <w:vAlign w:val="center"/>
          </w:tcPr>
          <w:p w14:paraId="66A3ABAD">
            <w:pPr>
              <w:jc w:val="center"/>
              <w:rPr>
                <w:color w:val="auto"/>
                <w:sz w:val="21"/>
                <w:szCs w:val="21"/>
                <w:highlight w:val="none"/>
              </w:rPr>
            </w:pPr>
          </w:p>
        </w:tc>
        <w:tc>
          <w:tcPr>
            <w:tcW w:w="2693" w:type="dxa"/>
            <w:gridSpan w:val="4"/>
            <w:vAlign w:val="center"/>
          </w:tcPr>
          <w:p w14:paraId="76E5F6DF">
            <w:pPr>
              <w:jc w:val="center"/>
              <w:rPr>
                <w:color w:val="auto"/>
                <w:sz w:val="21"/>
                <w:szCs w:val="21"/>
                <w:highlight w:val="none"/>
              </w:rPr>
            </w:pPr>
            <w:r>
              <w:rPr>
                <w:color w:val="auto"/>
                <w:sz w:val="21"/>
                <w:szCs w:val="21"/>
                <w:highlight w:val="none"/>
              </w:rPr>
              <w:t>担任项目经理年限</w:t>
            </w:r>
          </w:p>
        </w:tc>
        <w:tc>
          <w:tcPr>
            <w:tcW w:w="1276" w:type="dxa"/>
            <w:vAlign w:val="center"/>
          </w:tcPr>
          <w:p w14:paraId="5AEE0393">
            <w:pPr>
              <w:jc w:val="center"/>
              <w:rPr>
                <w:color w:val="auto"/>
                <w:sz w:val="21"/>
                <w:szCs w:val="21"/>
                <w:highlight w:val="none"/>
              </w:rPr>
            </w:pPr>
          </w:p>
        </w:tc>
      </w:tr>
      <w:tr w14:paraId="43B6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7DD57027">
            <w:pPr>
              <w:jc w:val="center"/>
              <w:rPr>
                <w:rFonts w:hint="eastAsia" w:eastAsia="宋体"/>
                <w:color w:val="auto"/>
                <w:sz w:val="21"/>
                <w:szCs w:val="21"/>
                <w:highlight w:val="none"/>
                <w:lang w:eastAsia="zh-CN"/>
              </w:rPr>
            </w:pPr>
            <w:r>
              <w:rPr>
                <w:rFonts w:hint="eastAsia"/>
                <w:color w:val="auto"/>
                <w:sz w:val="21"/>
                <w:szCs w:val="21"/>
                <w:highlight w:val="none"/>
                <w:lang w:eastAsia="zh-CN"/>
              </w:rPr>
              <w:t>建造师注册编号和安全生产考核合格证编号</w:t>
            </w:r>
          </w:p>
        </w:tc>
        <w:tc>
          <w:tcPr>
            <w:tcW w:w="5862" w:type="dxa"/>
            <w:gridSpan w:val="7"/>
            <w:vAlign w:val="center"/>
          </w:tcPr>
          <w:p w14:paraId="361C851A">
            <w:pPr>
              <w:jc w:val="center"/>
              <w:rPr>
                <w:color w:val="auto"/>
                <w:sz w:val="21"/>
                <w:szCs w:val="21"/>
                <w:highlight w:val="none"/>
              </w:rPr>
            </w:pPr>
          </w:p>
        </w:tc>
      </w:tr>
      <w:tr w14:paraId="0119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59FCC970">
            <w:pPr>
              <w:jc w:val="center"/>
              <w:rPr>
                <w:color w:val="auto"/>
                <w:sz w:val="21"/>
                <w:szCs w:val="21"/>
                <w:highlight w:val="none"/>
              </w:rPr>
            </w:pPr>
            <w:r>
              <w:rPr>
                <w:color w:val="auto"/>
                <w:sz w:val="21"/>
                <w:szCs w:val="21"/>
                <w:highlight w:val="none"/>
              </w:rPr>
              <w:t>在建和已完工程项目情况</w:t>
            </w:r>
          </w:p>
        </w:tc>
      </w:tr>
      <w:tr w14:paraId="2D47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3FADE689">
            <w:pPr>
              <w:jc w:val="center"/>
              <w:rPr>
                <w:color w:val="auto"/>
                <w:sz w:val="21"/>
                <w:szCs w:val="21"/>
                <w:highlight w:val="none"/>
              </w:rPr>
            </w:pPr>
            <w:r>
              <w:rPr>
                <w:color w:val="auto"/>
                <w:sz w:val="21"/>
                <w:szCs w:val="21"/>
                <w:highlight w:val="none"/>
              </w:rPr>
              <w:t>建设单位</w:t>
            </w:r>
          </w:p>
        </w:tc>
        <w:tc>
          <w:tcPr>
            <w:tcW w:w="1548" w:type="dxa"/>
            <w:vAlign w:val="center"/>
          </w:tcPr>
          <w:p w14:paraId="37554A86">
            <w:pPr>
              <w:jc w:val="center"/>
              <w:rPr>
                <w:color w:val="auto"/>
                <w:sz w:val="21"/>
                <w:szCs w:val="21"/>
                <w:highlight w:val="none"/>
              </w:rPr>
            </w:pPr>
            <w:r>
              <w:rPr>
                <w:color w:val="auto"/>
                <w:sz w:val="21"/>
                <w:szCs w:val="21"/>
                <w:highlight w:val="none"/>
              </w:rPr>
              <w:t>项目名称</w:t>
            </w:r>
          </w:p>
        </w:tc>
        <w:tc>
          <w:tcPr>
            <w:tcW w:w="1547" w:type="dxa"/>
            <w:gridSpan w:val="2"/>
            <w:vAlign w:val="center"/>
          </w:tcPr>
          <w:p w14:paraId="7B1CB8B6">
            <w:pPr>
              <w:jc w:val="center"/>
              <w:rPr>
                <w:color w:val="auto"/>
                <w:sz w:val="21"/>
                <w:szCs w:val="21"/>
                <w:highlight w:val="none"/>
              </w:rPr>
            </w:pPr>
            <w:r>
              <w:rPr>
                <w:color w:val="auto"/>
                <w:sz w:val="21"/>
                <w:szCs w:val="21"/>
                <w:highlight w:val="none"/>
              </w:rPr>
              <w:t>建设规模</w:t>
            </w:r>
          </w:p>
        </w:tc>
        <w:tc>
          <w:tcPr>
            <w:tcW w:w="1548" w:type="dxa"/>
            <w:gridSpan w:val="2"/>
            <w:vAlign w:val="center"/>
          </w:tcPr>
          <w:p w14:paraId="782D363B">
            <w:pPr>
              <w:jc w:val="center"/>
              <w:rPr>
                <w:color w:val="auto"/>
                <w:sz w:val="21"/>
                <w:szCs w:val="21"/>
                <w:highlight w:val="none"/>
              </w:rPr>
            </w:pPr>
            <w:r>
              <w:rPr>
                <w:color w:val="auto"/>
                <w:sz w:val="21"/>
                <w:szCs w:val="21"/>
                <w:highlight w:val="none"/>
              </w:rPr>
              <w:t>开、竣工日期</w:t>
            </w:r>
          </w:p>
        </w:tc>
        <w:tc>
          <w:tcPr>
            <w:tcW w:w="1547" w:type="dxa"/>
            <w:gridSpan w:val="2"/>
            <w:vAlign w:val="center"/>
          </w:tcPr>
          <w:p w14:paraId="5476024E">
            <w:pPr>
              <w:jc w:val="center"/>
              <w:rPr>
                <w:color w:val="auto"/>
                <w:sz w:val="21"/>
                <w:szCs w:val="21"/>
                <w:highlight w:val="none"/>
              </w:rPr>
            </w:pPr>
            <w:r>
              <w:rPr>
                <w:color w:val="auto"/>
                <w:sz w:val="21"/>
                <w:szCs w:val="21"/>
                <w:highlight w:val="none"/>
              </w:rPr>
              <w:t>在建或已完</w:t>
            </w:r>
          </w:p>
        </w:tc>
        <w:tc>
          <w:tcPr>
            <w:tcW w:w="1548" w:type="dxa"/>
            <w:gridSpan w:val="2"/>
            <w:vAlign w:val="center"/>
          </w:tcPr>
          <w:p w14:paraId="2AD8D95E">
            <w:pPr>
              <w:jc w:val="center"/>
              <w:rPr>
                <w:color w:val="auto"/>
                <w:sz w:val="21"/>
                <w:szCs w:val="21"/>
                <w:highlight w:val="none"/>
              </w:rPr>
            </w:pPr>
            <w:r>
              <w:rPr>
                <w:color w:val="auto"/>
                <w:sz w:val="21"/>
                <w:szCs w:val="21"/>
                <w:highlight w:val="none"/>
              </w:rPr>
              <w:t>工程质量</w:t>
            </w:r>
          </w:p>
        </w:tc>
      </w:tr>
      <w:tr w14:paraId="0A3C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57AE958B">
            <w:pPr>
              <w:jc w:val="center"/>
              <w:rPr>
                <w:color w:val="auto"/>
                <w:sz w:val="21"/>
                <w:szCs w:val="21"/>
                <w:highlight w:val="none"/>
              </w:rPr>
            </w:pPr>
          </w:p>
        </w:tc>
        <w:tc>
          <w:tcPr>
            <w:tcW w:w="1548" w:type="dxa"/>
            <w:vAlign w:val="center"/>
          </w:tcPr>
          <w:p w14:paraId="5596C703">
            <w:pPr>
              <w:jc w:val="center"/>
              <w:rPr>
                <w:color w:val="auto"/>
                <w:sz w:val="21"/>
                <w:szCs w:val="21"/>
                <w:highlight w:val="none"/>
              </w:rPr>
            </w:pPr>
          </w:p>
        </w:tc>
        <w:tc>
          <w:tcPr>
            <w:tcW w:w="1547" w:type="dxa"/>
            <w:gridSpan w:val="2"/>
            <w:vAlign w:val="center"/>
          </w:tcPr>
          <w:p w14:paraId="5D93D7EF">
            <w:pPr>
              <w:jc w:val="center"/>
              <w:rPr>
                <w:color w:val="auto"/>
                <w:sz w:val="21"/>
                <w:szCs w:val="21"/>
                <w:highlight w:val="none"/>
              </w:rPr>
            </w:pPr>
          </w:p>
        </w:tc>
        <w:tc>
          <w:tcPr>
            <w:tcW w:w="1548" w:type="dxa"/>
            <w:gridSpan w:val="2"/>
            <w:vAlign w:val="center"/>
          </w:tcPr>
          <w:p w14:paraId="6BCA0585">
            <w:pPr>
              <w:jc w:val="center"/>
              <w:rPr>
                <w:color w:val="auto"/>
                <w:sz w:val="21"/>
                <w:szCs w:val="21"/>
                <w:highlight w:val="none"/>
              </w:rPr>
            </w:pPr>
          </w:p>
        </w:tc>
        <w:tc>
          <w:tcPr>
            <w:tcW w:w="1547" w:type="dxa"/>
            <w:gridSpan w:val="2"/>
            <w:vAlign w:val="center"/>
          </w:tcPr>
          <w:p w14:paraId="31D0FE8A">
            <w:pPr>
              <w:jc w:val="center"/>
              <w:rPr>
                <w:color w:val="auto"/>
                <w:sz w:val="21"/>
                <w:szCs w:val="21"/>
                <w:highlight w:val="none"/>
              </w:rPr>
            </w:pPr>
          </w:p>
        </w:tc>
        <w:tc>
          <w:tcPr>
            <w:tcW w:w="1548" w:type="dxa"/>
            <w:gridSpan w:val="2"/>
            <w:vAlign w:val="center"/>
          </w:tcPr>
          <w:p w14:paraId="3D73CA5E">
            <w:pPr>
              <w:jc w:val="center"/>
              <w:rPr>
                <w:color w:val="auto"/>
                <w:sz w:val="21"/>
                <w:szCs w:val="21"/>
                <w:highlight w:val="none"/>
              </w:rPr>
            </w:pPr>
          </w:p>
        </w:tc>
      </w:tr>
      <w:tr w14:paraId="53D8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42E004E3">
            <w:pPr>
              <w:jc w:val="center"/>
              <w:rPr>
                <w:color w:val="auto"/>
                <w:sz w:val="21"/>
                <w:szCs w:val="21"/>
                <w:highlight w:val="none"/>
              </w:rPr>
            </w:pPr>
          </w:p>
        </w:tc>
        <w:tc>
          <w:tcPr>
            <w:tcW w:w="1548" w:type="dxa"/>
            <w:vAlign w:val="center"/>
          </w:tcPr>
          <w:p w14:paraId="2404F1EC">
            <w:pPr>
              <w:jc w:val="center"/>
              <w:rPr>
                <w:color w:val="auto"/>
                <w:sz w:val="21"/>
                <w:szCs w:val="21"/>
                <w:highlight w:val="none"/>
              </w:rPr>
            </w:pPr>
          </w:p>
        </w:tc>
        <w:tc>
          <w:tcPr>
            <w:tcW w:w="1547" w:type="dxa"/>
            <w:gridSpan w:val="2"/>
            <w:vAlign w:val="center"/>
          </w:tcPr>
          <w:p w14:paraId="4E075E7E">
            <w:pPr>
              <w:jc w:val="center"/>
              <w:rPr>
                <w:color w:val="auto"/>
                <w:sz w:val="21"/>
                <w:szCs w:val="21"/>
                <w:highlight w:val="none"/>
              </w:rPr>
            </w:pPr>
          </w:p>
        </w:tc>
        <w:tc>
          <w:tcPr>
            <w:tcW w:w="1548" w:type="dxa"/>
            <w:gridSpan w:val="2"/>
            <w:vAlign w:val="center"/>
          </w:tcPr>
          <w:p w14:paraId="66C11C74">
            <w:pPr>
              <w:jc w:val="center"/>
              <w:rPr>
                <w:color w:val="auto"/>
                <w:sz w:val="21"/>
                <w:szCs w:val="21"/>
                <w:highlight w:val="none"/>
              </w:rPr>
            </w:pPr>
          </w:p>
        </w:tc>
        <w:tc>
          <w:tcPr>
            <w:tcW w:w="1547" w:type="dxa"/>
            <w:gridSpan w:val="2"/>
            <w:vAlign w:val="center"/>
          </w:tcPr>
          <w:p w14:paraId="1BC36A98">
            <w:pPr>
              <w:jc w:val="center"/>
              <w:rPr>
                <w:color w:val="auto"/>
                <w:sz w:val="21"/>
                <w:szCs w:val="21"/>
                <w:highlight w:val="none"/>
              </w:rPr>
            </w:pPr>
          </w:p>
        </w:tc>
        <w:tc>
          <w:tcPr>
            <w:tcW w:w="1548" w:type="dxa"/>
            <w:gridSpan w:val="2"/>
            <w:vAlign w:val="center"/>
          </w:tcPr>
          <w:p w14:paraId="7F53BED3">
            <w:pPr>
              <w:jc w:val="center"/>
              <w:rPr>
                <w:color w:val="auto"/>
                <w:sz w:val="21"/>
                <w:szCs w:val="21"/>
                <w:highlight w:val="none"/>
              </w:rPr>
            </w:pPr>
          </w:p>
        </w:tc>
      </w:tr>
      <w:tr w14:paraId="60A4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37E28FB2">
            <w:pPr>
              <w:jc w:val="center"/>
              <w:rPr>
                <w:color w:val="auto"/>
                <w:sz w:val="21"/>
                <w:szCs w:val="21"/>
                <w:highlight w:val="none"/>
              </w:rPr>
            </w:pPr>
          </w:p>
        </w:tc>
        <w:tc>
          <w:tcPr>
            <w:tcW w:w="1548" w:type="dxa"/>
            <w:vAlign w:val="center"/>
          </w:tcPr>
          <w:p w14:paraId="70A79980">
            <w:pPr>
              <w:jc w:val="center"/>
              <w:rPr>
                <w:color w:val="auto"/>
                <w:sz w:val="21"/>
                <w:szCs w:val="21"/>
                <w:highlight w:val="none"/>
              </w:rPr>
            </w:pPr>
          </w:p>
        </w:tc>
        <w:tc>
          <w:tcPr>
            <w:tcW w:w="1547" w:type="dxa"/>
            <w:gridSpan w:val="2"/>
            <w:vAlign w:val="center"/>
          </w:tcPr>
          <w:p w14:paraId="5D5E2FA9">
            <w:pPr>
              <w:jc w:val="center"/>
              <w:rPr>
                <w:color w:val="auto"/>
                <w:sz w:val="21"/>
                <w:szCs w:val="21"/>
                <w:highlight w:val="none"/>
              </w:rPr>
            </w:pPr>
          </w:p>
        </w:tc>
        <w:tc>
          <w:tcPr>
            <w:tcW w:w="1548" w:type="dxa"/>
            <w:gridSpan w:val="2"/>
            <w:vAlign w:val="center"/>
          </w:tcPr>
          <w:p w14:paraId="5B400C9A">
            <w:pPr>
              <w:jc w:val="center"/>
              <w:rPr>
                <w:color w:val="auto"/>
                <w:sz w:val="21"/>
                <w:szCs w:val="21"/>
                <w:highlight w:val="none"/>
              </w:rPr>
            </w:pPr>
          </w:p>
        </w:tc>
        <w:tc>
          <w:tcPr>
            <w:tcW w:w="1547" w:type="dxa"/>
            <w:gridSpan w:val="2"/>
            <w:vAlign w:val="center"/>
          </w:tcPr>
          <w:p w14:paraId="42F36172">
            <w:pPr>
              <w:jc w:val="center"/>
              <w:rPr>
                <w:color w:val="auto"/>
                <w:sz w:val="21"/>
                <w:szCs w:val="21"/>
                <w:highlight w:val="none"/>
              </w:rPr>
            </w:pPr>
          </w:p>
        </w:tc>
        <w:tc>
          <w:tcPr>
            <w:tcW w:w="1548" w:type="dxa"/>
            <w:gridSpan w:val="2"/>
            <w:vAlign w:val="center"/>
          </w:tcPr>
          <w:p w14:paraId="479CEF77">
            <w:pPr>
              <w:jc w:val="center"/>
              <w:rPr>
                <w:color w:val="auto"/>
                <w:sz w:val="21"/>
                <w:szCs w:val="21"/>
                <w:highlight w:val="none"/>
              </w:rPr>
            </w:pPr>
          </w:p>
        </w:tc>
      </w:tr>
      <w:tr w14:paraId="5B82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7994C570">
            <w:pPr>
              <w:jc w:val="center"/>
              <w:rPr>
                <w:color w:val="auto"/>
                <w:sz w:val="21"/>
                <w:szCs w:val="21"/>
                <w:highlight w:val="none"/>
              </w:rPr>
            </w:pPr>
          </w:p>
        </w:tc>
        <w:tc>
          <w:tcPr>
            <w:tcW w:w="1548" w:type="dxa"/>
            <w:vAlign w:val="center"/>
          </w:tcPr>
          <w:p w14:paraId="203AA6F2">
            <w:pPr>
              <w:jc w:val="center"/>
              <w:rPr>
                <w:color w:val="auto"/>
                <w:sz w:val="21"/>
                <w:szCs w:val="21"/>
                <w:highlight w:val="none"/>
              </w:rPr>
            </w:pPr>
          </w:p>
        </w:tc>
        <w:tc>
          <w:tcPr>
            <w:tcW w:w="1547" w:type="dxa"/>
            <w:gridSpan w:val="2"/>
            <w:vAlign w:val="center"/>
          </w:tcPr>
          <w:p w14:paraId="4AD4946A">
            <w:pPr>
              <w:jc w:val="center"/>
              <w:rPr>
                <w:color w:val="auto"/>
                <w:sz w:val="21"/>
                <w:szCs w:val="21"/>
                <w:highlight w:val="none"/>
              </w:rPr>
            </w:pPr>
          </w:p>
        </w:tc>
        <w:tc>
          <w:tcPr>
            <w:tcW w:w="1548" w:type="dxa"/>
            <w:gridSpan w:val="2"/>
            <w:vAlign w:val="center"/>
          </w:tcPr>
          <w:p w14:paraId="32BE4A56">
            <w:pPr>
              <w:jc w:val="center"/>
              <w:rPr>
                <w:color w:val="auto"/>
                <w:sz w:val="21"/>
                <w:szCs w:val="21"/>
                <w:highlight w:val="none"/>
              </w:rPr>
            </w:pPr>
          </w:p>
        </w:tc>
        <w:tc>
          <w:tcPr>
            <w:tcW w:w="1547" w:type="dxa"/>
            <w:gridSpan w:val="2"/>
            <w:vAlign w:val="center"/>
          </w:tcPr>
          <w:p w14:paraId="72F5B0B3">
            <w:pPr>
              <w:jc w:val="center"/>
              <w:rPr>
                <w:color w:val="auto"/>
                <w:sz w:val="21"/>
                <w:szCs w:val="21"/>
                <w:highlight w:val="none"/>
              </w:rPr>
            </w:pPr>
          </w:p>
        </w:tc>
        <w:tc>
          <w:tcPr>
            <w:tcW w:w="1548" w:type="dxa"/>
            <w:gridSpan w:val="2"/>
            <w:vAlign w:val="center"/>
          </w:tcPr>
          <w:p w14:paraId="4C18B270">
            <w:pPr>
              <w:jc w:val="center"/>
              <w:rPr>
                <w:color w:val="auto"/>
                <w:sz w:val="21"/>
                <w:szCs w:val="21"/>
                <w:highlight w:val="none"/>
              </w:rPr>
            </w:pPr>
          </w:p>
        </w:tc>
      </w:tr>
    </w:tbl>
    <w:p w14:paraId="4F3EF823">
      <w:pPr>
        <w:spacing w:line="360" w:lineRule="auto"/>
        <w:rPr>
          <w:color w:val="auto"/>
          <w:sz w:val="21"/>
          <w:szCs w:val="22"/>
          <w:highlight w:val="none"/>
        </w:rPr>
      </w:pPr>
    </w:p>
    <w:p w14:paraId="2B47AA3F">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备注：</w:t>
      </w:r>
    </w:p>
    <w:p w14:paraId="6D1C1C42">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项目经理资格证书和已完工程中标通知书（如有）、工程合同协议书的复印件，以及磋商单位认为需要增加的其他证明材料复印件，以上复印件均须加盖磋商单位单位公章。</w:t>
      </w:r>
    </w:p>
    <w:p w14:paraId="15067F49">
      <w:pPr>
        <w:spacing w:beforeLines="50"/>
        <w:ind w:firstLine="420" w:firstLineChars="200"/>
        <w:rPr>
          <w:rFonts w:eastAsia="楷体_GB2312"/>
          <w:color w:val="auto"/>
          <w:sz w:val="21"/>
          <w:szCs w:val="21"/>
          <w:highlight w:val="none"/>
        </w:rPr>
      </w:pPr>
    </w:p>
    <w:p w14:paraId="7D834B51">
      <w:pPr>
        <w:spacing w:line="360" w:lineRule="auto"/>
        <w:ind w:firstLine="525" w:firstLineChars="250"/>
        <w:rPr>
          <w:color w:val="auto"/>
          <w:sz w:val="21"/>
          <w:szCs w:val="21"/>
          <w:highlight w:val="none"/>
        </w:rPr>
      </w:pPr>
    </w:p>
    <w:p w14:paraId="6EF5D640">
      <w:pPr>
        <w:spacing w:line="360" w:lineRule="auto"/>
        <w:ind w:firstLine="525" w:firstLineChars="25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14:paraId="279DE770">
      <w:pPr>
        <w:spacing w:line="360" w:lineRule="auto"/>
        <w:ind w:firstLine="500" w:firstLineChars="250"/>
        <w:rPr>
          <w:color w:val="auto"/>
          <w:highlight w:val="none"/>
        </w:rPr>
      </w:pPr>
    </w:p>
    <w:p w14:paraId="5F130609">
      <w:pPr>
        <w:pStyle w:val="35"/>
        <w:jc w:val="center"/>
        <w:outlineLvl w:val="0"/>
        <w:rPr>
          <w:b/>
          <w:color w:val="auto"/>
          <w:sz w:val="24"/>
          <w:highlight w:val="none"/>
        </w:rPr>
      </w:pPr>
      <w:bookmarkStart w:id="129" w:name="_Toc251052219"/>
      <w:bookmarkStart w:id="130" w:name="_Toc172364027"/>
      <w:bookmarkStart w:id="131" w:name="_Toc8504"/>
      <w:bookmarkStart w:id="132" w:name="_Toc173579007"/>
      <w:bookmarkStart w:id="133" w:name="_Toc389065365"/>
      <w:bookmarkStart w:id="134" w:name="_Toc153274949"/>
      <w:r>
        <w:rPr>
          <w:rFonts w:hint="eastAsia"/>
          <w:b/>
          <w:color w:val="auto"/>
          <w:sz w:val="24"/>
          <w:highlight w:val="none"/>
          <w:lang w:val="en-US" w:eastAsia="zh-CN"/>
        </w:rPr>
        <w:t>三</w:t>
      </w:r>
      <w:r>
        <w:rPr>
          <w:b/>
          <w:color w:val="auto"/>
          <w:sz w:val="24"/>
          <w:highlight w:val="none"/>
        </w:rPr>
        <w:t>、项目技术负责人简历表</w:t>
      </w:r>
      <w:bookmarkEnd w:id="129"/>
      <w:bookmarkEnd w:id="130"/>
      <w:bookmarkEnd w:id="131"/>
      <w:bookmarkEnd w:id="132"/>
      <w:bookmarkEnd w:id="133"/>
      <w:bookmarkEnd w:id="134"/>
    </w:p>
    <w:p w14:paraId="618A98CD">
      <w:pPr>
        <w:pStyle w:val="35"/>
        <w:rPr>
          <w:color w:val="auto"/>
          <w:highlight w:val="none"/>
          <w:u w:val="single"/>
        </w:rPr>
      </w:pPr>
    </w:p>
    <w:p w14:paraId="3C8D6131">
      <w:pPr>
        <w:pStyle w:val="35"/>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w:t>
      </w:r>
    </w:p>
    <w:tbl>
      <w:tblPr>
        <w:tblStyle w:val="2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58B0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08C5D8E5">
            <w:pPr>
              <w:jc w:val="center"/>
              <w:rPr>
                <w:color w:val="auto"/>
                <w:sz w:val="21"/>
                <w:szCs w:val="21"/>
                <w:highlight w:val="none"/>
              </w:rPr>
            </w:pPr>
            <w:r>
              <w:rPr>
                <w:color w:val="auto"/>
                <w:sz w:val="21"/>
                <w:szCs w:val="21"/>
                <w:highlight w:val="none"/>
              </w:rPr>
              <w:t>姓名</w:t>
            </w:r>
          </w:p>
        </w:tc>
        <w:tc>
          <w:tcPr>
            <w:tcW w:w="2340" w:type="dxa"/>
            <w:gridSpan w:val="3"/>
            <w:vAlign w:val="center"/>
          </w:tcPr>
          <w:p w14:paraId="04CFF016">
            <w:pPr>
              <w:jc w:val="center"/>
              <w:rPr>
                <w:color w:val="auto"/>
                <w:sz w:val="21"/>
                <w:szCs w:val="21"/>
                <w:highlight w:val="none"/>
              </w:rPr>
            </w:pPr>
          </w:p>
        </w:tc>
        <w:tc>
          <w:tcPr>
            <w:tcW w:w="1893" w:type="dxa"/>
            <w:gridSpan w:val="2"/>
            <w:vAlign w:val="center"/>
          </w:tcPr>
          <w:p w14:paraId="5EABC277">
            <w:pPr>
              <w:jc w:val="center"/>
              <w:rPr>
                <w:color w:val="auto"/>
                <w:sz w:val="21"/>
                <w:szCs w:val="21"/>
                <w:highlight w:val="none"/>
              </w:rPr>
            </w:pPr>
            <w:r>
              <w:rPr>
                <w:color w:val="auto"/>
                <w:sz w:val="21"/>
                <w:szCs w:val="21"/>
                <w:highlight w:val="none"/>
              </w:rPr>
              <w:t>性别</w:t>
            </w:r>
          </w:p>
        </w:tc>
        <w:tc>
          <w:tcPr>
            <w:tcW w:w="1585" w:type="dxa"/>
            <w:gridSpan w:val="2"/>
            <w:vAlign w:val="center"/>
          </w:tcPr>
          <w:p w14:paraId="121C2FAB">
            <w:pPr>
              <w:jc w:val="center"/>
              <w:rPr>
                <w:color w:val="auto"/>
                <w:sz w:val="21"/>
                <w:szCs w:val="21"/>
                <w:highlight w:val="none"/>
              </w:rPr>
            </w:pPr>
          </w:p>
        </w:tc>
        <w:tc>
          <w:tcPr>
            <w:tcW w:w="1108" w:type="dxa"/>
            <w:gridSpan w:val="2"/>
            <w:vAlign w:val="center"/>
          </w:tcPr>
          <w:p w14:paraId="05AD2026">
            <w:pPr>
              <w:jc w:val="center"/>
              <w:rPr>
                <w:color w:val="auto"/>
                <w:sz w:val="21"/>
                <w:szCs w:val="21"/>
                <w:highlight w:val="none"/>
              </w:rPr>
            </w:pPr>
            <w:r>
              <w:rPr>
                <w:color w:val="auto"/>
                <w:sz w:val="21"/>
                <w:szCs w:val="21"/>
                <w:highlight w:val="none"/>
              </w:rPr>
              <w:t>年龄</w:t>
            </w:r>
          </w:p>
        </w:tc>
        <w:tc>
          <w:tcPr>
            <w:tcW w:w="1276" w:type="dxa"/>
            <w:vAlign w:val="center"/>
          </w:tcPr>
          <w:p w14:paraId="6F3DEEAE">
            <w:pPr>
              <w:jc w:val="center"/>
              <w:rPr>
                <w:color w:val="auto"/>
                <w:sz w:val="21"/>
                <w:szCs w:val="21"/>
                <w:highlight w:val="none"/>
              </w:rPr>
            </w:pPr>
          </w:p>
        </w:tc>
      </w:tr>
      <w:tr w14:paraId="655A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166B11FE">
            <w:pPr>
              <w:jc w:val="center"/>
              <w:rPr>
                <w:color w:val="auto"/>
                <w:sz w:val="21"/>
                <w:szCs w:val="21"/>
                <w:highlight w:val="none"/>
              </w:rPr>
            </w:pPr>
            <w:r>
              <w:rPr>
                <w:color w:val="auto"/>
                <w:sz w:val="21"/>
                <w:szCs w:val="21"/>
                <w:highlight w:val="none"/>
              </w:rPr>
              <w:t>职务</w:t>
            </w:r>
          </w:p>
        </w:tc>
        <w:tc>
          <w:tcPr>
            <w:tcW w:w="2340" w:type="dxa"/>
            <w:gridSpan w:val="3"/>
            <w:vAlign w:val="center"/>
          </w:tcPr>
          <w:p w14:paraId="5CBFFE8E">
            <w:pPr>
              <w:jc w:val="center"/>
              <w:rPr>
                <w:color w:val="auto"/>
                <w:sz w:val="21"/>
                <w:szCs w:val="21"/>
                <w:highlight w:val="none"/>
              </w:rPr>
            </w:pPr>
          </w:p>
        </w:tc>
        <w:tc>
          <w:tcPr>
            <w:tcW w:w="1893" w:type="dxa"/>
            <w:gridSpan w:val="2"/>
            <w:vAlign w:val="center"/>
          </w:tcPr>
          <w:p w14:paraId="1FD7959C">
            <w:pPr>
              <w:jc w:val="center"/>
              <w:rPr>
                <w:color w:val="auto"/>
                <w:sz w:val="21"/>
                <w:szCs w:val="21"/>
                <w:highlight w:val="none"/>
              </w:rPr>
            </w:pPr>
            <w:r>
              <w:rPr>
                <w:color w:val="auto"/>
                <w:sz w:val="21"/>
                <w:szCs w:val="21"/>
                <w:highlight w:val="none"/>
              </w:rPr>
              <w:t>职称</w:t>
            </w:r>
          </w:p>
        </w:tc>
        <w:tc>
          <w:tcPr>
            <w:tcW w:w="1585" w:type="dxa"/>
            <w:gridSpan w:val="2"/>
            <w:vAlign w:val="center"/>
          </w:tcPr>
          <w:p w14:paraId="0A7E7496">
            <w:pPr>
              <w:jc w:val="center"/>
              <w:rPr>
                <w:color w:val="auto"/>
                <w:sz w:val="21"/>
                <w:szCs w:val="21"/>
                <w:highlight w:val="none"/>
              </w:rPr>
            </w:pPr>
          </w:p>
        </w:tc>
        <w:tc>
          <w:tcPr>
            <w:tcW w:w="1108" w:type="dxa"/>
            <w:gridSpan w:val="2"/>
            <w:vAlign w:val="center"/>
          </w:tcPr>
          <w:p w14:paraId="4ABDA960">
            <w:pPr>
              <w:jc w:val="center"/>
              <w:rPr>
                <w:color w:val="auto"/>
                <w:sz w:val="21"/>
                <w:szCs w:val="21"/>
                <w:highlight w:val="none"/>
              </w:rPr>
            </w:pPr>
            <w:r>
              <w:rPr>
                <w:color w:val="auto"/>
                <w:sz w:val="21"/>
                <w:szCs w:val="21"/>
                <w:highlight w:val="none"/>
              </w:rPr>
              <w:t>学历</w:t>
            </w:r>
          </w:p>
        </w:tc>
        <w:tc>
          <w:tcPr>
            <w:tcW w:w="1276" w:type="dxa"/>
            <w:vAlign w:val="center"/>
          </w:tcPr>
          <w:p w14:paraId="0F6E5574">
            <w:pPr>
              <w:jc w:val="center"/>
              <w:rPr>
                <w:color w:val="auto"/>
                <w:sz w:val="21"/>
                <w:szCs w:val="21"/>
                <w:highlight w:val="none"/>
              </w:rPr>
            </w:pPr>
          </w:p>
        </w:tc>
      </w:tr>
      <w:tr w14:paraId="51F9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12F17330">
            <w:pPr>
              <w:jc w:val="center"/>
              <w:rPr>
                <w:color w:val="auto"/>
                <w:sz w:val="21"/>
                <w:szCs w:val="21"/>
                <w:highlight w:val="none"/>
              </w:rPr>
            </w:pPr>
            <w:r>
              <w:rPr>
                <w:color w:val="auto"/>
                <w:sz w:val="21"/>
                <w:szCs w:val="21"/>
                <w:highlight w:val="none"/>
              </w:rPr>
              <w:t>参加工作时间</w:t>
            </w:r>
          </w:p>
        </w:tc>
        <w:tc>
          <w:tcPr>
            <w:tcW w:w="1893" w:type="dxa"/>
            <w:gridSpan w:val="2"/>
            <w:vAlign w:val="center"/>
          </w:tcPr>
          <w:p w14:paraId="42C24813">
            <w:pPr>
              <w:jc w:val="center"/>
              <w:rPr>
                <w:color w:val="auto"/>
                <w:sz w:val="21"/>
                <w:szCs w:val="21"/>
                <w:highlight w:val="none"/>
              </w:rPr>
            </w:pPr>
          </w:p>
        </w:tc>
        <w:tc>
          <w:tcPr>
            <w:tcW w:w="2693" w:type="dxa"/>
            <w:gridSpan w:val="4"/>
            <w:vAlign w:val="center"/>
          </w:tcPr>
          <w:p w14:paraId="7DA053CC">
            <w:pPr>
              <w:jc w:val="center"/>
              <w:rPr>
                <w:color w:val="auto"/>
                <w:sz w:val="21"/>
                <w:szCs w:val="21"/>
                <w:highlight w:val="none"/>
              </w:rPr>
            </w:pPr>
            <w:r>
              <w:rPr>
                <w:color w:val="auto"/>
                <w:sz w:val="21"/>
                <w:szCs w:val="21"/>
                <w:highlight w:val="none"/>
              </w:rPr>
              <w:t>担任</w:t>
            </w:r>
            <w:r>
              <w:rPr>
                <w:rFonts w:hint="eastAsia"/>
                <w:color w:val="auto"/>
                <w:sz w:val="21"/>
                <w:szCs w:val="21"/>
                <w:highlight w:val="none"/>
              </w:rPr>
              <w:t>技术负责人</w:t>
            </w:r>
            <w:r>
              <w:rPr>
                <w:color w:val="auto"/>
                <w:sz w:val="21"/>
                <w:szCs w:val="21"/>
                <w:highlight w:val="none"/>
              </w:rPr>
              <w:t>年限</w:t>
            </w:r>
          </w:p>
        </w:tc>
        <w:tc>
          <w:tcPr>
            <w:tcW w:w="1276" w:type="dxa"/>
            <w:vAlign w:val="center"/>
          </w:tcPr>
          <w:p w14:paraId="00D128E7">
            <w:pPr>
              <w:jc w:val="center"/>
              <w:rPr>
                <w:color w:val="auto"/>
                <w:sz w:val="21"/>
                <w:szCs w:val="21"/>
                <w:highlight w:val="none"/>
              </w:rPr>
            </w:pPr>
          </w:p>
        </w:tc>
      </w:tr>
      <w:tr w14:paraId="7567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0B75C5A0">
            <w:pPr>
              <w:jc w:val="center"/>
              <w:rPr>
                <w:color w:val="auto"/>
                <w:sz w:val="21"/>
                <w:szCs w:val="21"/>
                <w:highlight w:val="none"/>
              </w:rPr>
            </w:pPr>
            <w:r>
              <w:rPr>
                <w:color w:val="auto"/>
                <w:sz w:val="21"/>
                <w:szCs w:val="21"/>
                <w:highlight w:val="none"/>
              </w:rPr>
              <w:t>在建和已完工程项目情况</w:t>
            </w:r>
          </w:p>
        </w:tc>
      </w:tr>
      <w:tr w14:paraId="2454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1CC5269F">
            <w:pPr>
              <w:jc w:val="center"/>
              <w:rPr>
                <w:color w:val="auto"/>
                <w:sz w:val="21"/>
                <w:szCs w:val="21"/>
                <w:highlight w:val="none"/>
              </w:rPr>
            </w:pPr>
            <w:r>
              <w:rPr>
                <w:color w:val="auto"/>
                <w:sz w:val="21"/>
                <w:szCs w:val="21"/>
                <w:highlight w:val="none"/>
              </w:rPr>
              <w:t>建设单位</w:t>
            </w:r>
          </w:p>
        </w:tc>
        <w:tc>
          <w:tcPr>
            <w:tcW w:w="1548" w:type="dxa"/>
            <w:vAlign w:val="center"/>
          </w:tcPr>
          <w:p w14:paraId="1C587D9C">
            <w:pPr>
              <w:jc w:val="center"/>
              <w:rPr>
                <w:color w:val="auto"/>
                <w:sz w:val="21"/>
                <w:szCs w:val="21"/>
                <w:highlight w:val="none"/>
              </w:rPr>
            </w:pPr>
            <w:r>
              <w:rPr>
                <w:color w:val="auto"/>
                <w:sz w:val="21"/>
                <w:szCs w:val="21"/>
                <w:highlight w:val="none"/>
              </w:rPr>
              <w:t>项目名称</w:t>
            </w:r>
          </w:p>
        </w:tc>
        <w:tc>
          <w:tcPr>
            <w:tcW w:w="1547" w:type="dxa"/>
            <w:gridSpan w:val="2"/>
            <w:vAlign w:val="center"/>
          </w:tcPr>
          <w:p w14:paraId="527043BC">
            <w:pPr>
              <w:jc w:val="center"/>
              <w:rPr>
                <w:color w:val="auto"/>
                <w:sz w:val="21"/>
                <w:szCs w:val="21"/>
                <w:highlight w:val="none"/>
              </w:rPr>
            </w:pPr>
            <w:r>
              <w:rPr>
                <w:color w:val="auto"/>
                <w:sz w:val="21"/>
                <w:szCs w:val="21"/>
                <w:highlight w:val="none"/>
              </w:rPr>
              <w:t>建设规模</w:t>
            </w:r>
          </w:p>
        </w:tc>
        <w:tc>
          <w:tcPr>
            <w:tcW w:w="1548" w:type="dxa"/>
            <w:gridSpan w:val="2"/>
            <w:vAlign w:val="center"/>
          </w:tcPr>
          <w:p w14:paraId="550D6180">
            <w:pPr>
              <w:jc w:val="center"/>
              <w:rPr>
                <w:color w:val="auto"/>
                <w:sz w:val="21"/>
                <w:szCs w:val="21"/>
                <w:highlight w:val="none"/>
              </w:rPr>
            </w:pPr>
            <w:r>
              <w:rPr>
                <w:color w:val="auto"/>
                <w:sz w:val="21"/>
                <w:szCs w:val="21"/>
                <w:highlight w:val="none"/>
              </w:rPr>
              <w:t>开、竣工日期</w:t>
            </w:r>
          </w:p>
        </w:tc>
        <w:tc>
          <w:tcPr>
            <w:tcW w:w="1547" w:type="dxa"/>
            <w:gridSpan w:val="2"/>
            <w:vAlign w:val="center"/>
          </w:tcPr>
          <w:p w14:paraId="0CFE0660">
            <w:pPr>
              <w:jc w:val="center"/>
              <w:rPr>
                <w:color w:val="auto"/>
                <w:sz w:val="21"/>
                <w:szCs w:val="21"/>
                <w:highlight w:val="none"/>
              </w:rPr>
            </w:pPr>
            <w:r>
              <w:rPr>
                <w:color w:val="auto"/>
                <w:sz w:val="21"/>
                <w:szCs w:val="21"/>
                <w:highlight w:val="none"/>
              </w:rPr>
              <w:t>在建或已完</w:t>
            </w:r>
          </w:p>
        </w:tc>
        <w:tc>
          <w:tcPr>
            <w:tcW w:w="1548" w:type="dxa"/>
            <w:gridSpan w:val="2"/>
            <w:vAlign w:val="center"/>
          </w:tcPr>
          <w:p w14:paraId="50A028D5">
            <w:pPr>
              <w:jc w:val="center"/>
              <w:rPr>
                <w:color w:val="auto"/>
                <w:sz w:val="21"/>
                <w:szCs w:val="21"/>
                <w:highlight w:val="none"/>
              </w:rPr>
            </w:pPr>
            <w:r>
              <w:rPr>
                <w:color w:val="auto"/>
                <w:sz w:val="21"/>
                <w:szCs w:val="21"/>
                <w:highlight w:val="none"/>
              </w:rPr>
              <w:t>工程质量</w:t>
            </w:r>
          </w:p>
        </w:tc>
      </w:tr>
      <w:tr w14:paraId="7D43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7B8F489D">
            <w:pPr>
              <w:jc w:val="center"/>
              <w:rPr>
                <w:color w:val="auto"/>
                <w:sz w:val="21"/>
                <w:szCs w:val="21"/>
                <w:highlight w:val="none"/>
              </w:rPr>
            </w:pPr>
          </w:p>
        </w:tc>
        <w:tc>
          <w:tcPr>
            <w:tcW w:w="1548" w:type="dxa"/>
            <w:vAlign w:val="center"/>
          </w:tcPr>
          <w:p w14:paraId="512C8B6D">
            <w:pPr>
              <w:jc w:val="center"/>
              <w:rPr>
                <w:color w:val="auto"/>
                <w:sz w:val="21"/>
                <w:szCs w:val="21"/>
                <w:highlight w:val="none"/>
              </w:rPr>
            </w:pPr>
          </w:p>
        </w:tc>
        <w:tc>
          <w:tcPr>
            <w:tcW w:w="1547" w:type="dxa"/>
            <w:gridSpan w:val="2"/>
            <w:vAlign w:val="center"/>
          </w:tcPr>
          <w:p w14:paraId="73CE8C4D">
            <w:pPr>
              <w:jc w:val="center"/>
              <w:rPr>
                <w:color w:val="auto"/>
                <w:sz w:val="21"/>
                <w:szCs w:val="21"/>
                <w:highlight w:val="none"/>
              </w:rPr>
            </w:pPr>
          </w:p>
        </w:tc>
        <w:tc>
          <w:tcPr>
            <w:tcW w:w="1548" w:type="dxa"/>
            <w:gridSpan w:val="2"/>
            <w:vAlign w:val="center"/>
          </w:tcPr>
          <w:p w14:paraId="5A6F804C">
            <w:pPr>
              <w:jc w:val="center"/>
              <w:rPr>
                <w:color w:val="auto"/>
                <w:sz w:val="21"/>
                <w:szCs w:val="21"/>
                <w:highlight w:val="none"/>
              </w:rPr>
            </w:pPr>
          </w:p>
        </w:tc>
        <w:tc>
          <w:tcPr>
            <w:tcW w:w="1547" w:type="dxa"/>
            <w:gridSpan w:val="2"/>
            <w:vAlign w:val="center"/>
          </w:tcPr>
          <w:p w14:paraId="736ED1A5">
            <w:pPr>
              <w:jc w:val="center"/>
              <w:rPr>
                <w:color w:val="auto"/>
                <w:sz w:val="21"/>
                <w:szCs w:val="21"/>
                <w:highlight w:val="none"/>
              </w:rPr>
            </w:pPr>
          </w:p>
        </w:tc>
        <w:tc>
          <w:tcPr>
            <w:tcW w:w="1548" w:type="dxa"/>
            <w:gridSpan w:val="2"/>
            <w:vAlign w:val="center"/>
          </w:tcPr>
          <w:p w14:paraId="57CCF03D">
            <w:pPr>
              <w:jc w:val="center"/>
              <w:rPr>
                <w:color w:val="auto"/>
                <w:sz w:val="21"/>
                <w:szCs w:val="21"/>
                <w:highlight w:val="none"/>
              </w:rPr>
            </w:pPr>
          </w:p>
        </w:tc>
      </w:tr>
      <w:tr w14:paraId="1BD8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45A22576">
            <w:pPr>
              <w:jc w:val="center"/>
              <w:rPr>
                <w:color w:val="auto"/>
                <w:sz w:val="21"/>
                <w:szCs w:val="21"/>
                <w:highlight w:val="none"/>
              </w:rPr>
            </w:pPr>
          </w:p>
        </w:tc>
        <w:tc>
          <w:tcPr>
            <w:tcW w:w="1548" w:type="dxa"/>
            <w:vAlign w:val="center"/>
          </w:tcPr>
          <w:p w14:paraId="3E749F11">
            <w:pPr>
              <w:jc w:val="center"/>
              <w:rPr>
                <w:color w:val="auto"/>
                <w:sz w:val="21"/>
                <w:szCs w:val="21"/>
                <w:highlight w:val="none"/>
              </w:rPr>
            </w:pPr>
          </w:p>
        </w:tc>
        <w:tc>
          <w:tcPr>
            <w:tcW w:w="1547" w:type="dxa"/>
            <w:gridSpan w:val="2"/>
            <w:vAlign w:val="center"/>
          </w:tcPr>
          <w:p w14:paraId="376D7114">
            <w:pPr>
              <w:jc w:val="center"/>
              <w:rPr>
                <w:color w:val="auto"/>
                <w:sz w:val="21"/>
                <w:szCs w:val="21"/>
                <w:highlight w:val="none"/>
              </w:rPr>
            </w:pPr>
          </w:p>
        </w:tc>
        <w:tc>
          <w:tcPr>
            <w:tcW w:w="1548" w:type="dxa"/>
            <w:gridSpan w:val="2"/>
            <w:vAlign w:val="center"/>
          </w:tcPr>
          <w:p w14:paraId="5E00A3EA">
            <w:pPr>
              <w:jc w:val="center"/>
              <w:rPr>
                <w:color w:val="auto"/>
                <w:sz w:val="21"/>
                <w:szCs w:val="21"/>
                <w:highlight w:val="none"/>
              </w:rPr>
            </w:pPr>
          </w:p>
        </w:tc>
        <w:tc>
          <w:tcPr>
            <w:tcW w:w="1547" w:type="dxa"/>
            <w:gridSpan w:val="2"/>
            <w:vAlign w:val="center"/>
          </w:tcPr>
          <w:p w14:paraId="0CDB8B5B">
            <w:pPr>
              <w:jc w:val="center"/>
              <w:rPr>
                <w:color w:val="auto"/>
                <w:sz w:val="21"/>
                <w:szCs w:val="21"/>
                <w:highlight w:val="none"/>
              </w:rPr>
            </w:pPr>
          </w:p>
        </w:tc>
        <w:tc>
          <w:tcPr>
            <w:tcW w:w="1548" w:type="dxa"/>
            <w:gridSpan w:val="2"/>
            <w:vAlign w:val="center"/>
          </w:tcPr>
          <w:p w14:paraId="7B421395">
            <w:pPr>
              <w:jc w:val="center"/>
              <w:rPr>
                <w:color w:val="auto"/>
                <w:sz w:val="21"/>
                <w:szCs w:val="21"/>
                <w:highlight w:val="none"/>
              </w:rPr>
            </w:pPr>
          </w:p>
        </w:tc>
      </w:tr>
      <w:tr w14:paraId="30A7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329A08F6">
            <w:pPr>
              <w:jc w:val="center"/>
              <w:rPr>
                <w:color w:val="auto"/>
                <w:sz w:val="21"/>
                <w:szCs w:val="21"/>
                <w:highlight w:val="none"/>
              </w:rPr>
            </w:pPr>
          </w:p>
        </w:tc>
        <w:tc>
          <w:tcPr>
            <w:tcW w:w="1548" w:type="dxa"/>
            <w:vAlign w:val="center"/>
          </w:tcPr>
          <w:p w14:paraId="549E8CB7">
            <w:pPr>
              <w:jc w:val="center"/>
              <w:rPr>
                <w:color w:val="auto"/>
                <w:sz w:val="21"/>
                <w:szCs w:val="21"/>
                <w:highlight w:val="none"/>
              </w:rPr>
            </w:pPr>
          </w:p>
        </w:tc>
        <w:tc>
          <w:tcPr>
            <w:tcW w:w="1547" w:type="dxa"/>
            <w:gridSpan w:val="2"/>
            <w:vAlign w:val="center"/>
          </w:tcPr>
          <w:p w14:paraId="71BCA991">
            <w:pPr>
              <w:jc w:val="center"/>
              <w:rPr>
                <w:color w:val="auto"/>
                <w:sz w:val="21"/>
                <w:szCs w:val="21"/>
                <w:highlight w:val="none"/>
              </w:rPr>
            </w:pPr>
          </w:p>
        </w:tc>
        <w:tc>
          <w:tcPr>
            <w:tcW w:w="1548" w:type="dxa"/>
            <w:gridSpan w:val="2"/>
            <w:vAlign w:val="center"/>
          </w:tcPr>
          <w:p w14:paraId="345AF6E8">
            <w:pPr>
              <w:jc w:val="center"/>
              <w:rPr>
                <w:color w:val="auto"/>
                <w:sz w:val="21"/>
                <w:szCs w:val="21"/>
                <w:highlight w:val="none"/>
              </w:rPr>
            </w:pPr>
          </w:p>
        </w:tc>
        <w:tc>
          <w:tcPr>
            <w:tcW w:w="1547" w:type="dxa"/>
            <w:gridSpan w:val="2"/>
            <w:vAlign w:val="center"/>
          </w:tcPr>
          <w:p w14:paraId="00DB1178">
            <w:pPr>
              <w:jc w:val="center"/>
              <w:rPr>
                <w:color w:val="auto"/>
                <w:sz w:val="21"/>
                <w:szCs w:val="21"/>
                <w:highlight w:val="none"/>
              </w:rPr>
            </w:pPr>
          </w:p>
        </w:tc>
        <w:tc>
          <w:tcPr>
            <w:tcW w:w="1548" w:type="dxa"/>
            <w:gridSpan w:val="2"/>
            <w:vAlign w:val="center"/>
          </w:tcPr>
          <w:p w14:paraId="7774EE00">
            <w:pPr>
              <w:jc w:val="center"/>
              <w:rPr>
                <w:color w:val="auto"/>
                <w:sz w:val="21"/>
                <w:szCs w:val="21"/>
                <w:highlight w:val="none"/>
              </w:rPr>
            </w:pPr>
          </w:p>
        </w:tc>
      </w:tr>
      <w:tr w14:paraId="4529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65EAB303">
            <w:pPr>
              <w:jc w:val="center"/>
              <w:rPr>
                <w:color w:val="auto"/>
                <w:sz w:val="21"/>
                <w:szCs w:val="21"/>
                <w:highlight w:val="none"/>
              </w:rPr>
            </w:pPr>
          </w:p>
        </w:tc>
        <w:tc>
          <w:tcPr>
            <w:tcW w:w="1548" w:type="dxa"/>
            <w:vAlign w:val="center"/>
          </w:tcPr>
          <w:p w14:paraId="14EB06C4">
            <w:pPr>
              <w:jc w:val="center"/>
              <w:rPr>
                <w:color w:val="auto"/>
                <w:sz w:val="21"/>
                <w:szCs w:val="21"/>
                <w:highlight w:val="none"/>
              </w:rPr>
            </w:pPr>
          </w:p>
        </w:tc>
        <w:tc>
          <w:tcPr>
            <w:tcW w:w="1547" w:type="dxa"/>
            <w:gridSpan w:val="2"/>
            <w:vAlign w:val="center"/>
          </w:tcPr>
          <w:p w14:paraId="1D4A873E">
            <w:pPr>
              <w:jc w:val="center"/>
              <w:rPr>
                <w:color w:val="auto"/>
                <w:sz w:val="21"/>
                <w:szCs w:val="21"/>
                <w:highlight w:val="none"/>
              </w:rPr>
            </w:pPr>
          </w:p>
        </w:tc>
        <w:tc>
          <w:tcPr>
            <w:tcW w:w="1548" w:type="dxa"/>
            <w:gridSpan w:val="2"/>
            <w:vAlign w:val="center"/>
          </w:tcPr>
          <w:p w14:paraId="14AEABDD">
            <w:pPr>
              <w:jc w:val="center"/>
              <w:rPr>
                <w:color w:val="auto"/>
                <w:sz w:val="21"/>
                <w:szCs w:val="21"/>
                <w:highlight w:val="none"/>
              </w:rPr>
            </w:pPr>
          </w:p>
        </w:tc>
        <w:tc>
          <w:tcPr>
            <w:tcW w:w="1547" w:type="dxa"/>
            <w:gridSpan w:val="2"/>
            <w:vAlign w:val="center"/>
          </w:tcPr>
          <w:p w14:paraId="4AD4CB57">
            <w:pPr>
              <w:jc w:val="center"/>
              <w:rPr>
                <w:color w:val="auto"/>
                <w:sz w:val="21"/>
                <w:szCs w:val="21"/>
                <w:highlight w:val="none"/>
              </w:rPr>
            </w:pPr>
          </w:p>
        </w:tc>
        <w:tc>
          <w:tcPr>
            <w:tcW w:w="1548" w:type="dxa"/>
            <w:gridSpan w:val="2"/>
            <w:vAlign w:val="center"/>
          </w:tcPr>
          <w:p w14:paraId="0AF9CE99">
            <w:pPr>
              <w:jc w:val="center"/>
              <w:rPr>
                <w:color w:val="auto"/>
                <w:sz w:val="21"/>
                <w:szCs w:val="21"/>
                <w:highlight w:val="none"/>
              </w:rPr>
            </w:pPr>
          </w:p>
        </w:tc>
      </w:tr>
    </w:tbl>
    <w:p w14:paraId="3197A88B">
      <w:pPr>
        <w:spacing w:line="360" w:lineRule="auto"/>
        <w:rPr>
          <w:color w:val="auto"/>
          <w:sz w:val="21"/>
          <w:szCs w:val="22"/>
          <w:highlight w:val="none"/>
        </w:rPr>
      </w:pPr>
    </w:p>
    <w:p w14:paraId="52F0B830">
      <w:pPr>
        <w:spacing w:line="360" w:lineRule="auto"/>
        <w:rPr>
          <w:rFonts w:eastAsia="楷体_GB2312"/>
          <w:color w:val="auto"/>
          <w:sz w:val="21"/>
          <w:szCs w:val="21"/>
          <w:highlight w:val="none"/>
        </w:rPr>
      </w:pPr>
      <w:r>
        <w:rPr>
          <w:rFonts w:eastAsia="楷体_GB2312"/>
          <w:color w:val="auto"/>
          <w:sz w:val="21"/>
          <w:szCs w:val="21"/>
          <w:highlight w:val="none"/>
        </w:rPr>
        <w:t>备注：</w:t>
      </w:r>
    </w:p>
    <w:p w14:paraId="00A8EAA4">
      <w:pPr>
        <w:spacing w:line="360" w:lineRule="auto"/>
        <w:ind w:firstLine="420" w:firstLineChars="200"/>
        <w:rPr>
          <w:rFonts w:eastAsia="楷体_GB2312"/>
          <w:color w:val="auto"/>
          <w:sz w:val="21"/>
          <w:szCs w:val="21"/>
          <w:highlight w:val="none"/>
        </w:rPr>
      </w:pPr>
      <w:r>
        <w:rPr>
          <w:rFonts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技术负责人资格证和已完工程</w:t>
      </w:r>
      <w:r>
        <w:rPr>
          <w:rFonts w:eastAsia="楷体_GB2312"/>
          <w:color w:val="auto"/>
          <w:sz w:val="21"/>
          <w:szCs w:val="21"/>
          <w:highlight w:val="none"/>
        </w:rPr>
        <w:t>中标通知书</w:t>
      </w:r>
      <w:r>
        <w:rPr>
          <w:rFonts w:hint="eastAsia" w:eastAsia="楷体_GB2312"/>
          <w:color w:val="auto"/>
          <w:sz w:val="21"/>
          <w:szCs w:val="21"/>
          <w:highlight w:val="none"/>
        </w:rPr>
        <w:t>（如有）、</w:t>
      </w:r>
      <w:r>
        <w:rPr>
          <w:rFonts w:eastAsia="楷体_GB2312"/>
          <w:color w:val="auto"/>
          <w:sz w:val="21"/>
          <w:szCs w:val="21"/>
          <w:highlight w:val="none"/>
        </w:rPr>
        <w:t>工程合同协议书</w:t>
      </w:r>
      <w:r>
        <w:rPr>
          <w:rFonts w:hint="eastAsia" w:eastAsia="楷体_GB2312"/>
          <w:color w:val="auto"/>
          <w:sz w:val="21"/>
          <w:szCs w:val="21"/>
          <w:highlight w:val="none"/>
        </w:rPr>
        <w:t>的复印件，以及磋商单位认为需要增加的其他证明材料复印件，以上复印件均须加盖磋商单位单位公章。</w:t>
      </w:r>
    </w:p>
    <w:p w14:paraId="4E2C62CF">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2、在建工程和该项目经理在磋商单位以外的其他单位完成的工程项目，其相关证明材料不需提供复印件。</w:t>
      </w:r>
    </w:p>
    <w:p w14:paraId="606114B3">
      <w:pPr>
        <w:rPr>
          <w:color w:val="auto"/>
          <w:sz w:val="21"/>
          <w:szCs w:val="21"/>
          <w:highlight w:val="none"/>
        </w:rPr>
      </w:pPr>
    </w:p>
    <w:p w14:paraId="519C318E">
      <w:pPr>
        <w:rPr>
          <w:color w:val="auto"/>
          <w:sz w:val="21"/>
          <w:szCs w:val="21"/>
          <w:highlight w:val="none"/>
        </w:rPr>
      </w:pPr>
    </w:p>
    <w:p w14:paraId="23283BC8">
      <w:pPr>
        <w:pStyle w:val="31"/>
        <w:spacing w:line="360" w:lineRule="auto"/>
        <w:rPr>
          <w:rFonts w:ascii="宋体" w:hAnsi="宋体"/>
          <w:b/>
          <w:color w:val="auto"/>
          <w:sz w:val="32"/>
          <w:szCs w:val="32"/>
          <w:highlight w:val="none"/>
        </w:rPr>
      </w:pPr>
    </w:p>
    <w:p w14:paraId="635C834E">
      <w:pPr>
        <w:pStyle w:val="31"/>
        <w:spacing w:line="360" w:lineRule="auto"/>
        <w:jc w:val="center"/>
        <w:rPr>
          <w:rFonts w:ascii="宋体" w:hAnsi="宋体"/>
          <w:b/>
          <w:color w:val="auto"/>
          <w:sz w:val="32"/>
          <w:szCs w:val="32"/>
          <w:highlight w:val="none"/>
        </w:rPr>
      </w:pPr>
    </w:p>
    <w:p w14:paraId="3DB32BD2">
      <w:pPr>
        <w:pStyle w:val="32"/>
        <w:rPr>
          <w:rFonts w:ascii="宋体" w:hAnsi="宋体"/>
          <w:b/>
          <w:color w:val="auto"/>
          <w:sz w:val="32"/>
          <w:szCs w:val="32"/>
          <w:highlight w:val="none"/>
        </w:rPr>
      </w:pPr>
    </w:p>
    <w:p w14:paraId="40CCBE68">
      <w:pPr>
        <w:pStyle w:val="31"/>
        <w:rPr>
          <w:rFonts w:ascii="宋体" w:hAnsi="宋体"/>
          <w:b/>
          <w:color w:val="auto"/>
          <w:sz w:val="28"/>
          <w:szCs w:val="28"/>
          <w:highlight w:val="none"/>
        </w:rPr>
      </w:pPr>
    </w:p>
    <w:p w14:paraId="6FAC4399">
      <w:pPr>
        <w:pStyle w:val="32"/>
        <w:rPr>
          <w:rFonts w:ascii="宋体" w:hAnsi="宋体"/>
          <w:b/>
          <w:color w:val="auto"/>
          <w:sz w:val="28"/>
          <w:szCs w:val="28"/>
          <w:highlight w:val="none"/>
        </w:rPr>
      </w:pPr>
    </w:p>
    <w:p w14:paraId="43FD9D15">
      <w:pPr>
        <w:pStyle w:val="31"/>
        <w:rPr>
          <w:rFonts w:ascii="宋体" w:hAnsi="宋体"/>
          <w:b/>
          <w:color w:val="auto"/>
          <w:sz w:val="28"/>
          <w:szCs w:val="28"/>
          <w:highlight w:val="none"/>
        </w:rPr>
      </w:pPr>
    </w:p>
    <w:p w14:paraId="14AD2044">
      <w:pPr>
        <w:pStyle w:val="32"/>
        <w:rPr>
          <w:rFonts w:ascii="宋体" w:hAnsi="宋体"/>
          <w:b/>
          <w:color w:val="auto"/>
          <w:sz w:val="28"/>
          <w:szCs w:val="28"/>
          <w:highlight w:val="none"/>
        </w:rPr>
      </w:pPr>
    </w:p>
    <w:p w14:paraId="78FDE37A">
      <w:pPr>
        <w:pStyle w:val="31"/>
        <w:rPr>
          <w:rFonts w:ascii="宋体" w:hAnsi="宋体"/>
          <w:b/>
          <w:color w:val="auto"/>
          <w:sz w:val="28"/>
          <w:szCs w:val="28"/>
          <w:highlight w:val="none"/>
        </w:rPr>
      </w:pPr>
    </w:p>
    <w:p w14:paraId="6C92E004">
      <w:pPr>
        <w:pStyle w:val="32"/>
        <w:rPr>
          <w:color w:val="auto"/>
        </w:rPr>
      </w:pPr>
    </w:p>
    <w:p w14:paraId="7A01FC7E">
      <w:pPr>
        <w:pStyle w:val="31"/>
        <w:rPr>
          <w:rFonts w:ascii="宋体" w:hAnsi="宋体"/>
          <w:b/>
          <w:color w:val="auto"/>
          <w:sz w:val="28"/>
          <w:szCs w:val="28"/>
          <w:highlight w:val="none"/>
        </w:rPr>
      </w:pPr>
    </w:p>
    <w:p w14:paraId="3A2962C0">
      <w:pPr>
        <w:pStyle w:val="32"/>
        <w:rPr>
          <w:color w:val="auto"/>
          <w:highlight w:val="none"/>
        </w:rPr>
      </w:pPr>
    </w:p>
    <w:p w14:paraId="0527D263">
      <w:pPr>
        <w:spacing w:line="360" w:lineRule="auto"/>
        <w:jc w:val="center"/>
        <w:outlineLvl w:val="0"/>
        <w:rPr>
          <w:rFonts w:ascii="宋体" w:hAnsi="宋体"/>
          <w:b/>
          <w:color w:val="auto"/>
          <w:sz w:val="36"/>
          <w:highlight w:val="none"/>
        </w:rPr>
      </w:pPr>
      <w:bookmarkStart w:id="135" w:name="_Toc26801"/>
      <w:r>
        <w:rPr>
          <w:rFonts w:ascii="宋体" w:hAnsi="宋体"/>
          <w:b/>
          <w:color w:val="auto"/>
          <w:sz w:val="32"/>
          <w:szCs w:val="32"/>
          <w:highlight w:val="none"/>
        </w:rPr>
        <w:t xml:space="preserve">第五章  </w:t>
      </w:r>
      <w:r>
        <w:rPr>
          <w:rFonts w:hint="eastAsia" w:ascii="宋体" w:hAnsi="宋体"/>
          <w:b/>
          <w:color w:val="auto"/>
          <w:sz w:val="32"/>
          <w:szCs w:val="32"/>
          <w:highlight w:val="none"/>
        </w:rPr>
        <w:t>合同格式</w:t>
      </w:r>
      <w:bookmarkEnd w:id="135"/>
    </w:p>
    <w:p w14:paraId="7AF385B1">
      <w:pPr>
        <w:spacing w:line="360" w:lineRule="auto"/>
        <w:jc w:val="center"/>
        <w:rPr>
          <w:rFonts w:ascii="宋体" w:hAnsi="宋体"/>
          <w:color w:val="auto"/>
          <w:highlight w:val="none"/>
        </w:rPr>
      </w:pPr>
    </w:p>
    <w:p w14:paraId="7D9885D5">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（注：1、本合同书供签订正式合同时参考用，正式合同书应包括此参考格式之内容。</w:t>
      </w:r>
    </w:p>
    <w:p w14:paraId="0A8201C3">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2、合同签订双方可根据项目的具体要求进行修订，但合同条款不得与采购文件和成交供应商响应文件有实质性偏离。）</w:t>
      </w:r>
    </w:p>
    <w:p w14:paraId="6B26CC3D">
      <w:pPr>
        <w:spacing w:line="400" w:lineRule="exact"/>
        <w:jc w:val="center"/>
        <w:rPr>
          <w:rFonts w:hint="eastAsia" w:ascii="宋体" w:hAnsi="宋体" w:cs="宋体"/>
          <w:color w:val="auto"/>
          <w:highlight w:val="none"/>
        </w:rPr>
      </w:pPr>
    </w:p>
    <w:p w14:paraId="5AA5C6C2">
      <w:pPr>
        <w:pStyle w:val="15"/>
        <w:rPr>
          <w:rFonts w:hint="eastAsia" w:ascii="宋体" w:hAnsi="宋体" w:cs="宋体"/>
          <w:color w:val="auto"/>
          <w:highlight w:val="none"/>
        </w:rPr>
      </w:pPr>
    </w:p>
    <w:p w14:paraId="464328E7">
      <w:pPr>
        <w:rPr>
          <w:rFonts w:hint="eastAsia" w:ascii="宋体" w:hAnsi="宋体" w:cs="宋体"/>
          <w:color w:val="auto"/>
          <w:highlight w:val="none"/>
        </w:rPr>
      </w:pPr>
    </w:p>
    <w:p w14:paraId="278A7E3A">
      <w:pPr>
        <w:pStyle w:val="15"/>
        <w:rPr>
          <w:rFonts w:hint="eastAsia" w:ascii="宋体" w:hAnsi="宋体" w:cs="宋体"/>
          <w:color w:val="auto"/>
          <w:highlight w:val="none"/>
        </w:rPr>
      </w:pPr>
    </w:p>
    <w:p w14:paraId="1600EE74">
      <w:pPr>
        <w:rPr>
          <w:rFonts w:hint="eastAsia" w:ascii="宋体" w:hAnsi="宋体" w:cs="宋体"/>
          <w:color w:val="auto"/>
          <w:highlight w:val="none"/>
        </w:rPr>
      </w:pPr>
    </w:p>
    <w:p w14:paraId="5228C84B">
      <w:pPr>
        <w:pStyle w:val="15"/>
        <w:rPr>
          <w:rFonts w:hint="eastAsia" w:ascii="宋体" w:hAnsi="宋体" w:cs="宋体"/>
          <w:color w:val="auto"/>
          <w:highlight w:val="none"/>
        </w:rPr>
      </w:pPr>
    </w:p>
    <w:p w14:paraId="4955E06F">
      <w:pPr>
        <w:rPr>
          <w:rFonts w:hint="eastAsia" w:ascii="宋体" w:hAnsi="宋体" w:cs="宋体"/>
          <w:color w:val="auto"/>
          <w:highlight w:val="none"/>
        </w:rPr>
      </w:pPr>
    </w:p>
    <w:p w14:paraId="2795F3FF">
      <w:pPr>
        <w:pStyle w:val="15"/>
        <w:rPr>
          <w:rFonts w:hint="eastAsia" w:ascii="宋体" w:hAnsi="宋体" w:cs="宋体"/>
          <w:color w:val="auto"/>
          <w:highlight w:val="none"/>
        </w:rPr>
      </w:pPr>
    </w:p>
    <w:p w14:paraId="2D1A3A99">
      <w:pPr>
        <w:rPr>
          <w:rFonts w:hint="eastAsia" w:ascii="宋体" w:hAnsi="宋体" w:cs="宋体"/>
          <w:color w:val="auto"/>
          <w:highlight w:val="none"/>
        </w:rPr>
      </w:pPr>
    </w:p>
    <w:p w14:paraId="59F0AF48">
      <w:pPr>
        <w:pStyle w:val="15"/>
        <w:rPr>
          <w:rFonts w:hint="eastAsia" w:ascii="宋体" w:hAnsi="宋体" w:cs="宋体"/>
          <w:color w:val="auto"/>
          <w:highlight w:val="none"/>
        </w:rPr>
      </w:pPr>
    </w:p>
    <w:p w14:paraId="53298C06">
      <w:pPr>
        <w:rPr>
          <w:rFonts w:hint="eastAsia" w:ascii="宋体" w:hAnsi="宋体" w:cs="宋体"/>
          <w:color w:val="auto"/>
          <w:highlight w:val="none"/>
        </w:rPr>
      </w:pPr>
    </w:p>
    <w:p w14:paraId="02D848CD">
      <w:pPr>
        <w:pStyle w:val="15"/>
        <w:rPr>
          <w:rFonts w:hint="eastAsia" w:ascii="宋体" w:hAnsi="宋体" w:cs="宋体"/>
          <w:color w:val="auto"/>
          <w:highlight w:val="none"/>
        </w:rPr>
      </w:pPr>
    </w:p>
    <w:p w14:paraId="43990F6F">
      <w:pPr>
        <w:rPr>
          <w:rFonts w:hint="eastAsia" w:ascii="宋体" w:hAnsi="宋体" w:cs="宋体"/>
          <w:color w:val="auto"/>
          <w:highlight w:val="none"/>
        </w:rPr>
      </w:pPr>
    </w:p>
    <w:p w14:paraId="64F4DB02">
      <w:pPr>
        <w:pStyle w:val="15"/>
        <w:rPr>
          <w:rFonts w:hint="eastAsia" w:ascii="宋体" w:hAnsi="宋体" w:cs="宋体"/>
          <w:color w:val="auto"/>
          <w:highlight w:val="none"/>
        </w:rPr>
      </w:pPr>
    </w:p>
    <w:p w14:paraId="7F94BE18">
      <w:pPr>
        <w:rPr>
          <w:rFonts w:hint="eastAsia" w:ascii="宋体" w:hAnsi="宋体" w:cs="宋体"/>
          <w:color w:val="auto"/>
          <w:highlight w:val="none"/>
        </w:rPr>
      </w:pPr>
    </w:p>
    <w:p w14:paraId="4FCE73EC">
      <w:pPr>
        <w:pStyle w:val="15"/>
        <w:rPr>
          <w:rFonts w:hint="eastAsia" w:ascii="宋体" w:hAnsi="宋体" w:cs="宋体"/>
          <w:color w:val="auto"/>
          <w:highlight w:val="none"/>
        </w:rPr>
      </w:pPr>
    </w:p>
    <w:p w14:paraId="687D3EA7">
      <w:pPr>
        <w:rPr>
          <w:rFonts w:hint="eastAsia" w:ascii="宋体" w:hAnsi="宋体" w:cs="宋体"/>
          <w:color w:val="auto"/>
          <w:highlight w:val="none"/>
        </w:rPr>
      </w:pPr>
    </w:p>
    <w:p w14:paraId="300F809D">
      <w:pPr>
        <w:pStyle w:val="15"/>
        <w:rPr>
          <w:rFonts w:hint="eastAsia" w:ascii="宋体" w:hAnsi="宋体" w:cs="宋体"/>
          <w:color w:val="auto"/>
          <w:highlight w:val="none"/>
        </w:rPr>
      </w:pPr>
    </w:p>
    <w:p w14:paraId="56760A90">
      <w:pPr>
        <w:rPr>
          <w:rFonts w:hint="eastAsia" w:ascii="宋体" w:hAnsi="宋体" w:cs="宋体"/>
          <w:color w:val="auto"/>
          <w:highlight w:val="none"/>
        </w:rPr>
      </w:pPr>
    </w:p>
    <w:p w14:paraId="583D5BD0">
      <w:pPr>
        <w:pStyle w:val="15"/>
        <w:rPr>
          <w:rFonts w:hint="eastAsia" w:ascii="宋体" w:hAnsi="宋体" w:cs="宋体"/>
          <w:color w:val="auto"/>
          <w:highlight w:val="none"/>
        </w:rPr>
      </w:pPr>
    </w:p>
    <w:p w14:paraId="08BAC8E5">
      <w:pPr>
        <w:rPr>
          <w:rFonts w:hint="eastAsia" w:ascii="宋体" w:hAnsi="宋体" w:cs="宋体"/>
          <w:color w:val="auto"/>
          <w:highlight w:val="none"/>
        </w:rPr>
      </w:pPr>
    </w:p>
    <w:p w14:paraId="5BE1459F">
      <w:pPr>
        <w:pStyle w:val="15"/>
        <w:rPr>
          <w:rFonts w:hint="eastAsia" w:ascii="宋体" w:hAnsi="宋体" w:cs="宋体"/>
          <w:color w:val="auto"/>
          <w:highlight w:val="none"/>
        </w:rPr>
      </w:pPr>
    </w:p>
    <w:p w14:paraId="43D99BEE">
      <w:pPr>
        <w:rPr>
          <w:rFonts w:hint="eastAsia" w:ascii="宋体" w:hAnsi="宋体" w:cs="宋体"/>
          <w:color w:val="auto"/>
          <w:highlight w:val="none"/>
        </w:rPr>
      </w:pPr>
    </w:p>
    <w:p w14:paraId="093CDCBC">
      <w:pPr>
        <w:pStyle w:val="15"/>
        <w:rPr>
          <w:rFonts w:hint="eastAsia" w:ascii="宋体" w:hAnsi="宋体" w:cs="宋体"/>
          <w:color w:val="auto"/>
          <w:highlight w:val="none"/>
        </w:rPr>
      </w:pPr>
    </w:p>
    <w:p w14:paraId="5AD0492C">
      <w:pPr>
        <w:rPr>
          <w:rFonts w:hint="eastAsia" w:ascii="宋体" w:hAnsi="宋体" w:cs="宋体"/>
          <w:color w:val="auto"/>
          <w:highlight w:val="none"/>
        </w:rPr>
      </w:pPr>
    </w:p>
    <w:p w14:paraId="7DF4336B">
      <w:pPr>
        <w:pStyle w:val="15"/>
        <w:rPr>
          <w:rFonts w:hint="eastAsia" w:ascii="宋体" w:hAnsi="宋体" w:cs="宋体"/>
          <w:color w:val="auto"/>
          <w:highlight w:val="none"/>
        </w:rPr>
      </w:pPr>
    </w:p>
    <w:p w14:paraId="506AE743">
      <w:pPr>
        <w:rPr>
          <w:rFonts w:hint="eastAsia" w:ascii="宋体" w:hAnsi="宋体" w:cs="宋体"/>
          <w:color w:val="auto"/>
          <w:highlight w:val="none"/>
        </w:rPr>
      </w:pPr>
    </w:p>
    <w:p w14:paraId="7242285F">
      <w:pPr>
        <w:pStyle w:val="15"/>
        <w:rPr>
          <w:rFonts w:hint="eastAsia" w:ascii="宋体" w:hAnsi="宋体" w:cs="宋体"/>
          <w:color w:val="auto"/>
          <w:highlight w:val="none"/>
        </w:rPr>
      </w:pPr>
    </w:p>
    <w:p w14:paraId="4DA31063">
      <w:pPr>
        <w:rPr>
          <w:rFonts w:hint="eastAsia" w:ascii="宋体" w:hAnsi="宋体" w:cs="宋体"/>
          <w:color w:val="auto"/>
          <w:highlight w:val="none"/>
        </w:rPr>
      </w:pPr>
    </w:p>
    <w:p w14:paraId="7913A27D">
      <w:pPr>
        <w:pStyle w:val="28"/>
        <w:rPr>
          <w:rFonts w:hint="eastAsia" w:ascii="宋体" w:hAnsi="宋体" w:cs="宋体"/>
          <w:color w:val="auto"/>
          <w:highlight w:val="none"/>
        </w:rPr>
      </w:pPr>
    </w:p>
    <w:p w14:paraId="456EAC6B">
      <w:pPr>
        <w:pStyle w:val="28"/>
        <w:rPr>
          <w:rFonts w:hint="eastAsia" w:ascii="宋体" w:hAnsi="宋体" w:cs="宋体"/>
          <w:color w:val="auto"/>
          <w:highlight w:val="none"/>
        </w:rPr>
      </w:pPr>
    </w:p>
    <w:p w14:paraId="1ACC49C0">
      <w:pPr>
        <w:pStyle w:val="28"/>
        <w:rPr>
          <w:rFonts w:hint="eastAsia" w:ascii="宋体" w:hAnsi="宋体" w:cs="宋体"/>
          <w:color w:val="auto"/>
          <w:highlight w:val="none"/>
        </w:rPr>
      </w:pPr>
    </w:p>
    <w:p w14:paraId="0E9567B2">
      <w:pPr>
        <w:pStyle w:val="28"/>
        <w:rPr>
          <w:rFonts w:hint="eastAsia" w:ascii="宋体" w:hAnsi="宋体" w:cs="宋体"/>
          <w:color w:val="auto"/>
          <w:highlight w:val="none"/>
        </w:rPr>
      </w:pPr>
    </w:p>
    <w:p w14:paraId="1361ECD6">
      <w:pPr>
        <w:pStyle w:val="28"/>
        <w:rPr>
          <w:rFonts w:hint="eastAsia" w:ascii="宋体" w:hAnsi="宋体" w:cs="宋体"/>
          <w:color w:val="auto"/>
          <w:highlight w:val="none"/>
        </w:rPr>
      </w:pPr>
    </w:p>
    <w:p w14:paraId="63A6B136">
      <w:pPr>
        <w:pStyle w:val="28"/>
        <w:rPr>
          <w:rFonts w:hint="eastAsia" w:ascii="宋体" w:hAnsi="宋体" w:cs="宋体"/>
          <w:color w:val="auto"/>
          <w:highlight w:val="none"/>
        </w:rPr>
      </w:pPr>
    </w:p>
    <w:p w14:paraId="591CBBCB">
      <w:pPr>
        <w:pStyle w:val="28"/>
        <w:rPr>
          <w:rFonts w:hint="eastAsia" w:ascii="宋体" w:hAnsi="宋体" w:cs="宋体"/>
          <w:color w:val="auto"/>
          <w:highlight w:val="none"/>
        </w:rPr>
      </w:pPr>
    </w:p>
    <w:p w14:paraId="5BF933DE">
      <w:pPr>
        <w:pStyle w:val="28"/>
        <w:rPr>
          <w:rFonts w:hint="eastAsia" w:ascii="宋体" w:hAnsi="宋体" w:cs="宋体"/>
          <w:color w:val="auto"/>
          <w:highlight w:val="none"/>
        </w:rPr>
      </w:pPr>
    </w:p>
    <w:p w14:paraId="28724F01">
      <w:pPr>
        <w:pStyle w:val="28"/>
        <w:rPr>
          <w:rFonts w:hint="eastAsia" w:ascii="宋体" w:hAnsi="宋体" w:cs="宋体"/>
          <w:color w:val="auto"/>
          <w:highlight w:val="none"/>
        </w:rPr>
      </w:pPr>
    </w:p>
    <w:p w14:paraId="3261CC95">
      <w:pPr>
        <w:pStyle w:val="28"/>
        <w:rPr>
          <w:rFonts w:hint="eastAsia" w:ascii="宋体" w:hAnsi="宋体" w:eastAsia="宋体" w:cs="宋体"/>
          <w:b/>
          <w:color w:val="auto"/>
          <w:sz w:val="32"/>
          <w:szCs w:val="32"/>
        </w:rPr>
      </w:pPr>
    </w:p>
    <w:p w14:paraId="15E8F792">
      <w:pPr>
        <w:pStyle w:val="28"/>
        <w:rPr>
          <w:rFonts w:hint="eastAsia" w:ascii="宋体" w:hAnsi="宋体" w:eastAsia="宋体" w:cs="宋体"/>
          <w:b/>
          <w:color w:val="auto"/>
          <w:sz w:val="32"/>
          <w:szCs w:val="32"/>
        </w:rPr>
      </w:pPr>
    </w:p>
    <w:p w14:paraId="313F8602">
      <w:pPr>
        <w:spacing w:line="360" w:lineRule="auto"/>
        <w:jc w:val="center"/>
        <w:rPr>
          <w:rFonts w:hint="eastAsia" w:ascii="宋体" w:hAnsi="宋体" w:eastAsia="宋体" w:cs="宋体"/>
          <w:b/>
          <w:color w:val="auto"/>
          <w:sz w:val="32"/>
          <w:szCs w:val="32"/>
        </w:rPr>
      </w:pPr>
    </w:p>
    <w:p w14:paraId="74C5D381">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36"/>
          <w:szCs w:val="36"/>
          <w:highlight w:val="none"/>
        </w:rPr>
      </w:pPr>
      <w:r>
        <w:rPr>
          <w:rFonts w:hint="eastAsia" w:ascii="宋体" w:hAnsi="宋体" w:cs="宋体"/>
          <w:b/>
          <w:bCs w:val="0"/>
          <w:color w:val="auto"/>
          <w:kern w:val="0"/>
          <w:sz w:val="36"/>
          <w:szCs w:val="36"/>
          <w:highlight w:val="none"/>
          <w:lang w:val="en-US" w:eastAsia="zh-CN" w:bidi="ar"/>
        </w:rPr>
        <w:t>扶绥县东罗镇都充村新伯突屯美丽移民村建设项目</w:t>
      </w:r>
      <w:r>
        <w:rPr>
          <w:rFonts w:hint="eastAsia" w:ascii="宋体" w:hAnsi="宋体" w:eastAsia="宋体" w:cs="宋体"/>
          <w:b/>
          <w:bCs w:val="0"/>
          <w:color w:val="auto"/>
          <w:kern w:val="0"/>
          <w:sz w:val="36"/>
          <w:szCs w:val="36"/>
          <w:highlight w:val="none"/>
          <w:lang w:val="en-US" w:eastAsia="zh-CN" w:bidi="ar"/>
        </w:rPr>
        <w:t xml:space="preserve"> </w:t>
      </w:r>
    </w:p>
    <w:p w14:paraId="4E021785">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14:paraId="56C7BA56">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14:paraId="291B293B">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14:paraId="17F540E3">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14:paraId="647A5519">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建设工程施工合同</w:t>
      </w:r>
    </w:p>
    <w:p w14:paraId="786AD168">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580FE4F7">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6F95E676">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4AFDCF47">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648C7C66">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017F126C">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56B71ECE">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24"/>
          <w:szCs w:val="24"/>
          <w:highlight w:val="none"/>
        </w:rPr>
      </w:pPr>
      <w:r>
        <w:rPr>
          <w:rFonts w:hint="eastAsia" w:ascii="宋体" w:hAnsi="Courier New" w:eastAsia="宋体" w:cs="Times New Roman"/>
          <w:bCs/>
          <w:color w:val="auto"/>
          <w:spacing w:val="10"/>
          <w:kern w:val="0"/>
          <w:sz w:val="24"/>
          <w:szCs w:val="24"/>
          <w:highlight w:val="none"/>
          <w:lang w:val="en-US" w:eastAsia="zh-CN" w:bidi="ar"/>
        </w:rPr>
        <w:t xml:space="preserve"> </w:t>
      </w:r>
    </w:p>
    <w:p w14:paraId="322A0C43">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51275173">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3DA528A4">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688533E0">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b/>
          <w:bCs w:val="0"/>
          <w:color w:val="auto"/>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1C3B102A">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b/>
          <w:bCs w:val="0"/>
          <w:color w:val="auto"/>
          <w:sz w:val="36"/>
          <w:szCs w:val="36"/>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5571AA3F">
      <w:pPr>
        <w:keepNext w:val="0"/>
        <w:keepLines w:val="0"/>
        <w:widowControl w:val="0"/>
        <w:suppressLineNumbers w:val="0"/>
        <w:shd w:val="clear"/>
        <w:spacing w:before="0" w:beforeAutospacing="0" w:after="0" w:afterAutospacing="0"/>
        <w:ind w:left="0" w:right="0" w:firstLine="2811" w:firstLineChars="1000"/>
        <w:jc w:val="both"/>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中华人民共和国住房和城乡建设部</w:t>
      </w:r>
    </w:p>
    <w:p w14:paraId="7FB710AE">
      <w:pPr>
        <w:keepNext w:val="0"/>
        <w:keepLines w:val="0"/>
        <w:widowControl w:val="0"/>
        <w:suppressLineNumbers w:val="0"/>
        <w:shd w:val="clear"/>
        <w:spacing w:before="0" w:beforeAutospacing="0" w:after="0" w:afterAutospacing="0"/>
        <w:ind w:left="0" w:right="0" w:firstLine="2249" w:firstLineChars="800"/>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 xml:space="preserve">                          制定          </w:t>
      </w:r>
    </w:p>
    <w:p w14:paraId="16D1A745">
      <w:pPr>
        <w:keepNext w:val="0"/>
        <w:keepLines w:val="0"/>
        <w:widowControl w:val="0"/>
        <w:suppressLineNumbers w:val="0"/>
        <w:shd w:val="clear"/>
        <w:spacing w:before="0" w:beforeAutospacing="0" w:after="0" w:afterAutospacing="0" w:line="480" w:lineRule="exact"/>
        <w:ind w:left="0" w:right="66" w:rightChars="33" w:firstLine="562" w:firstLineChars="200"/>
        <w:jc w:val="both"/>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 xml:space="preserve">                中华人民共和国国家市场监督管理局 </w:t>
      </w:r>
    </w:p>
    <w:p w14:paraId="160AA8A0">
      <w:pPr>
        <w:shd w:val="clear"/>
        <w:rPr>
          <w:rFonts w:hint="eastAsia" w:ascii="Times New Roman" w:hAnsi="Times New Roman" w:eastAsia="宋体" w:cs="Times New Roman"/>
          <w:color w:val="auto"/>
          <w:highlight w:val="none"/>
        </w:rPr>
        <w:sectPr>
          <w:headerReference r:id="rId10" w:type="default"/>
          <w:footerReference r:id="rId11" w:type="default"/>
          <w:pgSz w:w="11906" w:h="16838"/>
          <w:pgMar w:top="1134" w:right="1418" w:bottom="1134" w:left="1418" w:header="567" w:footer="680" w:gutter="0"/>
          <w:pgNumType w:fmt="decimal"/>
          <w:cols w:space="720" w:num="1"/>
          <w:formProt w:val="1"/>
          <w:docGrid w:type="lines" w:linePitch="312" w:charSpace="43007"/>
        </w:sectPr>
      </w:pPr>
    </w:p>
    <w:p w14:paraId="216A3C9F">
      <w:pPr>
        <w:pStyle w:val="4"/>
        <w:widowControl/>
        <w:shd w:val="clear"/>
        <w:ind w:left="0" w:firstLine="3534" w:firstLineChars="1100"/>
        <w:rPr>
          <w:rFonts w:hint="default" w:ascii="Times New Roman" w:hAnsi="Times New Roman" w:eastAsia="宋体" w:cs="Times New Roman"/>
          <w:b/>
          <w:bCs/>
          <w:color w:val="auto"/>
          <w:kern w:val="2"/>
          <w:sz w:val="32"/>
          <w:szCs w:val="32"/>
          <w:highlight w:val="none"/>
        </w:rPr>
      </w:pPr>
      <w:bookmarkStart w:id="136" w:name="_Toc20666"/>
      <w:bookmarkEnd w:id="136"/>
      <w:bookmarkStart w:id="137" w:name="_Toc31613"/>
      <w:r>
        <w:rPr>
          <w:rFonts w:hint="eastAsia" w:ascii="宋体" w:hAnsi="宋体" w:eastAsia="宋体" w:cs="宋体"/>
          <w:b/>
          <w:bCs/>
          <w:color w:val="auto"/>
          <w:kern w:val="2"/>
          <w:sz w:val="32"/>
          <w:szCs w:val="32"/>
          <w:highlight w:val="none"/>
        </w:rPr>
        <w:t>第一部分</w:t>
      </w:r>
      <w:r>
        <w:rPr>
          <w:rFonts w:hint="default" w:ascii="Times New Roman" w:hAnsi="Times New Roman" w:eastAsia="宋体" w:cs="Times New Roman"/>
          <w:b/>
          <w:bCs/>
          <w:color w:val="auto"/>
          <w:kern w:val="2"/>
          <w:sz w:val="32"/>
          <w:szCs w:val="32"/>
          <w:highlight w:val="none"/>
        </w:rPr>
        <w:t xml:space="preserve"> </w:t>
      </w:r>
      <w:r>
        <w:rPr>
          <w:rFonts w:hint="eastAsia" w:ascii="宋体" w:hAnsi="宋体" w:eastAsia="宋体" w:cs="宋体"/>
          <w:b/>
          <w:bCs/>
          <w:color w:val="auto"/>
          <w:kern w:val="2"/>
          <w:sz w:val="32"/>
          <w:szCs w:val="32"/>
          <w:highlight w:val="none"/>
        </w:rPr>
        <w:t>协议书</w:t>
      </w:r>
      <w:bookmarkEnd w:id="137"/>
    </w:p>
    <w:p w14:paraId="1C33EDF2">
      <w:pPr>
        <w:keepNext w:val="0"/>
        <w:keepLines w:val="0"/>
        <w:widowControl w:val="0"/>
        <w:suppressLineNumbers w:val="0"/>
        <w:shd w:val="clear"/>
        <w:spacing w:before="0" w:beforeAutospacing="0" w:after="0" w:afterAutospacing="0" w:line="360" w:lineRule="auto"/>
        <w:ind w:left="0" w:right="0" w:firstLine="475"/>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发包人（全称）</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扶绥县生态移民发展中心</w:t>
      </w:r>
    </w:p>
    <w:p w14:paraId="270A3464">
      <w:pPr>
        <w:keepNext w:val="0"/>
        <w:keepLines w:val="0"/>
        <w:widowControl w:val="0"/>
        <w:suppressLineNumbers w:val="0"/>
        <w:shd w:val="clear"/>
        <w:spacing w:before="0" w:beforeAutospacing="0" w:after="0" w:afterAutospacing="0" w:line="360" w:lineRule="auto"/>
        <w:ind w:left="0" w:right="0" w:firstLine="475"/>
        <w:jc w:val="both"/>
        <w:rPr>
          <w:rFonts w:hint="default" w:ascii="Times New Roman" w:hAnsi="Times New Roman" w:eastAsia="宋体" w:cs="Times New Roman"/>
          <w:color w:val="auto"/>
          <w:sz w:val="21"/>
          <w:szCs w:val="21"/>
          <w:highlight w:val="none"/>
          <w:u w:val="single"/>
          <w:lang w:val="en-US"/>
        </w:rPr>
      </w:pPr>
      <w:r>
        <w:rPr>
          <w:rFonts w:hint="eastAsia" w:ascii="宋体" w:hAnsi="宋体" w:eastAsia="宋体" w:cs="宋体"/>
          <w:color w:val="auto"/>
          <w:kern w:val="0"/>
          <w:sz w:val="21"/>
          <w:szCs w:val="21"/>
          <w:highlight w:val="none"/>
          <w:lang w:val="en-US" w:eastAsia="zh-CN" w:bidi="ar"/>
        </w:rPr>
        <w:t>承包人（全称）</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 xml:space="preserve">      </w:t>
      </w:r>
    </w:p>
    <w:p w14:paraId="3E68CBE7">
      <w:pPr>
        <w:keepNext w:val="0"/>
        <w:keepLines w:val="0"/>
        <w:widowControl w:val="0"/>
        <w:suppressLineNumbers w:val="0"/>
        <w:shd w:val="clear"/>
        <w:spacing w:before="0" w:beforeAutospacing="0" w:after="0" w:afterAutospacing="0" w:line="360" w:lineRule="auto"/>
        <w:ind w:left="0" w:right="0" w:firstLine="475"/>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依照《中华人民共和国民法典》、《中华人民共和国建筑法》及其他有关法律、行政法规，遵循平等、自愿、公平和诚实信用的原则，双方就</w:t>
      </w:r>
      <w:r>
        <w:rPr>
          <w:rFonts w:hint="eastAsia" w:cs="Times New Roman"/>
          <w:b/>
          <w:bCs/>
          <w:color w:val="auto"/>
          <w:kern w:val="0"/>
          <w:sz w:val="21"/>
          <w:szCs w:val="21"/>
          <w:highlight w:val="none"/>
          <w:u w:val="single"/>
          <w:lang w:val="en-US" w:eastAsia="zh-CN" w:bidi="ar"/>
        </w:rPr>
        <w:t>扶绥县东罗镇都充村新伯突屯美丽移民村建设项目</w:t>
      </w:r>
      <w:r>
        <w:rPr>
          <w:rFonts w:hint="eastAsia" w:ascii="宋体" w:hAnsi="宋体" w:eastAsia="宋体" w:cs="宋体"/>
          <w:color w:val="auto"/>
          <w:kern w:val="0"/>
          <w:sz w:val="21"/>
          <w:szCs w:val="21"/>
          <w:highlight w:val="none"/>
          <w:lang w:val="en-US" w:eastAsia="zh-CN" w:bidi="ar"/>
        </w:rPr>
        <w:t>施工事项协商一致，订立本合同。</w:t>
      </w:r>
    </w:p>
    <w:p w14:paraId="11CF0EEC">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38" w:name="_Toc459738620"/>
      <w:bookmarkEnd w:id="138"/>
      <w:r>
        <w:rPr>
          <w:rFonts w:hint="eastAsia" w:ascii="宋体" w:hAnsi="宋体" w:eastAsia="宋体" w:cs="宋体"/>
          <w:b/>
          <w:bCs w:val="0"/>
          <w:color w:val="auto"/>
          <w:kern w:val="0"/>
          <w:sz w:val="21"/>
          <w:szCs w:val="21"/>
          <w:highlight w:val="none"/>
          <w:lang w:val="en-US" w:eastAsia="zh-CN" w:bidi="ar"/>
        </w:rPr>
        <w:t>一、工程概况</w:t>
      </w:r>
    </w:p>
    <w:p w14:paraId="68BAA397">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工程名称：</w:t>
      </w:r>
      <w:r>
        <w:rPr>
          <w:rFonts w:hint="eastAsia" w:cs="Times New Roman"/>
          <w:color w:val="auto"/>
          <w:kern w:val="0"/>
          <w:sz w:val="21"/>
          <w:szCs w:val="21"/>
          <w:highlight w:val="none"/>
          <w:u w:val="single"/>
          <w:lang w:val="en-US" w:eastAsia="zh-CN" w:bidi="ar"/>
        </w:rPr>
        <w:t>扶绥县东罗镇都充村新伯突屯美丽移民村建设项目</w:t>
      </w:r>
      <w:r>
        <w:rPr>
          <w:rFonts w:hint="eastAsia" w:ascii="宋体" w:hAnsi="宋体" w:eastAsia="宋体" w:cs="宋体"/>
          <w:color w:val="auto"/>
          <w:kern w:val="0"/>
          <w:sz w:val="21"/>
          <w:szCs w:val="21"/>
          <w:highlight w:val="none"/>
          <w:u w:val="single"/>
          <w:lang w:val="en-US" w:eastAsia="zh-CN" w:bidi="ar"/>
        </w:rPr>
        <w:t>。</w:t>
      </w:r>
    </w:p>
    <w:p w14:paraId="2FFE3604">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工程地点：</w:t>
      </w:r>
      <w:r>
        <w:rPr>
          <w:rFonts w:hint="eastAsia" w:cs="Times New Roman"/>
          <w:color w:val="auto"/>
          <w:kern w:val="0"/>
          <w:sz w:val="21"/>
          <w:szCs w:val="21"/>
          <w:highlight w:val="none"/>
          <w:u w:val="single"/>
          <w:lang w:val="en-US" w:eastAsia="zh-CN" w:bidi="ar"/>
        </w:rPr>
        <w:t>扶绥县东罗镇都充村那辣屯</w:t>
      </w:r>
      <w:r>
        <w:rPr>
          <w:rFonts w:hint="eastAsia" w:ascii="宋体" w:hAnsi="宋体" w:eastAsia="宋体" w:cs="宋体"/>
          <w:color w:val="auto"/>
          <w:kern w:val="0"/>
          <w:sz w:val="21"/>
          <w:szCs w:val="21"/>
          <w:highlight w:val="none"/>
          <w:u w:val="single"/>
          <w:lang w:val="en-US" w:eastAsia="zh-CN" w:bidi="ar"/>
        </w:rPr>
        <w:t>。</w:t>
      </w:r>
    </w:p>
    <w:p w14:paraId="1AB0F81A">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工程内容：</w:t>
      </w:r>
      <w:r>
        <w:rPr>
          <w:rFonts w:hint="eastAsia" w:cs="Times New Roman"/>
          <w:color w:val="auto"/>
          <w:kern w:val="0"/>
          <w:sz w:val="21"/>
          <w:szCs w:val="21"/>
          <w:highlight w:val="none"/>
          <w:u w:val="single"/>
          <w:lang w:val="en-US" w:eastAsia="zh-CN" w:bidi="ar"/>
        </w:rPr>
        <w:t>本工程为扶绥县东罗镇都充村新伯突屯美丽移民村建设项目,包括1个村1个屯，建设内容为场地硬化、人饮、廊架及亭子等设施</w:t>
      </w:r>
      <w:r>
        <w:rPr>
          <w:rFonts w:hint="eastAsia" w:ascii="Times New Roman" w:hAnsi="Times New Roman" w:eastAsia="宋体" w:cs="Times New Roman"/>
          <w:color w:val="auto"/>
          <w:kern w:val="0"/>
          <w:sz w:val="21"/>
          <w:szCs w:val="21"/>
          <w:highlight w:val="none"/>
          <w:u w:val="single"/>
          <w:lang w:val="en-US" w:eastAsia="zh-CN" w:bidi="ar"/>
        </w:rPr>
        <w:t xml:space="preserve">，以工程量清单和图纸包含的内容为准。 </w:t>
      </w:r>
    </w:p>
    <w:p w14:paraId="7D3BE95F">
      <w:pPr>
        <w:keepNext w:val="0"/>
        <w:keepLines w:val="0"/>
        <w:widowControl/>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工程立项批准文号</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广西壮族自治区生态移民发展中心关于下达2025年大中型水库移民后期扶持资金及中央水库移民扶持基金（提前批）项目建议计划投资额度的通知</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lang w:val="en-US" w:eastAsia="zh-CN" w:bidi="ar"/>
        </w:rPr>
        <w:t xml:space="preserve">        </w:t>
      </w:r>
    </w:p>
    <w:p w14:paraId="7718165F">
      <w:pPr>
        <w:keepNext w:val="0"/>
        <w:keepLines w:val="0"/>
        <w:widowControl/>
        <w:suppressLineNumbers w:val="0"/>
        <w:shd w:val="clear"/>
        <w:spacing w:before="0" w:beforeAutospacing="0" w:after="0" w:afterAutospacing="0" w:line="360" w:lineRule="auto"/>
        <w:ind w:left="0" w:right="0" w:firstLine="420" w:firstLineChars="200"/>
        <w:jc w:val="left"/>
        <w:rPr>
          <w:rFonts w:hint="default"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资金来源：</w:t>
      </w:r>
      <w:r>
        <w:rPr>
          <w:rFonts w:hint="eastAsia" w:ascii="宋体" w:hAnsi="宋体" w:cs="宋体"/>
          <w:color w:val="auto"/>
          <w:kern w:val="0"/>
          <w:sz w:val="21"/>
          <w:szCs w:val="21"/>
          <w:highlight w:val="none"/>
          <w:u w:val="single"/>
          <w:lang w:val="en-US" w:eastAsia="zh-CN" w:bidi="ar"/>
        </w:rPr>
        <w:t xml:space="preserve"> 财政资金  </w:t>
      </w:r>
      <w:r>
        <w:rPr>
          <w:rFonts w:hint="eastAsia" w:ascii="宋体" w:hAnsi="宋体" w:eastAsia="宋体" w:cs="宋体"/>
          <w:color w:val="auto"/>
          <w:kern w:val="0"/>
          <w:sz w:val="21"/>
          <w:szCs w:val="21"/>
          <w:highlight w:val="none"/>
          <w:u w:val="single"/>
          <w:lang w:val="en-US" w:eastAsia="zh-CN" w:bidi="ar"/>
        </w:rPr>
        <w:t>。</w:t>
      </w:r>
    </w:p>
    <w:p w14:paraId="5AB52F8E">
      <w:pPr>
        <w:keepNext w:val="0"/>
        <w:keepLines w:val="0"/>
        <w:widowControl w:val="0"/>
        <w:suppressLineNumbers w:val="0"/>
        <w:shd w:val="clear"/>
        <w:spacing w:before="0" w:beforeAutospacing="0" w:after="0" w:afterAutospacing="0" w:line="360" w:lineRule="auto"/>
        <w:ind w:left="0" w:right="0" w:firstLine="506" w:firstLineChars="240"/>
        <w:jc w:val="both"/>
        <w:outlineLvl w:val="0"/>
        <w:rPr>
          <w:rFonts w:hint="default" w:ascii="Times New Roman" w:hAnsi="Times New Roman" w:eastAsia="宋体" w:cs="Times New Roman"/>
          <w:b/>
          <w:bCs w:val="0"/>
          <w:color w:val="auto"/>
          <w:sz w:val="21"/>
          <w:szCs w:val="21"/>
          <w:highlight w:val="none"/>
        </w:rPr>
      </w:pPr>
      <w:bookmarkStart w:id="139" w:name="_Toc459738621"/>
      <w:bookmarkEnd w:id="139"/>
      <w:r>
        <w:rPr>
          <w:rFonts w:hint="eastAsia" w:ascii="宋体" w:hAnsi="宋体" w:eastAsia="宋体" w:cs="宋体"/>
          <w:b/>
          <w:bCs w:val="0"/>
          <w:color w:val="auto"/>
          <w:kern w:val="0"/>
          <w:sz w:val="21"/>
          <w:szCs w:val="21"/>
          <w:highlight w:val="none"/>
          <w:lang w:val="en-US" w:eastAsia="zh-CN" w:bidi="ar"/>
        </w:rPr>
        <w:t>二、工程承包范围</w:t>
      </w:r>
    </w:p>
    <w:p w14:paraId="7C56C606">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承包范围：</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本工程为扶绥县东罗镇都充村新伯突屯美丽移民村建设项目,包括1个村1个屯，建设内容为场地硬化、人饮、廊架及亭子等设施</w:t>
      </w:r>
      <w:r>
        <w:rPr>
          <w:rFonts w:hint="eastAsia" w:ascii="Times New Roman" w:hAnsi="Times New Roman" w:eastAsia="宋体" w:cs="Times New Roman"/>
          <w:color w:val="auto"/>
          <w:kern w:val="0"/>
          <w:sz w:val="21"/>
          <w:szCs w:val="21"/>
          <w:highlight w:val="none"/>
          <w:u w:val="single"/>
          <w:lang w:val="en-US" w:eastAsia="zh-CN" w:bidi="ar"/>
        </w:rPr>
        <w:t xml:space="preserve">，以工程量清单和图纸包含的内容为准。 </w:t>
      </w:r>
    </w:p>
    <w:p w14:paraId="0848EBD5">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0" w:name="_Toc459738622"/>
      <w:bookmarkEnd w:id="140"/>
      <w:r>
        <w:rPr>
          <w:rFonts w:hint="eastAsia" w:ascii="宋体" w:hAnsi="宋体" w:eastAsia="宋体" w:cs="宋体"/>
          <w:b/>
          <w:bCs w:val="0"/>
          <w:color w:val="auto"/>
          <w:kern w:val="0"/>
          <w:sz w:val="21"/>
          <w:szCs w:val="21"/>
          <w:highlight w:val="none"/>
          <w:lang w:val="en-US" w:eastAsia="zh-CN" w:bidi="ar"/>
        </w:rPr>
        <w:t>三、合同工期</w:t>
      </w:r>
    </w:p>
    <w:p w14:paraId="4276DF34">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开工日期：</w:t>
      </w:r>
      <w:r>
        <w:rPr>
          <w:rFonts w:hint="eastAsia" w:ascii="Times New Roman" w:hAnsi="Times New Roman" w:eastAsia="宋体" w:cs="Times New Roman"/>
          <w:color w:val="auto"/>
          <w:kern w:val="0"/>
          <w:sz w:val="21"/>
          <w:szCs w:val="21"/>
          <w:highlight w:val="none"/>
          <w:lang w:val="en-US" w:eastAsia="zh-CN" w:bidi="ar"/>
        </w:rPr>
        <w:t xml:space="preserve"> </w:t>
      </w:r>
      <w:r>
        <w:rPr>
          <w:rFonts w:hint="eastAsia"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年</w:t>
      </w:r>
      <w:r>
        <w:rPr>
          <w:rFonts w:hint="eastAsia"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月</w:t>
      </w:r>
      <w:r>
        <w:rPr>
          <w:rFonts w:hint="eastAsia" w:ascii="宋体" w:hAnsi="宋体" w:cs="宋体"/>
          <w:color w:val="auto"/>
          <w:kern w:val="0"/>
          <w:sz w:val="21"/>
          <w:szCs w:val="21"/>
          <w:highlight w:val="none"/>
          <w:lang w:val="en-US" w:eastAsia="zh-CN" w:bidi="ar"/>
        </w:rPr>
        <w:t xml:space="preserve"> </w:t>
      </w:r>
      <w:r>
        <w:rPr>
          <w:rFonts w:hint="eastAsia"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日</w:t>
      </w:r>
    </w:p>
    <w:p w14:paraId="220927E7">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竣工日期：</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年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月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日</w:t>
      </w:r>
    </w:p>
    <w:p w14:paraId="7CF55271">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合同工期总日历天为</w:t>
      </w:r>
      <w:r>
        <w:rPr>
          <w:rFonts w:hint="eastAsia" w:ascii="宋体" w:hAnsi="宋体" w:cs="宋体"/>
          <w:color w:val="auto"/>
          <w:kern w:val="0"/>
          <w:sz w:val="21"/>
          <w:szCs w:val="21"/>
          <w:highlight w:val="none"/>
          <w:lang w:val="en-US" w:eastAsia="zh-CN" w:bidi="ar"/>
        </w:rPr>
        <w:t>90日历天</w:t>
      </w:r>
      <w:r>
        <w:rPr>
          <w:rFonts w:hint="eastAsia" w:ascii="宋体" w:hAnsi="宋体" w:eastAsia="宋体" w:cs="宋体"/>
          <w:color w:val="auto"/>
          <w:kern w:val="0"/>
          <w:sz w:val="21"/>
          <w:szCs w:val="21"/>
          <w:highlight w:val="none"/>
          <w:lang w:val="en-US" w:eastAsia="zh-CN" w:bidi="ar"/>
        </w:rPr>
        <w:t>。</w:t>
      </w:r>
    </w:p>
    <w:p w14:paraId="0B33F292">
      <w:pPr>
        <w:pStyle w:val="19"/>
        <w:keepNext w:val="0"/>
        <w:keepLines w:val="0"/>
        <w:widowControl w:val="0"/>
        <w:suppressLineNumbers w:val="0"/>
        <w:shd w:val="clear"/>
        <w:spacing w:before="0" w:beforeAutospacing="0" w:after="0" w:afterAutospacing="0" w:line="360" w:lineRule="auto"/>
        <w:ind w:left="0" w:right="0" w:firstLine="460" w:firstLineChars="200"/>
        <w:jc w:val="left"/>
        <w:rPr>
          <w:rFonts w:hint="eastAsia" w:ascii="宋体" w:hAnsi="Courier New" w:eastAsia="宋体" w:cs="Times New Roman"/>
          <w:bCs/>
          <w:color w:val="auto"/>
          <w:spacing w:val="10"/>
          <w:sz w:val="21"/>
          <w:szCs w:val="21"/>
          <w:highlight w:val="none"/>
        </w:rPr>
      </w:pPr>
      <w:r>
        <w:rPr>
          <w:rFonts w:hint="eastAsia" w:ascii="宋体" w:hAnsi="宋体" w:eastAsia="宋体" w:cs="宋体"/>
          <w:bCs/>
          <w:color w:val="auto"/>
          <w:spacing w:val="10"/>
          <w:kern w:val="0"/>
          <w:sz w:val="21"/>
          <w:szCs w:val="21"/>
          <w:highlight w:val="none"/>
          <w:lang w:val="en-US" w:eastAsia="zh-CN" w:bidi="ar"/>
        </w:rPr>
        <w:t>实际开工日期以发包人签发的开工令为准。</w:t>
      </w:r>
    </w:p>
    <w:p w14:paraId="1AE6C0A6">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1" w:name="_Toc459738623"/>
      <w:bookmarkEnd w:id="141"/>
      <w:r>
        <w:rPr>
          <w:rFonts w:hint="eastAsia" w:ascii="宋体" w:hAnsi="宋体" w:eastAsia="宋体" w:cs="宋体"/>
          <w:b/>
          <w:bCs w:val="0"/>
          <w:color w:val="auto"/>
          <w:kern w:val="0"/>
          <w:sz w:val="21"/>
          <w:szCs w:val="21"/>
          <w:highlight w:val="none"/>
          <w:lang w:val="en-US" w:eastAsia="zh-CN" w:bidi="ar"/>
        </w:rPr>
        <w:t>四、质量标准</w:t>
      </w:r>
    </w:p>
    <w:p w14:paraId="628ACE45">
      <w:pPr>
        <w:keepNext w:val="0"/>
        <w:keepLines w:val="0"/>
        <w:widowControl w:val="0"/>
        <w:suppressLineNumbers w:val="0"/>
        <w:shd w:val="clear"/>
        <w:spacing w:before="0" w:beforeAutospacing="0" w:after="0" w:afterAutospacing="0" w:line="360" w:lineRule="auto"/>
        <w:ind w:left="0" w:right="0" w:firstLine="510"/>
        <w:jc w:val="both"/>
        <w:rPr>
          <w:rFonts w:hint="default"/>
          <w:color w:val="auto"/>
          <w:highlight w:val="none"/>
        </w:rPr>
      </w:pPr>
      <w:r>
        <w:rPr>
          <w:rFonts w:hint="eastAsia" w:ascii="宋体" w:hAnsi="宋体" w:eastAsia="宋体" w:cs="宋体"/>
          <w:color w:val="auto"/>
          <w:kern w:val="0"/>
          <w:sz w:val="21"/>
          <w:szCs w:val="21"/>
          <w:highlight w:val="none"/>
          <w:lang w:val="en-US" w:eastAsia="zh-CN" w:bidi="ar"/>
        </w:rPr>
        <w:t>工程质量标准</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bCs/>
          <w:color w:val="auto"/>
          <w:kern w:val="0"/>
          <w:sz w:val="21"/>
          <w:szCs w:val="21"/>
          <w:highlight w:val="none"/>
          <w:u w:val="single"/>
          <w:lang w:val="en-US" w:eastAsia="zh-CN" w:bidi="ar"/>
        </w:rPr>
        <w:t>达到国家竣工验收规范合格标准</w:t>
      </w:r>
      <w:r>
        <w:rPr>
          <w:rFonts w:hint="eastAsia" w:ascii="宋体" w:hAnsi="宋体" w:eastAsia="宋体" w:cs="宋体"/>
          <w:color w:val="auto"/>
          <w:kern w:val="0"/>
          <w:sz w:val="21"/>
          <w:szCs w:val="21"/>
          <w:highlight w:val="none"/>
          <w:u w:val="single"/>
          <w:lang w:val="en-US" w:eastAsia="zh-CN" w:bidi="ar"/>
        </w:rPr>
        <w:t>。</w:t>
      </w:r>
    </w:p>
    <w:p w14:paraId="2764F86C">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2" w:name="_Toc459738624"/>
      <w:bookmarkEnd w:id="142"/>
      <w:r>
        <w:rPr>
          <w:rFonts w:hint="eastAsia" w:ascii="宋体" w:hAnsi="宋体" w:eastAsia="宋体" w:cs="宋体"/>
          <w:b/>
          <w:bCs w:val="0"/>
          <w:color w:val="auto"/>
          <w:kern w:val="0"/>
          <w:sz w:val="21"/>
          <w:szCs w:val="21"/>
          <w:highlight w:val="none"/>
          <w:lang w:val="en-US" w:eastAsia="zh-CN" w:bidi="ar"/>
        </w:rPr>
        <w:t>五、合同价款</w:t>
      </w:r>
    </w:p>
    <w:p w14:paraId="2D8E52B4">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金额</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p>
    <w:p w14:paraId="1F1656BF">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color w:val="auto"/>
          <w:highlight w:val="none"/>
        </w:rPr>
      </w:pPr>
      <w:bookmarkStart w:id="143" w:name="_Toc459738625"/>
      <w:bookmarkEnd w:id="143"/>
      <w:r>
        <w:rPr>
          <w:rFonts w:hint="eastAsia" w:ascii="宋体" w:hAnsi="宋体" w:eastAsia="宋体" w:cs="宋体"/>
          <w:b/>
          <w:bCs/>
          <w:color w:val="auto"/>
          <w:kern w:val="0"/>
          <w:sz w:val="21"/>
          <w:szCs w:val="21"/>
          <w:highlight w:val="none"/>
          <w:lang w:val="en-US" w:eastAsia="zh-CN" w:bidi="ar"/>
        </w:rPr>
        <w:t>六、组成合同的文件</w:t>
      </w:r>
    </w:p>
    <w:p w14:paraId="1153C45F">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组成本合同的文件包括：</w:t>
      </w:r>
    </w:p>
    <w:p w14:paraId="35ECDD22">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、本合同协议书</w:t>
      </w:r>
    </w:p>
    <w:p w14:paraId="3EF44E19">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、成交通知书</w:t>
      </w:r>
    </w:p>
    <w:p w14:paraId="7521346E">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、响应文件及其附件</w:t>
      </w:r>
    </w:p>
    <w:p w14:paraId="79CC130A">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、本合同专用条款</w:t>
      </w:r>
    </w:p>
    <w:p w14:paraId="69738E38">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、本合同通用条款</w:t>
      </w:r>
    </w:p>
    <w:p w14:paraId="3FC6A6BC">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、标准、规范及有关技术文件</w:t>
      </w:r>
    </w:p>
    <w:p w14:paraId="70BE5C45">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、工程量清单</w:t>
      </w:r>
    </w:p>
    <w:p w14:paraId="2DB0E5BD">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双方有关工程听洽商、变更等书面协议或书面文件视为本合同的组成部分。</w:t>
      </w:r>
    </w:p>
    <w:p w14:paraId="252608B2">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4" w:name="_Toc459738626"/>
      <w:bookmarkEnd w:id="144"/>
      <w:r>
        <w:rPr>
          <w:rFonts w:hint="eastAsia" w:ascii="宋体" w:hAnsi="宋体" w:eastAsia="宋体" w:cs="宋体"/>
          <w:b/>
          <w:bCs w:val="0"/>
          <w:color w:val="auto"/>
          <w:kern w:val="0"/>
          <w:sz w:val="21"/>
          <w:szCs w:val="21"/>
          <w:highlight w:val="none"/>
          <w:lang w:val="en-US" w:eastAsia="zh-CN" w:bidi="ar"/>
        </w:rPr>
        <w:t>七、本协议书中有关词语定义与本合同第二部分《通用条款》中分别赋予它们的定义相同。</w:t>
      </w:r>
    </w:p>
    <w:p w14:paraId="21588385">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5" w:name="_Toc459738627"/>
      <w:bookmarkEnd w:id="145"/>
      <w:r>
        <w:rPr>
          <w:rFonts w:hint="eastAsia" w:ascii="宋体" w:hAnsi="宋体" w:eastAsia="宋体" w:cs="宋体"/>
          <w:b/>
          <w:bCs w:val="0"/>
          <w:color w:val="auto"/>
          <w:kern w:val="0"/>
          <w:sz w:val="21"/>
          <w:szCs w:val="21"/>
          <w:highlight w:val="none"/>
          <w:lang w:val="en-US" w:eastAsia="zh-CN" w:bidi="ar"/>
        </w:rPr>
        <w:t>八、承包人向发包人承诺按照合同约定进行施工、竣工并在质量保修期内承担工程质量保修责任。</w:t>
      </w:r>
    </w:p>
    <w:p w14:paraId="3C805212">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6" w:name="_Toc459738628"/>
      <w:bookmarkEnd w:id="146"/>
      <w:r>
        <w:rPr>
          <w:rFonts w:hint="eastAsia" w:ascii="宋体" w:hAnsi="宋体" w:eastAsia="宋体" w:cs="宋体"/>
          <w:b/>
          <w:bCs w:val="0"/>
          <w:color w:val="auto"/>
          <w:kern w:val="0"/>
          <w:sz w:val="21"/>
          <w:szCs w:val="21"/>
          <w:highlight w:val="none"/>
          <w:lang w:val="en-US" w:eastAsia="zh-CN" w:bidi="ar"/>
        </w:rPr>
        <w:t>九、发包人向承包人承诺按照合同约定的期限和方式支付合同价款及其他应当支付的款项。</w:t>
      </w:r>
    </w:p>
    <w:p w14:paraId="0EF8B50E">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7" w:name="_Toc459738629"/>
      <w:bookmarkEnd w:id="147"/>
      <w:r>
        <w:rPr>
          <w:rFonts w:hint="eastAsia" w:ascii="宋体" w:hAnsi="宋体" w:eastAsia="宋体" w:cs="宋体"/>
          <w:b/>
          <w:bCs w:val="0"/>
          <w:color w:val="auto"/>
          <w:kern w:val="0"/>
          <w:sz w:val="21"/>
          <w:szCs w:val="21"/>
          <w:highlight w:val="none"/>
          <w:lang w:val="en-US" w:eastAsia="zh-CN" w:bidi="ar"/>
        </w:rPr>
        <w:t>十、合同生效</w:t>
      </w:r>
    </w:p>
    <w:p w14:paraId="6FA9DDD4">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合同订立时间：</w:t>
      </w:r>
      <w:r>
        <w:rPr>
          <w:rFonts w:hint="eastAsia" w:cs="Times New Roman"/>
          <w:color w:val="auto"/>
          <w:kern w:val="0"/>
          <w:sz w:val="21"/>
          <w:szCs w:val="21"/>
          <w:highlight w:val="none"/>
          <w:lang w:val="en-US" w:eastAsia="zh-CN" w:bidi="ar"/>
        </w:rPr>
        <w:t>2025年</w:t>
      </w:r>
      <w:r>
        <w:rPr>
          <w:rFonts w:hint="eastAsia" w:ascii="宋体" w:hAnsi="宋体" w:eastAsia="宋体" w:cs="宋体"/>
          <w:color w:val="auto"/>
          <w:kern w:val="0"/>
          <w:sz w:val="21"/>
          <w:szCs w:val="21"/>
          <w:highlight w:val="none"/>
          <w:lang w:val="en-US" w:eastAsia="zh-CN" w:bidi="ar"/>
        </w:rPr>
        <w:t xml:space="preserve"> 月  日</w:t>
      </w:r>
    </w:p>
    <w:p w14:paraId="4D2B1188">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合同订立地点：</w:t>
      </w:r>
      <w:r>
        <w:rPr>
          <w:rFonts w:hint="eastAsia" w:ascii="宋体" w:hAnsi="宋体" w:cs="宋体"/>
          <w:color w:val="auto"/>
          <w:kern w:val="0"/>
          <w:sz w:val="21"/>
          <w:szCs w:val="21"/>
          <w:highlight w:val="none"/>
          <w:lang w:val="en-US" w:eastAsia="zh-CN" w:bidi="ar"/>
        </w:rPr>
        <w:t>在广西政府采购云平台上签订电子合同</w:t>
      </w:r>
    </w:p>
    <w:p w14:paraId="4AAE4EF2">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本合同双方约定</w:t>
      </w:r>
      <w:r>
        <w:rPr>
          <w:rFonts w:hint="eastAsia" w:ascii="宋体" w:hAnsi="宋体" w:eastAsia="宋体" w:cs="宋体"/>
          <w:color w:val="auto"/>
          <w:kern w:val="0"/>
          <w:sz w:val="21"/>
          <w:szCs w:val="21"/>
          <w:highlight w:val="none"/>
          <w:u w:val="single"/>
          <w:lang w:val="en-US" w:eastAsia="zh-CN" w:bidi="ar"/>
        </w:rPr>
        <w:t>双方法定代表人或其授权代理人签字或盖章并加盖单位公章</w:t>
      </w:r>
      <w:r>
        <w:rPr>
          <w:rFonts w:hint="default" w:ascii="Times New Roman" w:hAnsi="Times New Roman" w:eastAsia="宋体" w:cs="Times New Roman"/>
          <w:color w:val="auto"/>
          <w:kern w:val="0"/>
          <w:sz w:val="21"/>
          <w:szCs w:val="21"/>
          <w:highlight w:val="none"/>
          <w:lang w:val="en-US" w:eastAsia="zh-CN" w:bidi="ar"/>
        </w:rPr>
        <w:t>__</w:t>
      </w:r>
      <w:r>
        <w:rPr>
          <w:rFonts w:hint="eastAsia" w:ascii="宋体" w:hAnsi="宋体" w:eastAsia="宋体" w:cs="宋体"/>
          <w:color w:val="auto"/>
          <w:kern w:val="0"/>
          <w:sz w:val="21"/>
          <w:szCs w:val="21"/>
          <w:highlight w:val="none"/>
          <w:lang w:val="en-US" w:eastAsia="zh-CN" w:bidi="ar"/>
        </w:rPr>
        <w:t>后生效。</w:t>
      </w:r>
      <w:r>
        <w:rPr>
          <w:rFonts w:hint="default" w:ascii="Times New Roman" w:hAnsi="Times New Roman" w:eastAsia="宋体" w:cs="Times New Roman"/>
          <w:color w:val="auto"/>
          <w:kern w:val="0"/>
          <w:sz w:val="21"/>
          <w:szCs w:val="21"/>
          <w:highlight w:val="none"/>
          <w:lang w:val="en-US" w:eastAsia="zh-CN" w:bidi="ar"/>
        </w:rPr>
        <w:t xml:space="preserve"> </w:t>
      </w:r>
    </w:p>
    <w:tbl>
      <w:tblPr>
        <w:tblStyle w:val="24"/>
        <w:tblW w:w="0" w:type="auto"/>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61"/>
        <w:gridCol w:w="4261"/>
      </w:tblGrid>
      <w:tr w14:paraId="38ED457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3AAE9937">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c>
          <w:tcPr>
            <w:tcW w:w="4261" w:type="dxa"/>
            <w:tcBorders>
              <w:top w:val="nil"/>
              <w:left w:val="nil"/>
              <w:bottom w:val="nil"/>
              <w:right w:val="nil"/>
            </w:tcBorders>
            <w:shd w:val="clear" w:color="auto" w:fill="auto"/>
            <w:vAlign w:val="top"/>
          </w:tcPr>
          <w:p w14:paraId="3EED8853">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r>
      <w:tr w14:paraId="39C6C98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54D83802">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地  址： </w:t>
            </w:r>
          </w:p>
        </w:tc>
        <w:tc>
          <w:tcPr>
            <w:tcW w:w="4261" w:type="dxa"/>
            <w:tcBorders>
              <w:top w:val="nil"/>
              <w:left w:val="nil"/>
              <w:bottom w:val="nil"/>
              <w:right w:val="nil"/>
            </w:tcBorders>
            <w:shd w:val="clear" w:color="auto" w:fill="auto"/>
            <w:vAlign w:val="top"/>
          </w:tcPr>
          <w:p w14:paraId="584B6429">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地址</w:t>
            </w:r>
            <w:bookmarkStart w:id="148" w:name="OLE_LINK13"/>
            <w:r>
              <w:rPr>
                <w:rFonts w:hint="eastAsia" w:ascii="宋体" w:hAnsi="宋体" w:eastAsia="宋体" w:cs="宋体"/>
                <w:color w:val="auto"/>
                <w:kern w:val="0"/>
                <w:sz w:val="21"/>
                <w:szCs w:val="21"/>
                <w:highlight w:val="none"/>
                <w:lang w:val="en-US" w:eastAsia="zh-CN" w:bidi="ar"/>
              </w:rPr>
              <w:t>：</w:t>
            </w:r>
            <w:bookmarkEnd w:id="148"/>
          </w:p>
        </w:tc>
      </w:tr>
      <w:tr w14:paraId="04C5B4E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46045C1F">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c>
          <w:tcPr>
            <w:tcW w:w="4261" w:type="dxa"/>
            <w:tcBorders>
              <w:top w:val="nil"/>
              <w:left w:val="nil"/>
              <w:bottom w:val="nil"/>
              <w:right w:val="nil"/>
            </w:tcBorders>
            <w:shd w:val="clear" w:color="auto" w:fill="auto"/>
            <w:vAlign w:val="top"/>
          </w:tcPr>
          <w:p w14:paraId="11C92802">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r>
      <w:tr w14:paraId="7153B35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7E94B93A">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c>
          <w:tcPr>
            <w:tcW w:w="4261" w:type="dxa"/>
            <w:tcBorders>
              <w:top w:val="nil"/>
              <w:left w:val="nil"/>
              <w:bottom w:val="nil"/>
              <w:right w:val="nil"/>
            </w:tcBorders>
            <w:shd w:val="clear" w:color="auto" w:fill="auto"/>
            <w:vAlign w:val="top"/>
          </w:tcPr>
          <w:p w14:paraId="22EC1688">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r>
      <w:tr w14:paraId="10B4DF4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5017240F">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c>
          <w:tcPr>
            <w:tcW w:w="4261" w:type="dxa"/>
            <w:tcBorders>
              <w:top w:val="nil"/>
              <w:left w:val="nil"/>
              <w:bottom w:val="nil"/>
              <w:right w:val="nil"/>
            </w:tcBorders>
            <w:shd w:val="clear" w:color="auto" w:fill="auto"/>
            <w:vAlign w:val="top"/>
          </w:tcPr>
          <w:p w14:paraId="70600D16">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r>
      <w:tr w14:paraId="5F7E06B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72981B4E">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c>
          <w:tcPr>
            <w:tcW w:w="4261" w:type="dxa"/>
            <w:tcBorders>
              <w:top w:val="nil"/>
              <w:left w:val="nil"/>
              <w:bottom w:val="nil"/>
              <w:right w:val="nil"/>
            </w:tcBorders>
            <w:shd w:val="clear" w:color="auto" w:fill="auto"/>
            <w:vAlign w:val="top"/>
          </w:tcPr>
          <w:p w14:paraId="53645533">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r>
      <w:tr w14:paraId="13FBB74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76144A2E">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c>
          <w:tcPr>
            <w:tcW w:w="4261" w:type="dxa"/>
            <w:tcBorders>
              <w:top w:val="nil"/>
              <w:left w:val="nil"/>
              <w:bottom w:val="nil"/>
              <w:right w:val="nil"/>
            </w:tcBorders>
            <w:shd w:val="clear" w:color="auto" w:fill="auto"/>
            <w:vAlign w:val="top"/>
          </w:tcPr>
          <w:p w14:paraId="5DB6F10E">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r>
      <w:tr w14:paraId="6B247AA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52E2C070">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c>
          <w:tcPr>
            <w:tcW w:w="4261" w:type="dxa"/>
            <w:tcBorders>
              <w:top w:val="nil"/>
              <w:left w:val="nil"/>
              <w:bottom w:val="nil"/>
              <w:right w:val="nil"/>
            </w:tcBorders>
            <w:shd w:val="clear" w:color="auto" w:fill="auto"/>
            <w:vAlign w:val="top"/>
          </w:tcPr>
          <w:p w14:paraId="36907E26">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r w14:paraId="14C2518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4AB9A1C3">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r>
              <w:rPr>
                <w:rFonts w:hint="default" w:ascii="Times New Roman" w:hAnsi="Times New Roman" w:eastAsia="宋体" w:cs="Times New Roman"/>
                <w:color w:val="auto"/>
                <w:spacing w:val="-12"/>
                <w:kern w:val="0"/>
                <w:sz w:val="21"/>
                <w:szCs w:val="21"/>
                <w:highlight w:val="none"/>
                <w:lang w:val="en-US" w:eastAsia="zh-CN" w:bidi="ar"/>
              </w:rPr>
              <w:t xml:space="preserve"> </w:t>
            </w:r>
          </w:p>
        </w:tc>
        <w:tc>
          <w:tcPr>
            <w:tcW w:w="4261" w:type="dxa"/>
            <w:tcBorders>
              <w:top w:val="nil"/>
              <w:left w:val="nil"/>
              <w:bottom w:val="nil"/>
              <w:right w:val="nil"/>
            </w:tcBorders>
            <w:shd w:val="clear" w:color="auto" w:fill="auto"/>
            <w:vAlign w:val="top"/>
          </w:tcPr>
          <w:p w14:paraId="2F7E660C">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bl>
    <w:p w14:paraId="5F75F9F2">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 xml:space="preserve">           </w:t>
      </w:r>
      <w:bookmarkStart w:id="149" w:name="_Toc459738630"/>
      <w:bookmarkEnd w:id="149"/>
      <w:bookmarkStart w:id="150" w:name="_Toc21163"/>
      <w:bookmarkEnd w:id="150"/>
      <w:bookmarkStart w:id="151" w:name="_Toc134096509"/>
      <w:bookmarkEnd w:id="151"/>
      <w:bookmarkStart w:id="152" w:name="_Toc26396"/>
      <w:bookmarkEnd w:id="152"/>
    </w:p>
    <w:p w14:paraId="14393EEB">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6023D97B">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32CA72D7">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6E9223FD">
      <w:pPr>
        <w:pStyle w:val="4"/>
        <w:widowControl/>
        <w:shd w:val="clear"/>
        <w:jc w:val="center"/>
        <w:rPr>
          <w:rFonts w:hint="eastAsia" w:ascii="Times New Roman" w:hAnsi="宋体" w:eastAsia="宋体" w:cs="黑体"/>
          <w:b/>
          <w:bCs w:val="0"/>
          <w:color w:val="auto"/>
          <w:kern w:val="0"/>
          <w:sz w:val="30"/>
          <w:szCs w:val="30"/>
          <w:highlight w:val="none"/>
        </w:rPr>
      </w:pPr>
      <w:r>
        <w:rPr>
          <w:rFonts w:hint="eastAsia" w:ascii="宋体" w:hAnsi="宋体" w:eastAsia="宋体" w:cs="宋体"/>
          <w:b/>
          <w:bCs w:val="0"/>
          <w:color w:val="auto"/>
          <w:kern w:val="0"/>
          <w:sz w:val="30"/>
          <w:szCs w:val="30"/>
          <w:highlight w:val="none"/>
        </w:rPr>
        <w:t>第二部分：合同通用条款</w:t>
      </w:r>
    </w:p>
    <w:p w14:paraId="65C6155A">
      <w:pPr>
        <w:keepNext w:val="0"/>
        <w:keepLines w:val="0"/>
        <w:widowControl w:val="0"/>
        <w:suppressLineNumbers w:val="0"/>
        <w:shd w:val="clear"/>
        <w:snapToGrid w:val="0"/>
        <w:spacing w:before="0" w:beforeAutospacing="0" w:after="0" w:afterAutospacing="0" w:line="288" w:lineRule="auto"/>
        <w:ind w:left="0" w:right="0"/>
        <w:jc w:val="both"/>
        <w:rPr>
          <w:rFonts w:hint="eastAsia" w:ascii="Times New Roman" w:hAnsi="宋体" w:eastAsia="宋体" w:cs="Times New Roman"/>
          <w:color w:val="auto"/>
          <w:sz w:val="21"/>
          <w:szCs w:val="21"/>
          <w:highlight w:val="none"/>
        </w:rPr>
      </w:pPr>
      <w:r>
        <w:rPr>
          <w:rFonts w:hint="eastAsia"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“合同通用条款”，采用国家工商行政管理局和建设部颁发的《建设工程施工合同（示范文本）》（</w:t>
      </w:r>
      <w:r>
        <w:rPr>
          <w:rFonts w:hint="default" w:ascii="Times New Roman" w:hAnsi="Times New Roman" w:eastAsia="宋体" w:cs="Times New Roman"/>
          <w:color w:val="auto"/>
          <w:kern w:val="0"/>
          <w:sz w:val="21"/>
          <w:szCs w:val="21"/>
          <w:highlight w:val="none"/>
          <w:lang w:val="en-US" w:eastAsia="zh-CN" w:bidi="ar"/>
        </w:rPr>
        <w:t>GF-2017-0201</w:t>
      </w:r>
      <w:r>
        <w:rPr>
          <w:rFonts w:hint="eastAsia" w:ascii="宋体" w:hAnsi="宋体" w:eastAsia="宋体" w:cs="宋体"/>
          <w:color w:val="auto"/>
          <w:kern w:val="0"/>
          <w:sz w:val="21"/>
          <w:szCs w:val="21"/>
          <w:highlight w:val="none"/>
          <w:lang w:val="en-US" w:eastAsia="zh-CN" w:bidi="ar"/>
        </w:rPr>
        <w:t>）的“合同通用条款”。</w:t>
      </w:r>
    </w:p>
    <w:p w14:paraId="4EFD471B">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14:paraId="4DD079A0">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14:paraId="37D7BA5B">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14:paraId="7113394E">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14:paraId="646C607F">
      <w:pPr>
        <w:pStyle w:val="2"/>
        <w:keepNext w:val="0"/>
        <w:keepLines w:val="0"/>
        <w:widowControl w:val="0"/>
        <w:suppressLineNumbers w:val="0"/>
        <w:shd w:val="clear"/>
        <w:jc w:val="center"/>
        <w:rPr>
          <w:rFonts w:hint="default" w:ascii="Times New Roman" w:hAnsi="宋体" w:eastAsia="宋体" w:cs="Times New Roman"/>
          <w:b/>
          <w:bCs w:val="0"/>
          <w:color w:val="auto"/>
          <w:kern w:val="0"/>
          <w:sz w:val="30"/>
          <w:szCs w:val="30"/>
          <w:highlight w:val="none"/>
        </w:rPr>
      </w:pPr>
      <w:bookmarkStart w:id="153" w:name="_Toc9850521"/>
      <w:bookmarkEnd w:id="153"/>
      <w:bookmarkStart w:id="154" w:name="_Toc407135193"/>
      <w:bookmarkEnd w:id="154"/>
      <w:bookmarkStart w:id="155" w:name="_Toc389065257"/>
      <w:r>
        <w:rPr>
          <w:rFonts w:hint="eastAsia" w:ascii="宋体" w:hAnsi="宋体" w:eastAsia="宋体" w:cs="宋体"/>
          <w:b/>
          <w:bCs w:val="0"/>
          <w:color w:val="auto"/>
          <w:kern w:val="0"/>
          <w:sz w:val="30"/>
          <w:szCs w:val="30"/>
          <w:highlight w:val="none"/>
        </w:rPr>
        <w:t>第三部分</w:t>
      </w:r>
      <w:bookmarkEnd w:id="155"/>
      <w:r>
        <w:rPr>
          <w:rFonts w:hint="default" w:ascii="Times New Roman" w:hAnsi="Times New Roman" w:eastAsia="宋体" w:cs="Times New Roman"/>
          <w:b/>
          <w:bCs w:val="0"/>
          <w:color w:val="auto"/>
          <w:kern w:val="0"/>
          <w:sz w:val="30"/>
          <w:szCs w:val="30"/>
          <w:highlight w:val="none"/>
        </w:rPr>
        <w:t xml:space="preserve"> </w:t>
      </w:r>
      <w:r>
        <w:rPr>
          <w:rFonts w:hint="eastAsia" w:ascii="宋体" w:hAnsi="宋体" w:eastAsia="宋体" w:cs="宋体"/>
          <w:b/>
          <w:bCs w:val="0"/>
          <w:color w:val="auto"/>
          <w:kern w:val="0"/>
          <w:sz w:val="30"/>
          <w:szCs w:val="30"/>
          <w:highlight w:val="none"/>
        </w:rPr>
        <w:t>专用合同条款</w:t>
      </w:r>
    </w:p>
    <w:p w14:paraId="6CA95EC3">
      <w:pPr>
        <w:pStyle w:val="3"/>
        <w:widowControl/>
        <w:shd w:val="clear"/>
        <w:rPr>
          <w:rFonts w:hint="default" w:ascii="Arial" w:hAnsi="Arial" w:eastAsia="黑体" w:cs="Times New Roman"/>
          <w:b/>
          <w:bCs w:val="0"/>
          <w:color w:val="auto"/>
          <w:sz w:val="32"/>
          <w:szCs w:val="32"/>
          <w:highlight w:val="none"/>
        </w:rPr>
      </w:pPr>
      <w:bookmarkStart w:id="156" w:name="_Toc351203633"/>
      <w:bookmarkEnd w:id="156"/>
      <w:bookmarkStart w:id="157" w:name="_Toc373227692"/>
      <w:bookmarkEnd w:id="157"/>
      <w:bookmarkStart w:id="158" w:name="_Toc9850522"/>
      <w:bookmarkEnd w:id="158"/>
      <w:bookmarkStart w:id="159" w:name="_Toc389065258"/>
      <w:bookmarkEnd w:id="159"/>
      <w:bookmarkStart w:id="160" w:name="_Toc407135194"/>
      <w:bookmarkEnd w:id="160"/>
      <w:bookmarkStart w:id="161" w:name="_Toc373478339"/>
      <w:r>
        <w:rPr>
          <w:rFonts w:hint="default" w:ascii="Arial" w:hAnsi="Arial" w:eastAsia="黑体" w:cs="Times New Roman"/>
          <w:b/>
          <w:bCs w:val="0"/>
          <w:color w:val="auto"/>
          <w:sz w:val="32"/>
          <w:szCs w:val="32"/>
          <w:highlight w:val="none"/>
        </w:rPr>
        <w:t>1</w:t>
      </w:r>
      <w:bookmarkEnd w:id="161"/>
      <w:bookmarkStart w:id="162" w:name="_Toc296347155"/>
      <w:bookmarkEnd w:id="162"/>
      <w:bookmarkStart w:id="163" w:name="_Toc296944495"/>
      <w:bookmarkEnd w:id="163"/>
      <w:bookmarkStart w:id="164" w:name="_Toc296890984"/>
      <w:bookmarkEnd w:id="164"/>
      <w:bookmarkStart w:id="165" w:name="_Toc296891196"/>
      <w:bookmarkEnd w:id="165"/>
      <w:bookmarkStart w:id="166" w:name="_Toc297048342"/>
      <w:bookmarkEnd w:id="166"/>
      <w:bookmarkStart w:id="167" w:name="_Toc297120456"/>
      <w:bookmarkEnd w:id="167"/>
      <w:bookmarkStart w:id="168" w:name="_Toc292559866"/>
      <w:bookmarkEnd w:id="168"/>
      <w:bookmarkStart w:id="169" w:name="_Toc296503156"/>
      <w:bookmarkEnd w:id="169"/>
      <w:bookmarkStart w:id="170" w:name="_Toc296346657"/>
      <w:bookmarkEnd w:id="170"/>
      <w:bookmarkStart w:id="171" w:name="_Toc292559361"/>
      <w:r>
        <w:rPr>
          <w:rFonts w:hint="default" w:ascii="Arial" w:hAnsi="Arial" w:eastAsia="黑体" w:cs="Times New Roman"/>
          <w:b/>
          <w:bCs w:val="0"/>
          <w:color w:val="auto"/>
          <w:sz w:val="32"/>
          <w:szCs w:val="32"/>
          <w:highlight w:val="none"/>
        </w:rPr>
        <w:t xml:space="preserve">. </w:t>
      </w:r>
      <w:bookmarkEnd w:id="171"/>
      <w:r>
        <w:rPr>
          <w:rFonts w:hint="eastAsia" w:ascii="黑体" w:hAnsi="宋体" w:eastAsia="黑体" w:cs="黑体"/>
          <w:b/>
          <w:bCs w:val="0"/>
          <w:color w:val="auto"/>
          <w:sz w:val="32"/>
          <w:szCs w:val="32"/>
          <w:highlight w:val="none"/>
        </w:rPr>
        <w:t>一般约定</w:t>
      </w:r>
    </w:p>
    <w:p w14:paraId="426CE513">
      <w:pPr>
        <w:pStyle w:val="4"/>
        <w:widowControl/>
        <w:shd w:val="clear"/>
        <w:rPr>
          <w:rFonts w:hint="default" w:ascii="Times New Roman" w:hAnsi="Times New Roman" w:eastAsia="宋体" w:cs="Times New Roman"/>
          <w:b/>
          <w:bCs/>
          <w:color w:val="auto"/>
          <w:kern w:val="2"/>
          <w:sz w:val="32"/>
          <w:szCs w:val="32"/>
          <w:highlight w:val="none"/>
        </w:rPr>
      </w:pPr>
      <w:bookmarkStart w:id="172" w:name="_Toc9850523"/>
      <w:bookmarkEnd w:id="172"/>
      <w:bookmarkStart w:id="173" w:name="_Toc389065259"/>
      <w:bookmarkEnd w:id="173"/>
      <w:bookmarkStart w:id="174" w:name="_Toc407135195"/>
      <w:bookmarkEnd w:id="174"/>
      <w:bookmarkStart w:id="175" w:name="_Toc373227693"/>
      <w:bookmarkEnd w:id="175"/>
      <w:bookmarkStart w:id="176" w:name="_Toc373478340"/>
      <w:bookmarkEnd w:id="176"/>
      <w:r>
        <w:rPr>
          <w:rFonts w:hint="default" w:ascii="Times New Roman" w:hAnsi="Times New Roman" w:eastAsia="宋体" w:cs="Times New Roman"/>
          <w:b/>
          <w:bCs/>
          <w:color w:val="auto"/>
          <w:kern w:val="2"/>
          <w:sz w:val="32"/>
          <w:szCs w:val="32"/>
          <w:highlight w:val="none"/>
        </w:rPr>
        <w:t xml:space="preserve">1.1 </w:t>
      </w:r>
      <w:r>
        <w:rPr>
          <w:rFonts w:hint="eastAsia" w:ascii="宋体" w:hAnsi="宋体" w:eastAsia="宋体" w:cs="宋体"/>
          <w:b/>
          <w:bCs/>
          <w:color w:val="auto"/>
          <w:kern w:val="2"/>
          <w:sz w:val="32"/>
          <w:szCs w:val="32"/>
          <w:highlight w:val="none"/>
        </w:rPr>
        <w:t>词语定义</w:t>
      </w:r>
    </w:p>
    <w:p w14:paraId="1985A25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 </w:t>
      </w:r>
      <w:r>
        <w:rPr>
          <w:rFonts w:hint="eastAsia" w:ascii="宋体" w:hAnsi="宋体" w:eastAsia="宋体" w:cs="宋体"/>
          <w:color w:val="auto"/>
          <w:kern w:val="0"/>
          <w:sz w:val="21"/>
          <w:szCs w:val="21"/>
          <w:highlight w:val="none"/>
          <w:lang w:val="en-US" w:eastAsia="zh-CN" w:bidi="ar"/>
        </w:rPr>
        <w:t>合同</w:t>
      </w:r>
    </w:p>
    <w:p w14:paraId="492CEDB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1.1.1.10 </w:t>
      </w:r>
      <w:r>
        <w:rPr>
          <w:rFonts w:hint="eastAsia" w:ascii="宋体" w:hAnsi="宋体" w:eastAsia="宋体" w:cs="宋体"/>
          <w:color w:val="auto"/>
          <w:kern w:val="0"/>
          <w:sz w:val="21"/>
          <w:szCs w:val="21"/>
          <w:highlight w:val="none"/>
          <w:lang w:val="en-US" w:eastAsia="zh-CN" w:bidi="ar"/>
        </w:rPr>
        <w:t>其他合同文件包括：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采购文件、工程量清单、招标控制价、施工图图纸、工程量清单报价、投标文件、中标通知书、双方签署的合同协议书</w:t>
      </w:r>
      <w:r>
        <w:rPr>
          <w:rFonts w:hint="eastAsia" w:ascii="宋体" w:hAnsi="宋体" w:eastAsia="宋体" w:cs="宋体"/>
          <w:color w:val="auto"/>
          <w:kern w:val="0"/>
          <w:sz w:val="21"/>
          <w:szCs w:val="21"/>
          <w:highlight w:val="none"/>
          <w:lang w:val="en-US" w:eastAsia="zh-CN" w:bidi="ar"/>
        </w:rPr>
        <w:t>。</w:t>
      </w:r>
    </w:p>
    <w:p w14:paraId="69D6E59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 </w:t>
      </w:r>
      <w:r>
        <w:rPr>
          <w:rFonts w:hint="eastAsia" w:ascii="宋体" w:hAnsi="宋体" w:eastAsia="宋体" w:cs="宋体"/>
          <w:color w:val="auto"/>
          <w:kern w:val="0"/>
          <w:sz w:val="21"/>
          <w:szCs w:val="21"/>
          <w:highlight w:val="none"/>
          <w:lang w:val="en-US" w:eastAsia="zh-CN" w:bidi="ar"/>
        </w:rPr>
        <w:t>合同当事人及其他相关方</w:t>
      </w:r>
    </w:p>
    <w:p w14:paraId="1AFD0273">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1.1.2.4 </w:t>
      </w:r>
      <w:r>
        <w:rPr>
          <w:rFonts w:hint="eastAsia" w:ascii="宋体" w:hAnsi="宋体" w:eastAsia="宋体" w:cs="宋体"/>
          <w:color w:val="auto"/>
          <w:kern w:val="0"/>
          <w:sz w:val="21"/>
          <w:szCs w:val="21"/>
          <w:highlight w:val="none"/>
          <w:lang w:val="en-US" w:eastAsia="zh-CN" w:bidi="ar"/>
        </w:rPr>
        <w:t>监理人：</w:t>
      </w:r>
    </w:p>
    <w:p w14:paraId="67F498A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名</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称：</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F19844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资质类别和等级：</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0F65E0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9021B0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95D43E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717813F">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1.1.2.5 </w:t>
      </w:r>
      <w:r>
        <w:rPr>
          <w:rFonts w:hint="eastAsia" w:ascii="宋体" w:hAnsi="宋体" w:eastAsia="宋体" w:cs="宋体"/>
          <w:color w:val="auto"/>
          <w:kern w:val="0"/>
          <w:sz w:val="21"/>
          <w:szCs w:val="21"/>
          <w:highlight w:val="none"/>
          <w:lang w:val="en-US" w:eastAsia="zh-CN" w:bidi="ar"/>
        </w:rPr>
        <w:t>设计人：</w:t>
      </w:r>
    </w:p>
    <w:p w14:paraId="23BFD9B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名</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称：</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2083A2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资质类别和等级：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D52EAF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C2B403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F11699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610709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 </w:t>
      </w:r>
      <w:r>
        <w:rPr>
          <w:rFonts w:hint="eastAsia" w:ascii="宋体" w:hAnsi="宋体" w:eastAsia="宋体" w:cs="宋体"/>
          <w:color w:val="auto"/>
          <w:kern w:val="0"/>
          <w:sz w:val="21"/>
          <w:szCs w:val="21"/>
          <w:highlight w:val="none"/>
          <w:lang w:val="en-US" w:eastAsia="zh-CN" w:bidi="ar"/>
        </w:rPr>
        <w:t>工程和设备</w:t>
      </w:r>
    </w:p>
    <w:p w14:paraId="17BC41DB">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1.1.3.7 </w:t>
      </w:r>
      <w:r>
        <w:rPr>
          <w:rFonts w:hint="eastAsia" w:ascii="宋体" w:hAnsi="宋体" w:eastAsia="宋体" w:cs="宋体"/>
          <w:color w:val="auto"/>
          <w:kern w:val="0"/>
          <w:sz w:val="21"/>
          <w:szCs w:val="21"/>
          <w:highlight w:val="none"/>
          <w:lang w:val="en-US" w:eastAsia="zh-CN" w:bidi="ar"/>
        </w:rPr>
        <w:t>作为施工现场组成部分的其他场所包括：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CCD9BE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1.1.3.9 </w:t>
      </w:r>
      <w:r>
        <w:rPr>
          <w:rFonts w:hint="eastAsia" w:ascii="宋体" w:hAnsi="宋体" w:eastAsia="宋体" w:cs="宋体"/>
          <w:color w:val="auto"/>
          <w:kern w:val="0"/>
          <w:sz w:val="21"/>
          <w:szCs w:val="21"/>
          <w:highlight w:val="none"/>
          <w:lang w:val="en-US" w:eastAsia="zh-CN" w:bidi="ar"/>
        </w:rPr>
        <w:t>永久占地包括：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0BD6C7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1.1.3.10 </w:t>
      </w:r>
      <w:r>
        <w:rPr>
          <w:rFonts w:hint="eastAsia" w:ascii="宋体" w:hAnsi="宋体" w:eastAsia="宋体" w:cs="宋体"/>
          <w:color w:val="auto"/>
          <w:kern w:val="0"/>
          <w:sz w:val="21"/>
          <w:szCs w:val="21"/>
          <w:highlight w:val="none"/>
          <w:lang w:val="en-US" w:eastAsia="zh-CN" w:bidi="ar"/>
        </w:rPr>
        <w:t>临时占地包括：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C4C1D37">
      <w:pPr>
        <w:pStyle w:val="4"/>
        <w:widowControl/>
        <w:shd w:val="clear"/>
        <w:rPr>
          <w:rFonts w:hint="default" w:ascii="Times New Roman" w:hAnsi="Times New Roman" w:eastAsia="宋体" w:cs="Times New Roman"/>
          <w:b/>
          <w:bCs/>
          <w:color w:val="auto"/>
          <w:kern w:val="2"/>
          <w:sz w:val="32"/>
          <w:szCs w:val="32"/>
          <w:highlight w:val="none"/>
        </w:rPr>
      </w:pPr>
      <w:bookmarkStart w:id="177" w:name="_Toc389065260"/>
      <w:bookmarkEnd w:id="177"/>
      <w:bookmarkStart w:id="178" w:name="_Toc9850524"/>
      <w:bookmarkEnd w:id="178"/>
      <w:bookmarkStart w:id="179" w:name="_Toc373227694"/>
      <w:bookmarkEnd w:id="179"/>
      <w:bookmarkStart w:id="180" w:name="_Toc373478341"/>
      <w:bookmarkEnd w:id="180"/>
      <w:bookmarkStart w:id="181" w:name="_Toc407135196"/>
      <w:r>
        <w:rPr>
          <w:rFonts w:hint="default" w:ascii="Times New Roman" w:hAnsi="Times New Roman" w:eastAsia="宋体" w:cs="Times New Roman"/>
          <w:b/>
          <w:bCs/>
          <w:color w:val="auto"/>
          <w:kern w:val="2"/>
          <w:sz w:val="32"/>
          <w:szCs w:val="32"/>
          <w:highlight w:val="none"/>
        </w:rPr>
        <w:t xml:space="preserve">1.3 </w:t>
      </w:r>
      <w:bookmarkEnd w:id="181"/>
      <w:r>
        <w:rPr>
          <w:rFonts w:hint="eastAsia" w:ascii="宋体" w:hAnsi="宋体" w:eastAsia="宋体" w:cs="宋体"/>
          <w:b/>
          <w:bCs/>
          <w:color w:val="auto"/>
          <w:kern w:val="2"/>
          <w:sz w:val="32"/>
          <w:szCs w:val="32"/>
          <w:highlight w:val="none"/>
        </w:rPr>
        <w:t>法律</w:t>
      </w:r>
    </w:p>
    <w:p w14:paraId="2BA26E28">
      <w:pPr>
        <w:keepNext w:val="0"/>
        <w:keepLines w:val="0"/>
        <w:widowControl w:val="0"/>
        <w:suppressLineNumbers w:val="0"/>
        <w:shd w:val="clear"/>
        <w:autoSpaceDE w:val="0"/>
        <w:autoSpaceDN w:val="0"/>
        <w:adjustRightInd w:val="0"/>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适用于合同的其他规范性文件：</w:t>
      </w:r>
      <w:r>
        <w:rPr>
          <w:rFonts w:hint="eastAsia" w:ascii="宋体" w:hAnsi="宋体" w:eastAsia="宋体" w:cs="宋体"/>
          <w:color w:val="auto"/>
          <w:kern w:val="0"/>
          <w:sz w:val="22"/>
          <w:szCs w:val="22"/>
          <w:highlight w:val="none"/>
          <w:u w:val="single"/>
          <w:lang w:val="en-US" w:eastAsia="zh-CN" w:bidi="ar"/>
        </w:rPr>
        <w:t>现行的国家法律和行政法规，工程所在地政府的有关法规和规章</w:t>
      </w:r>
      <w:r>
        <w:rPr>
          <w:rFonts w:hint="eastAsia" w:ascii="宋体" w:hAnsi="宋体" w:eastAsia="宋体" w:cs="宋体"/>
          <w:color w:val="auto"/>
          <w:kern w:val="0"/>
          <w:sz w:val="21"/>
          <w:szCs w:val="21"/>
          <w:highlight w:val="none"/>
          <w:lang w:val="en-US" w:eastAsia="zh-CN" w:bidi="ar"/>
        </w:rPr>
        <w:t>。</w:t>
      </w:r>
    </w:p>
    <w:p w14:paraId="412F25FA">
      <w:pPr>
        <w:pStyle w:val="4"/>
        <w:widowControl/>
        <w:shd w:val="clear"/>
        <w:rPr>
          <w:rFonts w:hint="default" w:ascii="Times New Roman" w:hAnsi="Times New Roman" w:eastAsia="宋体" w:cs="Times New Roman"/>
          <w:b/>
          <w:bCs/>
          <w:color w:val="auto"/>
          <w:kern w:val="2"/>
          <w:sz w:val="32"/>
          <w:szCs w:val="32"/>
          <w:highlight w:val="none"/>
        </w:rPr>
      </w:pPr>
      <w:bookmarkStart w:id="182" w:name="_Toc373227695"/>
      <w:bookmarkEnd w:id="182"/>
      <w:bookmarkStart w:id="183" w:name="_Toc9850525"/>
      <w:bookmarkEnd w:id="183"/>
      <w:bookmarkStart w:id="184" w:name="_Toc407135197"/>
      <w:bookmarkEnd w:id="184"/>
      <w:bookmarkStart w:id="185" w:name="_Toc389065261"/>
      <w:bookmarkEnd w:id="185"/>
      <w:bookmarkStart w:id="186" w:name="_Toc373478342"/>
      <w:r>
        <w:rPr>
          <w:rFonts w:hint="default" w:ascii="Times New Roman" w:hAnsi="Times New Roman" w:eastAsia="宋体" w:cs="Times New Roman"/>
          <w:b/>
          <w:bCs/>
          <w:color w:val="auto"/>
          <w:kern w:val="2"/>
          <w:sz w:val="32"/>
          <w:szCs w:val="32"/>
          <w:highlight w:val="none"/>
        </w:rPr>
        <w:t xml:space="preserve">1.4 </w:t>
      </w:r>
      <w:bookmarkEnd w:id="186"/>
      <w:r>
        <w:rPr>
          <w:rFonts w:hint="eastAsia" w:ascii="宋体" w:hAnsi="宋体" w:eastAsia="宋体" w:cs="宋体"/>
          <w:b/>
          <w:bCs/>
          <w:color w:val="auto"/>
          <w:kern w:val="2"/>
          <w:sz w:val="32"/>
          <w:szCs w:val="32"/>
          <w:highlight w:val="none"/>
        </w:rPr>
        <w:t>标准和规范</w:t>
      </w:r>
    </w:p>
    <w:p w14:paraId="4BBF3B7D">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1.4.1 </w:t>
      </w:r>
      <w:r>
        <w:rPr>
          <w:rFonts w:hint="eastAsia" w:ascii="宋体" w:hAnsi="宋体" w:eastAsia="宋体" w:cs="宋体"/>
          <w:color w:val="auto"/>
          <w:kern w:val="0"/>
          <w:sz w:val="21"/>
          <w:szCs w:val="21"/>
          <w:highlight w:val="none"/>
          <w:lang w:val="en-US" w:eastAsia="zh-CN" w:bidi="ar"/>
        </w:rPr>
        <w:t>适用于工程的标准规范包括：</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2"/>
          <w:szCs w:val="22"/>
          <w:highlight w:val="none"/>
          <w:u w:val="single"/>
          <w:lang w:val="en-US" w:eastAsia="zh-CN" w:bidi="ar"/>
        </w:rPr>
        <w:t>现行的国家标准、规范、行业标准、规范等文件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A1E9123">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1.4.2 </w:t>
      </w:r>
      <w:r>
        <w:rPr>
          <w:rFonts w:hint="eastAsia" w:ascii="宋体" w:hAnsi="宋体" w:eastAsia="宋体" w:cs="宋体"/>
          <w:color w:val="auto"/>
          <w:kern w:val="0"/>
          <w:sz w:val="21"/>
          <w:szCs w:val="21"/>
          <w:highlight w:val="none"/>
          <w:lang w:val="en-US" w:eastAsia="zh-CN" w:bidi="ar"/>
        </w:rPr>
        <w:t>发包人提供国外标准、规范的名称：</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B2B591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发包人提供国外标准、规范的份数：</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AAFA71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发包人提供国外标准、规范的名称：</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32C7E54F">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1.4.3 </w:t>
      </w:r>
      <w:r>
        <w:rPr>
          <w:rFonts w:hint="eastAsia" w:ascii="宋体" w:hAnsi="宋体" w:eastAsia="宋体" w:cs="宋体"/>
          <w:color w:val="auto"/>
          <w:kern w:val="0"/>
          <w:sz w:val="21"/>
          <w:szCs w:val="21"/>
          <w:highlight w:val="none"/>
          <w:lang w:val="en-US" w:eastAsia="zh-CN" w:bidi="ar"/>
        </w:rPr>
        <w:t>发包人对工程的技术标准和功能要求的特殊要求：</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A25BA1D">
      <w:pPr>
        <w:pStyle w:val="4"/>
        <w:widowControl/>
        <w:shd w:val="clear"/>
        <w:rPr>
          <w:rFonts w:hint="default" w:ascii="Times New Roman" w:hAnsi="Times New Roman" w:eastAsia="宋体" w:cs="Times New Roman"/>
          <w:b/>
          <w:bCs/>
          <w:color w:val="auto"/>
          <w:kern w:val="2"/>
          <w:sz w:val="32"/>
          <w:szCs w:val="32"/>
          <w:highlight w:val="none"/>
        </w:rPr>
      </w:pPr>
      <w:bookmarkStart w:id="187" w:name="_Toc373227696"/>
      <w:bookmarkEnd w:id="187"/>
      <w:bookmarkStart w:id="188" w:name="_Toc373478343"/>
      <w:bookmarkEnd w:id="188"/>
      <w:bookmarkStart w:id="189" w:name="_Toc389065262"/>
      <w:bookmarkEnd w:id="189"/>
      <w:bookmarkStart w:id="190" w:name="_Toc407135198"/>
      <w:bookmarkEnd w:id="190"/>
      <w:bookmarkStart w:id="191" w:name="_Toc9850526"/>
      <w:r>
        <w:rPr>
          <w:rFonts w:hint="default" w:ascii="Times New Roman" w:hAnsi="Times New Roman" w:eastAsia="宋体" w:cs="Times New Roman"/>
          <w:b/>
          <w:bCs/>
          <w:color w:val="auto"/>
          <w:kern w:val="2"/>
          <w:sz w:val="32"/>
          <w:szCs w:val="32"/>
          <w:highlight w:val="none"/>
        </w:rPr>
        <w:t xml:space="preserve">1.5 </w:t>
      </w:r>
      <w:bookmarkEnd w:id="191"/>
      <w:r>
        <w:rPr>
          <w:rFonts w:hint="eastAsia" w:ascii="宋体" w:hAnsi="宋体" w:eastAsia="宋体" w:cs="宋体"/>
          <w:b/>
          <w:bCs/>
          <w:color w:val="auto"/>
          <w:kern w:val="2"/>
          <w:sz w:val="32"/>
          <w:szCs w:val="32"/>
          <w:highlight w:val="none"/>
        </w:rPr>
        <w:t>合同文件的优先顺序</w:t>
      </w:r>
    </w:p>
    <w:p w14:paraId="26B204F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合同文件组成及优先顺序为：</w:t>
      </w:r>
    </w:p>
    <w:p w14:paraId="1AC5422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）合同协议书；</w:t>
      </w:r>
    </w:p>
    <w:p w14:paraId="5094C98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）中标通知书（如有）；</w:t>
      </w:r>
    </w:p>
    <w:p w14:paraId="1EBD813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）投标函及其附录（如有）；</w:t>
      </w:r>
    </w:p>
    <w:p w14:paraId="6CA62F9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）专用合同条款及其附件；</w:t>
      </w:r>
    </w:p>
    <w:p w14:paraId="50CDCBA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）通用合同条款；</w:t>
      </w:r>
    </w:p>
    <w:p w14:paraId="4A28C38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技术标准和要求</w:t>
      </w:r>
      <w:r>
        <w:rPr>
          <w:rFonts w:hint="eastAsia" w:ascii="宋体" w:hAnsi="宋体" w:eastAsia="宋体" w:cs="宋体"/>
          <w:color w:val="auto"/>
          <w:kern w:val="0"/>
          <w:sz w:val="21"/>
          <w:szCs w:val="21"/>
          <w:highlight w:val="none"/>
          <w:lang w:val="en-US" w:eastAsia="zh-CN" w:bidi="ar"/>
        </w:rPr>
        <w:t>；</w:t>
      </w:r>
    </w:p>
    <w:p w14:paraId="39AC5BC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图纸</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6585D1E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已标价工程量清单或预算书</w:t>
      </w:r>
      <w:r>
        <w:rPr>
          <w:rFonts w:hint="eastAsia" w:ascii="宋体" w:hAnsi="宋体" w:eastAsia="宋体" w:cs="宋体"/>
          <w:color w:val="auto"/>
          <w:kern w:val="0"/>
          <w:sz w:val="21"/>
          <w:szCs w:val="21"/>
          <w:highlight w:val="none"/>
          <w:lang w:val="en-US" w:eastAsia="zh-CN" w:bidi="ar"/>
        </w:rPr>
        <w:t>；</w:t>
      </w:r>
    </w:p>
    <w:p w14:paraId="25D1A60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其他合同文件（如有）</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1236C64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）《建设工程工程量清单计价规范（</w:t>
      </w:r>
      <w:r>
        <w:rPr>
          <w:rFonts w:hint="default" w:ascii="Times New Roman" w:hAnsi="宋体" w:eastAsia="宋体" w:cs="Times New Roman"/>
          <w:color w:val="auto"/>
          <w:kern w:val="0"/>
          <w:sz w:val="21"/>
          <w:szCs w:val="21"/>
          <w:highlight w:val="none"/>
          <w:lang w:val="en-US" w:eastAsia="zh-CN" w:bidi="ar"/>
        </w:rPr>
        <w:t>GB50500-2013</w:t>
      </w:r>
      <w:r>
        <w:rPr>
          <w:rFonts w:hint="eastAsia" w:ascii="宋体" w:hAnsi="宋体" w:eastAsia="宋体" w:cs="宋体"/>
          <w:color w:val="auto"/>
          <w:kern w:val="0"/>
          <w:sz w:val="21"/>
          <w:szCs w:val="21"/>
          <w:highlight w:val="none"/>
          <w:lang w:val="en-US" w:eastAsia="zh-CN" w:bidi="ar"/>
        </w:rPr>
        <w:t>）》及其广西实施细则及《关于建筑业实施营业税改征增值税后广西壮族自治区建设工程计价依据调整的通知》（桂建标〔</w:t>
      </w:r>
      <w:r>
        <w:rPr>
          <w:rFonts w:hint="default" w:ascii="Times New Roman" w:hAnsi="宋体" w:eastAsia="宋体" w:cs="Times New Roman"/>
          <w:color w:val="auto"/>
          <w:kern w:val="0"/>
          <w:sz w:val="21"/>
          <w:szCs w:val="21"/>
          <w:highlight w:val="none"/>
          <w:lang w:val="en-US" w:eastAsia="zh-CN" w:bidi="ar"/>
        </w:rPr>
        <w:t>2016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17</w:t>
      </w:r>
      <w:r>
        <w:rPr>
          <w:rFonts w:hint="eastAsia" w:ascii="宋体" w:hAnsi="宋体" w:eastAsia="宋体" w:cs="宋体"/>
          <w:color w:val="auto"/>
          <w:kern w:val="0"/>
          <w:sz w:val="21"/>
          <w:szCs w:val="21"/>
          <w:highlight w:val="none"/>
          <w:lang w:val="en-US" w:eastAsia="zh-CN" w:bidi="ar"/>
        </w:rPr>
        <w:t>号）、《自治区住房城乡建设厅关于调整建设工程计价增值税税率的通知》（桂建标〔</w:t>
      </w:r>
      <w:r>
        <w:rPr>
          <w:rFonts w:hint="default" w:ascii="Times New Roman" w:hAnsi="Times New Roman" w:eastAsia="宋体" w:cs="Times New Roman"/>
          <w:color w:val="auto"/>
          <w:kern w:val="0"/>
          <w:sz w:val="21"/>
          <w:szCs w:val="21"/>
          <w:highlight w:val="none"/>
          <w:lang w:val="en-US" w:eastAsia="zh-CN" w:bidi="ar"/>
        </w:rPr>
        <w:t>2018</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14</w:t>
      </w:r>
      <w:r>
        <w:rPr>
          <w:rFonts w:hint="eastAsia" w:ascii="宋体" w:hAnsi="宋体" w:eastAsia="宋体" w:cs="宋体"/>
          <w:color w:val="auto"/>
          <w:kern w:val="0"/>
          <w:sz w:val="21"/>
          <w:szCs w:val="21"/>
          <w:highlight w:val="none"/>
          <w:lang w:val="en-US" w:eastAsia="zh-CN" w:bidi="ar"/>
        </w:rPr>
        <w:t>号）、《建设工程工程量清单计算规范（</w:t>
      </w:r>
      <w:r>
        <w:rPr>
          <w:rFonts w:hint="default" w:ascii="Times New Roman" w:hAnsi="宋体" w:eastAsia="宋体" w:cs="Times New Roman"/>
          <w:color w:val="auto"/>
          <w:kern w:val="0"/>
          <w:sz w:val="21"/>
          <w:szCs w:val="21"/>
          <w:highlight w:val="none"/>
          <w:lang w:val="en-US" w:eastAsia="zh-CN" w:bidi="ar"/>
        </w:rPr>
        <w:t>GB50854~50862-2013</w:t>
      </w:r>
      <w:r>
        <w:rPr>
          <w:rFonts w:hint="eastAsia" w:ascii="宋体" w:hAnsi="宋体" w:eastAsia="宋体" w:cs="宋体"/>
          <w:color w:val="auto"/>
          <w:kern w:val="0"/>
          <w:sz w:val="21"/>
          <w:szCs w:val="21"/>
          <w:highlight w:val="none"/>
          <w:lang w:val="en-US" w:eastAsia="zh-CN" w:bidi="ar"/>
        </w:rPr>
        <w:t>）》及其广西实施细则（修订本）。</w:t>
      </w:r>
    </w:p>
    <w:p w14:paraId="7995BEA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说明：（</w:t>
      </w:r>
      <w:r>
        <w:rPr>
          <w:rFonts w:hint="default" w:ascii="Times New Roman" w:hAnsi="宋体"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）填空内容分别限于技术标准和要求、图纸、已标价工程量清单或预算书、其他合同文件四者之一，其优先顺序可根据采取的不同合同方式由双方约定。</w:t>
      </w:r>
    </w:p>
    <w:p w14:paraId="6A146CEF">
      <w:pPr>
        <w:pStyle w:val="4"/>
        <w:widowControl/>
        <w:shd w:val="clear"/>
        <w:rPr>
          <w:rFonts w:hint="default" w:ascii="Times New Roman" w:hAnsi="Times New Roman" w:eastAsia="宋体" w:cs="Times New Roman"/>
          <w:b/>
          <w:bCs/>
          <w:color w:val="auto"/>
          <w:kern w:val="2"/>
          <w:sz w:val="32"/>
          <w:szCs w:val="32"/>
          <w:highlight w:val="none"/>
        </w:rPr>
      </w:pPr>
      <w:bookmarkStart w:id="192" w:name="_Toc407135199"/>
      <w:bookmarkEnd w:id="192"/>
      <w:bookmarkStart w:id="193" w:name="_Toc373478344"/>
      <w:bookmarkEnd w:id="193"/>
      <w:bookmarkStart w:id="194" w:name="_Toc9850527"/>
      <w:bookmarkEnd w:id="194"/>
      <w:bookmarkStart w:id="195" w:name="_Toc373227697"/>
      <w:bookmarkEnd w:id="195"/>
      <w:bookmarkStart w:id="196" w:name="_Toc389065263"/>
      <w:r>
        <w:rPr>
          <w:rFonts w:hint="default" w:ascii="Times New Roman" w:hAnsi="Times New Roman" w:eastAsia="宋体" w:cs="Times New Roman"/>
          <w:b/>
          <w:bCs/>
          <w:color w:val="auto"/>
          <w:kern w:val="2"/>
          <w:sz w:val="32"/>
          <w:szCs w:val="32"/>
          <w:highlight w:val="none"/>
        </w:rPr>
        <w:t xml:space="preserve">1.6 </w:t>
      </w:r>
      <w:bookmarkEnd w:id="196"/>
      <w:r>
        <w:rPr>
          <w:rFonts w:hint="eastAsia" w:ascii="宋体" w:hAnsi="宋体" w:eastAsia="宋体" w:cs="宋体"/>
          <w:b/>
          <w:bCs/>
          <w:color w:val="auto"/>
          <w:kern w:val="2"/>
          <w:sz w:val="32"/>
          <w:szCs w:val="32"/>
          <w:highlight w:val="none"/>
        </w:rPr>
        <w:t>图纸和承包人文件</w:t>
      </w:r>
      <w:r>
        <w:rPr>
          <w:rFonts w:hint="default" w:ascii="Times New Roman" w:hAnsi="Times New Roman" w:eastAsia="宋体" w:cs="Times New Roman"/>
          <w:b/>
          <w:bCs/>
          <w:color w:val="auto"/>
          <w:kern w:val="2"/>
          <w:sz w:val="32"/>
          <w:szCs w:val="32"/>
          <w:highlight w:val="none"/>
        </w:rPr>
        <w:tab/>
      </w:r>
    </w:p>
    <w:p w14:paraId="12F8731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 </w:t>
      </w:r>
      <w:r>
        <w:rPr>
          <w:rFonts w:hint="eastAsia" w:ascii="宋体" w:hAnsi="宋体" w:eastAsia="宋体" w:cs="宋体"/>
          <w:color w:val="auto"/>
          <w:kern w:val="0"/>
          <w:sz w:val="21"/>
          <w:szCs w:val="21"/>
          <w:highlight w:val="none"/>
          <w:lang w:val="en-US" w:eastAsia="zh-CN" w:bidi="ar"/>
        </w:rPr>
        <w:t>图纸的提供</w:t>
      </w:r>
    </w:p>
    <w:p w14:paraId="4F64D1F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自合同签订之日起</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2A8585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发包人向承包人提供图纸的数量：</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MingLiU_HKSCS" w:hAnsi="MingLiU_HKSCS" w:eastAsia="MingLiU_HKSCS" w:cs="MingLiU_HKSCS"/>
          <w:color w:val="auto"/>
          <w:kern w:val="0"/>
          <w:sz w:val="21"/>
          <w:szCs w:val="21"/>
          <w:highlight w:val="none"/>
          <w:u w:val="single"/>
          <w:lang w:val="en-US" w:eastAsia="zh-CN" w:bidi="ar"/>
        </w:rPr>
        <w:t>1</w:t>
      </w:r>
      <w:r>
        <w:rPr>
          <w:rFonts w:hint="eastAsia" w:ascii="MingLiU_HKSCS" w:hAnsi="Times New Roman" w:eastAsia="宋体" w:cs="MingLiU_HKSCS"/>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套（承包人需要增加图纸套数的，发包人应代为复制，复制费用由承包人承担）；</w:t>
      </w:r>
    </w:p>
    <w:p w14:paraId="59DC001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全套施工图图纸</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67F267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1.6.4 </w:t>
      </w:r>
      <w:r>
        <w:rPr>
          <w:rFonts w:hint="eastAsia" w:ascii="宋体" w:hAnsi="宋体" w:eastAsia="宋体" w:cs="宋体"/>
          <w:color w:val="auto"/>
          <w:kern w:val="0"/>
          <w:sz w:val="21"/>
          <w:szCs w:val="21"/>
          <w:highlight w:val="none"/>
          <w:lang w:val="en-US" w:eastAsia="zh-CN" w:bidi="ar"/>
        </w:rPr>
        <w:t>承包人文件</w:t>
      </w:r>
    </w:p>
    <w:p w14:paraId="1B725DD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需要由承包人提供的文件，包括：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A39EC3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承包人提供的文件的期限为：</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828DEA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承包人提供的文件的数量为：</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2C1D8A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承包人提供的文件的形式为：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书面形式</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B37CBD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发包人审批承包人文件的期限：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接到发包人通知后</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A39905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1.6.5 </w:t>
      </w:r>
      <w:r>
        <w:rPr>
          <w:rFonts w:hint="eastAsia" w:ascii="宋体" w:hAnsi="宋体" w:eastAsia="宋体" w:cs="宋体"/>
          <w:color w:val="auto"/>
          <w:kern w:val="0"/>
          <w:sz w:val="21"/>
          <w:szCs w:val="21"/>
          <w:highlight w:val="none"/>
          <w:lang w:val="en-US" w:eastAsia="zh-CN" w:bidi="ar"/>
        </w:rPr>
        <w:t>现场图纸准备</w:t>
      </w:r>
    </w:p>
    <w:p w14:paraId="496FD13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关于现场图纸准备的约定：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施工期间现场至少保留</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套完整的图纸  。</w:t>
      </w:r>
    </w:p>
    <w:p w14:paraId="39B5FF0D">
      <w:pPr>
        <w:pStyle w:val="4"/>
        <w:widowControl/>
        <w:shd w:val="clear"/>
        <w:rPr>
          <w:rFonts w:hint="default" w:ascii="Times New Roman" w:hAnsi="Times New Roman" w:eastAsia="宋体" w:cs="Times New Roman"/>
          <w:b/>
          <w:bCs/>
          <w:color w:val="auto"/>
          <w:kern w:val="2"/>
          <w:sz w:val="32"/>
          <w:szCs w:val="32"/>
          <w:highlight w:val="none"/>
        </w:rPr>
      </w:pPr>
      <w:bookmarkStart w:id="197" w:name="_Toc407135200"/>
      <w:bookmarkEnd w:id="197"/>
      <w:bookmarkStart w:id="198" w:name="_Toc389065264"/>
      <w:bookmarkEnd w:id="198"/>
      <w:bookmarkStart w:id="199" w:name="_Toc373227698"/>
      <w:bookmarkEnd w:id="199"/>
      <w:bookmarkStart w:id="200" w:name="_Toc373478345"/>
      <w:bookmarkEnd w:id="200"/>
      <w:bookmarkStart w:id="201" w:name="_Toc9850528"/>
      <w:r>
        <w:rPr>
          <w:rFonts w:hint="default" w:ascii="Times New Roman" w:hAnsi="Times New Roman" w:eastAsia="宋体" w:cs="Times New Roman"/>
          <w:b/>
          <w:bCs/>
          <w:color w:val="auto"/>
          <w:kern w:val="2"/>
          <w:sz w:val="32"/>
          <w:szCs w:val="32"/>
          <w:highlight w:val="none"/>
        </w:rPr>
        <w:t xml:space="preserve">1.7 </w:t>
      </w:r>
      <w:bookmarkEnd w:id="201"/>
      <w:r>
        <w:rPr>
          <w:rFonts w:hint="eastAsia" w:ascii="宋体" w:hAnsi="宋体" w:eastAsia="宋体" w:cs="宋体"/>
          <w:b/>
          <w:bCs/>
          <w:color w:val="auto"/>
          <w:kern w:val="2"/>
          <w:sz w:val="32"/>
          <w:szCs w:val="32"/>
          <w:highlight w:val="none"/>
        </w:rPr>
        <w:t>联络</w:t>
      </w:r>
    </w:p>
    <w:p w14:paraId="78A517D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1.7.1</w:t>
      </w:r>
      <w:r>
        <w:rPr>
          <w:rFonts w:hint="eastAsia" w:ascii="宋体" w:hAnsi="宋体" w:eastAsia="宋体" w:cs="宋体"/>
          <w:color w:val="auto"/>
          <w:kern w:val="0"/>
          <w:sz w:val="21"/>
          <w:szCs w:val="21"/>
          <w:highlight w:val="none"/>
          <w:lang w:val="en-US" w:eastAsia="zh-CN" w:bidi="ar"/>
        </w:rPr>
        <w:t>发包人和承包人应当在</w:t>
      </w:r>
      <w:r>
        <w:rPr>
          <w:rFonts w:hint="default" w:ascii="Times New Roman" w:hAnsi="Times New Roman" w:eastAsia="宋体" w:cs="Times New Roman"/>
          <w:color w:val="auto"/>
          <w:kern w:val="0"/>
          <w:sz w:val="21"/>
          <w:szCs w:val="21"/>
          <w:highlight w:val="none"/>
          <w:u w:val="single"/>
          <w:lang w:val="en-US" w:eastAsia="zh-CN" w:bidi="ar"/>
        </w:rPr>
        <w:t xml:space="preserve"> 1  </w:t>
      </w:r>
      <w:r>
        <w:rPr>
          <w:rFonts w:hint="eastAsia" w:ascii="宋体" w:hAnsi="宋体" w:eastAsia="宋体" w:cs="宋体"/>
          <w:color w:val="auto"/>
          <w:kern w:val="0"/>
          <w:sz w:val="21"/>
          <w:szCs w:val="21"/>
          <w:highlight w:val="none"/>
          <w:lang w:val="en-US" w:eastAsia="zh-CN" w:bidi="ar"/>
        </w:rPr>
        <w:t>天内将与合同有关的通知、批准、证明、证书、指示、指令、要求、请求、同意、意见、确定和决定等书面函件送达对方当事人。</w:t>
      </w:r>
    </w:p>
    <w:p w14:paraId="18804872">
      <w:pPr>
        <w:keepNext w:val="0"/>
        <w:keepLines w:val="0"/>
        <w:widowControl/>
        <w:suppressLineNumbers w:val="0"/>
        <w:shd w:val="clear"/>
        <w:kinsoku w:val="0"/>
        <w:autoSpaceDE w:val="0"/>
        <w:autoSpaceDN w:val="0"/>
        <w:adjustRightInd w:val="0"/>
        <w:snapToGrid w:val="0"/>
        <w:spacing w:before="0" w:beforeAutospacing="0" w:after="0" w:afterAutospacing="0" w:line="480" w:lineRule="auto"/>
        <w:ind w:left="0" w:leftChars="0" w:right="0" w:firstLine="0" w:firstLineChars="0"/>
        <w:jc w:val="both"/>
        <w:textAlignment w:val="baseline"/>
        <w:rPr>
          <w:rFonts w:hint="eastAsia" w:ascii="Times New Roman" w:hAnsi="宋体" w:eastAsia="宋体" w:cs="宋体"/>
          <w:color w:val="auto"/>
          <w:kern w:val="0"/>
          <w:sz w:val="21"/>
          <w:szCs w:val="21"/>
          <w:highlight w:val="none"/>
          <w:vertAlign w:val="baseline"/>
        </w:rPr>
      </w:pPr>
      <w:r>
        <w:rPr>
          <w:rFonts w:hint="default" w:ascii="Times New Roman" w:hAnsi="Times New Roman" w:eastAsia="宋体" w:cs="Times New Roman"/>
          <w:color w:val="auto"/>
          <w:kern w:val="0"/>
          <w:sz w:val="21"/>
          <w:szCs w:val="21"/>
          <w:highlight w:val="none"/>
          <w:vertAlign w:val="baseline"/>
          <w:lang w:val="en-US" w:eastAsia="zh-CN" w:bidi="ar"/>
        </w:rPr>
        <w:t xml:space="preserve">1.7.2 </w:t>
      </w:r>
      <w:r>
        <w:rPr>
          <w:rFonts w:hint="eastAsia" w:ascii="宋体" w:hAnsi="宋体" w:eastAsia="宋体" w:cs="宋体"/>
          <w:color w:val="auto"/>
          <w:kern w:val="0"/>
          <w:sz w:val="21"/>
          <w:szCs w:val="21"/>
          <w:highlight w:val="none"/>
          <w:vertAlign w:val="baseline"/>
          <w:lang w:val="en-US" w:eastAsia="zh-CN" w:bidi="ar"/>
        </w:rPr>
        <w:t>发包人接收文件的地点：</w:t>
      </w:r>
      <w:r>
        <w:rPr>
          <w:rFonts w:hint="eastAsia" w:ascii="宋体" w:hAnsi="宋体" w:cs="宋体"/>
          <w:color w:val="auto"/>
          <w:kern w:val="0"/>
          <w:sz w:val="21"/>
          <w:szCs w:val="21"/>
          <w:highlight w:val="none"/>
          <w:u w:val="single"/>
          <w:vertAlign w:val="baseline"/>
          <w:lang w:val="en-US" w:eastAsia="zh-CN" w:bidi="ar"/>
        </w:rPr>
        <w:t xml:space="preserve">                      </w:t>
      </w:r>
      <w:r>
        <w:rPr>
          <w:rFonts w:hint="eastAsia" w:ascii="宋体" w:hAnsi="宋体" w:eastAsia="宋体" w:cs="宋体"/>
          <w:color w:val="auto"/>
          <w:kern w:val="0"/>
          <w:sz w:val="21"/>
          <w:szCs w:val="21"/>
          <w:highlight w:val="none"/>
          <w:u w:val="single"/>
          <w:vertAlign w:val="baseline"/>
          <w:lang w:val="en-US" w:eastAsia="zh-CN" w:bidi="ar"/>
        </w:rPr>
        <w:t>；</w:t>
      </w:r>
    </w:p>
    <w:p w14:paraId="56A48B1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0D3807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承包人接收文件的地点：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309993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506F90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监理人接收文件的地点：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5F6186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监理人指定的接收人为：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3A1F0AA">
      <w:pPr>
        <w:pStyle w:val="4"/>
        <w:widowControl/>
        <w:shd w:val="clear"/>
        <w:rPr>
          <w:rFonts w:hint="default" w:ascii="Times New Roman" w:hAnsi="Times New Roman" w:eastAsia="宋体" w:cs="Times New Roman"/>
          <w:b/>
          <w:bCs/>
          <w:color w:val="auto"/>
          <w:kern w:val="2"/>
          <w:sz w:val="32"/>
          <w:szCs w:val="32"/>
          <w:highlight w:val="none"/>
        </w:rPr>
      </w:pPr>
      <w:bookmarkStart w:id="202" w:name="_Toc373478346"/>
      <w:bookmarkEnd w:id="202"/>
      <w:bookmarkStart w:id="203" w:name="_Toc373227699"/>
      <w:bookmarkEnd w:id="203"/>
      <w:bookmarkStart w:id="204" w:name="_Toc389065265"/>
      <w:bookmarkEnd w:id="204"/>
      <w:bookmarkStart w:id="205" w:name="_Toc9850529"/>
      <w:bookmarkEnd w:id="205"/>
      <w:bookmarkStart w:id="206" w:name="_Toc407135201"/>
      <w:r>
        <w:rPr>
          <w:rFonts w:hint="default" w:ascii="Times New Roman" w:hAnsi="Times New Roman" w:eastAsia="宋体" w:cs="Times New Roman"/>
          <w:b/>
          <w:bCs/>
          <w:color w:val="auto"/>
          <w:kern w:val="2"/>
          <w:sz w:val="32"/>
          <w:szCs w:val="32"/>
          <w:highlight w:val="none"/>
        </w:rPr>
        <w:t xml:space="preserve">1.10 </w:t>
      </w:r>
      <w:bookmarkEnd w:id="206"/>
      <w:r>
        <w:rPr>
          <w:rFonts w:hint="eastAsia" w:ascii="宋体" w:hAnsi="宋体" w:eastAsia="宋体" w:cs="宋体"/>
          <w:b/>
          <w:bCs/>
          <w:color w:val="auto"/>
          <w:kern w:val="2"/>
          <w:sz w:val="32"/>
          <w:szCs w:val="32"/>
          <w:highlight w:val="none"/>
        </w:rPr>
        <w:t>交通运输</w:t>
      </w:r>
    </w:p>
    <w:p w14:paraId="572ECBE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207" w:name="_Toc300934943"/>
      <w:bookmarkEnd w:id="207"/>
      <w:bookmarkStart w:id="208" w:name="_Toc312677986"/>
      <w:bookmarkEnd w:id="208"/>
      <w:bookmarkStart w:id="209" w:name="_Toc318581155"/>
      <w:bookmarkEnd w:id="209"/>
      <w:bookmarkStart w:id="210" w:name="_Toc303539100"/>
      <w:bookmarkEnd w:id="210"/>
      <w:bookmarkStart w:id="211" w:name="_Toc304295521"/>
      <w:r>
        <w:rPr>
          <w:rFonts w:hint="default" w:ascii="Times New Roman" w:hAnsi="Times New Roman" w:eastAsia="宋体" w:cs="Times New Roman"/>
          <w:color w:val="auto"/>
          <w:kern w:val="0"/>
          <w:sz w:val="21"/>
          <w:szCs w:val="21"/>
          <w:highlight w:val="none"/>
          <w:lang w:val="en-US" w:eastAsia="zh-CN" w:bidi="ar"/>
        </w:rPr>
        <w:t xml:space="preserve">.10.1 </w:t>
      </w:r>
      <w:bookmarkEnd w:id="211"/>
      <w:r>
        <w:rPr>
          <w:rFonts w:hint="eastAsia" w:ascii="宋体" w:hAnsi="宋体" w:eastAsia="宋体" w:cs="宋体"/>
          <w:color w:val="auto"/>
          <w:kern w:val="0"/>
          <w:sz w:val="21"/>
          <w:szCs w:val="21"/>
          <w:highlight w:val="none"/>
          <w:lang w:val="en-US" w:eastAsia="zh-CN" w:bidi="ar"/>
        </w:rPr>
        <w:t>出入现场的权利</w:t>
      </w:r>
    </w:p>
    <w:p w14:paraId="3D107CF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关于出入现场的权利的约定：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B259E2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212" w:name="_Toc312677987"/>
      <w:bookmarkEnd w:id="212"/>
      <w:bookmarkStart w:id="213" w:name="_Toc303539101"/>
      <w:bookmarkEnd w:id="213"/>
      <w:bookmarkStart w:id="214" w:name="_Toc318581156"/>
      <w:bookmarkEnd w:id="214"/>
      <w:bookmarkStart w:id="215" w:name="_Toc300934944"/>
      <w:bookmarkEnd w:id="215"/>
      <w:bookmarkStart w:id="216" w:name="_Toc304295522"/>
      <w:r>
        <w:rPr>
          <w:rFonts w:hint="default" w:ascii="Times New Roman" w:hAnsi="Times New Roman" w:eastAsia="宋体" w:cs="Times New Roman"/>
          <w:color w:val="auto"/>
          <w:kern w:val="0"/>
          <w:sz w:val="21"/>
          <w:szCs w:val="21"/>
          <w:highlight w:val="none"/>
          <w:lang w:val="en-US" w:eastAsia="zh-CN" w:bidi="ar"/>
        </w:rPr>
        <w:t xml:space="preserve">.10.3 </w:t>
      </w:r>
      <w:bookmarkEnd w:id="216"/>
      <w:r>
        <w:rPr>
          <w:rFonts w:hint="eastAsia" w:ascii="宋体" w:hAnsi="宋体" w:eastAsia="宋体" w:cs="宋体"/>
          <w:color w:val="auto"/>
          <w:kern w:val="0"/>
          <w:sz w:val="21"/>
          <w:szCs w:val="21"/>
          <w:highlight w:val="none"/>
          <w:lang w:val="en-US" w:eastAsia="zh-CN" w:bidi="ar"/>
        </w:rPr>
        <w:t>场内交通</w:t>
      </w:r>
    </w:p>
    <w:p w14:paraId="3BC45CF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关于场外交通和场内交通的边界的约定：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583D14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关于发包人向承包人免费提供满足工程施工需要的场内道路和交通设施的约定：</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bookmarkStart w:id="217" w:name="_Toc318581157"/>
      <w:bookmarkEnd w:id="217"/>
    </w:p>
    <w:p w14:paraId="6DD079D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1.10.4 </w:t>
      </w:r>
      <w:r>
        <w:rPr>
          <w:rFonts w:hint="eastAsia" w:ascii="宋体" w:hAnsi="宋体" w:eastAsia="宋体" w:cs="宋体"/>
          <w:color w:val="auto"/>
          <w:kern w:val="0"/>
          <w:sz w:val="21"/>
          <w:szCs w:val="21"/>
          <w:highlight w:val="none"/>
          <w:lang w:val="en-US" w:eastAsia="zh-CN" w:bidi="ar"/>
        </w:rPr>
        <w:t>超大件和超重件的运输</w:t>
      </w:r>
    </w:p>
    <w:p w14:paraId="5A44B5B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运输超大件或超重件所需的道路和桥梁临时加固改造费用和其他有关费用由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承担。</w:t>
      </w:r>
    </w:p>
    <w:p w14:paraId="33B86993">
      <w:pPr>
        <w:pStyle w:val="4"/>
        <w:widowControl/>
        <w:shd w:val="clear"/>
        <w:rPr>
          <w:rFonts w:hint="default" w:ascii="Times New Roman" w:hAnsi="Times New Roman" w:eastAsia="宋体" w:cs="Times New Roman"/>
          <w:b/>
          <w:bCs/>
          <w:color w:val="auto"/>
          <w:kern w:val="2"/>
          <w:sz w:val="32"/>
          <w:szCs w:val="32"/>
          <w:highlight w:val="none"/>
        </w:rPr>
      </w:pPr>
      <w:bookmarkStart w:id="218" w:name="_Toc9850530"/>
      <w:bookmarkEnd w:id="218"/>
      <w:bookmarkStart w:id="219" w:name="_Toc373227700"/>
      <w:bookmarkEnd w:id="219"/>
      <w:bookmarkStart w:id="220" w:name="_Toc389065266"/>
      <w:bookmarkEnd w:id="220"/>
      <w:bookmarkStart w:id="221" w:name="_Toc373478347"/>
      <w:bookmarkEnd w:id="221"/>
      <w:bookmarkStart w:id="222" w:name="_Toc407135202"/>
      <w:r>
        <w:rPr>
          <w:rFonts w:hint="default" w:ascii="Times New Roman" w:hAnsi="Times New Roman" w:eastAsia="宋体" w:cs="Times New Roman"/>
          <w:b/>
          <w:bCs/>
          <w:color w:val="auto"/>
          <w:kern w:val="2"/>
          <w:sz w:val="32"/>
          <w:szCs w:val="32"/>
          <w:highlight w:val="none"/>
        </w:rPr>
        <w:t xml:space="preserve">1.11 </w:t>
      </w:r>
      <w:bookmarkEnd w:id="222"/>
      <w:r>
        <w:rPr>
          <w:rFonts w:hint="eastAsia" w:ascii="宋体" w:hAnsi="宋体" w:eastAsia="宋体" w:cs="宋体"/>
          <w:b/>
          <w:bCs/>
          <w:color w:val="auto"/>
          <w:kern w:val="2"/>
          <w:sz w:val="32"/>
          <w:szCs w:val="32"/>
          <w:highlight w:val="none"/>
        </w:rPr>
        <w:t>知识产权</w:t>
      </w:r>
    </w:p>
    <w:p w14:paraId="5B1B131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1.11.1 </w:t>
      </w:r>
      <w:r>
        <w:rPr>
          <w:rFonts w:hint="eastAsia" w:ascii="宋体" w:hAnsi="宋体" w:eastAsia="宋体" w:cs="宋体"/>
          <w:color w:val="auto"/>
          <w:kern w:val="0"/>
          <w:sz w:val="21"/>
          <w:szCs w:val="21"/>
          <w:highlight w:val="none"/>
          <w:lang w:val="en-US" w:eastAsia="zh-CN" w:bidi="ar"/>
        </w:rPr>
        <w:t>关于发包人提供给承包人的图纸、发包人为实施工程自行编制或委托编制的技术规范以及反映发包人关于合同要求或其他类似性质的文件的著作权的归属：</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发包人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B2EDDB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关于发包人提供的上述文件的使用限制的要求：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按照通用条款和现行法律法规相关规定执行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04F910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1.11.2 </w:t>
      </w:r>
      <w:r>
        <w:rPr>
          <w:rFonts w:hint="eastAsia" w:ascii="宋体" w:hAnsi="宋体" w:eastAsia="宋体" w:cs="宋体"/>
          <w:color w:val="auto"/>
          <w:kern w:val="0"/>
          <w:sz w:val="21"/>
          <w:szCs w:val="21"/>
          <w:highlight w:val="none"/>
          <w:lang w:val="en-US" w:eastAsia="zh-CN" w:bidi="ar"/>
        </w:rPr>
        <w:t>关于承包人为实施工程所编制文件的著作权的归属：</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发包人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F5FEF57">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关于承包人提供的上述文件的使用限制的要求：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按照通用条款和现行法律法规相关规定执行。</w:t>
      </w:r>
    </w:p>
    <w:p w14:paraId="741F8C47">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1.11.4 </w:t>
      </w:r>
      <w:r>
        <w:rPr>
          <w:rFonts w:hint="eastAsia" w:ascii="宋体" w:hAnsi="宋体" w:eastAsia="宋体" w:cs="宋体"/>
          <w:color w:val="auto"/>
          <w:kern w:val="0"/>
          <w:sz w:val="21"/>
          <w:szCs w:val="21"/>
          <w:highlight w:val="none"/>
          <w:lang w:val="en-US" w:eastAsia="zh-CN" w:bidi="ar"/>
        </w:rPr>
        <w:t>承包人在施工过程中所采用的专利、专有技术、技术秘密的使用费的承担方式：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8B935F3">
      <w:pPr>
        <w:pStyle w:val="4"/>
        <w:widowControl/>
        <w:shd w:val="clear"/>
        <w:rPr>
          <w:rFonts w:hint="default" w:ascii="Times New Roman" w:hAnsi="Times New Roman" w:eastAsia="宋体" w:cs="Times New Roman"/>
          <w:b/>
          <w:bCs/>
          <w:color w:val="auto"/>
          <w:kern w:val="2"/>
          <w:sz w:val="32"/>
          <w:szCs w:val="32"/>
          <w:highlight w:val="none"/>
        </w:rPr>
      </w:pPr>
      <w:bookmarkStart w:id="223" w:name="_Toc9850531"/>
      <w:bookmarkEnd w:id="223"/>
      <w:bookmarkStart w:id="224" w:name="_Toc407135203"/>
      <w:bookmarkEnd w:id="224"/>
      <w:bookmarkStart w:id="225" w:name="_Toc389065267"/>
      <w:bookmarkEnd w:id="225"/>
      <w:bookmarkStart w:id="226" w:name="_Toc373227701"/>
      <w:bookmarkEnd w:id="226"/>
      <w:bookmarkStart w:id="227" w:name="_Toc373478348"/>
      <w:r>
        <w:rPr>
          <w:rFonts w:hint="default" w:ascii="Times New Roman" w:hAnsi="Times New Roman" w:eastAsia="宋体" w:cs="Times New Roman"/>
          <w:b/>
          <w:bCs/>
          <w:color w:val="auto"/>
          <w:kern w:val="2"/>
          <w:sz w:val="32"/>
          <w:szCs w:val="32"/>
          <w:highlight w:val="none"/>
        </w:rPr>
        <w:t>1.13</w:t>
      </w:r>
      <w:bookmarkEnd w:id="227"/>
      <w:r>
        <w:rPr>
          <w:rFonts w:hint="eastAsia" w:ascii="宋体" w:hAnsi="宋体" w:eastAsia="宋体" w:cs="宋体"/>
          <w:b/>
          <w:bCs/>
          <w:color w:val="auto"/>
          <w:kern w:val="2"/>
          <w:sz w:val="32"/>
          <w:szCs w:val="32"/>
          <w:highlight w:val="none"/>
        </w:rPr>
        <w:t>工程量清单错误的修正</w:t>
      </w:r>
    </w:p>
    <w:p w14:paraId="001A98C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228" w:name="_Toc373478349"/>
      <w:bookmarkEnd w:id="228"/>
      <w:bookmarkStart w:id="229" w:name="_Toc407135204"/>
      <w:bookmarkEnd w:id="229"/>
      <w:bookmarkStart w:id="230" w:name="_Toc9850532"/>
      <w:bookmarkEnd w:id="230"/>
      <w:bookmarkStart w:id="231" w:name="_Toc351203634"/>
      <w:bookmarkEnd w:id="231"/>
      <w:bookmarkStart w:id="232" w:name="_Toc389065268"/>
      <w:bookmarkEnd w:id="232"/>
      <w:bookmarkStart w:id="233" w:name="_Toc373227702"/>
      <w:r>
        <w:rPr>
          <w:rFonts w:hint="eastAsia" w:ascii="宋体" w:hAnsi="宋体" w:eastAsia="宋体" w:cs="宋体"/>
          <w:color w:val="auto"/>
          <w:kern w:val="0"/>
          <w:sz w:val="21"/>
          <w:szCs w:val="21"/>
          <w:highlight w:val="none"/>
          <w:lang w:val="en-US" w:eastAsia="zh-CN" w:bidi="ar"/>
        </w:rPr>
        <w:t>出现工程量清单工程量偏差时，是否调整合同价格：</w:t>
      </w:r>
      <w:bookmarkEnd w:id="233"/>
      <w:r>
        <w:rPr>
          <w:rFonts w:hint="eastAsia" w:ascii="宋体" w:hAnsi="宋体" w:eastAsia="宋体" w:cs="宋体"/>
          <w:color w:val="auto"/>
          <w:kern w:val="0"/>
          <w:sz w:val="21"/>
          <w:szCs w:val="21"/>
          <w:highlight w:val="none"/>
          <w:u w:val="single"/>
          <w:lang w:val="en-US" w:eastAsia="zh-CN" w:bidi="ar"/>
        </w:rPr>
        <w:t>□允许</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☑不允许</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B8B2F9C">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允许调整合同价格的工程量偏差范围及其调整办法：</w:t>
      </w:r>
    </w:p>
    <w:p w14:paraId="6C40877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除严重不平衡报价外，无论分部分项工程量清单项目中的工程量变化多少均不调整</w:t>
      </w:r>
      <w:r>
        <w:rPr>
          <w:rFonts w:hint="eastAsia" w:ascii="宋体" w:hAnsi="宋体" w:eastAsia="宋体" w:cs="宋体"/>
          <w:color w:val="auto"/>
          <w:kern w:val="0"/>
          <w:sz w:val="21"/>
          <w:szCs w:val="21"/>
          <w:highlight w:val="none"/>
          <w:lang w:val="en-US" w:eastAsia="zh-CN" w:bidi="ar"/>
        </w:rPr>
        <w:t>。</w:t>
      </w:r>
    </w:p>
    <w:p w14:paraId="4DA0E560">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Calibri"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承包人实际完成的某单项清单项目工程量与招标工程量清单工程量偏差超过</w:t>
      </w:r>
      <w:r>
        <w:rPr>
          <w:rFonts w:hint="eastAsia" w:ascii="Calibri" w:hAnsi="宋体" w:eastAsia="宋体" w:cs="宋体"/>
          <w:color w:val="auto"/>
          <w:kern w:val="0"/>
          <w:sz w:val="21"/>
          <w:szCs w:val="21"/>
          <w:highlight w:val="none"/>
          <w:u w:val="single"/>
          <w:lang w:val="en-US" w:eastAsia="zh-CN" w:bidi="ar"/>
        </w:rPr>
        <w:t xml:space="preserve">  </w:t>
      </w:r>
      <w:r>
        <w:rPr>
          <w:rFonts w:hint="default" w:ascii="Calibri" w:hAnsi="Calibri" w:eastAsia="宋体" w:cs="Calibri"/>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且该单项清单造价超过合同总价</w:t>
      </w:r>
      <w:r>
        <w:rPr>
          <w:rFonts w:hint="eastAsia" w:ascii="Calibri" w:hAnsi="宋体" w:eastAsia="宋体" w:cs="宋体"/>
          <w:color w:val="auto"/>
          <w:kern w:val="0"/>
          <w:sz w:val="21"/>
          <w:szCs w:val="21"/>
          <w:highlight w:val="none"/>
          <w:u w:val="single"/>
          <w:lang w:val="en-US" w:eastAsia="zh-CN" w:bidi="ar"/>
        </w:rPr>
        <w:t xml:space="preserve">  </w:t>
      </w:r>
      <w:r>
        <w:rPr>
          <w:rFonts w:hint="default" w:ascii="Calibri" w:hAnsi="Calibri" w:eastAsia="宋体" w:cs="Calibri"/>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以上的，超过后增加部分工程量或减少后剩余部分工程量的综合单价按以下方法调整：</w:t>
      </w:r>
      <w:r>
        <w:rPr>
          <w:rFonts w:hint="eastAsia" w:ascii="Calibri"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71DAC9CF">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2</w:t>
      </w:r>
      <w:bookmarkStart w:id="234" w:name="_Toc296890985"/>
      <w:bookmarkEnd w:id="234"/>
      <w:bookmarkStart w:id="235" w:name="_Toc296944496"/>
      <w:bookmarkEnd w:id="235"/>
      <w:bookmarkStart w:id="236" w:name="_Toc292559867"/>
      <w:bookmarkEnd w:id="236"/>
      <w:bookmarkStart w:id="237" w:name="_Toc296346658"/>
      <w:bookmarkEnd w:id="237"/>
      <w:bookmarkStart w:id="238" w:name="_Toc296503157"/>
      <w:bookmarkEnd w:id="238"/>
      <w:bookmarkStart w:id="239" w:name="_Toc296891197"/>
      <w:bookmarkEnd w:id="239"/>
      <w:bookmarkStart w:id="240" w:name="_Toc297120457"/>
      <w:bookmarkEnd w:id="240"/>
      <w:bookmarkStart w:id="241" w:name="_Toc296347156"/>
      <w:bookmarkEnd w:id="241"/>
      <w:bookmarkStart w:id="242" w:name="_Toc297048343"/>
      <w:bookmarkEnd w:id="242"/>
      <w:bookmarkStart w:id="243" w:name="_Toc292559362"/>
      <w:r>
        <w:rPr>
          <w:rFonts w:hint="default" w:ascii="Arial" w:hAnsi="Arial" w:eastAsia="黑体" w:cs="Times New Roman"/>
          <w:b/>
          <w:bCs w:val="0"/>
          <w:color w:val="auto"/>
          <w:sz w:val="32"/>
          <w:szCs w:val="32"/>
          <w:highlight w:val="none"/>
        </w:rPr>
        <w:t xml:space="preserve">. </w:t>
      </w:r>
      <w:bookmarkEnd w:id="243"/>
      <w:r>
        <w:rPr>
          <w:rFonts w:hint="eastAsia" w:ascii="黑体" w:hAnsi="宋体" w:eastAsia="黑体" w:cs="黑体"/>
          <w:b/>
          <w:bCs w:val="0"/>
          <w:color w:val="auto"/>
          <w:sz w:val="32"/>
          <w:szCs w:val="32"/>
          <w:highlight w:val="none"/>
        </w:rPr>
        <w:t>发包人</w:t>
      </w:r>
    </w:p>
    <w:p w14:paraId="33E229C1">
      <w:pPr>
        <w:pStyle w:val="4"/>
        <w:widowControl/>
        <w:shd w:val="clear"/>
        <w:rPr>
          <w:rFonts w:hint="default" w:ascii="Times New Roman" w:hAnsi="Times New Roman" w:eastAsia="宋体" w:cs="Times New Roman"/>
          <w:b/>
          <w:bCs/>
          <w:color w:val="auto"/>
          <w:kern w:val="2"/>
          <w:sz w:val="32"/>
          <w:szCs w:val="32"/>
          <w:highlight w:val="none"/>
        </w:rPr>
      </w:pPr>
      <w:bookmarkStart w:id="244" w:name="_Toc373227703"/>
      <w:bookmarkEnd w:id="244"/>
      <w:bookmarkStart w:id="245" w:name="_Toc407135205"/>
      <w:bookmarkEnd w:id="245"/>
      <w:bookmarkStart w:id="246" w:name="_Toc9850533"/>
      <w:bookmarkEnd w:id="246"/>
      <w:bookmarkStart w:id="247" w:name="_Toc373478350"/>
      <w:bookmarkEnd w:id="247"/>
      <w:bookmarkStart w:id="248" w:name="_Toc389065269"/>
      <w:bookmarkEnd w:id="248"/>
      <w:r>
        <w:rPr>
          <w:rFonts w:hint="default" w:ascii="Times New Roman" w:hAnsi="Times New Roman" w:eastAsia="宋体" w:cs="Times New Roman"/>
          <w:b/>
          <w:bCs/>
          <w:color w:val="auto"/>
          <w:kern w:val="2"/>
          <w:sz w:val="32"/>
          <w:szCs w:val="32"/>
          <w:highlight w:val="none"/>
        </w:rPr>
        <w:t xml:space="preserve">2.2 </w:t>
      </w:r>
      <w:r>
        <w:rPr>
          <w:rFonts w:hint="eastAsia" w:ascii="宋体" w:hAnsi="宋体" w:eastAsia="宋体" w:cs="宋体"/>
          <w:b/>
          <w:bCs/>
          <w:color w:val="auto"/>
          <w:kern w:val="2"/>
          <w:sz w:val="32"/>
          <w:szCs w:val="32"/>
          <w:highlight w:val="none"/>
        </w:rPr>
        <w:t>发包人代表</w:t>
      </w:r>
    </w:p>
    <w:p w14:paraId="3D06FB0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发包人代表：</w:t>
      </w:r>
    </w:p>
    <w:p w14:paraId="2B7B14E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D7404A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身份证号：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6BE4AE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职</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务：</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14D905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8CD637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EA870A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285271C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发包人对发包人代表的授权范围如下：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B632BAB">
      <w:pPr>
        <w:pStyle w:val="4"/>
        <w:widowControl/>
        <w:shd w:val="clear"/>
        <w:rPr>
          <w:rFonts w:hint="default" w:ascii="Times New Roman" w:hAnsi="Times New Roman" w:eastAsia="宋体" w:cs="Times New Roman"/>
          <w:b/>
          <w:bCs/>
          <w:color w:val="auto"/>
          <w:kern w:val="2"/>
          <w:sz w:val="32"/>
          <w:szCs w:val="32"/>
          <w:highlight w:val="none"/>
        </w:rPr>
      </w:pPr>
      <w:bookmarkStart w:id="249" w:name="_Toc373478351"/>
      <w:bookmarkEnd w:id="249"/>
      <w:bookmarkStart w:id="250" w:name="_Toc407135206"/>
      <w:bookmarkEnd w:id="250"/>
      <w:bookmarkStart w:id="251" w:name="_Toc373227704"/>
      <w:bookmarkEnd w:id="251"/>
      <w:bookmarkStart w:id="252" w:name="_Toc389065270"/>
      <w:bookmarkEnd w:id="252"/>
      <w:bookmarkStart w:id="253" w:name="_Toc9850534"/>
      <w:r>
        <w:rPr>
          <w:rFonts w:hint="default" w:ascii="Times New Roman" w:hAnsi="Times New Roman" w:eastAsia="宋体" w:cs="Times New Roman"/>
          <w:b/>
          <w:bCs/>
          <w:color w:val="auto"/>
          <w:kern w:val="2"/>
          <w:sz w:val="32"/>
          <w:szCs w:val="32"/>
          <w:highlight w:val="none"/>
        </w:rPr>
        <w:t xml:space="preserve">2.4 </w:t>
      </w:r>
      <w:bookmarkEnd w:id="253"/>
      <w:r>
        <w:rPr>
          <w:rFonts w:hint="eastAsia" w:ascii="宋体" w:hAnsi="宋体" w:eastAsia="宋体" w:cs="宋体"/>
          <w:b/>
          <w:bCs/>
          <w:color w:val="auto"/>
          <w:kern w:val="2"/>
          <w:sz w:val="32"/>
          <w:szCs w:val="32"/>
          <w:highlight w:val="none"/>
        </w:rPr>
        <w:t>施工现场、施工条件和基础资料的提供</w:t>
      </w:r>
    </w:p>
    <w:p w14:paraId="52C08C9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2.4.1 </w:t>
      </w:r>
      <w:r>
        <w:rPr>
          <w:rFonts w:hint="eastAsia" w:ascii="宋体" w:hAnsi="宋体" w:eastAsia="宋体" w:cs="宋体"/>
          <w:color w:val="auto"/>
          <w:kern w:val="0"/>
          <w:sz w:val="21"/>
          <w:szCs w:val="21"/>
          <w:highlight w:val="none"/>
          <w:lang w:val="en-US" w:eastAsia="zh-CN" w:bidi="ar"/>
        </w:rPr>
        <w:t>提供施工现场</w:t>
      </w:r>
    </w:p>
    <w:p w14:paraId="6402928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关于发包人移交施工现场的期限要求：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在开工日期前</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个工作日</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3B315E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2.4.2 </w:t>
      </w:r>
      <w:r>
        <w:rPr>
          <w:rFonts w:hint="eastAsia" w:ascii="宋体" w:hAnsi="宋体" w:eastAsia="宋体" w:cs="宋体"/>
          <w:color w:val="auto"/>
          <w:kern w:val="0"/>
          <w:sz w:val="21"/>
          <w:szCs w:val="21"/>
          <w:highlight w:val="none"/>
          <w:lang w:val="en-US" w:eastAsia="zh-CN" w:bidi="ar"/>
        </w:rPr>
        <w:t>提供施工条件</w:t>
      </w:r>
    </w:p>
    <w:p w14:paraId="7CA40829">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关于发包人应负责提供施工所需要的条件，包括：</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水、电等施工管线在承包人进入工地前由发包人按有关规定提供挂表位置，符合施工要求，并能满足施工期间的需要。</w:t>
      </w:r>
    </w:p>
    <w:p w14:paraId="1B73C6A0">
      <w:pPr>
        <w:pStyle w:val="4"/>
        <w:widowControl/>
        <w:shd w:val="clear"/>
        <w:rPr>
          <w:rFonts w:hint="default" w:ascii="Times New Roman" w:hAnsi="Times New Roman" w:eastAsia="宋体" w:cs="Times New Roman"/>
          <w:b/>
          <w:bCs/>
          <w:color w:val="auto"/>
          <w:kern w:val="2"/>
          <w:sz w:val="32"/>
          <w:szCs w:val="32"/>
          <w:highlight w:val="none"/>
        </w:rPr>
      </w:pPr>
      <w:bookmarkStart w:id="254" w:name="_Toc373478352"/>
      <w:bookmarkEnd w:id="254"/>
      <w:bookmarkStart w:id="255" w:name="_Toc389065271"/>
      <w:bookmarkEnd w:id="255"/>
      <w:bookmarkStart w:id="256" w:name="_Toc373227705"/>
      <w:bookmarkEnd w:id="256"/>
      <w:bookmarkStart w:id="257" w:name="_Toc407135207"/>
      <w:bookmarkEnd w:id="257"/>
      <w:bookmarkStart w:id="258" w:name="_Toc9850535"/>
      <w:r>
        <w:rPr>
          <w:rFonts w:hint="default" w:ascii="Times New Roman" w:hAnsi="Times New Roman" w:eastAsia="宋体" w:cs="Times New Roman"/>
          <w:b/>
          <w:bCs/>
          <w:color w:val="auto"/>
          <w:kern w:val="2"/>
          <w:sz w:val="32"/>
          <w:szCs w:val="32"/>
          <w:highlight w:val="none"/>
        </w:rPr>
        <w:t xml:space="preserve">2.5 </w:t>
      </w:r>
      <w:bookmarkEnd w:id="258"/>
      <w:r>
        <w:rPr>
          <w:rFonts w:hint="eastAsia" w:ascii="宋体" w:hAnsi="宋体" w:eastAsia="宋体" w:cs="宋体"/>
          <w:b/>
          <w:bCs/>
          <w:color w:val="auto"/>
          <w:kern w:val="2"/>
          <w:sz w:val="32"/>
          <w:szCs w:val="32"/>
          <w:highlight w:val="none"/>
        </w:rPr>
        <w:t>资金来源证明及支付担保</w:t>
      </w:r>
    </w:p>
    <w:p w14:paraId="2A113A6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发包人提供资金来源证明的期限要求：</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A8F3B5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发包人是否提供支付担保：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不提供</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210AB8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发包人提供支付担保的形式：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F3F926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发包人提供的支付担保格式见合同附件</w:t>
      </w:r>
      <w:r>
        <w:rPr>
          <w:rFonts w:hint="default" w:ascii="Times New Roman" w:hAnsi="Times New Roman"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w:t>
      </w:r>
    </w:p>
    <w:p w14:paraId="045D9FA8">
      <w:pPr>
        <w:pStyle w:val="3"/>
        <w:widowControl/>
        <w:shd w:val="clear"/>
        <w:rPr>
          <w:rFonts w:hint="default" w:ascii="Arial" w:hAnsi="Arial" w:eastAsia="黑体" w:cs="Times New Roman"/>
          <w:b/>
          <w:bCs w:val="0"/>
          <w:color w:val="auto"/>
          <w:sz w:val="32"/>
          <w:szCs w:val="32"/>
          <w:highlight w:val="none"/>
        </w:rPr>
      </w:pPr>
      <w:bookmarkStart w:id="259" w:name="_Toc351203635"/>
      <w:bookmarkEnd w:id="259"/>
      <w:bookmarkStart w:id="260" w:name="_Toc373227706"/>
      <w:bookmarkEnd w:id="260"/>
      <w:bookmarkStart w:id="261" w:name="_Toc389065272"/>
      <w:bookmarkEnd w:id="261"/>
      <w:bookmarkStart w:id="262" w:name="_Toc9850536"/>
      <w:bookmarkEnd w:id="262"/>
      <w:bookmarkStart w:id="263" w:name="_Toc373478353"/>
      <w:bookmarkEnd w:id="263"/>
      <w:bookmarkStart w:id="264" w:name="_Toc407135208"/>
      <w:r>
        <w:rPr>
          <w:rFonts w:hint="default" w:ascii="Arial" w:hAnsi="Arial" w:eastAsia="黑体" w:cs="Times New Roman"/>
          <w:b/>
          <w:bCs w:val="0"/>
          <w:color w:val="auto"/>
          <w:sz w:val="32"/>
          <w:szCs w:val="32"/>
          <w:highlight w:val="none"/>
        </w:rPr>
        <w:t>3</w:t>
      </w:r>
      <w:bookmarkEnd w:id="264"/>
      <w:bookmarkStart w:id="265" w:name="_Toc296890986"/>
      <w:bookmarkEnd w:id="265"/>
      <w:bookmarkStart w:id="266" w:name="_Toc292559363"/>
      <w:bookmarkEnd w:id="266"/>
      <w:bookmarkStart w:id="267" w:name="_Toc292559868"/>
      <w:bookmarkEnd w:id="267"/>
      <w:bookmarkStart w:id="268" w:name="_Toc296944497"/>
      <w:bookmarkEnd w:id="268"/>
      <w:bookmarkStart w:id="269" w:name="_Toc296346659"/>
      <w:bookmarkEnd w:id="269"/>
      <w:bookmarkStart w:id="270" w:name="_Toc296347157"/>
      <w:bookmarkEnd w:id="270"/>
      <w:bookmarkStart w:id="271" w:name="_Toc297120458"/>
      <w:bookmarkEnd w:id="271"/>
      <w:bookmarkStart w:id="272" w:name="_Toc297048344"/>
      <w:bookmarkEnd w:id="272"/>
      <w:bookmarkStart w:id="273" w:name="_Toc296503158"/>
      <w:bookmarkEnd w:id="273"/>
      <w:bookmarkStart w:id="274" w:name="_Toc296891198"/>
      <w:r>
        <w:rPr>
          <w:rFonts w:hint="default" w:ascii="Arial" w:hAnsi="Arial" w:eastAsia="黑体" w:cs="Times New Roman"/>
          <w:b/>
          <w:bCs w:val="0"/>
          <w:color w:val="auto"/>
          <w:sz w:val="32"/>
          <w:szCs w:val="32"/>
          <w:highlight w:val="none"/>
        </w:rPr>
        <w:t xml:space="preserve">. </w:t>
      </w:r>
      <w:bookmarkEnd w:id="274"/>
      <w:r>
        <w:rPr>
          <w:rFonts w:hint="eastAsia" w:ascii="黑体" w:hAnsi="宋体" w:eastAsia="黑体" w:cs="黑体"/>
          <w:b/>
          <w:bCs w:val="0"/>
          <w:color w:val="auto"/>
          <w:sz w:val="32"/>
          <w:szCs w:val="32"/>
          <w:highlight w:val="none"/>
        </w:rPr>
        <w:t>承包人</w:t>
      </w:r>
    </w:p>
    <w:p w14:paraId="0A1F9969">
      <w:pPr>
        <w:pStyle w:val="4"/>
        <w:widowControl/>
        <w:shd w:val="clear"/>
        <w:rPr>
          <w:rFonts w:hint="default" w:ascii="Times New Roman" w:hAnsi="Times New Roman" w:eastAsia="宋体" w:cs="Times New Roman"/>
          <w:b/>
          <w:bCs/>
          <w:color w:val="auto"/>
          <w:kern w:val="2"/>
          <w:sz w:val="32"/>
          <w:szCs w:val="32"/>
          <w:highlight w:val="none"/>
        </w:rPr>
      </w:pPr>
      <w:bookmarkStart w:id="275" w:name="_Toc389065273"/>
      <w:bookmarkEnd w:id="275"/>
      <w:bookmarkStart w:id="276" w:name="_Toc9850537"/>
      <w:bookmarkEnd w:id="276"/>
      <w:bookmarkStart w:id="277" w:name="_Toc407135209"/>
      <w:bookmarkEnd w:id="277"/>
      <w:bookmarkStart w:id="278" w:name="_Toc373227707"/>
      <w:bookmarkEnd w:id="278"/>
      <w:bookmarkStart w:id="279" w:name="_Toc373478354"/>
      <w:bookmarkEnd w:id="279"/>
      <w:r>
        <w:rPr>
          <w:rFonts w:hint="default" w:ascii="Times New Roman" w:hAnsi="Times New Roman" w:eastAsia="宋体" w:cs="Times New Roman"/>
          <w:b/>
          <w:bCs/>
          <w:color w:val="auto"/>
          <w:kern w:val="2"/>
          <w:sz w:val="32"/>
          <w:szCs w:val="32"/>
          <w:highlight w:val="none"/>
        </w:rPr>
        <w:t xml:space="preserve">3.1 </w:t>
      </w:r>
      <w:r>
        <w:rPr>
          <w:rFonts w:hint="eastAsia" w:ascii="宋体" w:hAnsi="宋体" w:eastAsia="宋体" w:cs="宋体"/>
          <w:b/>
          <w:bCs/>
          <w:color w:val="auto"/>
          <w:kern w:val="2"/>
          <w:sz w:val="32"/>
          <w:szCs w:val="32"/>
          <w:highlight w:val="none"/>
        </w:rPr>
        <w:t>承包人的一般义务</w:t>
      </w:r>
    </w:p>
    <w:p w14:paraId="51A670A2">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）承包人提交的竣工资料的内容：</w:t>
      </w:r>
      <w:r>
        <w:rPr>
          <w:rFonts w:hint="eastAsia" w:ascii="宋体" w:hAnsi="宋体" w:eastAsia="宋体" w:cs="宋体"/>
          <w:color w:val="auto"/>
          <w:kern w:val="0"/>
          <w:sz w:val="24"/>
          <w:szCs w:val="24"/>
          <w:highlight w:val="none"/>
          <w:lang w:val="en-US" w:eastAsia="zh-CN" w:bidi="ar"/>
        </w:rPr>
        <w:t>按</w:t>
      </w:r>
      <w:r>
        <w:rPr>
          <w:rFonts w:hint="eastAsia" w:ascii="宋体" w:hAnsi="宋体" w:eastAsia="宋体" w:cs="宋体"/>
          <w:color w:val="auto"/>
          <w:kern w:val="0"/>
          <w:sz w:val="24"/>
          <w:szCs w:val="24"/>
          <w:highlight w:val="none"/>
          <w:u w:val="single"/>
          <w:lang w:val="en-US" w:eastAsia="zh-CN" w:bidi="ar"/>
        </w:rPr>
        <w:t>国家有关规范要求执行，包括与本工程有</w:t>
      </w:r>
    </w:p>
    <w:p w14:paraId="3CAAE115">
      <w:pPr>
        <w:keepNext w:val="0"/>
        <w:keepLines w:val="0"/>
        <w:widowControl w:val="0"/>
        <w:suppressLineNumbers w:val="0"/>
        <w:shd w:val="clear"/>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4"/>
          <w:szCs w:val="24"/>
          <w:highlight w:val="none"/>
          <w:u w:val="single"/>
          <w:lang w:val="en-US" w:eastAsia="zh-CN" w:bidi="ar"/>
        </w:rPr>
        <w:t>关的所有竣工图纸、变更、结算书等</w:t>
      </w:r>
      <w:r>
        <w:rPr>
          <w:rFonts w:hint="eastAsia" w:ascii="宋体" w:hAnsi="宋体" w:eastAsia="宋体" w:cs="宋体"/>
          <w:color w:val="auto"/>
          <w:kern w:val="0"/>
          <w:sz w:val="21"/>
          <w:szCs w:val="21"/>
          <w:highlight w:val="none"/>
          <w:lang w:val="en-US" w:eastAsia="zh-CN" w:bidi="ar"/>
        </w:rPr>
        <w:t>。</w:t>
      </w:r>
    </w:p>
    <w:p w14:paraId="4B0A80A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承包人需要提交的竣工资料套数：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套，如发包人有需要另行约定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EDA33EE">
      <w:pPr>
        <w:keepNext w:val="0"/>
        <w:keepLines w:val="0"/>
        <w:widowControl w:val="0"/>
        <w:suppressLineNumbers w:val="0"/>
        <w:shd w:val="clear"/>
        <w:spacing w:before="0" w:beforeAutospacing="0" w:after="0" w:afterAutospacing="0" w:line="360" w:lineRule="auto"/>
        <w:ind w:left="404" w:leftChars="202"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承包人提交的竣工资料的费用承担：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承包人自行承担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88CFA1A">
      <w:pPr>
        <w:keepNext w:val="0"/>
        <w:keepLines w:val="0"/>
        <w:widowControl w:val="0"/>
        <w:suppressLineNumbers w:val="0"/>
        <w:shd w:val="clear"/>
        <w:spacing w:before="0" w:beforeAutospacing="0" w:after="0" w:afterAutospacing="0" w:line="360" w:lineRule="auto"/>
        <w:ind w:left="404" w:leftChars="202"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承包人提交的竣工资料移交时间：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竣工结束后</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AAED1C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承包人提交的竣工资料形式要求：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书面形式和可编辑的电子版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0071A72">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）承包人应履行的其他义务：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）承包人应采取一切合理的预防措施，防止人员伤亡、财产损失事故，且为本项目施工的工作人员</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工人购买工伤保险或足额的雇主责任保险，如承包人违反该约定发生人员伤亡、财产损失等事故导致赔偿的，赔偿费用由承包人承担。</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承包人施工时应探明并负责保护且承担费用，施工时如损坏地下管线、邻近建筑物、构筑物，所发生费用由承包人承担。</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由于施工造成的环境污染，其责任和费用均由承包人承担。（</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）配合发包人取得本工程施工所需临时用水、临时用电、</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中断道路交通、临时占用土地（不包括发包人指定的取土场和弃土场）等使用权。</w:t>
      </w:r>
    </w:p>
    <w:p w14:paraId="0EB72F53">
      <w:pPr>
        <w:pStyle w:val="4"/>
        <w:widowControl/>
        <w:shd w:val="clear"/>
        <w:rPr>
          <w:rFonts w:hint="default" w:ascii="Times New Roman" w:hAnsi="Times New Roman" w:eastAsia="宋体" w:cs="Times New Roman"/>
          <w:b/>
          <w:bCs/>
          <w:color w:val="auto"/>
          <w:kern w:val="2"/>
          <w:sz w:val="32"/>
          <w:szCs w:val="32"/>
          <w:highlight w:val="none"/>
        </w:rPr>
      </w:pPr>
      <w:bookmarkStart w:id="280" w:name="_Toc389065274"/>
      <w:bookmarkEnd w:id="280"/>
      <w:bookmarkStart w:id="281" w:name="_Toc373478355"/>
      <w:bookmarkEnd w:id="281"/>
      <w:bookmarkStart w:id="282" w:name="_Toc407135210"/>
      <w:bookmarkEnd w:id="282"/>
      <w:bookmarkStart w:id="283" w:name="_Toc373227708"/>
      <w:bookmarkEnd w:id="283"/>
      <w:bookmarkStart w:id="284" w:name="_Toc9850538"/>
      <w:r>
        <w:rPr>
          <w:rFonts w:hint="default" w:ascii="Times New Roman" w:hAnsi="Times New Roman" w:eastAsia="宋体" w:cs="Times New Roman"/>
          <w:b/>
          <w:bCs/>
          <w:color w:val="auto"/>
          <w:kern w:val="2"/>
          <w:sz w:val="32"/>
          <w:szCs w:val="32"/>
          <w:highlight w:val="none"/>
        </w:rPr>
        <w:t xml:space="preserve">3.2 </w:t>
      </w:r>
      <w:bookmarkEnd w:id="284"/>
      <w:r>
        <w:rPr>
          <w:rFonts w:hint="eastAsia" w:ascii="宋体" w:hAnsi="宋体" w:eastAsia="宋体" w:cs="宋体"/>
          <w:b/>
          <w:bCs/>
          <w:color w:val="auto"/>
          <w:kern w:val="2"/>
          <w:sz w:val="32"/>
          <w:szCs w:val="32"/>
          <w:highlight w:val="none"/>
        </w:rPr>
        <w:t>项目经理</w:t>
      </w:r>
    </w:p>
    <w:p w14:paraId="20C9EA5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3.2.1 </w:t>
      </w:r>
      <w:r>
        <w:rPr>
          <w:rFonts w:hint="eastAsia" w:ascii="宋体" w:hAnsi="宋体" w:eastAsia="宋体" w:cs="宋体"/>
          <w:color w:val="auto"/>
          <w:kern w:val="0"/>
          <w:sz w:val="21"/>
          <w:szCs w:val="21"/>
          <w:highlight w:val="none"/>
          <w:lang w:val="en-US" w:eastAsia="zh-CN" w:bidi="ar"/>
        </w:rPr>
        <w:t>项目经理：</w:t>
      </w:r>
    </w:p>
    <w:p w14:paraId="520D773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4084833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身份证号：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4CD9E19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建造师执业资格等级：</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5436FED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建造师注册证书号：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78E3D18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建造师执业印章号：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3EF3B5E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安全生产考核合格证书号：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49D797A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6665911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0AAF6E12">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4B6F95DA">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承包人对项目经理的授权范围如下：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）对本工程的施工进行全面管理包括对工程质量、进度、安全、成本等进行管理，行使施工合同约定的权利，履行施工合同约定的义务；（</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）经发包人同意分包的专业工程，项目经理参与选择并使用具有相应资质的分包人（由发包人指定的分包人除外）；</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）施工合同约定由承包人采购的材料、工程设备，项目经理参与选择物资供应单位；</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）代表承包人应工程施工中的相关事务（本授权第一项约定的事务</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进行协商，代表承包人参加发包人组织与本工程有关会议；（</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）负责与发包人、监理人办理设计</w:t>
      </w:r>
      <w:r>
        <w:rPr>
          <w:rFonts w:hint="eastAsia" w:ascii="宋体" w:hAnsi="宋体" w:cs="宋体"/>
          <w:color w:val="auto"/>
          <w:kern w:val="0"/>
          <w:sz w:val="21"/>
          <w:szCs w:val="21"/>
          <w:highlight w:val="none"/>
          <w:u w:val="single"/>
          <w:lang w:val="en-US" w:eastAsia="zh-CN" w:bidi="ar"/>
        </w:rPr>
        <w:t>变</w:t>
      </w:r>
      <w:r>
        <w:rPr>
          <w:rFonts w:hint="eastAsia" w:ascii="宋体" w:hAnsi="宋体" w:eastAsia="宋体" w:cs="宋体"/>
          <w:color w:val="auto"/>
          <w:kern w:val="0"/>
          <w:sz w:val="21"/>
          <w:szCs w:val="21"/>
          <w:highlight w:val="none"/>
          <w:u w:val="single"/>
          <w:lang w:val="en-US" w:eastAsia="zh-CN" w:bidi="ar"/>
        </w:rPr>
        <w:t>更、现场签证等手续，及时办理本工程相关索赔；（</w:t>
      </w:r>
      <w:r>
        <w:rPr>
          <w:rFonts w:hint="default" w:ascii="Times New Roman" w:hAnsi="Times New Roman" w:eastAsia="宋体" w:cs="Times New Roman"/>
          <w:color w:val="auto"/>
          <w:kern w:val="0"/>
          <w:sz w:val="21"/>
          <w:szCs w:val="21"/>
          <w:highlight w:val="none"/>
          <w:u w:val="single"/>
          <w:lang w:val="en-US" w:eastAsia="zh-CN" w:bidi="ar"/>
        </w:rPr>
        <w:t>6</w:t>
      </w:r>
      <w:r>
        <w:rPr>
          <w:rFonts w:hint="eastAsia" w:ascii="宋体" w:hAnsi="宋体" w:eastAsia="宋体" w:cs="宋体"/>
          <w:color w:val="auto"/>
          <w:kern w:val="0"/>
          <w:sz w:val="21"/>
          <w:szCs w:val="21"/>
          <w:highlight w:val="none"/>
          <w:u w:val="single"/>
          <w:lang w:val="en-US" w:eastAsia="zh-CN" w:bidi="ar"/>
        </w:rPr>
        <w:t>）负责签收发包人、监理人往往来函件，承包人的要求、通知均应以书面形式由承包人项目经理签字并加盖承包人公司公章递交发包人；（</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代表承包人接受监理工程师或发包人现场代表发出的指示和指令。但未经承包人盖章同意不得以承包人（或本工程项目部》名义向外融资、采购材料设备、租用建筑周转材料、雇佣劳动力、签订分包合同等从事一切为承包人设立义务或责任的行为。</w:t>
      </w:r>
    </w:p>
    <w:p w14:paraId="31DC2C0D">
      <w:pPr>
        <w:keepNext w:val="0"/>
        <w:keepLines w:val="0"/>
        <w:widowControl w:val="0"/>
        <w:suppressLineNumbers w:val="0"/>
        <w:shd w:val="clear"/>
        <w:spacing w:before="0" w:beforeAutospacing="0" w:after="0" w:afterAutospacing="0" w:line="300" w:lineRule="exact"/>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关于项目经理每月在施工现场的时间要求：</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项目经理须常驻现场，且在施工现场的时间不得少于合同约定的合同工期数。</w:t>
      </w:r>
    </w:p>
    <w:p w14:paraId="3089227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承包人未提交劳动合同，以及没有为项目经理缴纳社会保险证明的违约责任：</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按照通用条款和现行法律法规要求承担违约责任</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20E8BE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项目经理未经批准，擅自离开施工现场的违约责任：</w:t>
      </w:r>
      <w:r>
        <w:rPr>
          <w:rFonts w:hint="eastAsia" w:ascii="宋体" w:hAnsi="宋体" w:eastAsia="宋体" w:cs="宋体"/>
          <w:color w:val="auto"/>
          <w:kern w:val="0"/>
          <w:sz w:val="21"/>
          <w:szCs w:val="21"/>
          <w:highlight w:val="none"/>
          <w:u w:val="single"/>
          <w:lang w:val="en-US" w:eastAsia="zh-CN" w:bidi="ar"/>
        </w:rPr>
        <w:t>项目经理每月在岗带班时间不得少于当月施工时间的</w:t>
      </w:r>
      <w:r>
        <w:rPr>
          <w:rFonts w:hint="default" w:ascii="Times New Roman" w:hAnsi="宋体" w:eastAsia="宋体" w:cs="Times New Roman"/>
          <w:color w:val="auto"/>
          <w:kern w:val="0"/>
          <w:sz w:val="21"/>
          <w:szCs w:val="21"/>
          <w:highlight w:val="none"/>
          <w:u w:val="single"/>
          <w:lang w:val="en-US" w:eastAsia="zh-CN" w:bidi="ar"/>
        </w:rPr>
        <w:t>80%</w:t>
      </w:r>
      <w:r>
        <w:rPr>
          <w:rFonts w:hint="eastAsia" w:ascii="宋体" w:hAnsi="宋体" w:eastAsia="宋体" w:cs="宋体"/>
          <w:color w:val="auto"/>
          <w:kern w:val="0"/>
          <w:sz w:val="21"/>
          <w:szCs w:val="21"/>
          <w:highlight w:val="none"/>
          <w:u w:val="single"/>
          <w:lang w:val="en-US" w:eastAsia="zh-CN" w:bidi="ar"/>
        </w:rPr>
        <w:t>。未经发包人同意或正当理由，项目经理每月在岗带班时间少于当月施工时间</w:t>
      </w:r>
      <w:r>
        <w:rPr>
          <w:rFonts w:hint="default" w:ascii="Times New Roman" w:hAnsi="宋体" w:eastAsia="宋体" w:cs="Times New Roman"/>
          <w:color w:val="auto"/>
          <w:kern w:val="0"/>
          <w:sz w:val="21"/>
          <w:szCs w:val="21"/>
          <w:highlight w:val="none"/>
          <w:u w:val="single"/>
          <w:lang w:val="en-US" w:eastAsia="zh-CN" w:bidi="ar"/>
        </w:rPr>
        <w:t>80%</w:t>
      </w:r>
      <w:r>
        <w:rPr>
          <w:rFonts w:hint="eastAsia" w:ascii="宋体" w:hAnsi="宋体" w:eastAsia="宋体" w:cs="宋体"/>
          <w:color w:val="auto"/>
          <w:kern w:val="0"/>
          <w:sz w:val="21"/>
          <w:szCs w:val="21"/>
          <w:highlight w:val="none"/>
          <w:u w:val="single"/>
          <w:lang w:val="en-US" w:eastAsia="zh-CN" w:bidi="ar"/>
        </w:rPr>
        <w:t>的，少在岗带班一天，发包人有权处违约金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日（人民币）</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970506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项目经理未经批准，擅自离开施工现场的违约责任：</w:t>
      </w:r>
      <w:r>
        <w:rPr>
          <w:rFonts w:hint="eastAsia" w:ascii="宋体" w:hAnsi="宋体" w:eastAsia="宋体" w:cs="宋体"/>
          <w:color w:val="auto"/>
          <w:kern w:val="0"/>
          <w:sz w:val="21"/>
          <w:szCs w:val="21"/>
          <w:highlight w:val="none"/>
          <w:u w:val="single"/>
          <w:lang w:val="en-US" w:eastAsia="zh-CN" w:bidi="ar"/>
        </w:rPr>
        <w:t>项目经理每月在岗带班时间不得少于当月施工时间的</w:t>
      </w:r>
      <w:r>
        <w:rPr>
          <w:rFonts w:hint="default" w:ascii="Times New Roman" w:hAnsi="宋体" w:eastAsia="宋体" w:cs="Times New Roman"/>
          <w:color w:val="auto"/>
          <w:kern w:val="0"/>
          <w:sz w:val="21"/>
          <w:szCs w:val="21"/>
          <w:highlight w:val="none"/>
          <w:u w:val="single"/>
          <w:lang w:val="en-US" w:eastAsia="zh-CN" w:bidi="ar"/>
        </w:rPr>
        <w:t>80%</w:t>
      </w:r>
      <w:r>
        <w:rPr>
          <w:rFonts w:hint="eastAsia" w:ascii="宋体" w:hAnsi="宋体" w:eastAsia="宋体" w:cs="宋体"/>
          <w:color w:val="auto"/>
          <w:kern w:val="0"/>
          <w:sz w:val="21"/>
          <w:szCs w:val="21"/>
          <w:highlight w:val="none"/>
          <w:u w:val="single"/>
          <w:lang w:val="en-US" w:eastAsia="zh-CN" w:bidi="ar"/>
        </w:rPr>
        <w:t>。未经发包人同意或正当理由，项目经理每月在岗带班时间少于当月施工时间</w:t>
      </w:r>
      <w:r>
        <w:rPr>
          <w:rFonts w:hint="default" w:ascii="Times New Roman" w:hAnsi="宋体" w:eastAsia="宋体" w:cs="Times New Roman"/>
          <w:color w:val="auto"/>
          <w:kern w:val="0"/>
          <w:sz w:val="21"/>
          <w:szCs w:val="21"/>
          <w:highlight w:val="none"/>
          <w:u w:val="single"/>
          <w:lang w:val="en-US" w:eastAsia="zh-CN" w:bidi="ar"/>
        </w:rPr>
        <w:t>80%</w:t>
      </w:r>
      <w:r>
        <w:rPr>
          <w:rFonts w:hint="eastAsia" w:ascii="宋体" w:hAnsi="宋体" w:eastAsia="宋体" w:cs="宋体"/>
          <w:color w:val="auto"/>
          <w:kern w:val="0"/>
          <w:sz w:val="21"/>
          <w:szCs w:val="21"/>
          <w:highlight w:val="none"/>
          <w:u w:val="single"/>
          <w:lang w:val="en-US" w:eastAsia="zh-CN" w:bidi="ar"/>
        </w:rPr>
        <w:t>的，少在岗带班一天，发包人有权处违约金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2000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日（人民币）</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A5D790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3.2.3 </w:t>
      </w:r>
      <w:r>
        <w:rPr>
          <w:rFonts w:hint="eastAsia" w:ascii="宋体" w:hAnsi="宋体" w:eastAsia="宋体" w:cs="宋体"/>
          <w:color w:val="auto"/>
          <w:kern w:val="0"/>
          <w:sz w:val="21"/>
          <w:szCs w:val="21"/>
          <w:highlight w:val="none"/>
          <w:lang w:val="en-US" w:eastAsia="zh-CN" w:bidi="ar"/>
        </w:rPr>
        <w:t>承包人擅自更换项目经理的违约责任：</w:t>
      </w:r>
      <w:r>
        <w:rPr>
          <w:rFonts w:hint="eastAsia" w:ascii="宋体" w:hAnsi="宋体" w:eastAsia="宋体" w:cs="宋体"/>
          <w:color w:val="auto"/>
          <w:kern w:val="0"/>
          <w:sz w:val="21"/>
          <w:szCs w:val="21"/>
          <w:highlight w:val="none"/>
          <w:u w:val="single"/>
          <w:lang w:val="en-US" w:eastAsia="zh-CN" w:bidi="ar"/>
        </w:rPr>
        <w:t>承包人项目经理必须与承包人投标时所承诺的人员一致，并在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（开工日期）</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前到任。在监理人向承包人颁发</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（竣工证明材料名称）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前，项目经理不得同时兼任其他任何项目的项目经理（符合桂建管﹝</w:t>
      </w:r>
      <w:r>
        <w:rPr>
          <w:rFonts w:hint="default" w:ascii="Times New Roman" w:hAnsi="Times New Roman" w:eastAsia="宋体" w:cs="Times New Roman"/>
          <w:color w:val="auto"/>
          <w:kern w:val="0"/>
          <w:sz w:val="21"/>
          <w:szCs w:val="21"/>
          <w:highlight w:val="none"/>
          <w:u w:val="single"/>
          <w:lang w:val="en-US" w:eastAsia="zh-CN" w:bidi="ar"/>
        </w:rPr>
        <w:t>2013</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17</w:t>
      </w:r>
      <w:r>
        <w:rPr>
          <w:rFonts w:hint="eastAsia" w:ascii="宋体" w:hAnsi="宋体" w:eastAsia="宋体" w:cs="宋体"/>
          <w:color w:val="auto"/>
          <w:kern w:val="0"/>
          <w:sz w:val="21"/>
          <w:szCs w:val="21"/>
          <w:highlight w:val="none"/>
          <w:u w:val="single"/>
          <w:lang w:val="en-US" w:eastAsia="zh-CN" w:bidi="ar"/>
        </w:rPr>
        <w:t>号和桂建管﹝</w:t>
      </w:r>
      <w:r>
        <w:rPr>
          <w:rFonts w:hint="default" w:ascii="Times New Roman" w:hAnsi="Times New Roman" w:eastAsia="宋体" w:cs="Times New Roman"/>
          <w:color w:val="auto"/>
          <w:kern w:val="0"/>
          <w:sz w:val="21"/>
          <w:szCs w:val="21"/>
          <w:highlight w:val="none"/>
          <w:u w:val="single"/>
          <w:lang w:val="en-US" w:eastAsia="zh-CN" w:bidi="ar"/>
        </w:rPr>
        <w:t>2014</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25</w:t>
      </w:r>
      <w:r>
        <w:rPr>
          <w:rFonts w:hint="eastAsia" w:ascii="宋体" w:hAnsi="宋体" w:eastAsia="宋体" w:cs="宋体"/>
          <w:color w:val="auto"/>
          <w:kern w:val="0"/>
          <w:sz w:val="21"/>
          <w:szCs w:val="21"/>
          <w:highlight w:val="none"/>
          <w:u w:val="single"/>
          <w:lang w:val="en-US" w:eastAsia="zh-CN" w:bidi="ar"/>
        </w:rPr>
        <w:t>号文除外）。未经发包人书面同意，承包人擅自更换项目经理的视为违约，发包人有权处违约金</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14:paraId="4B1776E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1"/>
          <w:szCs w:val="21"/>
          <w:highlight w:val="none"/>
          <w:lang w:val="en-US" w:eastAsia="zh-CN" w:bidi="ar"/>
        </w:rPr>
        <w:t xml:space="preserve">3.2.4 </w:t>
      </w:r>
      <w:r>
        <w:rPr>
          <w:rFonts w:hint="eastAsia" w:ascii="宋体" w:hAnsi="宋体" w:eastAsia="宋体" w:cs="宋体"/>
          <w:color w:val="auto"/>
          <w:kern w:val="0"/>
          <w:sz w:val="21"/>
          <w:szCs w:val="21"/>
          <w:highlight w:val="none"/>
          <w:lang w:val="en-US" w:eastAsia="zh-CN" w:bidi="ar"/>
        </w:rPr>
        <w:t>承包人无正当理由拒绝更换项目经理的违约责任：</w:t>
      </w:r>
      <w:r>
        <w:rPr>
          <w:rFonts w:hint="eastAsia" w:ascii="宋体" w:hAnsi="宋体" w:eastAsia="宋体" w:cs="宋体"/>
          <w:color w:val="auto"/>
          <w:kern w:val="0"/>
          <w:sz w:val="21"/>
          <w:szCs w:val="21"/>
          <w:highlight w:val="none"/>
          <w:u w:val="single"/>
          <w:lang w:val="en-US" w:eastAsia="zh-CN" w:bidi="ar"/>
        </w:rPr>
        <w:t>因承包人项目经理不称职，发包人要求调换而未及时调换的，视为承包人违约，发包人有权处违约金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1000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14:paraId="13B9CA29">
      <w:pPr>
        <w:pStyle w:val="4"/>
        <w:widowControl/>
        <w:shd w:val="clear"/>
        <w:rPr>
          <w:rFonts w:hint="default" w:ascii="Times New Roman" w:hAnsi="Times New Roman" w:eastAsia="宋体" w:cs="Times New Roman"/>
          <w:b/>
          <w:bCs/>
          <w:color w:val="auto"/>
          <w:kern w:val="2"/>
          <w:sz w:val="32"/>
          <w:szCs w:val="32"/>
          <w:highlight w:val="none"/>
        </w:rPr>
      </w:pPr>
      <w:bookmarkStart w:id="285" w:name="_Toc373227709"/>
      <w:bookmarkEnd w:id="285"/>
      <w:bookmarkStart w:id="286" w:name="_Toc373478356"/>
      <w:bookmarkEnd w:id="286"/>
      <w:bookmarkStart w:id="287" w:name="_Toc407135211"/>
      <w:bookmarkEnd w:id="287"/>
      <w:bookmarkStart w:id="288" w:name="_Toc9850539"/>
      <w:bookmarkEnd w:id="288"/>
      <w:bookmarkStart w:id="289" w:name="_Toc389065275"/>
      <w:r>
        <w:rPr>
          <w:rFonts w:hint="default" w:ascii="Times New Roman" w:hAnsi="Times New Roman" w:eastAsia="宋体" w:cs="Times New Roman"/>
          <w:b/>
          <w:bCs/>
          <w:color w:val="auto"/>
          <w:kern w:val="2"/>
          <w:sz w:val="32"/>
          <w:szCs w:val="32"/>
          <w:highlight w:val="none"/>
        </w:rPr>
        <w:t xml:space="preserve">3.3 </w:t>
      </w:r>
      <w:bookmarkEnd w:id="289"/>
      <w:r>
        <w:rPr>
          <w:rFonts w:hint="eastAsia" w:ascii="宋体" w:hAnsi="宋体" w:eastAsia="宋体" w:cs="宋体"/>
          <w:b/>
          <w:bCs/>
          <w:color w:val="auto"/>
          <w:kern w:val="2"/>
          <w:sz w:val="32"/>
          <w:szCs w:val="32"/>
          <w:highlight w:val="none"/>
        </w:rPr>
        <w:t>承包人人员</w:t>
      </w:r>
    </w:p>
    <w:p w14:paraId="2A84019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290" w:name="_Toc373227710"/>
      <w:bookmarkEnd w:id="290"/>
      <w:bookmarkStart w:id="291" w:name="_Toc407135212"/>
      <w:bookmarkEnd w:id="291"/>
      <w:bookmarkStart w:id="292" w:name="_Toc373478357"/>
      <w:bookmarkEnd w:id="292"/>
      <w:bookmarkStart w:id="293" w:name="_Toc389065276"/>
      <w:bookmarkEnd w:id="293"/>
      <w:bookmarkStart w:id="294" w:name="_Toc9850540"/>
      <w:r>
        <w:rPr>
          <w:rFonts w:hint="default" w:ascii="Times New Roman" w:hAnsi="Times New Roman" w:eastAsia="宋体" w:cs="Times New Roman"/>
          <w:color w:val="auto"/>
          <w:kern w:val="0"/>
          <w:sz w:val="21"/>
          <w:szCs w:val="21"/>
          <w:highlight w:val="none"/>
          <w:lang w:val="en-US" w:eastAsia="zh-CN" w:bidi="ar"/>
        </w:rPr>
        <w:t xml:space="preserve">3.3.1 </w:t>
      </w:r>
      <w:bookmarkEnd w:id="294"/>
      <w:r>
        <w:rPr>
          <w:rFonts w:hint="eastAsia" w:ascii="宋体" w:hAnsi="宋体" w:eastAsia="宋体" w:cs="宋体"/>
          <w:color w:val="auto"/>
          <w:kern w:val="0"/>
          <w:sz w:val="21"/>
          <w:szCs w:val="21"/>
          <w:highlight w:val="none"/>
          <w:lang w:val="en-US" w:eastAsia="zh-CN" w:bidi="ar"/>
        </w:rPr>
        <w:t>承包人提交项目管理机构及施工现场管理人员安排报告（格式见合同附件</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接到开工令的七日内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B834BA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3.3.3 </w:t>
      </w:r>
      <w:r>
        <w:rPr>
          <w:rFonts w:hint="eastAsia" w:ascii="宋体" w:hAnsi="宋体" w:eastAsia="宋体" w:cs="宋体"/>
          <w:color w:val="auto"/>
          <w:kern w:val="0"/>
          <w:sz w:val="21"/>
          <w:szCs w:val="21"/>
          <w:highlight w:val="none"/>
          <w:lang w:val="en-US" w:eastAsia="zh-CN" w:bidi="ar"/>
        </w:rPr>
        <w:t>承包人无正当理由拒绝撤换主要施工管理人员的违约责任：</w:t>
      </w:r>
      <w:r>
        <w:rPr>
          <w:rFonts w:hint="eastAsia" w:ascii="宋体" w:hAnsi="宋体" w:eastAsia="宋体" w:cs="宋体"/>
          <w:color w:val="auto"/>
          <w:kern w:val="0"/>
          <w:sz w:val="21"/>
          <w:szCs w:val="21"/>
          <w:highlight w:val="none"/>
          <w:u w:val="single"/>
          <w:lang w:val="en-US" w:eastAsia="zh-CN" w:bidi="ar"/>
        </w:rPr>
        <w:t>因承包人主要施工管理人员不称职，发包人要求调换而无正当理由拒绝撤换或未及时调换的，视为承包人违约，发包人有权处</w:t>
      </w:r>
      <w:r>
        <w:rPr>
          <w:rFonts w:hint="eastAsia" w:ascii="宋体" w:hAnsi="宋体" w:eastAsia="宋体" w:cs="宋体"/>
          <w:color w:val="auto"/>
          <w:kern w:val="0"/>
          <w:sz w:val="21"/>
          <w:szCs w:val="21"/>
          <w:highlight w:val="none"/>
          <w:lang w:val="en-US" w:eastAsia="zh-CN" w:bidi="ar"/>
        </w:rPr>
        <w:t>承包人</w:t>
      </w:r>
      <w:r>
        <w:rPr>
          <w:rFonts w:hint="eastAsia" w:ascii="宋体" w:hAnsi="宋体" w:eastAsia="宋体" w:cs="宋体"/>
          <w:color w:val="auto"/>
          <w:kern w:val="0"/>
          <w:sz w:val="21"/>
          <w:szCs w:val="21"/>
          <w:highlight w:val="none"/>
          <w:u w:val="single"/>
          <w:lang w:val="en-US" w:eastAsia="zh-CN" w:bidi="ar"/>
        </w:rPr>
        <w:t>违约金，处违约金标准：技术负责人</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次（人民币）；专业工程师</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14:paraId="2C3CC85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 xml:space="preserve">3.3.4 </w:t>
      </w:r>
      <w:r>
        <w:rPr>
          <w:rFonts w:hint="eastAsia" w:ascii="宋体" w:hAnsi="宋体" w:eastAsia="宋体" w:cs="宋体"/>
          <w:color w:val="auto"/>
          <w:kern w:val="0"/>
          <w:sz w:val="21"/>
          <w:szCs w:val="21"/>
          <w:highlight w:val="none"/>
          <w:lang w:val="en-US" w:eastAsia="zh-CN" w:bidi="ar"/>
        </w:rPr>
        <w:t>承包人主要施工管理人员离开施工现场的批准要求：</w:t>
      </w:r>
      <w:r>
        <w:rPr>
          <w:rFonts w:hint="eastAsia" w:ascii="宋体" w:hAnsi="宋体" w:eastAsia="宋体" w:cs="宋体"/>
          <w:color w:val="auto"/>
          <w:kern w:val="0"/>
          <w:sz w:val="21"/>
          <w:szCs w:val="21"/>
          <w:highlight w:val="none"/>
          <w:u w:val="single"/>
          <w:lang w:val="en-US" w:eastAsia="zh-CN" w:bidi="ar"/>
        </w:rPr>
        <w:t>必须以书面形式提出且经发包人同意后</w:t>
      </w:r>
      <w:r>
        <w:rPr>
          <w:rFonts w:hint="eastAsia" w:ascii="宋体" w:hAnsi="宋体" w:eastAsia="宋体" w:cs="宋体"/>
          <w:color w:val="auto"/>
          <w:kern w:val="0"/>
          <w:sz w:val="21"/>
          <w:szCs w:val="21"/>
          <w:highlight w:val="none"/>
          <w:lang w:val="en-US" w:eastAsia="zh-CN" w:bidi="ar"/>
        </w:rPr>
        <w:t>。</w:t>
      </w:r>
    </w:p>
    <w:p w14:paraId="30EEDD1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3.3.5 </w:t>
      </w:r>
      <w:r>
        <w:rPr>
          <w:rFonts w:hint="eastAsia" w:ascii="宋体" w:hAnsi="宋体" w:eastAsia="宋体" w:cs="宋体"/>
          <w:color w:val="auto"/>
          <w:kern w:val="0"/>
          <w:sz w:val="21"/>
          <w:szCs w:val="21"/>
          <w:highlight w:val="none"/>
          <w:lang w:val="en-US" w:eastAsia="zh-CN" w:bidi="ar"/>
        </w:rPr>
        <w:t>承包人擅自更换主要施工管理人员的违约责任：</w:t>
      </w:r>
      <w:r>
        <w:rPr>
          <w:rFonts w:hint="eastAsia" w:ascii="宋体" w:hAnsi="宋体" w:eastAsia="宋体" w:cs="宋体"/>
          <w:color w:val="auto"/>
          <w:kern w:val="0"/>
          <w:sz w:val="21"/>
          <w:szCs w:val="21"/>
          <w:highlight w:val="none"/>
          <w:u w:val="single"/>
          <w:lang w:val="en-US" w:eastAsia="zh-CN" w:bidi="ar"/>
        </w:rPr>
        <w:t>项目技术负责人、专职安全员及其承诺的其它在场管理人员未经发包人书面同意不准擅自更换，擅自更换项目技术负责人处</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次（人民币）违约金；擅自更换专职安全员处</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次（人民币）违约金；擅自更换其它在场管理人员处</w:t>
      </w:r>
      <w:r>
        <w:rPr>
          <w:rFonts w:hint="default" w:ascii="Times New Roman" w:hAnsi="Times New Roman" w:eastAsia="宋体" w:cs="Times New Roman"/>
          <w:color w:val="auto"/>
          <w:kern w:val="0"/>
          <w:sz w:val="21"/>
          <w:szCs w:val="21"/>
          <w:highlight w:val="none"/>
          <w:u w:val="single"/>
          <w:lang w:val="en-US" w:eastAsia="zh-CN" w:bidi="ar"/>
        </w:rPr>
        <w:t xml:space="preserve">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w:t>
      </w:r>
      <w:r>
        <w:rPr>
          <w:rFonts w:hint="eastAsia" w:ascii="宋体" w:hAnsi="宋体" w:eastAsia="宋体" w:cs="宋体"/>
          <w:color w:val="auto"/>
          <w:kern w:val="0"/>
          <w:sz w:val="21"/>
          <w:szCs w:val="21"/>
          <w:highlight w:val="none"/>
          <w:lang w:val="en-US" w:eastAsia="zh-CN" w:bidi="ar"/>
        </w:rPr>
        <w:t>。</w:t>
      </w:r>
    </w:p>
    <w:p w14:paraId="4D9B67E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承包人主要施工管理人员擅自离开施工现场的违约责任：</w:t>
      </w:r>
      <w:r>
        <w:rPr>
          <w:rFonts w:hint="eastAsia" w:ascii="宋体" w:hAnsi="宋体" w:eastAsia="宋体" w:cs="宋体"/>
          <w:color w:val="auto"/>
          <w:kern w:val="0"/>
          <w:sz w:val="21"/>
          <w:szCs w:val="21"/>
          <w:highlight w:val="none"/>
          <w:u w:val="single"/>
          <w:lang w:val="en-US" w:eastAsia="zh-CN" w:bidi="ar"/>
        </w:rPr>
        <w:t>未经发包人同意，项目技术负责人擅自离岗的，视为承包人违约，发包人有权处违约金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次（人民币）；未经发包人同意，专职安全员擅自离岗的，视为承包人违约，发包人有权处违约金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次（人民币）；其它在场管理人员擅自离岗的，视为承包人违约，发包人有权处违约金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14:paraId="6C3CACFD">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3</w:t>
      </w:r>
      <w:bookmarkStart w:id="295" w:name="_Toc292559869"/>
      <w:bookmarkEnd w:id="295"/>
      <w:bookmarkStart w:id="296" w:name="_Toc303539102"/>
      <w:bookmarkEnd w:id="296"/>
      <w:bookmarkStart w:id="297" w:name="_Toc297216151"/>
      <w:bookmarkEnd w:id="297"/>
      <w:bookmarkStart w:id="298" w:name="_Toc296346660"/>
      <w:bookmarkEnd w:id="298"/>
      <w:bookmarkStart w:id="299" w:name="_Toc304295523"/>
      <w:bookmarkEnd w:id="299"/>
      <w:bookmarkStart w:id="300" w:name="_Toc296890987"/>
      <w:bookmarkEnd w:id="300"/>
      <w:bookmarkStart w:id="301" w:name="_Toc297048345"/>
      <w:bookmarkEnd w:id="301"/>
      <w:bookmarkStart w:id="302" w:name="_Toc296944498"/>
      <w:bookmarkEnd w:id="302"/>
      <w:bookmarkStart w:id="303" w:name="_Toc297123492"/>
      <w:bookmarkEnd w:id="303"/>
      <w:bookmarkStart w:id="304" w:name="_Toc300934945"/>
      <w:bookmarkEnd w:id="304"/>
      <w:bookmarkStart w:id="305" w:name="_Toc296891199"/>
      <w:bookmarkEnd w:id="305"/>
      <w:bookmarkStart w:id="306" w:name="_Toc296503159"/>
      <w:bookmarkEnd w:id="306"/>
      <w:bookmarkStart w:id="307" w:name="_Toc292559364"/>
      <w:bookmarkEnd w:id="307"/>
      <w:bookmarkStart w:id="308" w:name="_Toc297120459"/>
      <w:bookmarkEnd w:id="308"/>
      <w:bookmarkStart w:id="309" w:name="_Toc312677988"/>
      <w:bookmarkEnd w:id="309"/>
      <w:bookmarkStart w:id="310" w:name="_Toc296347158"/>
      <w:r>
        <w:rPr>
          <w:rFonts w:hint="default" w:ascii="Times New Roman" w:hAnsi="Times New Roman" w:eastAsia="宋体" w:cs="Times New Roman"/>
          <w:b/>
          <w:bCs/>
          <w:color w:val="auto"/>
          <w:kern w:val="2"/>
          <w:sz w:val="32"/>
          <w:szCs w:val="32"/>
          <w:highlight w:val="none"/>
        </w:rPr>
        <w:t xml:space="preserve">.5 </w:t>
      </w:r>
      <w:bookmarkEnd w:id="310"/>
      <w:r>
        <w:rPr>
          <w:rFonts w:hint="eastAsia" w:ascii="宋体" w:hAnsi="宋体" w:eastAsia="宋体" w:cs="宋体"/>
          <w:b/>
          <w:bCs/>
          <w:color w:val="auto"/>
          <w:kern w:val="2"/>
          <w:sz w:val="32"/>
          <w:szCs w:val="32"/>
          <w:highlight w:val="none"/>
        </w:rPr>
        <w:t>分包</w:t>
      </w:r>
    </w:p>
    <w:p w14:paraId="590DA4D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bookmarkStart w:id="311" w:name="_Toc292559870"/>
      <w:bookmarkEnd w:id="311"/>
      <w:bookmarkStart w:id="312" w:name="_Toc296347159"/>
      <w:bookmarkEnd w:id="312"/>
      <w:bookmarkStart w:id="313" w:name="_Toc296503160"/>
      <w:bookmarkEnd w:id="313"/>
      <w:bookmarkStart w:id="314" w:name="_Toc297123493"/>
      <w:bookmarkEnd w:id="314"/>
      <w:bookmarkStart w:id="315" w:name="_Toc297048346"/>
      <w:bookmarkEnd w:id="315"/>
      <w:bookmarkStart w:id="316" w:name="_Toc292559365"/>
      <w:bookmarkEnd w:id="316"/>
      <w:bookmarkStart w:id="317" w:name="_Toc296891200"/>
      <w:bookmarkEnd w:id="317"/>
      <w:bookmarkStart w:id="318" w:name="_Toc303539103"/>
      <w:bookmarkEnd w:id="318"/>
      <w:bookmarkStart w:id="319" w:name="_Toc318581158"/>
      <w:bookmarkEnd w:id="319"/>
      <w:bookmarkStart w:id="320" w:name="_Toc297216152"/>
      <w:bookmarkEnd w:id="320"/>
      <w:bookmarkStart w:id="321" w:name="_Toc296346661"/>
      <w:bookmarkEnd w:id="321"/>
      <w:bookmarkStart w:id="322" w:name="_Toc312677989"/>
      <w:bookmarkEnd w:id="322"/>
      <w:bookmarkStart w:id="323" w:name="_Toc296944499"/>
      <w:bookmarkEnd w:id="323"/>
      <w:bookmarkStart w:id="324" w:name="_Toc296890988"/>
      <w:bookmarkEnd w:id="324"/>
      <w:bookmarkStart w:id="325" w:name="_Toc304295524"/>
      <w:bookmarkEnd w:id="325"/>
      <w:bookmarkStart w:id="326" w:name="_Toc300934946"/>
      <w:bookmarkEnd w:id="326"/>
      <w:bookmarkStart w:id="327" w:name="_Toc297120460"/>
      <w:r>
        <w:rPr>
          <w:rFonts w:hint="default" w:ascii="Times New Roman" w:hAnsi="Times New Roman" w:eastAsia="宋体" w:cs="Times New Roman"/>
          <w:color w:val="auto"/>
          <w:kern w:val="0"/>
          <w:sz w:val="21"/>
          <w:szCs w:val="21"/>
          <w:highlight w:val="none"/>
          <w:lang w:val="en-US" w:eastAsia="zh-CN" w:bidi="ar"/>
        </w:rPr>
        <w:t xml:space="preserve">.5.1 </w:t>
      </w:r>
      <w:bookmarkEnd w:id="327"/>
      <w:r>
        <w:rPr>
          <w:rFonts w:hint="eastAsia" w:ascii="宋体" w:hAnsi="宋体" w:eastAsia="宋体" w:cs="宋体"/>
          <w:color w:val="auto"/>
          <w:kern w:val="0"/>
          <w:sz w:val="21"/>
          <w:szCs w:val="21"/>
          <w:highlight w:val="none"/>
          <w:lang w:val="en-US" w:eastAsia="zh-CN" w:bidi="ar"/>
        </w:rPr>
        <w:t>分包的一般约定</w:t>
      </w:r>
    </w:p>
    <w:p w14:paraId="2B359CF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禁止分包的工程包括：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本工程不允许分包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473AEF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主体结构、关键性工作的范围：</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8AE0CE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bookmarkStart w:id="328" w:name="_Toc318581159"/>
      <w:bookmarkEnd w:id="328"/>
      <w:bookmarkStart w:id="329" w:name="_Toc312677990"/>
      <w:r>
        <w:rPr>
          <w:rFonts w:hint="default" w:ascii="Times New Roman" w:hAnsi="Times New Roman" w:eastAsia="宋体" w:cs="Times New Roman"/>
          <w:color w:val="auto"/>
          <w:kern w:val="0"/>
          <w:sz w:val="21"/>
          <w:szCs w:val="21"/>
          <w:highlight w:val="none"/>
          <w:lang w:val="en-US" w:eastAsia="zh-CN" w:bidi="ar"/>
        </w:rPr>
        <w:t xml:space="preserve">.5.2 </w:t>
      </w:r>
      <w:bookmarkEnd w:id="329"/>
      <w:r>
        <w:rPr>
          <w:rFonts w:hint="eastAsia" w:ascii="宋体" w:hAnsi="宋体" w:eastAsia="宋体" w:cs="宋体"/>
          <w:color w:val="auto"/>
          <w:kern w:val="0"/>
          <w:sz w:val="21"/>
          <w:szCs w:val="21"/>
          <w:highlight w:val="none"/>
          <w:lang w:val="en-US" w:eastAsia="zh-CN" w:bidi="ar"/>
        </w:rPr>
        <w:t>分包的确定</w:t>
      </w:r>
    </w:p>
    <w:p w14:paraId="7BA2A67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允许分包的专业工程包括：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7376E5F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其他关于分包的约定：</w:t>
      </w:r>
    </w:p>
    <w:p w14:paraId="335CF4B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除前款约定的分包内容外，经过发包人和监理人书面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p>
    <w:p w14:paraId="40BC5D0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）在相关分包合同签订并报送有关建设行政主管部门备案后</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天内，承包人应当将一份副本提交给监理人，承包人应保障分包工作不得再次分包。</w:t>
      </w:r>
    </w:p>
    <w:p w14:paraId="739B455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）未经发包人和监理人审批同意的分包工程和分包人，发包人有权拒绝验收分包工程和支付相应款项，由此引起的承包人费用增加和</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或</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延误的工期由承包人承担。</w:t>
      </w:r>
    </w:p>
    <w:p w14:paraId="4131464F">
      <w:pPr>
        <w:pStyle w:val="19"/>
        <w:keepNext w:val="0"/>
        <w:keepLines w:val="0"/>
        <w:widowControl w:val="0"/>
        <w:suppressLineNumbers w:val="0"/>
        <w:shd w:val="clear"/>
        <w:spacing w:before="0" w:beforeAutospacing="0" w:after="0" w:afterAutospacing="0" w:line="360" w:lineRule="auto"/>
        <w:ind w:left="0" w:right="0" w:firstLine="440" w:firstLineChars="20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w:t>
      </w:r>
      <w:r>
        <w:rPr>
          <w:rFonts w:hint="default" w:ascii="Times New Roman" w:hAnsi="Times New Roman" w:eastAsia="宋体" w:cs="Times New Roman"/>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val="en-US" w:eastAsia="zh-CN" w:bidi="ar"/>
        </w:rPr>
        <w:t>）承包人有以下情况之一者，发包人有权解除合同，并视情况扣除其履约保证金：</w:t>
      </w:r>
    </w:p>
    <w:p w14:paraId="7F952032">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①个人承包工程，包括本人单位及外单位人员承包，发包人不承认其个人拥有任何资质等级及营业许可资格。没收全部履约保证金。</w:t>
      </w:r>
    </w:p>
    <w:p w14:paraId="3805D757">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②几个人联合承包工程，就地组织暗分包队伍，不具备完成本工程的技术、机械能力，被发包人判定为没有能力履行的承包人。没收全部履约保证金。</w:t>
      </w:r>
    </w:p>
    <w:p w14:paraId="01AE0C1B">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③就地转包全部的工程，以谋取高额转让费、管理费的承包人。没收全部履约保证金。</w:t>
      </w:r>
    </w:p>
    <w:p w14:paraId="598A612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④承包人有部分分包现象（其中包括冒充承包人下属单位的挂勾单位，凭口头协议参与施工的分包人及其他暗分包个体户），一经核实，发包人将采取驱逐该暗分包人措施。没收全部履约保证金。</w:t>
      </w:r>
    </w:p>
    <w:p w14:paraId="6E97470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3.5.4 </w:t>
      </w:r>
      <w:r>
        <w:rPr>
          <w:rFonts w:hint="eastAsia" w:ascii="宋体" w:hAnsi="宋体" w:eastAsia="宋体" w:cs="宋体"/>
          <w:color w:val="auto"/>
          <w:kern w:val="0"/>
          <w:sz w:val="21"/>
          <w:szCs w:val="21"/>
          <w:highlight w:val="none"/>
          <w:lang w:val="en-US" w:eastAsia="zh-CN" w:bidi="ar"/>
        </w:rPr>
        <w:t>分包合同价款</w:t>
      </w:r>
    </w:p>
    <w:p w14:paraId="0476204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highlight w:val="none"/>
        </w:rPr>
      </w:pPr>
      <w:bookmarkStart w:id="330" w:name="_Toc373478358"/>
      <w:bookmarkEnd w:id="330"/>
      <w:bookmarkStart w:id="331" w:name="_Toc389065277"/>
      <w:bookmarkEnd w:id="331"/>
      <w:bookmarkStart w:id="332" w:name="_Toc373227711"/>
      <w:r>
        <w:rPr>
          <w:rFonts w:hint="eastAsia" w:ascii="宋体" w:hAnsi="宋体" w:eastAsia="宋体" w:cs="宋体"/>
          <w:color w:val="auto"/>
          <w:kern w:val="0"/>
          <w:sz w:val="21"/>
          <w:szCs w:val="21"/>
          <w:highlight w:val="none"/>
          <w:lang w:val="en-US" w:eastAsia="zh-CN" w:bidi="ar"/>
        </w:rPr>
        <w:t>关于分包合同价款支付的约定：</w:t>
      </w:r>
      <w:bookmarkEnd w:id="332"/>
      <w:r>
        <w:rPr>
          <w:rFonts w:hint="eastAsia" w:ascii="宋体" w:hAnsi="宋体" w:eastAsia="宋体" w:cs="宋体"/>
          <w:color w:val="auto"/>
          <w:kern w:val="0"/>
          <w:sz w:val="21"/>
          <w:szCs w:val="21"/>
          <w:highlight w:val="none"/>
          <w:u w:val="single"/>
          <w:lang w:val="en-US" w:eastAsia="zh-CN" w:bidi="ar"/>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w:t>
      </w:r>
      <w:r>
        <w:rPr>
          <w:rFonts w:hint="eastAsia" w:ascii="宋体" w:hAnsi="宋体" w:eastAsia="宋体" w:cs="宋体"/>
          <w:color w:val="auto"/>
          <w:kern w:val="0"/>
          <w:sz w:val="24"/>
          <w:szCs w:val="24"/>
          <w:highlight w:val="none"/>
          <w:u w:val="single"/>
          <w:lang w:val="en-US" w:eastAsia="zh-CN" w:bidi="ar"/>
        </w:rPr>
        <w:t>工程款项而影响承包人工作的，所造成的承包人费用增加和（或）延误的工期由发包人承担。</w:t>
      </w:r>
    </w:p>
    <w:p w14:paraId="6F9BC708">
      <w:pPr>
        <w:pStyle w:val="4"/>
        <w:widowControl/>
        <w:shd w:val="clear"/>
        <w:spacing w:line="360" w:lineRule="auto"/>
        <w:rPr>
          <w:rFonts w:hint="default" w:ascii="Times New Roman" w:hAnsi="Times New Roman" w:eastAsia="宋体" w:cs="Times New Roman"/>
          <w:b/>
          <w:bCs/>
          <w:color w:val="auto"/>
          <w:kern w:val="2"/>
          <w:sz w:val="32"/>
          <w:szCs w:val="32"/>
          <w:highlight w:val="none"/>
        </w:rPr>
      </w:pPr>
      <w:bookmarkStart w:id="333" w:name="_Toc407135213"/>
      <w:bookmarkEnd w:id="333"/>
      <w:bookmarkStart w:id="334" w:name="_Toc9850541"/>
      <w:r>
        <w:rPr>
          <w:rFonts w:hint="default" w:ascii="Times New Roman" w:hAnsi="Times New Roman" w:eastAsia="宋体" w:cs="Times New Roman"/>
          <w:b/>
          <w:bCs/>
          <w:color w:val="auto"/>
          <w:kern w:val="2"/>
          <w:sz w:val="32"/>
          <w:szCs w:val="32"/>
          <w:highlight w:val="none"/>
        </w:rPr>
        <w:t xml:space="preserve">3.6 </w:t>
      </w:r>
      <w:bookmarkEnd w:id="334"/>
      <w:r>
        <w:rPr>
          <w:rFonts w:hint="eastAsia" w:ascii="宋体" w:hAnsi="宋体" w:eastAsia="宋体" w:cs="宋体"/>
          <w:b/>
          <w:bCs/>
          <w:color w:val="auto"/>
          <w:kern w:val="2"/>
          <w:sz w:val="32"/>
          <w:szCs w:val="32"/>
          <w:highlight w:val="none"/>
        </w:rPr>
        <w:t>工程照管与成品、半成品保护</w:t>
      </w:r>
    </w:p>
    <w:p w14:paraId="13BC1901">
      <w:pPr>
        <w:keepNext w:val="0"/>
        <w:keepLines w:val="0"/>
        <w:widowControl w:val="0"/>
        <w:suppressLineNumbers w:val="0"/>
        <w:shd w:val="clear"/>
        <w:spacing w:before="120" w:beforeAutospacing="0" w:after="120" w:afterAutospacing="0" w:line="360" w:lineRule="auto"/>
        <w:ind w:left="0" w:right="0" w:firstLine="420" w:firstLineChars="200"/>
        <w:jc w:val="both"/>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1"/>
          <w:szCs w:val="21"/>
          <w:highlight w:val="none"/>
          <w:lang w:val="en-US" w:eastAsia="zh-CN" w:bidi="ar"/>
        </w:rPr>
        <w:t>承包人负责照管工程及工程相关的材料、工程设备的起始时间：</w:t>
      </w:r>
      <w:r>
        <w:rPr>
          <w:rFonts w:hint="eastAsia" w:ascii="宋体" w:hAnsi="宋体" w:eastAsia="宋体" w:cs="宋体"/>
          <w:color w:val="auto"/>
          <w:kern w:val="0"/>
          <w:sz w:val="21"/>
          <w:szCs w:val="21"/>
          <w:highlight w:val="none"/>
          <w:u w:val="single"/>
          <w:lang w:val="en-US" w:eastAsia="zh-CN" w:bidi="ar"/>
        </w:rPr>
        <w:t>从开工之日起承包人应全面负责照管本合同工程及将用于施工在本合同工程中的成品、半成品、材料、设备等直到本合同工程《质量保修书》签发之日为止，并承担此期间发生的相关费用，发包人不再另行签证费用。发包人要求采取特殊措施保护的工程部位（此为非正常施工程序所需采取的特别保护，不含发包人指定的分包方进场施工过程中承包人所需采取的必要配合保护)，所发生费用经发包人确认后由发包人承担。</w:t>
      </w:r>
    </w:p>
    <w:p w14:paraId="4EC2589C">
      <w:pPr>
        <w:pStyle w:val="4"/>
        <w:widowControl/>
        <w:shd w:val="clear"/>
        <w:rPr>
          <w:rFonts w:hint="default" w:ascii="Times New Roman" w:hAnsi="Times New Roman" w:eastAsia="宋体" w:cs="Times New Roman"/>
          <w:b/>
          <w:bCs/>
          <w:color w:val="auto"/>
          <w:kern w:val="2"/>
          <w:sz w:val="32"/>
          <w:szCs w:val="32"/>
          <w:highlight w:val="none"/>
        </w:rPr>
      </w:pPr>
      <w:bookmarkStart w:id="335" w:name="_Toc389065278"/>
      <w:bookmarkEnd w:id="335"/>
      <w:bookmarkStart w:id="336" w:name="_Toc9850542"/>
      <w:bookmarkEnd w:id="336"/>
      <w:bookmarkStart w:id="337" w:name="_Toc373478359"/>
      <w:bookmarkEnd w:id="337"/>
      <w:bookmarkStart w:id="338" w:name="_Toc373227712"/>
      <w:bookmarkEnd w:id="338"/>
      <w:bookmarkStart w:id="339" w:name="_Toc407135214"/>
      <w:r>
        <w:rPr>
          <w:rFonts w:hint="default" w:ascii="Times New Roman" w:hAnsi="Times New Roman" w:eastAsia="宋体" w:cs="Times New Roman"/>
          <w:b/>
          <w:bCs/>
          <w:color w:val="auto"/>
          <w:kern w:val="2"/>
          <w:sz w:val="32"/>
          <w:szCs w:val="32"/>
          <w:highlight w:val="none"/>
        </w:rPr>
        <w:t xml:space="preserve">3.7 </w:t>
      </w:r>
      <w:bookmarkEnd w:id="339"/>
      <w:r>
        <w:rPr>
          <w:rFonts w:hint="eastAsia" w:ascii="宋体" w:hAnsi="宋体" w:eastAsia="宋体" w:cs="宋体"/>
          <w:b/>
          <w:bCs/>
          <w:color w:val="auto"/>
          <w:kern w:val="2"/>
          <w:sz w:val="32"/>
          <w:szCs w:val="32"/>
          <w:highlight w:val="none"/>
        </w:rPr>
        <w:t>履约保证金</w:t>
      </w:r>
    </w:p>
    <w:p w14:paraId="0DF45D11">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宋体"/>
          <w:color w:val="auto"/>
          <w:sz w:val="21"/>
          <w:szCs w:val="21"/>
          <w:highlight w:val="none"/>
          <w:u w:val="single"/>
        </w:rPr>
      </w:pPr>
      <w:bookmarkStart w:id="340" w:name="_Toc373227713"/>
      <w:bookmarkEnd w:id="340"/>
      <w:bookmarkStart w:id="341" w:name="_Toc373478360"/>
      <w:bookmarkEnd w:id="341"/>
      <w:bookmarkStart w:id="342" w:name="_Toc351203636"/>
      <w:bookmarkEnd w:id="342"/>
      <w:bookmarkStart w:id="343" w:name="_Toc389065279"/>
      <w:r>
        <w:rPr>
          <w:rFonts w:hint="eastAsia" w:ascii="宋体" w:hAnsi="宋体" w:eastAsia="宋体" w:cs="宋体"/>
          <w:color w:val="auto"/>
          <w:kern w:val="0"/>
          <w:sz w:val="21"/>
          <w:szCs w:val="21"/>
          <w:highlight w:val="none"/>
          <w:lang w:val="en-US" w:eastAsia="zh-CN" w:bidi="ar"/>
        </w:rPr>
        <w:t>承包人提供履约担保的形式、金额及期限的：</w:t>
      </w:r>
      <w:bookmarkEnd w:id="343"/>
      <w:r>
        <w:rPr>
          <w:rFonts w:hint="eastAsia" w:ascii="宋体" w:hAnsi="宋体" w:eastAsia="宋体" w:cs="宋体"/>
          <w:color w:val="auto"/>
          <w:kern w:val="0"/>
          <w:sz w:val="21"/>
          <w:szCs w:val="21"/>
          <w:highlight w:val="none"/>
          <w:u w:val="single"/>
          <w:lang w:val="en-US" w:eastAsia="zh-CN" w:bidi="ar"/>
        </w:rPr>
        <w:t>承包人在收到中标通知书后，须在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日内向发包人提交合同价款扣除发包人材料设备价款、暂估专业工程、暂列金额后的</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的履约担保（格式见合同附件</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）。履约担保的有效期应当自本合同生效之日起至发包人签字盖章确认并由监理人向承包人出具（竣工证明材料名称）之日止。如果承包人无法获得一份不带具体截止日期的担保，履约担保中应当有</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变更工程竣工日期的，保证期间按照变更后的竣工日期做相应调整</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或类似约定的条款。</w:t>
      </w:r>
    </w:p>
    <w:p w14:paraId="4CEF2E6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工程竣工验收合格并对验收发现的问题完成整改后的</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个日历天内，发包人支付履约保证金的</w:t>
      </w:r>
      <w:r>
        <w:rPr>
          <w:rFonts w:hint="default" w:ascii="Times New Roman" w:hAnsi="Times New Roman" w:eastAsia="宋体" w:cs="Times New Roman"/>
          <w:color w:val="auto"/>
          <w:kern w:val="0"/>
          <w:sz w:val="21"/>
          <w:szCs w:val="21"/>
          <w:highlight w:val="none"/>
          <w:u w:val="single"/>
          <w:lang w:val="en-US" w:eastAsia="zh-CN" w:bidi="ar"/>
        </w:rPr>
        <w:t>50%</w:t>
      </w:r>
      <w:r>
        <w:rPr>
          <w:rFonts w:hint="eastAsia" w:ascii="宋体" w:hAnsi="宋体" w:eastAsia="宋体" w:cs="宋体"/>
          <w:color w:val="auto"/>
          <w:kern w:val="0"/>
          <w:sz w:val="21"/>
          <w:szCs w:val="21"/>
          <w:highlight w:val="none"/>
          <w:u w:val="single"/>
          <w:lang w:val="en-US" w:eastAsia="zh-CN" w:bidi="ar"/>
        </w:rPr>
        <w:t>；承包人向发包人完成（施工）竣工资料移交手续后，可向发包人申请退还剩余履约保证金，发包人应在收到申请之日起</w:t>
      </w:r>
      <w:r>
        <w:rPr>
          <w:rFonts w:hint="default" w:ascii="Times New Roman" w:hAnsi="Times New Roman" w:eastAsia="宋体" w:cs="Times New Roman"/>
          <w:color w:val="auto"/>
          <w:kern w:val="0"/>
          <w:sz w:val="21"/>
          <w:szCs w:val="21"/>
          <w:highlight w:val="none"/>
          <w:u w:val="single"/>
          <w:lang w:val="en-US" w:eastAsia="zh-CN" w:bidi="ar"/>
        </w:rPr>
        <w:t>28</w:t>
      </w:r>
      <w:r>
        <w:rPr>
          <w:rFonts w:hint="eastAsia" w:ascii="宋体" w:hAnsi="宋体" w:eastAsia="宋体" w:cs="宋体"/>
          <w:color w:val="auto"/>
          <w:kern w:val="0"/>
          <w:sz w:val="21"/>
          <w:szCs w:val="21"/>
          <w:highlight w:val="none"/>
          <w:u w:val="single"/>
          <w:lang w:val="en-US" w:eastAsia="zh-CN" w:bidi="ar"/>
        </w:rPr>
        <w:t>个日历天内扣减承包人赔偿金和其他应从承包人扣回的款项后，将履约保证金的余额无息退还给承包人。</w:t>
      </w:r>
    </w:p>
    <w:p w14:paraId="29C89A01">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承包人在中标后</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个工作日内，按崇左市住房城乡建设行政主管部门规定将农民工工资保障金存入账户。工程竣工验收结算经审定后，按照规定程序，将农民工工资保障金没有使用或剩余的金额退还给承包人。</w:t>
      </w:r>
    </w:p>
    <w:p w14:paraId="5160C915">
      <w:pPr>
        <w:pStyle w:val="3"/>
        <w:widowControl/>
        <w:shd w:val="clear"/>
        <w:rPr>
          <w:rFonts w:hint="default" w:ascii="Arial" w:hAnsi="Arial" w:eastAsia="黑体" w:cs="Times New Roman"/>
          <w:b/>
          <w:bCs w:val="0"/>
          <w:color w:val="auto"/>
          <w:sz w:val="32"/>
          <w:szCs w:val="32"/>
          <w:highlight w:val="none"/>
        </w:rPr>
      </w:pPr>
      <w:bookmarkStart w:id="344" w:name="_Toc9850543"/>
      <w:bookmarkEnd w:id="344"/>
      <w:bookmarkStart w:id="345" w:name="_Toc407135215"/>
      <w:r>
        <w:rPr>
          <w:rFonts w:hint="default" w:ascii="Arial" w:hAnsi="Arial" w:eastAsia="黑体" w:cs="Times New Roman"/>
          <w:b/>
          <w:bCs w:val="0"/>
          <w:color w:val="auto"/>
          <w:sz w:val="32"/>
          <w:szCs w:val="32"/>
          <w:highlight w:val="none"/>
        </w:rPr>
        <w:t>4</w:t>
      </w:r>
      <w:bookmarkEnd w:id="345"/>
      <w:bookmarkStart w:id="346" w:name="_Toc296891202"/>
      <w:bookmarkEnd w:id="346"/>
      <w:bookmarkStart w:id="347" w:name="_Toc296944501"/>
      <w:bookmarkEnd w:id="347"/>
      <w:bookmarkStart w:id="348" w:name="_Toc297120462"/>
      <w:bookmarkEnd w:id="348"/>
      <w:bookmarkStart w:id="349" w:name="_Toc297048348"/>
      <w:bookmarkEnd w:id="349"/>
      <w:bookmarkStart w:id="350" w:name="_Toc267251413"/>
      <w:bookmarkEnd w:id="350"/>
      <w:bookmarkStart w:id="351" w:name="_Toc292559366"/>
      <w:bookmarkEnd w:id="351"/>
      <w:bookmarkStart w:id="352" w:name="_Toc296503162"/>
      <w:bookmarkEnd w:id="352"/>
      <w:bookmarkStart w:id="353" w:name="_Toc296346663"/>
      <w:bookmarkEnd w:id="353"/>
      <w:bookmarkStart w:id="354" w:name="_Toc296347161"/>
      <w:bookmarkEnd w:id="354"/>
      <w:bookmarkStart w:id="355" w:name="_Toc292559871"/>
      <w:bookmarkEnd w:id="355"/>
      <w:bookmarkStart w:id="356" w:name="_Toc296890990"/>
      <w:r>
        <w:rPr>
          <w:rFonts w:hint="default" w:ascii="Arial" w:hAnsi="Arial" w:eastAsia="黑体" w:cs="Times New Roman"/>
          <w:b/>
          <w:bCs w:val="0"/>
          <w:color w:val="auto"/>
          <w:sz w:val="32"/>
          <w:szCs w:val="32"/>
          <w:highlight w:val="none"/>
        </w:rPr>
        <w:t xml:space="preserve">. </w:t>
      </w:r>
      <w:bookmarkEnd w:id="356"/>
      <w:r>
        <w:rPr>
          <w:rFonts w:hint="eastAsia" w:ascii="黑体" w:hAnsi="宋体" w:eastAsia="黑体" w:cs="黑体"/>
          <w:b/>
          <w:bCs w:val="0"/>
          <w:color w:val="auto"/>
          <w:sz w:val="32"/>
          <w:szCs w:val="32"/>
          <w:highlight w:val="none"/>
        </w:rPr>
        <w:t>监理人</w:t>
      </w:r>
    </w:p>
    <w:p w14:paraId="17F3367C">
      <w:pPr>
        <w:pStyle w:val="4"/>
        <w:widowControl/>
        <w:shd w:val="clear"/>
        <w:rPr>
          <w:rFonts w:hint="default" w:ascii="Times New Roman" w:hAnsi="Times New Roman" w:eastAsia="宋体" w:cs="Times New Roman"/>
          <w:b/>
          <w:bCs/>
          <w:color w:val="auto"/>
          <w:kern w:val="2"/>
          <w:sz w:val="32"/>
          <w:szCs w:val="32"/>
          <w:highlight w:val="none"/>
        </w:rPr>
      </w:pPr>
      <w:bookmarkStart w:id="357" w:name="_Toc407135216"/>
      <w:bookmarkEnd w:id="357"/>
      <w:bookmarkStart w:id="358" w:name="_Toc389065280"/>
      <w:bookmarkEnd w:id="358"/>
      <w:bookmarkStart w:id="359" w:name="_Toc9850544"/>
      <w:bookmarkEnd w:id="359"/>
      <w:bookmarkStart w:id="360" w:name="_Toc373227714"/>
      <w:bookmarkEnd w:id="360"/>
      <w:bookmarkStart w:id="361" w:name="_Toc373478361"/>
      <w:r>
        <w:rPr>
          <w:rFonts w:hint="default" w:ascii="Times New Roman" w:hAnsi="Times New Roman" w:eastAsia="宋体" w:cs="Times New Roman"/>
          <w:b/>
          <w:bCs/>
          <w:color w:val="auto"/>
          <w:kern w:val="2"/>
          <w:sz w:val="32"/>
          <w:szCs w:val="32"/>
          <w:highlight w:val="none"/>
        </w:rPr>
        <w:t xml:space="preserve">4.1 </w:t>
      </w:r>
      <w:bookmarkEnd w:id="361"/>
      <w:r>
        <w:rPr>
          <w:rFonts w:hint="eastAsia" w:ascii="宋体" w:hAnsi="宋体" w:eastAsia="宋体" w:cs="宋体"/>
          <w:b/>
          <w:bCs/>
          <w:color w:val="auto"/>
          <w:kern w:val="2"/>
          <w:sz w:val="32"/>
          <w:szCs w:val="32"/>
          <w:highlight w:val="none"/>
        </w:rPr>
        <w:t>监理人的一般规定</w:t>
      </w:r>
    </w:p>
    <w:p w14:paraId="2FF486F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关于监理人的监理内容：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按照发包人与监理人约定的内容为准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DC7DBE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关于监理人的监理权限：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按照发包人与监理人约定的内容为准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 </w:t>
      </w:r>
    </w:p>
    <w:p w14:paraId="0129ABB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关于监理人在施工现场的办公场所、生活场所的提供和费用承担的约定：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7FACF96">
      <w:pPr>
        <w:pStyle w:val="4"/>
        <w:widowControl/>
        <w:shd w:val="clear"/>
        <w:rPr>
          <w:rFonts w:hint="default" w:ascii="Times New Roman" w:hAnsi="Times New Roman" w:eastAsia="宋体" w:cs="Times New Roman"/>
          <w:b/>
          <w:bCs/>
          <w:color w:val="auto"/>
          <w:kern w:val="2"/>
          <w:sz w:val="32"/>
          <w:szCs w:val="32"/>
          <w:highlight w:val="none"/>
        </w:rPr>
      </w:pPr>
      <w:bookmarkStart w:id="362" w:name="_Toc389065281"/>
      <w:bookmarkEnd w:id="362"/>
      <w:bookmarkStart w:id="363" w:name="_Toc407135217"/>
      <w:bookmarkEnd w:id="363"/>
      <w:bookmarkStart w:id="364" w:name="_Toc9850545"/>
      <w:bookmarkEnd w:id="364"/>
      <w:bookmarkStart w:id="365" w:name="_Toc373478362"/>
      <w:bookmarkEnd w:id="365"/>
      <w:bookmarkStart w:id="366" w:name="_Toc373227715"/>
      <w:r>
        <w:rPr>
          <w:rFonts w:hint="default" w:ascii="Times New Roman" w:hAnsi="Times New Roman" w:eastAsia="宋体" w:cs="Times New Roman"/>
          <w:b/>
          <w:bCs/>
          <w:color w:val="auto"/>
          <w:kern w:val="2"/>
          <w:sz w:val="32"/>
          <w:szCs w:val="32"/>
          <w:highlight w:val="none"/>
        </w:rPr>
        <w:t xml:space="preserve">4.2 </w:t>
      </w:r>
      <w:bookmarkEnd w:id="366"/>
      <w:r>
        <w:rPr>
          <w:rFonts w:hint="eastAsia" w:ascii="宋体" w:hAnsi="宋体" w:eastAsia="宋体" w:cs="宋体"/>
          <w:b/>
          <w:bCs/>
          <w:color w:val="auto"/>
          <w:kern w:val="2"/>
          <w:sz w:val="32"/>
          <w:szCs w:val="32"/>
          <w:highlight w:val="none"/>
        </w:rPr>
        <w:t>监理人员</w:t>
      </w:r>
    </w:p>
    <w:p w14:paraId="745AA33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总监理工程师：</w:t>
      </w:r>
    </w:p>
    <w:p w14:paraId="752A8C7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7BB891D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职</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务：</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37775ED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监理工程师执业资格证书号：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7443ECF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72DF2FE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5E60BCB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1A03EEE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关于监理人的其他约定：</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16D87E60">
      <w:pPr>
        <w:pStyle w:val="4"/>
        <w:widowControl/>
        <w:shd w:val="clear"/>
        <w:rPr>
          <w:rFonts w:hint="default" w:ascii="Times New Roman" w:hAnsi="Times New Roman" w:eastAsia="宋体" w:cs="Times New Roman"/>
          <w:b/>
          <w:bCs/>
          <w:color w:val="auto"/>
          <w:kern w:val="2"/>
          <w:sz w:val="32"/>
          <w:szCs w:val="32"/>
          <w:highlight w:val="none"/>
        </w:rPr>
      </w:pPr>
      <w:bookmarkStart w:id="367" w:name="_Toc389065282"/>
      <w:bookmarkEnd w:id="367"/>
      <w:bookmarkStart w:id="368" w:name="_Toc373478363"/>
      <w:bookmarkEnd w:id="368"/>
      <w:bookmarkStart w:id="369" w:name="_Toc407135218"/>
      <w:bookmarkEnd w:id="369"/>
      <w:bookmarkStart w:id="370" w:name="_Toc9850546"/>
      <w:bookmarkEnd w:id="370"/>
      <w:bookmarkStart w:id="371" w:name="_Toc373227716"/>
      <w:r>
        <w:rPr>
          <w:rFonts w:hint="default" w:ascii="Times New Roman" w:hAnsi="Times New Roman" w:eastAsia="宋体" w:cs="Times New Roman"/>
          <w:b/>
          <w:bCs/>
          <w:color w:val="auto"/>
          <w:kern w:val="2"/>
          <w:sz w:val="32"/>
          <w:szCs w:val="32"/>
          <w:highlight w:val="none"/>
        </w:rPr>
        <w:t xml:space="preserve">4.4 </w:t>
      </w:r>
      <w:bookmarkEnd w:id="371"/>
      <w:r>
        <w:rPr>
          <w:rFonts w:hint="eastAsia" w:ascii="宋体" w:hAnsi="宋体" w:eastAsia="宋体" w:cs="宋体"/>
          <w:b/>
          <w:bCs/>
          <w:color w:val="auto"/>
          <w:kern w:val="2"/>
          <w:sz w:val="32"/>
          <w:szCs w:val="32"/>
          <w:highlight w:val="none"/>
        </w:rPr>
        <w:t>商定或确定</w:t>
      </w:r>
    </w:p>
    <w:p w14:paraId="1FE7DF5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372" w:name="_Toc267251418"/>
      <w:bookmarkEnd w:id="372"/>
      <w:r>
        <w:rPr>
          <w:rFonts w:hint="eastAsia" w:ascii="宋体" w:hAnsi="宋体" w:eastAsia="宋体" w:cs="宋体"/>
          <w:color w:val="auto"/>
          <w:kern w:val="0"/>
          <w:sz w:val="21"/>
          <w:szCs w:val="21"/>
          <w:highlight w:val="none"/>
          <w:lang w:val="en-US" w:eastAsia="zh-CN" w:bidi="ar"/>
        </w:rPr>
        <w:t>在发包人和承包人不能通过协商达成一致意见时，发包人授权监理人对以下事项进行确定：</w:t>
      </w:r>
    </w:p>
    <w:p w14:paraId="35E983CC">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317D27A">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46D45FB">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08D83F1">
      <w:pPr>
        <w:pStyle w:val="3"/>
        <w:widowControl/>
        <w:shd w:val="clear"/>
        <w:rPr>
          <w:rFonts w:hint="default" w:ascii="Arial" w:hAnsi="Arial" w:eastAsia="黑体" w:cs="Times New Roman"/>
          <w:b/>
          <w:bCs w:val="0"/>
          <w:color w:val="auto"/>
          <w:sz w:val="32"/>
          <w:szCs w:val="32"/>
          <w:highlight w:val="none"/>
        </w:rPr>
      </w:pPr>
      <w:bookmarkStart w:id="373" w:name="_Toc9850547"/>
      <w:bookmarkEnd w:id="373"/>
      <w:bookmarkStart w:id="374" w:name="_Toc407135219"/>
      <w:bookmarkEnd w:id="374"/>
      <w:bookmarkStart w:id="375" w:name="_Toc373227717"/>
      <w:bookmarkEnd w:id="375"/>
      <w:bookmarkStart w:id="376" w:name="_Toc351203637"/>
      <w:bookmarkEnd w:id="376"/>
      <w:bookmarkStart w:id="377" w:name="_Toc389065283"/>
      <w:bookmarkEnd w:id="377"/>
      <w:bookmarkStart w:id="378" w:name="_Toc373478364"/>
      <w:r>
        <w:rPr>
          <w:rFonts w:hint="default" w:ascii="Arial" w:hAnsi="Arial" w:eastAsia="黑体" w:cs="Times New Roman"/>
          <w:b/>
          <w:bCs w:val="0"/>
          <w:color w:val="auto"/>
          <w:sz w:val="32"/>
          <w:szCs w:val="32"/>
          <w:highlight w:val="none"/>
        </w:rPr>
        <w:t>5</w:t>
      </w:r>
      <w:bookmarkEnd w:id="378"/>
      <w:bookmarkStart w:id="379" w:name="_Toc296503163"/>
      <w:bookmarkEnd w:id="379"/>
      <w:bookmarkStart w:id="380" w:name="_Toc296347162"/>
      <w:bookmarkEnd w:id="380"/>
      <w:bookmarkStart w:id="381" w:name="_Toc297048349"/>
      <w:bookmarkEnd w:id="381"/>
      <w:bookmarkStart w:id="382" w:name="_Toc292559872"/>
      <w:bookmarkEnd w:id="382"/>
      <w:bookmarkStart w:id="383" w:name="_Toc292559367"/>
      <w:bookmarkEnd w:id="383"/>
      <w:bookmarkStart w:id="384" w:name="_Toc296944502"/>
      <w:bookmarkEnd w:id="384"/>
      <w:bookmarkStart w:id="385" w:name="_Toc296890991"/>
      <w:bookmarkEnd w:id="385"/>
      <w:bookmarkStart w:id="386" w:name="_Toc297120463"/>
      <w:bookmarkEnd w:id="386"/>
      <w:bookmarkStart w:id="387" w:name="_Toc296346664"/>
      <w:bookmarkEnd w:id="387"/>
      <w:bookmarkStart w:id="388" w:name="_Toc296891203"/>
      <w:r>
        <w:rPr>
          <w:rFonts w:hint="default" w:ascii="Arial" w:hAnsi="Arial" w:eastAsia="黑体" w:cs="Times New Roman"/>
          <w:b/>
          <w:bCs w:val="0"/>
          <w:color w:val="auto"/>
          <w:sz w:val="32"/>
          <w:szCs w:val="32"/>
          <w:highlight w:val="none"/>
        </w:rPr>
        <w:t xml:space="preserve">. </w:t>
      </w:r>
      <w:bookmarkEnd w:id="388"/>
      <w:r>
        <w:rPr>
          <w:rFonts w:hint="eastAsia" w:ascii="黑体" w:hAnsi="宋体" w:eastAsia="黑体" w:cs="黑体"/>
          <w:b/>
          <w:bCs w:val="0"/>
          <w:color w:val="auto"/>
          <w:sz w:val="32"/>
          <w:szCs w:val="32"/>
          <w:highlight w:val="none"/>
        </w:rPr>
        <w:t>工程质量</w:t>
      </w:r>
    </w:p>
    <w:p w14:paraId="588F0BFD">
      <w:pPr>
        <w:pStyle w:val="4"/>
        <w:widowControl/>
        <w:shd w:val="clear"/>
        <w:rPr>
          <w:rFonts w:hint="default" w:ascii="Times New Roman" w:hAnsi="Times New Roman" w:eastAsia="宋体" w:cs="Times New Roman"/>
          <w:b/>
          <w:bCs/>
          <w:color w:val="auto"/>
          <w:kern w:val="2"/>
          <w:sz w:val="32"/>
          <w:szCs w:val="32"/>
          <w:highlight w:val="none"/>
        </w:rPr>
      </w:pPr>
      <w:bookmarkStart w:id="389" w:name="_Toc9850548"/>
      <w:bookmarkEnd w:id="389"/>
      <w:bookmarkStart w:id="390" w:name="_Toc389065284"/>
      <w:bookmarkEnd w:id="390"/>
      <w:bookmarkStart w:id="391" w:name="_Toc373478365"/>
      <w:bookmarkEnd w:id="391"/>
      <w:bookmarkStart w:id="392" w:name="_Toc373227718"/>
      <w:bookmarkEnd w:id="392"/>
      <w:bookmarkStart w:id="393" w:name="_Toc407135220"/>
      <w:r>
        <w:rPr>
          <w:rFonts w:hint="default" w:ascii="Times New Roman" w:hAnsi="Times New Roman" w:eastAsia="宋体" w:cs="Times New Roman"/>
          <w:b/>
          <w:bCs/>
          <w:color w:val="auto"/>
          <w:kern w:val="2"/>
          <w:sz w:val="32"/>
          <w:szCs w:val="32"/>
          <w:highlight w:val="none"/>
        </w:rPr>
        <w:t xml:space="preserve">5.1 </w:t>
      </w:r>
      <w:bookmarkEnd w:id="393"/>
      <w:r>
        <w:rPr>
          <w:rFonts w:hint="eastAsia" w:ascii="宋体" w:hAnsi="宋体" w:eastAsia="宋体" w:cs="宋体"/>
          <w:b/>
          <w:bCs/>
          <w:color w:val="auto"/>
          <w:kern w:val="2"/>
          <w:sz w:val="32"/>
          <w:szCs w:val="32"/>
          <w:highlight w:val="none"/>
        </w:rPr>
        <w:t>质量要求</w:t>
      </w:r>
    </w:p>
    <w:p w14:paraId="5677FD6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5</w:t>
      </w:r>
      <w:bookmarkStart w:id="394" w:name="_Toc304295527"/>
      <w:bookmarkEnd w:id="394"/>
      <w:bookmarkStart w:id="395" w:name="_Toc318581164"/>
      <w:bookmarkEnd w:id="395"/>
      <w:bookmarkStart w:id="396" w:name="_Toc303539106"/>
      <w:bookmarkEnd w:id="396"/>
      <w:bookmarkStart w:id="397" w:name="_Toc312677997"/>
      <w:bookmarkEnd w:id="397"/>
      <w:bookmarkStart w:id="398" w:name="_Toc300934949"/>
      <w:bookmarkEnd w:id="398"/>
      <w:bookmarkStart w:id="399" w:name="_Toc297216155"/>
      <w:bookmarkEnd w:id="399"/>
      <w:bookmarkStart w:id="400" w:name="_Toc297123496"/>
      <w:r>
        <w:rPr>
          <w:rFonts w:hint="default" w:ascii="Times New Roman" w:hAnsi="Times New Roman" w:eastAsia="宋体" w:cs="Times New Roman"/>
          <w:color w:val="auto"/>
          <w:kern w:val="0"/>
          <w:sz w:val="21"/>
          <w:szCs w:val="21"/>
          <w:highlight w:val="none"/>
          <w:lang w:val="en-US" w:eastAsia="zh-CN" w:bidi="ar"/>
        </w:rPr>
        <w:t xml:space="preserve">.1.1 </w:t>
      </w:r>
      <w:bookmarkEnd w:id="400"/>
      <w:r>
        <w:rPr>
          <w:rFonts w:hint="eastAsia" w:ascii="宋体" w:hAnsi="宋体" w:eastAsia="宋体" w:cs="宋体"/>
          <w:color w:val="auto"/>
          <w:kern w:val="0"/>
          <w:sz w:val="21"/>
          <w:szCs w:val="21"/>
          <w:highlight w:val="none"/>
          <w:lang w:val="en-US" w:eastAsia="zh-CN" w:bidi="ar"/>
        </w:rPr>
        <w:t>特殊质量标准和要求：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另行约定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FAF683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关于工程奖项的约定：</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如果工程获得</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（奖项名称）</w:t>
      </w:r>
      <w:r>
        <w:rPr>
          <w:rFonts w:hint="eastAsia" w:ascii="宋体" w:hAnsi="宋体" w:eastAsia="宋体" w:cs="宋体"/>
          <w:color w:val="auto"/>
          <w:kern w:val="0"/>
          <w:sz w:val="21"/>
          <w:szCs w:val="21"/>
          <w:highlight w:val="none"/>
          <w:lang w:val="en-US" w:eastAsia="zh-CN" w:bidi="ar"/>
        </w:rPr>
        <w:t>，给予承包人合同价</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的奖励。</w:t>
      </w:r>
    </w:p>
    <w:p w14:paraId="19BF82B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5.3 </w:t>
      </w:r>
      <w:r>
        <w:rPr>
          <w:rFonts w:hint="eastAsia" w:ascii="宋体" w:hAnsi="宋体" w:eastAsia="宋体" w:cs="宋体"/>
          <w:color w:val="auto"/>
          <w:kern w:val="0"/>
          <w:sz w:val="21"/>
          <w:szCs w:val="21"/>
          <w:highlight w:val="none"/>
          <w:lang w:val="en-US" w:eastAsia="zh-CN" w:bidi="ar"/>
        </w:rPr>
        <w:t>隐蔽工程检查</w:t>
      </w:r>
    </w:p>
    <w:p w14:paraId="672A691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5.3.2</w:t>
      </w:r>
      <w:r>
        <w:rPr>
          <w:rFonts w:hint="eastAsia" w:ascii="宋体" w:hAnsi="宋体" w:eastAsia="宋体" w:cs="宋体"/>
          <w:color w:val="auto"/>
          <w:kern w:val="0"/>
          <w:sz w:val="21"/>
          <w:szCs w:val="21"/>
          <w:highlight w:val="none"/>
          <w:lang w:val="en-US" w:eastAsia="zh-CN" w:bidi="ar"/>
        </w:rPr>
        <w:t>承包人提前通知监理人隐蔽工程检查的期限的约定：工程隐蔽或中间验收前</w:t>
      </w:r>
      <w:r>
        <w:rPr>
          <w:rFonts w:hint="default" w:ascii="Times New Roman" w:hAnsi="Times New Roman" w:eastAsia="宋体" w:cs="Times New Roman"/>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val="en-US" w:eastAsia="zh-CN" w:bidi="ar"/>
        </w:rPr>
        <w:t>小时以书面形式通知发包人和监理工程师验收的内容、时间、地点，承包人准备验收记录单（最好是印制的表格）由双方签证。验收合格，承包人可进行隐蔽和继续施工；验收不合格，双方商定时限内修改后按上述顺序重新验收。</w:t>
      </w:r>
    </w:p>
    <w:p w14:paraId="5ED6F0F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监理人不能按时进行检查时，应提前</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小时提交书面延期要求。</w:t>
      </w:r>
    </w:p>
    <w:p w14:paraId="0512F15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关于延期最长不得超过：</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w:t>
      </w:r>
    </w:p>
    <w:p w14:paraId="5FEDA3AA">
      <w:pPr>
        <w:pStyle w:val="3"/>
        <w:widowControl/>
        <w:shd w:val="clear"/>
        <w:rPr>
          <w:rFonts w:hint="default" w:ascii="Arial" w:hAnsi="Arial" w:eastAsia="黑体" w:cs="Times New Roman"/>
          <w:b/>
          <w:bCs w:val="0"/>
          <w:color w:val="auto"/>
          <w:sz w:val="32"/>
          <w:szCs w:val="32"/>
          <w:highlight w:val="none"/>
        </w:rPr>
      </w:pPr>
      <w:bookmarkStart w:id="401" w:name="_Toc373227719"/>
      <w:bookmarkEnd w:id="401"/>
      <w:bookmarkStart w:id="402" w:name="_Toc407135221"/>
      <w:bookmarkEnd w:id="402"/>
      <w:bookmarkStart w:id="403" w:name="_Toc373478366"/>
      <w:bookmarkEnd w:id="403"/>
      <w:bookmarkStart w:id="404" w:name="_Toc351203638"/>
      <w:bookmarkEnd w:id="404"/>
      <w:bookmarkStart w:id="405" w:name="_Toc389065285"/>
      <w:bookmarkEnd w:id="405"/>
      <w:bookmarkStart w:id="406" w:name="_Toc9850549"/>
      <w:r>
        <w:rPr>
          <w:rFonts w:hint="default" w:ascii="Arial" w:hAnsi="Arial" w:eastAsia="黑体" w:cs="Times New Roman"/>
          <w:b/>
          <w:bCs w:val="0"/>
          <w:color w:val="auto"/>
          <w:sz w:val="32"/>
          <w:szCs w:val="32"/>
          <w:highlight w:val="none"/>
        </w:rPr>
        <w:t xml:space="preserve">6. </w:t>
      </w:r>
      <w:bookmarkEnd w:id="406"/>
      <w:r>
        <w:rPr>
          <w:rFonts w:hint="eastAsia" w:ascii="黑体" w:hAnsi="宋体" w:eastAsia="黑体" w:cs="黑体"/>
          <w:b/>
          <w:bCs w:val="0"/>
          <w:color w:val="auto"/>
          <w:sz w:val="32"/>
          <w:szCs w:val="32"/>
          <w:highlight w:val="none"/>
        </w:rPr>
        <w:t>安全文明施工与环境保护</w:t>
      </w:r>
    </w:p>
    <w:p w14:paraId="56EF86CF">
      <w:pPr>
        <w:pStyle w:val="4"/>
        <w:widowControl/>
        <w:shd w:val="clear"/>
        <w:rPr>
          <w:rFonts w:hint="default" w:ascii="Times New Roman" w:hAnsi="Times New Roman" w:eastAsia="宋体" w:cs="Times New Roman"/>
          <w:b/>
          <w:bCs/>
          <w:color w:val="auto"/>
          <w:kern w:val="2"/>
          <w:sz w:val="32"/>
          <w:szCs w:val="32"/>
          <w:highlight w:val="none"/>
        </w:rPr>
      </w:pPr>
      <w:bookmarkStart w:id="407" w:name="_Toc373478367"/>
      <w:bookmarkEnd w:id="407"/>
      <w:bookmarkStart w:id="408" w:name="_Toc407135222"/>
      <w:bookmarkEnd w:id="408"/>
      <w:bookmarkStart w:id="409" w:name="_Toc373227720"/>
      <w:bookmarkEnd w:id="409"/>
      <w:bookmarkStart w:id="410" w:name="_Toc9850550"/>
      <w:bookmarkEnd w:id="410"/>
      <w:bookmarkStart w:id="411" w:name="_Toc389065286"/>
      <w:r>
        <w:rPr>
          <w:rFonts w:hint="default" w:ascii="Times New Roman" w:hAnsi="Times New Roman" w:eastAsia="宋体" w:cs="Times New Roman"/>
          <w:b/>
          <w:bCs/>
          <w:color w:val="auto"/>
          <w:kern w:val="2"/>
          <w:sz w:val="32"/>
          <w:szCs w:val="32"/>
          <w:highlight w:val="none"/>
        </w:rPr>
        <w:t xml:space="preserve">6.1 </w:t>
      </w:r>
      <w:bookmarkEnd w:id="411"/>
      <w:r>
        <w:rPr>
          <w:rFonts w:hint="eastAsia" w:ascii="宋体" w:hAnsi="宋体" w:eastAsia="宋体" w:cs="宋体"/>
          <w:b/>
          <w:bCs/>
          <w:color w:val="auto"/>
          <w:kern w:val="2"/>
          <w:sz w:val="32"/>
          <w:szCs w:val="32"/>
          <w:highlight w:val="none"/>
        </w:rPr>
        <w:t>安全文明施工</w:t>
      </w:r>
    </w:p>
    <w:p w14:paraId="5DC1BF3A">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1"/>
          <w:szCs w:val="21"/>
          <w:highlight w:val="none"/>
        </w:rPr>
      </w:pPr>
      <w:bookmarkStart w:id="412" w:name="_Toc407135223"/>
      <w:bookmarkEnd w:id="412"/>
      <w:bookmarkStart w:id="413" w:name="_Toc373227721"/>
      <w:bookmarkEnd w:id="413"/>
      <w:bookmarkStart w:id="414" w:name="_Toc9850551"/>
      <w:bookmarkEnd w:id="414"/>
      <w:bookmarkStart w:id="415" w:name="_Toc373478368"/>
      <w:bookmarkEnd w:id="415"/>
      <w:bookmarkStart w:id="416" w:name="_Toc389065287"/>
      <w:r>
        <w:rPr>
          <w:rFonts w:hint="default" w:ascii="Times New Roman" w:hAnsi="Times New Roman" w:eastAsia="宋体" w:cs="Times New Roman"/>
          <w:color w:val="auto"/>
          <w:kern w:val="0"/>
          <w:sz w:val="21"/>
          <w:szCs w:val="21"/>
          <w:highlight w:val="none"/>
          <w:lang w:val="en-US" w:eastAsia="zh-CN" w:bidi="ar"/>
        </w:rPr>
        <w:t xml:space="preserve">6.1.1 </w:t>
      </w:r>
      <w:bookmarkEnd w:id="416"/>
      <w:r>
        <w:rPr>
          <w:rFonts w:hint="eastAsia" w:ascii="宋体" w:hAnsi="宋体" w:eastAsia="宋体" w:cs="宋体"/>
          <w:color w:val="auto"/>
          <w:kern w:val="0"/>
          <w:sz w:val="21"/>
          <w:szCs w:val="21"/>
          <w:highlight w:val="none"/>
          <w:lang w:val="en-US" w:eastAsia="zh-CN" w:bidi="ar"/>
        </w:rPr>
        <w:t>项目安全生产的达标目标及相应事项的约定：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按通用条款及崇左市有关规定执行</w:t>
      </w:r>
      <w:r>
        <w:rPr>
          <w:rFonts w:hint="eastAsia" w:ascii="宋体" w:hAnsi="宋体" w:eastAsia="宋体" w:cs="宋体"/>
          <w:color w:val="auto"/>
          <w:kern w:val="0"/>
          <w:sz w:val="21"/>
          <w:szCs w:val="21"/>
          <w:highlight w:val="none"/>
          <w:lang w:val="en-US" w:eastAsia="zh-CN" w:bidi="ar"/>
        </w:rPr>
        <w:t>。</w:t>
      </w:r>
    </w:p>
    <w:p w14:paraId="091B200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6.1.4 关于治安保卫的特别约定：</w:t>
      </w:r>
      <w:r>
        <w:rPr>
          <w:rFonts w:hint="eastAsia" w:ascii="宋体" w:hAnsi="宋体" w:eastAsia="宋体" w:cs="宋体"/>
          <w:color w:val="auto"/>
          <w:kern w:val="0"/>
          <w:sz w:val="21"/>
          <w:szCs w:val="21"/>
          <w:highlight w:val="none"/>
          <w:u w:val="single"/>
          <w:lang w:val="en-US" w:eastAsia="zh-CN" w:bidi="ar"/>
        </w:rPr>
        <w:t xml:space="preserve"> 承包人应承担施工安全保卫工作，夜间及非夜间施工照明的责任，承包人应采取一切合理的预防措施，防止人员伤亡、财产损失事故，且承包人应为本项目施工的工作人员</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 xml:space="preserve">工人购买工伤保险或足额的雇主责任保险，如承包人违反该约定发生人员伤亡、财产损失等事故导致赔偿的，赔偿费用由承包人承担。承包人生活设施及施工场应自费配备消防设备，防止火灾发生 </w:t>
      </w:r>
      <w:r>
        <w:rPr>
          <w:rFonts w:hint="eastAsia" w:ascii="宋体" w:hAnsi="宋体" w:eastAsia="宋体" w:cs="宋体"/>
          <w:color w:val="auto"/>
          <w:kern w:val="0"/>
          <w:sz w:val="21"/>
          <w:szCs w:val="21"/>
          <w:highlight w:val="none"/>
          <w:lang w:val="en-US" w:eastAsia="zh-CN" w:bidi="ar"/>
        </w:rPr>
        <w:t>。</w:t>
      </w:r>
    </w:p>
    <w:p w14:paraId="47D5B01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关于安全文明施工奖项的约定：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按通用条款及崇左市有关规定执行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A2758B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 xml:space="preserve">6.1.4 </w:t>
      </w:r>
      <w:r>
        <w:rPr>
          <w:rFonts w:hint="eastAsia" w:ascii="宋体" w:hAnsi="宋体" w:eastAsia="宋体" w:cs="宋体"/>
          <w:color w:val="auto"/>
          <w:kern w:val="0"/>
          <w:sz w:val="21"/>
          <w:szCs w:val="21"/>
          <w:highlight w:val="none"/>
          <w:lang w:val="en-US" w:eastAsia="zh-CN" w:bidi="ar"/>
        </w:rPr>
        <w:t>关于治安保卫的特别约定：</w:t>
      </w:r>
      <w:r>
        <w:rPr>
          <w:rFonts w:hint="eastAsia" w:ascii="宋体" w:hAnsi="宋体" w:eastAsia="宋体" w:cs="宋体"/>
          <w:color w:val="auto"/>
          <w:kern w:val="0"/>
          <w:sz w:val="21"/>
          <w:szCs w:val="21"/>
          <w:highlight w:val="none"/>
          <w:u w:val="single"/>
          <w:lang w:val="en-US" w:eastAsia="zh-CN" w:bidi="ar"/>
        </w:rPr>
        <w:t>承包人应承担施工安全保卫工作，夜间及非夜间施工照明的责任，承包人应采取一切合理的预防措施，防止人员伤亡、财产损失事故，且承包人应为本项目施工的工作人员</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工人购买工伤保险或足额的雇主责任保险，如承包人违反该约定发生人员伤亡、财产损失等事故导致赔偿的，赔偿费用由承包人承担。承包人生活设施及施工场应自费配备消防设备，防止火灾发生。</w:t>
      </w:r>
    </w:p>
    <w:p w14:paraId="2B3AE0B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关于编制施工场地治安管理计划的约定：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由承包人按照固定编制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45E5CC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6.1.5 </w:t>
      </w:r>
      <w:r>
        <w:rPr>
          <w:rFonts w:hint="eastAsia" w:ascii="宋体" w:hAnsi="宋体" w:eastAsia="宋体" w:cs="宋体"/>
          <w:color w:val="auto"/>
          <w:kern w:val="0"/>
          <w:sz w:val="21"/>
          <w:szCs w:val="21"/>
          <w:highlight w:val="none"/>
          <w:lang w:val="en-US" w:eastAsia="zh-CN" w:bidi="ar"/>
        </w:rPr>
        <w:t>文明施工</w:t>
      </w:r>
    </w:p>
    <w:p w14:paraId="79CF3F3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合同当事人对文明施工的要求：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E92D5F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6.1.6</w:t>
      </w:r>
      <w:r>
        <w:rPr>
          <w:rFonts w:hint="eastAsia" w:ascii="宋体" w:hAnsi="宋体" w:eastAsia="宋体" w:cs="宋体"/>
          <w:color w:val="auto"/>
          <w:kern w:val="0"/>
          <w:sz w:val="21"/>
          <w:szCs w:val="21"/>
          <w:highlight w:val="none"/>
          <w:lang w:val="en-US" w:eastAsia="zh-CN" w:bidi="ar"/>
        </w:rPr>
        <w:t>关于安全生产费总额、支付比例、支付期限、转入和结余收回的约定：</w:t>
      </w:r>
    </w:p>
    <w:p w14:paraId="2F0B17C1">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）本合同价款已包含安全文明施工费</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元。</w:t>
      </w:r>
    </w:p>
    <w:p w14:paraId="02E033FB">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）使用要求：专款专用。具体按</w:t>
      </w:r>
      <w:r>
        <w:rPr>
          <w:rFonts w:hint="eastAsia" w:ascii="宋体" w:hAnsi="宋体" w:eastAsia="宋体" w:cs="宋体"/>
          <w:color w:val="auto"/>
          <w:kern w:val="0"/>
          <w:sz w:val="21"/>
          <w:szCs w:val="21"/>
          <w:highlight w:val="none"/>
          <w:u w:val="single"/>
          <w:lang w:val="en-US" w:eastAsia="zh-CN" w:bidi="ar"/>
        </w:rPr>
        <w:t>《广西壮族自治区建设工程安全文明施工费使用管理细则》（桂建质〔</w:t>
      </w:r>
      <w:r>
        <w:rPr>
          <w:rFonts w:hint="default" w:ascii="Times New Roman" w:hAnsi="宋体" w:eastAsia="宋体" w:cs="Times New Roman"/>
          <w:color w:val="auto"/>
          <w:kern w:val="0"/>
          <w:sz w:val="21"/>
          <w:szCs w:val="21"/>
          <w:highlight w:val="none"/>
          <w:u w:val="single"/>
          <w:lang w:val="en-US" w:eastAsia="zh-CN" w:bidi="ar"/>
        </w:rPr>
        <w:t>2015</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16</w:t>
      </w:r>
      <w:r>
        <w:rPr>
          <w:rFonts w:hint="eastAsia" w:ascii="宋体" w:hAnsi="宋体" w:eastAsia="宋体" w:cs="宋体"/>
          <w:color w:val="auto"/>
          <w:kern w:val="0"/>
          <w:sz w:val="21"/>
          <w:szCs w:val="21"/>
          <w:highlight w:val="none"/>
          <w:u w:val="single"/>
          <w:lang w:val="en-US" w:eastAsia="zh-CN" w:bidi="ar"/>
        </w:rPr>
        <w:t>号）</w:t>
      </w:r>
      <w:r>
        <w:rPr>
          <w:rFonts w:hint="eastAsia" w:ascii="宋体" w:hAnsi="宋体" w:eastAsia="宋体" w:cs="宋体"/>
          <w:color w:val="auto"/>
          <w:kern w:val="0"/>
          <w:sz w:val="21"/>
          <w:szCs w:val="21"/>
          <w:highlight w:val="none"/>
          <w:lang w:val="en-US" w:eastAsia="zh-CN" w:bidi="ar"/>
        </w:rPr>
        <w:t>和</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崇左</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市相关规定执行。</w:t>
      </w:r>
    </w:p>
    <w:p w14:paraId="07C73A11">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）支付约定：在本合同签订后</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个工作日内，预付安全文明施工费总额的</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30</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，其余部分与进度款同期支付，安全文明施工费预付款在工程进度款累计金额超过合同价的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时开始起扣，每月从支付给承包商的工程款内按安全文明预付款占合同总价的同一百分比扣回。</w:t>
      </w:r>
    </w:p>
    <w:p w14:paraId="5EC52866">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）建设单位按规定将安全生产费用转入施工单位设立的安全生产费用专户。</w:t>
      </w:r>
    </w:p>
    <w:p w14:paraId="208C0A6C">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）工程施工完成后安全生产费用尚有结余的，结余部分由建设单位收回。</w:t>
      </w:r>
    </w:p>
    <w:p w14:paraId="2EF572F0">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）施工单位将安全生产费用使用情况定期报告建设单位和监理单位，并提供相应的材料接受建设行政主管部门对此事项监管。</w:t>
      </w:r>
    </w:p>
    <w:p w14:paraId="39189027">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）安全生产费用专户：××××公司安全生产费用专户。账号：                 。</w:t>
      </w:r>
    </w:p>
    <w:p w14:paraId="00AEB924">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6.3 </w:t>
      </w:r>
      <w:r>
        <w:rPr>
          <w:rFonts w:hint="eastAsia" w:ascii="宋体" w:hAnsi="宋体" w:eastAsia="宋体" w:cs="宋体"/>
          <w:b/>
          <w:bCs/>
          <w:color w:val="auto"/>
          <w:kern w:val="2"/>
          <w:sz w:val="32"/>
          <w:szCs w:val="32"/>
          <w:highlight w:val="none"/>
        </w:rPr>
        <w:t>环境保护</w:t>
      </w:r>
    </w:p>
    <w:p w14:paraId="0D2EB7F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因施工需要，经发包人批准，由承包人办理有关施工场地交通、环卫和施工噪音管理等手续，费用由承包人负责。</w:t>
      </w:r>
    </w:p>
    <w:p w14:paraId="55D3983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经过城市道路的施工车辆，必须按交警、城管、运输等部门相关规定执行。由于施工车辆造成的道路、环境等污染，其责任和费用均由承包人承担。</w:t>
      </w:r>
    </w:p>
    <w:p w14:paraId="2DEB72C7">
      <w:pPr>
        <w:pStyle w:val="3"/>
        <w:widowControl/>
        <w:shd w:val="clear"/>
        <w:rPr>
          <w:rFonts w:hint="default" w:ascii="Arial" w:hAnsi="Arial" w:eastAsia="黑体" w:cs="Times New Roman"/>
          <w:b/>
          <w:bCs w:val="0"/>
          <w:color w:val="auto"/>
          <w:sz w:val="32"/>
          <w:szCs w:val="32"/>
          <w:highlight w:val="none"/>
        </w:rPr>
      </w:pPr>
      <w:bookmarkStart w:id="417" w:name="_Toc9850552"/>
      <w:bookmarkEnd w:id="417"/>
      <w:bookmarkStart w:id="418" w:name="_Toc351203639"/>
      <w:bookmarkEnd w:id="418"/>
      <w:bookmarkStart w:id="419" w:name="_Toc373478369"/>
      <w:bookmarkEnd w:id="419"/>
      <w:bookmarkStart w:id="420" w:name="_Toc373227722"/>
      <w:bookmarkEnd w:id="420"/>
      <w:bookmarkStart w:id="421" w:name="_Toc407135224"/>
      <w:bookmarkEnd w:id="421"/>
      <w:bookmarkStart w:id="422" w:name="_Toc389065288"/>
      <w:bookmarkEnd w:id="422"/>
      <w:r>
        <w:rPr>
          <w:rFonts w:hint="default" w:ascii="Arial" w:hAnsi="Arial" w:eastAsia="黑体" w:cs="Times New Roman"/>
          <w:b/>
          <w:bCs w:val="0"/>
          <w:color w:val="auto"/>
          <w:sz w:val="32"/>
          <w:szCs w:val="32"/>
          <w:highlight w:val="none"/>
        </w:rPr>
        <w:t xml:space="preserve">7. </w:t>
      </w:r>
      <w:r>
        <w:rPr>
          <w:rFonts w:hint="eastAsia" w:ascii="黑体" w:hAnsi="宋体" w:eastAsia="黑体" w:cs="黑体"/>
          <w:b/>
          <w:bCs w:val="0"/>
          <w:color w:val="auto"/>
          <w:sz w:val="32"/>
          <w:szCs w:val="32"/>
          <w:highlight w:val="none"/>
        </w:rPr>
        <w:t>工期和进度</w:t>
      </w:r>
    </w:p>
    <w:p w14:paraId="18F8FB00">
      <w:pPr>
        <w:pStyle w:val="4"/>
        <w:widowControl/>
        <w:shd w:val="clear"/>
        <w:rPr>
          <w:rFonts w:hint="default" w:ascii="Times New Roman" w:hAnsi="Times New Roman" w:eastAsia="宋体" w:cs="Times New Roman"/>
          <w:b/>
          <w:bCs/>
          <w:color w:val="auto"/>
          <w:kern w:val="2"/>
          <w:sz w:val="32"/>
          <w:szCs w:val="32"/>
          <w:highlight w:val="none"/>
        </w:rPr>
      </w:pPr>
      <w:bookmarkStart w:id="423" w:name="_Toc373478370"/>
      <w:bookmarkEnd w:id="423"/>
      <w:bookmarkStart w:id="424" w:name="_Toc407135225"/>
      <w:bookmarkEnd w:id="424"/>
      <w:bookmarkStart w:id="425" w:name="_Toc373227723"/>
      <w:bookmarkEnd w:id="425"/>
      <w:bookmarkStart w:id="426" w:name="_Toc389065289"/>
      <w:bookmarkEnd w:id="426"/>
      <w:bookmarkStart w:id="427" w:name="_Toc9850553"/>
      <w:r>
        <w:rPr>
          <w:rFonts w:hint="default" w:ascii="Times New Roman" w:hAnsi="Times New Roman" w:eastAsia="宋体" w:cs="Times New Roman"/>
          <w:b/>
          <w:bCs/>
          <w:color w:val="auto"/>
          <w:kern w:val="2"/>
          <w:sz w:val="32"/>
          <w:szCs w:val="32"/>
          <w:highlight w:val="none"/>
        </w:rPr>
        <w:t xml:space="preserve">7.1 </w:t>
      </w:r>
      <w:bookmarkEnd w:id="427"/>
      <w:r>
        <w:rPr>
          <w:rFonts w:hint="eastAsia" w:ascii="宋体" w:hAnsi="宋体" w:eastAsia="宋体" w:cs="宋体"/>
          <w:b/>
          <w:bCs/>
          <w:color w:val="auto"/>
          <w:kern w:val="2"/>
          <w:sz w:val="32"/>
          <w:szCs w:val="32"/>
          <w:highlight w:val="none"/>
        </w:rPr>
        <w:t>施工组织设计</w:t>
      </w:r>
    </w:p>
    <w:p w14:paraId="3BDDC85F">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u w:val="single"/>
        </w:rPr>
      </w:pPr>
      <w:bookmarkStart w:id="428" w:name="_Toc407135226"/>
      <w:bookmarkEnd w:id="428"/>
      <w:bookmarkStart w:id="429" w:name="_Toc9850554"/>
      <w:bookmarkEnd w:id="429"/>
      <w:bookmarkStart w:id="430" w:name="_Toc389065290"/>
      <w:bookmarkEnd w:id="430"/>
      <w:bookmarkStart w:id="431" w:name="_Toc373227724"/>
      <w:bookmarkEnd w:id="431"/>
      <w:bookmarkStart w:id="432" w:name="_Toc373478371"/>
      <w:r>
        <w:rPr>
          <w:rFonts w:hint="default" w:ascii="Times New Roman" w:hAnsi="Times New Roman" w:eastAsia="宋体" w:cs="Times New Roman"/>
          <w:color w:val="auto"/>
          <w:kern w:val="0"/>
          <w:sz w:val="21"/>
          <w:szCs w:val="21"/>
          <w:highlight w:val="none"/>
          <w:lang w:val="en-US" w:eastAsia="zh-CN" w:bidi="ar"/>
        </w:rPr>
        <w:t xml:space="preserve">7.1.1 </w:t>
      </w:r>
      <w:bookmarkEnd w:id="432"/>
      <w:r>
        <w:rPr>
          <w:rFonts w:hint="eastAsia" w:ascii="宋体" w:hAnsi="宋体" w:eastAsia="宋体" w:cs="宋体"/>
          <w:color w:val="auto"/>
          <w:kern w:val="0"/>
          <w:sz w:val="21"/>
          <w:szCs w:val="21"/>
          <w:highlight w:val="none"/>
          <w:lang w:val="en-US" w:eastAsia="zh-CN" w:bidi="ar"/>
        </w:rPr>
        <w:t>合同当事人约定的施工组织设计应包括的其他内容：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1、施工组织设计；2</w:t>
      </w:r>
    </w:p>
    <w:p w14:paraId="6B042719">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bidi="ar"/>
        </w:rPr>
        <w:t>工程进度计划；3、管理人员名单、职称、职务、上岗证等；4、安全文明施工措施；5质量保证体系；6、专项施工方案及其它。</w:t>
      </w:r>
    </w:p>
    <w:p w14:paraId="1AC0F58E">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7.1.2 </w:t>
      </w:r>
      <w:r>
        <w:rPr>
          <w:rFonts w:hint="eastAsia" w:ascii="宋体" w:hAnsi="宋体" w:eastAsia="宋体" w:cs="宋体"/>
          <w:color w:val="auto"/>
          <w:kern w:val="0"/>
          <w:sz w:val="21"/>
          <w:szCs w:val="21"/>
          <w:highlight w:val="none"/>
          <w:lang w:val="en-US" w:eastAsia="zh-CN" w:bidi="ar"/>
        </w:rPr>
        <w:t>施工组织设计的提交和修改</w:t>
      </w:r>
    </w:p>
    <w:p w14:paraId="2384704F">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承包人提交详细施工组织设计的期限的约定：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在图纸会审后7天内，提交详细的符合本合同工期及发包人要求的施工组织设计和进度计划等专项施工方案(工程招标时采用的施工组织设计不作为结算依据）。</w:t>
      </w:r>
    </w:p>
    <w:p w14:paraId="649E6FD4">
      <w:pPr>
        <w:pStyle w:val="4"/>
        <w:widowControl/>
        <w:shd w:val="clear"/>
        <w:ind w:left="0" w:firstLine="420" w:firstLineChars="200"/>
        <w:rPr>
          <w:rFonts w:hint="eastAsia" w:ascii="宋体" w:hAnsi="宋体" w:eastAsia="宋体" w:cs="宋体"/>
          <w:b w:val="0"/>
          <w:bCs w:val="0"/>
          <w:color w:val="auto"/>
          <w:kern w:val="0"/>
          <w:sz w:val="21"/>
          <w:szCs w:val="21"/>
          <w:highlight w:val="none"/>
          <w:u w:val="single"/>
        </w:rPr>
      </w:pPr>
      <w:r>
        <w:rPr>
          <w:rFonts w:hint="eastAsia" w:ascii="宋体" w:hAnsi="宋体" w:eastAsia="宋体" w:cs="宋体"/>
          <w:b w:val="0"/>
          <w:bCs w:val="0"/>
          <w:color w:val="auto"/>
          <w:kern w:val="0"/>
          <w:sz w:val="21"/>
          <w:szCs w:val="21"/>
          <w:highlight w:val="none"/>
          <w:u w:val="single"/>
        </w:rPr>
        <w:t>发包人和监理人在收到详细的施工组织设计后确认或提出修改意见的期限： 收到上述文件后7天内，审查批准或提出修改意见</w:t>
      </w:r>
    </w:p>
    <w:p w14:paraId="4AEA2FF6">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7</w:t>
      </w:r>
      <w:bookmarkStart w:id="433" w:name="_Toc297216173"/>
      <w:bookmarkEnd w:id="433"/>
      <w:bookmarkStart w:id="434" w:name="_Toc303539123"/>
      <w:bookmarkEnd w:id="434"/>
      <w:bookmarkStart w:id="435" w:name="_Toc312678005"/>
      <w:bookmarkEnd w:id="435"/>
      <w:bookmarkStart w:id="436" w:name="_Toc297123514"/>
      <w:bookmarkEnd w:id="436"/>
      <w:bookmarkStart w:id="437" w:name="_Toc312677479"/>
      <w:bookmarkEnd w:id="437"/>
      <w:bookmarkStart w:id="438" w:name="_Toc304295541"/>
      <w:bookmarkEnd w:id="438"/>
      <w:bookmarkStart w:id="439" w:name="_Toc300934966"/>
      <w:r>
        <w:rPr>
          <w:rFonts w:hint="default" w:ascii="Times New Roman" w:hAnsi="Times New Roman" w:eastAsia="宋体" w:cs="Times New Roman"/>
          <w:b/>
          <w:bCs/>
          <w:color w:val="auto"/>
          <w:kern w:val="2"/>
          <w:sz w:val="32"/>
          <w:szCs w:val="32"/>
          <w:highlight w:val="none"/>
        </w:rPr>
        <w:t xml:space="preserve">.2 </w:t>
      </w:r>
      <w:bookmarkEnd w:id="439"/>
      <w:r>
        <w:rPr>
          <w:rFonts w:hint="eastAsia" w:ascii="宋体" w:hAnsi="宋体" w:eastAsia="宋体" w:cs="宋体"/>
          <w:b/>
          <w:bCs/>
          <w:color w:val="auto"/>
          <w:kern w:val="2"/>
          <w:sz w:val="32"/>
          <w:szCs w:val="32"/>
          <w:highlight w:val="none"/>
        </w:rPr>
        <w:t>施工进度计划</w:t>
      </w:r>
    </w:p>
    <w:p w14:paraId="0FE143D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7.2.2 </w:t>
      </w:r>
      <w:r>
        <w:rPr>
          <w:rFonts w:hint="eastAsia" w:ascii="宋体" w:hAnsi="宋体" w:eastAsia="宋体" w:cs="宋体"/>
          <w:color w:val="auto"/>
          <w:kern w:val="0"/>
          <w:sz w:val="21"/>
          <w:szCs w:val="21"/>
          <w:highlight w:val="none"/>
          <w:lang w:val="en-US" w:eastAsia="zh-CN" w:bidi="ar"/>
        </w:rPr>
        <w:t>施工进度计划的修订</w:t>
      </w:r>
    </w:p>
    <w:p w14:paraId="4197D66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发包人和监理人在收到修订的施工进度计划后确认或提出修改意见的期限：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收到承包人提交的施工进度计划后7天内审查批准或提出修改意见</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2DEF90B">
      <w:pPr>
        <w:pStyle w:val="4"/>
        <w:widowControl/>
        <w:shd w:val="clear"/>
        <w:rPr>
          <w:rFonts w:hint="default" w:ascii="Times New Roman" w:hAnsi="Times New Roman" w:eastAsia="宋体" w:cs="Times New Roman"/>
          <w:b/>
          <w:bCs/>
          <w:color w:val="auto"/>
          <w:kern w:val="2"/>
          <w:sz w:val="32"/>
          <w:szCs w:val="32"/>
          <w:highlight w:val="none"/>
        </w:rPr>
      </w:pPr>
      <w:bookmarkStart w:id="440" w:name="_Toc389065291"/>
      <w:bookmarkEnd w:id="440"/>
      <w:bookmarkStart w:id="441" w:name="_Toc407135227"/>
      <w:bookmarkEnd w:id="441"/>
      <w:bookmarkStart w:id="442" w:name="_Toc9850555"/>
      <w:bookmarkEnd w:id="442"/>
      <w:bookmarkStart w:id="443" w:name="_Toc373227725"/>
      <w:bookmarkEnd w:id="443"/>
      <w:bookmarkStart w:id="444" w:name="_Toc373478372"/>
      <w:r>
        <w:rPr>
          <w:rFonts w:hint="default" w:ascii="Times New Roman" w:hAnsi="Times New Roman" w:eastAsia="宋体" w:cs="Times New Roman"/>
          <w:b/>
          <w:bCs/>
          <w:color w:val="auto"/>
          <w:kern w:val="2"/>
          <w:sz w:val="32"/>
          <w:szCs w:val="32"/>
          <w:highlight w:val="none"/>
        </w:rPr>
        <w:t xml:space="preserve">7.3 </w:t>
      </w:r>
      <w:bookmarkEnd w:id="444"/>
      <w:r>
        <w:rPr>
          <w:rFonts w:hint="eastAsia" w:ascii="宋体" w:hAnsi="宋体" w:eastAsia="宋体" w:cs="宋体"/>
          <w:b/>
          <w:bCs/>
          <w:color w:val="auto"/>
          <w:kern w:val="2"/>
          <w:sz w:val="32"/>
          <w:szCs w:val="32"/>
          <w:highlight w:val="none"/>
        </w:rPr>
        <w:t>开工</w:t>
      </w:r>
    </w:p>
    <w:p w14:paraId="663FC48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7.3.1 </w:t>
      </w:r>
      <w:r>
        <w:rPr>
          <w:rFonts w:hint="eastAsia" w:ascii="宋体" w:hAnsi="宋体" w:eastAsia="宋体" w:cs="宋体"/>
          <w:color w:val="auto"/>
          <w:kern w:val="0"/>
          <w:sz w:val="21"/>
          <w:szCs w:val="21"/>
          <w:highlight w:val="none"/>
          <w:lang w:val="en-US" w:eastAsia="zh-CN" w:bidi="ar"/>
        </w:rPr>
        <w:t>开工准备</w:t>
      </w:r>
    </w:p>
    <w:p w14:paraId="5ED636E3">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关于承包人提交工程开工报审表的期限：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9E6DB96">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关于发包人应完成的其他开工准备工作及期限：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70BD40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关于承包人应完成的其他开工准备工作及期限：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FE72B7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7.3.2 </w:t>
      </w:r>
      <w:r>
        <w:rPr>
          <w:rFonts w:hint="eastAsia" w:ascii="宋体" w:hAnsi="宋体" w:eastAsia="宋体" w:cs="宋体"/>
          <w:color w:val="auto"/>
          <w:kern w:val="0"/>
          <w:sz w:val="21"/>
          <w:szCs w:val="21"/>
          <w:highlight w:val="none"/>
          <w:lang w:val="en-US" w:eastAsia="zh-CN" w:bidi="ar"/>
        </w:rPr>
        <w:t>开工通知</w:t>
      </w:r>
    </w:p>
    <w:p w14:paraId="1262A6E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因发包人无正当理由造成监理人未能在计划开工日期之日起</w:t>
      </w:r>
      <w:r>
        <w:rPr>
          <w:rFonts w:hint="default" w:ascii="Times New Roman" w:hAnsi="Times New Roman" w:eastAsia="宋体" w:cs="Times New Roman"/>
          <w:color w:val="auto"/>
          <w:kern w:val="0"/>
          <w:sz w:val="21"/>
          <w:szCs w:val="21"/>
          <w:highlight w:val="none"/>
          <w:u w:val="single"/>
          <w:lang w:val="en-US" w:eastAsia="zh-CN" w:bidi="ar"/>
        </w:rPr>
        <w:t xml:space="preserve"> 7 </w:t>
      </w:r>
      <w:r>
        <w:rPr>
          <w:rFonts w:hint="eastAsia" w:ascii="宋体" w:hAnsi="宋体" w:eastAsia="宋体" w:cs="宋体"/>
          <w:color w:val="auto"/>
          <w:kern w:val="0"/>
          <w:sz w:val="21"/>
          <w:szCs w:val="21"/>
          <w:highlight w:val="none"/>
          <w:lang w:val="en-US" w:eastAsia="zh-CN" w:bidi="ar"/>
        </w:rPr>
        <w:t>天内发出开工通知的，承包人有权提出价格调整要求，或者解除合同。</w:t>
      </w:r>
    </w:p>
    <w:p w14:paraId="77E3B50C">
      <w:pPr>
        <w:pStyle w:val="4"/>
        <w:widowControl/>
        <w:shd w:val="clear"/>
        <w:rPr>
          <w:rFonts w:hint="default" w:ascii="Times New Roman" w:hAnsi="Times New Roman" w:eastAsia="宋体" w:cs="Times New Roman"/>
          <w:b/>
          <w:bCs/>
          <w:color w:val="auto"/>
          <w:kern w:val="2"/>
          <w:sz w:val="32"/>
          <w:szCs w:val="32"/>
          <w:highlight w:val="none"/>
        </w:rPr>
      </w:pPr>
      <w:bookmarkStart w:id="445" w:name="_Toc373227726"/>
      <w:bookmarkEnd w:id="445"/>
      <w:bookmarkStart w:id="446" w:name="_Toc389065292"/>
      <w:bookmarkEnd w:id="446"/>
      <w:bookmarkStart w:id="447" w:name="_Toc373478373"/>
      <w:bookmarkEnd w:id="447"/>
      <w:bookmarkStart w:id="448" w:name="_Toc9850556"/>
      <w:bookmarkEnd w:id="448"/>
      <w:bookmarkStart w:id="449" w:name="_Toc407135228"/>
      <w:bookmarkEnd w:id="449"/>
      <w:r>
        <w:rPr>
          <w:rFonts w:hint="default" w:ascii="Times New Roman" w:hAnsi="Times New Roman" w:eastAsia="宋体" w:cs="Times New Roman"/>
          <w:b/>
          <w:bCs/>
          <w:color w:val="auto"/>
          <w:kern w:val="2"/>
          <w:sz w:val="32"/>
          <w:szCs w:val="32"/>
          <w:highlight w:val="none"/>
        </w:rPr>
        <w:t xml:space="preserve">7.4 </w:t>
      </w:r>
      <w:r>
        <w:rPr>
          <w:rFonts w:hint="eastAsia" w:ascii="宋体" w:hAnsi="宋体" w:eastAsia="宋体" w:cs="宋体"/>
          <w:b/>
          <w:bCs/>
          <w:color w:val="auto"/>
          <w:kern w:val="2"/>
          <w:sz w:val="32"/>
          <w:szCs w:val="32"/>
          <w:highlight w:val="none"/>
        </w:rPr>
        <w:t>测量放线</w:t>
      </w:r>
    </w:p>
    <w:p w14:paraId="5846121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7.4.1</w:t>
      </w:r>
      <w:r>
        <w:rPr>
          <w:rFonts w:hint="eastAsia" w:ascii="宋体" w:hAnsi="宋体" w:eastAsia="宋体" w:cs="宋体"/>
          <w:color w:val="auto"/>
          <w:kern w:val="0"/>
          <w:sz w:val="21"/>
          <w:szCs w:val="21"/>
          <w:highlight w:val="none"/>
          <w:lang w:val="en-US" w:eastAsia="zh-CN" w:bidi="ar"/>
        </w:rPr>
        <w:t>发包人通过监理人向承包人提供测量基准点、基准线和水准点及其书面资料的期限：</w:t>
      </w:r>
    </w:p>
    <w:p w14:paraId="52A948A9">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自合同签订之日起</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17F18E8">
      <w:pPr>
        <w:pStyle w:val="4"/>
        <w:widowControl/>
        <w:shd w:val="clear"/>
        <w:rPr>
          <w:rFonts w:hint="default" w:ascii="Times New Roman" w:hAnsi="Times New Roman" w:eastAsia="宋体" w:cs="Times New Roman"/>
          <w:b/>
          <w:bCs/>
          <w:color w:val="auto"/>
          <w:kern w:val="2"/>
          <w:sz w:val="32"/>
          <w:szCs w:val="32"/>
          <w:highlight w:val="none"/>
        </w:rPr>
      </w:pPr>
      <w:bookmarkStart w:id="450" w:name="_Toc407135229"/>
      <w:bookmarkEnd w:id="450"/>
      <w:bookmarkStart w:id="451" w:name="_Toc389065293"/>
      <w:bookmarkEnd w:id="451"/>
      <w:bookmarkStart w:id="452" w:name="_Toc373478374"/>
      <w:bookmarkEnd w:id="452"/>
      <w:bookmarkStart w:id="453" w:name="_Toc373227727"/>
      <w:bookmarkEnd w:id="453"/>
      <w:bookmarkStart w:id="454" w:name="_Toc9850557"/>
      <w:r>
        <w:rPr>
          <w:rFonts w:hint="default" w:ascii="Times New Roman" w:hAnsi="Times New Roman" w:eastAsia="宋体" w:cs="Times New Roman"/>
          <w:b/>
          <w:bCs/>
          <w:color w:val="auto"/>
          <w:kern w:val="2"/>
          <w:sz w:val="32"/>
          <w:szCs w:val="32"/>
          <w:highlight w:val="none"/>
        </w:rPr>
        <w:t>7</w:t>
      </w:r>
      <w:bookmarkEnd w:id="454"/>
      <w:bookmarkStart w:id="455" w:name="_Toc297216175"/>
      <w:bookmarkEnd w:id="455"/>
      <w:bookmarkStart w:id="456" w:name="_Toc312677484"/>
      <w:bookmarkEnd w:id="456"/>
      <w:bookmarkStart w:id="457" w:name="_Toc303539125"/>
      <w:bookmarkEnd w:id="457"/>
      <w:bookmarkStart w:id="458" w:name="_Toc300934968"/>
      <w:bookmarkEnd w:id="458"/>
      <w:bookmarkStart w:id="459" w:name="_Toc304295546"/>
      <w:bookmarkEnd w:id="459"/>
      <w:bookmarkStart w:id="460" w:name="_Toc312678010"/>
      <w:bookmarkEnd w:id="460"/>
      <w:bookmarkStart w:id="461" w:name="_Toc297123516"/>
      <w:r>
        <w:rPr>
          <w:rFonts w:hint="default" w:ascii="Times New Roman" w:hAnsi="Times New Roman" w:eastAsia="宋体" w:cs="Times New Roman"/>
          <w:b/>
          <w:bCs/>
          <w:color w:val="auto"/>
          <w:kern w:val="2"/>
          <w:sz w:val="32"/>
          <w:szCs w:val="32"/>
          <w:highlight w:val="none"/>
        </w:rPr>
        <w:t xml:space="preserve">.5 </w:t>
      </w:r>
      <w:bookmarkEnd w:id="461"/>
      <w:r>
        <w:rPr>
          <w:rFonts w:hint="eastAsia" w:ascii="宋体" w:hAnsi="宋体" w:eastAsia="宋体" w:cs="宋体"/>
          <w:b/>
          <w:bCs/>
          <w:color w:val="auto"/>
          <w:kern w:val="2"/>
          <w:sz w:val="32"/>
          <w:szCs w:val="32"/>
          <w:highlight w:val="none"/>
        </w:rPr>
        <w:t>工期延误</w:t>
      </w:r>
    </w:p>
    <w:p w14:paraId="48BB82E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462" w:name="_Toc389065294"/>
      <w:bookmarkEnd w:id="462"/>
      <w:bookmarkStart w:id="463" w:name="_Toc373478375"/>
      <w:bookmarkEnd w:id="463"/>
      <w:bookmarkStart w:id="464" w:name="_Toc407135230"/>
      <w:bookmarkEnd w:id="464"/>
      <w:bookmarkStart w:id="465" w:name="_Toc373227728"/>
      <w:bookmarkEnd w:id="465"/>
      <w:bookmarkStart w:id="466" w:name="_Toc9850558"/>
      <w:bookmarkEnd w:id="466"/>
      <w:r>
        <w:rPr>
          <w:rFonts w:hint="default" w:ascii="Times New Roman" w:hAnsi="Times New Roman" w:eastAsia="宋体" w:cs="Times New Roman"/>
          <w:color w:val="auto"/>
          <w:kern w:val="0"/>
          <w:sz w:val="21"/>
          <w:szCs w:val="21"/>
          <w:highlight w:val="none"/>
          <w:lang w:val="en-US" w:eastAsia="zh-CN" w:bidi="ar"/>
        </w:rPr>
        <w:t xml:space="preserve">7.5.1 </w:t>
      </w:r>
      <w:r>
        <w:rPr>
          <w:rFonts w:hint="eastAsia" w:ascii="宋体" w:hAnsi="宋体" w:eastAsia="宋体" w:cs="宋体"/>
          <w:color w:val="auto"/>
          <w:kern w:val="0"/>
          <w:sz w:val="21"/>
          <w:szCs w:val="21"/>
          <w:highlight w:val="none"/>
          <w:lang w:val="en-US" w:eastAsia="zh-CN" w:bidi="ar"/>
        </w:rPr>
        <w:t>因发包人原因导致工期延误</w:t>
      </w:r>
    </w:p>
    <w:p w14:paraId="1E3D1C2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）因发包人原因导致工期延误的其他情形：</w:t>
      </w:r>
      <w:r>
        <w:rPr>
          <w:rFonts w:hint="eastAsia" w:ascii="宋体" w:hAnsi="宋体" w:eastAsia="宋体" w:cs="宋体"/>
          <w:color w:val="auto"/>
          <w:kern w:val="0"/>
          <w:sz w:val="21"/>
          <w:szCs w:val="21"/>
          <w:highlight w:val="none"/>
          <w:u w:val="single"/>
          <w:lang w:val="en-US" w:eastAsia="zh-CN" w:bidi="ar"/>
        </w:rPr>
        <w:t>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default"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。发生以上情形应由发包人、监理人、承包人签证确认方为有效。</w:t>
      </w:r>
    </w:p>
    <w:p w14:paraId="409226D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w:t>
      </w:r>
      <w:bookmarkStart w:id="467" w:name="_Toc304295548"/>
      <w:bookmarkEnd w:id="467"/>
      <w:bookmarkStart w:id="468" w:name="_Toc297216177"/>
      <w:bookmarkEnd w:id="468"/>
      <w:bookmarkStart w:id="469" w:name="_Toc303539127"/>
      <w:bookmarkEnd w:id="469"/>
      <w:bookmarkStart w:id="470" w:name="_Toc312677486"/>
      <w:bookmarkEnd w:id="470"/>
      <w:bookmarkStart w:id="471" w:name="_Toc300934970"/>
      <w:bookmarkEnd w:id="471"/>
      <w:bookmarkStart w:id="472" w:name="_Toc312678012"/>
      <w:bookmarkEnd w:id="472"/>
      <w:bookmarkStart w:id="473" w:name="_Toc318581169"/>
      <w:bookmarkEnd w:id="473"/>
      <w:bookmarkStart w:id="474" w:name="_Toc297123518"/>
      <w:r>
        <w:rPr>
          <w:rFonts w:hint="default" w:ascii="Times New Roman" w:hAnsi="Times New Roman" w:eastAsia="宋体" w:cs="Times New Roman"/>
          <w:color w:val="auto"/>
          <w:kern w:val="0"/>
          <w:sz w:val="21"/>
          <w:szCs w:val="21"/>
          <w:highlight w:val="none"/>
          <w:lang w:val="en-US" w:eastAsia="zh-CN" w:bidi="ar"/>
        </w:rPr>
        <w:t xml:space="preserve">.5.2 </w:t>
      </w:r>
      <w:bookmarkEnd w:id="474"/>
      <w:r>
        <w:rPr>
          <w:rFonts w:hint="eastAsia" w:ascii="宋体" w:hAnsi="宋体" w:eastAsia="宋体" w:cs="宋体"/>
          <w:color w:val="auto"/>
          <w:kern w:val="0"/>
          <w:sz w:val="21"/>
          <w:szCs w:val="21"/>
          <w:highlight w:val="none"/>
          <w:lang w:val="en-US" w:eastAsia="zh-CN" w:bidi="ar"/>
        </w:rPr>
        <w:t>因承包人原因导致工期延误</w:t>
      </w:r>
    </w:p>
    <w:p w14:paraId="2A66E54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双方约定经监理工程师确认，工期相应顺延的情况：</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C66F05F">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因</w:t>
      </w:r>
      <w:bookmarkStart w:id="475" w:name="_Toc312678013"/>
      <w:bookmarkEnd w:id="475"/>
      <w:bookmarkStart w:id="476" w:name="_Toc318581170"/>
      <w:bookmarkEnd w:id="476"/>
      <w:bookmarkStart w:id="477" w:name="_Toc312677487"/>
      <w:r>
        <w:rPr>
          <w:rFonts w:hint="eastAsia" w:ascii="宋体" w:hAnsi="宋体" w:eastAsia="宋体" w:cs="宋体"/>
          <w:color w:val="auto"/>
          <w:kern w:val="0"/>
          <w:sz w:val="21"/>
          <w:szCs w:val="21"/>
          <w:highlight w:val="none"/>
          <w:lang w:val="en-US" w:eastAsia="zh-CN" w:bidi="ar"/>
        </w:rPr>
        <w:t>承包人原因造成工期延误，逾期竣工违约金的计算方法为：</w:t>
      </w:r>
      <w:bookmarkEnd w:id="477"/>
      <w:r>
        <w:rPr>
          <w:rFonts w:hint="eastAsia" w:ascii="宋体" w:hAnsi="宋体" w:eastAsia="宋体" w:cs="宋体"/>
          <w:color w:val="auto"/>
          <w:kern w:val="0"/>
          <w:sz w:val="21"/>
          <w:szCs w:val="21"/>
          <w:highlight w:val="none"/>
          <w:u w:val="single"/>
          <w:lang w:val="en-US" w:eastAsia="zh-CN" w:bidi="ar"/>
        </w:rPr>
        <w:t>按逾期竣工的单项工程支付违约金，每延误一天</w:t>
      </w:r>
      <w:r>
        <w:rPr>
          <w:rFonts w:hint="eastAsia" w:ascii="宋体" w:hAnsi="Times New Roman"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按单项工程应支付给承包人的结算造价的万分之   违约金</w:t>
      </w:r>
      <w:r>
        <w:rPr>
          <w:rFonts w:hint="eastAsia" w:ascii="宋体" w:hAnsi="Times New Roman"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违约金直接从结算款中扣除。误期时间从规定竣工日期起直到实际竣工日期的天数（扣除发包人批准顺延的工期）。因承包人原因造成工期延误，逾</w:t>
      </w:r>
      <w:bookmarkStart w:id="478" w:name="_Toc312678014"/>
      <w:bookmarkEnd w:id="478"/>
      <w:bookmarkStart w:id="479" w:name="_Toc318581171"/>
      <w:r>
        <w:rPr>
          <w:rFonts w:hint="eastAsia" w:ascii="宋体" w:hAnsi="宋体" w:eastAsia="宋体" w:cs="宋体"/>
          <w:color w:val="auto"/>
          <w:kern w:val="0"/>
          <w:sz w:val="21"/>
          <w:szCs w:val="21"/>
          <w:highlight w:val="none"/>
          <w:u w:val="single"/>
          <w:lang w:val="en-US" w:eastAsia="zh-CN" w:bidi="ar"/>
        </w:rPr>
        <w:t>期竣工违约金的上限：逾期竣工的</w:t>
      </w:r>
      <w:bookmarkEnd w:id="479"/>
      <w:r>
        <w:rPr>
          <w:rFonts w:hint="eastAsia" w:ascii="宋体" w:hAnsi="宋体" w:eastAsia="宋体" w:cs="宋体"/>
          <w:color w:val="auto"/>
          <w:kern w:val="0"/>
          <w:sz w:val="21"/>
          <w:szCs w:val="21"/>
          <w:highlight w:val="none"/>
          <w:u w:val="single"/>
          <w:lang w:val="en-US" w:eastAsia="zh-CN" w:bidi="ar"/>
        </w:rPr>
        <w:t>本合同工程结算造价的</w:t>
      </w:r>
      <w:r>
        <w:rPr>
          <w:rFonts w:hint="eastAsia" w:ascii="Times New Roman" w:hAnsi="宋体" w:eastAsia="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10</w:t>
      </w:r>
      <w:r>
        <w:rPr>
          <w:rFonts w:hint="eastAsia" w:ascii="Times New Roman" w:hAnsi="宋体" w:eastAsia="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w:t>
      </w:r>
    </w:p>
    <w:p w14:paraId="274BD3C4">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7</w:t>
      </w:r>
      <w:bookmarkStart w:id="480" w:name="_Toc300934971"/>
      <w:bookmarkEnd w:id="480"/>
      <w:bookmarkStart w:id="481" w:name="_Toc297123519"/>
      <w:bookmarkEnd w:id="481"/>
      <w:bookmarkStart w:id="482" w:name="_Toc303539128"/>
      <w:bookmarkEnd w:id="482"/>
      <w:bookmarkStart w:id="483" w:name="_Toc312678015"/>
      <w:bookmarkEnd w:id="483"/>
      <w:bookmarkStart w:id="484" w:name="_Toc304295549"/>
      <w:bookmarkEnd w:id="484"/>
      <w:bookmarkStart w:id="485" w:name="_Toc297216178"/>
      <w:r>
        <w:rPr>
          <w:rFonts w:hint="default" w:ascii="Times New Roman" w:hAnsi="Times New Roman" w:eastAsia="宋体" w:cs="Times New Roman"/>
          <w:b/>
          <w:bCs/>
          <w:color w:val="auto"/>
          <w:kern w:val="2"/>
          <w:sz w:val="32"/>
          <w:szCs w:val="32"/>
          <w:highlight w:val="none"/>
        </w:rPr>
        <w:t xml:space="preserve">.6 </w:t>
      </w:r>
      <w:bookmarkEnd w:id="485"/>
      <w:r>
        <w:rPr>
          <w:rFonts w:hint="eastAsia" w:ascii="宋体" w:hAnsi="宋体" w:eastAsia="宋体" w:cs="宋体"/>
          <w:b/>
          <w:bCs/>
          <w:color w:val="auto"/>
          <w:kern w:val="2"/>
          <w:sz w:val="32"/>
          <w:szCs w:val="32"/>
          <w:highlight w:val="none"/>
        </w:rPr>
        <w:t>不利物质条件</w:t>
      </w:r>
    </w:p>
    <w:p w14:paraId="77FFBA2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bookmarkStart w:id="486" w:name="_Toc297216179"/>
      <w:bookmarkEnd w:id="486"/>
      <w:bookmarkStart w:id="487" w:name="_Toc312678016"/>
      <w:bookmarkEnd w:id="487"/>
      <w:bookmarkStart w:id="488" w:name="_Toc318581172"/>
      <w:bookmarkEnd w:id="488"/>
      <w:bookmarkStart w:id="489" w:name="_Toc300934972"/>
      <w:bookmarkEnd w:id="489"/>
      <w:bookmarkStart w:id="490" w:name="_Toc304295550"/>
      <w:bookmarkEnd w:id="490"/>
      <w:bookmarkStart w:id="491" w:name="_Toc297123520"/>
      <w:bookmarkEnd w:id="491"/>
      <w:bookmarkStart w:id="492" w:name="_Toc303539129"/>
      <w:r>
        <w:rPr>
          <w:rFonts w:hint="eastAsia" w:ascii="宋体" w:hAnsi="宋体" w:eastAsia="宋体" w:cs="宋体"/>
          <w:color w:val="auto"/>
          <w:kern w:val="0"/>
          <w:sz w:val="21"/>
          <w:szCs w:val="21"/>
          <w:highlight w:val="none"/>
          <w:lang w:val="en-US" w:eastAsia="zh-CN" w:bidi="ar"/>
        </w:rPr>
        <w:t>不利物质条件的其他情形和有关约定：</w:t>
      </w:r>
      <w:bookmarkEnd w:id="492"/>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E767071">
      <w:pPr>
        <w:pStyle w:val="4"/>
        <w:widowControl/>
        <w:shd w:val="clear"/>
        <w:rPr>
          <w:rFonts w:hint="default" w:ascii="Times New Roman" w:hAnsi="Times New Roman" w:eastAsia="宋体" w:cs="Times New Roman"/>
          <w:b/>
          <w:bCs/>
          <w:color w:val="auto"/>
          <w:kern w:val="2"/>
          <w:sz w:val="32"/>
          <w:szCs w:val="32"/>
          <w:highlight w:val="none"/>
        </w:rPr>
      </w:pPr>
      <w:bookmarkStart w:id="493" w:name="_Toc407135231"/>
      <w:bookmarkEnd w:id="493"/>
      <w:bookmarkStart w:id="494" w:name="_Toc9850559"/>
      <w:bookmarkEnd w:id="494"/>
      <w:bookmarkStart w:id="495" w:name="_Toc373227729"/>
      <w:bookmarkEnd w:id="495"/>
      <w:bookmarkStart w:id="496" w:name="_Toc389065295"/>
      <w:bookmarkEnd w:id="496"/>
      <w:bookmarkStart w:id="497" w:name="_Toc373478376"/>
      <w:bookmarkEnd w:id="497"/>
      <w:r>
        <w:rPr>
          <w:rFonts w:hint="default" w:ascii="Times New Roman" w:hAnsi="Times New Roman" w:eastAsia="宋体" w:cs="Times New Roman"/>
          <w:b/>
          <w:bCs/>
          <w:color w:val="auto"/>
          <w:kern w:val="2"/>
          <w:sz w:val="32"/>
          <w:szCs w:val="32"/>
          <w:highlight w:val="none"/>
        </w:rPr>
        <w:t>7</w:t>
      </w:r>
      <w:bookmarkStart w:id="498" w:name="_Toc297216180"/>
      <w:bookmarkEnd w:id="498"/>
      <w:bookmarkStart w:id="499" w:name="_Toc300934973"/>
      <w:bookmarkEnd w:id="499"/>
      <w:bookmarkStart w:id="500" w:name="_Toc303539130"/>
      <w:bookmarkEnd w:id="500"/>
      <w:bookmarkStart w:id="501" w:name="_Toc312678017"/>
      <w:bookmarkEnd w:id="501"/>
      <w:bookmarkStart w:id="502" w:name="_Toc297123521"/>
      <w:bookmarkEnd w:id="502"/>
      <w:bookmarkStart w:id="503" w:name="_Toc304295551"/>
      <w:r>
        <w:rPr>
          <w:rFonts w:hint="default" w:ascii="Times New Roman" w:hAnsi="Times New Roman" w:eastAsia="宋体" w:cs="Times New Roman"/>
          <w:b/>
          <w:bCs/>
          <w:color w:val="auto"/>
          <w:kern w:val="2"/>
          <w:sz w:val="32"/>
          <w:szCs w:val="32"/>
          <w:highlight w:val="none"/>
        </w:rPr>
        <w:t xml:space="preserve">.7 </w:t>
      </w:r>
      <w:bookmarkEnd w:id="503"/>
      <w:r>
        <w:rPr>
          <w:rFonts w:hint="eastAsia" w:ascii="宋体" w:hAnsi="宋体" w:eastAsia="宋体" w:cs="宋体"/>
          <w:b/>
          <w:bCs/>
          <w:color w:val="auto"/>
          <w:kern w:val="2"/>
          <w:sz w:val="32"/>
          <w:szCs w:val="32"/>
          <w:highlight w:val="none"/>
        </w:rPr>
        <w:t>异常恶劣的气候条件</w:t>
      </w:r>
    </w:p>
    <w:p w14:paraId="6F761D7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504" w:name="_Toc389065296"/>
      <w:bookmarkEnd w:id="504"/>
      <w:bookmarkStart w:id="505" w:name="_Toc373478377"/>
      <w:bookmarkEnd w:id="505"/>
      <w:bookmarkStart w:id="506" w:name="_Toc373227730"/>
      <w:bookmarkEnd w:id="506"/>
      <w:bookmarkStart w:id="507" w:name="_Toc407135232"/>
      <w:bookmarkEnd w:id="507"/>
      <w:bookmarkStart w:id="508" w:name="_Toc9850560"/>
      <w:bookmarkEnd w:id="508"/>
      <w:r>
        <w:rPr>
          <w:rFonts w:hint="eastAsia" w:ascii="宋体" w:hAnsi="宋体" w:eastAsia="宋体" w:cs="宋体"/>
          <w:color w:val="auto"/>
          <w:kern w:val="0"/>
          <w:sz w:val="21"/>
          <w:szCs w:val="21"/>
          <w:highlight w:val="none"/>
          <w:lang w:val="en-US" w:eastAsia="zh-CN" w:bidi="ar"/>
        </w:rPr>
        <w:t>发包人和承包人同意以下情形视为异常恶劣的气候条件：</w:t>
      </w:r>
    </w:p>
    <w:p w14:paraId="453F7A61">
      <w:pPr>
        <w:keepNext w:val="0"/>
        <w:keepLines w:val="0"/>
        <w:widowControl w:val="0"/>
        <w:numPr>
          <w:ilvl w:val="0"/>
          <w:numId w:val="5"/>
        </w:numPr>
        <w:suppressLineNumbers w:val="0"/>
        <w:shd w:val="clear"/>
        <w:spacing w:before="0" w:beforeAutospacing="0" w:after="0" w:afterAutospacing="0" w:line="300" w:lineRule="exact"/>
        <w:ind w:left="425" w:leftChars="0" w:right="0" w:hanging="425" w:firstLineChars="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连续2天日气温超过38°C或低于O°C</w:t>
      </w:r>
      <w:r>
        <w:rPr>
          <w:rFonts w:hint="eastAsia" w:ascii="宋体" w:hAnsi="宋体" w:eastAsia="宋体" w:cs="宋体"/>
          <w:color w:val="auto"/>
          <w:kern w:val="0"/>
          <w:sz w:val="21"/>
          <w:szCs w:val="21"/>
          <w:highlight w:val="none"/>
          <w:lang w:val="en-US" w:eastAsia="zh-CN" w:bidi="ar"/>
        </w:rPr>
        <w:t>；</w:t>
      </w:r>
    </w:p>
    <w:p w14:paraId="0C43A1BF">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8级以上持续24小时的大风</w:t>
      </w:r>
      <w:r>
        <w:rPr>
          <w:rFonts w:hint="eastAsia" w:ascii="宋体" w:hAnsi="宋体" w:eastAsia="宋体" w:cs="宋体"/>
          <w:color w:val="auto"/>
          <w:kern w:val="0"/>
          <w:sz w:val="21"/>
          <w:szCs w:val="21"/>
          <w:highlight w:val="none"/>
          <w:lang w:val="en-US" w:eastAsia="zh-CN" w:bidi="ar"/>
        </w:rPr>
        <w:t>；</w:t>
      </w:r>
    </w:p>
    <w:p w14:paraId="60E70EBF">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持续降雨 24小时且降雨量为200mm 以上或洪水紧急预报通知</w:t>
      </w:r>
      <w:r>
        <w:rPr>
          <w:rFonts w:hint="eastAsia" w:ascii="宋体" w:hAnsi="宋体" w:eastAsia="宋体" w:cs="宋体"/>
          <w:color w:val="auto"/>
          <w:kern w:val="0"/>
          <w:sz w:val="21"/>
          <w:szCs w:val="21"/>
          <w:highlight w:val="none"/>
          <w:lang w:val="en-US" w:eastAsia="zh-CN" w:bidi="ar"/>
        </w:rPr>
        <w:t>。</w:t>
      </w:r>
    </w:p>
    <w:p w14:paraId="1EA4068D">
      <w:pPr>
        <w:keepNext w:val="0"/>
        <w:keepLines w:val="0"/>
        <w:widowControl w:val="0"/>
        <w:numPr>
          <w:ilvl w:val="0"/>
          <w:numId w:val="5"/>
        </w:numPr>
        <w:suppressLineNumbers w:val="0"/>
        <w:shd w:val="clear"/>
        <w:spacing w:before="0" w:beforeAutospacing="0" w:after="0" w:afterAutospacing="0" w:line="300" w:lineRule="exact"/>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42摄氏度及以上持续24小时的高温：</w:t>
      </w:r>
    </w:p>
    <w:p w14:paraId="131BA233">
      <w:pPr>
        <w:keepNext w:val="0"/>
        <w:keepLines w:val="0"/>
        <w:widowControl w:val="0"/>
        <w:numPr>
          <w:ilvl w:val="0"/>
          <w:numId w:val="5"/>
        </w:numPr>
        <w:suppressLineNumbers w:val="0"/>
        <w:shd w:val="clear"/>
        <w:spacing w:before="0" w:beforeAutospacing="0" w:after="0" w:afterAutospacing="0" w:line="300" w:lineRule="exact"/>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5摄氏度及以下持续24小时的低温。</w:t>
      </w:r>
    </w:p>
    <w:p w14:paraId="5D21B885">
      <w:pPr>
        <w:keepNext w:val="0"/>
        <w:keepLines w:val="0"/>
        <w:widowControl w:val="0"/>
        <w:numPr>
          <w:ilvl w:val="0"/>
          <w:numId w:val="5"/>
        </w:numPr>
        <w:suppressLineNumbers w:val="0"/>
        <w:shd w:val="clear"/>
        <w:spacing w:before="0" w:beforeAutospacing="0" w:after="0" w:afterAutospacing="0" w:line="300" w:lineRule="exact"/>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龙卷风、施工场地受淹超过发包人提供设计图纸指明的设计洪水位以及因天气原因无法施工并经监理确认引起延误的情况</w:t>
      </w:r>
    </w:p>
    <w:p w14:paraId="36B32887">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7.9 </w:t>
      </w:r>
      <w:r>
        <w:rPr>
          <w:rFonts w:hint="eastAsia" w:ascii="宋体" w:hAnsi="宋体" w:eastAsia="宋体" w:cs="宋体"/>
          <w:b/>
          <w:bCs/>
          <w:color w:val="auto"/>
          <w:kern w:val="2"/>
          <w:sz w:val="32"/>
          <w:szCs w:val="32"/>
          <w:highlight w:val="none"/>
        </w:rPr>
        <w:t>提前竣工</w:t>
      </w:r>
    </w:p>
    <w:p w14:paraId="2276D25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7.9.2</w:t>
      </w:r>
      <w:r>
        <w:rPr>
          <w:rFonts w:hint="eastAsia" w:ascii="宋体" w:hAnsi="宋体" w:eastAsia="宋体" w:cs="宋体"/>
          <w:color w:val="auto"/>
          <w:kern w:val="0"/>
          <w:sz w:val="21"/>
          <w:szCs w:val="21"/>
          <w:highlight w:val="none"/>
          <w:lang w:val="en-US" w:eastAsia="zh-CN" w:bidi="ar"/>
        </w:rPr>
        <w:t>提前竣工（赶工）增加费的计算方法：</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C0373BE">
      <w:pPr>
        <w:pStyle w:val="3"/>
        <w:widowControl/>
        <w:shd w:val="clear"/>
        <w:rPr>
          <w:rFonts w:hint="default" w:ascii="Arial" w:hAnsi="Arial" w:eastAsia="黑体" w:cs="Times New Roman"/>
          <w:b/>
          <w:bCs w:val="0"/>
          <w:color w:val="auto"/>
          <w:sz w:val="32"/>
          <w:szCs w:val="32"/>
          <w:highlight w:val="none"/>
        </w:rPr>
      </w:pPr>
      <w:bookmarkStart w:id="509" w:name="_Toc373478378"/>
      <w:bookmarkEnd w:id="509"/>
      <w:bookmarkStart w:id="510" w:name="_Toc407135233"/>
      <w:bookmarkEnd w:id="510"/>
      <w:bookmarkStart w:id="511" w:name="_Toc373227731"/>
      <w:bookmarkEnd w:id="511"/>
      <w:bookmarkStart w:id="512" w:name="_Toc351203640"/>
      <w:bookmarkEnd w:id="512"/>
      <w:bookmarkStart w:id="513" w:name="_Toc389065297"/>
      <w:bookmarkEnd w:id="513"/>
      <w:bookmarkStart w:id="514" w:name="_Toc9850561"/>
      <w:r>
        <w:rPr>
          <w:rFonts w:hint="default" w:ascii="Arial" w:hAnsi="Arial" w:eastAsia="黑体" w:cs="Times New Roman"/>
          <w:b/>
          <w:bCs w:val="0"/>
          <w:color w:val="auto"/>
          <w:sz w:val="32"/>
          <w:szCs w:val="32"/>
          <w:highlight w:val="none"/>
        </w:rPr>
        <w:t xml:space="preserve">8. </w:t>
      </w:r>
      <w:bookmarkEnd w:id="514"/>
      <w:r>
        <w:rPr>
          <w:rFonts w:hint="eastAsia" w:ascii="黑体" w:hAnsi="宋体" w:eastAsia="黑体" w:cs="黑体"/>
          <w:b/>
          <w:bCs w:val="0"/>
          <w:color w:val="auto"/>
          <w:sz w:val="32"/>
          <w:szCs w:val="32"/>
          <w:highlight w:val="none"/>
        </w:rPr>
        <w:t>材料与设备</w:t>
      </w:r>
    </w:p>
    <w:p w14:paraId="10C66301">
      <w:pPr>
        <w:pStyle w:val="4"/>
        <w:widowControl/>
        <w:shd w:val="clear"/>
        <w:rPr>
          <w:rFonts w:hint="default" w:ascii="Times New Roman" w:hAnsi="Times New Roman" w:eastAsia="宋体" w:cs="Times New Roman"/>
          <w:b/>
          <w:bCs/>
          <w:color w:val="auto"/>
          <w:kern w:val="2"/>
          <w:sz w:val="32"/>
          <w:szCs w:val="32"/>
          <w:highlight w:val="none"/>
        </w:rPr>
      </w:pPr>
      <w:bookmarkStart w:id="515" w:name="_Toc373227732"/>
      <w:bookmarkEnd w:id="515"/>
      <w:bookmarkStart w:id="516" w:name="_Toc9850562"/>
      <w:bookmarkEnd w:id="516"/>
      <w:bookmarkStart w:id="517" w:name="_Toc407135234"/>
      <w:bookmarkEnd w:id="517"/>
      <w:bookmarkStart w:id="518" w:name="_Toc373478379"/>
      <w:bookmarkEnd w:id="518"/>
      <w:bookmarkStart w:id="519" w:name="_Toc389065298"/>
      <w:bookmarkEnd w:id="519"/>
      <w:r>
        <w:rPr>
          <w:rFonts w:hint="default" w:ascii="Times New Roman" w:hAnsi="Times New Roman" w:eastAsia="宋体" w:cs="Times New Roman"/>
          <w:b/>
          <w:bCs/>
          <w:color w:val="auto"/>
          <w:kern w:val="2"/>
          <w:sz w:val="32"/>
          <w:szCs w:val="32"/>
          <w:highlight w:val="none"/>
        </w:rPr>
        <w:t xml:space="preserve">8.2 </w:t>
      </w:r>
      <w:r>
        <w:rPr>
          <w:rFonts w:hint="eastAsia" w:ascii="宋体" w:hAnsi="宋体" w:eastAsia="宋体" w:cs="宋体"/>
          <w:b/>
          <w:bCs/>
          <w:color w:val="auto"/>
          <w:kern w:val="2"/>
          <w:sz w:val="32"/>
          <w:szCs w:val="32"/>
          <w:highlight w:val="none"/>
        </w:rPr>
        <w:t>承包人采购材料与工程设备</w:t>
      </w:r>
    </w:p>
    <w:p w14:paraId="55CDF2A2">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除已标价工程量清单《发包人提供主要材料和工程设备一览表》（表</w:t>
      </w:r>
      <w:r>
        <w:rPr>
          <w:rFonts w:hint="default" w:ascii="Times New Roman" w:hAnsi="Times New Roman" w:eastAsia="宋体" w:cs="Times New Roman"/>
          <w:color w:val="auto"/>
          <w:kern w:val="0"/>
          <w:sz w:val="21"/>
          <w:szCs w:val="21"/>
          <w:highlight w:val="none"/>
          <w:lang w:val="en-US" w:eastAsia="zh-CN" w:bidi="ar"/>
        </w:rPr>
        <w:t>-21</w:t>
      </w:r>
      <w:r>
        <w:rPr>
          <w:rFonts w:hint="eastAsia" w:ascii="宋体" w:hAnsi="宋体" w:eastAsia="宋体" w:cs="宋体"/>
          <w:color w:val="auto"/>
          <w:kern w:val="0"/>
          <w:sz w:val="21"/>
          <w:szCs w:val="21"/>
          <w:highlight w:val="none"/>
          <w:lang w:val="en-US" w:eastAsia="zh-CN" w:bidi="ar"/>
        </w:rPr>
        <w:t>）中明确的材料、工程设备外，由承包人负责材料和工程设备的采购、运输和保管。《承包人提供主要材料和工程设备一览表》（表</w:t>
      </w:r>
      <w:r>
        <w:rPr>
          <w:rFonts w:hint="default" w:ascii="Times New Roman" w:hAnsi="Times New Roman" w:eastAsia="宋体" w:cs="Times New Roman"/>
          <w:color w:val="auto"/>
          <w:kern w:val="0"/>
          <w:sz w:val="21"/>
          <w:szCs w:val="21"/>
          <w:highlight w:val="none"/>
          <w:lang w:val="en-US" w:eastAsia="zh-CN" w:bidi="ar"/>
        </w:rPr>
        <w:t>-22</w:t>
      </w:r>
      <w:r>
        <w:rPr>
          <w:rFonts w:hint="eastAsia" w:ascii="宋体" w:hAnsi="宋体" w:eastAsia="宋体" w:cs="宋体"/>
          <w:color w:val="auto"/>
          <w:kern w:val="0"/>
          <w:sz w:val="21"/>
          <w:szCs w:val="21"/>
          <w:highlight w:val="none"/>
          <w:lang w:val="en-US" w:eastAsia="zh-CN" w:bidi="ar"/>
        </w:rPr>
        <w:t>）见已标价工程量清单。</w:t>
      </w:r>
    </w:p>
    <w:p w14:paraId="65DD63A5">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520" w:name="_Toc389065299"/>
      <w:bookmarkEnd w:id="520"/>
      <w:bookmarkStart w:id="521" w:name="_Toc373227733"/>
      <w:bookmarkEnd w:id="521"/>
      <w:bookmarkStart w:id="522" w:name="_Toc373478380"/>
      <w:r>
        <w:rPr>
          <w:rFonts w:hint="eastAsia" w:ascii="宋体" w:hAnsi="宋体" w:eastAsia="宋体" w:cs="宋体"/>
          <w:color w:val="auto"/>
          <w:kern w:val="0"/>
          <w:sz w:val="21"/>
          <w:szCs w:val="21"/>
          <w:highlight w:val="none"/>
          <w:lang w:val="en-US" w:eastAsia="zh-CN" w:bidi="ar"/>
        </w:rPr>
        <w:t>对发包人在招标时有“参照或相当于</w:t>
      </w:r>
      <w:bookmarkEnd w:id="522"/>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品牌、级别”约定的材料或设备，承包人采购时必须按类似于或优于所约定品牌、等级进行采购，施工期间该部分材料或设备如未超过招标约定的风险幅度的，结算时按投标单价支付，不得调整。</w:t>
      </w:r>
    </w:p>
    <w:p w14:paraId="704C72DC">
      <w:pPr>
        <w:pStyle w:val="4"/>
        <w:widowControl/>
        <w:shd w:val="clear"/>
        <w:rPr>
          <w:rFonts w:hint="default" w:ascii="Times New Roman" w:hAnsi="Times New Roman" w:eastAsia="宋体" w:cs="Times New Roman"/>
          <w:b/>
          <w:bCs/>
          <w:color w:val="auto"/>
          <w:kern w:val="2"/>
          <w:sz w:val="32"/>
          <w:szCs w:val="32"/>
          <w:highlight w:val="none"/>
        </w:rPr>
      </w:pPr>
      <w:bookmarkStart w:id="523" w:name="_Toc9850563"/>
      <w:bookmarkEnd w:id="523"/>
      <w:bookmarkStart w:id="524" w:name="_Toc407135235"/>
      <w:r>
        <w:rPr>
          <w:rFonts w:hint="default" w:ascii="Times New Roman" w:hAnsi="Times New Roman" w:eastAsia="宋体" w:cs="Times New Roman"/>
          <w:b/>
          <w:bCs/>
          <w:color w:val="auto"/>
          <w:kern w:val="2"/>
          <w:sz w:val="32"/>
          <w:szCs w:val="32"/>
          <w:highlight w:val="none"/>
        </w:rPr>
        <w:t>8</w:t>
      </w:r>
      <w:bookmarkEnd w:id="524"/>
      <w:bookmarkStart w:id="525" w:name="_Toc312677493"/>
      <w:bookmarkEnd w:id="525"/>
      <w:bookmarkStart w:id="526" w:name="_Toc303539136"/>
      <w:bookmarkEnd w:id="526"/>
      <w:bookmarkStart w:id="527" w:name="_Toc296346668"/>
      <w:bookmarkEnd w:id="527"/>
      <w:bookmarkStart w:id="528" w:name="_Toc280868654"/>
      <w:bookmarkEnd w:id="528"/>
      <w:bookmarkStart w:id="529" w:name="_Toc297123527"/>
      <w:bookmarkEnd w:id="529"/>
      <w:bookmarkStart w:id="530" w:name="_Toc296891207"/>
      <w:bookmarkEnd w:id="530"/>
      <w:bookmarkStart w:id="531" w:name="_Toc292559372"/>
      <w:bookmarkEnd w:id="531"/>
      <w:bookmarkStart w:id="532" w:name="_Toc297216186"/>
      <w:bookmarkEnd w:id="532"/>
      <w:bookmarkStart w:id="533" w:name="_Toc280868655"/>
      <w:bookmarkEnd w:id="533"/>
      <w:bookmarkStart w:id="534" w:name="_Toc300934979"/>
      <w:bookmarkEnd w:id="534"/>
      <w:bookmarkStart w:id="535" w:name="_Toc296944506"/>
      <w:bookmarkEnd w:id="535"/>
      <w:bookmarkStart w:id="536" w:name="_Toc304295556"/>
      <w:bookmarkEnd w:id="536"/>
      <w:bookmarkStart w:id="537" w:name="_Toc297120467"/>
      <w:bookmarkEnd w:id="537"/>
      <w:bookmarkStart w:id="538" w:name="_Toc280868656"/>
      <w:bookmarkEnd w:id="538"/>
      <w:bookmarkStart w:id="539" w:name="_Toc292559877"/>
      <w:bookmarkEnd w:id="539"/>
      <w:bookmarkStart w:id="540" w:name="_Toc297048353"/>
      <w:bookmarkEnd w:id="540"/>
      <w:bookmarkStart w:id="541" w:name="_Toc296347166"/>
      <w:bookmarkEnd w:id="541"/>
      <w:bookmarkStart w:id="542" w:name="_Toc312678019"/>
      <w:bookmarkEnd w:id="542"/>
      <w:bookmarkStart w:id="543" w:name="_Toc296890995"/>
      <w:bookmarkEnd w:id="543"/>
      <w:bookmarkStart w:id="544" w:name="_Toc296503167"/>
      <w:bookmarkEnd w:id="544"/>
      <w:bookmarkStart w:id="545" w:name="_Toc267251424"/>
      <w:r>
        <w:rPr>
          <w:rFonts w:hint="default" w:ascii="Times New Roman" w:hAnsi="Times New Roman" w:eastAsia="宋体" w:cs="Times New Roman"/>
          <w:b/>
          <w:bCs/>
          <w:color w:val="auto"/>
          <w:kern w:val="2"/>
          <w:sz w:val="32"/>
          <w:szCs w:val="32"/>
          <w:highlight w:val="none"/>
        </w:rPr>
        <w:t xml:space="preserve">.4 </w:t>
      </w:r>
      <w:bookmarkEnd w:id="545"/>
      <w:r>
        <w:rPr>
          <w:rFonts w:hint="eastAsia" w:ascii="宋体" w:hAnsi="宋体" w:eastAsia="宋体" w:cs="宋体"/>
          <w:b/>
          <w:bCs/>
          <w:color w:val="auto"/>
          <w:kern w:val="2"/>
          <w:sz w:val="32"/>
          <w:szCs w:val="32"/>
          <w:highlight w:val="none"/>
        </w:rPr>
        <w:t>材料与工程设备的保管与使用</w:t>
      </w:r>
    </w:p>
    <w:p w14:paraId="28C97E3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8</w:t>
      </w:r>
      <w:bookmarkStart w:id="546" w:name="_Toc318581173"/>
      <w:bookmarkEnd w:id="546"/>
      <w:bookmarkStart w:id="547" w:name="_Toc296346669"/>
      <w:bookmarkEnd w:id="547"/>
      <w:bookmarkStart w:id="548" w:name="_Toc312678020"/>
      <w:bookmarkEnd w:id="548"/>
      <w:bookmarkStart w:id="549" w:name="_Toc297123528"/>
      <w:bookmarkEnd w:id="549"/>
      <w:bookmarkStart w:id="550" w:name="_Toc312677494"/>
      <w:bookmarkEnd w:id="550"/>
      <w:bookmarkStart w:id="551" w:name="_Toc297120468"/>
      <w:bookmarkEnd w:id="551"/>
      <w:bookmarkStart w:id="552" w:name="_Toc292559878"/>
      <w:bookmarkEnd w:id="552"/>
      <w:bookmarkStart w:id="553" w:name="_Toc296890996"/>
      <w:bookmarkEnd w:id="553"/>
      <w:bookmarkStart w:id="554" w:name="_Toc300934980"/>
      <w:bookmarkEnd w:id="554"/>
      <w:bookmarkStart w:id="555" w:name="_Toc297048354"/>
      <w:bookmarkEnd w:id="555"/>
      <w:bookmarkStart w:id="556" w:name="_Toc304295557"/>
      <w:bookmarkEnd w:id="556"/>
      <w:bookmarkStart w:id="557" w:name="_Toc296891208"/>
      <w:bookmarkEnd w:id="557"/>
      <w:bookmarkStart w:id="558" w:name="_Toc292559373"/>
      <w:bookmarkEnd w:id="558"/>
      <w:bookmarkStart w:id="559" w:name="_Toc297216187"/>
      <w:bookmarkEnd w:id="559"/>
      <w:bookmarkStart w:id="560" w:name="_Toc296944507"/>
      <w:bookmarkEnd w:id="560"/>
      <w:bookmarkStart w:id="561" w:name="_Toc296347167"/>
      <w:bookmarkEnd w:id="561"/>
      <w:bookmarkStart w:id="562" w:name="_Toc296503168"/>
      <w:bookmarkEnd w:id="562"/>
      <w:bookmarkStart w:id="563" w:name="_Toc303539137"/>
      <w:r>
        <w:rPr>
          <w:rFonts w:hint="default" w:ascii="Times New Roman" w:hAnsi="Times New Roman" w:eastAsia="宋体" w:cs="Times New Roman"/>
          <w:color w:val="auto"/>
          <w:kern w:val="0"/>
          <w:sz w:val="21"/>
          <w:szCs w:val="21"/>
          <w:highlight w:val="none"/>
          <w:lang w:val="en-US" w:eastAsia="zh-CN" w:bidi="ar"/>
        </w:rPr>
        <w:t>.4.1</w:t>
      </w:r>
      <w:bookmarkEnd w:id="563"/>
      <w:r>
        <w:rPr>
          <w:rFonts w:hint="eastAsia" w:ascii="宋体" w:hAnsi="宋体" w:eastAsia="宋体" w:cs="宋体"/>
          <w:color w:val="auto"/>
          <w:kern w:val="0"/>
          <w:sz w:val="21"/>
          <w:szCs w:val="21"/>
          <w:highlight w:val="none"/>
          <w:lang w:val="en-US" w:eastAsia="zh-CN" w:bidi="ar"/>
        </w:rPr>
        <w:t>发包人供应的材料设备的保管费用的承担：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9AFC094">
      <w:pPr>
        <w:pStyle w:val="4"/>
        <w:widowControl/>
        <w:shd w:val="clear"/>
        <w:rPr>
          <w:rFonts w:hint="default" w:ascii="Times New Roman" w:hAnsi="Times New Roman" w:eastAsia="宋体" w:cs="Times New Roman"/>
          <w:b/>
          <w:bCs/>
          <w:color w:val="auto"/>
          <w:kern w:val="2"/>
          <w:sz w:val="32"/>
          <w:szCs w:val="32"/>
          <w:highlight w:val="none"/>
        </w:rPr>
      </w:pPr>
      <w:bookmarkStart w:id="564" w:name="_Toc373478381"/>
      <w:bookmarkEnd w:id="564"/>
      <w:bookmarkStart w:id="565" w:name="_Toc407135236"/>
      <w:bookmarkEnd w:id="565"/>
      <w:bookmarkStart w:id="566" w:name="_Toc9850564"/>
      <w:bookmarkEnd w:id="566"/>
      <w:bookmarkStart w:id="567" w:name="_Toc373227734"/>
      <w:bookmarkEnd w:id="567"/>
      <w:bookmarkStart w:id="568" w:name="_Toc389065300"/>
      <w:r>
        <w:rPr>
          <w:rFonts w:hint="default" w:ascii="Times New Roman" w:hAnsi="Times New Roman" w:eastAsia="宋体" w:cs="Times New Roman"/>
          <w:b/>
          <w:bCs/>
          <w:color w:val="auto"/>
          <w:kern w:val="2"/>
          <w:sz w:val="32"/>
          <w:szCs w:val="32"/>
          <w:highlight w:val="none"/>
        </w:rPr>
        <w:t xml:space="preserve">8.6 </w:t>
      </w:r>
      <w:bookmarkEnd w:id="568"/>
      <w:r>
        <w:rPr>
          <w:rFonts w:hint="eastAsia" w:ascii="宋体" w:hAnsi="宋体" w:eastAsia="宋体" w:cs="宋体"/>
          <w:b/>
          <w:bCs/>
          <w:color w:val="auto"/>
          <w:kern w:val="2"/>
          <w:sz w:val="32"/>
          <w:szCs w:val="32"/>
          <w:highlight w:val="none"/>
        </w:rPr>
        <w:t>样品</w:t>
      </w:r>
    </w:p>
    <w:p w14:paraId="5EEC71BD">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8.6.1 </w:t>
      </w:r>
      <w:r>
        <w:rPr>
          <w:rFonts w:hint="eastAsia" w:ascii="宋体" w:hAnsi="宋体" w:eastAsia="宋体" w:cs="宋体"/>
          <w:color w:val="auto"/>
          <w:kern w:val="0"/>
          <w:sz w:val="21"/>
          <w:szCs w:val="21"/>
          <w:highlight w:val="none"/>
          <w:lang w:val="en-US" w:eastAsia="zh-CN" w:bidi="ar"/>
        </w:rPr>
        <w:t>样品的报送与封存</w:t>
      </w:r>
    </w:p>
    <w:p w14:paraId="45BD7033">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需要承包人报送样品的材料或工程设备，样品的种类、名称、规格、数量要求：</w:t>
      </w:r>
      <w:r>
        <w:rPr>
          <w:rFonts w:hint="eastAsia" w:ascii="宋体" w:hAnsi="宋体" w:eastAsia="宋体" w:cs="宋体"/>
          <w:color w:val="auto"/>
          <w:kern w:val="0"/>
          <w:sz w:val="21"/>
          <w:szCs w:val="21"/>
          <w:highlight w:val="none"/>
          <w:u w:val="single"/>
          <w:lang w:val="en-US" w:eastAsia="zh-CN" w:bidi="ar"/>
        </w:rPr>
        <w:t>主要材料涉及品种、款式、颜色等方面内容的，承包人应提交准备合格的材料样品送发包人选定。</w:t>
      </w:r>
    </w:p>
    <w:p w14:paraId="2CAB43B6">
      <w:pPr>
        <w:pStyle w:val="4"/>
        <w:widowControl/>
        <w:shd w:val="clear"/>
        <w:rPr>
          <w:rFonts w:hint="default" w:ascii="Times New Roman" w:hAnsi="Times New Roman" w:eastAsia="宋体" w:cs="Times New Roman"/>
          <w:b/>
          <w:bCs/>
          <w:color w:val="auto"/>
          <w:kern w:val="2"/>
          <w:sz w:val="32"/>
          <w:szCs w:val="32"/>
          <w:highlight w:val="none"/>
        </w:rPr>
      </w:pPr>
      <w:bookmarkStart w:id="569" w:name="_Toc407135237"/>
      <w:bookmarkEnd w:id="569"/>
      <w:bookmarkStart w:id="570" w:name="_Toc9850565"/>
      <w:bookmarkEnd w:id="570"/>
      <w:bookmarkStart w:id="571" w:name="_Toc373478382"/>
      <w:bookmarkEnd w:id="571"/>
      <w:bookmarkStart w:id="572" w:name="_Toc389065301"/>
      <w:bookmarkEnd w:id="572"/>
      <w:bookmarkStart w:id="573" w:name="_Toc373227735"/>
      <w:r>
        <w:rPr>
          <w:rFonts w:hint="default" w:ascii="Times New Roman" w:hAnsi="Times New Roman" w:eastAsia="宋体" w:cs="Times New Roman"/>
          <w:b/>
          <w:bCs/>
          <w:color w:val="auto"/>
          <w:kern w:val="2"/>
          <w:sz w:val="32"/>
          <w:szCs w:val="32"/>
          <w:highlight w:val="none"/>
        </w:rPr>
        <w:t xml:space="preserve">8.8 </w:t>
      </w:r>
      <w:bookmarkEnd w:id="573"/>
      <w:r>
        <w:rPr>
          <w:rFonts w:hint="eastAsia" w:ascii="宋体" w:hAnsi="宋体" w:eastAsia="宋体" w:cs="宋体"/>
          <w:b/>
          <w:bCs/>
          <w:color w:val="auto"/>
          <w:kern w:val="2"/>
          <w:sz w:val="32"/>
          <w:szCs w:val="32"/>
          <w:highlight w:val="none"/>
        </w:rPr>
        <w:t>施工设备和临时设施</w:t>
      </w:r>
    </w:p>
    <w:p w14:paraId="25DDE2AE">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8.8.1 </w:t>
      </w:r>
      <w:r>
        <w:rPr>
          <w:rFonts w:hint="eastAsia" w:ascii="宋体" w:hAnsi="宋体" w:eastAsia="宋体" w:cs="宋体"/>
          <w:color w:val="auto"/>
          <w:kern w:val="0"/>
          <w:sz w:val="21"/>
          <w:szCs w:val="21"/>
          <w:highlight w:val="none"/>
          <w:lang w:val="en-US" w:eastAsia="zh-CN" w:bidi="ar"/>
        </w:rPr>
        <w:t>承包人提供的施工设备和临时设施</w:t>
      </w:r>
    </w:p>
    <w:p w14:paraId="6AAC0081">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1A917264">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关于修建临时设施费用承担的约定：</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27939CD7">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8.8.2 </w:t>
      </w:r>
      <w:r>
        <w:rPr>
          <w:rFonts w:hint="eastAsia" w:ascii="宋体" w:hAnsi="宋体" w:eastAsia="宋体" w:cs="宋体"/>
          <w:color w:val="auto"/>
          <w:kern w:val="0"/>
          <w:sz w:val="21"/>
          <w:szCs w:val="21"/>
          <w:highlight w:val="none"/>
          <w:lang w:val="en-US" w:eastAsia="zh-CN" w:bidi="ar"/>
        </w:rPr>
        <w:t>发包人提供的施工设备和临时设施</w:t>
      </w:r>
    </w:p>
    <w:p w14:paraId="0BA5A4D2">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发包人提供的施工设备和临时设施：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42F3158">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highlight w:val="none"/>
        </w:rPr>
      </w:pPr>
      <w:r>
        <w:rPr>
          <w:rFonts w:hint="eastAsia" w:ascii="宋体" w:hAnsi="宋体" w:eastAsia="宋体" w:cs="宋体"/>
          <w:color w:val="auto"/>
          <w:kern w:val="0"/>
          <w:sz w:val="21"/>
          <w:szCs w:val="21"/>
          <w:highlight w:val="none"/>
          <w:lang w:val="en-US" w:eastAsia="zh-CN" w:bidi="ar"/>
        </w:rPr>
        <w:t>发包人提供的施工设备和临时设施的运行、维护、拆除、清运费用的承担人：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A87373D">
      <w:pPr>
        <w:pStyle w:val="3"/>
        <w:widowControl/>
        <w:shd w:val="clear"/>
        <w:rPr>
          <w:rFonts w:hint="default" w:ascii="Arial" w:hAnsi="Arial" w:eastAsia="黑体" w:cs="Times New Roman"/>
          <w:b/>
          <w:bCs w:val="0"/>
          <w:color w:val="auto"/>
          <w:sz w:val="32"/>
          <w:szCs w:val="32"/>
          <w:highlight w:val="none"/>
        </w:rPr>
      </w:pPr>
      <w:bookmarkStart w:id="574" w:name="_Toc351203641"/>
      <w:bookmarkEnd w:id="574"/>
      <w:bookmarkStart w:id="575" w:name="_Toc407135238"/>
      <w:bookmarkEnd w:id="575"/>
      <w:bookmarkStart w:id="576" w:name="_Toc389065302"/>
      <w:bookmarkEnd w:id="576"/>
      <w:bookmarkStart w:id="577" w:name="_Toc9850566"/>
      <w:bookmarkEnd w:id="577"/>
      <w:bookmarkStart w:id="578" w:name="_Toc373227736"/>
      <w:bookmarkEnd w:id="578"/>
      <w:bookmarkStart w:id="579" w:name="_Toc373478383"/>
      <w:bookmarkEnd w:id="579"/>
      <w:r>
        <w:rPr>
          <w:rFonts w:hint="default" w:ascii="Arial" w:hAnsi="Arial" w:eastAsia="黑体" w:cs="Times New Roman"/>
          <w:b/>
          <w:bCs w:val="0"/>
          <w:color w:val="auto"/>
          <w:sz w:val="32"/>
          <w:szCs w:val="32"/>
          <w:highlight w:val="none"/>
        </w:rPr>
        <w:t>9</w:t>
      </w:r>
      <w:bookmarkStart w:id="580" w:name="_Toc296346674"/>
      <w:bookmarkEnd w:id="580"/>
      <w:bookmarkStart w:id="581" w:name="_Toc303539139"/>
      <w:bookmarkEnd w:id="581"/>
      <w:bookmarkStart w:id="582" w:name="_Toc267251428"/>
      <w:bookmarkEnd w:id="582"/>
      <w:bookmarkStart w:id="583" w:name="_Toc296347172"/>
      <w:bookmarkEnd w:id="583"/>
      <w:bookmarkStart w:id="584" w:name="_Toc292559378"/>
      <w:bookmarkEnd w:id="584"/>
      <w:bookmarkStart w:id="585" w:name="_Toc297216192"/>
      <w:bookmarkEnd w:id="585"/>
      <w:bookmarkStart w:id="586" w:name="_Toc296891001"/>
      <w:bookmarkEnd w:id="586"/>
      <w:bookmarkStart w:id="587" w:name="_Toc312678021"/>
      <w:bookmarkEnd w:id="587"/>
      <w:bookmarkStart w:id="588" w:name="_Toc297120473"/>
      <w:bookmarkEnd w:id="588"/>
      <w:bookmarkStart w:id="589" w:name="_Toc297123533"/>
      <w:bookmarkEnd w:id="589"/>
      <w:bookmarkStart w:id="590" w:name="_Toc296944512"/>
      <w:bookmarkEnd w:id="590"/>
      <w:bookmarkStart w:id="591" w:name="_Toc300934982"/>
      <w:bookmarkEnd w:id="591"/>
      <w:bookmarkStart w:id="592" w:name="_Toc296503173"/>
      <w:bookmarkEnd w:id="592"/>
      <w:bookmarkStart w:id="593" w:name="_Toc267251427"/>
      <w:bookmarkEnd w:id="593"/>
      <w:bookmarkStart w:id="594" w:name="_Toc297048359"/>
      <w:bookmarkEnd w:id="594"/>
      <w:bookmarkStart w:id="595" w:name="_Toc312677495"/>
      <w:bookmarkEnd w:id="595"/>
      <w:bookmarkStart w:id="596" w:name="_Toc304295559"/>
      <w:bookmarkEnd w:id="596"/>
      <w:bookmarkStart w:id="597" w:name="_Toc292559883"/>
      <w:bookmarkEnd w:id="597"/>
      <w:bookmarkStart w:id="598" w:name="_Toc296891213"/>
      <w:r>
        <w:rPr>
          <w:rFonts w:hint="default" w:ascii="Arial" w:hAnsi="Arial" w:eastAsia="黑体" w:cs="Times New Roman"/>
          <w:b/>
          <w:bCs w:val="0"/>
          <w:color w:val="auto"/>
          <w:sz w:val="32"/>
          <w:szCs w:val="32"/>
          <w:highlight w:val="none"/>
        </w:rPr>
        <w:t xml:space="preserve">. </w:t>
      </w:r>
      <w:bookmarkEnd w:id="598"/>
      <w:r>
        <w:rPr>
          <w:rFonts w:hint="eastAsia" w:ascii="黑体" w:hAnsi="宋体" w:eastAsia="黑体" w:cs="黑体"/>
          <w:b/>
          <w:bCs w:val="0"/>
          <w:color w:val="auto"/>
          <w:sz w:val="32"/>
          <w:szCs w:val="32"/>
          <w:highlight w:val="none"/>
        </w:rPr>
        <w:t>试验与检验</w:t>
      </w:r>
    </w:p>
    <w:p w14:paraId="298FF1E4">
      <w:pPr>
        <w:pStyle w:val="4"/>
        <w:widowControl/>
        <w:shd w:val="clear"/>
        <w:rPr>
          <w:rFonts w:hint="default" w:ascii="Times New Roman" w:hAnsi="Times New Roman" w:eastAsia="宋体" w:cs="Times New Roman"/>
          <w:b/>
          <w:bCs/>
          <w:color w:val="auto"/>
          <w:kern w:val="2"/>
          <w:sz w:val="32"/>
          <w:szCs w:val="32"/>
          <w:highlight w:val="none"/>
        </w:rPr>
      </w:pPr>
      <w:bookmarkStart w:id="599" w:name="_Toc373478384"/>
      <w:bookmarkEnd w:id="599"/>
      <w:bookmarkStart w:id="600" w:name="_Toc373227737"/>
      <w:bookmarkEnd w:id="600"/>
      <w:bookmarkStart w:id="601" w:name="_Toc389065303"/>
      <w:bookmarkEnd w:id="601"/>
      <w:bookmarkStart w:id="602" w:name="_Toc9850567"/>
      <w:bookmarkEnd w:id="602"/>
      <w:bookmarkStart w:id="603" w:name="_Toc407135239"/>
      <w:bookmarkEnd w:id="603"/>
      <w:r>
        <w:rPr>
          <w:rFonts w:hint="default" w:ascii="Times New Roman" w:hAnsi="Times New Roman" w:eastAsia="宋体" w:cs="Times New Roman"/>
          <w:b/>
          <w:bCs/>
          <w:color w:val="auto"/>
          <w:kern w:val="2"/>
          <w:sz w:val="32"/>
          <w:szCs w:val="32"/>
          <w:highlight w:val="none"/>
        </w:rPr>
        <w:t>9</w:t>
      </w:r>
      <w:bookmarkStart w:id="604" w:name="_Toc304295560"/>
      <w:bookmarkEnd w:id="604"/>
      <w:bookmarkStart w:id="605" w:name="_Toc312677496"/>
      <w:bookmarkEnd w:id="605"/>
      <w:bookmarkStart w:id="606" w:name="_Toc297216193"/>
      <w:bookmarkEnd w:id="606"/>
      <w:bookmarkStart w:id="607" w:name="_Toc300934983"/>
      <w:bookmarkEnd w:id="607"/>
      <w:bookmarkStart w:id="608" w:name="_Toc297123534"/>
      <w:bookmarkEnd w:id="608"/>
      <w:bookmarkStart w:id="609" w:name="_Toc303539140"/>
      <w:bookmarkEnd w:id="609"/>
      <w:bookmarkStart w:id="610" w:name="_Toc312678022"/>
      <w:r>
        <w:rPr>
          <w:rFonts w:hint="default" w:ascii="Times New Roman" w:hAnsi="Times New Roman" w:eastAsia="宋体" w:cs="Times New Roman"/>
          <w:b/>
          <w:bCs/>
          <w:color w:val="auto"/>
          <w:kern w:val="2"/>
          <w:sz w:val="32"/>
          <w:szCs w:val="32"/>
          <w:highlight w:val="none"/>
        </w:rPr>
        <w:t xml:space="preserve">.1 </w:t>
      </w:r>
      <w:bookmarkEnd w:id="610"/>
      <w:r>
        <w:rPr>
          <w:rFonts w:hint="eastAsia" w:ascii="宋体" w:hAnsi="宋体" w:eastAsia="宋体" w:cs="宋体"/>
          <w:b/>
          <w:bCs/>
          <w:color w:val="auto"/>
          <w:kern w:val="2"/>
          <w:sz w:val="32"/>
          <w:szCs w:val="32"/>
          <w:highlight w:val="none"/>
        </w:rPr>
        <w:t>试验设备与试验人员</w:t>
      </w:r>
    </w:p>
    <w:p w14:paraId="35FFA1D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9</w:t>
      </w:r>
      <w:bookmarkStart w:id="611" w:name="_Toc297123535"/>
      <w:bookmarkEnd w:id="611"/>
      <w:bookmarkStart w:id="612" w:name="_Toc304295561"/>
      <w:bookmarkEnd w:id="612"/>
      <w:bookmarkStart w:id="613" w:name="_Toc297216194"/>
      <w:bookmarkEnd w:id="613"/>
      <w:bookmarkStart w:id="614" w:name="_Toc312678023"/>
      <w:bookmarkEnd w:id="614"/>
      <w:bookmarkStart w:id="615" w:name="_Toc300934984"/>
      <w:bookmarkEnd w:id="615"/>
      <w:bookmarkStart w:id="616" w:name="_Toc312677497"/>
      <w:bookmarkEnd w:id="616"/>
      <w:bookmarkStart w:id="617" w:name="_Toc303539141"/>
      <w:bookmarkEnd w:id="617"/>
      <w:bookmarkStart w:id="618" w:name="_Toc318581174"/>
      <w:r>
        <w:rPr>
          <w:rFonts w:hint="default" w:ascii="Times New Roman" w:hAnsi="Times New Roman" w:eastAsia="宋体" w:cs="Times New Roman"/>
          <w:color w:val="auto"/>
          <w:kern w:val="0"/>
          <w:sz w:val="21"/>
          <w:szCs w:val="21"/>
          <w:highlight w:val="none"/>
          <w:lang w:val="en-US" w:eastAsia="zh-CN" w:bidi="ar"/>
        </w:rPr>
        <w:t xml:space="preserve">.1.2 </w:t>
      </w:r>
      <w:bookmarkEnd w:id="618"/>
      <w:r>
        <w:rPr>
          <w:rFonts w:hint="eastAsia" w:ascii="宋体" w:hAnsi="宋体" w:eastAsia="宋体" w:cs="宋体"/>
          <w:color w:val="auto"/>
          <w:kern w:val="0"/>
          <w:sz w:val="21"/>
          <w:szCs w:val="21"/>
          <w:highlight w:val="none"/>
          <w:lang w:val="en-US" w:eastAsia="zh-CN" w:bidi="ar"/>
        </w:rPr>
        <w:t>试验设备</w:t>
      </w:r>
    </w:p>
    <w:p w14:paraId="6AD21D9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施工现场需要配置的试验场所：</w:t>
      </w:r>
      <w:bookmarkStart w:id="619" w:name="_Toc303539142"/>
      <w:bookmarkEnd w:id="619"/>
      <w:bookmarkStart w:id="620" w:name="_Toc304295562"/>
      <w:bookmarkEnd w:id="620"/>
      <w:bookmarkStart w:id="621" w:name="_Toc300934985"/>
      <w:bookmarkEnd w:id="621"/>
      <w:bookmarkStart w:id="622" w:name="_Toc312678024"/>
      <w:bookmarkEnd w:id="622"/>
      <w:bookmarkStart w:id="623" w:name="_Toc312677498"/>
      <w:bookmarkEnd w:id="623"/>
      <w:bookmarkStart w:id="624" w:name="_Toc297123536"/>
      <w:bookmarkEnd w:id="624"/>
      <w:bookmarkStart w:id="625" w:name="_Toc297216195"/>
      <w:bookmarkEnd w:id="625"/>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EA283A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施工现场需要配备的试验设备：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8BFBDD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施工现场需要具备的其他试验条件：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006196E">
      <w:pPr>
        <w:pStyle w:val="4"/>
        <w:widowControl/>
        <w:shd w:val="clear"/>
        <w:rPr>
          <w:rFonts w:hint="default" w:ascii="Times New Roman" w:hAnsi="Times New Roman" w:eastAsia="宋体" w:cs="Times New Roman"/>
          <w:b/>
          <w:bCs/>
          <w:color w:val="auto"/>
          <w:kern w:val="2"/>
          <w:sz w:val="32"/>
          <w:szCs w:val="32"/>
          <w:highlight w:val="none"/>
        </w:rPr>
      </w:pPr>
      <w:bookmarkStart w:id="626" w:name="_Toc389065304"/>
      <w:bookmarkEnd w:id="626"/>
      <w:bookmarkStart w:id="627" w:name="_Toc373227738"/>
      <w:bookmarkEnd w:id="627"/>
      <w:bookmarkStart w:id="628" w:name="_Toc407135240"/>
      <w:bookmarkEnd w:id="628"/>
      <w:bookmarkStart w:id="629" w:name="_Toc373478385"/>
      <w:bookmarkEnd w:id="629"/>
      <w:bookmarkStart w:id="630" w:name="_Toc9850568"/>
      <w:r>
        <w:rPr>
          <w:rFonts w:hint="default" w:ascii="Times New Roman" w:hAnsi="Times New Roman" w:eastAsia="宋体" w:cs="Times New Roman"/>
          <w:b/>
          <w:bCs/>
          <w:color w:val="auto"/>
          <w:kern w:val="2"/>
          <w:sz w:val="32"/>
          <w:szCs w:val="32"/>
          <w:highlight w:val="none"/>
        </w:rPr>
        <w:t xml:space="preserve">9.4 </w:t>
      </w:r>
      <w:bookmarkEnd w:id="630"/>
      <w:r>
        <w:rPr>
          <w:rFonts w:hint="eastAsia" w:ascii="宋体" w:hAnsi="宋体" w:eastAsia="宋体" w:cs="宋体"/>
          <w:b/>
          <w:bCs/>
          <w:color w:val="auto"/>
          <w:kern w:val="2"/>
          <w:sz w:val="32"/>
          <w:szCs w:val="32"/>
          <w:highlight w:val="none"/>
        </w:rPr>
        <w:t>现场工艺试验</w:t>
      </w:r>
      <w:r>
        <w:rPr>
          <w:rFonts w:hint="default" w:ascii="Times New Roman" w:hAnsi="Times New Roman" w:eastAsia="宋体" w:cs="Times New Roman"/>
          <w:b/>
          <w:bCs/>
          <w:color w:val="auto"/>
          <w:kern w:val="2"/>
          <w:sz w:val="32"/>
          <w:szCs w:val="32"/>
          <w:highlight w:val="none"/>
        </w:rPr>
        <w:t xml:space="preserve"> </w:t>
      </w:r>
    </w:p>
    <w:p w14:paraId="6050F07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现场工艺试验的有关约定：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13C8ADD">
      <w:pPr>
        <w:pStyle w:val="4"/>
        <w:widowControl/>
        <w:shd w:val="clear"/>
        <w:rPr>
          <w:rFonts w:hint="default" w:ascii="Times New Roman" w:hAnsi="Times New Roman" w:eastAsia="宋体" w:cs="Times New Roman"/>
          <w:b/>
          <w:bCs/>
          <w:color w:val="auto"/>
          <w:kern w:val="2"/>
          <w:sz w:val="32"/>
          <w:szCs w:val="32"/>
          <w:highlight w:val="none"/>
        </w:rPr>
      </w:pPr>
      <w:bookmarkStart w:id="631" w:name="_Toc407135241"/>
      <w:bookmarkEnd w:id="631"/>
      <w:bookmarkStart w:id="632" w:name="_Toc9850569"/>
      <w:bookmarkEnd w:id="632"/>
      <w:bookmarkStart w:id="633" w:name="OLE_LINK1"/>
      <w:r>
        <w:rPr>
          <w:rFonts w:hint="default" w:ascii="Times New Roman" w:hAnsi="Times New Roman" w:eastAsia="宋体" w:cs="Times New Roman"/>
          <w:b/>
          <w:bCs/>
          <w:color w:val="auto"/>
          <w:kern w:val="2"/>
          <w:sz w:val="32"/>
          <w:szCs w:val="32"/>
          <w:highlight w:val="none"/>
        </w:rPr>
        <w:t xml:space="preserve">9.5 </w:t>
      </w:r>
      <w:bookmarkEnd w:id="633"/>
      <w:r>
        <w:rPr>
          <w:rFonts w:hint="eastAsia" w:ascii="宋体" w:hAnsi="宋体" w:eastAsia="宋体" w:cs="宋体"/>
          <w:b/>
          <w:bCs/>
          <w:color w:val="auto"/>
          <w:kern w:val="2"/>
          <w:sz w:val="32"/>
          <w:szCs w:val="32"/>
          <w:highlight w:val="none"/>
        </w:rPr>
        <w:t>检验费用</w:t>
      </w:r>
    </w:p>
    <w:p w14:paraId="07FE4A36">
      <w:pPr>
        <w:keepNext w:val="0"/>
        <w:keepLines w:val="0"/>
        <w:widowControl w:val="0"/>
        <w:suppressLineNumbers w:val="0"/>
        <w:shd w:val="clear"/>
        <w:spacing w:before="0" w:beforeAutospacing="0" w:after="0" w:afterAutospacing="0" w:line="360" w:lineRule="auto"/>
        <w:ind w:left="0" w:right="0" w:firstLine="411" w:firstLineChars="196"/>
        <w:jc w:val="both"/>
        <w:rPr>
          <w:rFonts w:hint="default" w:ascii="Times New Roman" w:hAnsi="Times New Roman" w:eastAsia="宋体" w:cs="Times New Roman"/>
          <w:color w:val="auto"/>
          <w:sz w:val="21"/>
          <w:szCs w:val="21"/>
          <w:highlight w:val="none"/>
        </w:rPr>
      </w:pPr>
      <w:bookmarkStart w:id="634" w:name="_Toc9850570"/>
      <w:bookmarkEnd w:id="634"/>
      <w:bookmarkStart w:id="635" w:name="_Toc351203642"/>
      <w:bookmarkEnd w:id="635"/>
      <w:bookmarkStart w:id="636" w:name="_Toc389065305"/>
      <w:bookmarkEnd w:id="636"/>
      <w:bookmarkStart w:id="637" w:name="_Toc373478386"/>
      <w:bookmarkEnd w:id="637"/>
      <w:bookmarkStart w:id="638" w:name="_Toc407135242"/>
      <w:bookmarkEnd w:id="638"/>
      <w:bookmarkStart w:id="639" w:name="_Toc373227739"/>
      <w:bookmarkEnd w:id="639"/>
      <w:r>
        <w:rPr>
          <w:rFonts w:hint="eastAsia" w:ascii="宋体" w:hAnsi="宋体" w:eastAsia="宋体" w:cs="宋体"/>
          <w:color w:val="auto"/>
          <w:kern w:val="0"/>
          <w:sz w:val="21"/>
          <w:szCs w:val="21"/>
          <w:highlight w:val="none"/>
          <w:lang w:val="en-US" w:eastAsia="zh-CN" w:bidi="ar"/>
        </w:rPr>
        <w:t>根据《建设工程质量检测管理办法》（住房和城乡建设部令第</w:t>
      </w:r>
      <w:r>
        <w:rPr>
          <w:rFonts w:hint="default" w:ascii="Times New Roman" w:hAnsi="Times New Roman" w:eastAsia="宋体" w:cs="Times New Roman"/>
          <w:color w:val="auto"/>
          <w:kern w:val="0"/>
          <w:sz w:val="21"/>
          <w:szCs w:val="21"/>
          <w:highlight w:val="none"/>
          <w:lang w:val="en-US" w:eastAsia="zh-CN" w:bidi="ar"/>
        </w:rPr>
        <w:t>57</w:t>
      </w:r>
      <w:r>
        <w:rPr>
          <w:rFonts w:hint="eastAsia" w:ascii="宋体" w:hAnsi="宋体" w:eastAsia="宋体" w:cs="宋体"/>
          <w:color w:val="auto"/>
          <w:kern w:val="0"/>
          <w:sz w:val="21"/>
          <w:szCs w:val="21"/>
          <w:highlight w:val="none"/>
          <w:lang w:val="en-US" w:eastAsia="zh-CN" w:bidi="ar"/>
        </w:rPr>
        <w:t>号）以及《广西壮族自治区建设工程质量检测管理规定》（桂建管〔</w:t>
      </w:r>
      <w:r>
        <w:rPr>
          <w:rFonts w:hint="default" w:ascii="Times New Roman" w:hAnsi="Times New Roman" w:eastAsia="宋体" w:cs="Times New Roman"/>
          <w:color w:val="auto"/>
          <w:kern w:val="0"/>
          <w:sz w:val="21"/>
          <w:szCs w:val="21"/>
          <w:highlight w:val="none"/>
          <w:lang w:val="en-US" w:eastAsia="zh-CN" w:bidi="ar"/>
        </w:rPr>
        <w:t>2013</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val="en-US" w:eastAsia="zh-CN" w:bidi="ar"/>
        </w:rPr>
        <w:t>号）规定，工程质量检测业务由发包人委托有相应资质的检测机构检测。费用从发包人的项目建设经费中支出并直接支付给检测机构，不计入合同价款内。</w:t>
      </w:r>
    </w:p>
    <w:p w14:paraId="7685D120">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1</w:t>
      </w:r>
      <w:bookmarkStart w:id="640" w:name="_Toc296891233"/>
      <w:bookmarkEnd w:id="640"/>
      <w:bookmarkStart w:id="641" w:name="_Toc303539146"/>
      <w:bookmarkEnd w:id="641"/>
      <w:bookmarkStart w:id="642" w:name="_Toc267251433"/>
      <w:bookmarkEnd w:id="642"/>
      <w:bookmarkStart w:id="643" w:name="_Toc297216199"/>
      <w:bookmarkEnd w:id="643"/>
      <w:bookmarkStart w:id="644" w:name="_Toc297048379"/>
      <w:bookmarkEnd w:id="644"/>
      <w:bookmarkStart w:id="645" w:name="_Toc267251439"/>
      <w:bookmarkEnd w:id="645"/>
      <w:bookmarkStart w:id="646" w:name="_Toc296346694"/>
      <w:bookmarkEnd w:id="646"/>
      <w:bookmarkStart w:id="647" w:name="_Toc296891021"/>
      <w:bookmarkEnd w:id="647"/>
      <w:bookmarkStart w:id="648" w:name="_Toc296503193"/>
      <w:bookmarkEnd w:id="648"/>
      <w:bookmarkStart w:id="649" w:name="_Toc267251440"/>
      <w:bookmarkEnd w:id="649"/>
      <w:bookmarkStart w:id="650" w:name="_Toc267251441"/>
      <w:bookmarkEnd w:id="650"/>
      <w:bookmarkStart w:id="651" w:name="_Toc312678025"/>
      <w:bookmarkEnd w:id="651"/>
      <w:bookmarkStart w:id="652" w:name="_Toc300934989"/>
      <w:bookmarkEnd w:id="652"/>
      <w:bookmarkStart w:id="653" w:name="_Toc297120493"/>
      <w:bookmarkEnd w:id="653"/>
      <w:bookmarkStart w:id="654" w:name="_Toc296944532"/>
      <w:bookmarkEnd w:id="654"/>
      <w:bookmarkStart w:id="655" w:name="_Toc297123540"/>
      <w:bookmarkEnd w:id="655"/>
      <w:bookmarkStart w:id="656" w:name="_Toc267251435"/>
      <w:bookmarkEnd w:id="656"/>
      <w:bookmarkStart w:id="657" w:name="_Toc312677499"/>
      <w:bookmarkEnd w:id="657"/>
      <w:bookmarkStart w:id="658" w:name="_Toc304295566"/>
      <w:bookmarkEnd w:id="658"/>
      <w:bookmarkStart w:id="659" w:name="_Toc292559398"/>
      <w:bookmarkEnd w:id="659"/>
      <w:bookmarkStart w:id="660" w:name="_Toc292559903"/>
      <w:bookmarkEnd w:id="660"/>
      <w:bookmarkStart w:id="661" w:name="_Toc296347192"/>
      <w:bookmarkEnd w:id="661"/>
      <w:bookmarkStart w:id="662" w:name="_Toc267251437"/>
      <w:bookmarkEnd w:id="662"/>
      <w:bookmarkStart w:id="663" w:name="_Toc267251442"/>
      <w:r>
        <w:rPr>
          <w:rFonts w:hint="default" w:ascii="Arial" w:hAnsi="Arial" w:eastAsia="黑体" w:cs="Times New Roman"/>
          <w:b/>
          <w:bCs w:val="0"/>
          <w:color w:val="auto"/>
          <w:sz w:val="32"/>
          <w:szCs w:val="32"/>
          <w:highlight w:val="none"/>
        </w:rPr>
        <w:t xml:space="preserve">0. </w:t>
      </w:r>
      <w:bookmarkEnd w:id="663"/>
      <w:r>
        <w:rPr>
          <w:rFonts w:hint="eastAsia" w:ascii="黑体" w:hAnsi="宋体" w:eastAsia="黑体" w:cs="黑体"/>
          <w:b/>
          <w:bCs w:val="0"/>
          <w:color w:val="auto"/>
          <w:sz w:val="32"/>
          <w:szCs w:val="32"/>
          <w:highlight w:val="none"/>
        </w:rPr>
        <w:t>变更</w:t>
      </w:r>
    </w:p>
    <w:p w14:paraId="1BB1A100">
      <w:pPr>
        <w:pStyle w:val="4"/>
        <w:widowControl/>
        <w:shd w:val="clear"/>
        <w:rPr>
          <w:rFonts w:hint="default" w:ascii="Times New Roman" w:hAnsi="Times New Roman" w:eastAsia="宋体" w:cs="Times New Roman"/>
          <w:b/>
          <w:bCs/>
          <w:color w:val="auto"/>
          <w:kern w:val="2"/>
          <w:sz w:val="32"/>
          <w:szCs w:val="32"/>
          <w:highlight w:val="none"/>
        </w:rPr>
      </w:pPr>
      <w:bookmarkStart w:id="664" w:name="_Toc389065306"/>
      <w:bookmarkEnd w:id="664"/>
      <w:bookmarkStart w:id="665" w:name="_Toc407135243"/>
      <w:bookmarkEnd w:id="665"/>
      <w:bookmarkStart w:id="666" w:name="_Toc9850571"/>
      <w:bookmarkEnd w:id="666"/>
      <w:bookmarkStart w:id="667" w:name="_Toc373478387"/>
      <w:bookmarkEnd w:id="667"/>
      <w:bookmarkStart w:id="668" w:name="_Toc373227740"/>
      <w:r>
        <w:rPr>
          <w:rFonts w:hint="default" w:ascii="Times New Roman" w:hAnsi="Times New Roman" w:eastAsia="宋体" w:cs="Times New Roman"/>
          <w:b/>
          <w:bCs/>
          <w:color w:val="auto"/>
          <w:kern w:val="2"/>
          <w:sz w:val="32"/>
          <w:szCs w:val="32"/>
          <w:highlight w:val="none"/>
        </w:rPr>
        <w:t>1</w:t>
      </w:r>
      <w:bookmarkEnd w:id="668"/>
      <w:bookmarkStart w:id="669" w:name="_Toc297120494"/>
      <w:bookmarkEnd w:id="669"/>
      <w:bookmarkStart w:id="670" w:name="_Toc297123541"/>
      <w:bookmarkEnd w:id="670"/>
      <w:bookmarkStart w:id="671" w:name="_Toc296944533"/>
      <w:bookmarkEnd w:id="671"/>
      <w:bookmarkStart w:id="672" w:name="_Toc292559399"/>
      <w:bookmarkEnd w:id="672"/>
      <w:bookmarkStart w:id="673" w:name="_Toc297048380"/>
      <w:bookmarkEnd w:id="673"/>
      <w:bookmarkStart w:id="674" w:name="_Toc296891022"/>
      <w:bookmarkEnd w:id="674"/>
      <w:bookmarkStart w:id="675" w:name="_Toc296503194"/>
      <w:bookmarkEnd w:id="675"/>
      <w:bookmarkStart w:id="676" w:name="_Toc296346695"/>
      <w:bookmarkEnd w:id="676"/>
      <w:bookmarkStart w:id="677" w:name="_Toc297216200"/>
      <w:bookmarkEnd w:id="677"/>
      <w:bookmarkStart w:id="678" w:name="_Toc303539147"/>
      <w:bookmarkEnd w:id="678"/>
      <w:bookmarkStart w:id="679" w:name="_Toc312678026"/>
      <w:bookmarkEnd w:id="679"/>
      <w:bookmarkStart w:id="680" w:name="_Toc296347193"/>
      <w:bookmarkEnd w:id="680"/>
      <w:bookmarkStart w:id="681" w:name="_Toc296891234"/>
      <w:bookmarkEnd w:id="681"/>
      <w:bookmarkStart w:id="682" w:name="_Toc300934990"/>
      <w:bookmarkEnd w:id="682"/>
      <w:bookmarkStart w:id="683" w:name="_Toc312677500"/>
      <w:bookmarkEnd w:id="683"/>
      <w:bookmarkStart w:id="684" w:name="_Toc304295567"/>
      <w:bookmarkEnd w:id="684"/>
      <w:bookmarkStart w:id="685" w:name="_Toc292559904"/>
      <w:r>
        <w:rPr>
          <w:rFonts w:hint="default" w:ascii="Times New Roman" w:hAnsi="Times New Roman" w:eastAsia="宋体" w:cs="Times New Roman"/>
          <w:b/>
          <w:bCs/>
          <w:color w:val="auto"/>
          <w:kern w:val="2"/>
          <w:sz w:val="32"/>
          <w:szCs w:val="32"/>
          <w:highlight w:val="none"/>
        </w:rPr>
        <w:t xml:space="preserve">0.1 </w:t>
      </w:r>
      <w:bookmarkEnd w:id="685"/>
      <w:r>
        <w:rPr>
          <w:rFonts w:hint="eastAsia" w:ascii="宋体" w:hAnsi="宋体" w:eastAsia="宋体" w:cs="宋体"/>
          <w:b/>
          <w:bCs/>
          <w:color w:val="auto"/>
          <w:kern w:val="2"/>
          <w:sz w:val="32"/>
          <w:szCs w:val="32"/>
          <w:highlight w:val="none"/>
        </w:rPr>
        <w:t>变更的范围</w:t>
      </w:r>
    </w:p>
    <w:p w14:paraId="664655DF">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关于变更的范围的约定：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以发包人及监理的书面通知、设计变更为准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276815B">
      <w:pPr>
        <w:pStyle w:val="4"/>
        <w:widowControl/>
        <w:shd w:val="clear"/>
        <w:rPr>
          <w:rFonts w:hint="default" w:ascii="Times New Roman" w:hAnsi="Times New Roman" w:eastAsia="宋体" w:cs="Times New Roman"/>
          <w:b/>
          <w:bCs/>
          <w:color w:val="auto"/>
          <w:kern w:val="2"/>
          <w:sz w:val="32"/>
          <w:szCs w:val="32"/>
          <w:highlight w:val="none"/>
        </w:rPr>
      </w:pPr>
      <w:bookmarkStart w:id="686" w:name="_Toc407135244"/>
      <w:bookmarkEnd w:id="686"/>
      <w:bookmarkStart w:id="687" w:name="_Toc9850572"/>
      <w:bookmarkEnd w:id="687"/>
      <w:bookmarkStart w:id="688" w:name="_Toc373227741"/>
      <w:bookmarkEnd w:id="688"/>
      <w:bookmarkStart w:id="689" w:name="_Toc389065307"/>
      <w:bookmarkEnd w:id="689"/>
      <w:bookmarkStart w:id="690" w:name="_Toc373478388"/>
      <w:r>
        <w:rPr>
          <w:rFonts w:hint="default" w:ascii="Times New Roman" w:hAnsi="Times New Roman" w:eastAsia="宋体" w:cs="Times New Roman"/>
          <w:b/>
          <w:bCs/>
          <w:color w:val="auto"/>
          <w:kern w:val="2"/>
          <w:sz w:val="32"/>
          <w:szCs w:val="32"/>
          <w:highlight w:val="none"/>
        </w:rPr>
        <w:t xml:space="preserve">10.3 </w:t>
      </w:r>
      <w:bookmarkEnd w:id="690"/>
      <w:r>
        <w:rPr>
          <w:rFonts w:hint="eastAsia" w:ascii="宋体" w:hAnsi="宋体" w:eastAsia="宋体" w:cs="宋体"/>
          <w:b/>
          <w:bCs/>
          <w:color w:val="auto"/>
          <w:kern w:val="2"/>
          <w:sz w:val="32"/>
          <w:szCs w:val="32"/>
          <w:highlight w:val="none"/>
        </w:rPr>
        <w:t>变更程序</w:t>
      </w:r>
    </w:p>
    <w:p w14:paraId="3AEDBDB5">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10.3.1</w:t>
      </w:r>
      <w:r>
        <w:rPr>
          <w:rFonts w:hint="eastAsia" w:ascii="宋体" w:hAnsi="宋体" w:eastAsia="宋体" w:cs="宋体"/>
          <w:color w:val="auto"/>
          <w:kern w:val="0"/>
          <w:sz w:val="22"/>
          <w:szCs w:val="22"/>
          <w:highlight w:val="none"/>
          <w:lang w:val="en-US" w:eastAsia="zh-CN" w:bidi="ar"/>
        </w:rPr>
        <w:t>国有投资项目：</w:t>
      </w:r>
    </w:p>
    <w:p w14:paraId="7EDFAB42">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⑴设计变更和工程签证，按各市政府或相关部门的规定办理。属不可抗力（自然灾害、突发事件等）造成变更的，按特事特办原则予以办理。</w:t>
      </w:r>
    </w:p>
    <w:p w14:paraId="7EB49E4D">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⑵建设单位在实施项目过程中，若发生单价变动，由发包人、承包人、监理或造价咨询等单位共同商定并签字确认。</w:t>
      </w:r>
    </w:p>
    <w:p w14:paraId="2FEC03E7">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⑶</w:t>
      </w:r>
      <w:r>
        <w:rPr>
          <w:rFonts w:hint="default" w:ascii="Times New Roman" w:hAnsi="宋体" w:eastAsia="宋体" w:cs="Times New Roman"/>
          <w:bCs/>
          <w:color w:val="auto"/>
          <w:kern w:val="0"/>
          <w:sz w:val="22"/>
          <w:szCs w:val="22"/>
          <w:highlight w:val="none"/>
          <w:lang w:val="en-US" w:eastAsia="zh-CN" w:bidi="ar"/>
        </w:rPr>
        <w:t xml:space="preserve"> </w:t>
      </w:r>
      <w:r>
        <w:rPr>
          <w:rFonts w:hint="eastAsia" w:ascii="宋体" w:hAnsi="宋体" w:eastAsia="宋体" w:cs="宋体"/>
          <w:bCs/>
          <w:color w:val="auto"/>
          <w:kern w:val="0"/>
          <w:sz w:val="22"/>
          <w:szCs w:val="22"/>
          <w:highlight w:val="none"/>
          <w:lang w:val="en-US" w:eastAsia="zh-CN" w:bidi="ar"/>
        </w:rPr>
        <w:t>当合同规定的合同价款调整情况发生后，承包人未在规定时间内通知发包人，或者未在规定时间内提出调整报告，发包人可以根据有关资料，决定是否调整和调整的金额，并书面通知承包人。</w:t>
      </w:r>
    </w:p>
    <w:p w14:paraId="736C12F9">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10.3.2 </w:t>
      </w:r>
      <w:r>
        <w:rPr>
          <w:rFonts w:hint="eastAsia" w:ascii="宋体" w:hAnsi="宋体" w:eastAsia="宋体" w:cs="宋体"/>
          <w:color w:val="auto"/>
          <w:kern w:val="0"/>
          <w:sz w:val="21"/>
          <w:szCs w:val="21"/>
          <w:highlight w:val="none"/>
          <w:lang w:val="en-US" w:eastAsia="zh-CN" w:bidi="ar"/>
        </w:rPr>
        <w:t>非国有投资项目：</w:t>
      </w:r>
      <w:r>
        <w:rPr>
          <w:rFonts w:hint="default"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3CBF493D">
      <w:pPr>
        <w:pStyle w:val="4"/>
        <w:widowControl/>
        <w:shd w:val="clear"/>
        <w:rPr>
          <w:rFonts w:hint="default" w:ascii="Times New Roman" w:hAnsi="Times New Roman" w:eastAsia="宋体" w:cs="Times New Roman"/>
          <w:b/>
          <w:bCs/>
          <w:color w:val="auto"/>
          <w:kern w:val="2"/>
          <w:sz w:val="32"/>
          <w:szCs w:val="32"/>
          <w:highlight w:val="none"/>
        </w:rPr>
      </w:pPr>
      <w:bookmarkStart w:id="691" w:name="_Toc389065308"/>
      <w:bookmarkEnd w:id="691"/>
      <w:bookmarkStart w:id="692" w:name="_Toc373478389"/>
      <w:bookmarkEnd w:id="692"/>
      <w:bookmarkStart w:id="693" w:name="_Toc9850573"/>
      <w:bookmarkEnd w:id="693"/>
      <w:bookmarkStart w:id="694" w:name="_Toc407135245"/>
      <w:bookmarkEnd w:id="694"/>
      <w:bookmarkStart w:id="695" w:name="_Toc373227742"/>
      <w:r>
        <w:rPr>
          <w:rFonts w:hint="default" w:ascii="Times New Roman" w:hAnsi="Times New Roman" w:eastAsia="宋体" w:cs="Times New Roman"/>
          <w:b/>
          <w:bCs/>
          <w:color w:val="auto"/>
          <w:kern w:val="2"/>
          <w:sz w:val="32"/>
          <w:szCs w:val="32"/>
          <w:highlight w:val="none"/>
        </w:rPr>
        <w:t xml:space="preserve">10.4 </w:t>
      </w:r>
      <w:bookmarkEnd w:id="695"/>
      <w:r>
        <w:rPr>
          <w:rFonts w:hint="eastAsia" w:ascii="宋体" w:hAnsi="宋体" w:eastAsia="宋体" w:cs="宋体"/>
          <w:b/>
          <w:bCs/>
          <w:color w:val="auto"/>
          <w:kern w:val="2"/>
          <w:sz w:val="32"/>
          <w:szCs w:val="32"/>
          <w:highlight w:val="none"/>
        </w:rPr>
        <w:t>变更估价</w:t>
      </w:r>
    </w:p>
    <w:p w14:paraId="5576BFE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10.4.1 </w:t>
      </w:r>
      <w:r>
        <w:rPr>
          <w:rFonts w:hint="eastAsia" w:ascii="宋体" w:hAnsi="宋体" w:eastAsia="宋体" w:cs="宋体"/>
          <w:color w:val="auto"/>
          <w:kern w:val="0"/>
          <w:sz w:val="21"/>
          <w:szCs w:val="21"/>
          <w:highlight w:val="none"/>
          <w:lang w:val="en-US" w:eastAsia="zh-CN" w:bidi="ar"/>
        </w:rPr>
        <w:t>变更估价原则</w:t>
      </w:r>
    </w:p>
    <w:p w14:paraId="57ECEDE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关于变更估价的约定</w:t>
      </w:r>
      <w:r>
        <w:rPr>
          <w:rFonts w:hint="default" w:ascii="Times New Roman" w:hAnsi="Times New Roman" w:eastAsia="宋体" w:cs="Times New Roman"/>
          <w:color w:val="auto"/>
          <w:kern w:val="0"/>
          <w:sz w:val="21"/>
          <w:szCs w:val="21"/>
          <w:highlight w:val="none"/>
          <w:lang w:val="en-US" w:eastAsia="zh-CN" w:bidi="ar"/>
        </w:rPr>
        <w:t xml:space="preserve">: </w:t>
      </w:r>
      <w:bookmarkStart w:id="696" w:name="_Toc251051742"/>
      <w:bookmarkEnd w:id="696"/>
      <w:r>
        <w:rPr>
          <w:rFonts w:hint="eastAsia" w:ascii="宋体" w:hAnsi="宋体" w:eastAsia="宋体" w:cs="宋体"/>
          <w:color w:val="auto"/>
          <w:kern w:val="0"/>
          <w:sz w:val="21"/>
          <w:szCs w:val="21"/>
          <w:highlight w:val="none"/>
          <w:u w:val="single"/>
          <w:lang w:val="en-US" w:eastAsia="zh-CN" w:bidi="ar"/>
        </w:rPr>
        <w:t>工程变更合同价款按下列方法进行：（</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）合同中已有相同清单项目的，按合同该清单项目价格进行计算；（</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）合同中只有类似清单项目的，参照该类似清单项目价格进行计算；（</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）合同中没有适用或类似清单项目的价格计算方法：有定额的套定额，并（</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乘以下浮系数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不乘下浮系数）计算，其中：材料设备价格按施工期间的《崇左</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市建设工程造价信息》相应信息价的加权平均值计算，《崇左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宋体" w:hAnsi="宋体" w:eastAsia="宋体" w:cs="宋体"/>
          <w:color w:val="auto"/>
          <w:kern w:val="0"/>
          <w:sz w:val="21"/>
          <w:szCs w:val="21"/>
          <w:highlight w:val="none"/>
          <w:lang w:val="en-US" w:eastAsia="zh-CN" w:bidi="ar"/>
        </w:rPr>
        <w:t>。以上约定同时适用于招标工程量清单缺项以及工程量清单项目特征与图纸不符时的价款确定。</w:t>
      </w:r>
    </w:p>
    <w:p w14:paraId="4226D711">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Times New Roman"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工程变更导致实际完成的变更工程量与已标价清单或预算书中列明的该项目工程量有偏差时，其综合单价的确定按专用条款“</w:t>
      </w:r>
      <w:r>
        <w:rPr>
          <w:rFonts w:hint="default" w:ascii="Times New Roman" w:hAnsi="Times New Roman" w:eastAsia="宋体" w:cs="Times New Roman"/>
          <w:color w:val="auto"/>
          <w:kern w:val="0"/>
          <w:sz w:val="21"/>
          <w:szCs w:val="21"/>
          <w:highlight w:val="none"/>
          <w:u w:val="single"/>
          <w:lang w:val="en-US" w:eastAsia="zh-CN" w:bidi="ar"/>
        </w:rPr>
        <w:t>1.13</w:t>
      </w:r>
      <w:r>
        <w:rPr>
          <w:rFonts w:hint="eastAsia" w:ascii="宋体" w:hAnsi="宋体" w:eastAsia="宋体" w:cs="宋体"/>
          <w:color w:val="auto"/>
          <w:kern w:val="0"/>
          <w:sz w:val="21"/>
          <w:szCs w:val="21"/>
          <w:highlight w:val="none"/>
          <w:u w:val="single"/>
          <w:lang w:val="en-US" w:eastAsia="zh-CN" w:bidi="ar"/>
        </w:rPr>
        <w:t>工程量清单错误的修正”执行。</w:t>
      </w:r>
    </w:p>
    <w:p w14:paraId="36331F57">
      <w:pPr>
        <w:pStyle w:val="4"/>
        <w:widowControl/>
        <w:shd w:val="clear"/>
        <w:rPr>
          <w:rFonts w:hint="default" w:ascii="Times New Roman" w:hAnsi="Times New Roman" w:eastAsia="宋体" w:cs="Times New Roman"/>
          <w:b/>
          <w:bCs/>
          <w:color w:val="auto"/>
          <w:kern w:val="2"/>
          <w:sz w:val="32"/>
          <w:szCs w:val="32"/>
          <w:highlight w:val="none"/>
        </w:rPr>
      </w:pPr>
      <w:bookmarkStart w:id="697" w:name="_Toc373227743"/>
      <w:bookmarkEnd w:id="697"/>
      <w:bookmarkStart w:id="698" w:name="_Toc373478390"/>
      <w:bookmarkEnd w:id="698"/>
      <w:bookmarkStart w:id="699" w:name="_Toc407135246"/>
      <w:bookmarkEnd w:id="699"/>
      <w:bookmarkStart w:id="700" w:name="_Toc389065309"/>
      <w:bookmarkEnd w:id="700"/>
      <w:bookmarkStart w:id="701" w:name="_Toc9850574"/>
      <w:r>
        <w:rPr>
          <w:rFonts w:hint="default" w:ascii="Times New Roman" w:hAnsi="Times New Roman" w:eastAsia="宋体" w:cs="Times New Roman"/>
          <w:b/>
          <w:bCs/>
          <w:color w:val="auto"/>
          <w:kern w:val="2"/>
          <w:sz w:val="32"/>
          <w:szCs w:val="32"/>
          <w:highlight w:val="none"/>
        </w:rPr>
        <w:t>1</w:t>
      </w:r>
      <w:bookmarkEnd w:id="701"/>
      <w:bookmarkStart w:id="702" w:name="_Toc304295570"/>
      <w:bookmarkEnd w:id="702"/>
      <w:bookmarkStart w:id="703" w:name="_Toc297216203"/>
      <w:bookmarkEnd w:id="703"/>
      <w:bookmarkStart w:id="704" w:name="_Toc296891237"/>
      <w:bookmarkEnd w:id="704"/>
      <w:bookmarkStart w:id="705" w:name="_Toc296944536"/>
      <w:bookmarkEnd w:id="705"/>
      <w:bookmarkStart w:id="706" w:name="_Toc303539150"/>
      <w:bookmarkEnd w:id="706"/>
      <w:bookmarkStart w:id="707" w:name="_Toc297123544"/>
      <w:bookmarkEnd w:id="707"/>
      <w:bookmarkStart w:id="708" w:name="_Toc312678029"/>
      <w:bookmarkEnd w:id="708"/>
      <w:bookmarkStart w:id="709" w:name="_Toc296346698"/>
      <w:bookmarkEnd w:id="709"/>
      <w:bookmarkStart w:id="710" w:name="_Toc292559402"/>
      <w:bookmarkEnd w:id="710"/>
      <w:bookmarkStart w:id="711" w:name="_Toc296347196"/>
      <w:bookmarkEnd w:id="711"/>
      <w:bookmarkStart w:id="712" w:name="_Toc292559907"/>
      <w:bookmarkEnd w:id="712"/>
      <w:bookmarkStart w:id="713" w:name="_Toc297048383"/>
      <w:bookmarkEnd w:id="713"/>
      <w:bookmarkStart w:id="714" w:name="_Toc300934993"/>
      <w:bookmarkEnd w:id="714"/>
      <w:bookmarkStart w:id="715" w:name="_Toc296503197"/>
      <w:bookmarkEnd w:id="715"/>
      <w:bookmarkStart w:id="716" w:name="_Toc312677503"/>
      <w:bookmarkEnd w:id="716"/>
      <w:bookmarkStart w:id="717" w:name="_Toc296891025"/>
      <w:bookmarkEnd w:id="717"/>
      <w:bookmarkStart w:id="718" w:name="_Toc297120497"/>
      <w:bookmarkEnd w:id="718"/>
      <w:r>
        <w:rPr>
          <w:rFonts w:hint="default" w:ascii="Times New Roman" w:hAnsi="Times New Roman" w:eastAsia="宋体" w:cs="Times New Roman"/>
          <w:b/>
          <w:bCs/>
          <w:color w:val="auto"/>
          <w:kern w:val="2"/>
          <w:sz w:val="32"/>
          <w:szCs w:val="32"/>
          <w:highlight w:val="none"/>
        </w:rPr>
        <w:t xml:space="preserve">0.5 </w:t>
      </w:r>
      <w:r>
        <w:rPr>
          <w:rFonts w:hint="eastAsia" w:ascii="宋体" w:hAnsi="宋体" w:eastAsia="宋体" w:cs="宋体"/>
          <w:b/>
          <w:bCs/>
          <w:color w:val="auto"/>
          <w:kern w:val="2"/>
          <w:sz w:val="32"/>
          <w:szCs w:val="32"/>
          <w:highlight w:val="none"/>
        </w:rPr>
        <w:t>承</w:t>
      </w:r>
      <w:bookmarkStart w:id="719" w:name="_Toc292559913"/>
      <w:bookmarkEnd w:id="719"/>
      <w:bookmarkStart w:id="720" w:name="_Toc296347202"/>
      <w:bookmarkEnd w:id="720"/>
      <w:bookmarkStart w:id="721" w:name="_Toc297123545"/>
      <w:bookmarkEnd w:id="721"/>
      <w:bookmarkStart w:id="722" w:name="_Toc300934994"/>
      <w:bookmarkEnd w:id="722"/>
      <w:bookmarkStart w:id="723" w:name="_Toc296891243"/>
      <w:bookmarkEnd w:id="723"/>
      <w:bookmarkStart w:id="724" w:name="_Toc296503203"/>
      <w:bookmarkEnd w:id="724"/>
      <w:bookmarkStart w:id="725" w:name="_Toc303539151"/>
      <w:bookmarkEnd w:id="725"/>
      <w:bookmarkStart w:id="726" w:name="_Toc296944542"/>
      <w:bookmarkEnd w:id="726"/>
      <w:bookmarkStart w:id="727" w:name="_Toc297048389"/>
      <w:bookmarkEnd w:id="727"/>
      <w:bookmarkStart w:id="728" w:name="_Toc296891031"/>
      <w:bookmarkEnd w:id="728"/>
      <w:bookmarkStart w:id="729" w:name="_Toc292559408"/>
      <w:bookmarkEnd w:id="729"/>
      <w:bookmarkStart w:id="730" w:name="_Toc297120503"/>
      <w:bookmarkEnd w:id="730"/>
      <w:bookmarkStart w:id="731" w:name="_Toc297216204"/>
      <w:bookmarkEnd w:id="731"/>
      <w:bookmarkStart w:id="732" w:name="_Toc296346704"/>
      <w:bookmarkEnd w:id="732"/>
      <w:r>
        <w:rPr>
          <w:rFonts w:hint="eastAsia" w:ascii="宋体" w:hAnsi="宋体" w:eastAsia="宋体" w:cs="宋体"/>
          <w:b/>
          <w:bCs/>
          <w:color w:val="auto"/>
          <w:kern w:val="2"/>
          <w:sz w:val="32"/>
          <w:szCs w:val="32"/>
          <w:highlight w:val="none"/>
        </w:rPr>
        <w:t>包人的合理化建议</w:t>
      </w:r>
    </w:p>
    <w:p w14:paraId="1E77C50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733" w:name="_Toc407135247"/>
      <w:bookmarkEnd w:id="733"/>
      <w:bookmarkStart w:id="734" w:name="_Toc389065310"/>
      <w:bookmarkEnd w:id="734"/>
      <w:bookmarkStart w:id="735" w:name="_Toc9850575"/>
      <w:bookmarkEnd w:id="735"/>
      <w:bookmarkStart w:id="736" w:name="_Toc373227744"/>
      <w:bookmarkEnd w:id="736"/>
      <w:bookmarkStart w:id="737" w:name="_Toc373478391"/>
      <w:bookmarkEnd w:id="737"/>
      <w:r>
        <w:rPr>
          <w:rFonts w:hint="eastAsia" w:ascii="宋体" w:hAnsi="宋体" w:eastAsia="宋体" w:cs="宋体"/>
          <w:color w:val="auto"/>
          <w:kern w:val="0"/>
          <w:sz w:val="21"/>
          <w:szCs w:val="21"/>
          <w:highlight w:val="none"/>
          <w:lang w:val="en-US" w:eastAsia="zh-CN" w:bidi="ar"/>
        </w:rPr>
        <w:t>监理人审查承包人合理化建议的期限：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收到承包人提交的合理化建议后5天内审核完毕并报送发包人</w:t>
      </w:r>
      <w:r>
        <w:rPr>
          <w:rFonts w:hint="eastAsia" w:ascii="宋体" w:hAnsi="宋体" w:eastAsia="宋体" w:cs="宋体"/>
          <w:color w:val="auto"/>
          <w:kern w:val="0"/>
          <w:sz w:val="21"/>
          <w:szCs w:val="21"/>
          <w:highlight w:val="none"/>
          <w:lang w:val="en-US" w:eastAsia="zh-CN" w:bidi="ar"/>
        </w:rPr>
        <w:t>。</w:t>
      </w:r>
    </w:p>
    <w:p w14:paraId="60056046">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发包人审批承包人合理化建议的期限：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收到承包人提交的合理化建议后5天内审核完毕并报送发包人</w:t>
      </w:r>
      <w:r>
        <w:rPr>
          <w:rFonts w:hint="eastAsia" w:ascii="宋体" w:hAnsi="宋体" w:eastAsia="宋体" w:cs="宋体"/>
          <w:color w:val="auto"/>
          <w:kern w:val="0"/>
          <w:sz w:val="21"/>
          <w:szCs w:val="21"/>
          <w:highlight w:val="none"/>
          <w:lang w:val="en-US" w:eastAsia="zh-CN" w:bidi="ar"/>
        </w:rPr>
        <w:t>。</w:t>
      </w:r>
    </w:p>
    <w:p w14:paraId="06C4B83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p>
    <w:p w14:paraId="2742C7E0">
      <w:pPr>
        <w:keepNext w:val="0"/>
        <w:keepLines w:val="0"/>
        <w:widowControl w:val="0"/>
        <w:suppressLineNumbers w:val="0"/>
        <w:shd w:val="clear"/>
        <w:spacing w:before="0" w:beforeAutospacing="0" w:after="0" w:afterAutospacing="0" w:line="360" w:lineRule="auto"/>
        <w:ind w:left="416" w:leftChars="208" w:right="0" w:firstLine="0" w:firstLineChars="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w:t>
      </w:r>
      <w:bookmarkStart w:id="738" w:name="_Toc297120504"/>
      <w:bookmarkEnd w:id="738"/>
      <w:bookmarkStart w:id="739" w:name="_Toc297123546"/>
      <w:bookmarkEnd w:id="739"/>
      <w:bookmarkStart w:id="740" w:name="_Toc297216205"/>
      <w:bookmarkEnd w:id="740"/>
      <w:bookmarkStart w:id="741" w:name="_Toc297048390"/>
      <w:bookmarkEnd w:id="741"/>
      <w:bookmarkStart w:id="742" w:name="_Toc292559914"/>
      <w:bookmarkEnd w:id="742"/>
      <w:bookmarkStart w:id="743" w:name="_Toc296891244"/>
      <w:bookmarkEnd w:id="743"/>
      <w:bookmarkStart w:id="744" w:name="_Toc312678030"/>
      <w:bookmarkEnd w:id="744"/>
      <w:bookmarkStart w:id="745" w:name="_Toc312677504"/>
      <w:bookmarkEnd w:id="745"/>
      <w:bookmarkStart w:id="746" w:name="_Toc303539152"/>
      <w:bookmarkEnd w:id="746"/>
      <w:bookmarkStart w:id="747" w:name="_Toc296346705"/>
      <w:bookmarkEnd w:id="747"/>
      <w:bookmarkStart w:id="748" w:name="_Toc304295571"/>
      <w:bookmarkEnd w:id="748"/>
      <w:bookmarkStart w:id="749" w:name="_Toc296503204"/>
      <w:bookmarkEnd w:id="749"/>
      <w:bookmarkStart w:id="750" w:name="_Toc292559409"/>
      <w:bookmarkEnd w:id="750"/>
      <w:bookmarkStart w:id="751" w:name="_Toc296347203"/>
      <w:bookmarkEnd w:id="751"/>
      <w:bookmarkStart w:id="752" w:name="_Toc296944543"/>
      <w:bookmarkEnd w:id="752"/>
      <w:bookmarkStart w:id="753" w:name="_Toc296891032"/>
      <w:bookmarkEnd w:id="753"/>
      <w:bookmarkStart w:id="754" w:name="_Toc318581175"/>
      <w:bookmarkEnd w:id="754"/>
      <w:bookmarkStart w:id="755" w:name="_Toc300934995"/>
      <w:r>
        <w:rPr>
          <w:rFonts w:hint="eastAsia" w:ascii="宋体" w:hAnsi="宋体" w:eastAsia="宋体" w:cs="宋体"/>
          <w:color w:val="auto"/>
          <w:kern w:val="0"/>
          <w:sz w:val="21"/>
          <w:szCs w:val="21"/>
          <w:highlight w:val="none"/>
          <w:lang w:val="en-US" w:eastAsia="zh-CN" w:bidi="ar"/>
        </w:rPr>
        <w:t>包人提出的合理化建议降低了合同价格或者提高了工程经济效益的奖励的方法和金额为：</w:t>
      </w:r>
      <w:bookmarkEnd w:id="755"/>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D63BB62">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1</w:t>
      </w:r>
      <w:bookmarkStart w:id="756" w:name="_Toc292559404"/>
      <w:bookmarkEnd w:id="756"/>
      <w:bookmarkStart w:id="757" w:name="_Toc300934997"/>
      <w:bookmarkEnd w:id="757"/>
      <w:bookmarkStart w:id="758" w:name="_Toc297216207"/>
      <w:bookmarkEnd w:id="758"/>
      <w:bookmarkStart w:id="759" w:name="_Toc296346700"/>
      <w:bookmarkEnd w:id="759"/>
      <w:bookmarkStart w:id="760" w:name="_Toc303539154"/>
      <w:bookmarkEnd w:id="760"/>
      <w:bookmarkStart w:id="761" w:name="_Toc312678033"/>
      <w:bookmarkEnd w:id="761"/>
      <w:bookmarkStart w:id="762" w:name="_Toc297123548"/>
      <w:bookmarkEnd w:id="762"/>
      <w:bookmarkStart w:id="763" w:name="_Toc304295574"/>
      <w:bookmarkEnd w:id="763"/>
      <w:bookmarkStart w:id="764" w:name="_Toc296347198"/>
      <w:bookmarkEnd w:id="764"/>
      <w:bookmarkStart w:id="765" w:name="_Toc296944538"/>
      <w:bookmarkEnd w:id="765"/>
      <w:bookmarkStart w:id="766" w:name="_Toc297120499"/>
      <w:bookmarkEnd w:id="766"/>
      <w:bookmarkStart w:id="767" w:name="_Toc312677507"/>
      <w:bookmarkEnd w:id="767"/>
      <w:bookmarkStart w:id="768" w:name="_Toc296891239"/>
      <w:bookmarkEnd w:id="768"/>
      <w:bookmarkStart w:id="769" w:name="_Toc297048385"/>
      <w:bookmarkEnd w:id="769"/>
      <w:bookmarkStart w:id="770" w:name="_Toc296503199"/>
      <w:bookmarkEnd w:id="770"/>
      <w:bookmarkStart w:id="771" w:name="_Toc296891027"/>
      <w:bookmarkEnd w:id="771"/>
      <w:bookmarkStart w:id="772" w:name="_Toc292559909"/>
      <w:r>
        <w:rPr>
          <w:rFonts w:hint="default" w:ascii="Times New Roman" w:hAnsi="Times New Roman" w:eastAsia="宋体" w:cs="Times New Roman"/>
          <w:b/>
          <w:bCs/>
          <w:color w:val="auto"/>
          <w:kern w:val="2"/>
          <w:sz w:val="32"/>
          <w:szCs w:val="32"/>
          <w:highlight w:val="none"/>
        </w:rPr>
        <w:t xml:space="preserve">0.7 </w:t>
      </w:r>
      <w:bookmarkEnd w:id="772"/>
      <w:r>
        <w:rPr>
          <w:rFonts w:hint="eastAsia" w:ascii="宋体" w:hAnsi="宋体" w:eastAsia="宋体" w:cs="宋体"/>
          <w:b/>
          <w:bCs/>
          <w:color w:val="auto"/>
          <w:kern w:val="2"/>
          <w:sz w:val="32"/>
          <w:szCs w:val="32"/>
          <w:highlight w:val="none"/>
        </w:rPr>
        <w:t>暂估价</w:t>
      </w:r>
    </w:p>
    <w:p w14:paraId="55B1A55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773" w:name="_Toc9850576"/>
      <w:bookmarkEnd w:id="773"/>
      <w:bookmarkStart w:id="774" w:name="_Toc373478392"/>
      <w:bookmarkEnd w:id="774"/>
      <w:bookmarkStart w:id="775" w:name="_Toc389065311"/>
      <w:bookmarkEnd w:id="775"/>
      <w:bookmarkStart w:id="776" w:name="_Toc373227745"/>
      <w:bookmarkEnd w:id="776"/>
      <w:bookmarkStart w:id="777" w:name="_Toc407135248"/>
      <w:bookmarkEnd w:id="777"/>
      <w:r>
        <w:rPr>
          <w:rFonts w:hint="eastAsia" w:ascii="宋体" w:hAnsi="宋体" w:eastAsia="宋体" w:cs="宋体"/>
          <w:color w:val="auto"/>
          <w:kern w:val="0"/>
          <w:sz w:val="21"/>
          <w:szCs w:val="21"/>
          <w:highlight w:val="none"/>
          <w:lang w:val="en-US" w:eastAsia="zh-CN" w:bidi="ar"/>
        </w:rPr>
        <w:t>暂</w:t>
      </w:r>
      <w:bookmarkStart w:id="778" w:name="_Toc312677508"/>
      <w:bookmarkEnd w:id="778"/>
      <w:bookmarkStart w:id="779" w:name="_Toc318581176"/>
      <w:bookmarkEnd w:id="779"/>
      <w:bookmarkStart w:id="780" w:name="_Toc312678034"/>
      <w:r>
        <w:rPr>
          <w:rFonts w:hint="eastAsia" w:ascii="宋体" w:hAnsi="宋体" w:eastAsia="宋体" w:cs="宋体"/>
          <w:color w:val="auto"/>
          <w:kern w:val="0"/>
          <w:sz w:val="21"/>
          <w:szCs w:val="21"/>
          <w:highlight w:val="none"/>
          <w:lang w:val="en-US" w:eastAsia="zh-CN" w:bidi="ar"/>
        </w:rPr>
        <w:t>估价材料和工程设备的明细详见已标价工程量清单《</w:t>
      </w:r>
      <w:bookmarkEnd w:id="780"/>
      <w:r>
        <w:rPr>
          <w:rFonts w:hint="eastAsia" w:ascii="宋体" w:hAnsi="宋体" w:eastAsia="宋体" w:cs="宋体"/>
          <w:color w:val="auto"/>
          <w:kern w:val="0"/>
          <w:sz w:val="21"/>
          <w:szCs w:val="21"/>
          <w:highlight w:val="none"/>
          <w:lang w:val="en-US" w:eastAsia="zh-CN" w:bidi="ar"/>
        </w:rPr>
        <w:t>材料（工程设备）暂估价格及调整表》（表</w:t>
      </w:r>
      <w:r>
        <w:rPr>
          <w:rFonts w:hint="default" w:ascii="Times New Roman" w:hAnsi="宋体" w:eastAsia="宋体" w:cs="Times New Roman"/>
          <w:color w:val="auto"/>
          <w:kern w:val="0"/>
          <w:sz w:val="21"/>
          <w:szCs w:val="21"/>
          <w:highlight w:val="none"/>
          <w:lang w:val="en-US" w:eastAsia="zh-CN" w:bidi="ar"/>
        </w:rPr>
        <w:t>12-2</w:t>
      </w:r>
      <w:r>
        <w:rPr>
          <w:rFonts w:hint="eastAsia" w:ascii="宋体" w:hAnsi="宋体" w:eastAsia="宋体" w:cs="宋体"/>
          <w:color w:val="auto"/>
          <w:kern w:val="0"/>
          <w:sz w:val="21"/>
          <w:szCs w:val="21"/>
          <w:highlight w:val="none"/>
          <w:lang w:val="en-US" w:eastAsia="zh-CN" w:bidi="ar"/>
        </w:rPr>
        <w:t>）和《专业工程暂估价表》（表</w:t>
      </w:r>
      <w:r>
        <w:rPr>
          <w:rFonts w:hint="default" w:ascii="Times New Roman" w:hAnsi="宋体" w:eastAsia="宋体" w:cs="Times New Roman"/>
          <w:color w:val="auto"/>
          <w:kern w:val="0"/>
          <w:sz w:val="21"/>
          <w:szCs w:val="21"/>
          <w:highlight w:val="none"/>
          <w:lang w:val="en-US" w:eastAsia="zh-CN" w:bidi="ar"/>
        </w:rPr>
        <w:t>12-3</w:t>
      </w:r>
      <w:r>
        <w:rPr>
          <w:rFonts w:hint="eastAsia" w:ascii="宋体" w:hAnsi="宋体" w:eastAsia="宋体" w:cs="宋体"/>
          <w:color w:val="auto"/>
          <w:kern w:val="0"/>
          <w:sz w:val="21"/>
          <w:szCs w:val="21"/>
          <w:highlight w:val="none"/>
          <w:lang w:val="en-US" w:eastAsia="zh-CN" w:bidi="ar"/>
        </w:rPr>
        <w:t>）。</w:t>
      </w:r>
    </w:p>
    <w:p w14:paraId="2ED652C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781" w:name="_Toc318581177"/>
      <w:bookmarkEnd w:id="781"/>
      <w:bookmarkStart w:id="782" w:name="_Toc312678035"/>
      <w:bookmarkEnd w:id="782"/>
      <w:bookmarkStart w:id="783" w:name="_Toc312677509"/>
      <w:r>
        <w:rPr>
          <w:rFonts w:hint="default" w:ascii="Times New Roman" w:hAnsi="Times New Roman" w:eastAsia="宋体" w:cs="Times New Roman"/>
          <w:color w:val="auto"/>
          <w:kern w:val="0"/>
          <w:sz w:val="21"/>
          <w:szCs w:val="21"/>
          <w:highlight w:val="none"/>
          <w:lang w:val="en-US" w:eastAsia="zh-CN" w:bidi="ar"/>
        </w:rPr>
        <w:t xml:space="preserve">0.7.1 </w:t>
      </w:r>
      <w:bookmarkEnd w:id="783"/>
      <w:r>
        <w:rPr>
          <w:rFonts w:hint="eastAsia" w:ascii="宋体" w:hAnsi="宋体" w:eastAsia="宋体" w:cs="宋体"/>
          <w:color w:val="auto"/>
          <w:kern w:val="0"/>
          <w:sz w:val="21"/>
          <w:szCs w:val="21"/>
          <w:highlight w:val="none"/>
          <w:lang w:val="en-US" w:eastAsia="zh-CN" w:bidi="ar"/>
        </w:rPr>
        <w:t>依法必须招标的暂估价项目</w:t>
      </w:r>
    </w:p>
    <w:p w14:paraId="4D39520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对于依法必须招标的暂估价项目的确认和批准采取第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种方式确定。</w:t>
      </w:r>
    </w:p>
    <w:p w14:paraId="7561C4F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10.7.2 </w:t>
      </w:r>
      <w:r>
        <w:rPr>
          <w:rFonts w:hint="eastAsia" w:ascii="宋体" w:hAnsi="宋体" w:eastAsia="宋体" w:cs="宋体"/>
          <w:color w:val="auto"/>
          <w:kern w:val="0"/>
          <w:sz w:val="21"/>
          <w:szCs w:val="21"/>
          <w:highlight w:val="none"/>
          <w:lang w:val="en-US" w:eastAsia="zh-CN" w:bidi="ar"/>
        </w:rPr>
        <w:t>不属于依法必须招标的暂估价项目</w:t>
      </w:r>
    </w:p>
    <w:p w14:paraId="0BA6231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对于不属于依法必须招标的暂估价项目的确认和批准采取第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种方式确定。</w:t>
      </w:r>
    </w:p>
    <w:p w14:paraId="27460B4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种方式：承包人直接实施的暂估价项目</w:t>
      </w:r>
    </w:p>
    <w:p w14:paraId="293E05C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承包人直接实施的暂估价项目的约定：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工程所需材料采购</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9DA6680">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10.8 </w:t>
      </w:r>
      <w:r>
        <w:rPr>
          <w:rFonts w:hint="eastAsia" w:ascii="宋体" w:hAnsi="宋体" w:eastAsia="宋体" w:cs="宋体"/>
          <w:b/>
          <w:bCs/>
          <w:color w:val="auto"/>
          <w:kern w:val="2"/>
          <w:sz w:val="32"/>
          <w:szCs w:val="32"/>
          <w:highlight w:val="none"/>
        </w:rPr>
        <w:t>暂列金额</w:t>
      </w:r>
    </w:p>
    <w:p w14:paraId="25222695">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合同当事人关于暂列金额使用的约定：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0D10B6A">
      <w:pPr>
        <w:pStyle w:val="3"/>
        <w:widowControl/>
        <w:numPr>
          <w:ilvl w:val="0"/>
          <w:numId w:val="6"/>
        </w:numPr>
        <w:shd w:val="clear"/>
        <w:rPr>
          <w:rFonts w:hint="default" w:ascii="Arial" w:hAnsi="Arial" w:eastAsia="黑体" w:cs="Times New Roman"/>
          <w:b/>
          <w:bCs w:val="0"/>
          <w:color w:val="auto"/>
          <w:sz w:val="32"/>
          <w:szCs w:val="32"/>
          <w:highlight w:val="none"/>
        </w:rPr>
      </w:pPr>
      <w:bookmarkStart w:id="784" w:name="_Toc373478393"/>
      <w:bookmarkEnd w:id="784"/>
      <w:bookmarkStart w:id="785" w:name="_Toc9850577"/>
      <w:bookmarkEnd w:id="785"/>
      <w:bookmarkStart w:id="786" w:name="_Toc351203643"/>
      <w:bookmarkEnd w:id="786"/>
      <w:bookmarkStart w:id="787" w:name="_Toc373227746"/>
      <w:bookmarkEnd w:id="787"/>
      <w:bookmarkStart w:id="788" w:name="_Toc407135249"/>
      <w:bookmarkEnd w:id="788"/>
      <w:bookmarkStart w:id="789" w:name="_Toc389065312"/>
      <w:r>
        <w:rPr>
          <w:rFonts w:hint="eastAsia" w:ascii="黑体" w:hAnsi="宋体" w:eastAsia="黑体" w:cs="黑体"/>
          <w:b/>
          <w:bCs w:val="0"/>
          <w:color w:val="auto"/>
          <w:sz w:val="32"/>
          <w:szCs w:val="32"/>
          <w:highlight w:val="none"/>
        </w:rPr>
        <w:t>价格调整</w:t>
      </w:r>
      <w:bookmarkEnd w:id="789"/>
    </w:p>
    <w:p w14:paraId="038B9B16">
      <w:pPr>
        <w:pStyle w:val="4"/>
        <w:widowControl/>
        <w:shd w:val="clear"/>
        <w:rPr>
          <w:rFonts w:hint="default" w:ascii="Times New Roman" w:hAnsi="Times New Roman" w:eastAsia="宋体" w:cs="Times New Roman"/>
          <w:b/>
          <w:bCs/>
          <w:color w:val="auto"/>
          <w:kern w:val="2"/>
          <w:sz w:val="32"/>
          <w:szCs w:val="32"/>
          <w:highlight w:val="none"/>
        </w:rPr>
      </w:pPr>
      <w:bookmarkStart w:id="790" w:name="_Toc389065313"/>
      <w:bookmarkEnd w:id="790"/>
      <w:bookmarkStart w:id="791" w:name="_Toc296346702"/>
      <w:bookmarkEnd w:id="791"/>
      <w:bookmarkStart w:id="792" w:name="_Toc297048387"/>
      <w:bookmarkEnd w:id="792"/>
      <w:bookmarkStart w:id="793" w:name="_Toc304295577"/>
      <w:bookmarkEnd w:id="793"/>
      <w:bookmarkStart w:id="794" w:name="_Toc292559911"/>
      <w:bookmarkEnd w:id="794"/>
      <w:bookmarkStart w:id="795" w:name="_Toc407135250"/>
      <w:bookmarkEnd w:id="795"/>
      <w:bookmarkStart w:id="796" w:name="_Toc296891241"/>
      <w:bookmarkEnd w:id="796"/>
      <w:bookmarkStart w:id="797" w:name="_Toc303539157"/>
      <w:bookmarkEnd w:id="797"/>
      <w:bookmarkStart w:id="798" w:name="_Toc297120501"/>
      <w:bookmarkEnd w:id="798"/>
      <w:bookmarkStart w:id="799" w:name="_Toc297123550"/>
      <w:bookmarkEnd w:id="799"/>
      <w:bookmarkStart w:id="800" w:name="_Toc373227747"/>
      <w:bookmarkEnd w:id="800"/>
      <w:bookmarkStart w:id="801" w:name="_Toc296944540"/>
      <w:bookmarkEnd w:id="801"/>
      <w:bookmarkStart w:id="802" w:name="_Toc292559406"/>
      <w:bookmarkEnd w:id="802"/>
      <w:bookmarkStart w:id="803" w:name="_Toc9850578"/>
      <w:bookmarkEnd w:id="803"/>
      <w:bookmarkStart w:id="804" w:name="_Toc300935000"/>
      <w:bookmarkEnd w:id="804"/>
      <w:bookmarkStart w:id="805" w:name="_Toc297216209"/>
      <w:bookmarkEnd w:id="805"/>
      <w:bookmarkStart w:id="806" w:name="_Toc312678039"/>
      <w:bookmarkEnd w:id="806"/>
      <w:bookmarkStart w:id="807" w:name="_Toc373478394"/>
      <w:bookmarkEnd w:id="807"/>
      <w:bookmarkStart w:id="808" w:name="_Toc296891029"/>
      <w:bookmarkEnd w:id="808"/>
      <w:bookmarkStart w:id="809" w:name="_Toc296503201"/>
      <w:bookmarkEnd w:id="809"/>
      <w:bookmarkStart w:id="810" w:name="_Toc296347200"/>
      <w:r>
        <w:rPr>
          <w:rFonts w:hint="default" w:ascii="Times New Roman" w:hAnsi="Times New Roman" w:eastAsia="宋体" w:cs="Times New Roman"/>
          <w:b/>
          <w:bCs/>
          <w:color w:val="auto"/>
          <w:kern w:val="2"/>
          <w:sz w:val="32"/>
          <w:szCs w:val="32"/>
          <w:highlight w:val="none"/>
        </w:rPr>
        <w:t xml:space="preserve">11.1 </w:t>
      </w:r>
      <w:bookmarkEnd w:id="810"/>
      <w:r>
        <w:rPr>
          <w:rFonts w:hint="eastAsia" w:ascii="宋体" w:hAnsi="宋体" w:eastAsia="宋体" w:cs="宋体"/>
          <w:b/>
          <w:bCs/>
          <w:color w:val="auto"/>
          <w:kern w:val="2"/>
          <w:sz w:val="32"/>
          <w:szCs w:val="32"/>
          <w:highlight w:val="none"/>
        </w:rPr>
        <w:t>市场价格波动引起的调整</w:t>
      </w:r>
    </w:p>
    <w:p w14:paraId="37600711">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bookmarkStart w:id="811" w:name="_Toc292559410"/>
      <w:bookmarkEnd w:id="811"/>
      <w:bookmarkStart w:id="812" w:name="_Toc297123552"/>
      <w:bookmarkEnd w:id="812"/>
      <w:bookmarkStart w:id="813" w:name="_Toc351203644"/>
      <w:bookmarkEnd w:id="813"/>
      <w:bookmarkStart w:id="814" w:name="_Toc9850579"/>
      <w:bookmarkEnd w:id="814"/>
      <w:bookmarkStart w:id="815" w:name="_Toc297048391"/>
      <w:bookmarkEnd w:id="815"/>
      <w:bookmarkStart w:id="816" w:name="_Toc312678040"/>
      <w:bookmarkEnd w:id="816"/>
      <w:bookmarkStart w:id="817" w:name="_Toc297120505"/>
      <w:bookmarkEnd w:id="817"/>
      <w:bookmarkStart w:id="818" w:name="_Toc296891033"/>
      <w:bookmarkEnd w:id="818"/>
      <w:bookmarkStart w:id="819" w:name="_Toc296347204"/>
      <w:bookmarkEnd w:id="819"/>
      <w:bookmarkStart w:id="820" w:name="_Toc292559915"/>
      <w:bookmarkEnd w:id="820"/>
      <w:bookmarkStart w:id="821" w:name="_Toc373227748"/>
      <w:bookmarkEnd w:id="821"/>
      <w:bookmarkStart w:id="822" w:name="_Toc373478395"/>
      <w:bookmarkEnd w:id="822"/>
      <w:bookmarkStart w:id="823" w:name="_Toc296891245"/>
      <w:bookmarkEnd w:id="823"/>
      <w:bookmarkStart w:id="824" w:name="_Toc296944544"/>
      <w:bookmarkEnd w:id="824"/>
      <w:bookmarkStart w:id="825" w:name="_Toc296503205"/>
      <w:bookmarkEnd w:id="825"/>
      <w:bookmarkStart w:id="826" w:name="_Toc300935002"/>
      <w:bookmarkEnd w:id="826"/>
      <w:bookmarkStart w:id="827" w:name="_Toc303539159"/>
      <w:bookmarkEnd w:id="827"/>
      <w:bookmarkStart w:id="828" w:name="_Toc304295579"/>
      <w:bookmarkEnd w:id="828"/>
      <w:bookmarkStart w:id="829" w:name="_Toc407135251"/>
      <w:bookmarkEnd w:id="829"/>
      <w:bookmarkStart w:id="830" w:name="_Toc297216211"/>
      <w:bookmarkEnd w:id="830"/>
      <w:bookmarkStart w:id="831" w:name="_Toc296346706"/>
      <w:bookmarkEnd w:id="831"/>
      <w:r>
        <w:rPr>
          <w:rFonts w:hint="eastAsia" w:ascii="宋体" w:hAnsi="宋体" w:eastAsia="宋体" w:cs="宋体"/>
          <w:color w:val="auto"/>
          <w:kern w:val="0"/>
          <w:sz w:val="21"/>
          <w:szCs w:val="21"/>
          <w:highlight w:val="none"/>
          <w:lang w:val="en-US" w:eastAsia="zh-CN" w:bidi="ar"/>
        </w:rPr>
        <w:t>市场价格波动是否调整合同价格的约定</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否</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0921C102">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因市场价格波动调整合同价格，采用以下第</w:t>
      </w:r>
      <w:r>
        <w:rPr>
          <w:rFonts w:hint="default" w:ascii="Times New Roman" w:hAnsi="Times New Roman" w:eastAsia="宋体" w:cs="Times New Roman"/>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种方式对合同价格进行调整：</w:t>
      </w:r>
    </w:p>
    <w:p w14:paraId="39407B71">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种方式：采用价格指数进行价格调整。</w:t>
      </w:r>
    </w:p>
    <w:p w14:paraId="107AE37A">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关于各可调因子、定值和变值权重，以及基本价格指数及其来源的约定：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p>
    <w:p w14:paraId="3D72AC3E">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种方式：采用造价信息进行价格调整。</w:t>
      </w:r>
    </w:p>
    <w:p w14:paraId="08C0CE8D">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）允许调整的主要材料和设备、基期价格、风险系数、投标报价详见《承包人提供主要材料和设备一览表》</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价差调整部分仅计算税金，除此表列明的材料、设备外，其余材料设备价差原则上不予调整。</w:t>
      </w:r>
    </w:p>
    <w:p w14:paraId="778D0866">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）主要材料和设备确认价：</w:t>
      </w:r>
    </w:p>
    <w:p w14:paraId="3F93390E">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按施工期间《崇左市建设工程造价信息》材料信息价的加权平均价计算，信息价没有的按通用条款规定确定。</w:t>
      </w:r>
    </w:p>
    <w:p w14:paraId="765F75EE">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）价差计算方法：</w:t>
      </w:r>
      <w:r>
        <w:rPr>
          <w:rFonts w:hint="eastAsia" w:ascii="宋体" w:hAnsi="宋体" w:cs="宋体"/>
          <w:color w:val="auto"/>
          <w:kern w:val="0"/>
          <w:sz w:val="21"/>
          <w:szCs w:val="21"/>
          <w:highlight w:val="none"/>
          <w:lang w:val="en-US" w:eastAsia="zh-CN" w:bidi="ar"/>
        </w:rPr>
        <w:t xml:space="preserve">   </w:t>
      </w:r>
    </w:p>
    <w:p w14:paraId="4CAB0F8A">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），价格下跌价差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投标报价（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14:paraId="0D328502">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投标报价（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），价格下跌价差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14:paraId="371D5E29">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基准单价（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14:paraId="4D2BAAFC">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 xml:space="preserve">12. </w:t>
      </w:r>
      <w:r>
        <w:rPr>
          <w:rFonts w:hint="eastAsia" w:ascii="黑体" w:hAnsi="宋体" w:eastAsia="黑体" w:cs="黑体"/>
          <w:b/>
          <w:bCs w:val="0"/>
          <w:color w:val="auto"/>
          <w:sz w:val="32"/>
          <w:szCs w:val="32"/>
          <w:highlight w:val="none"/>
        </w:rPr>
        <w:t>合同价格、计量与支付</w:t>
      </w:r>
    </w:p>
    <w:p w14:paraId="14BC1957">
      <w:pPr>
        <w:pStyle w:val="4"/>
        <w:widowControl/>
        <w:shd w:val="clear"/>
        <w:rPr>
          <w:rFonts w:hint="default" w:ascii="Times New Roman" w:hAnsi="Times New Roman" w:eastAsia="宋体" w:cs="Times New Roman"/>
          <w:b/>
          <w:bCs/>
          <w:color w:val="auto"/>
          <w:kern w:val="2"/>
          <w:sz w:val="32"/>
          <w:szCs w:val="32"/>
          <w:highlight w:val="none"/>
        </w:rPr>
      </w:pPr>
      <w:bookmarkStart w:id="832" w:name="_Toc373478396"/>
      <w:bookmarkEnd w:id="832"/>
      <w:bookmarkStart w:id="833" w:name="_Toc292559411"/>
      <w:bookmarkEnd w:id="833"/>
      <w:bookmarkStart w:id="834" w:name="_Toc296944545"/>
      <w:bookmarkEnd w:id="834"/>
      <w:bookmarkStart w:id="835" w:name="_Toc303539160"/>
      <w:bookmarkEnd w:id="835"/>
      <w:bookmarkStart w:id="836" w:name="_Toc297123553"/>
      <w:bookmarkEnd w:id="836"/>
      <w:bookmarkStart w:id="837" w:name="_Toc304295580"/>
      <w:bookmarkEnd w:id="837"/>
      <w:bookmarkStart w:id="838" w:name="_Toc312678041"/>
      <w:bookmarkEnd w:id="838"/>
      <w:bookmarkStart w:id="839" w:name="_Toc296891246"/>
      <w:bookmarkEnd w:id="839"/>
      <w:bookmarkStart w:id="840" w:name="_Toc407135252"/>
      <w:bookmarkEnd w:id="840"/>
      <w:bookmarkStart w:id="841" w:name="_Toc296346707"/>
      <w:bookmarkEnd w:id="841"/>
      <w:bookmarkStart w:id="842" w:name="_Toc292559916"/>
      <w:bookmarkEnd w:id="842"/>
      <w:bookmarkStart w:id="843" w:name="_Toc296503206"/>
      <w:bookmarkEnd w:id="843"/>
      <w:bookmarkStart w:id="844" w:name="_Toc296347205"/>
      <w:bookmarkEnd w:id="844"/>
      <w:bookmarkStart w:id="845" w:name="_Toc297216212"/>
      <w:bookmarkEnd w:id="845"/>
      <w:bookmarkStart w:id="846" w:name="_Toc389065314"/>
      <w:bookmarkEnd w:id="846"/>
      <w:bookmarkStart w:id="847" w:name="_Toc297120506"/>
      <w:bookmarkEnd w:id="847"/>
      <w:bookmarkStart w:id="848" w:name="_Toc297048392"/>
      <w:bookmarkEnd w:id="848"/>
      <w:bookmarkStart w:id="849" w:name="_Toc300935003"/>
      <w:bookmarkEnd w:id="849"/>
      <w:bookmarkStart w:id="850" w:name="_Toc267251461"/>
      <w:bookmarkEnd w:id="850"/>
      <w:bookmarkStart w:id="851" w:name="_Toc9850580"/>
      <w:bookmarkEnd w:id="851"/>
      <w:bookmarkStart w:id="852" w:name="_Toc373227749"/>
      <w:bookmarkEnd w:id="852"/>
      <w:bookmarkStart w:id="853" w:name="_Toc296891034"/>
      <w:r>
        <w:rPr>
          <w:rFonts w:hint="default" w:ascii="Times New Roman" w:hAnsi="Times New Roman" w:eastAsia="宋体" w:cs="Times New Roman"/>
          <w:b/>
          <w:bCs/>
          <w:color w:val="auto"/>
          <w:kern w:val="2"/>
          <w:sz w:val="32"/>
          <w:szCs w:val="32"/>
          <w:highlight w:val="none"/>
        </w:rPr>
        <w:t xml:space="preserve">12.1 </w:t>
      </w:r>
      <w:bookmarkEnd w:id="853"/>
      <w:r>
        <w:rPr>
          <w:rFonts w:hint="eastAsia" w:ascii="宋体" w:hAnsi="宋体" w:eastAsia="宋体" w:cs="宋体"/>
          <w:b/>
          <w:bCs/>
          <w:color w:val="auto"/>
          <w:kern w:val="2"/>
          <w:sz w:val="32"/>
          <w:szCs w:val="32"/>
          <w:highlight w:val="none"/>
        </w:rPr>
        <w:t>合同价格形式</w:t>
      </w:r>
    </w:p>
    <w:p w14:paraId="4520C57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bookmarkStart w:id="854" w:name="_Toc296346708"/>
      <w:bookmarkEnd w:id="854"/>
      <w:bookmarkStart w:id="855" w:name="_Toc296503207"/>
      <w:bookmarkEnd w:id="855"/>
      <w:bookmarkStart w:id="856" w:name="_Toc297120507"/>
      <w:bookmarkEnd w:id="856"/>
      <w:bookmarkStart w:id="857" w:name="_Toc296891035"/>
      <w:bookmarkEnd w:id="857"/>
      <w:bookmarkStart w:id="858" w:name="_Toc296891247"/>
      <w:bookmarkEnd w:id="858"/>
      <w:bookmarkStart w:id="859" w:name="_Toc389065315"/>
      <w:bookmarkEnd w:id="859"/>
      <w:bookmarkStart w:id="860" w:name="_Toc297123554"/>
      <w:bookmarkEnd w:id="860"/>
      <w:bookmarkStart w:id="861" w:name="_Toc292559412"/>
      <w:bookmarkEnd w:id="861"/>
      <w:bookmarkStart w:id="862" w:name="_Toc304295581"/>
      <w:bookmarkEnd w:id="862"/>
      <w:bookmarkStart w:id="863" w:name="_Toc297216213"/>
      <w:bookmarkEnd w:id="863"/>
      <w:bookmarkStart w:id="864" w:name="_Toc296347206"/>
      <w:bookmarkEnd w:id="864"/>
      <w:bookmarkStart w:id="865" w:name="_Toc373478397"/>
      <w:bookmarkEnd w:id="865"/>
      <w:bookmarkStart w:id="866" w:name="_Toc297048393"/>
      <w:bookmarkEnd w:id="866"/>
      <w:bookmarkStart w:id="867" w:name="_Toc300935004"/>
      <w:bookmarkEnd w:id="867"/>
      <w:bookmarkStart w:id="868" w:name="_Toc303539161"/>
      <w:bookmarkEnd w:id="868"/>
      <w:bookmarkStart w:id="869" w:name="_Toc312678042"/>
      <w:bookmarkEnd w:id="869"/>
      <w:bookmarkStart w:id="870" w:name="_Toc292559917"/>
      <w:bookmarkEnd w:id="870"/>
      <w:bookmarkStart w:id="871" w:name="_Toc373227750"/>
      <w:bookmarkEnd w:id="871"/>
      <w:bookmarkStart w:id="872" w:name="_Toc296944546"/>
      <w:r>
        <w:rPr>
          <w:rFonts w:hint="eastAsia" w:ascii="宋体" w:hAnsi="宋体" w:eastAsia="宋体" w:cs="宋体"/>
          <w:color w:val="auto"/>
          <w:kern w:val="0"/>
          <w:sz w:val="21"/>
          <w:szCs w:val="21"/>
          <w:highlight w:val="none"/>
          <w:lang w:val="en-US" w:eastAsia="zh-CN" w:bidi="ar"/>
        </w:rPr>
        <w:t>本工程采用</w:t>
      </w:r>
      <w:bookmarkEnd w:id="872"/>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固定单价</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合同价格形式，合同价格包含增值税，本工程计价时采用的增值税计税方法为：</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☑一般计税法</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□简易计税法。</w:t>
      </w:r>
    </w:p>
    <w:p w14:paraId="7568821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）单价合同。</w:t>
      </w:r>
    </w:p>
    <w:p w14:paraId="35163DB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采用综合单价合同方式时，工程量按建设单位、监理单位、施工单位三方确认的竣工图结算。</w:t>
      </w:r>
    </w:p>
    <w:p w14:paraId="60E2ECF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综合单价包含的风险范围：</w:t>
      </w:r>
      <w:r>
        <w:rPr>
          <w:rFonts w:hint="eastAsia" w:ascii="宋体" w:hAnsi="宋体" w:eastAsia="宋体" w:cs="宋体"/>
          <w:color w:val="auto"/>
          <w:kern w:val="0"/>
          <w:sz w:val="21"/>
          <w:szCs w:val="21"/>
          <w:highlight w:val="none"/>
          <w:u w:val="single"/>
          <w:lang w:val="en-US" w:eastAsia="zh-CN" w:bidi="ar"/>
        </w:rPr>
        <w:t>除工程变更、项目特征不符、工程量清单缺项、工程量偏差、政策性调整、本工程《承包人提供主要材料和设备一览表》中约定的材料和设备价格变动风险以外的其他风险因素。</w:t>
      </w:r>
    </w:p>
    <w:p w14:paraId="317B7C7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风险范围以外合同价格的调整方法：</w:t>
      </w:r>
    </w:p>
    <w:p w14:paraId="4DE61C33">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①工程变更、项目特征不符、工程量清单缺项：按</w:t>
      </w:r>
      <w:r>
        <w:rPr>
          <w:rFonts w:hint="default" w:ascii="Times New Roman" w:hAnsi="宋体" w:eastAsia="宋体" w:cs="宋体"/>
          <w:color w:val="auto"/>
          <w:kern w:val="0"/>
          <w:sz w:val="21"/>
          <w:szCs w:val="21"/>
          <w:highlight w:val="none"/>
          <w:lang w:val="en-US" w:eastAsia="zh-CN" w:bidi="ar"/>
        </w:rPr>
        <w:t>10.4.1</w:t>
      </w:r>
      <w:r>
        <w:rPr>
          <w:rFonts w:hint="eastAsia" w:ascii="宋体" w:hAnsi="宋体" w:eastAsia="宋体" w:cs="宋体"/>
          <w:color w:val="auto"/>
          <w:kern w:val="0"/>
          <w:sz w:val="21"/>
          <w:szCs w:val="21"/>
          <w:highlight w:val="none"/>
          <w:lang w:val="en-US" w:eastAsia="zh-CN" w:bidi="ar"/>
        </w:rPr>
        <w:t>变更估价原则的约定调整。</w:t>
      </w:r>
    </w:p>
    <w:p w14:paraId="7505F2DA">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②工程量偏差：按</w:t>
      </w:r>
      <w:r>
        <w:rPr>
          <w:rFonts w:hint="default" w:ascii="Calibri" w:hAnsi="Calibri" w:eastAsia="宋体" w:cs="Calibri"/>
          <w:color w:val="auto"/>
          <w:kern w:val="0"/>
          <w:sz w:val="21"/>
          <w:szCs w:val="21"/>
          <w:highlight w:val="none"/>
          <w:lang w:val="en-US" w:eastAsia="zh-CN" w:bidi="ar"/>
        </w:rPr>
        <w:t>1.13</w:t>
      </w:r>
      <w:r>
        <w:rPr>
          <w:rFonts w:hint="eastAsia" w:ascii="宋体" w:hAnsi="宋体" w:eastAsia="宋体" w:cs="宋体"/>
          <w:color w:val="auto"/>
          <w:kern w:val="0"/>
          <w:sz w:val="21"/>
          <w:szCs w:val="21"/>
          <w:highlight w:val="none"/>
          <w:lang w:val="en-US" w:eastAsia="zh-CN" w:bidi="ar"/>
        </w:rPr>
        <w:t>工程量清单错误修正的约定调整。</w:t>
      </w:r>
    </w:p>
    <w:p w14:paraId="1A6F7EC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③政策性调整：按自治区住房城乡建设厅或工程所在地住房城乡建设主管部门颁布的文件执行。</w:t>
      </w:r>
    </w:p>
    <w:p w14:paraId="20B797C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④材料价格风险：按</w:t>
      </w:r>
      <w:r>
        <w:rPr>
          <w:rFonts w:hint="default" w:ascii="Times New Roman" w:hAnsi="宋体" w:eastAsia="宋体" w:cs="宋体"/>
          <w:color w:val="auto"/>
          <w:kern w:val="0"/>
          <w:sz w:val="21"/>
          <w:szCs w:val="21"/>
          <w:highlight w:val="none"/>
          <w:lang w:val="en-US" w:eastAsia="zh-CN" w:bidi="ar"/>
        </w:rPr>
        <w:t>11.1</w:t>
      </w:r>
      <w:r>
        <w:rPr>
          <w:rFonts w:hint="eastAsia" w:ascii="宋体" w:hAnsi="宋体" w:eastAsia="宋体" w:cs="宋体"/>
          <w:color w:val="auto"/>
          <w:kern w:val="0"/>
          <w:sz w:val="21"/>
          <w:szCs w:val="21"/>
          <w:highlight w:val="none"/>
          <w:lang w:val="en-US" w:eastAsia="zh-CN" w:bidi="ar"/>
        </w:rPr>
        <w:t>的约定调整。</w:t>
      </w:r>
    </w:p>
    <w:p w14:paraId="32A5118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⑤其它：</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97A489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）总价合同。</w:t>
      </w:r>
    </w:p>
    <w:p w14:paraId="34CA2BF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总价包含的风险范围：包含除工程变更、政策性调整、</w:t>
      </w:r>
      <w:r>
        <w:rPr>
          <w:rFonts w:hint="eastAsia" w:ascii="宋体" w:hAnsi="宋体" w:eastAsia="宋体" w:cs="宋体"/>
          <w:color w:val="auto"/>
          <w:kern w:val="0"/>
          <w:sz w:val="21"/>
          <w:szCs w:val="21"/>
          <w:highlight w:val="none"/>
          <w:u w:val="single"/>
          <w:lang w:val="en-US" w:eastAsia="zh-CN" w:bidi="ar"/>
        </w:rPr>
        <w:t>本工程《承包人提供主要材料和设备一览表》中约定的材料和设备价格变动风险以外的其他风险。除工程变更外，结算时不再对招标施工图对应的工程量重新计量</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5EAB401">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Times New Roman"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风险范围以外合同价格的调整方法：</w:t>
      </w:r>
    </w:p>
    <w:p w14:paraId="0A1874F1">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①工程变更：按</w:t>
      </w:r>
      <w:r>
        <w:rPr>
          <w:rFonts w:hint="default" w:ascii="Times New Roman" w:hAnsi="宋体" w:eastAsia="宋体" w:cs="宋体"/>
          <w:color w:val="auto"/>
          <w:kern w:val="0"/>
          <w:sz w:val="21"/>
          <w:szCs w:val="21"/>
          <w:highlight w:val="none"/>
          <w:lang w:val="en-US" w:eastAsia="zh-CN" w:bidi="ar"/>
        </w:rPr>
        <w:t>10.4.1</w:t>
      </w:r>
      <w:r>
        <w:rPr>
          <w:rFonts w:hint="eastAsia" w:ascii="宋体" w:hAnsi="宋体" w:eastAsia="宋体" w:cs="宋体"/>
          <w:color w:val="auto"/>
          <w:kern w:val="0"/>
          <w:sz w:val="21"/>
          <w:szCs w:val="21"/>
          <w:highlight w:val="none"/>
          <w:lang w:val="en-US" w:eastAsia="zh-CN" w:bidi="ar"/>
        </w:rPr>
        <w:t>变更估价原则的约定调整。</w:t>
      </w:r>
    </w:p>
    <w:p w14:paraId="62AA32A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②政策性调整：按自治区住房城乡建设厅或工程所在地住房城乡建设主管部门颁布的文件执行。</w:t>
      </w:r>
    </w:p>
    <w:p w14:paraId="20672D3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③材料价格风险：按</w:t>
      </w:r>
      <w:r>
        <w:rPr>
          <w:rFonts w:hint="default" w:ascii="Times New Roman" w:hAnsi="宋体" w:eastAsia="宋体" w:cs="宋体"/>
          <w:color w:val="auto"/>
          <w:kern w:val="0"/>
          <w:sz w:val="21"/>
          <w:szCs w:val="21"/>
          <w:highlight w:val="none"/>
          <w:lang w:val="en-US" w:eastAsia="zh-CN" w:bidi="ar"/>
        </w:rPr>
        <w:t>11.1</w:t>
      </w:r>
      <w:r>
        <w:rPr>
          <w:rFonts w:hint="eastAsia" w:ascii="宋体" w:hAnsi="宋体" w:eastAsia="宋体" w:cs="宋体"/>
          <w:color w:val="auto"/>
          <w:kern w:val="0"/>
          <w:sz w:val="21"/>
          <w:szCs w:val="21"/>
          <w:highlight w:val="none"/>
          <w:lang w:val="en-US" w:eastAsia="zh-CN" w:bidi="ar"/>
        </w:rPr>
        <w:t>的约定调整。</w:t>
      </w:r>
    </w:p>
    <w:p w14:paraId="4F9FA08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④其它：</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B8C6B1E">
      <w:pPr>
        <w:keepNext w:val="0"/>
        <w:keepLines w:val="0"/>
        <w:widowControl w:val="0"/>
        <w:suppressLineNumbers w:val="0"/>
        <w:shd w:val="clear"/>
        <w:spacing w:before="0" w:beforeAutospacing="0" w:after="0" w:afterAutospacing="0" w:line="360" w:lineRule="auto"/>
        <w:ind w:left="0" w:right="0" w:firstLine="480" w:firstLineChars="200"/>
        <w:jc w:val="left"/>
        <w:rPr>
          <w:rFonts w:hint="default" w:ascii="Times New Roman" w:hAnsi="Times New Roman"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）其他价格方式：</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6043224B">
      <w:pPr>
        <w:pStyle w:val="4"/>
        <w:widowControl/>
        <w:shd w:val="clear"/>
        <w:rPr>
          <w:rFonts w:hint="default" w:ascii="Times New Roman" w:hAnsi="Times New Roman" w:eastAsia="宋体" w:cs="Times New Roman"/>
          <w:b/>
          <w:bCs/>
          <w:color w:val="auto"/>
          <w:kern w:val="2"/>
          <w:sz w:val="32"/>
          <w:szCs w:val="32"/>
          <w:highlight w:val="none"/>
        </w:rPr>
      </w:pPr>
      <w:bookmarkStart w:id="873" w:name="_Toc407135253"/>
      <w:bookmarkEnd w:id="873"/>
      <w:bookmarkStart w:id="874" w:name="_Toc9850581"/>
      <w:r>
        <w:rPr>
          <w:rFonts w:hint="default" w:ascii="Times New Roman" w:hAnsi="Times New Roman" w:eastAsia="宋体" w:cs="Times New Roman"/>
          <w:b/>
          <w:bCs/>
          <w:color w:val="auto"/>
          <w:kern w:val="2"/>
          <w:sz w:val="32"/>
          <w:szCs w:val="32"/>
          <w:highlight w:val="none"/>
        </w:rPr>
        <w:t xml:space="preserve">12.2 </w:t>
      </w:r>
      <w:bookmarkEnd w:id="874"/>
      <w:r>
        <w:rPr>
          <w:rFonts w:hint="eastAsia" w:ascii="宋体" w:hAnsi="宋体" w:eastAsia="宋体" w:cs="宋体"/>
          <w:b/>
          <w:bCs/>
          <w:color w:val="auto"/>
          <w:kern w:val="2"/>
          <w:sz w:val="32"/>
          <w:szCs w:val="32"/>
          <w:highlight w:val="none"/>
        </w:rPr>
        <w:t>预付款</w:t>
      </w:r>
    </w:p>
    <w:p w14:paraId="597D886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875" w:name="_Toc296944550"/>
      <w:bookmarkEnd w:id="875"/>
      <w:bookmarkStart w:id="876" w:name="_Toc292559416"/>
      <w:bookmarkEnd w:id="876"/>
      <w:bookmarkStart w:id="877" w:name="_Toc296347210"/>
      <w:bookmarkEnd w:id="877"/>
      <w:bookmarkStart w:id="878" w:name="_Toc297120511"/>
      <w:bookmarkEnd w:id="878"/>
      <w:bookmarkStart w:id="879" w:name="_Toc292559921"/>
      <w:bookmarkEnd w:id="879"/>
      <w:bookmarkStart w:id="880" w:name="_Toc296891251"/>
      <w:bookmarkEnd w:id="880"/>
      <w:bookmarkStart w:id="881" w:name="_Toc297123556"/>
      <w:bookmarkEnd w:id="881"/>
      <w:bookmarkStart w:id="882" w:name="_Toc303539163"/>
      <w:bookmarkEnd w:id="882"/>
      <w:bookmarkStart w:id="883" w:name="_Toc296891039"/>
      <w:bookmarkEnd w:id="883"/>
      <w:bookmarkStart w:id="884" w:name="_Toc297216215"/>
      <w:bookmarkEnd w:id="884"/>
      <w:bookmarkStart w:id="885" w:name="_Toc296503211"/>
      <w:bookmarkEnd w:id="885"/>
      <w:bookmarkStart w:id="886" w:name="_Toc296346712"/>
      <w:bookmarkEnd w:id="886"/>
      <w:bookmarkStart w:id="887" w:name="_Toc300935006"/>
      <w:bookmarkEnd w:id="887"/>
      <w:bookmarkStart w:id="888" w:name="_Toc297048397"/>
      <w:bookmarkEnd w:id="888"/>
      <w:r>
        <w:rPr>
          <w:rFonts w:hint="default" w:ascii="Times New Roman" w:hAnsi="Times New Roman" w:eastAsia="宋体" w:cs="Times New Roman"/>
          <w:color w:val="auto"/>
          <w:kern w:val="0"/>
          <w:sz w:val="21"/>
          <w:szCs w:val="21"/>
          <w:highlight w:val="none"/>
          <w:lang w:val="en-US" w:eastAsia="zh-CN" w:bidi="ar"/>
        </w:rPr>
        <w:t xml:space="preserve">12.2.1 </w:t>
      </w:r>
      <w:r>
        <w:rPr>
          <w:rFonts w:hint="eastAsia" w:ascii="宋体" w:hAnsi="宋体" w:eastAsia="宋体" w:cs="宋体"/>
          <w:color w:val="auto"/>
          <w:kern w:val="0"/>
          <w:sz w:val="21"/>
          <w:szCs w:val="21"/>
          <w:highlight w:val="none"/>
          <w:lang w:val="en-US" w:eastAsia="zh-CN" w:bidi="ar"/>
        </w:rPr>
        <w:t>预付款的支付</w:t>
      </w:r>
    </w:p>
    <w:p w14:paraId="77BD529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预付款支付比例或金额：</w:t>
      </w:r>
      <w:r>
        <w:rPr>
          <w:rFonts w:hint="eastAsia" w:ascii="宋体" w:hAnsi="宋体" w:cs="宋体"/>
          <w:color w:val="auto"/>
          <w:kern w:val="0"/>
          <w:sz w:val="21"/>
          <w:szCs w:val="21"/>
          <w:highlight w:val="none"/>
          <w:u w:val="single"/>
          <w:lang w:val="en-US" w:eastAsia="zh-CN" w:bidi="ar"/>
        </w:rPr>
        <w:t>合同价款的</w:t>
      </w:r>
      <w:r>
        <w:rPr>
          <w:rFonts w:hint="default" w:ascii="Times New Roman" w:hAnsi="Times New Roman" w:eastAsia="宋体" w:cs="Times New Roman"/>
          <w:color w:val="auto"/>
          <w:kern w:val="0"/>
          <w:sz w:val="21"/>
          <w:szCs w:val="21"/>
          <w:highlight w:val="none"/>
          <w:u w:val="single"/>
          <w:lang w:val="en-US" w:eastAsia="zh-CN" w:bidi="ar"/>
        </w:rPr>
        <w:t xml:space="preserve"> 30%  </w:t>
      </w:r>
      <w:r>
        <w:rPr>
          <w:rFonts w:hint="eastAsia" w:ascii="宋体" w:hAnsi="宋体" w:eastAsia="宋体" w:cs="宋体"/>
          <w:color w:val="auto"/>
          <w:kern w:val="0"/>
          <w:sz w:val="21"/>
          <w:szCs w:val="21"/>
          <w:highlight w:val="none"/>
          <w:lang w:val="en-US" w:eastAsia="zh-CN" w:bidi="ar"/>
        </w:rPr>
        <w:t>。</w:t>
      </w:r>
    </w:p>
    <w:p w14:paraId="3FF9AF63">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预付款支付期限：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合同生效并承包人进场后，根据开工、人员、设备实际到位配备情况具备开工条件，发包人在承包人开具增值税等额发票后</w:t>
      </w:r>
      <w:r>
        <w:rPr>
          <w:rFonts w:hint="eastAsia" w:ascii="宋体" w:hAnsi="宋体" w:cs="宋体"/>
          <w:color w:val="auto"/>
          <w:kern w:val="0"/>
          <w:sz w:val="21"/>
          <w:szCs w:val="21"/>
          <w:highlight w:val="none"/>
          <w:u w:val="single"/>
          <w:lang w:val="en-US" w:eastAsia="zh-CN" w:bidi="ar"/>
        </w:rPr>
        <w:t>10个工作日内支付</w:t>
      </w:r>
      <w:r>
        <w:rPr>
          <w:rFonts w:hint="eastAsia" w:ascii="宋体" w:hAnsi="宋体" w:eastAsia="宋体" w:cs="宋体"/>
          <w:color w:val="auto"/>
          <w:kern w:val="0"/>
          <w:sz w:val="21"/>
          <w:szCs w:val="21"/>
          <w:highlight w:val="none"/>
          <w:lang w:val="en-US" w:eastAsia="zh-CN" w:bidi="ar"/>
        </w:rPr>
        <w:t>。</w:t>
      </w:r>
    </w:p>
    <w:p w14:paraId="714F47A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预付款扣回的方式：</w:t>
      </w:r>
      <w:r>
        <w:rPr>
          <w:rFonts w:hint="eastAsia"/>
          <w:color w:val="auto"/>
          <w:sz w:val="21"/>
          <w:szCs w:val="21"/>
          <w:highlight w:val="none"/>
          <w:u w:val="single"/>
        </w:rPr>
        <w:t>进度款达到</w:t>
      </w:r>
      <w:r>
        <w:rPr>
          <w:rFonts w:hint="eastAsia"/>
          <w:color w:val="auto"/>
          <w:sz w:val="21"/>
          <w:szCs w:val="21"/>
          <w:highlight w:val="none"/>
          <w:u w:val="single"/>
          <w:lang w:val="en-US" w:eastAsia="zh-CN"/>
        </w:rPr>
        <w:t>1</w:t>
      </w:r>
      <w:r>
        <w:rPr>
          <w:rFonts w:hint="eastAsia"/>
          <w:color w:val="auto"/>
          <w:sz w:val="21"/>
          <w:szCs w:val="21"/>
          <w:highlight w:val="none"/>
          <w:u w:val="single"/>
        </w:rPr>
        <w:t>%作为预付款起扣点，从此之后的进度款中按预付款支付比例扣回</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直至扣完为止</w:t>
      </w:r>
      <w:r>
        <w:rPr>
          <w:rFonts w:hint="eastAsia" w:ascii="宋体" w:hAnsi="宋体" w:eastAsia="宋体" w:cs="宋体"/>
          <w:color w:val="auto"/>
          <w:kern w:val="0"/>
          <w:sz w:val="21"/>
          <w:szCs w:val="21"/>
          <w:highlight w:val="none"/>
          <w:u w:val="single"/>
          <w:lang w:val="en-US" w:eastAsia="zh-CN" w:bidi="ar"/>
        </w:rPr>
        <w:t>。</w:t>
      </w:r>
    </w:p>
    <w:p w14:paraId="3987E3D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12.2.2 </w:t>
      </w:r>
      <w:r>
        <w:rPr>
          <w:rFonts w:hint="eastAsia" w:ascii="宋体" w:hAnsi="宋体" w:eastAsia="宋体" w:cs="宋体"/>
          <w:color w:val="auto"/>
          <w:kern w:val="0"/>
          <w:sz w:val="21"/>
          <w:szCs w:val="21"/>
          <w:highlight w:val="none"/>
          <w:lang w:val="en-US" w:eastAsia="zh-CN" w:bidi="ar"/>
        </w:rPr>
        <w:t>预付款担保</w:t>
      </w:r>
    </w:p>
    <w:p w14:paraId="33E3F84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承包人提交预付款担保的期限：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D8DE0E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预付款担保的形式为：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10AD42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预付款担保格式见合同附件8。预付款支付申请（核准）表见合同附件10</w:t>
      </w:r>
    </w:p>
    <w:p w14:paraId="3F671738">
      <w:pPr>
        <w:pStyle w:val="4"/>
        <w:widowControl/>
        <w:shd w:val="clear"/>
        <w:rPr>
          <w:rFonts w:hint="default" w:ascii="Times New Roman" w:hAnsi="Times New Roman" w:eastAsia="宋体" w:cs="Times New Roman"/>
          <w:b/>
          <w:bCs/>
          <w:color w:val="auto"/>
          <w:kern w:val="2"/>
          <w:sz w:val="32"/>
          <w:szCs w:val="32"/>
          <w:highlight w:val="none"/>
        </w:rPr>
      </w:pPr>
      <w:bookmarkStart w:id="889" w:name="_Toc373227751"/>
      <w:bookmarkEnd w:id="889"/>
      <w:bookmarkStart w:id="890" w:name="_Toc407135254"/>
      <w:bookmarkEnd w:id="890"/>
      <w:bookmarkStart w:id="891" w:name="_Toc373478398"/>
      <w:bookmarkEnd w:id="891"/>
      <w:bookmarkStart w:id="892" w:name="_Toc9850582"/>
      <w:bookmarkEnd w:id="892"/>
      <w:bookmarkStart w:id="893" w:name="_Toc389065316"/>
      <w:r>
        <w:rPr>
          <w:rFonts w:hint="default" w:ascii="Times New Roman" w:hAnsi="Times New Roman" w:eastAsia="宋体" w:cs="Times New Roman"/>
          <w:b/>
          <w:bCs/>
          <w:color w:val="auto"/>
          <w:kern w:val="2"/>
          <w:sz w:val="32"/>
          <w:szCs w:val="32"/>
          <w:highlight w:val="none"/>
        </w:rPr>
        <w:t xml:space="preserve">12.3 </w:t>
      </w:r>
      <w:bookmarkEnd w:id="893"/>
      <w:r>
        <w:rPr>
          <w:rFonts w:hint="eastAsia" w:ascii="宋体" w:hAnsi="宋体" w:eastAsia="宋体" w:cs="宋体"/>
          <w:b/>
          <w:bCs/>
          <w:color w:val="auto"/>
          <w:kern w:val="2"/>
          <w:sz w:val="32"/>
          <w:szCs w:val="32"/>
          <w:highlight w:val="none"/>
        </w:rPr>
        <w:t>计量</w:t>
      </w:r>
    </w:p>
    <w:p w14:paraId="6336E12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12.3.1 </w:t>
      </w:r>
      <w:r>
        <w:rPr>
          <w:rFonts w:hint="eastAsia" w:ascii="宋体" w:hAnsi="宋体" w:eastAsia="宋体" w:cs="宋体"/>
          <w:color w:val="auto"/>
          <w:kern w:val="0"/>
          <w:sz w:val="21"/>
          <w:szCs w:val="21"/>
          <w:highlight w:val="none"/>
          <w:lang w:val="en-US" w:eastAsia="zh-CN" w:bidi="ar"/>
        </w:rPr>
        <w:t>计量原则</w:t>
      </w:r>
    </w:p>
    <w:p w14:paraId="0F8CB0A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工程量计算规则：</w:t>
      </w:r>
      <w:r>
        <w:rPr>
          <w:rFonts w:hint="eastAsia" w:ascii="宋体" w:hAnsi="宋体" w:eastAsia="宋体" w:cs="宋体"/>
          <w:color w:val="auto"/>
          <w:kern w:val="0"/>
          <w:sz w:val="21"/>
          <w:szCs w:val="21"/>
          <w:highlight w:val="none"/>
          <w:u w:val="single"/>
          <w:lang w:val="en-US" w:eastAsia="zh-CN" w:bidi="ar"/>
        </w:rPr>
        <w:t>工程的计量均以《建设工程工程量清单计价规范》（</w:t>
      </w:r>
      <w:r>
        <w:rPr>
          <w:rFonts w:hint="default" w:ascii="Times New Roman" w:hAnsi="Times New Roman" w:eastAsia="宋体" w:cs="Times New Roman"/>
          <w:color w:val="auto"/>
          <w:kern w:val="0"/>
          <w:sz w:val="21"/>
          <w:szCs w:val="21"/>
          <w:highlight w:val="none"/>
          <w:u w:val="single"/>
          <w:lang w:val="en-US" w:eastAsia="zh-CN" w:bidi="ar"/>
        </w:rPr>
        <w:t>GB50500</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2013</w:t>
      </w:r>
      <w:r>
        <w:rPr>
          <w:rFonts w:hint="eastAsia" w:ascii="宋体" w:hAnsi="宋体" w:eastAsia="宋体" w:cs="宋体"/>
          <w:color w:val="auto"/>
          <w:kern w:val="0"/>
          <w:sz w:val="21"/>
          <w:szCs w:val="21"/>
          <w:highlight w:val="none"/>
          <w:u w:val="single"/>
          <w:lang w:val="en-US" w:eastAsia="zh-CN" w:bidi="ar"/>
        </w:rPr>
        <w:t>）和及其广西壮族自治区实施细则、《建设工程工程量清单计算规范》（</w:t>
      </w:r>
      <w:r>
        <w:rPr>
          <w:rFonts w:hint="default" w:ascii="Times New Roman" w:hAnsi="Times New Roman" w:eastAsia="宋体" w:cs="Times New Roman"/>
          <w:color w:val="auto"/>
          <w:kern w:val="0"/>
          <w:sz w:val="21"/>
          <w:szCs w:val="21"/>
          <w:highlight w:val="none"/>
          <w:u w:val="single"/>
          <w:lang w:val="en-US" w:eastAsia="zh-CN" w:bidi="ar"/>
        </w:rPr>
        <w:t>GB50854~50862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2013</w:t>
      </w:r>
      <w:r>
        <w:rPr>
          <w:rFonts w:hint="eastAsia" w:ascii="宋体" w:hAnsi="宋体" w:eastAsia="宋体" w:cs="宋体"/>
          <w:color w:val="auto"/>
          <w:kern w:val="0"/>
          <w:sz w:val="21"/>
          <w:szCs w:val="21"/>
          <w:highlight w:val="none"/>
          <w:u w:val="single"/>
          <w:lang w:val="en-US" w:eastAsia="zh-CN" w:bidi="ar"/>
        </w:rPr>
        <w:t>）及其广西实施细则、本工程补充项目清单为准。</w:t>
      </w:r>
    </w:p>
    <w:p w14:paraId="55BA21F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12.3.2 </w:t>
      </w:r>
      <w:r>
        <w:rPr>
          <w:rFonts w:hint="eastAsia" w:ascii="宋体" w:hAnsi="宋体" w:eastAsia="宋体" w:cs="宋体"/>
          <w:color w:val="auto"/>
          <w:kern w:val="0"/>
          <w:sz w:val="21"/>
          <w:szCs w:val="21"/>
          <w:highlight w:val="none"/>
          <w:lang w:val="en-US" w:eastAsia="zh-CN" w:bidi="ar"/>
        </w:rPr>
        <w:t>计量周期</w:t>
      </w:r>
    </w:p>
    <w:p w14:paraId="40AC15B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关于计量周期的约定：</w:t>
      </w:r>
      <w:r>
        <w:rPr>
          <w:rFonts w:hint="eastAsia" w:ascii="宋体" w:hAnsi="宋体" w:eastAsia="宋体" w:cs="宋体"/>
          <w:color w:val="auto"/>
          <w:kern w:val="0"/>
          <w:sz w:val="21"/>
          <w:szCs w:val="21"/>
          <w:highlight w:val="none"/>
          <w:u w:val="single"/>
          <w:lang w:val="en-US" w:eastAsia="zh-CN" w:bidi="ar"/>
        </w:rPr>
        <w:t>每月</w:t>
      </w:r>
      <w:r>
        <w:rPr>
          <w:rFonts w:hint="default" w:ascii="Times New Roman" w:hAnsi="Times New Roman" w:eastAsia="宋体" w:cs="Times New Roman"/>
          <w:color w:val="auto"/>
          <w:kern w:val="0"/>
          <w:sz w:val="21"/>
          <w:szCs w:val="21"/>
          <w:highlight w:val="none"/>
          <w:u w:val="single"/>
          <w:lang w:val="en-US" w:eastAsia="zh-CN" w:bidi="ar"/>
        </w:rPr>
        <w:t>25</w:t>
      </w:r>
      <w:r>
        <w:rPr>
          <w:rFonts w:hint="eastAsia" w:ascii="宋体" w:hAnsi="宋体" w:eastAsia="宋体" w:cs="宋体"/>
          <w:color w:val="auto"/>
          <w:kern w:val="0"/>
          <w:sz w:val="21"/>
          <w:szCs w:val="21"/>
          <w:highlight w:val="none"/>
          <w:u w:val="single"/>
          <w:lang w:val="en-US" w:eastAsia="zh-CN" w:bidi="ar"/>
        </w:rPr>
        <w:t>日前</w:t>
      </w:r>
      <w:r>
        <w:rPr>
          <w:rFonts w:hint="eastAsia" w:ascii="宋体" w:hAnsi="宋体" w:eastAsia="宋体" w:cs="宋体"/>
          <w:color w:val="auto"/>
          <w:kern w:val="0"/>
          <w:sz w:val="21"/>
          <w:szCs w:val="21"/>
          <w:highlight w:val="none"/>
          <w:lang w:val="en-US" w:eastAsia="zh-CN" w:bidi="ar"/>
        </w:rPr>
        <w:t>。</w:t>
      </w:r>
    </w:p>
    <w:p w14:paraId="53761A62">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12.3.3 </w:t>
      </w:r>
      <w:r>
        <w:rPr>
          <w:rFonts w:hint="eastAsia" w:ascii="宋体" w:hAnsi="宋体" w:eastAsia="宋体" w:cs="宋体"/>
          <w:color w:val="auto"/>
          <w:kern w:val="0"/>
          <w:sz w:val="21"/>
          <w:szCs w:val="21"/>
          <w:highlight w:val="none"/>
          <w:lang w:val="en-US" w:eastAsia="zh-CN" w:bidi="ar"/>
        </w:rPr>
        <w:t>单价合同的计量</w:t>
      </w:r>
    </w:p>
    <w:p w14:paraId="5D88BC0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关于单价合同计量的约定：</w:t>
      </w:r>
    </w:p>
    <w:p w14:paraId="2F7C88B1">
      <w:pPr>
        <w:keepNext w:val="0"/>
        <w:keepLines w:val="0"/>
        <w:widowControl w:val="0"/>
        <w:suppressLineNumbers w:val="0"/>
        <w:shd w:val="clear"/>
        <w:spacing w:before="0" w:beforeAutospacing="0" w:after="0" w:afterAutospacing="0" w:line="360" w:lineRule="auto"/>
        <w:ind w:left="0" w:right="0" w:firstLine="441" w:firstLineChars="2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 </w:t>
      </w:r>
      <w:r>
        <w:rPr>
          <w:rFonts w:hint="eastAsia" w:ascii="宋体" w:hAnsi="宋体" w:eastAsia="宋体" w:cs="宋体"/>
          <w:color w:val="auto"/>
          <w:kern w:val="0"/>
          <w:sz w:val="21"/>
          <w:szCs w:val="21"/>
          <w:highlight w:val="none"/>
          <w:lang w:val="en-US" w:eastAsia="zh-CN" w:bidi="ar"/>
        </w:rPr>
        <w:t>工程量清单所列的工程量，不能作为承包人按合同履行其责任依据，实际施工中发生的工程量增加或减少并不影响承包人履行合同的责任，工程结算以完成的实际工程量为准。</w:t>
      </w:r>
    </w:p>
    <w:p w14:paraId="0884373C">
      <w:pPr>
        <w:keepNext w:val="0"/>
        <w:keepLines w:val="0"/>
        <w:widowControl w:val="0"/>
        <w:suppressLineNumbers w:val="0"/>
        <w:shd w:val="clear"/>
        <w:spacing w:before="0" w:beforeAutospacing="0" w:after="0" w:afterAutospacing="0" w:line="360" w:lineRule="auto"/>
        <w:ind w:left="0" w:right="0" w:firstLine="441" w:firstLineChars="2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除另有规定外，工程师应按照合同通过计量来核实确定已完成的工程量和价款，承包人应得到该价款扣除保留金后的金额。当工程师要对已完工的工程量进行计量时，应适时地通知承包人参加。</w:t>
      </w:r>
    </w:p>
    <w:p w14:paraId="32B1989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12.3.4 </w:t>
      </w:r>
      <w:r>
        <w:rPr>
          <w:rFonts w:hint="eastAsia" w:ascii="宋体" w:hAnsi="宋体" w:eastAsia="宋体" w:cs="宋体"/>
          <w:color w:val="auto"/>
          <w:kern w:val="0"/>
          <w:sz w:val="21"/>
          <w:szCs w:val="21"/>
          <w:highlight w:val="none"/>
          <w:lang w:val="en-US" w:eastAsia="zh-CN" w:bidi="ar"/>
        </w:rPr>
        <w:t>总价合同的计量</w:t>
      </w:r>
    </w:p>
    <w:p w14:paraId="2E1082A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Calibri"/>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）总价合同计量约定：进度款按支付分解表支付，支付分解表在招标完成后签合同之前制定，具体详见本专用合同条款</w:t>
      </w:r>
      <w:r>
        <w:rPr>
          <w:rFonts w:hint="default" w:ascii="Times New Roman" w:hAnsi="Times New Roman" w:eastAsia="宋体" w:cs="Times New Roman"/>
          <w:color w:val="auto"/>
          <w:kern w:val="0"/>
          <w:sz w:val="21"/>
          <w:szCs w:val="21"/>
          <w:highlight w:val="none"/>
          <w:lang w:val="en-US" w:eastAsia="zh-CN" w:bidi="ar"/>
        </w:rPr>
        <w:t>12.4.6</w:t>
      </w:r>
      <w:r>
        <w:rPr>
          <w:rFonts w:hint="eastAsia" w:ascii="宋体" w:hAnsi="宋体" w:eastAsia="宋体" w:cs="宋体"/>
          <w:color w:val="auto"/>
          <w:kern w:val="0"/>
          <w:sz w:val="21"/>
          <w:szCs w:val="21"/>
          <w:highlight w:val="none"/>
          <w:lang w:val="en-US" w:eastAsia="zh-CN" w:bidi="ar"/>
        </w:rPr>
        <w:t>。</w:t>
      </w:r>
    </w:p>
    <w:p w14:paraId="0905E65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12.3.6 </w:t>
      </w:r>
      <w:r>
        <w:rPr>
          <w:rFonts w:hint="eastAsia" w:ascii="宋体" w:hAnsi="宋体" w:eastAsia="宋体" w:cs="宋体"/>
          <w:color w:val="auto"/>
          <w:kern w:val="0"/>
          <w:sz w:val="21"/>
          <w:szCs w:val="21"/>
          <w:highlight w:val="none"/>
          <w:lang w:val="en-US" w:eastAsia="zh-CN" w:bidi="ar"/>
        </w:rPr>
        <w:t>其他价格形式合同的计量</w:t>
      </w:r>
    </w:p>
    <w:p w14:paraId="5E991F9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其他价格形式的计量方式和程序：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F500120">
      <w:pPr>
        <w:pStyle w:val="4"/>
        <w:widowControl/>
        <w:shd w:val="clear"/>
        <w:rPr>
          <w:rFonts w:hint="default" w:ascii="Times New Roman" w:hAnsi="Times New Roman" w:eastAsia="宋体" w:cs="Times New Roman"/>
          <w:b/>
          <w:bCs/>
          <w:color w:val="auto"/>
          <w:kern w:val="2"/>
          <w:sz w:val="32"/>
          <w:szCs w:val="32"/>
          <w:highlight w:val="none"/>
        </w:rPr>
      </w:pPr>
      <w:bookmarkStart w:id="894" w:name="_Toc373227752"/>
      <w:bookmarkEnd w:id="894"/>
      <w:bookmarkStart w:id="895" w:name="_Toc9850583"/>
      <w:bookmarkEnd w:id="895"/>
      <w:bookmarkStart w:id="896" w:name="_Toc373478399"/>
      <w:bookmarkEnd w:id="896"/>
      <w:bookmarkStart w:id="897" w:name="_Toc389065317"/>
      <w:bookmarkEnd w:id="897"/>
      <w:bookmarkStart w:id="898" w:name="_Toc407135255"/>
      <w:r>
        <w:rPr>
          <w:rFonts w:hint="default" w:ascii="Times New Roman" w:hAnsi="Times New Roman" w:eastAsia="宋体" w:cs="Times New Roman"/>
          <w:b/>
          <w:bCs/>
          <w:color w:val="auto"/>
          <w:kern w:val="2"/>
          <w:sz w:val="32"/>
          <w:szCs w:val="32"/>
          <w:highlight w:val="none"/>
        </w:rPr>
        <w:t xml:space="preserve">12.4 </w:t>
      </w:r>
      <w:bookmarkEnd w:id="898"/>
      <w:r>
        <w:rPr>
          <w:rFonts w:hint="eastAsia" w:ascii="宋体" w:hAnsi="宋体" w:eastAsia="宋体" w:cs="宋体"/>
          <w:b/>
          <w:bCs/>
          <w:color w:val="auto"/>
          <w:kern w:val="2"/>
          <w:sz w:val="32"/>
          <w:szCs w:val="32"/>
          <w:highlight w:val="none"/>
        </w:rPr>
        <w:t>工程进度款支付</w:t>
      </w:r>
    </w:p>
    <w:p w14:paraId="467A8E4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12.4.1 </w:t>
      </w:r>
      <w:r>
        <w:rPr>
          <w:rFonts w:hint="eastAsia" w:ascii="宋体" w:hAnsi="宋体" w:eastAsia="宋体" w:cs="宋体"/>
          <w:color w:val="auto"/>
          <w:kern w:val="0"/>
          <w:sz w:val="21"/>
          <w:szCs w:val="21"/>
          <w:highlight w:val="none"/>
          <w:lang w:val="en-US" w:eastAsia="zh-CN" w:bidi="ar"/>
        </w:rPr>
        <w:t>付款周期</w:t>
      </w:r>
    </w:p>
    <w:p w14:paraId="6BBD49CE">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bCs/>
          <w:color w:val="auto"/>
          <w:kern w:val="0"/>
          <w:sz w:val="21"/>
          <w:szCs w:val="21"/>
          <w:highlight w:val="none"/>
          <w:u w:val="none"/>
          <w:lang w:val="en-US" w:eastAsia="zh-CN" w:bidi="ar"/>
        </w:rPr>
      </w:pPr>
      <w:r>
        <w:rPr>
          <w:rFonts w:hint="eastAsia" w:ascii="宋体" w:hAnsi="宋体" w:eastAsia="宋体" w:cs="宋体"/>
          <w:bCs/>
          <w:color w:val="auto"/>
          <w:kern w:val="0"/>
          <w:sz w:val="21"/>
          <w:szCs w:val="21"/>
          <w:highlight w:val="none"/>
          <w:u w:val="none"/>
          <w:lang w:val="en-US" w:eastAsia="zh-CN" w:bidi="ar"/>
        </w:rPr>
        <w:t>发包人以银行转帐的方式按进度支付工程款：</w:t>
      </w:r>
    </w:p>
    <w:p w14:paraId="6E703816">
      <w:pPr>
        <w:spacing w:line="360" w:lineRule="auto"/>
        <w:ind w:firstLine="420" w:firstLineChars="200"/>
        <w:jc w:val="left"/>
        <w:rPr>
          <w:rFonts w:hint="eastAsia" w:hAnsi="宋体" w:eastAsia="宋体" w:cs="宋体"/>
          <w:color w:val="auto"/>
          <w:sz w:val="21"/>
          <w:szCs w:val="21"/>
          <w:highlight w:val="none"/>
          <w:u w:val="single"/>
          <w:lang w:eastAsia="zh-CN"/>
        </w:rPr>
      </w:pPr>
      <w:r>
        <w:rPr>
          <w:rFonts w:hint="eastAsia" w:hAnsi="宋体" w:eastAsia="宋体" w:cs="宋体"/>
          <w:color w:val="auto"/>
          <w:sz w:val="21"/>
          <w:szCs w:val="21"/>
          <w:highlight w:val="none"/>
          <w:u w:val="single"/>
          <w:lang w:eastAsia="zh-CN"/>
        </w:rPr>
        <w:t>①工程款按</w:t>
      </w:r>
      <w:r>
        <w:rPr>
          <w:rFonts w:hint="eastAsia" w:hAnsi="宋体" w:eastAsia="宋体" w:cs="宋体"/>
          <w:color w:val="auto"/>
          <w:sz w:val="21"/>
          <w:szCs w:val="21"/>
          <w:highlight w:val="none"/>
          <w:u w:val="single"/>
          <w:lang w:val="en-US" w:eastAsia="zh-CN"/>
        </w:rPr>
        <w:t>形象</w:t>
      </w:r>
      <w:r>
        <w:rPr>
          <w:rFonts w:hint="eastAsia" w:hAnsi="宋体" w:eastAsia="宋体" w:cs="宋体"/>
          <w:color w:val="auto"/>
          <w:sz w:val="21"/>
          <w:szCs w:val="21"/>
          <w:highlight w:val="none"/>
          <w:u w:val="single"/>
          <w:lang w:eastAsia="zh-CN"/>
        </w:rPr>
        <w:t>进度支付，</w:t>
      </w:r>
      <w:r>
        <w:rPr>
          <w:rFonts w:hint="eastAsia" w:hAnsi="宋体" w:eastAsia="宋体" w:cs="宋体"/>
          <w:color w:val="auto"/>
          <w:sz w:val="21"/>
          <w:szCs w:val="21"/>
          <w:highlight w:val="none"/>
          <w:u w:val="single"/>
          <w:lang w:val="en-US" w:eastAsia="zh-CN"/>
        </w:rPr>
        <w:t>发包人在</w:t>
      </w:r>
      <w:r>
        <w:rPr>
          <w:rFonts w:hint="eastAsia" w:hAnsi="宋体" w:eastAsia="宋体" w:cs="宋体"/>
          <w:color w:val="auto"/>
          <w:sz w:val="21"/>
          <w:szCs w:val="21"/>
          <w:highlight w:val="none"/>
          <w:u w:val="single"/>
          <w:lang w:eastAsia="zh-CN"/>
        </w:rPr>
        <w:t>承包方</w:t>
      </w:r>
      <w:r>
        <w:rPr>
          <w:rFonts w:hint="eastAsia" w:hAnsi="宋体" w:cs="宋体"/>
          <w:color w:val="auto"/>
          <w:sz w:val="21"/>
          <w:szCs w:val="21"/>
          <w:highlight w:val="none"/>
          <w:u w:val="single"/>
          <w:lang w:eastAsia="zh-CN"/>
        </w:rPr>
        <w:t>开具</w:t>
      </w:r>
      <w:r>
        <w:rPr>
          <w:rFonts w:hint="eastAsia" w:ascii="宋体" w:hAnsi="宋体" w:eastAsia="宋体" w:cs="宋体"/>
          <w:color w:val="auto"/>
          <w:kern w:val="0"/>
          <w:sz w:val="21"/>
          <w:szCs w:val="21"/>
          <w:highlight w:val="none"/>
          <w:u w:val="single"/>
          <w:lang w:val="en-US" w:eastAsia="zh-CN" w:bidi="ar"/>
        </w:rPr>
        <w:t>增值税</w:t>
      </w:r>
      <w:r>
        <w:rPr>
          <w:rFonts w:hint="eastAsia" w:hAnsi="宋体" w:cs="宋体"/>
          <w:color w:val="auto"/>
          <w:sz w:val="21"/>
          <w:szCs w:val="21"/>
          <w:highlight w:val="none"/>
          <w:u w:val="single"/>
          <w:lang w:eastAsia="zh-CN"/>
        </w:rPr>
        <w:t>等额发票</w:t>
      </w:r>
      <w:r>
        <w:rPr>
          <w:rFonts w:hint="eastAsia" w:hAnsi="宋体" w:eastAsia="宋体" w:cs="宋体"/>
          <w:color w:val="auto"/>
          <w:sz w:val="21"/>
          <w:szCs w:val="21"/>
          <w:highlight w:val="none"/>
          <w:u w:val="single"/>
          <w:lang w:eastAsia="zh-CN"/>
        </w:rPr>
        <w:t>后</w:t>
      </w:r>
      <w:r>
        <w:rPr>
          <w:rFonts w:hint="eastAsia" w:hAnsi="宋体" w:cs="宋体"/>
          <w:color w:val="auto"/>
          <w:sz w:val="21"/>
          <w:szCs w:val="21"/>
          <w:highlight w:val="none"/>
          <w:u w:val="single"/>
          <w:lang w:val="en-US" w:eastAsia="zh-CN"/>
        </w:rPr>
        <w:t>10个工作日内</w:t>
      </w:r>
      <w:r>
        <w:rPr>
          <w:rFonts w:hint="eastAsia" w:hAnsi="宋体" w:eastAsia="宋体" w:cs="宋体"/>
          <w:color w:val="auto"/>
          <w:sz w:val="21"/>
          <w:szCs w:val="21"/>
          <w:highlight w:val="none"/>
          <w:u w:val="single"/>
          <w:lang w:val="en-US" w:eastAsia="zh-CN"/>
        </w:rPr>
        <w:t>支付进度款</w:t>
      </w:r>
      <w:r>
        <w:rPr>
          <w:rFonts w:hint="eastAsia" w:hAnsi="宋体" w:eastAsia="宋体" w:cs="宋体"/>
          <w:color w:val="auto"/>
          <w:sz w:val="21"/>
          <w:szCs w:val="21"/>
          <w:highlight w:val="none"/>
          <w:u w:val="single"/>
          <w:lang w:eastAsia="zh-CN"/>
        </w:rPr>
        <w:t>，工程进度款支付限额为</w:t>
      </w:r>
      <w:r>
        <w:rPr>
          <w:rFonts w:hint="eastAsia" w:hAnsi="宋体" w:cs="宋体"/>
          <w:color w:val="auto"/>
          <w:sz w:val="21"/>
          <w:szCs w:val="21"/>
          <w:highlight w:val="none"/>
          <w:u w:val="single"/>
          <w:lang w:val="en-US" w:eastAsia="zh-CN"/>
        </w:rPr>
        <w:t>已</w:t>
      </w:r>
      <w:r>
        <w:rPr>
          <w:rFonts w:hint="eastAsia" w:asciiTheme="minorEastAsia" w:hAnsiTheme="minorEastAsia" w:eastAsiaTheme="minorEastAsia" w:cstheme="minorEastAsia"/>
          <w:color w:val="auto"/>
          <w:sz w:val="21"/>
          <w:szCs w:val="21"/>
          <w:highlight w:val="none"/>
          <w:u w:val="single"/>
          <w:lang w:val="en-US" w:eastAsia="zh-CN"/>
        </w:rPr>
        <w:t>完成工程量的</w:t>
      </w:r>
      <w:r>
        <w:rPr>
          <w:rFonts w:hint="eastAsia" w:hAnsi="宋体" w:eastAsia="宋体" w:cs="宋体"/>
          <w:color w:val="auto"/>
          <w:sz w:val="21"/>
          <w:szCs w:val="21"/>
          <w:highlight w:val="none"/>
          <w:u w:val="single"/>
          <w:lang w:eastAsia="zh-CN"/>
        </w:rPr>
        <w:t>的8</w:t>
      </w:r>
      <w:r>
        <w:rPr>
          <w:rFonts w:hint="eastAsia" w:hAnsi="宋体" w:cs="宋体"/>
          <w:color w:val="auto"/>
          <w:sz w:val="21"/>
          <w:szCs w:val="21"/>
          <w:highlight w:val="none"/>
          <w:u w:val="single"/>
          <w:lang w:val="en-US" w:eastAsia="zh-CN"/>
        </w:rPr>
        <w:t>0</w:t>
      </w:r>
      <w:r>
        <w:rPr>
          <w:rFonts w:hint="eastAsia" w:hAnsi="宋体" w:eastAsia="宋体" w:cs="宋体"/>
          <w:color w:val="auto"/>
          <w:sz w:val="21"/>
          <w:szCs w:val="21"/>
          <w:highlight w:val="none"/>
          <w:u w:val="single"/>
          <w:lang w:eastAsia="zh-CN"/>
        </w:rPr>
        <w:t xml:space="preserve"> %。</w:t>
      </w:r>
    </w:p>
    <w:p w14:paraId="2C47E031">
      <w:pPr>
        <w:spacing w:line="360" w:lineRule="auto"/>
        <w:ind w:firstLine="420" w:firstLineChars="200"/>
        <w:jc w:val="left"/>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u w:val="single"/>
          <w:lang w:eastAsia="zh-CN"/>
        </w:rPr>
        <w:t>②工程完工验收达到质量要求，</w:t>
      </w:r>
      <w:r>
        <w:rPr>
          <w:rFonts w:hint="eastAsia" w:hAnsi="宋体" w:eastAsia="宋体" w:cs="宋体"/>
          <w:color w:val="auto"/>
          <w:sz w:val="21"/>
          <w:szCs w:val="21"/>
          <w:highlight w:val="none"/>
          <w:u w:val="single"/>
          <w:lang w:val="en-US" w:eastAsia="zh-CN"/>
        </w:rPr>
        <w:t>发包人在</w:t>
      </w:r>
      <w:r>
        <w:rPr>
          <w:rFonts w:hint="eastAsia" w:hAnsi="宋体" w:eastAsia="宋体" w:cs="宋体"/>
          <w:color w:val="auto"/>
          <w:sz w:val="21"/>
          <w:szCs w:val="21"/>
          <w:highlight w:val="none"/>
          <w:u w:val="single"/>
          <w:lang w:eastAsia="zh-CN"/>
        </w:rPr>
        <w:t>承包方</w:t>
      </w:r>
      <w:r>
        <w:rPr>
          <w:rFonts w:hint="eastAsia" w:hAnsi="宋体" w:cs="宋体"/>
          <w:color w:val="auto"/>
          <w:sz w:val="21"/>
          <w:szCs w:val="21"/>
          <w:highlight w:val="none"/>
          <w:u w:val="single"/>
          <w:lang w:eastAsia="zh-CN"/>
        </w:rPr>
        <w:t>开具</w:t>
      </w:r>
      <w:r>
        <w:rPr>
          <w:rFonts w:hint="eastAsia" w:ascii="宋体" w:hAnsi="宋体" w:eastAsia="宋体" w:cs="宋体"/>
          <w:color w:val="auto"/>
          <w:kern w:val="0"/>
          <w:sz w:val="21"/>
          <w:szCs w:val="21"/>
          <w:highlight w:val="none"/>
          <w:u w:val="single"/>
          <w:lang w:val="en-US" w:eastAsia="zh-CN" w:bidi="ar"/>
        </w:rPr>
        <w:t>增值税</w:t>
      </w:r>
      <w:r>
        <w:rPr>
          <w:rFonts w:hint="eastAsia" w:hAnsi="宋体" w:cs="宋体"/>
          <w:color w:val="auto"/>
          <w:sz w:val="21"/>
          <w:szCs w:val="21"/>
          <w:highlight w:val="none"/>
          <w:u w:val="single"/>
          <w:lang w:eastAsia="zh-CN"/>
        </w:rPr>
        <w:t>等额发票</w:t>
      </w:r>
      <w:r>
        <w:rPr>
          <w:rFonts w:hint="eastAsia" w:hAnsi="宋体" w:eastAsia="宋体" w:cs="宋体"/>
          <w:color w:val="auto"/>
          <w:sz w:val="21"/>
          <w:szCs w:val="21"/>
          <w:highlight w:val="none"/>
          <w:u w:val="single"/>
          <w:lang w:eastAsia="zh-CN"/>
        </w:rPr>
        <w:t>后</w:t>
      </w:r>
      <w:r>
        <w:rPr>
          <w:rFonts w:hint="eastAsia" w:hAnsi="宋体" w:cs="宋体"/>
          <w:color w:val="auto"/>
          <w:sz w:val="21"/>
          <w:szCs w:val="21"/>
          <w:highlight w:val="none"/>
          <w:u w:val="single"/>
          <w:lang w:val="en-US" w:eastAsia="zh-CN"/>
        </w:rPr>
        <w:t>10个工作日内</w:t>
      </w:r>
      <w:r>
        <w:rPr>
          <w:rFonts w:hint="eastAsia" w:hAnsi="宋体" w:eastAsia="宋体" w:cs="宋体"/>
          <w:color w:val="auto"/>
          <w:sz w:val="21"/>
          <w:szCs w:val="21"/>
          <w:highlight w:val="none"/>
          <w:u w:val="single"/>
          <w:lang w:val="en-US" w:eastAsia="zh-CN"/>
        </w:rPr>
        <w:t>支付进度款，最高限额支付</w:t>
      </w:r>
      <w:r>
        <w:rPr>
          <w:rFonts w:hint="eastAsia" w:hAnsi="宋体" w:eastAsia="宋体" w:cs="宋体"/>
          <w:color w:val="auto"/>
          <w:sz w:val="21"/>
          <w:szCs w:val="21"/>
          <w:highlight w:val="none"/>
          <w:u w:val="single"/>
          <w:lang w:eastAsia="zh-CN"/>
        </w:rPr>
        <w:t>合同价款的</w:t>
      </w:r>
      <w:r>
        <w:rPr>
          <w:rFonts w:hint="eastAsia" w:hAnsi="宋体" w:cs="宋体"/>
          <w:color w:val="auto"/>
          <w:sz w:val="21"/>
          <w:szCs w:val="21"/>
          <w:highlight w:val="none"/>
          <w:u w:val="single"/>
          <w:lang w:val="en-US" w:eastAsia="zh-CN"/>
        </w:rPr>
        <w:t>8</w:t>
      </w:r>
      <w:r>
        <w:rPr>
          <w:rFonts w:hint="eastAsia" w:hAnsi="宋体" w:eastAsia="宋体" w:cs="宋体"/>
          <w:color w:val="auto"/>
          <w:sz w:val="21"/>
          <w:szCs w:val="21"/>
          <w:highlight w:val="none"/>
          <w:u w:val="single"/>
          <w:lang w:eastAsia="zh-CN"/>
        </w:rPr>
        <w:t>0 %，竣工结算经业主审定后，承包方</w:t>
      </w:r>
      <w:r>
        <w:rPr>
          <w:rFonts w:hint="eastAsia" w:hAnsi="宋体" w:cs="宋体"/>
          <w:color w:val="auto"/>
          <w:sz w:val="21"/>
          <w:szCs w:val="21"/>
          <w:highlight w:val="none"/>
          <w:u w:val="single"/>
          <w:lang w:eastAsia="zh-CN"/>
        </w:rPr>
        <w:t>开具</w:t>
      </w:r>
      <w:r>
        <w:rPr>
          <w:rFonts w:hint="eastAsia" w:ascii="宋体" w:hAnsi="宋体" w:eastAsia="宋体" w:cs="宋体"/>
          <w:color w:val="auto"/>
          <w:kern w:val="0"/>
          <w:sz w:val="21"/>
          <w:szCs w:val="21"/>
          <w:highlight w:val="none"/>
          <w:u w:val="single"/>
          <w:lang w:val="en-US" w:eastAsia="zh-CN" w:bidi="ar"/>
        </w:rPr>
        <w:t>增值税</w:t>
      </w:r>
      <w:r>
        <w:rPr>
          <w:rFonts w:hint="eastAsia" w:hAnsi="宋体" w:cs="宋体"/>
          <w:color w:val="auto"/>
          <w:sz w:val="21"/>
          <w:szCs w:val="21"/>
          <w:highlight w:val="none"/>
          <w:u w:val="single"/>
          <w:lang w:eastAsia="zh-CN"/>
        </w:rPr>
        <w:t>等额发票</w:t>
      </w:r>
      <w:r>
        <w:rPr>
          <w:rFonts w:hint="eastAsia" w:hAnsi="宋体" w:eastAsia="宋体" w:cs="宋体"/>
          <w:color w:val="auto"/>
          <w:sz w:val="21"/>
          <w:szCs w:val="21"/>
          <w:highlight w:val="none"/>
          <w:u w:val="single"/>
          <w:lang w:eastAsia="zh-CN"/>
        </w:rPr>
        <w:t>后</w:t>
      </w:r>
      <w:r>
        <w:rPr>
          <w:rFonts w:hint="eastAsia" w:hAnsi="宋体" w:cs="宋体"/>
          <w:color w:val="auto"/>
          <w:sz w:val="21"/>
          <w:szCs w:val="21"/>
          <w:highlight w:val="none"/>
          <w:u w:val="single"/>
          <w:lang w:val="en-US" w:eastAsia="zh-CN"/>
        </w:rPr>
        <w:t>10个工作日内</w:t>
      </w:r>
      <w:r>
        <w:rPr>
          <w:rFonts w:hint="eastAsia" w:hAnsi="宋体" w:eastAsia="宋体" w:cs="宋体"/>
          <w:color w:val="auto"/>
          <w:sz w:val="21"/>
          <w:szCs w:val="21"/>
          <w:highlight w:val="none"/>
          <w:u w:val="single"/>
          <w:lang w:eastAsia="zh-CN"/>
        </w:rPr>
        <w:t>，发包人工程款支付至结算总价的97%。发包人按工程价款结算总额的3%预留工程质量保证金。</w:t>
      </w:r>
    </w:p>
    <w:p w14:paraId="6FA6FF45">
      <w:pPr>
        <w:spacing w:line="360" w:lineRule="auto"/>
        <w:ind w:firstLine="420" w:firstLineChars="200"/>
        <w:jc w:val="left"/>
        <w:rPr>
          <w:rFonts w:hint="eastAsia" w:eastAsia="宋体"/>
          <w:color w:val="auto"/>
          <w:sz w:val="21"/>
          <w:szCs w:val="21"/>
          <w:highlight w:val="none"/>
          <w:lang w:eastAsia="zh-CN"/>
        </w:rPr>
      </w:pPr>
      <w:r>
        <w:rPr>
          <w:rFonts w:hAnsi="宋体" w:cs="宋体"/>
          <w:color w:val="auto"/>
          <w:sz w:val="21"/>
          <w:szCs w:val="21"/>
          <w:highlight w:val="none"/>
          <w:u w:val="single"/>
        </w:rPr>
        <w:fldChar w:fldCharType="begin"/>
      </w:r>
      <w:r>
        <w:rPr>
          <w:rFonts w:hAnsi="宋体" w:cs="宋体"/>
          <w:color w:val="auto"/>
          <w:sz w:val="21"/>
          <w:szCs w:val="21"/>
          <w:highlight w:val="none"/>
          <w:u w:val="single"/>
        </w:rPr>
        <w:instrText xml:space="preserve"> </w:instrText>
      </w:r>
      <w:r>
        <w:rPr>
          <w:rFonts w:hint="eastAsia" w:hAnsi="宋体" w:cs="宋体"/>
          <w:color w:val="auto"/>
          <w:sz w:val="21"/>
          <w:szCs w:val="21"/>
          <w:highlight w:val="none"/>
          <w:u w:val="single"/>
        </w:rPr>
        <w:instrText xml:space="preserve">= 3 \* GB3</w:instrText>
      </w:r>
      <w:r>
        <w:rPr>
          <w:rFonts w:hAnsi="宋体" w:cs="宋体"/>
          <w:color w:val="auto"/>
          <w:sz w:val="21"/>
          <w:szCs w:val="21"/>
          <w:highlight w:val="none"/>
          <w:u w:val="single"/>
        </w:rPr>
        <w:instrText xml:space="preserve"> </w:instrText>
      </w:r>
      <w:r>
        <w:rPr>
          <w:rFonts w:hAnsi="宋体" w:cs="宋体"/>
          <w:color w:val="auto"/>
          <w:sz w:val="21"/>
          <w:szCs w:val="21"/>
          <w:highlight w:val="none"/>
          <w:u w:val="single"/>
        </w:rPr>
        <w:fldChar w:fldCharType="separate"/>
      </w:r>
      <w:r>
        <w:rPr>
          <w:rFonts w:hint="eastAsia" w:hAnsi="宋体" w:cs="宋体"/>
          <w:color w:val="auto"/>
          <w:sz w:val="21"/>
          <w:szCs w:val="21"/>
          <w:highlight w:val="none"/>
          <w:u w:val="single"/>
        </w:rPr>
        <w:t>③</w:t>
      </w:r>
      <w:r>
        <w:rPr>
          <w:rFonts w:hAnsi="宋体" w:cs="宋体"/>
          <w:color w:val="auto"/>
          <w:sz w:val="21"/>
          <w:szCs w:val="21"/>
          <w:highlight w:val="none"/>
          <w:u w:val="single"/>
        </w:rPr>
        <w:fldChar w:fldCharType="end"/>
      </w:r>
      <w:r>
        <w:rPr>
          <w:rFonts w:hint="eastAsia" w:hAnsi="宋体" w:cs="宋体"/>
          <w:color w:val="auto"/>
          <w:sz w:val="21"/>
          <w:szCs w:val="21"/>
          <w:highlight w:val="none"/>
          <w:u w:val="single"/>
        </w:rPr>
        <w:t>合同约定的工程质量缺陷责任期（</w:t>
      </w:r>
      <w:r>
        <w:rPr>
          <w:rFonts w:hint="eastAsia" w:hAnsi="宋体" w:cs="宋体"/>
          <w:color w:val="auto"/>
          <w:sz w:val="21"/>
          <w:szCs w:val="21"/>
          <w:highlight w:val="none"/>
          <w:u w:val="single"/>
          <w:lang w:val="en-US" w:eastAsia="zh-CN"/>
        </w:rPr>
        <w:t>12个月</w:t>
      </w:r>
      <w:r>
        <w:rPr>
          <w:rFonts w:hint="eastAsia" w:hAnsi="宋体" w:cs="宋体"/>
          <w:color w:val="auto"/>
          <w:sz w:val="21"/>
          <w:szCs w:val="21"/>
          <w:highlight w:val="none"/>
          <w:u w:val="single"/>
        </w:rPr>
        <w:t>）满后由承包人向发包人提出返还保证金的申请，</w:t>
      </w:r>
      <w:r>
        <w:rPr>
          <w:rFonts w:hAnsi="宋体" w:cs="宋体"/>
          <w:color w:val="auto"/>
          <w:sz w:val="21"/>
          <w:szCs w:val="21"/>
          <w:highlight w:val="none"/>
          <w:u w:val="single"/>
        </w:rPr>
        <w:t>发包人</w:t>
      </w:r>
      <w:r>
        <w:rPr>
          <w:rFonts w:hint="eastAsia" w:hAnsi="宋体" w:cs="宋体"/>
          <w:color w:val="auto"/>
          <w:sz w:val="21"/>
          <w:szCs w:val="21"/>
          <w:highlight w:val="none"/>
          <w:u w:val="single"/>
        </w:rPr>
        <w:t>在</w:t>
      </w:r>
      <w:r>
        <w:rPr>
          <w:rFonts w:hAnsi="宋体" w:cs="宋体"/>
          <w:color w:val="auto"/>
          <w:sz w:val="21"/>
          <w:szCs w:val="21"/>
          <w:highlight w:val="none"/>
          <w:u w:val="single"/>
        </w:rPr>
        <w:t>接到承包人返还保证金申请后，于</w:t>
      </w:r>
      <w:r>
        <w:rPr>
          <w:rFonts w:hint="eastAsia" w:hAnsi="宋体" w:cs="宋体"/>
          <w:color w:val="auto"/>
          <w:sz w:val="21"/>
          <w:szCs w:val="21"/>
          <w:highlight w:val="none"/>
          <w:u w:val="single"/>
        </w:rPr>
        <w:t>14天</w:t>
      </w:r>
      <w:r>
        <w:rPr>
          <w:rFonts w:hAnsi="宋体" w:cs="宋体"/>
          <w:color w:val="auto"/>
          <w:sz w:val="21"/>
          <w:szCs w:val="21"/>
          <w:highlight w:val="none"/>
          <w:u w:val="single"/>
        </w:rPr>
        <w:t>内会同承包人按照合同约定的内容进行核实。如</w:t>
      </w:r>
      <w:r>
        <w:rPr>
          <w:rFonts w:hint="eastAsia" w:hAnsi="宋体" w:cs="宋体"/>
          <w:color w:val="auto"/>
          <w:sz w:val="21"/>
          <w:szCs w:val="21"/>
          <w:highlight w:val="none"/>
          <w:u w:val="single"/>
        </w:rPr>
        <w:t>无异</w:t>
      </w:r>
      <w:r>
        <w:rPr>
          <w:rFonts w:hAnsi="宋体" w:cs="宋体"/>
          <w:color w:val="auto"/>
          <w:sz w:val="21"/>
          <w:szCs w:val="21"/>
          <w:highlight w:val="none"/>
          <w:u w:val="single"/>
        </w:rPr>
        <w:t>议，发包人在核实后</w:t>
      </w:r>
      <w:r>
        <w:rPr>
          <w:rFonts w:hint="eastAsia" w:hAnsi="宋体" w:cs="宋体"/>
          <w:color w:val="auto"/>
          <w:sz w:val="21"/>
          <w:szCs w:val="21"/>
          <w:highlight w:val="none"/>
          <w:u w:val="single"/>
        </w:rPr>
        <w:t>14天</w:t>
      </w:r>
      <w:r>
        <w:rPr>
          <w:rFonts w:hAnsi="宋体" w:cs="宋体"/>
          <w:color w:val="auto"/>
          <w:sz w:val="21"/>
          <w:szCs w:val="21"/>
          <w:highlight w:val="none"/>
          <w:u w:val="single"/>
        </w:rPr>
        <w:t>内将保证金</w:t>
      </w:r>
      <w:r>
        <w:rPr>
          <w:rFonts w:hint="eastAsia" w:hAnsi="宋体" w:cs="宋体"/>
          <w:color w:val="auto"/>
          <w:sz w:val="21"/>
          <w:szCs w:val="21"/>
          <w:highlight w:val="none"/>
          <w:u w:val="single"/>
        </w:rPr>
        <w:t>返还承包</w:t>
      </w:r>
      <w:r>
        <w:rPr>
          <w:rFonts w:hAnsi="宋体" w:cs="宋体"/>
          <w:color w:val="auto"/>
          <w:sz w:val="21"/>
          <w:szCs w:val="21"/>
          <w:highlight w:val="none"/>
          <w:u w:val="single"/>
        </w:rPr>
        <w:t>人，逾期未返还的，依法承</w:t>
      </w:r>
      <w:r>
        <w:rPr>
          <w:rFonts w:hint="eastAsia" w:hAnsi="宋体" w:cs="宋体"/>
          <w:color w:val="auto"/>
          <w:sz w:val="21"/>
          <w:szCs w:val="21"/>
          <w:highlight w:val="none"/>
          <w:u w:val="single"/>
        </w:rPr>
        <w:t>担</w:t>
      </w:r>
      <w:r>
        <w:rPr>
          <w:rFonts w:hAnsi="宋体" w:cs="宋体"/>
          <w:color w:val="auto"/>
          <w:sz w:val="21"/>
          <w:szCs w:val="21"/>
          <w:highlight w:val="none"/>
          <w:u w:val="single"/>
        </w:rPr>
        <w:t>违约责任</w:t>
      </w:r>
      <w:r>
        <w:rPr>
          <w:rFonts w:hint="eastAsia" w:hAnsi="宋体" w:cs="宋体"/>
          <w:color w:val="auto"/>
          <w:sz w:val="21"/>
          <w:szCs w:val="21"/>
          <w:highlight w:val="none"/>
          <w:u w:val="single"/>
        </w:rPr>
        <w:t>。发</w:t>
      </w:r>
      <w:r>
        <w:rPr>
          <w:rFonts w:hAnsi="宋体" w:cs="宋体"/>
          <w:color w:val="auto"/>
          <w:sz w:val="21"/>
          <w:szCs w:val="21"/>
          <w:highlight w:val="none"/>
          <w:u w:val="single"/>
        </w:rPr>
        <w:t>包人在接到承包人返还保证金申请后</w:t>
      </w:r>
      <w:r>
        <w:rPr>
          <w:rFonts w:hint="eastAsia" w:hAnsi="宋体" w:cs="宋体"/>
          <w:color w:val="auto"/>
          <w:sz w:val="21"/>
          <w:szCs w:val="21"/>
          <w:highlight w:val="none"/>
          <w:u w:val="single"/>
        </w:rPr>
        <w:t>14天</w:t>
      </w:r>
      <w:r>
        <w:rPr>
          <w:rFonts w:hAnsi="宋体" w:cs="宋体"/>
          <w:color w:val="auto"/>
          <w:sz w:val="21"/>
          <w:szCs w:val="21"/>
          <w:highlight w:val="none"/>
          <w:u w:val="single"/>
        </w:rPr>
        <w:t>内不予答复，经催告后</w:t>
      </w:r>
      <w:r>
        <w:rPr>
          <w:rFonts w:hint="eastAsia" w:hAnsi="宋体" w:cs="宋体"/>
          <w:color w:val="auto"/>
          <w:sz w:val="21"/>
          <w:szCs w:val="21"/>
          <w:highlight w:val="none"/>
          <w:u w:val="single"/>
        </w:rPr>
        <w:t>14天</w:t>
      </w:r>
      <w:r>
        <w:rPr>
          <w:rFonts w:hAnsi="宋体" w:cs="宋体"/>
          <w:color w:val="auto"/>
          <w:sz w:val="21"/>
          <w:szCs w:val="21"/>
          <w:highlight w:val="none"/>
          <w:u w:val="single"/>
        </w:rPr>
        <w:t>内仍不</w:t>
      </w:r>
      <w:r>
        <w:rPr>
          <w:rFonts w:hint="eastAsia" w:hAnsi="宋体" w:cs="宋体"/>
          <w:color w:val="auto"/>
          <w:sz w:val="21"/>
          <w:szCs w:val="21"/>
          <w:highlight w:val="none"/>
          <w:u w:val="single"/>
        </w:rPr>
        <w:t>予</w:t>
      </w:r>
      <w:r>
        <w:rPr>
          <w:rFonts w:hAnsi="宋体" w:cs="宋体"/>
          <w:color w:val="auto"/>
          <w:sz w:val="21"/>
          <w:szCs w:val="21"/>
          <w:highlight w:val="none"/>
          <w:u w:val="single"/>
        </w:rPr>
        <w:t>答复，</w:t>
      </w:r>
      <w:r>
        <w:rPr>
          <w:rFonts w:hint="eastAsia" w:hAnsi="宋体" w:cs="宋体"/>
          <w:color w:val="auto"/>
          <w:sz w:val="21"/>
          <w:szCs w:val="21"/>
          <w:highlight w:val="none"/>
          <w:u w:val="single"/>
          <w:lang w:eastAsia="zh-CN"/>
        </w:rPr>
        <w:t>视同认可承包人的返还保证金申请。(承包方请款时按照附件要求提供相应材料）</w:t>
      </w:r>
    </w:p>
    <w:p w14:paraId="1629208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12.4.2 </w:t>
      </w:r>
      <w:r>
        <w:rPr>
          <w:rFonts w:hint="eastAsia" w:ascii="宋体" w:hAnsi="宋体" w:eastAsia="宋体" w:cs="宋体"/>
          <w:color w:val="auto"/>
          <w:kern w:val="0"/>
          <w:sz w:val="21"/>
          <w:szCs w:val="21"/>
          <w:highlight w:val="none"/>
          <w:lang w:val="en-US" w:eastAsia="zh-CN" w:bidi="ar"/>
        </w:rPr>
        <w:t>进度付款申请单的编制</w:t>
      </w:r>
    </w:p>
    <w:p w14:paraId="0A3AD98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关于进度付款申请单编制的约定：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按发包人的要求格式，一式六份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71428B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12.4.3 </w:t>
      </w:r>
      <w:r>
        <w:rPr>
          <w:rFonts w:hint="eastAsia" w:ascii="宋体" w:hAnsi="宋体" w:eastAsia="宋体" w:cs="宋体"/>
          <w:color w:val="auto"/>
          <w:kern w:val="0"/>
          <w:sz w:val="21"/>
          <w:szCs w:val="21"/>
          <w:highlight w:val="none"/>
          <w:lang w:val="en-US" w:eastAsia="zh-CN" w:bidi="ar"/>
        </w:rPr>
        <w:t>进度付款申请单的提交</w:t>
      </w:r>
    </w:p>
    <w:p w14:paraId="17D8E6A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）单价合同进度付款申请单提交的约定：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93976E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）总价合同进度付款申请单提交的约定：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05523F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）其他价格形式合同进度付款申请单提交的约定：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DEBF01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12.4.4 </w:t>
      </w:r>
      <w:r>
        <w:rPr>
          <w:rFonts w:hint="eastAsia" w:ascii="宋体" w:hAnsi="宋体" w:eastAsia="宋体" w:cs="宋体"/>
          <w:color w:val="auto"/>
          <w:kern w:val="0"/>
          <w:sz w:val="21"/>
          <w:szCs w:val="21"/>
          <w:highlight w:val="none"/>
          <w:lang w:val="en-US" w:eastAsia="zh-CN" w:bidi="ar"/>
        </w:rPr>
        <w:t>进度款审核和支付</w:t>
      </w:r>
    </w:p>
    <w:p w14:paraId="615956F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）监理人审查并报送发包人的期限：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收到资料后14 天内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1C8F8E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发包人完成审批并签发进度款支付证书的期限：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支付证书签发后14 天内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84633D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）发包人支付进度款的期限：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bCs/>
          <w:color w:val="auto"/>
          <w:kern w:val="0"/>
          <w:sz w:val="21"/>
          <w:szCs w:val="21"/>
          <w:highlight w:val="none"/>
          <w:u w:val="single"/>
          <w:lang w:val="en-US" w:eastAsia="zh-CN" w:bidi="ar"/>
        </w:rPr>
        <w:t>工程进度款在承包人</w:t>
      </w:r>
      <w:r>
        <w:rPr>
          <w:rFonts w:hint="eastAsia" w:ascii="宋体" w:hAnsi="宋体" w:cs="宋体"/>
          <w:bCs/>
          <w:color w:val="auto"/>
          <w:kern w:val="0"/>
          <w:sz w:val="21"/>
          <w:szCs w:val="21"/>
          <w:highlight w:val="none"/>
          <w:u w:val="single"/>
          <w:lang w:val="en-US" w:eastAsia="zh-CN" w:bidi="ar"/>
        </w:rPr>
        <w:t>开具等额发票</w:t>
      </w:r>
      <w:r>
        <w:rPr>
          <w:rFonts w:hint="eastAsia" w:ascii="宋体" w:hAnsi="宋体" w:eastAsia="宋体" w:cs="宋体"/>
          <w:bCs/>
          <w:color w:val="auto"/>
          <w:kern w:val="0"/>
          <w:sz w:val="21"/>
          <w:szCs w:val="21"/>
          <w:highlight w:val="none"/>
          <w:u w:val="single"/>
          <w:lang w:val="en-US" w:eastAsia="zh-CN" w:bidi="ar"/>
        </w:rPr>
        <w:t>后30日内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F9DE725">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发包人逾期支付进度款的违约金的计算方式：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C5DC213">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进度款支付方式：</w:t>
      </w:r>
      <w:r>
        <w:rPr>
          <w:rFonts w:hint="eastAsia" w:ascii="宋体" w:hAnsi="宋体" w:eastAsia="宋体" w:cs="宋体"/>
          <w:color w:val="auto"/>
          <w:kern w:val="0"/>
          <w:sz w:val="21"/>
          <w:szCs w:val="21"/>
          <w:highlight w:val="none"/>
          <w:u w:val="single"/>
          <w:lang w:val="en-US" w:eastAsia="zh-CN" w:bidi="ar"/>
        </w:rPr>
        <w:t>银行转账</w:t>
      </w:r>
      <w:r>
        <w:rPr>
          <w:rFonts w:hint="eastAsia" w:ascii="宋体" w:hAnsi="宋体" w:eastAsia="宋体" w:cs="宋体"/>
          <w:color w:val="auto"/>
          <w:kern w:val="0"/>
          <w:sz w:val="21"/>
          <w:szCs w:val="21"/>
          <w:highlight w:val="none"/>
          <w:lang w:val="en-US" w:eastAsia="zh-CN" w:bidi="ar"/>
        </w:rPr>
        <w:t>。进度款支付申请（核准）表见合同附件</w:t>
      </w:r>
      <w:r>
        <w:rPr>
          <w:rFonts w:hint="default" w:ascii="Times New Roman" w:hAnsi="Times New Roman" w:eastAsia="宋体" w:cs="Times New Roman"/>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val="en-US" w:eastAsia="zh-CN" w:bidi="ar"/>
        </w:rPr>
        <w:t>。</w:t>
      </w:r>
    </w:p>
    <w:p w14:paraId="64D15A7A">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农民工工资支付</w:t>
      </w:r>
    </w:p>
    <w:p w14:paraId="211C3310">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农民工工资应与其它工程进度款分账户管理。承包人向发包人申请工程进度款时必须把工人工资部分单独列明，如果未单独列明，监理单位不得签支付证书等支付工程款的手续，发包人单位不得审批和支付工程款。发包人必须把工程款分账户出来的农民工工资转入承包人工人工资支付专用账户专户，转入专户环节必须有银行流水凭证。</w:t>
      </w:r>
    </w:p>
    <w:p w14:paraId="31EA59C7">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）发包人依据工程进度，按与承包人约定的农民工支付比例，将工程人工费分账支付到承包人的农民工工资专户，工程完工时发包人向承包人农民工工资专户支付的完工工程量的人工费支付比例不低于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，其余工程进度款项由发包人支付到承包人的单位基本户。</w:t>
      </w:r>
    </w:p>
    <w:p w14:paraId="65053404">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。其余分包工程进度款项由承包人支付到分包人的单位基本户。</w:t>
      </w:r>
    </w:p>
    <w:p w14:paraId="50C6F3C4">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）凡未向付款单位提供农民工工资专户的，或者请款单位在申请工程进度款时未将人工费单列的，付款单位有权拒绝支付工程进度款。</w:t>
      </w:r>
    </w:p>
    <w:p w14:paraId="6F3D0C0A">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）农民工工资使用要求：专款专用，除发放工人工资外，不得用于其他用途。</w:t>
      </w:r>
    </w:p>
    <w:p w14:paraId="6E9CF953">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）承包人将农民工工资支付情况定期报告发包人和监理单位，并提供相应的材料接受建设行政主管部门和劳动保障行政主管部门对此事项监管。</w:t>
      </w:r>
    </w:p>
    <w:p w14:paraId="1BC5A85F">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）农民工工资支付专用账户：</w:t>
      </w:r>
      <w:r>
        <w:rPr>
          <w:rFonts w:hint="eastAsia" w:ascii="Times New Roman" w:hAnsi="宋体" w:eastAsia="宋体" w:cs="宋体"/>
          <w:color w:val="auto"/>
          <w:kern w:val="0"/>
          <w:sz w:val="21"/>
          <w:szCs w:val="21"/>
          <w:highlight w:val="none"/>
          <w:lang w:val="en-US" w:eastAsia="zh-CN" w:bidi="ar"/>
        </w:rPr>
        <w:t xml:space="preserve"> </w:t>
      </w:r>
    </w:p>
    <w:p w14:paraId="0C6C5270">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账号：</w:t>
      </w:r>
      <w:r>
        <w:rPr>
          <w:rFonts w:hint="eastAsia" w:ascii="Times New Roman" w:hAnsi="宋体" w:eastAsia="宋体" w:cs="宋体"/>
          <w:color w:val="auto"/>
          <w:kern w:val="0"/>
          <w:sz w:val="21"/>
          <w:szCs w:val="21"/>
          <w:highlight w:val="none"/>
          <w:lang w:val="en-US" w:eastAsia="zh-CN" w:bidi="ar"/>
        </w:rPr>
        <w:t xml:space="preserve"> </w:t>
      </w:r>
    </w:p>
    <w:p w14:paraId="091C6BA3">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开户行：</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cs="宋体"/>
          <w:color w:val="auto"/>
          <w:kern w:val="0"/>
          <w:sz w:val="21"/>
          <w:szCs w:val="21"/>
          <w:highlight w:val="none"/>
          <w:lang w:val="en-US" w:eastAsia="zh-CN" w:bidi="ar"/>
        </w:rPr>
        <w:t xml:space="preserve"> </w:t>
      </w:r>
    </w:p>
    <w:p w14:paraId="7EA7EA73">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12.4.6 </w:t>
      </w:r>
      <w:r>
        <w:rPr>
          <w:rFonts w:hint="eastAsia" w:ascii="宋体" w:hAnsi="宋体" w:eastAsia="宋体" w:cs="宋体"/>
          <w:color w:val="auto"/>
          <w:kern w:val="0"/>
          <w:sz w:val="21"/>
          <w:szCs w:val="21"/>
          <w:highlight w:val="none"/>
          <w:lang w:val="en-US" w:eastAsia="zh-CN" w:bidi="ar"/>
        </w:rPr>
        <w:t>支付分解表的编制</w:t>
      </w:r>
    </w:p>
    <w:p w14:paraId="0EA1AE4B">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总价合同支付分解表的编制与审批：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总价合同支付分解表在招标完成后由发包人和承包人共同编制，发包人审批，并作为本合同内容，具体详见合同附件</w:t>
      </w:r>
      <w:r>
        <w:rPr>
          <w:rFonts w:hint="default" w:ascii="Times New Roman" w:hAnsi="Times New Roman" w:eastAsia="宋体" w:cs="Times New Roman"/>
          <w:color w:val="auto"/>
          <w:kern w:val="0"/>
          <w:sz w:val="21"/>
          <w:szCs w:val="21"/>
          <w:highlight w:val="none"/>
          <w:u w:val="single"/>
          <w:lang w:val="en-US" w:eastAsia="zh-CN" w:bidi="ar"/>
        </w:rPr>
        <w:t>14</w:t>
      </w:r>
      <w:r>
        <w:rPr>
          <w:rFonts w:hint="eastAsia" w:ascii="宋体" w:hAnsi="宋体" w:eastAsia="宋体" w:cs="宋体"/>
          <w:color w:val="auto"/>
          <w:kern w:val="0"/>
          <w:sz w:val="21"/>
          <w:szCs w:val="21"/>
          <w:highlight w:val="none"/>
          <w:u w:val="single"/>
          <w:lang w:val="en-US" w:eastAsia="zh-CN" w:bidi="ar"/>
        </w:rPr>
        <w:t>。</w:t>
      </w:r>
    </w:p>
    <w:p w14:paraId="6DCD228F">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）单价合同的总价项目支付分解表的编制与审批：总价项目不采用支付分解表的方式计算，而按《建设工程工程量清单计价规范（</w:t>
      </w:r>
      <w:r>
        <w:rPr>
          <w:rFonts w:hint="default" w:ascii="Times New Roman" w:hAnsi="宋体" w:eastAsia="宋体" w:cs="Times New Roman"/>
          <w:color w:val="auto"/>
          <w:kern w:val="0"/>
          <w:sz w:val="21"/>
          <w:szCs w:val="21"/>
          <w:highlight w:val="none"/>
          <w:lang w:val="en-US" w:eastAsia="zh-CN" w:bidi="ar"/>
        </w:rPr>
        <w:t>GB50500-2013</w:t>
      </w:r>
      <w:r>
        <w:rPr>
          <w:rFonts w:hint="eastAsia" w:ascii="宋体" w:hAnsi="宋体" w:eastAsia="宋体" w:cs="宋体"/>
          <w:color w:val="auto"/>
          <w:kern w:val="0"/>
          <w:sz w:val="21"/>
          <w:szCs w:val="21"/>
          <w:highlight w:val="none"/>
          <w:lang w:val="en-US" w:eastAsia="zh-CN" w:bidi="ar"/>
        </w:rPr>
        <w:t>）广西壮族自治区实施细则》的规定执行。</w:t>
      </w:r>
    </w:p>
    <w:p w14:paraId="66F280F6">
      <w:pPr>
        <w:pStyle w:val="3"/>
        <w:widowControl/>
        <w:shd w:val="clear"/>
        <w:rPr>
          <w:rFonts w:hint="default" w:ascii="Arial" w:hAnsi="Arial" w:eastAsia="黑体" w:cs="Times New Roman"/>
          <w:b/>
          <w:bCs w:val="0"/>
          <w:color w:val="auto"/>
          <w:sz w:val="32"/>
          <w:szCs w:val="32"/>
          <w:highlight w:val="none"/>
        </w:rPr>
      </w:pPr>
      <w:bookmarkStart w:id="899" w:name="_Toc297048405"/>
      <w:bookmarkEnd w:id="899"/>
      <w:bookmarkStart w:id="900" w:name="_Toc296503219"/>
      <w:bookmarkEnd w:id="900"/>
      <w:bookmarkStart w:id="901" w:name="_Toc296346720"/>
      <w:bookmarkEnd w:id="901"/>
      <w:bookmarkStart w:id="902" w:name="_Toc296891047"/>
      <w:bookmarkEnd w:id="902"/>
      <w:bookmarkStart w:id="903" w:name="_Toc297216223"/>
      <w:bookmarkEnd w:id="903"/>
      <w:bookmarkStart w:id="904" w:name="_Toc373478400"/>
      <w:bookmarkEnd w:id="904"/>
      <w:bookmarkStart w:id="905" w:name="_Toc407135256"/>
      <w:bookmarkEnd w:id="905"/>
      <w:bookmarkStart w:id="906" w:name="_Toc297120519"/>
      <w:bookmarkEnd w:id="906"/>
      <w:bookmarkStart w:id="907" w:name="_Toc312678053"/>
      <w:bookmarkEnd w:id="907"/>
      <w:bookmarkStart w:id="908" w:name="_Toc292559424"/>
      <w:bookmarkEnd w:id="908"/>
      <w:bookmarkStart w:id="909" w:name="_Toc297123564"/>
      <w:bookmarkEnd w:id="909"/>
      <w:bookmarkStart w:id="910" w:name="_Toc296944558"/>
      <w:bookmarkEnd w:id="910"/>
      <w:bookmarkStart w:id="911" w:name="_Toc296347218"/>
      <w:bookmarkEnd w:id="911"/>
      <w:bookmarkStart w:id="912" w:name="_Toc9850584"/>
      <w:bookmarkEnd w:id="912"/>
      <w:bookmarkStart w:id="913" w:name="_Toc351203645"/>
      <w:bookmarkEnd w:id="913"/>
      <w:bookmarkStart w:id="914" w:name="_Toc296891259"/>
      <w:bookmarkEnd w:id="914"/>
      <w:bookmarkStart w:id="915" w:name="_Toc300935015"/>
      <w:bookmarkEnd w:id="915"/>
      <w:bookmarkStart w:id="916" w:name="_Toc292559929"/>
      <w:bookmarkEnd w:id="916"/>
      <w:bookmarkStart w:id="917" w:name="_Toc373227753"/>
      <w:bookmarkEnd w:id="917"/>
      <w:bookmarkStart w:id="918" w:name="_Toc389065318"/>
      <w:bookmarkEnd w:id="918"/>
      <w:bookmarkStart w:id="919" w:name="_Toc303539172"/>
      <w:bookmarkEnd w:id="919"/>
      <w:bookmarkStart w:id="920" w:name="_Toc304295593"/>
      <w:r>
        <w:rPr>
          <w:rFonts w:hint="default" w:ascii="Arial" w:hAnsi="Arial" w:eastAsia="黑体" w:cs="Times New Roman"/>
          <w:b/>
          <w:bCs w:val="0"/>
          <w:color w:val="auto"/>
          <w:sz w:val="32"/>
          <w:szCs w:val="32"/>
          <w:highlight w:val="none"/>
        </w:rPr>
        <w:t xml:space="preserve">13. </w:t>
      </w:r>
      <w:bookmarkEnd w:id="920"/>
      <w:r>
        <w:rPr>
          <w:rFonts w:hint="eastAsia" w:ascii="黑体" w:hAnsi="宋体" w:eastAsia="黑体" w:cs="黑体"/>
          <w:b/>
          <w:bCs w:val="0"/>
          <w:color w:val="auto"/>
          <w:sz w:val="32"/>
          <w:szCs w:val="32"/>
          <w:highlight w:val="none"/>
        </w:rPr>
        <w:t>验收和工程试车</w:t>
      </w:r>
    </w:p>
    <w:p w14:paraId="4C9AC98F">
      <w:pPr>
        <w:pStyle w:val="4"/>
        <w:widowControl/>
        <w:shd w:val="clear"/>
        <w:rPr>
          <w:rFonts w:hint="default" w:ascii="Times New Roman" w:hAnsi="Times New Roman" w:eastAsia="宋体" w:cs="Times New Roman"/>
          <w:b/>
          <w:bCs/>
          <w:color w:val="auto"/>
          <w:kern w:val="2"/>
          <w:sz w:val="32"/>
          <w:szCs w:val="32"/>
          <w:highlight w:val="none"/>
        </w:rPr>
      </w:pPr>
      <w:bookmarkStart w:id="921" w:name="_Toc373227754"/>
      <w:bookmarkEnd w:id="921"/>
      <w:bookmarkStart w:id="922" w:name="_Toc373478401"/>
      <w:bookmarkEnd w:id="922"/>
      <w:bookmarkStart w:id="923" w:name="_Toc407135257"/>
      <w:bookmarkEnd w:id="923"/>
      <w:bookmarkStart w:id="924" w:name="_Toc389065319"/>
      <w:bookmarkEnd w:id="924"/>
      <w:bookmarkStart w:id="925" w:name="_Toc9850585"/>
      <w:bookmarkEnd w:id="925"/>
      <w:r>
        <w:rPr>
          <w:rFonts w:hint="default" w:ascii="Times New Roman" w:hAnsi="Times New Roman" w:eastAsia="宋体" w:cs="Times New Roman"/>
          <w:b/>
          <w:bCs/>
          <w:color w:val="auto"/>
          <w:kern w:val="2"/>
          <w:sz w:val="32"/>
          <w:szCs w:val="32"/>
          <w:highlight w:val="none"/>
        </w:rPr>
        <w:t xml:space="preserve">13.1 </w:t>
      </w:r>
      <w:r>
        <w:rPr>
          <w:rFonts w:hint="eastAsia" w:ascii="宋体" w:hAnsi="宋体" w:eastAsia="宋体" w:cs="宋体"/>
          <w:b/>
          <w:bCs/>
          <w:color w:val="auto"/>
          <w:kern w:val="2"/>
          <w:sz w:val="32"/>
          <w:szCs w:val="32"/>
          <w:highlight w:val="none"/>
        </w:rPr>
        <w:t>分部分项工程验收</w:t>
      </w:r>
    </w:p>
    <w:p w14:paraId="23E3B31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13.1.2</w:t>
      </w:r>
      <w:r>
        <w:rPr>
          <w:rFonts w:hint="eastAsia" w:ascii="宋体" w:hAnsi="宋体" w:eastAsia="宋体" w:cs="宋体"/>
          <w:color w:val="auto"/>
          <w:kern w:val="0"/>
          <w:sz w:val="21"/>
          <w:szCs w:val="21"/>
          <w:highlight w:val="none"/>
          <w:lang w:val="en-US" w:eastAsia="zh-CN" w:bidi="ar"/>
        </w:rPr>
        <w:t>监理人不能按时进行验收时，应提前</w:t>
      </w:r>
      <w:r>
        <w:rPr>
          <w:rFonts w:hint="default" w:ascii="Times New Roman" w:hAnsi="Times New Roman" w:eastAsia="宋体" w:cs="Times New Roman"/>
          <w:color w:val="auto"/>
          <w:kern w:val="0"/>
          <w:sz w:val="21"/>
          <w:szCs w:val="21"/>
          <w:highlight w:val="none"/>
          <w:u w:val="single"/>
          <w:lang w:val="en-US" w:eastAsia="zh-CN" w:bidi="ar"/>
        </w:rPr>
        <w:t xml:space="preserve"> 48</w:t>
      </w:r>
      <w:r>
        <w:rPr>
          <w:rFonts w:hint="eastAsia" w:ascii="宋体" w:hAnsi="宋体" w:eastAsia="宋体" w:cs="宋体"/>
          <w:color w:val="auto"/>
          <w:kern w:val="0"/>
          <w:sz w:val="21"/>
          <w:szCs w:val="21"/>
          <w:highlight w:val="none"/>
          <w:lang w:val="en-US" w:eastAsia="zh-CN" w:bidi="ar"/>
        </w:rPr>
        <w:t>小时提交书面延期要求。</w:t>
      </w:r>
    </w:p>
    <w:p w14:paraId="5052B4A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b/>
          <w:bCs/>
          <w:color w:val="auto"/>
          <w:sz w:val="21"/>
          <w:szCs w:val="21"/>
          <w:highlight w:val="none"/>
        </w:rPr>
      </w:pPr>
      <w:r>
        <w:rPr>
          <w:rFonts w:hint="eastAsia" w:ascii="宋体" w:hAnsi="宋体" w:eastAsia="宋体" w:cs="宋体"/>
          <w:color w:val="auto"/>
          <w:kern w:val="0"/>
          <w:sz w:val="21"/>
          <w:szCs w:val="21"/>
          <w:highlight w:val="none"/>
          <w:lang w:val="en-US" w:eastAsia="zh-CN" w:bidi="ar"/>
        </w:rPr>
        <w:t>关于延期最长不得超过：</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w:t>
      </w:r>
    </w:p>
    <w:p w14:paraId="036309CB">
      <w:pPr>
        <w:pStyle w:val="4"/>
        <w:widowControl/>
        <w:shd w:val="clear"/>
        <w:rPr>
          <w:rFonts w:hint="default" w:ascii="Times New Roman" w:hAnsi="Times New Roman" w:eastAsia="宋体" w:cs="Times New Roman"/>
          <w:b/>
          <w:bCs/>
          <w:color w:val="auto"/>
          <w:kern w:val="2"/>
          <w:sz w:val="32"/>
          <w:szCs w:val="32"/>
          <w:highlight w:val="none"/>
        </w:rPr>
      </w:pPr>
      <w:bookmarkStart w:id="926" w:name="_Toc312678056"/>
      <w:bookmarkEnd w:id="926"/>
      <w:bookmarkStart w:id="927" w:name="_Toc296944562"/>
      <w:bookmarkEnd w:id="927"/>
      <w:bookmarkStart w:id="928" w:name="_Toc267251473"/>
      <w:bookmarkEnd w:id="928"/>
      <w:bookmarkStart w:id="929" w:name="_Toc296347222"/>
      <w:bookmarkEnd w:id="929"/>
      <w:bookmarkStart w:id="930" w:name="_Toc373478402"/>
      <w:bookmarkEnd w:id="930"/>
      <w:bookmarkStart w:id="931" w:name="_Toc296346724"/>
      <w:bookmarkEnd w:id="931"/>
      <w:bookmarkStart w:id="932" w:name="_Toc292559428"/>
      <w:bookmarkEnd w:id="932"/>
      <w:bookmarkStart w:id="933" w:name="_Toc296891263"/>
      <w:bookmarkEnd w:id="933"/>
      <w:bookmarkStart w:id="934" w:name="_Toc407135258"/>
      <w:bookmarkEnd w:id="934"/>
      <w:bookmarkStart w:id="935" w:name="_Toc267251470"/>
      <w:bookmarkEnd w:id="935"/>
      <w:bookmarkStart w:id="936" w:name="_Toc9850586"/>
      <w:bookmarkEnd w:id="936"/>
      <w:bookmarkStart w:id="937" w:name="_Toc267251475"/>
      <w:bookmarkEnd w:id="937"/>
      <w:bookmarkStart w:id="938" w:name="_Toc267251472"/>
      <w:bookmarkEnd w:id="938"/>
      <w:bookmarkStart w:id="939" w:name="_Toc304295596"/>
      <w:bookmarkEnd w:id="939"/>
      <w:bookmarkStart w:id="940" w:name="_Toc297120523"/>
      <w:bookmarkEnd w:id="940"/>
      <w:bookmarkStart w:id="941" w:name="_Toc296503223"/>
      <w:bookmarkEnd w:id="941"/>
      <w:bookmarkStart w:id="942" w:name="_Toc296891051"/>
      <w:bookmarkEnd w:id="942"/>
      <w:bookmarkStart w:id="943" w:name="_Toc303539173"/>
      <w:bookmarkEnd w:id="943"/>
      <w:bookmarkStart w:id="944" w:name="_Toc373227755"/>
      <w:bookmarkEnd w:id="944"/>
      <w:bookmarkStart w:id="945" w:name="_Toc292559933"/>
      <w:bookmarkEnd w:id="945"/>
      <w:bookmarkStart w:id="946" w:name="_Toc389065320"/>
      <w:bookmarkEnd w:id="946"/>
      <w:bookmarkStart w:id="947" w:name="_Toc297048409"/>
      <w:bookmarkEnd w:id="947"/>
      <w:bookmarkStart w:id="948" w:name="_Toc297123565"/>
      <w:bookmarkEnd w:id="948"/>
      <w:bookmarkStart w:id="949" w:name="_Toc297216224"/>
      <w:bookmarkEnd w:id="949"/>
      <w:bookmarkStart w:id="950" w:name="_Toc300935016"/>
      <w:bookmarkEnd w:id="950"/>
      <w:bookmarkStart w:id="951" w:name="_Toc267251474"/>
      <w:bookmarkEnd w:id="951"/>
      <w:bookmarkStart w:id="952" w:name="_Toc267251471"/>
      <w:bookmarkEnd w:id="952"/>
      <w:bookmarkStart w:id="953" w:name="_Toc267251476"/>
      <w:r>
        <w:rPr>
          <w:rFonts w:hint="default" w:ascii="Times New Roman" w:hAnsi="Times New Roman" w:eastAsia="宋体" w:cs="Times New Roman"/>
          <w:b/>
          <w:bCs/>
          <w:color w:val="auto"/>
          <w:kern w:val="2"/>
          <w:sz w:val="32"/>
          <w:szCs w:val="32"/>
          <w:highlight w:val="none"/>
        </w:rPr>
        <w:t xml:space="preserve">13.2 </w:t>
      </w:r>
      <w:bookmarkEnd w:id="953"/>
      <w:r>
        <w:rPr>
          <w:rFonts w:hint="eastAsia" w:ascii="宋体" w:hAnsi="宋体" w:eastAsia="宋体" w:cs="宋体"/>
          <w:b/>
          <w:bCs/>
          <w:color w:val="auto"/>
          <w:kern w:val="2"/>
          <w:sz w:val="32"/>
          <w:szCs w:val="32"/>
          <w:highlight w:val="none"/>
        </w:rPr>
        <w:t>竣工验收</w:t>
      </w:r>
    </w:p>
    <w:p w14:paraId="731EDDE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954" w:name="_Toc280868709"/>
      <w:bookmarkEnd w:id="954"/>
      <w:bookmarkStart w:id="955" w:name="_Toc280868706"/>
      <w:bookmarkEnd w:id="955"/>
      <w:bookmarkStart w:id="956" w:name="_Toc280868708"/>
      <w:bookmarkEnd w:id="956"/>
      <w:bookmarkStart w:id="957" w:name="_Toc280868705"/>
      <w:bookmarkEnd w:id="957"/>
      <w:bookmarkStart w:id="958" w:name="_Toc280868704"/>
      <w:bookmarkEnd w:id="958"/>
      <w:bookmarkStart w:id="959" w:name="_Toc280868707"/>
      <w:bookmarkEnd w:id="959"/>
      <w:r>
        <w:rPr>
          <w:rFonts w:hint="default" w:ascii="Times New Roman" w:hAnsi="Times New Roman" w:eastAsia="宋体" w:cs="Times New Roman"/>
          <w:color w:val="auto"/>
          <w:kern w:val="0"/>
          <w:sz w:val="21"/>
          <w:szCs w:val="21"/>
          <w:highlight w:val="none"/>
          <w:lang w:val="en-US" w:eastAsia="zh-CN" w:bidi="ar"/>
        </w:rPr>
        <w:t>13.2.1</w:t>
      </w:r>
      <w:r>
        <w:rPr>
          <w:rFonts w:hint="eastAsia" w:ascii="宋体" w:hAnsi="宋体" w:eastAsia="宋体" w:cs="宋体"/>
          <w:color w:val="auto"/>
          <w:kern w:val="0"/>
          <w:sz w:val="21"/>
          <w:szCs w:val="21"/>
          <w:highlight w:val="none"/>
          <w:lang w:val="en-US" w:eastAsia="zh-CN" w:bidi="ar"/>
        </w:rPr>
        <w:t>竣工验收条件</w:t>
      </w:r>
    </w:p>
    <w:p w14:paraId="4DFC7C3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）承包人负责整理和提交的竣工验收资料应当符合工程所在地建设行政主管部门和</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或</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城市建设档案管理机构有关施工资料的要求，具体内容包括：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30EF64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竣工验收资料的份数：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81FC3D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承包人提供竣工图的约定：</w:t>
      </w:r>
      <w:r>
        <w:rPr>
          <w:rFonts w:hint="eastAsia" w:ascii="宋体" w:hAnsi="宋体" w:eastAsia="宋体" w:cs="宋体"/>
          <w:color w:val="auto"/>
          <w:kern w:val="0"/>
          <w:sz w:val="21"/>
          <w:szCs w:val="21"/>
          <w:highlight w:val="none"/>
          <w:u w:val="single"/>
          <w:lang w:val="en-US" w:eastAsia="zh-CN" w:bidi="ar"/>
        </w:rPr>
        <w:t>竣工验收正式通过后</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万元以下含</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w:t>
      </w:r>
      <w:r>
        <w:rPr>
          <w:rFonts w:hint="default" w:ascii="Times New Roman" w:hAnsi="Times New Roman" w:eastAsia="宋体" w:cs="Times New Roman"/>
          <w:color w:val="auto"/>
          <w:kern w:val="0"/>
          <w:sz w:val="21"/>
          <w:szCs w:val="21"/>
          <w:highlight w:val="none"/>
          <w:u w:val="single"/>
          <w:lang w:val="en-US" w:eastAsia="zh-CN" w:bidi="ar"/>
        </w:rPr>
        <w:t>10</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万元至</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万元之间含</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w:t>
      </w:r>
      <w:r>
        <w:rPr>
          <w:rFonts w:hint="default" w:ascii="Times New Roman" w:hAnsi="Times New Roman" w:eastAsia="宋体" w:cs="Times New Roman"/>
          <w:color w:val="auto"/>
          <w:kern w:val="0"/>
          <w:sz w:val="21"/>
          <w:szCs w:val="21"/>
          <w:highlight w:val="none"/>
          <w:u w:val="single"/>
          <w:lang w:val="en-US" w:eastAsia="zh-CN" w:bidi="ar"/>
        </w:rPr>
        <w:t>15</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万元以上），提供竣工图的数量分别为</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套、</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套、</w:t>
      </w:r>
      <w:r>
        <w:rPr>
          <w:rFonts w:hint="default" w:ascii="Times New Roman" w:hAnsi="Times New Roman" w:eastAsia="宋体" w:cs="Times New Roman"/>
          <w:color w:val="auto"/>
          <w:kern w:val="0"/>
          <w:sz w:val="21"/>
          <w:szCs w:val="21"/>
          <w:highlight w:val="none"/>
          <w:u w:val="single"/>
          <w:lang w:val="en-US" w:eastAsia="zh-CN" w:bidi="ar"/>
        </w:rPr>
        <w:t>6</w:t>
      </w:r>
      <w:r>
        <w:rPr>
          <w:rFonts w:hint="eastAsia" w:ascii="宋体" w:hAnsi="宋体" w:eastAsia="宋体" w:cs="宋体"/>
          <w:color w:val="auto"/>
          <w:kern w:val="0"/>
          <w:sz w:val="21"/>
          <w:szCs w:val="21"/>
          <w:highlight w:val="none"/>
          <w:u w:val="single"/>
          <w:lang w:val="en-US" w:eastAsia="zh-CN" w:bidi="ar"/>
        </w:rPr>
        <w:t>套。</w:t>
      </w:r>
    </w:p>
    <w:p w14:paraId="28DC82B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13.2.2</w:t>
      </w:r>
      <w:r>
        <w:rPr>
          <w:rFonts w:hint="eastAsia" w:ascii="宋体" w:hAnsi="宋体" w:eastAsia="宋体" w:cs="宋体"/>
          <w:color w:val="auto"/>
          <w:kern w:val="0"/>
          <w:sz w:val="21"/>
          <w:szCs w:val="21"/>
          <w:highlight w:val="none"/>
          <w:lang w:val="en-US" w:eastAsia="zh-CN" w:bidi="ar"/>
        </w:rPr>
        <w:t>竣工验收程序</w:t>
      </w:r>
    </w:p>
    <w:p w14:paraId="26521B0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关于竣工验收程序的约定：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852D5B6">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发包人不按照本项约定组织竣工验收、颁发工程接收证书的违约金的计算方法：</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D70527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13.2.5</w:t>
      </w:r>
      <w:r>
        <w:rPr>
          <w:rFonts w:hint="eastAsia" w:ascii="宋体" w:hAnsi="宋体" w:eastAsia="宋体" w:cs="宋体"/>
          <w:color w:val="auto"/>
          <w:kern w:val="0"/>
          <w:sz w:val="21"/>
          <w:szCs w:val="21"/>
          <w:highlight w:val="none"/>
          <w:lang w:val="en-US" w:eastAsia="zh-CN" w:bidi="ar"/>
        </w:rPr>
        <w:t>移交、接收全部与部分工程</w:t>
      </w:r>
    </w:p>
    <w:p w14:paraId="163087B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承包人向发包人移交工程的期限：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自验收合格之日起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FACF2F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发包人未按本合同约定接收全部或部分工程的，违约金的计算方法为：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860118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highlight w:val="none"/>
          <w:u w:val="single"/>
        </w:rPr>
      </w:pPr>
      <w:r>
        <w:rPr>
          <w:rFonts w:hint="eastAsia" w:ascii="宋体" w:hAnsi="宋体" w:eastAsia="宋体" w:cs="宋体"/>
          <w:color w:val="auto"/>
          <w:kern w:val="0"/>
          <w:sz w:val="21"/>
          <w:szCs w:val="21"/>
          <w:highlight w:val="none"/>
          <w:lang w:val="en-US" w:eastAsia="zh-CN" w:bidi="ar"/>
        </w:rPr>
        <w:t>承包人未按时移交工程的，违约金的计算方法为：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EE5CF6C">
      <w:pPr>
        <w:pStyle w:val="4"/>
        <w:widowControl/>
        <w:shd w:val="clear"/>
        <w:rPr>
          <w:rFonts w:hint="default" w:ascii="Times New Roman" w:hAnsi="Times New Roman" w:eastAsia="宋体" w:cs="Times New Roman"/>
          <w:b/>
          <w:bCs/>
          <w:color w:val="auto"/>
          <w:kern w:val="2"/>
          <w:sz w:val="32"/>
          <w:szCs w:val="32"/>
          <w:highlight w:val="none"/>
        </w:rPr>
      </w:pPr>
      <w:bookmarkStart w:id="960" w:name="_Toc373478403"/>
      <w:bookmarkEnd w:id="960"/>
      <w:bookmarkStart w:id="961" w:name="_Toc407135259"/>
      <w:bookmarkEnd w:id="961"/>
      <w:bookmarkStart w:id="962" w:name="_Toc373227756"/>
      <w:bookmarkEnd w:id="962"/>
      <w:bookmarkStart w:id="963" w:name="_Toc389065321"/>
      <w:bookmarkEnd w:id="963"/>
      <w:bookmarkStart w:id="964" w:name="_Toc9850587"/>
      <w:r>
        <w:rPr>
          <w:rFonts w:hint="default" w:ascii="Times New Roman" w:hAnsi="Times New Roman" w:eastAsia="宋体" w:cs="Times New Roman"/>
          <w:b/>
          <w:bCs/>
          <w:color w:val="auto"/>
          <w:kern w:val="2"/>
          <w:sz w:val="32"/>
          <w:szCs w:val="32"/>
          <w:highlight w:val="none"/>
        </w:rPr>
        <w:t xml:space="preserve">13.3 </w:t>
      </w:r>
      <w:bookmarkEnd w:id="964"/>
      <w:r>
        <w:rPr>
          <w:rFonts w:hint="eastAsia" w:ascii="宋体" w:hAnsi="宋体" w:eastAsia="宋体" w:cs="宋体"/>
          <w:b/>
          <w:bCs/>
          <w:color w:val="auto"/>
          <w:kern w:val="2"/>
          <w:sz w:val="32"/>
          <w:szCs w:val="32"/>
          <w:highlight w:val="none"/>
        </w:rPr>
        <w:t>工程试车</w:t>
      </w:r>
    </w:p>
    <w:p w14:paraId="679C30C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13.3.1 </w:t>
      </w:r>
      <w:r>
        <w:rPr>
          <w:rFonts w:hint="eastAsia" w:ascii="宋体" w:hAnsi="宋体" w:eastAsia="宋体" w:cs="宋体"/>
          <w:color w:val="auto"/>
          <w:kern w:val="0"/>
          <w:sz w:val="21"/>
          <w:szCs w:val="21"/>
          <w:highlight w:val="none"/>
          <w:lang w:val="en-US" w:eastAsia="zh-CN" w:bidi="ar"/>
        </w:rPr>
        <w:t>试车程序</w:t>
      </w:r>
    </w:p>
    <w:p w14:paraId="2784D44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工程试车内容：</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9447BC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）单机无负荷试车费用由</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承担；</w:t>
      </w:r>
    </w:p>
    <w:p w14:paraId="75D5979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）无负荷联动试车费用由</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承担。</w:t>
      </w:r>
    </w:p>
    <w:p w14:paraId="4CB91FF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13.3.3 </w:t>
      </w:r>
      <w:r>
        <w:rPr>
          <w:rFonts w:hint="eastAsia" w:ascii="宋体" w:hAnsi="宋体" w:eastAsia="宋体" w:cs="宋体"/>
          <w:color w:val="auto"/>
          <w:kern w:val="0"/>
          <w:sz w:val="21"/>
          <w:szCs w:val="21"/>
          <w:highlight w:val="none"/>
          <w:lang w:val="en-US" w:eastAsia="zh-CN" w:bidi="ar"/>
        </w:rPr>
        <w:t>投料试车</w:t>
      </w:r>
    </w:p>
    <w:p w14:paraId="1A3B1F6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关于投料试车相关事项的约定：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0B2CB34">
      <w:pPr>
        <w:pStyle w:val="4"/>
        <w:widowControl/>
        <w:shd w:val="clear"/>
        <w:rPr>
          <w:rFonts w:hint="default" w:ascii="Times New Roman" w:hAnsi="Times New Roman" w:eastAsia="宋体" w:cs="Times New Roman"/>
          <w:b/>
          <w:bCs/>
          <w:color w:val="auto"/>
          <w:kern w:val="2"/>
          <w:sz w:val="32"/>
          <w:szCs w:val="32"/>
          <w:highlight w:val="none"/>
        </w:rPr>
      </w:pPr>
      <w:bookmarkStart w:id="965" w:name="_Toc389065322"/>
      <w:bookmarkEnd w:id="965"/>
      <w:bookmarkStart w:id="966" w:name="_Toc373478404"/>
      <w:bookmarkEnd w:id="966"/>
      <w:bookmarkStart w:id="967" w:name="_Toc407135260"/>
      <w:bookmarkEnd w:id="967"/>
      <w:bookmarkStart w:id="968" w:name="_Toc373227757"/>
      <w:bookmarkEnd w:id="968"/>
      <w:bookmarkStart w:id="969" w:name="_Toc9850588"/>
      <w:r>
        <w:rPr>
          <w:rFonts w:hint="default" w:ascii="Times New Roman" w:hAnsi="Times New Roman" w:eastAsia="宋体" w:cs="Times New Roman"/>
          <w:b/>
          <w:bCs/>
          <w:color w:val="auto"/>
          <w:kern w:val="2"/>
          <w:sz w:val="32"/>
          <w:szCs w:val="32"/>
          <w:highlight w:val="none"/>
        </w:rPr>
        <w:t xml:space="preserve">13.6 </w:t>
      </w:r>
      <w:bookmarkEnd w:id="969"/>
      <w:r>
        <w:rPr>
          <w:rFonts w:hint="eastAsia" w:ascii="宋体" w:hAnsi="宋体" w:eastAsia="宋体" w:cs="宋体"/>
          <w:b/>
          <w:bCs/>
          <w:color w:val="auto"/>
          <w:kern w:val="2"/>
          <w:sz w:val="32"/>
          <w:szCs w:val="32"/>
          <w:highlight w:val="none"/>
        </w:rPr>
        <w:t>竣工退场</w:t>
      </w:r>
    </w:p>
    <w:p w14:paraId="1CFFB4F8">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13.6.1 </w:t>
      </w:r>
      <w:r>
        <w:rPr>
          <w:rFonts w:hint="eastAsia" w:ascii="宋体" w:hAnsi="宋体" w:eastAsia="宋体" w:cs="宋体"/>
          <w:color w:val="auto"/>
          <w:kern w:val="0"/>
          <w:sz w:val="21"/>
          <w:szCs w:val="21"/>
          <w:highlight w:val="none"/>
          <w:lang w:val="en-US" w:eastAsia="zh-CN" w:bidi="ar"/>
        </w:rPr>
        <w:t>竣工退场</w:t>
      </w:r>
    </w:p>
    <w:p w14:paraId="09906D2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承包人完成竣工退场的期限：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自竣工验收合格之日起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D68E79E">
      <w:pPr>
        <w:pStyle w:val="3"/>
        <w:widowControl/>
        <w:shd w:val="clear"/>
        <w:rPr>
          <w:rFonts w:hint="default" w:ascii="Arial" w:hAnsi="Arial" w:eastAsia="黑体" w:cs="Times New Roman"/>
          <w:b/>
          <w:bCs w:val="0"/>
          <w:color w:val="auto"/>
          <w:sz w:val="32"/>
          <w:szCs w:val="32"/>
          <w:highlight w:val="none"/>
        </w:rPr>
      </w:pPr>
      <w:bookmarkStart w:id="970" w:name="_Toc373227758"/>
      <w:bookmarkEnd w:id="970"/>
      <w:bookmarkStart w:id="971" w:name="_Toc407135261"/>
      <w:bookmarkEnd w:id="971"/>
      <w:bookmarkStart w:id="972" w:name="_Toc373478405"/>
      <w:bookmarkEnd w:id="972"/>
      <w:bookmarkStart w:id="973" w:name="_Toc9850589"/>
      <w:bookmarkEnd w:id="973"/>
      <w:bookmarkStart w:id="974" w:name="_Toc389065323"/>
      <w:bookmarkEnd w:id="974"/>
      <w:bookmarkStart w:id="975" w:name="_Toc351203646"/>
      <w:r>
        <w:rPr>
          <w:rFonts w:hint="default" w:ascii="Arial" w:hAnsi="Arial" w:eastAsia="黑体" w:cs="Times New Roman"/>
          <w:b/>
          <w:bCs w:val="0"/>
          <w:color w:val="auto"/>
          <w:sz w:val="32"/>
          <w:szCs w:val="32"/>
          <w:highlight w:val="none"/>
        </w:rPr>
        <w:t xml:space="preserve">14. </w:t>
      </w:r>
      <w:bookmarkEnd w:id="975"/>
      <w:r>
        <w:rPr>
          <w:rFonts w:hint="eastAsia" w:ascii="黑体" w:hAnsi="宋体" w:eastAsia="黑体" w:cs="黑体"/>
          <w:b/>
          <w:bCs w:val="0"/>
          <w:color w:val="auto"/>
          <w:sz w:val="32"/>
          <w:szCs w:val="32"/>
          <w:highlight w:val="none"/>
        </w:rPr>
        <w:t>竣工结算</w:t>
      </w:r>
    </w:p>
    <w:p w14:paraId="1A85F7C7">
      <w:pPr>
        <w:pStyle w:val="4"/>
        <w:widowControl/>
        <w:shd w:val="clear"/>
        <w:rPr>
          <w:rFonts w:hint="default" w:ascii="Times New Roman" w:hAnsi="Times New Roman" w:eastAsia="宋体" w:cs="Times New Roman"/>
          <w:b/>
          <w:bCs/>
          <w:color w:val="auto"/>
          <w:kern w:val="2"/>
          <w:sz w:val="32"/>
          <w:szCs w:val="32"/>
          <w:highlight w:val="none"/>
        </w:rPr>
      </w:pPr>
      <w:bookmarkStart w:id="976" w:name="_Toc9850590"/>
      <w:bookmarkEnd w:id="976"/>
      <w:bookmarkStart w:id="977" w:name="_Toc389065324"/>
      <w:bookmarkEnd w:id="977"/>
      <w:bookmarkStart w:id="978" w:name="_Toc373478406"/>
      <w:bookmarkEnd w:id="978"/>
      <w:bookmarkStart w:id="979" w:name="_Toc407135262"/>
      <w:bookmarkEnd w:id="979"/>
      <w:bookmarkStart w:id="980" w:name="_Toc373227759"/>
      <w:r>
        <w:rPr>
          <w:rFonts w:hint="default" w:ascii="Times New Roman" w:hAnsi="Times New Roman" w:eastAsia="宋体" w:cs="Times New Roman"/>
          <w:b/>
          <w:bCs/>
          <w:color w:val="auto"/>
          <w:kern w:val="2"/>
          <w:sz w:val="32"/>
          <w:szCs w:val="32"/>
          <w:highlight w:val="none"/>
        </w:rPr>
        <w:t xml:space="preserve">14.1 </w:t>
      </w:r>
      <w:bookmarkEnd w:id="980"/>
      <w:r>
        <w:rPr>
          <w:rFonts w:hint="eastAsia" w:ascii="宋体" w:hAnsi="宋体" w:eastAsia="宋体" w:cs="宋体"/>
          <w:b/>
          <w:bCs/>
          <w:color w:val="auto"/>
          <w:kern w:val="2"/>
          <w:sz w:val="32"/>
          <w:szCs w:val="32"/>
          <w:highlight w:val="none"/>
        </w:rPr>
        <w:t>竣工付款申请</w:t>
      </w:r>
    </w:p>
    <w:p w14:paraId="1BD66DB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承包人提交竣工付款申请单的期限：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790206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竣工付款申请单应包括的内容：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。竣工结算款支付申请（核准）表见合同附件</w:t>
      </w:r>
      <w:r>
        <w:rPr>
          <w:rFonts w:hint="default" w:ascii="Times New Roman" w:hAnsi="Times New Roman" w:eastAsia="宋体" w:cs="Times New Roman"/>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val="en-US" w:eastAsia="zh-CN" w:bidi="ar"/>
        </w:rPr>
        <w:t>。</w:t>
      </w:r>
    </w:p>
    <w:p w14:paraId="3239497F">
      <w:pPr>
        <w:pStyle w:val="4"/>
        <w:widowControl/>
        <w:shd w:val="clear"/>
        <w:rPr>
          <w:rFonts w:hint="default" w:ascii="Times New Roman" w:hAnsi="Times New Roman" w:eastAsia="宋体" w:cs="Times New Roman"/>
          <w:b/>
          <w:bCs/>
          <w:color w:val="auto"/>
          <w:kern w:val="2"/>
          <w:sz w:val="32"/>
          <w:szCs w:val="32"/>
          <w:highlight w:val="none"/>
        </w:rPr>
      </w:pPr>
      <w:bookmarkStart w:id="981" w:name="_Toc389065325"/>
      <w:bookmarkEnd w:id="981"/>
      <w:bookmarkStart w:id="982" w:name="_Toc9850591"/>
      <w:bookmarkEnd w:id="982"/>
      <w:bookmarkStart w:id="983" w:name="_Toc407135263"/>
      <w:bookmarkEnd w:id="983"/>
      <w:bookmarkStart w:id="984" w:name="_Toc373478407"/>
      <w:bookmarkEnd w:id="984"/>
      <w:bookmarkStart w:id="985" w:name="_Toc373227760"/>
      <w:r>
        <w:rPr>
          <w:rFonts w:hint="default" w:ascii="Times New Roman" w:hAnsi="Times New Roman" w:eastAsia="宋体" w:cs="Times New Roman"/>
          <w:b/>
          <w:bCs/>
          <w:color w:val="auto"/>
          <w:kern w:val="2"/>
          <w:sz w:val="32"/>
          <w:szCs w:val="32"/>
          <w:highlight w:val="none"/>
        </w:rPr>
        <w:t xml:space="preserve">14.2 </w:t>
      </w:r>
      <w:bookmarkEnd w:id="985"/>
      <w:r>
        <w:rPr>
          <w:rFonts w:hint="eastAsia" w:ascii="宋体" w:hAnsi="宋体" w:eastAsia="宋体" w:cs="宋体"/>
          <w:b/>
          <w:bCs/>
          <w:color w:val="auto"/>
          <w:kern w:val="2"/>
          <w:sz w:val="32"/>
          <w:szCs w:val="32"/>
          <w:highlight w:val="none"/>
        </w:rPr>
        <w:t>竣工结算审核</w:t>
      </w:r>
    </w:p>
    <w:p w14:paraId="7B59815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发包人审批竣工付款申请单的期限：</w:t>
      </w:r>
    </w:p>
    <w:tbl>
      <w:tblPr>
        <w:tblStyle w:val="2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5"/>
        <w:gridCol w:w="2466"/>
        <w:gridCol w:w="5967"/>
      </w:tblGrid>
      <w:tr w14:paraId="3AB8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BF14CB3">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6DD7C219">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工程竣工结算报告金额</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0B2DC886">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发包人审查时间</w:t>
            </w:r>
          </w:p>
        </w:tc>
      </w:tr>
      <w:tr w14:paraId="7A9A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3868AA4">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2423BCA6">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w:t>
            </w:r>
            <w:r>
              <w:rPr>
                <w:rFonts w:hint="eastAsia" w:ascii="宋体" w:hAnsi="宋体" w:eastAsia="宋体" w:cs="宋体"/>
                <w:color w:val="auto"/>
                <w:kern w:val="0"/>
                <w:sz w:val="21"/>
                <w:szCs w:val="21"/>
                <w:highlight w:val="none"/>
                <w:lang w:val="en-US" w:eastAsia="zh-CN" w:bidi="ar"/>
              </w:rPr>
              <w:t>万元以下</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0EB7B843">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20</w:t>
            </w:r>
            <w:r>
              <w:rPr>
                <w:rFonts w:hint="eastAsia" w:ascii="宋体" w:hAnsi="宋体" w:eastAsia="宋体" w:cs="宋体"/>
                <w:color w:val="auto"/>
                <w:kern w:val="0"/>
                <w:sz w:val="21"/>
                <w:szCs w:val="21"/>
                <w:highlight w:val="none"/>
                <w:lang w:val="en-US" w:eastAsia="zh-CN" w:bidi="ar"/>
              </w:rPr>
              <w:t>天</w:t>
            </w:r>
          </w:p>
        </w:tc>
      </w:tr>
      <w:tr w14:paraId="7971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9164EB4">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4CFCE330">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w:t>
            </w:r>
            <w:r>
              <w:rPr>
                <w:rFonts w:hint="eastAsia" w:ascii="宋体" w:hAnsi="宋体" w:eastAsia="宋体" w:cs="宋体"/>
                <w:color w:val="auto"/>
                <w:kern w:val="0"/>
                <w:sz w:val="21"/>
                <w:szCs w:val="21"/>
                <w:highlight w:val="none"/>
                <w:lang w:val="en-US" w:eastAsia="zh-CN" w:bidi="ar"/>
              </w:rPr>
              <w:t>万元</w:t>
            </w:r>
            <w:r>
              <w:rPr>
                <w:rFonts w:hint="default" w:ascii="Times New Roman" w:hAnsi="Times New Roman" w:eastAsia="宋体" w:cs="Times New Roman"/>
                <w:color w:val="auto"/>
                <w:kern w:val="0"/>
                <w:sz w:val="21"/>
                <w:szCs w:val="21"/>
                <w:highlight w:val="none"/>
                <w:lang w:val="en-US" w:eastAsia="zh-CN" w:bidi="ar"/>
              </w:rPr>
              <w:t>-2000</w:t>
            </w:r>
            <w:r>
              <w:rPr>
                <w:rFonts w:hint="eastAsia" w:ascii="宋体" w:hAnsi="宋体" w:eastAsia="宋体" w:cs="宋体"/>
                <w:color w:val="auto"/>
                <w:kern w:val="0"/>
                <w:sz w:val="21"/>
                <w:szCs w:val="21"/>
                <w:highlight w:val="none"/>
                <w:lang w:val="en-US" w:eastAsia="zh-CN" w:bidi="ar"/>
              </w:rPr>
              <w:t>万元</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2B51609D">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天</w:t>
            </w:r>
          </w:p>
        </w:tc>
      </w:tr>
      <w:tr w14:paraId="65E5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461E3F9">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26451671">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2000</w:t>
            </w:r>
            <w:r>
              <w:rPr>
                <w:rFonts w:hint="eastAsia" w:ascii="宋体" w:hAnsi="宋体" w:eastAsia="宋体" w:cs="宋体"/>
                <w:color w:val="auto"/>
                <w:kern w:val="0"/>
                <w:sz w:val="21"/>
                <w:szCs w:val="21"/>
                <w:highlight w:val="none"/>
                <w:lang w:val="en-US" w:eastAsia="zh-CN" w:bidi="ar"/>
              </w:rPr>
              <w:t>万元</w:t>
            </w: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万元</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48D4C345">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45</w:t>
            </w:r>
            <w:r>
              <w:rPr>
                <w:rFonts w:hint="eastAsia" w:ascii="宋体" w:hAnsi="宋体" w:eastAsia="宋体" w:cs="宋体"/>
                <w:color w:val="auto"/>
                <w:kern w:val="0"/>
                <w:sz w:val="21"/>
                <w:szCs w:val="21"/>
                <w:highlight w:val="none"/>
                <w:lang w:val="en-US" w:eastAsia="zh-CN" w:bidi="ar"/>
              </w:rPr>
              <w:t>天</w:t>
            </w:r>
          </w:p>
        </w:tc>
      </w:tr>
      <w:tr w14:paraId="7305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7A6BF1B">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0DEDDE18">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万元以上</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620BF51D">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60</w:t>
            </w:r>
            <w:r>
              <w:rPr>
                <w:rFonts w:hint="eastAsia" w:ascii="宋体" w:hAnsi="宋体" w:eastAsia="宋体" w:cs="宋体"/>
                <w:color w:val="auto"/>
                <w:kern w:val="0"/>
                <w:sz w:val="21"/>
                <w:szCs w:val="21"/>
                <w:highlight w:val="none"/>
                <w:lang w:val="en-US" w:eastAsia="zh-CN" w:bidi="ar"/>
              </w:rPr>
              <w:t>天</w:t>
            </w:r>
          </w:p>
        </w:tc>
      </w:tr>
      <w:tr w14:paraId="7CB6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1B5BFCF">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1BA192FD">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万以上每增加</w:t>
            </w:r>
            <w:r>
              <w:rPr>
                <w:rFonts w:hint="default" w:ascii="Times New Roman" w:hAnsi="Times New Roman" w:eastAsia="宋体" w:cs="Times New Roman"/>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val="en-US" w:eastAsia="zh-CN" w:bidi="ar"/>
              </w:rPr>
              <w:t>亿</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不足</w:t>
            </w:r>
            <w:r>
              <w:rPr>
                <w:rFonts w:hint="default" w:ascii="Times New Roman" w:hAnsi="Times New Roman" w:eastAsia="宋体" w:cs="Times New Roman"/>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val="en-US" w:eastAsia="zh-CN" w:bidi="ar"/>
              </w:rPr>
              <w:t>亿不增加</w:t>
            </w:r>
            <w:r>
              <w:rPr>
                <w:rFonts w:hint="default" w:ascii="Times New Roman" w:hAnsi="Times New Roman" w:eastAsia="宋体" w:cs="Times New Roman"/>
                <w:color w:val="auto"/>
                <w:kern w:val="0"/>
                <w:sz w:val="21"/>
                <w:szCs w:val="21"/>
                <w:highlight w:val="none"/>
                <w:lang w:val="en-US" w:eastAsia="zh-CN" w:bidi="ar"/>
              </w:rPr>
              <w:t>)</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58509E77">
            <w:pPr>
              <w:keepNext w:val="0"/>
              <w:keepLines w:val="0"/>
              <w:widowControl w:val="0"/>
              <w:suppressLineNumbers w:val="0"/>
              <w:shd w:val="clear"/>
              <w:spacing w:before="0" w:beforeAutospacing="0" w:after="0" w:afterAutospacing="0" w:line="360" w:lineRule="auto"/>
              <w:ind w:left="0" w:right="0" w:firstLine="441" w:firstLineChars="210"/>
              <w:jc w:val="center"/>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增加</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天</w:t>
            </w:r>
          </w:p>
        </w:tc>
      </w:tr>
    </w:tbl>
    <w:p w14:paraId="43F59AE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因承包人提供的结算资料不完整而需要补充或承包人不按时对账耽误时间时，审查时间应相应顺延。</w:t>
      </w:r>
    </w:p>
    <w:p w14:paraId="653C9825">
      <w:pPr>
        <w:keepNext w:val="0"/>
        <w:keepLines w:val="0"/>
        <w:widowControl w:val="0"/>
        <w:suppressLineNumbers w:val="0"/>
        <w:shd w:val="clear"/>
        <w:spacing w:before="0" w:beforeAutospacing="0" w:after="0" w:afterAutospacing="0" w:line="400" w:lineRule="exact"/>
        <w:ind w:left="0" w:right="0" w:firstLine="411" w:firstLineChars="196"/>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竣工结算审核约定：</w:t>
      </w:r>
    </w:p>
    <w:p w14:paraId="4C6F8D70">
      <w:pPr>
        <w:keepNext w:val="0"/>
        <w:keepLines w:val="0"/>
        <w:widowControl w:val="0"/>
        <w:suppressLineNumbers w:val="0"/>
        <w:shd w:val="clear"/>
        <w:spacing w:before="0" w:beforeAutospacing="0" w:after="0" w:afterAutospacing="0" w:line="400" w:lineRule="exact"/>
        <w:ind w:left="0" w:right="0" w:firstLine="411" w:firstLineChars="196"/>
        <w:jc w:val="both"/>
        <w:rPr>
          <w:rFonts w:hint="default" w:ascii="Times New Roman" w:hAnsi="宋体" w:eastAsia="宋体" w:cs="Times New Roman"/>
          <w:color w:val="auto"/>
          <w:sz w:val="21"/>
          <w:szCs w:val="21"/>
          <w:highlight w:val="none"/>
          <w:u w:val="single"/>
        </w:rPr>
      </w:pPr>
      <w:r>
        <w:rPr>
          <w:rFonts w:hint="default" w:ascii="Times New Roman" w:hAnsi="宋体"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、工程竣工验收报告经发包人认可后</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天内，承包人向发包人递交竣工验收合格资料及完整的结算资料和报告，双方按照本工程合同约定的价格形式及价款调整办法进行工程竣工结算。</w:t>
      </w:r>
      <w:r>
        <w:rPr>
          <w:rFonts w:hint="default" w:ascii="Times New Roman" w:hAnsi="宋体"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、发包人收到承包人递交的竣工结算报告及结算资料之日起</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天内进行审核，并给予确认或者提出审核意见。承包人对发包人确认的结算价款或审核意见有异议的，应在收到发包人确认的价款或审核意见之日起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日内提出异议，必要时合同当事人要当面核对，直至完成工程竣工结算。除非有特殊情形，否则从承包人递交竣工结算报告到完成竣工结算的时间应控制在“发包人审核竣工付款申请单的期限”要求的时间范围内。</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自竣工结算完毕之日起</w:t>
      </w:r>
      <w:r>
        <w:rPr>
          <w:rFonts w:hint="default" w:ascii="Times New Roman" w:hAnsi="Times New Roman" w:eastAsia="宋体" w:cs="Times New Roman"/>
          <w:color w:val="auto"/>
          <w:kern w:val="0"/>
          <w:sz w:val="21"/>
          <w:szCs w:val="21"/>
          <w:highlight w:val="none"/>
          <w:u w:val="single"/>
          <w:lang w:val="en-US" w:eastAsia="zh-CN" w:bidi="ar"/>
        </w:rPr>
        <w:t>30</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天内，发包人按审定后的竣工结算价款，通知经办银行向承包人支付结算价款。</w:t>
      </w:r>
    </w:p>
    <w:p w14:paraId="7FD2503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备注：对于国有投资项目结算审核约定，双方可结合各地政府或有关部门出台的管理规定进行局部调整</w:t>
      </w:r>
    </w:p>
    <w:p w14:paraId="2BE1E7D5">
      <w:pPr>
        <w:pStyle w:val="4"/>
        <w:widowControl/>
        <w:shd w:val="clear"/>
        <w:rPr>
          <w:rFonts w:hint="default" w:ascii="Times New Roman" w:hAnsi="Times New Roman" w:eastAsia="宋体" w:cs="Times New Roman"/>
          <w:b/>
          <w:bCs/>
          <w:color w:val="auto"/>
          <w:kern w:val="2"/>
          <w:sz w:val="32"/>
          <w:szCs w:val="32"/>
          <w:highlight w:val="none"/>
        </w:rPr>
      </w:pPr>
      <w:bookmarkStart w:id="986" w:name="_Toc389065326"/>
      <w:bookmarkEnd w:id="986"/>
      <w:bookmarkStart w:id="987" w:name="_Toc407135264"/>
      <w:bookmarkEnd w:id="987"/>
      <w:bookmarkStart w:id="988" w:name="_Toc9850592"/>
      <w:bookmarkEnd w:id="988"/>
      <w:bookmarkStart w:id="989" w:name="_Toc373227761"/>
      <w:bookmarkEnd w:id="989"/>
      <w:bookmarkStart w:id="990" w:name="_Toc373478408"/>
      <w:r>
        <w:rPr>
          <w:rFonts w:hint="default" w:ascii="Times New Roman" w:hAnsi="Times New Roman" w:eastAsia="宋体" w:cs="Times New Roman"/>
          <w:b/>
          <w:bCs/>
          <w:color w:val="auto"/>
          <w:kern w:val="2"/>
          <w:sz w:val="32"/>
          <w:szCs w:val="32"/>
          <w:highlight w:val="none"/>
        </w:rPr>
        <w:t xml:space="preserve">14.4 </w:t>
      </w:r>
      <w:bookmarkEnd w:id="990"/>
      <w:r>
        <w:rPr>
          <w:rFonts w:hint="eastAsia" w:ascii="宋体" w:hAnsi="宋体" w:eastAsia="宋体" w:cs="宋体"/>
          <w:b/>
          <w:bCs/>
          <w:color w:val="auto"/>
          <w:kern w:val="2"/>
          <w:sz w:val="32"/>
          <w:szCs w:val="32"/>
          <w:highlight w:val="none"/>
        </w:rPr>
        <w:t>最终结清</w:t>
      </w:r>
    </w:p>
    <w:p w14:paraId="1C103C1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14.4.1 </w:t>
      </w:r>
      <w:r>
        <w:rPr>
          <w:rFonts w:hint="eastAsia" w:ascii="宋体" w:hAnsi="宋体" w:eastAsia="宋体" w:cs="宋体"/>
          <w:color w:val="auto"/>
          <w:kern w:val="0"/>
          <w:sz w:val="21"/>
          <w:szCs w:val="21"/>
          <w:highlight w:val="none"/>
          <w:lang w:val="en-US" w:eastAsia="zh-CN" w:bidi="ar"/>
        </w:rPr>
        <w:t>最终结清申请单</w:t>
      </w:r>
    </w:p>
    <w:p w14:paraId="3682FB4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承包人提交最终结清申请单的份数：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份，如发包人有需要另行增加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966AA1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承包人提交最终结算申请单的期限：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自竣工验收之日起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 </w:t>
      </w:r>
    </w:p>
    <w:p w14:paraId="46FEEC0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最终结算款支付申请（核准）表见合同附件</w:t>
      </w:r>
      <w:r>
        <w:rPr>
          <w:rFonts w:hint="default" w:ascii="Times New Roman" w:hAnsi="Times New Roman" w:eastAsia="宋体" w:cs="Times New Roman"/>
          <w:color w:val="auto"/>
          <w:kern w:val="0"/>
          <w:sz w:val="21"/>
          <w:szCs w:val="21"/>
          <w:highlight w:val="none"/>
          <w:lang w:val="en-US" w:eastAsia="zh-CN" w:bidi="ar"/>
        </w:rPr>
        <w:t>13</w:t>
      </w:r>
      <w:r>
        <w:rPr>
          <w:rFonts w:hint="eastAsia" w:ascii="宋体" w:hAnsi="宋体" w:eastAsia="宋体" w:cs="宋体"/>
          <w:color w:val="auto"/>
          <w:kern w:val="0"/>
          <w:sz w:val="21"/>
          <w:szCs w:val="21"/>
          <w:highlight w:val="none"/>
          <w:lang w:val="en-US" w:eastAsia="zh-CN" w:bidi="ar"/>
        </w:rPr>
        <w:t>。</w:t>
      </w:r>
    </w:p>
    <w:p w14:paraId="2D61B47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14.4.2 </w:t>
      </w:r>
      <w:r>
        <w:rPr>
          <w:rFonts w:hint="eastAsia" w:ascii="宋体" w:hAnsi="宋体" w:eastAsia="宋体" w:cs="宋体"/>
          <w:color w:val="auto"/>
          <w:kern w:val="0"/>
          <w:sz w:val="21"/>
          <w:szCs w:val="21"/>
          <w:highlight w:val="none"/>
          <w:lang w:val="en-US" w:eastAsia="zh-CN" w:bidi="ar"/>
        </w:rPr>
        <w:t>最终结清证书和支付</w:t>
      </w:r>
    </w:p>
    <w:p w14:paraId="2F62A69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）发包人完成最终结清申请单的审批并颁发最终结清证书的期限：</w:t>
      </w:r>
      <w:r>
        <w:rPr>
          <w:rFonts w:hint="eastAsia" w:ascii="宋体" w:hAnsi="宋体" w:eastAsia="宋体" w:cs="宋体"/>
          <w:color w:val="auto"/>
          <w:kern w:val="0"/>
          <w:sz w:val="21"/>
          <w:szCs w:val="21"/>
          <w:highlight w:val="none"/>
          <w:u w:val="single"/>
          <w:lang w:val="en-US" w:eastAsia="zh-CN" w:bidi="ar"/>
        </w:rPr>
        <w:t>自结算审批之日起</w:t>
      </w:r>
      <w:r>
        <w:rPr>
          <w:rFonts w:hint="default" w:ascii="Times New Roman" w:hAnsi="Times New Roman" w:eastAsia="宋体" w:cs="Times New Roman"/>
          <w:color w:val="auto"/>
          <w:kern w:val="0"/>
          <w:sz w:val="21"/>
          <w:szCs w:val="21"/>
          <w:highlight w:val="none"/>
          <w:u w:val="single"/>
          <w:lang w:val="en-US" w:eastAsia="zh-CN" w:bidi="ar"/>
        </w:rPr>
        <w:t>15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D87F41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）发包人完成支付的期限：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E131FD5">
      <w:pPr>
        <w:pStyle w:val="3"/>
        <w:widowControl/>
        <w:shd w:val="clear"/>
        <w:rPr>
          <w:rFonts w:hint="default" w:ascii="Arial" w:hAnsi="Arial" w:eastAsia="黑体" w:cs="Times New Roman"/>
          <w:b/>
          <w:bCs w:val="0"/>
          <w:color w:val="auto"/>
          <w:sz w:val="32"/>
          <w:szCs w:val="32"/>
          <w:highlight w:val="none"/>
        </w:rPr>
      </w:pPr>
      <w:bookmarkStart w:id="991" w:name="_Toc267251485"/>
      <w:bookmarkEnd w:id="991"/>
      <w:bookmarkStart w:id="992" w:name="_Toc389065327"/>
      <w:bookmarkEnd w:id="992"/>
      <w:bookmarkStart w:id="993" w:name="_Toc267251501"/>
      <w:bookmarkEnd w:id="993"/>
      <w:bookmarkStart w:id="994" w:name="_Toc267251482"/>
      <w:bookmarkEnd w:id="994"/>
      <w:bookmarkStart w:id="995" w:name="_Toc267251491"/>
      <w:bookmarkEnd w:id="995"/>
      <w:bookmarkStart w:id="996" w:name="_Toc373227762"/>
      <w:bookmarkEnd w:id="996"/>
      <w:bookmarkStart w:id="997" w:name="_Toc267251492"/>
      <w:bookmarkEnd w:id="997"/>
      <w:bookmarkStart w:id="998" w:name="_Toc267251486"/>
      <w:bookmarkEnd w:id="998"/>
      <w:bookmarkStart w:id="999" w:name="_Toc267251498"/>
      <w:bookmarkEnd w:id="999"/>
      <w:bookmarkStart w:id="1000" w:name="_Toc267251507"/>
      <w:bookmarkEnd w:id="1000"/>
      <w:bookmarkStart w:id="1001" w:name="_Toc267251495"/>
      <w:bookmarkEnd w:id="1001"/>
      <w:bookmarkStart w:id="1002" w:name="_Toc351203647"/>
      <w:bookmarkEnd w:id="1002"/>
      <w:bookmarkStart w:id="1003" w:name="_Toc267251497"/>
      <w:bookmarkEnd w:id="1003"/>
      <w:bookmarkStart w:id="1004" w:name="_Toc267251508"/>
      <w:bookmarkEnd w:id="1004"/>
      <w:bookmarkStart w:id="1005" w:name="_Toc267251483"/>
      <w:bookmarkEnd w:id="1005"/>
      <w:bookmarkStart w:id="1006" w:name="_Toc267251506"/>
      <w:bookmarkEnd w:id="1006"/>
      <w:bookmarkStart w:id="1007" w:name="_Toc267251504"/>
      <w:bookmarkEnd w:id="1007"/>
      <w:bookmarkStart w:id="1008" w:name="_Toc267251493"/>
      <w:bookmarkEnd w:id="1008"/>
      <w:bookmarkStart w:id="1009" w:name="_Toc267251514"/>
      <w:bookmarkEnd w:id="1009"/>
      <w:bookmarkStart w:id="1010" w:name="_Toc267251484"/>
      <w:bookmarkEnd w:id="1010"/>
      <w:bookmarkStart w:id="1011" w:name="_Toc267251499"/>
      <w:bookmarkEnd w:id="1011"/>
      <w:bookmarkStart w:id="1012" w:name="_Toc267251490"/>
      <w:bookmarkEnd w:id="1012"/>
      <w:bookmarkStart w:id="1013" w:name="_Toc373478409"/>
      <w:bookmarkEnd w:id="1013"/>
      <w:bookmarkStart w:id="1014" w:name="_Toc9850593"/>
      <w:bookmarkEnd w:id="1014"/>
      <w:bookmarkStart w:id="1015" w:name="_Toc267251511"/>
      <w:bookmarkEnd w:id="1015"/>
      <w:bookmarkStart w:id="1016" w:name="_Toc267251509"/>
      <w:bookmarkEnd w:id="1016"/>
      <w:bookmarkStart w:id="1017" w:name="_Toc267251510"/>
      <w:bookmarkEnd w:id="1017"/>
      <w:bookmarkStart w:id="1018" w:name="_Toc267251503"/>
      <w:bookmarkEnd w:id="1018"/>
      <w:bookmarkStart w:id="1019" w:name="_Toc267251502"/>
      <w:bookmarkEnd w:id="1019"/>
      <w:bookmarkStart w:id="1020" w:name="_Toc267251488"/>
      <w:bookmarkEnd w:id="1020"/>
      <w:bookmarkStart w:id="1021" w:name="_Toc267251513"/>
      <w:bookmarkEnd w:id="1021"/>
      <w:bookmarkStart w:id="1022" w:name="_Toc407135265"/>
      <w:bookmarkEnd w:id="1022"/>
      <w:bookmarkStart w:id="1023" w:name="_Toc267251496"/>
      <w:bookmarkEnd w:id="1023"/>
      <w:bookmarkStart w:id="1024" w:name="_Toc267251494"/>
      <w:bookmarkEnd w:id="1024"/>
      <w:bookmarkStart w:id="1025" w:name="_Toc267251489"/>
      <w:bookmarkEnd w:id="1025"/>
      <w:bookmarkStart w:id="1026" w:name="_Toc267251515"/>
      <w:r>
        <w:rPr>
          <w:rFonts w:hint="default" w:ascii="Arial" w:hAnsi="Arial" w:eastAsia="黑体" w:cs="Times New Roman"/>
          <w:b/>
          <w:bCs w:val="0"/>
          <w:color w:val="auto"/>
          <w:sz w:val="32"/>
          <w:szCs w:val="32"/>
          <w:highlight w:val="none"/>
        </w:rPr>
        <w:t xml:space="preserve">15. </w:t>
      </w:r>
      <w:bookmarkEnd w:id="1026"/>
      <w:r>
        <w:rPr>
          <w:rFonts w:hint="eastAsia" w:ascii="黑体" w:hAnsi="宋体" w:eastAsia="黑体" w:cs="黑体"/>
          <w:b/>
          <w:bCs w:val="0"/>
          <w:color w:val="auto"/>
          <w:sz w:val="32"/>
          <w:szCs w:val="32"/>
          <w:highlight w:val="none"/>
        </w:rPr>
        <w:t>缺陷责任期与保修</w:t>
      </w:r>
    </w:p>
    <w:p w14:paraId="4C6D5939">
      <w:pPr>
        <w:pStyle w:val="4"/>
        <w:widowControl/>
        <w:shd w:val="clear"/>
        <w:rPr>
          <w:rFonts w:hint="default" w:ascii="Times New Roman" w:hAnsi="Times New Roman" w:eastAsia="宋体" w:cs="Times New Roman"/>
          <w:b/>
          <w:bCs/>
          <w:color w:val="auto"/>
          <w:kern w:val="2"/>
          <w:sz w:val="32"/>
          <w:szCs w:val="32"/>
          <w:highlight w:val="none"/>
        </w:rPr>
      </w:pPr>
      <w:bookmarkStart w:id="1027" w:name="_Toc389065328"/>
      <w:bookmarkEnd w:id="1027"/>
      <w:bookmarkStart w:id="1028" w:name="_Toc373227763"/>
      <w:bookmarkEnd w:id="1028"/>
      <w:bookmarkStart w:id="1029" w:name="_Toc407135266"/>
      <w:bookmarkEnd w:id="1029"/>
      <w:bookmarkStart w:id="1030" w:name="_Toc373478410"/>
      <w:bookmarkEnd w:id="1030"/>
      <w:bookmarkStart w:id="1031" w:name="_Toc9850594"/>
      <w:r>
        <w:rPr>
          <w:rFonts w:hint="default" w:ascii="Times New Roman" w:hAnsi="Times New Roman" w:eastAsia="宋体" w:cs="Times New Roman"/>
          <w:b/>
          <w:bCs/>
          <w:color w:val="auto"/>
          <w:kern w:val="2"/>
          <w:sz w:val="32"/>
          <w:szCs w:val="32"/>
          <w:highlight w:val="none"/>
        </w:rPr>
        <w:t xml:space="preserve">15.2 </w:t>
      </w:r>
      <w:bookmarkEnd w:id="1031"/>
      <w:r>
        <w:rPr>
          <w:rFonts w:hint="eastAsia" w:ascii="宋体" w:hAnsi="宋体" w:eastAsia="宋体" w:cs="宋体"/>
          <w:b/>
          <w:bCs/>
          <w:color w:val="auto"/>
          <w:kern w:val="2"/>
          <w:sz w:val="32"/>
          <w:szCs w:val="32"/>
          <w:highlight w:val="none"/>
        </w:rPr>
        <w:t>缺陷责任期</w:t>
      </w:r>
    </w:p>
    <w:p w14:paraId="6419E2C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缺陷责任期的具体期限：</w:t>
      </w:r>
      <w:r>
        <w:rPr>
          <w:rFonts w:hint="default" w:ascii="Times New Roman" w:hAnsi="Times New Roman" w:eastAsia="宋体" w:cs="Times New Roman"/>
          <w:color w:val="auto"/>
          <w:kern w:val="0"/>
          <w:sz w:val="21"/>
          <w:szCs w:val="21"/>
          <w:highlight w:val="none"/>
          <w:u w:val="single"/>
          <w:lang w:val="en-US" w:eastAsia="zh-CN" w:bidi="ar"/>
        </w:rPr>
        <w:t xml:space="preserve">      12</w:t>
      </w:r>
      <w:r>
        <w:rPr>
          <w:rFonts w:hint="eastAsia" w:ascii="宋体" w:hAnsi="宋体" w:eastAsia="宋体" w:cs="宋体"/>
          <w:color w:val="auto"/>
          <w:kern w:val="0"/>
          <w:sz w:val="21"/>
          <w:szCs w:val="21"/>
          <w:highlight w:val="none"/>
          <w:u w:val="single"/>
          <w:lang w:val="en-US" w:eastAsia="zh-CN" w:bidi="ar"/>
        </w:rPr>
        <w:t>个月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FB5EC9E">
      <w:pPr>
        <w:pStyle w:val="4"/>
        <w:widowControl/>
        <w:shd w:val="clear"/>
        <w:rPr>
          <w:rFonts w:hint="default" w:ascii="Times New Roman" w:hAnsi="Times New Roman" w:eastAsia="宋体" w:cs="Times New Roman"/>
          <w:b/>
          <w:bCs/>
          <w:color w:val="auto"/>
          <w:kern w:val="2"/>
          <w:sz w:val="32"/>
          <w:szCs w:val="32"/>
          <w:highlight w:val="none"/>
        </w:rPr>
      </w:pPr>
      <w:bookmarkStart w:id="1032" w:name="_Toc373227764"/>
      <w:bookmarkEnd w:id="1032"/>
      <w:bookmarkStart w:id="1033" w:name="_Toc407135267"/>
      <w:bookmarkEnd w:id="1033"/>
      <w:bookmarkStart w:id="1034" w:name="_Toc9850595"/>
      <w:bookmarkEnd w:id="1034"/>
      <w:bookmarkStart w:id="1035" w:name="_Toc389065329"/>
      <w:bookmarkEnd w:id="1035"/>
      <w:bookmarkStart w:id="1036" w:name="_Toc373478411"/>
      <w:r>
        <w:rPr>
          <w:rFonts w:hint="default" w:ascii="Times New Roman" w:hAnsi="Times New Roman" w:eastAsia="宋体" w:cs="Times New Roman"/>
          <w:b/>
          <w:bCs/>
          <w:color w:val="auto"/>
          <w:kern w:val="2"/>
          <w:sz w:val="32"/>
          <w:szCs w:val="32"/>
          <w:highlight w:val="none"/>
        </w:rPr>
        <w:t xml:space="preserve">15.3 </w:t>
      </w:r>
      <w:bookmarkEnd w:id="1036"/>
      <w:r>
        <w:rPr>
          <w:rFonts w:hint="eastAsia" w:ascii="宋体" w:hAnsi="宋体" w:eastAsia="宋体" w:cs="宋体"/>
          <w:b/>
          <w:bCs/>
          <w:color w:val="auto"/>
          <w:kern w:val="2"/>
          <w:sz w:val="32"/>
          <w:szCs w:val="32"/>
          <w:highlight w:val="none"/>
        </w:rPr>
        <w:t>质量保证金</w:t>
      </w:r>
    </w:p>
    <w:p w14:paraId="4757957F">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关于是否扣留质量保证金的约定：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8FD1F3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在工程项目竣工前，承包人按专用合同条款第</w:t>
      </w:r>
      <w:r>
        <w:rPr>
          <w:rFonts w:hint="default" w:ascii="Times New Roman" w:hAnsi="Times New Roman" w:eastAsia="宋体" w:cs="Times New Roman"/>
          <w:color w:val="auto"/>
          <w:kern w:val="0"/>
          <w:sz w:val="21"/>
          <w:szCs w:val="21"/>
          <w:highlight w:val="none"/>
          <w:lang w:val="en-US" w:eastAsia="zh-CN" w:bidi="ar"/>
        </w:rPr>
        <w:t>3.7</w:t>
      </w:r>
      <w:r>
        <w:rPr>
          <w:rFonts w:hint="eastAsia" w:ascii="宋体" w:hAnsi="宋体" w:eastAsia="宋体" w:cs="宋体"/>
          <w:color w:val="auto"/>
          <w:kern w:val="0"/>
          <w:sz w:val="21"/>
          <w:szCs w:val="21"/>
          <w:highlight w:val="none"/>
          <w:lang w:val="en-US" w:eastAsia="zh-CN" w:bidi="ar"/>
        </w:rPr>
        <w:t>条提供履约担保的，发包人不得同时预留工程质量保证金。</w:t>
      </w:r>
    </w:p>
    <w:p w14:paraId="6D00B555">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15.3.1 </w:t>
      </w:r>
      <w:r>
        <w:rPr>
          <w:rFonts w:hint="eastAsia" w:ascii="宋体" w:hAnsi="宋体" w:eastAsia="宋体" w:cs="宋体"/>
          <w:color w:val="auto"/>
          <w:kern w:val="0"/>
          <w:sz w:val="21"/>
          <w:szCs w:val="21"/>
          <w:highlight w:val="none"/>
          <w:lang w:val="en-US" w:eastAsia="zh-CN" w:bidi="ar"/>
        </w:rPr>
        <w:t>承包人提供质量保证金的方式</w:t>
      </w:r>
    </w:p>
    <w:p w14:paraId="3830264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质量保证金采用以下第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w:t>
      </w:r>
    </w:p>
    <w:p w14:paraId="1B3AC71A">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）质量保证金保函，保证金额为：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620F11B">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）发包人按工程价款结算总额的</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3</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（不得超过</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）预留工程质量保证金，待缺陷责任期满后返还，是否付息及利息计算方式为：</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无利息</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73D2AAC">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）其他方式：</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41C50B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15.3.2 </w:t>
      </w:r>
      <w:r>
        <w:rPr>
          <w:rFonts w:hint="eastAsia" w:ascii="宋体" w:hAnsi="宋体" w:eastAsia="宋体" w:cs="宋体"/>
          <w:color w:val="auto"/>
          <w:kern w:val="0"/>
          <w:sz w:val="21"/>
          <w:szCs w:val="21"/>
          <w:highlight w:val="none"/>
          <w:lang w:val="en-US" w:eastAsia="zh-CN" w:bidi="ar"/>
        </w:rPr>
        <w:t>质量保证金的扣留</w:t>
      </w:r>
    </w:p>
    <w:p w14:paraId="6DD207D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质量保证金的扣留采取以下第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w:t>
      </w:r>
    </w:p>
    <w:p w14:paraId="23C3FC9A">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）在不缴纳履保证金情况下，按支付工程进度款时逐次扣留，质量保证金的计算基数不包括预付款的支付、扣回以及价格调整的金额；</w:t>
      </w:r>
    </w:p>
    <w:p w14:paraId="1272ADF5">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）工程竣工结算时，一次性扣留质量保证金，由承包人以银行保函、保证保险替代预留质量保证金，保函金额不得高于工程价款结算总额的</w:t>
      </w:r>
      <w:r>
        <w:rPr>
          <w:rFonts w:hint="default" w:ascii="Times New Roman" w:hAnsi="Times New Roman" w:eastAsia="宋体" w:cs="Times New Roman"/>
          <w:color w:val="auto"/>
          <w:kern w:val="0"/>
          <w:sz w:val="21"/>
          <w:szCs w:val="21"/>
          <w:highlight w:val="none"/>
          <w:lang w:val="en-US" w:eastAsia="zh-CN" w:bidi="ar"/>
        </w:rPr>
        <w:t>3</w:t>
      </w:r>
      <w:r>
        <w:rPr>
          <w:rFonts w:hint="default" w:ascii="Times New Roman"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w:t>
      </w:r>
    </w:p>
    <w:p w14:paraId="11F0D4B1">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）其他扣留方式</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4F2ED6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关于质量保证金的补充约定：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4C826AE">
      <w:pPr>
        <w:pStyle w:val="4"/>
        <w:widowControl/>
        <w:shd w:val="clear"/>
        <w:rPr>
          <w:rFonts w:hint="default" w:ascii="Times New Roman" w:hAnsi="Times New Roman" w:eastAsia="宋体" w:cs="Times New Roman"/>
          <w:b/>
          <w:bCs/>
          <w:color w:val="auto"/>
          <w:kern w:val="2"/>
          <w:sz w:val="32"/>
          <w:szCs w:val="32"/>
          <w:highlight w:val="none"/>
        </w:rPr>
      </w:pPr>
      <w:bookmarkStart w:id="1037" w:name="_Toc9850596"/>
      <w:bookmarkEnd w:id="1037"/>
      <w:bookmarkStart w:id="1038" w:name="_Toc407135268"/>
      <w:bookmarkEnd w:id="1038"/>
      <w:bookmarkStart w:id="1039" w:name="_Toc373227765"/>
      <w:bookmarkEnd w:id="1039"/>
      <w:bookmarkStart w:id="1040" w:name="_Toc373478412"/>
      <w:bookmarkEnd w:id="1040"/>
      <w:bookmarkStart w:id="1041" w:name="_Toc389065330"/>
      <w:r>
        <w:rPr>
          <w:rFonts w:hint="default" w:ascii="Times New Roman" w:hAnsi="Times New Roman" w:eastAsia="宋体" w:cs="Times New Roman"/>
          <w:b/>
          <w:bCs/>
          <w:color w:val="auto"/>
          <w:kern w:val="2"/>
          <w:sz w:val="32"/>
          <w:szCs w:val="32"/>
          <w:highlight w:val="none"/>
        </w:rPr>
        <w:t xml:space="preserve">15.4 </w:t>
      </w:r>
      <w:bookmarkEnd w:id="1041"/>
      <w:r>
        <w:rPr>
          <w:rFonts w:hint="eastAsia" w:ascii="宋体" w:hAnsi="宋体" w:eastAsia="宋体" w:cs="宋体"/>
          <w:b/>
          <w:bCs/>
          <w:color w:val="auto"/>
          <w:kern w:val="2"/>
          <w:sz w:val="32"/>
          <w:szCs w:val="32"/>
          <w:highlight w:val="none"/>
        </w:rPr>
        <w:t>保修</w:t>
      </w:r>
    </w:p>
    <w:p w14:paraId="786BAF87">
      <w:pPr>
        <w:keepNext w:val="0"/>
        <w:keepLines w:val="0"/>
        <w:widowControl w:val="0"/>
        <w:suppressLineNumbers w:val="0"/>
        <w:shd w:val="clear"/>
        <w:spacing w:before="0" w:beforeAutospacing="0" w:after="0" w:afterAutospacing="0" w:line="360" w:lineRule="auto"/>
        <w:ind w:left="0" w:right="0" w:firstLine="409" w:firstLineChars="195"/>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15.4.1 </w:t>
      </w:r>
      <w:r>
        <w:rPr>
          <w:rFonts w:hint="eastAsia" w:ascii="宋体" w:hAnsi="宋体" w:eastAsia="宋体" w:cs="宋体"/>
          <w:color w:val="auto"/>
          <w:kern w:val="0"/>
          <w:sz w:val="21"/>
          <w:szCs w:val="21"/>
          <w:highlight w:val="none"/>
          <w:lang w:val="en-US" w:eastAsia="zh-CN" w:bidi="ar"/>
        </w:rPr>
        <w:t>保修责任</w:t>
      </w:r>
    </w:p>
    <w:p w14:paraId="4AE4E635">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工程保修期为：</w:t>
      </w:r>
      <w:r>
        <w:rPr>
          <w:rFonts w:hint="default" w:ascii="Times New Roman" w:hAnsi="Times New Roman" w:eastAsia="宋体" w:cs="Times New Roman"/>
          <w:color w:val="auto"/>
          <w:kern w:val="0"/>
          <w:sz w:val="21"/>
          <w:szCs w:val="21"/>
          <w:highlight w:val="none"/>
          <w:u w:val="single"/>
          <w:lang w:val="en-US" w:eastAsia="zh-CN" w:bidi="ar"/>
        </w:rPr>
        <w:t xml:space="preserve">    12</w:t>
      </w:r>
      <w:r>
        <w:rPr>
          <w:rFonts w:hint="eastAsia" w:ascii="宋体" w:hAnsi="宋体" w:eastAsia="宋体" w:cs="宋体"/>
          <w:color w:val="auto"/>
          <w:kern w:val="0"/>
          <w:sz w:val="21"/>
          <w:szCs w:val="21"/>
          <w:highlight w:val="none"/>
          <w:u w:val="single"/>
          <w:lang w:val="en-US" w:eastAsia="zh-CN" w:bidi="ar"/>
        </w:rPr>
        <w:t>个月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6D17894">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工程保修书具体内容见合同附件2。</w:t>
      </w:r>
    </w:p>
    <w:p w14:paraId="3E112B88">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15.4.3 </w:t>
      </w:r>
      <w:r>
        <w:rPr>
          <w:rFonts w:hint="eastAsia" w:ascii="宋体" w:hAnsi="宋体" w:eastAsia="宋体" w:cs="宋体"/>
          <w:color w:val="auto"/>
          <w:kern w:val="0"/>
          <w:sz w:val="21"/>
          <w:szCs w:val="21"/>
          <w:highlight w:val="none"/>
          <w:lang w:val="en-US" w:eastAsia="zh-CN" w:bidi="ar"/>
        </w:rPr>
        <w:t>修复通知</w:t>
      </w:r>
    </w:p>
    <w:p w14:paraId="14AFB292">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承包人收到保修通知并到达工程现场的合理时间：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91E92A9">
      <w:pPr>
        <w:pStyle w:val="3"/>
        <w:widowControl/>
        <w:shd w:val="clear"/>
        <w:rPr>
          <w:rFonts w:hint="default" w:ascii="Arial" w:hAnsi="Arial" w:eastAsia="黑体" w:cs="Times New Roman"/>
          <w:b/>
          <w:bCs w:val="0"/>
          <w:color w:val="auto"/>
          <w:sz w:val="32"/>
          <w:szCs w:val="32"/>
          <w:highlight w:val="none"/>
        </w:rPr>
      </w:pPr>
      <w:bookmarkStart w:id="1042" w:name="_Toc280868718"/>
      <w:bookmarkEnd w:id="1042"/>
      <w:bookmarkStart w:id="1043" w:name="_Toc9850597"/>
      <w:bookmarkEnd w:id="1043"/>
      <w:bookmarkStart w:id="1044" w:name="_Toc389065331"/>
      <w:bookmarkEnd w:id="1044"/>
      <w:bookmarkStart w:id="1045" w:name="_Toc280868717"/>
      <w:bookmarkEnd w:id="1045"/>
      <w:bookmarkStart w:id="1046" w:name="_Toc373227766"/>
      <w:bookmarkEnd w:id="1046"/>
      <w:bookmarkStart w:id="1047" w:name="_Toc373478413"/>
      <w:bookmarkEnd w:id="1047"/>
      <w:bookmarkStart w:id="1048" w:name="_Toc407135269"/>
      <w:bookmarkEnd w:id="1048"/>
      <w:bookmarkStart w:id="1049" w:name="_Toc351203648"/>
      <w:r>
        <w:rPr>
          <w:rFonts w:hint="default" w:ascii="Arial" w:hAnsi="Arial" w:eastAsia="黑体" w:cs="Times New Roman"/>
          <w:b/>
          <w:bCs w:val="0"/>
          <w:color w:val="auto"/>
          <w:sz w:val="32"/>
          <w:szCs w:val="32"/>
          <w:highlight w:val="none"/>
        </w:rPr>
        <w:t xml:space="preserve">16. </w:t>
      </w:r>
      <w:bookmarkEnd w:id="1049"/>
      <w:r>
        <w:rPr>
          <w:rFonts w:hint="eastAsia" w:ascii="黑体" w:hAnsi="宋体" w:eastAsia="黑体" w:cs="黑体"/>
          <w:b/>
          <w:bCs w:val="0"/>
          <w:color w:val="auto"/>
          <w:sz w:val="32"/>
          <w:szCs w:val="32"/>
          <w:highlight w:val="none"/>
        </w:rPr>
        <w:t>违约</w:t>
      </w:r>
    </w:p>
    <w:p w14:paraId="71DF83AD">
      <w:pPr>
        <w:pStyle w:val="4"/>
        <w:widowControl/>
        <w:shd w:val="clear"/>
        <w:rPr>
          <w:rFonts w:hint="default" w:ascii="Times New Roman" w:hAnsi="Times New Roman" w:eastAsia="宋体" w:cs="Times New Roman"/>
          <w:b/>
          <w:bCs/>
          <w:color w:val="auto"/>
          <w:kern w:val="2"/>
          <w:sz w:val="32"/>
          <w:szCs w:val="32"/>
          <w:highlight w:val="none"/>
        </w:rPr>
      </w:pPr>
      <w:bookmarkStart w:id="1050" w:name="_Toc407135270"/>
      <w:bookmarkEnd w:id="1050"/>
      <w:bookmarkStart w:id="1051" w:name="_Toc373227767"/>
      <w:bookmarkEnd w:id="1051"/>
      <w:bookmarkStart w:id="1052" w:name="_Toc389065332"/>
      <w:bookmarkEnd w:id="1052"/>
      <w:bookmarkStart w:id="1053" w:name="_Toc373478414"/>
      <w:bookmarkEnd w:id="1053"/>
      <w:bookmarkStart w:id="1054" w:name="_Toc9850598"/>
      <w:r>
        <w:rPr>
          <w:rFonts w:hint="default" w:ascii="Times New Roman" w:hAnsi="Times New Roman" w:eastAsia="宋体" w:cs="Times New Roman"/>
          <w:b/>
          <w:bCs/>
          <w:color w:val="auto"/>
          <w:kern w:val="2"/>
          <w:sz w:val="32"/>
          <w:szCs w:val="32"/>
          <w:highlight w:val="none"/>
        </w:rPr>
        <w:t xml:space="preserve">16.1 </w:t>
      </w:r>
      <w:bookmarkEnd w:id="1054"/>
      <w:r>
        <w:rPr>
          <w:rFonts w:hint="eastAsia" w:ascii="宋体" w:hAnsi="宋体" w:eastAsia="宋体" w:cs="宋体"/>
          <w:b/>
          <w:bCs/>
          <w:color w:val="auto"/>
          <w:kern w:val="2"/>
          <w:sz w:val="32"/>
          <w:szCs w:val="32"/>
          <w:highlight w:val="none"/>
        </w:rPr>
        <w:t>发包人违约</w:t>
      </w:r>
    </w:p>
    <w:p w14:paraId="42EB9AB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16.1.1</w:t>
      </w:r>
      <w:r>
        <w:rPr>
          <w:rFonts w:hint="eastAsia" w:ascii="宋体" w:hAnsi="宋体" w:eastAsia="宋体" w:cs="宋体"/>
          <w:color w:val="auto"/>
          <w:kern w:val="0"/>
          <w:sz w:val="21"/>
          <w:szCs w:val="21"/>
          <w:highlight w:val="none"/>
          <w:lang w:val="en-US" w:eastAsia="zh-CN" w:bidi="ar"/>
        </w:rPr>
        <w:t>发包人违约的情形</w:t>
      </w:r>
    </w:p>
    <w:p w14:paraId="281B3E2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发包人违约的其他情形：</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1543322">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16.1.2 </w:t>
      </w:r>
      <w:r>
        <w:rPr>
          <w:rFonts w:hint="eastAsia" w:ascii="宋体" w:hAnsi="宋体" w:eastAsia="宋体" w:cs="宋体"/>
          <w:color w:val="auto"/>
          <w:kern w:val="0"/>
          <w:sz w:val="21"/>
          <w:szCs w:val="21"/>
          <w:highlight w:val="none"/>
          <w:lang w:val="en-US" w:eastAsia="zh-CN" w:bidi="ar"/>
        </w:rPr>
        <w:t>发包人违约的责任</w:t>
      </w:r>
    </w:p>
    <w:p w14:paraId="76A3594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发包人违约责任的承担方式和计算方法：</w:t>
      </w:r>
    </w:p>
    <w:p w14:paraId="706B317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）因发包人原因未能在计划开工日期前</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天内下达开工通知的违约责任：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1B7E7D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）因发包人原因未能按合同约定支付合同价款的违约责任：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652B93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）发包人违反第</w:t>
      </w:r>
      <w:r>
        <w:rPr>
          <w:rFonts w:hint="default" w:ascii="Times New Roman" w:hAnsi="Times New Roman" w:eastAsia="宋体" w:cs="Times New Roman"/>
          <w:color w:val="auto"/>
          <w:kern w:val="0"/>
          <w:sz w:val="21"/>
          <w:szCs w:val="21"/>
          <w:highlight w:val="none"/>
          <w:lang w:val="en-US" w:eastAsia="zh-CN" w:bidi="ar"/>
        </w:rPr>
        <w:t>10.1</w:t>
      </w:r>
      <w:r>
        <w:rPr>
          <w:rFonts w:hint="eastAsia" w:ascii="宋体" w:hAnsi="宋体" w:eastAsia="宋体" w:cs="宋体"/>
          <w:color w:val="auto"/>
          <w:kern w:val="0"/>
          <w:sz w:val="21"/>
          <w:szCs w:val="21"/>
          <w:highlight w:val="none"/>
          <w:lang w:val="en-US" w:eastAsia="zh-CN" w:bidi="ar"/>
        </w:rPr>
        <w:t>款〔变更的范围〕第（</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）项约定，自行实施被取消的工作或转由他人实施的违约责任：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6407B8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）发包人提供的材料、工程设备的规格、数量或质量不符合合同约定，或因发包人原因导致交货日期延误或交货地点变更等情况的违约责任：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C5F0BE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）因发包人违反合同约定造成暂停施工的违约责任：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1C9CE7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）发包人无正当理由没有在约定期限内发出复工指示，导致承包人无法复工的违约责任：</w:t>
      </w:r>
      <w:r>
        <w:rPr>
          <w:rFonts w:hint="default" w:ascii="Times New Roman" w:hAnsi="Times New Roman" w:eastAsia="宋体" w:cs="Times New Roman"/>
          <w:color w:val="auto"/>
          <w:kern w:val="0"/>
          <w:sz w:val="21"/>
          <w:szCs w:val="21"/>
          <w:highlight w:val="none"/>
          <w:u w:val="single"/>
          <w:lang w:val="en-US" w:eastAsia="zh-CN" w:bidi="ar"/>
        </w:rPr>
        <w:t xml:space="preserve">                           /     / </w:t>
      </w:r>
      <w:r>
        <w:rPr>
          <w:rFonts w:hint="eastAsia" w:ascii="宋体" w:hAnsi="宋体" w:eastAsia="宋体" w:cs="宋体"/>
          <w:color w:val="auto"/>
          <w:kern w:val="0"/>
          <w:sz w:val="21"/>
          <w:szCs w:val="21"/>
          <w:highlight w:val="none"/>
          <w:lang w:val="en-US" w:eastAsia="zh-CN" w:bidi="ar"/>
        </w:rPr>
        <w:t>。</w:t>
      </w:r>
    </w:p>
    <w:p w14:paraId="0015EA2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）其他：</w:t>
      </w:r>
      <w:r>
        <w:rPr>
          <w:rFonts w:hint="default" w:ascii="Times New Roman" w:hAnsi="Times New Roman" w:eastAsia="宋体" w:cs="Times New Roman"/>
          <w:color w:val="auto"/>
          <w:kern w:val="0"/>
          <w:sz w:val="21"/>
          <w:szCs w:val="21"/>
          <w:highlight w:val="none"/>
          <w:u w:val="single"/>
          <w:lang w:val="en-US" w:eastAsia="zh-CN" w:bidi="ar"/>
        </w:rPr>
        <w:t xml:space="preserve">       / /       </w:t>
      </w:r>
      <w:r>
        <w:rPr>
          <w:rFonts w:hint="eastAsia" w:ascii="宋体" w:hAnsi="宋体" w:eastAsia="宋体" w:cs="宋体"/>
          <w:color w:val="auto"/>
          <w:kern w:val="0"/>
          <w:sz w:val="21"/>
          <w:szCs w:val="21"/>
          <w:highlight w:val="none"/>
          <w:lang w:val="en-US" w:eastAsia="zh-CN" w:bidi="ar"/>
        </w:rPr>
        <w:t>。</w:t>
      </w:r>
    </w:p>
    <w:p w14:paraId="5A0B976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16.1.3 </w:t>
      </w:r>
      <w:r>
        <w:rPr>
          <w:rFonts w:hint="eastAsia" w:ascii="宋体" w:hAnsi="宋体" w:eastAsia="宋体" w:cs="宋体"/>
          <w:color w:val="auto"/>
          <w:kern w:val="0"/>
          <w:sz w:val="21"/>
          <w:szCs w:val="21"/>
          <w:highlight w:val="none"/>
          <w:lang w:val="en-US" w:eastAsia="zh-CN" w:bidi="ar"/>
        </w:rPr>
        <w:t>因发包人违约解除合同</w:t>
      </w:r>
    </w:p>
    <w:p w14:paraId="1B06A66E">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承包人按</w:t>
      </w:r>
      <w:r>
        <w:rPr>
          <w:rFonts w:hint="default" w:ascii="Times New Roman" w:hAnsi="Times New Roman" w:eastAsia="宋体" w:cs="Times New Roman"/>
          <w:color w:val="auto"/>
          <w:kern w:val="0"/>
          <w:sz w:val="21"/>
          <w:szCs w:val="21"/>
          <w:highlight w:val="none"/>
          <w:lang w:val="en-US" w:eastAsia="zh-CN" w:bidi="ar"/>
        </w:rPr>
        <w:t>16.1.1</w:t>
      </w:r>
      <w:r>
        <w:rPr>
          <w:rFonts w:hint="eastAsia" w:ascii="宋体" w:hAnsi="宋体" w:eastAsia="宋体" w:cs="宋体"/>
          <w:color w:val="auto"/>
          <w:kern w:val="0"/>
          <w:sz w:val="21"/>
          <w:szCs w:val="21"/>
          <w:highlight w:val="none"/>
          <w:lang w:val="en-US" w:eastAsia="zh-CN" w:bidi="ar"/>
        </w:rPr>
        <w:t>项〔发包人违约的情形〕约定暂停施工满</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天后发包人仍不纠正其违约行为并致使合同目的不能实现的，承包人有权解除合同。</w:t>
      </w:r>
    </w:p>
    <w:p w14:paraId="3C92CA80">
      <w:pPr>
        <w:pStyle w:val="4"/>
        <w:widowControl/>
        <w:shd w:val="clear"/>
        <w:rPr>
          <w:rFonts w:hint="default" w:ascii="Times New Roman" w:hAnsi="Times New Roman" w:eastAsia="宋体" w:cs="Times New Roman"/>
          <w:b/>
          <w:bCs/>
          <w:color w:val="auto"/>
          <w:kern w:val="2"/>
          <w:sz w:val="32"/>
          <w:szCs w:val="32"/>
          <w:highlight w:val="none"/>
        </w:rPr>
      </w:pPr>
      <w:bookmarkStart w:id="1055" w:name="_Toc389065333"/>
      <w:bookmarkEnd w:id="1055"/>
      <w:bookmarkStart w:id="1056" w:name="_Toc373227768"/>
      <w:bookmarkEnd w:id="1056"/>
      <w:bookmarkStart w:id="1057" w:name="_Toc373478415"/>
      <w:bookmarkEnd w:id="1057"/>
      <w:bookmarkStart w:id="1058" w:name="_Toc9850599"/>
      <w:bookmarkEnd w:id="1058"/>
      <w:bookmarkStart w:id="1059" w:name="_Toc407135271"/>
      <w:r>
        <w:rPr>
          <w:rFonts w:hint="default" w:ascii="Times New Roman" w:hAnsi="Times New Roman" w:eastAsia="宋体" w:cs="Times New Roman"/>
          <w:b/>
          <w:bCs/>
          <w:color w:val="auto"/>
          <w:kern w:val="2"/>
          <w:sz w:val="32"/>
          <w:szCs w:val="32"/>
          <w:highlight w:val="none"/>
        </w:rPr>
        <w:t xml:space="preserve">16.2 </w:t>
      </w:r>
      <w:bookmarkEnd w:id="1059"/>
      <w:r>
        <w:rPr>
          <w:rFonts w:hint="eastAsia" w:ascii="宋体" w:hAnsi="宋体" w:eastAsia="宋体" w:cs="宋体"/>
          <w:b/>
          <w:bCs/>
          <w:color w:val="auto"/>
          <w:kern w:val="2"/>
          <w:sz w:val="32"/>
          <w:szCs w:val="32"/>
          <w:highlight w:val="none"/>
        </w:rPr>
        <w:t>承包人违约</w:t>
      </w:r>
    </w:p>
    <w:p w14:paraId="59A116A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16.2.1 </w:t>
      </w:r>
      <w:r>
        <w:rPr>
          <w:rFonts w:hint="eastAsia" w:ascii="宋体" w:hAnsi="宋体" w:eastAsia="宋体" w:cs="宋体"/>
          <w:color w:val="auto"/>
          <w:kern w:val="0"/>
          <w:sz w:val="21"/>
          <w:szCs w:val="21"/>
          <w:highlight w:val="none"/>
          <w:lang w:val="en-US" w:eastAsia="zh-CN" w:bidi="ar"/>
        </w:rPr>
        <w:t>承包人违约的情形</w:t>
      </w:r>
    </w:p>
    <w:p w14:paraId="2609890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承包人违约的其他情形：</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2159882">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16.2.2</w:t>
      </w:r>
      <w:r>
        <w:rPr>
          <w:rFonts w:hint="eastAsia" w:ascii="宋体" w:hAnsi="宋体" w:eastAsia="宋体" w:cs="宋体"/>
          <w:color w:val="auto"/>
          <w:kern w:val="0"/>
          <w:sz w:val="21"/>
          <w:szCs w:val="21"/>
          <w:highlight w:val="none"/>
          <w:lang w:val="en-US" w:eastAsia="zh-CN" w:bidi="ar"/>
        </w:rPr>
        <w:t>承包人违约的责任</w:t>
      </w:r>
    </w:p>
    <w:p w14:paraId="69EEBC0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承包人违约责任的承担方式和计算方法：</w:t>
      </w:r>
    </w:p>
    <w:p w14:paraId="0FD4823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）承包人有本合同通用条款第</w:t>
      </w:r>
      <w:r>
        <w:rPr>
          <w:rFonts w:hint="default" w:ascii="Times New Roman" w:hAnsi="Times New Roman" w:eastAsia="宋体" w:cs="Times New Roman"/>
          <w:color w:val="auto"/>
          <w:kern w:val="0"/>
          <w:sz w:val="21"/>
          <w:szCs w:val="21"/>
          <w:highlight w:val="none"/>
          <w:lang w:val="en-US" w:eastAsia="zh-CN" w:bidi="ar"/>
        </w:rPr>
        <w:t>16.2.1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）条内容情形的，承包人无条件返工处理，修复至工程质量要求并承担相关费用，并在发包人规定的时间内完成返工，否则发包人有权扣罚该分项工程</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的工程款作为违约金。</w:t>
      </w:r>
    </w:p>
    <w:p w14:paraId="6DDE94E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）承包人有本合同通用条款第</w:t>
      </w:r>
      <w:r>
        <w:rPr>
          <w:rFonts w:hint="default" w:ascii="Times New Roman" w:hAnsi="Times New Roman" w:eastAsia="宋体" w:cs="Times New Roman"/>
          <w:color w:val="auto"/>
          <w:kern w:val="0"/>
          <w:sz w:val="21"/>
          <w:szCs w:val="21"/>
          <w:highlight w:val="none"/>
          <w:lang w:val="en-US" w:eastAsia="zh-CN" w:bidi="ar"/>
        </w:rPr>
        <w:t>16.2.1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）条情形的，或经监理人检验认为修复质量不合格而承包人拒绝再进行修补的，发包人将有权聘请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委托第三方进行修补直至合格，发生的费用发包人向第三方支付后，发包人优先从未付的工程款中扣除，不足部分发包人有权向承包人追偿。</w:t>
      </w:r>
    </w:p>
    <w:p w14:paraId="3241A42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）承包人有本专用合同条款</w:t>
      </w:r>
      <w:r>
        <w:rPr>
          <w:rFonts w:hint="default" w:ascii="Times New Roman" w:hAnsi="Times New Roman" w:eastAsia="宋体" w:cs="Times New Roman"/>
          <w:color w:val="auto"/>
          <w:kern w:val="0"/>
          <w:sz w:val="21"/>
          <w:szCs w:val="21"/>
          <w:highlight w:val="none"/>
          <w:lang w:val="en-US" w:eastAsia="zh-CN" w:bidi="ar"/>
        </w:rPr>
        <w:t>3.2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3.3</w:t>
      </w:r>
      <w:r>
        <w:rPr>
          <w:rFonts w:hint="eastAsia" w:ascii="宋体" w:hAnsi="宋体" w:eastAsia="宋体" w:cs="宋体"/>
          <w:color w:val="auto"/>
          <w:kern w:val="0"/>
          <w:sz w:val="21"/>
          <w:szCs w:val="21"/>
          <w:highlight w:val="none"/>
          <w:lang w:val="en-US" w:eastAsia="zh-CN" w:bidi="ar"/>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是否返还由监理人审核，发包人批准。罚款（违约金）金额返还时不包括银行利息。</w:t>
      </w:r>
    </w:p>
    <w:p w14:paraId="689CEDC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16.2.3 </w:t>
      </w:r>
      <w:r>
        <w:rPr>
          <w:rFonts w:hint="eastAsia" w:ascii="宋体" w:hAnsi="宋体" w:eastAsia="宋体" w:cs="宋体"/>
          <w:color w:val="auto"/>
          <w:kern w:val="0"/>
          <w:sz w:val="21"/>
          <w:szCs w:val="21"/>
          <w:highlight w:val="none"/>
          <w:lang w:val="en-US" w:eastAsia="zh-CN" w:bidi="ar"/>
        </w:rPr>
        <w:t>因承包人违约解除合同</w:t>
      </w:r>
    </w:p>
    <w:p w14:paraId="76EC3B2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关于承包人违约解除合同的特别约定：</w:t>
      </w:r>
      <w:r>
        <w:rPr>
          <w:rFonts w:hint="eastAsia" w:ascii="宋体" w:hAnsi="宋体" w:eastAsia="宋体" w:cs="宋体"/>
          <w:color w:val="auto"/>
          <w:kern w:val="0"/>
          <w:sz w:val="21"/>
          <w:szCs w:val="21"/>
          <w:highlight w:val="none"/>
          <w:u w:val="single"/>
          <w:lang w:val="en-US" w:eastAsia="zh-CN" w:bidi="ar"/>
        </w:rPr>
        <w:t>承包人有违反以下情况之一的，发包人有权解除合同，并没收其全部履约保证金，造成发包人经济损失超过承包人预交履约保证金的部分，</w:t>
      </w:r>
      <w:r>
        <w:rPr>
          <w:rFonts w:hint="eastAsia" w:ascii="宋体" w:hAnsi="宋体" w:eastAsia="宋体" w:cs="宋体"/>
          <w:color w:val="auto"/>
          <w:kern w:val="0"/>
          <w:sz w:val="21"/>
          <w:szCs w:val="21"/>
          <w:highlight w:val="none"/>
          <w:lang w:val="en-US" w:eastAsia="zh-CN" w:bidi="ar"/>
        </w:rPr>
        <w:t>发包人有权向承包人追偿。</w:t>
      </w:r>
    </w:p>
    <w:p w14:paraId="08DB1F8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承包人无正当理由不按开工通知的要求及时进场组织施工和不按签订协议书时商定的进度计划有效地开展施工准备，造成工期延误的；</w:t>
      </w:r>
    </w:p>
    <w:p w14:paraId="230807D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承包人违反本合同通用条款第</w:t>
      </w:r>
      <w:r>
        <w:rPr>
          <w:rFonts w:hint="default" w:ascii="Times New Roman" w:hAnsi="Times New Roman" w:eastAsia="宋体" w:cs="Times New Roman"/>
          <w:color w:val="auto"/>
          <w:kern w:val="0"/>
          <w:sz w:val="21"/>
          <w:szCs w:val="21"/>
          <w:highlight w:val="none"/>
          <w:lang w:val="en-US" w:eastAsia="zh-CN" w:bidi="ar"/>
        </w:rPr>
        <w:t>3.5</w:t>
      </w:r>
      <w:r>
        <w:rPr>
          <w:rFonts w:hint="eastAsia" w:ascii="宋体" w:hAnsi="宋体" w:eastAsia="宋体" w:cs="宋体"/>
          <w:color w:val="auto"/>
          <w:kern w:val="0"/>
          <w:sz w:val="21"/>
          <w:szCs w:val="21"/>
          <w:highlight w:val="none"/>
          <w:lang w:val="en-US" w:eastAsia="zh-CN" w:bidi="ar"/>
        </w:rPr>
        <w:t>条规定私自将合同或合同的任何部分或任何权利转让给其他人，或私自将工程或工程的一部分分包出去的；</w:t>
      </w:r>
    </w:p>
    <w:p w14:paraId="6A31A82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未经监理人批准，承包人私自将已按投标文件承诺进入工地的工程设备、施工设备、临时工程或材料撤离工地的；</w:t>
      </w:r>
    </w:p>
    <w:p w14:paraId="6C93A95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由于承包人原因拒绝按合同进度计划及时完成合同规定的工程，而又未采取有效措施赶上进度，造成工期严重延误的；</w:t>
      </w:r>
    </w:p>
    <w:p w14:paraId="2B3DF92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承包人否认合同有效或拒绝履行合同规定的承包人义务，或由于法律、财务等原因导致承包人无法继续履行或实质上已停止履行合同的义务的；</w:t>
      </w:r>
    </w:p>
    <w:p w14:paraId="449C14C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合同签订且具备法定开工条件后之日起十五日内，承包人无法按合同规定及投标文件的承诺进场经监理工程师认可的该施工阶段应有的全部人员和机械的。</w:t>
      </w:r>
    </w:p>
    <w:p w14:paraId="642FB1D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发包人继续使用承包人在施工现场的材料、设备、临时工程、承包人文件和由承包人或以其名义编制的其他文件的费用承担方式：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不另行支付</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45A8674">
      <w:pPr>
        <w:pStyle w:val="3"/>
        <w:widowControl/>
        <w:shd w:val="clear"/>
        <w:rPr>
          <w:rFonts w:hint="default" w:ascii="Arial" w:hAnsi="Arial" w:eastAsia="黑体" w:cs="Times New Roman"/>
          <w:b/>
          <w:bCs w:val="0"/>
          <w:color w:val="auto"/>
          <w:sz w:val="32"/>
          <w:szCs w:val="32"/>
          <w:highlight w:val="none"/>
        </w:rPr>
      </w:pPr>
      <w:bookmarkStart w:id="1060" w:name="_Toc373227769"/>
      <w:bookmarkEnd w:id="1060"/>
      <w:bookmarkStart w:id="1061" w:name="_Toc373478416"/>
      <w:bookmarkEnd w:id="1061"/>
      <w:bookmarkStart w:id="1062" w:name="_Toc9850600"/>
      <w:bookmarkEnd w:id="1062"/>
      <w:bookmarkStart w:id="1063" w:name="_Toc407135272"/>
      <w:bookmarkEnd w:id="1063"/>
      <w:bookmarkStart w:id="1064" w:name="_Toc351203649"/>
      <w:bookmarkEnd w:id="1064"/>
      <w:bookmarkStart w:id="1065" w:name="_Toc389065334"/>
      <w:r>
        <w:rPr>
          <w:rFonts w:hint="default" w:ascii="Arial" w:hAnsi="Arial" w:eastAsia="黑体" w:cs="Times New Roman"/>
          <w:b/>
          <w:bCs w:val="0"/>
          <w:color w:val="auto"/>
          <w:sz w:val="32"/>
          <w:szCs w:val="32"/>
          <w:highlight w:val="none"/>
        </w:rPr>
        <w:t xml:space="preserve">17. </w:t>
      </w:r>
      <w:bookmarkEnd w:id="1065"/>
      <w:r>
        <w:rPr>
          <w:rFonts w:hint="eastAsia" w:ascii="黑体" w:hAnsi="宋体" w:eastAsia="黑体" w:cs="黑体"/>
          <w:b/>
          <w:bCs w:val="0"/>
          <w:color w:val="auto"/>
          <w:sz w:val="32"/>
          <w:szCs w:val="32"/>
          <w:highlight w:val="none"/>
        </w:rPr>
        <w:t>不可抗力</w:t>
      </w:r>
      <w:r>
        <w:rPr>
          <w:rFonts w:hint="default" w:ascii="Arial" w:hAnsi="Arial" w:eastAsia="黑体" w:cs="Times New Roman"/>
          <w:b/>
          <w:bCs w:val="0"/>
          <w:color w:val="auto"/>
          <w:sz w:val="32"/>
          <w:szCs w:val="32"/>
          <w:highlight w:val="none"/>
        </w:rPr>
        <w:t xml:space="preserve"> </w:t>
      </w:r>
    </w:p>
    <w:p w14:paraId="1E751578">
      <w:pPr>
        <w:pStyle w:val="4"/>
        <w:widowControl/>
        <w:shd w:val="clear"/>
        <w:rPr>
          <w:rFonts w:hint="default" w:ascii="Times New Roman" w:hAnsi="Times New Roman" w:eastAsia="宋体" w:cs="Times New Roman"/>
          <w:b/>
          <w:bCs/>
          <w:color w:val="auto"/>
          <w:kern w:val="2"/>
          <w:sz w:val="32"/>
          <w:szCs w:val="32"/>
          <w:highlight w:val="none"/>
        </w:rPr>
      </w:pPr>
      <w:bookmarkStart w:id="1066" w:name="_Toc407135273"/>
      <w:bookmarkEnd w:id="1066"/>
      <w:bookmarkStart w:id="1067" w:name="_Toc373227770"/>
      <w:bookmarkEnd w:id="1067"/>
      <w:bookmarkStart w:id="1068" w:name="_Toc9850601"/>
      <w:bookmarkEnd w:id="1068"/>
      <w:bookmarkStart w:id="1069" w:name="_Toc389065335"/>
      <w:bookmarkEnd w:id="1069"/>
      <w:bookmarkStart w:id="1070" w:name="_Toc373478417"/>
      <w:r>
        <w:rPr>
          <w:rFonts w:hint="default" w:ascii="Times New Roman" w:hAnsi="Times New Roman" w:eastAsia="宋体" w:cs="Times New Roman"/>
          <w:b/>
          <w:bCs/>
          <w:color w:val="auto"/>
          <w:kern w:val="2"/>
          <w:sz w:val="32"/>
          <w:szCs w:val="32"/>
          <w:highlight w:val="none"/>
        </w:rPr>
        <w:t xml:space="preserve">17.1 </w:t>
      </w:r>
      <w:bookmarkEnd w:id="1070"/>
      <w:r>
        <w:rPr>
          <w:rFonts w:hint="eastAsia" w:ascii="宋体" w:hAnsi="宋体" w:eastAsia="宋体" w:cs="宋体"/>
          <w:b/>
          <w:bCs/>
          <w:color w:val="auto"/>
          <w:kern w:val="2"/>
          <w:sz w:val="32"/>
          <w:szCs w:val="32"/>
          <w:highlight w:val="none"/>
        </w:rPr>
        <w:t>不可抗力的确认</w:t>
      </w:r>
    </w:p>
    <w:p w14:paraId="5A198FE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除通用合同条款约定的不可抗力事件之外，视为不可抗力的其他情形：</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F437B1A">
      <w:pPr>
        <w:pStyle w:val="4"/>
        <w:widowControl/>
        <w:shd w:val="clear"/>
        <w:rPr>
          <w:rFonts w:hint="default" w:ascii="Times New Roman" w:hAnsi="Times New Roman" w:eastAsia="宋体" w:cs="Times New Roman"/>
          <w:b/>
          <w:bCs/>
          <w:color w:val="auto"/>
          <w:kern w:val="2"/>
          <w:sz w:val="32"/>
          <w:szCs w:val="32"/>
          <w:highlight w:val="none"/>
        </w:rPr>
      </w:pPr>
      <w:bookmarkStart w:id="1071" w:name="_Toc373478418"/>
      <w:bookmarkEnd w:id="1071"/>
      <w:bookmarkStart w:id="1072" w:name="_Toc407135274"/>
      <w:bookmarkEnd w:id="1072"/>
      <w:bookmarkStart w:id="1073" w:name="_Toc389065336"/>
      <w:bookmarkEnd w:id="1073"/>
      <w:bookmarkStart w:id="1074" w:name="_Toc373227771"/>
      <w:bookmarkEnd w:id="1074"/>
      <w:bookmarkStart w:id="1075" w:name="_Toc9850602"/>
      <w:r>
        <w:rPr>
          <w:rFonts w:hint="default" w:ascii="Times New Roman" w:hAnsi="Times New Roman" w:eastAsia="宋体" w:cs="Times New Roman"/>
          <w:b/>
          <w:bCs/>
          <w:color w:val="auto"/>
          <w:kern w:val="2"/>
          <w:sz w:val="32"/>
          <w:szCs w:val="32"/>
          <w:highlight w:val="none"/>
        </w:rPr>
        <w:t xml:space="preserve">17.4 </w:t>
      </w:r>
      <w:bookmarkEnd w:id="1075"/>
      <w:r>
        <w:rPr>
          <w:rFonts w:hint="eastAsia" w:ascii="宋体" w:hAnsi="宋体" w:eastAsia="宋体" w:cs="宋体"/>
          <w:b/>
          <w:bCs/>
          <w:color w:val="auto"/>
          <w:kern w:val="2"/>
          <w:sz w:val="32"/>
          <w:szCs w:val="32"/>
          <w:highlight w:val="none"/>
        </w:rPr>
        <w:t>因不可抗力解除合同</w:t>
      </w:r>
    </w:p>
    <w:p w14:paraId="036B195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合同解除后，发包人应在商定或确定发包人应支付款项后</w:t>
      </w:r>
      <w:r>
        <w:rPr>
          <w:rFonts w:hint="default" w:ascii="Times New Roman" w:hAnsi="Times New Roman" w:eastAsia="宋体" w:cs="Times New Roman"/>
          <w:color w:val="auto"/>
          <w:kern w:val="0"/>
          <w:sz w:val="21"/>
          <w:szCs w:val="21"/>
          <w:highlight w:val="none"/>
          <w:u w:val="single"/>
          <w:lang w:val="en-US" w:eastAsia="zh-CN" w:bidi="ar"/>
        </w:rPr>
        <w:t xml:space="preserve">  30  </w:t>
      </w:r>
      <w:r>
        <w:rPr>
          <w:rFonts w:hint="eastAsia" w:ascii="宋体" w:hAnsi="宋体" w:eastAsia="宋体" w:cs="宋体"/>
          <w:color w:val="auto"/>
          <w:kern w:val="0"/>
          <w:sz w:val="21"/>
          <w:szCs w:val="21"/>
          <w:highlight w:val="none"/>
          <w:lang w:val="en-US" w:eastAsia="zh-CN" w:bidi="ar"/>
        </w:rPr>
        <w:t>天内完成款项的支付。</w:t>
      </w:r>
    </w:p>
    <w:p w14:paraId="6798AB1A">
      <w:pPr>
        <w:pStyle w:val="3"/>
        <w:widowControl/>
        <w:shd w:val="clear"/>
        <w:rPr>
          <w:rFonts w:hint="default" w:ascii="Arial" w:hAnsi="Arial" w:eastAsia="黑体" w:cs="Times New Roman"/>
          <w:b/>
          <w:bCs w:val="0"/>
          <w:color w:val="auto"/>
          <w:sz w:val="32"/>
          <w:szCs w:val="32"/>
          <w:highlight w:val="none"/>
        </w:rPr>
      </w:pPr>
      <w:bookmarkStart w:id="1076" w:name="_Toc351203650"/>
      <w:bookmarkEnd w:id="1076"/>
      <w:bookmarkStart w:id="1077" w:name="_Toc373227772"/>
      <w:bookmarkEnd w:id="1077"/>
      <w:bookmarkStart w:id="1078" w:name="_Toc407135275"/>
      <w:bookmarkEnd w:id="1078"/>
      <w:bookmarkStart w:id="1079" w:name="_Toc389065337"/>
      <w:bookmarkEnd w:id="1079"/>
      <w:bookmarkStart w:id="1080" w:name="_Toc373478419"/>
      <w:bookmarkEnd w:id="1080"/>
      <w:bookmarkStart w:id="1081" w:name="_Toc9850603"/>
      <w:r>
        <w:rPr>
          <w:rFonts w:hint="default" w:ascii="Arial" w:hAnsi="Arial" w:eastAsia="黑体" w:cs="Times New Roman"/>
          <w:b/>
          <w:bCs w:val="0"/>
          <w:color w:val="auto"/>
          <w:sz w:val="32"/>
          <w:szCs w:val="32"/>
          <w:highlight w:val="none"/>
        </w:rPr>
        <w:t xml:space="preserve">18. </w:t>
      </w:r>
      <w:bookmarkEnd w:id="1081"/>
      <w:r>
        <w:rPr>
          <w:rFonts w:hint="eastAsia" w:ascii="黑体" w:hAnsi="宋体" w:eastAsia="黑体" w:cs="黑体"/>
          <w:b/>
          <w:bCs w:val="0"/>
          <w:color w:val="auto"/>
          <w:sz w:val="32"/>
          <w:szCs w:val="32"/>
          <w:highlight w:val="none"/>
        </w:rPr>
        <w:t>保险</w:t>
      </w:r>
    </w:p>
    <w:p w14:paraId="5AEB0F79">
      <w:pPr>
        <w:pStyle w:val="4"/>
        <w:widowControl/>
        <w:shd w:val="clear"/>
        <w:rPr>
          <w:rFonts w:hint="default" w:ascii="Times New Roman" w:hAnsi="Times New Roman" w:eastAsia="宋体" w:cs="Times New Roman"/>
          <w:b/>
          <w:bCs/>
          <w:color w:val="auto"/>
          <w:kern w:val="2"/>
          <w:sz w:val="32"/>
          <w:szCs w:val="32"/>
          <w:highlight w:val="none"/>
        </w:rPr>
      </w:pPr>
      <w:bookmarkStart w:id="1082" w:name="_Toc389065338"/>
      <w:bookmarkEnd w:id="1082"/>
      <w:bookmarkStart w:id="1083" w:name="_Toc407135276"/>
      <w:bookmarkEnd w:id="1083"/>
      <w:bookmarkStart w:id="1084" w:name="_Toc373227773"/>
      <w:bookmarkEnd w:id="1084"/>
      <w:bookmarkStart w:id="1085" w:name="_Toc9850604"/>
      <w:bookmarkEnd w:id="1085"/>
      <w:bookmarkStart w:id="1086" w:name="_Toc373478420"/>
      <w:r>
        <w:rPr>
          <w:rFonts w:hint="default" w:ascii="Times New Roman" w:hAnsi="Times New Roman" w:eastAsia="宋体" w:cs="Times New Roman"/>
          <w:b/>
          <w:bCs/>
          <w:color w:val="auto"/>
          <w:kern w:val="2"/>
          <w:sz w:val="32"/>
          <w:szCs w:val="32"/>
          <w:highlight w:val="none"/>
        </w:rPr>
        <w:t xml:space="preserve">18.1 </w:t>
      </w:r>
      <w:bookmarkEnd w:id="1086"/>
      <w:r>
        <w:rPr>
          <w:rFonts w:hint="eastAsia" w:ascii="宋体" w:hAnsi="宋体" w:eastAsia="宋体" w:cs="宋体"/>
          <w:b/>
          <w:bCs/>
          <w:color w:val="auto"/>
          <w:kern w:val="2"/>
          <w:sz w:val="32"/>
          <w:szCs w:val="32"/>
          <w:highlight w:val="none"/>
        </w:rPr>
        <w:t>工程保险</w:t>
      </w:r>
    </w:p>
    <w:p w14:paraId="0C77807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关于工程保险的特别约定：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E27E6C4">
      <w:pPr>
        <w:pStyle w:val="4"/>
        <w:widowControl/>
        <w:shd w:val="clear"/>
        <w:rPr>
          <w:rFonts w:hint="default" w:ascii="Times New Roman" w:hAnsi="Times New Roman" w:eastAsia="宋体" w:cs="Times New Roman"/>
          <w:b/>
          <w:bCs/>
          <w:color w:val="auto"/>
          <w:kern w:val="2"/>
          <w:sz w:val="32"/>
          <w:szCs w:val="32"/>
          <w:highlight w:val="none"/>
        </w:rPr>
      </w:pPr>
      <w:bookmarkStart w:id="1087" w:name="_Toc389065339"/>
      <w:bookmarkEnd w:id="1087"/>
      <w:bookmarkStart w:id="1088" w:name="_Toc407135277"/>
      <w:bookmarkEnd w:id="1088"/>
      <w:bookmarkStart w:id="1089" w:name="_Toc373227774"/>
      <w:bookmarkEnd w:id="1089"/>
      <w:bookmarkStart w:id="1090" w:name="_Toc373478421"/>
      <w:bookmarkEnd w:id="1090"/>
      <w:bookmarkStart w:id="1091" w:name="_Toc9850605"/>
      <w:r>
        <w:rPr>
          <w:rFonts w:hint="default" w:ascii="Times New Roman" w:hAnsi="Times New Roman" w:eastAsia="宋体" w:cs="Times New Roman"/>
          <w:b/>
          <w:bCs/>
          <w:color w:val="auto"/>
          <w:kern w:val="2"/>
          <w:sz w:val="32"/>
          <w:szCs w:val="32"/>
          <w:highlight w:val="none"/>
        </w:rPr>
        <w:t xml:space="preserve">18.3 </w:t>
      </w:r>
      <w:bookmarkEnd w:id="1091"/>
      <w:r>
        <w:rPr>
          <w:rFonts w:hint="eastAsia" w:ascii="宋体" w:hAnsi="宋体" w:eastAsia="宋体" w:cs="宋体"/>
          <w:b/>
          <w:bCs/>
          <w:color w:val="auto"/>
          <w:kern w:val="2"/>
          <w:sz w:val="32"/>
          <w:szCs w:val="32"/>
          <w:highlight w:val="none"/>
        </w:rPr>
        <w:t>其他保险</w:t>
      </w:r>
    </w:p>
    <w:p w14:paraId="1A82B3B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bookmarkStart w:id="1092" w:name="_Toc373227775"/>
      <w:bookmarkEnd w:id="1092"/>
      <w:bookmarkStart w:id="1093" w:name="_Toc373478422"/>
      <w:bookmarkEnd w:id="1093"/>
      <w:bookmarkStart w:id="1094" w:name="_Toc9850606"/>
      <w:bookmarkEnd w:id="1094"/>
      <w:bookmarkStart w:id="1095" w:name="_Toc407135278"/>
      <w:bookmarkEnd w:id="1095"/>
      <w:bookmarkStart w:id="1096" w:name="_Toc389065340"/>
      <w:r>
        <w:rPr>
          <w:rFonts w:hint="eastAsia" w:ascii="宋体" w:hAnsi="宋体" w:eastAsia="宋体" w:cs="宋体"/>
          <w:color w:val="auto"/>
          <w:kern w:val="0"/>
          <w:sz w:val="21"/>
          <w:szCs w:val="21"/>
          <w:highlight w:val="none"/>
          <w:lang w:val="en-US" w:eastAsia="zh-CN" w:bidi="ar"/>
        </w:rPr>
        <w:t>关于其他保险的约定：</w:t>
      </w:r>
      <w:bookmarkEnd w:id="1096"/>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2"/>
          <w:szCs w:val="22"/>
          <w:highlight w:val="none"/>
          <w:u w:val="single"/>
          <w:lang w:val="en-US" w:eastAsia="zh-CN" w:bidi="ar"/>
        </w:rPr>
        <w:t>按照通用条款和现行法律法规要求执行</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24F3EA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承包人是否应为其施工设备等办理财产保险：</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由承包人根据施工现场情况自行安排，如承包人未</w:t>
      </w:r>
      <w:r>
        <w:rPr>
          <w:rFonts w:hint="eastAsia" w:ascii="宋体" w:hAnsi="宋体" w:eastAsia="宋体" w:cs="宋体"/>
          <w:color w:val="auto"/>
          <w:kern w:val="0"/>
          <w:sz w:val="21"/>
          <w:szCs w:val="21"/>
          <w:highlight w:val="none"/>
          <w:lang w:val="en-US" w:eastAsia="zh-CN" w:bidi="ar"/>
        </w:rPr>
        <w:t>办理财产保险的，</w:t>
      </w:r>
      <w:r>
        <w:rPr>
          <w:rFonts w:hint="eastAsia" w:ascii="宋体" w:hAnsi="宋体" w:eastAsia="宋体" w:cs="宋体"/>
          <w:color w:val="auto"/>
          <w:kern w:val="0"/>
          <w:sz w:val="21"/>
          <w:szCs w:val="21"/>
          <w:highlight w:val="none"/>
          <w:u w:val="single"/>
          <w:lang w:val="en-US" w:eastAsia="zh-CN" w:bidi="ar"/>
        </w:rPr>
        <w:t>发生事故造成损失由承包人承担赔偿责任。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3B2DA93">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18.7 </w:t>
      </w:r>
      <w:r>
        <w:rPr>
          <w:rFonts w:hint="eastAsia" w:ascii="宋体" w:hAnsi="宋体" w:eastAsia="宋体" w:cs="宋体"/>
          <w:b/>
          <w:bCs/>
          <w:color w:val="auto"/>
          <w:kern w:val="2"/>
          <w:sz w:val="32"/>
          <w:szCs w:val="32"/>
          <w:highlight w:val="none"/>
        </w:rPr>
        <w:t>通知义务</w:t>
      </w:r>
    </w:p>
    <w:p w14:paraId="2691B99F">
      <w:pPr>
        <w:keepNext w:val="0"/>
        <w:keepLines w:val="0"/>
        <w:widowControl w:val="0"/>
        <w:suppressLineNumbers w:val="0"/>
        <w:shd w:val="clear"/>
        <w:spacing w:before="0" w:beforeAutospacing="0" w:after="0" w:afterAutospacing="0" w:line="360" w:lineRule="auto"/>
        <w:ind w:left="0" w:right="0" w:firstLine="480" w:firstLineChars="200"/>
        <w:jc w:val="left"/>
        <w:rPr>
          <w:rFonts w:hint="default" w:ascii="Times New Roman" w:hAnsi="Times New Roman" w:eastAsia="宋体" w:cs="Times New Roman"/>
          <w:color w:val="auto"/>
          <w:highlight w:val="none"/>
          <w:u w:val="single"/>
        </w:rPr>
      </w:pPr>
      <w:r>
        <w:rPr>
          <w:rFonts w:hint="eastAsia" w:ascii="宋体" w:hAnsi="宋体" w:eastAsia="宋体" w:cs="宋体"/>
          <w:color w:val="auto"/>
          <w:kern w:val="0"/>
          <w:sz w:val="24"/>
          <w:szCs w:val="24"/>
          <w:highlight w:val="none"/>
          <w:lang w:val="en-US" w:eastAsia="zh-CN" w:bidi="ar"/>
        </w:rPr>
        <w:t>关于变更保险合同时的通知义务的约定：</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552677F2">
      <w:pPr>
        <w:pStyle w:val="3"/>
        <w:widowControl/>
        <w:shd w:val="clear"/>
        <w:rPr>
          <w:rFonts w:hint="default" w:ascii="Arial" w:hAnsi="Arial" w:eastAsia="黑体" w:cs="Times New Roman"/>
          <w:b/>
          <w:bCs w:val="0"/>
          <w:color w:val="auto"/>
          <w:sz w:val="32"/>
          <w:szCs w:val="32"/>
          <w:highlight w:val="none"/>
        </w:rPr>
      </w:pPr>
      <w:bookmarkStart w:id="1097" w:name="_Toc407135279"/>
      <w:bookmarkEnd w:id="1097"/>
      <w:bookmarkStart w:id="1098" w:name="_Toc373478423"/>
      <w:bookmarkEnd w:id="1098"/>
      <w:bookmarkStart w:id="1099" w:name="_Toc351203651"/>
      <w:bookmarkEnd w:id="1099"/>
      <w:bookmarkStart w:id="1100" w:name="_Toc9850607"/>
      <w:bookmarkEnd w:id="1100"/>
      <w:bookmarkStart w:id="1101" w:name="_Toc389065341"/>
      <w:bookmarkEnd w:id="1101"/>
      <w:bookmarkStart w:id="1102" w:name="_Toc373227776"/>
      <w:bookmarkEnd w:id="1102"/>
      <w:r>
        <w:rPr>
          <w:rFonts w:hint="default" w:ascii="Arial" w:hAnsi="Arial" w:eastAsia="黑体" w:cs="Times New Roman"/>
          <w:b/>
          <w:bCs w:val="0"/>
          <w:color w:val="auto"/>
          <w:sz w:val="32"/>
          <w:szCs w:val="32"/>
          <w:highlight w:val="none"/>
        </w:rPr>
        <w:t xml:space="preserve">20. </w:t>
      </w:r>
      <w:r>
        <w:rPr>
          <w:rFonts w:hint="eastAsia" w:ascii="黑体" w:hAnsi="宋体" w:eastAsia="黑体" w:cs="黑体"/>
          <w:b/>
          <w:bCs w:val="0"/>
          <w:color w:val="auto"/>
          <w:sz w:val="32"/>
          <w:szCs w:val="32"/>
          <w:highlight w:val="none"/>
        </w:rPr>
        <w:t>争议解决</w:t>
      </w:r>
    </w:p>
    <w:p w14:paraId="027F5F46">
      <w:pPr>
        <w:pStyle w:val="4"/>
        <w:widowControl/>
        <w:shd w:val="clear"/>
        <w:rPr>
          <w:rFonts w:hint="default" w:ascii="Times New Roman" w:hAnsi="Times New Roman" w:eastAsia="宋体" w:cs="Times New Roman"/>
          <w:b/>
          <w:bCs/>
          <w:color w:val="auto"/>
          <w:kern w:val="2"/>
          <w:sz w:val="32"/>
          <w:szCs w:val="32"/>
          <w:highlight w:val="none"/>
        </w:rPr>
      </w:pPr>
      <w:bookmarkStart w:id="1103" w:name="_Toc373227777"/>
      <w:bookmarkEnd w:id="1103"/>
      <w:bookmarkStart w:id="1104" w:name="_Toc9850608"/>
      <w:bookmarkEnd w:id="1104"/>
      <w:bookmarkStart w:id="1105" w:name="_Toc407135280"/>
      <w:bookmarkEnd w:id="1105"/>
      <w:bookmarkStart w:id="1106" w:name="_Toc389065342"/>
      <w:bookmarkEnd w:id="1106"/>
      <w:bookmarkStart w:id="1107" w:name="_Toc373478424"/>
      <w:r>
        <w:rPr>
          <w:rFonts w:hint="default" w:ascii="Times New Roman" w:hAnsi="Times New Roman" w:eastAsia="宋体" w:cs="Times New Roman"/>
          <w:b/>
          <w:bCs/>
          <w:color w:val="auto"/>
          <w:kern w:val="2"/>
          <w:sz w:val="32"/>
          <w:szCs w:val="32"/>
          <w:highlight w:val="none"/>
        </w:rPr>
        <w:t xml:space="preserve">20.3 </w:t>
      </w:r>
      <w:bookmarkEnd w:id="1107"/>
      <w:r>
        <w:rPr>
          <w:rFonts w:hint="eastAsia" w:ascii="宋体" w:hAnsi="宋体" w:eastAsia="宋体" w:cs="宋体"/>
          <w:b/>
          <w:bCs/>
          <w:color w:val="auto"/>
          <w:kern w:val="2"/>
          <w:sz w:val="32"/>
          <w:szCs w:val="32"/>
          <w:highlight w:val="none"/>
        </w:rPr>
        <w:t>争议评审</w:t>
      </w:r>
    </w:p>
    <w:p w14:paraId="32CB4405">
      <w:pPr>
        <w:keepNext w:val="0"/>
        <w:keepLines w:val="0"/>
        <w:widowControl w:val="0"/>
        <w:suppressLineNumbers w:val="0"/>
        <w:shd w:val="clear"/>
        <w:spacing w:before="0" w:beforeAutospacing="0" w:after="0" w:afterAutospacing="0" w:line="360" w:lineRule="auto"/>
        <w:ind w:left="142" w:leftChars="71" w:right="0" w:firstLine="315" w:firstLineChars="1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合同当事人是否同意将工程争议提交争议评审小组决定：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FFD7D92">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20.3.1 </w:t>
      </w:r>
      <w:r>
        <w:rPr>
          <w:rFonts w:hint="eastAsia" w:ascii="宋体" w:hAnsi="宋体" w:eastAsia="宋体" w:cs="宋体"/>
          <w:color w:val="auto"/>
          <w:kern w:val="0"/>
          <w:sz w:val="21"/>
          <w:szCs w:val="21"/>
          <w:highlight w:val="none"/>
          <w:lang w:val="en-US" w:eastAsia="zh-CN" w:bidi="ar"/>
        </w:rPr>
        <w:t>争议评审小组的确定</w:t>
      </w:r>
    </w:p>
    <w:p w14:paraId="1FA3EA6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争议评审小组成员的确定：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7584220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选定争议评审员的期限：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B2BCD0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争议评审小组成员的报酬承担方式：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31FD14B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其他事项的约定：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ABC06DA">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20.3.2 </w:t>
      </w:r>
      <w:r>
        <w:rPr>
          <w:rFonts w:hint="eastAsia" w:ascii="宋体" w:hAnsi="宋体" w:eastAsia="宋体" w:cs="宋体"/>
          <w:color w:val="auto"/>
          <w:kern w:val="0"/>
          <w:sz w:val="21"/>
          <w:szCs w:val="21"/>
          <w:highlight w:val="none"/>
          <w:lang w:val="en-US" w:eastAsia="zh-CN" w:bidi="ar"/>
        </w:rPr>
        <w:t>争议评审小组的决定</w:t>
      </w:r>
    </w:p>
    <w:p w14:paraId="47150A6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合同当事人关于本项的约定：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7727D88">
      <w:pPr>
        <w:pStyle w:val="4"/>
        <w:widowControl/>
        <w:shd w:val="clear"/>
        <w:rPr>
          <w:rFonts w:hint="default" w:ascii="Times New Roman" w:hAnsi="Times New Roman" w:eastAsia="宋体" w:cs="Times New Roman"/>
          <w:b/>
          <w:bCs/>
          <w:color w:val="auto"/>
          <w:kern w:val="2"/>
          <w:sz w:val="32"/>
          <w:szCs w:val="32"/>
          <w:highlight w:val="none"/>
        </w:rPr>
      </w:pPr>
      <w:bookmarkStart w:id="1108" w:name="_Toc373227778"/>
      <w:bookmarkEnd w:id="1108"/>
      <w:bookmarkStart w:id="1109" w:name="_Toc407135281"/>
      <w:bookmarkEnd w:id="1109"/>
      <w:bookmarkStart w:id="1110" w:name="_Toc9850609"/>
      <w:bookmarkEnd w:id="1110"/>
      <w:bookmarkStart w:id="1111" w:name="_Toc373478425"/>
      <w:bookmarkEnd w:id="1111"/>
      <w:bookmarkStart w:id="1112" w:name="_Toc389065343"/>
      <w:r>
        <w:rPr>
          <w:rFonts w:hint="default" w:ascii="Times New Roman" w:hAnsi="Times New Roman" w:eastAsia="宋体" w:cs="Times New Roman"/>
          <w:b/>
          <w:bCs/>
          <w:color w:val="auto"/>
          <w:kern w:val="2"/>
          <w:sz w:val="32"/>
          <w:szCs w:val="32"/>
          <w:highlight w:val="none"/>
        </w:rPr>
        <w:t xml:space="preserve">20.4 </w:t>
      </w:r>
      <w:bookmarkEnd w:id="1112"/>
      <w:r>
        <w:rPr>
          <w:rFonts w:hint="eastAsia" w:ascii="宋体" w:hAnsi="宋体" w:eastAsia="宋体" w:cs="宋体"/>
          <w:b/>
          <w:bCs/>
          <w:color w:val="auto"/>
          <w:kern w:val="2"/>
          <w:sz w:val="32"/>
          <w:szCs w:val="32"/>
          <w:highlight w:val="none"/>
        </w:rPr>
        <w:t>仲裁或诉讼</w:t>
      </w:r>
    </w:p>
    <w:p w14:paraId="564152F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1113" w:name="_Toc351203652"/>
      <w:bookmarkEnd w:id="1113"/>
      <w:r>
        <w:rPr>
          <w:rFonts w:hint="default" w:ascii="Times New Roman" w:hAnsi="Times New Roman" w:eastAsia="宋体" w:cs="Times New Roman"/>
          <w:color w:val="auto"/>
          <w:kern w:val="0"/>
          <w:sz w:val="21"/>
          <w:szCs w:val="21"/>
          <w:highlight w:val="none"/>
          <w:lang w:val="en-US" w:eastAsia="zh-CN" w:bidi="ar"/>
        </w:rPr>
        <w:t xml:space="preserve">20.4.1 </w:t>
      </w:r>
      <w:r>
        <w:rPr>
          <w:rFonts w:hint="eastAsia" w:ascii="宋体" w:hAnsi="宋体" w:eastAsia="宋体" w:cs="宋体"/>
          <w:color w:val="auto"/>
          <w:kern w:val="0"/>
          <w:sz w:val="21"/>
          <w:szCs w:val="21"/>
          <w:highlight w:val="none"/>
          <w:lang w:val="en-US" w:eastAsia="zh-CN" w:bidi="ar"/>
        </w:rPr>
        <w:t>因合同及合同有关事项发生的争议，按下列第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种方式解决：</w:t>
      </w:r>
    </w:p>
    <w:p w14:paraId="5D0426B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）提请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仲裁委员会按照该会仲裁规则进行仲裁，仲裁裁决是终局的，对合同双方均有约束力。</w:t>
      </w:r>
    </w:p>
    <w:p w14:paraId="7ECCC956">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）向</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项目所在地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人民法院起诉。</w:t>
      </w:r>
    </w:p>
    <w:p w14:paraId="6807583D">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20.4.2 </w:t>
      </w:r>
      <w:r>
        <w:rPr>
          <w:rFonts w:hint="eastAsia" w:ascii="宋体" w:hAnsi="宋体" w:eastAsia="宋体" w:cs="宋体"/>
          <w:color w:val="auto"/>
          <w:kern w:val="0"/>
          <w:sz w:val="21"/>
          <w:szCs w:val="21"/>
          <w:highlight w:val="none"/>
          <w:lang w:val="en-US" w:eastAsia="zh-CN" w:bidi="ar"/>
        </w:rPr>
        <w:t>甲、乙双方在履行本合同过程中，任何一方如果违约，守约方为维护权益而发生的一切费用（包括但不限于律师费、诉讼费、保全保险费、差旅费、评估</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鉴定费等）均由违约方承担。</w:t>
      </w:r>
    </w:p>
    <w:p w14:paraId="3B09DE5B">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20.4.3</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本合同载明的各方地址可作为送达法律文书、对账单、法院送达诉讼文书，各方往来信函等的地址，因载明的地址有误或未及时告知变更后的地址</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导致相关文书及诉讼文书未能实际被接收的，邮寄送达的，相关文书及诉讼文书被退回之日即视为送达之日。</w:t>
      </w:r>
    </w:p>
    <w:p w14:paraId="16A913E0">
      <w:pPr>
        <w:keepNext w:val="0"/>
        <w:keepLines w:val="0"/>
        <w:widowControl w:val="0"/>
        <w:suppressLineNumbers w:val="0"/>
        <w:shd w:val="clear"/>
        <w:spacing w:before="0" w:beforeAutospacing="0" w:after="0" w:afterAutospacing="0" w:line="360" w:lineRule="auto"/>
        <w:ind w:left="0" w:right="0" w:firstLine="422" w:firstLineChars="200"/>
        <w:jc w:val="left"/>
        <w:rPr>
          <w:rFonts w:hint="eastAsia" w:ascii="Times New Roman" w:hAnsi="宋体" w:eastAsia="宋体" w:cs="宋体"/>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 xml:space="preserve">21 </w:t>
      </w:r>
      <w:r>
        <w:rPr>
          <w:rFonts w:hint="eastAsia" w:ascii="宋体" w:hAnsi="宋体" w:eastAsia="宋体" w:cs="宋体"/>
          <w:b/>
          <w:bCs/>
          <w:color w:val="auto"/>
          <w:kern w:val="0"/>
          <w:sz w:val="21"/>
          <w:szCs w:val="21"/>
          <w:highlight w:val="none"/>
          <w:lang w:val="en-US" w:eastAsia="zh-CN" w:bidi="ar"/>
        </w:rPr>
        <w:t>本合同通用合同条款与专用合同条款约定不一致的，以专用合同条款约定为准，按照专用合同条款的约定执行</w:t>
      </w:r>
    </w:p>
    <w:p w14:paraId="2F5CD92E">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黑体" w:cs="Times New Roman"/>
          <w:b/>
          <w:bCs/>
          <w:color w:val="auto"/>
          <w:sz w:val="28"/>
          <w:szCs w:val="28"/>
          <w:highlight w:val="none"/>
        </w:rPr>
      </w:pPr>
      <w:r>
        <w:rPr>
          <w:rFonts w:hint="eastAsia" w:ascii="黑体" w:hAnsi="宋体" w:eastAsia="黑体" w:cs="黑体"/>
          <w:b/>
          <w:bCs/>
          <w:color w:val="auto"/>
          <w:kern w:val="0"/>
          <w:sz w:val="28"/>
          <w:szCs w:val="28"/>
          <w:highlight w:val="none"/>
          <w:lang w:val="en-US" w:eastAsia="zh-CN" w:bidi="ar"/>
        </w:rPr>
        <w:t>附件</w:t>
      </w:r>
    </w:p>
    <w:p w14:paraId="4E2B54FA">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附件1：承包人承揽工程项目一览表</w:t>
      </w:r>
    </w:p>
    <w:p w14:paraId="60EDC39B">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附件2：工程质量保修书</w:t>
      </w:r>
    </w:p>
    <w:p w14:paraId="4F35A371">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附件3：预付款支付申请（核准）表</w:t>
      </w:r>
    </w:p>
    <w:p w14:paraId="3D36D892">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附件4：进度款支付申请（核准）表</w:t>
      </w:r>
    </w:p>
    <w:p w14:paraId="03E0475C">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附件5：竣工结算款支付申请（核准）表</w:t>
      </w:r>
    </w:p>
    <w:p w14:paraId="50140E10">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附件6：最终结算款支付申请（核准）表</w:t>
      </w:r>
    </w:p>
    <w:p w14:paraId="7AD4C235">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附件</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：总价合同进度款支付分解表</w:t>
      </w:r>
    </w:p>
    <w:p w14:paraId="4D32FDDF">
      <w:pPr>
        <w:shd w:val="clear"/>
        <w:rPr>
          <w:rFonts w:hint="default" w:ascii="Times New Roman" w:hAnsi="Times New Roman" w:eastAsia="宋体" w:cs="Times New Roman"/>
          <w:color w:val="auto"/>
          <w:highlight w:val="none"/>
        </w:rPr>
        <w:sectPr>
          <w:pgSz w:w="11907" w:h="16840"/>
          <w:pgMar w:top="1440" w:right="1440" w:bottom="1440" w:left="1797" w:header="851" w:footer="851" w:gutter="0"/>
          <w:cols w:space="720" w:num="1"/>
          <w:formProt w:val="1"/>
          <w:docGrid w:type="lines" w:linePitch="312" w:charSpace="43007"/>
        </w:sectPr>
      </w:pPr>
    </w:p>
    <w:p w14:paraId="354F7205">
      <w:pPr>
        <w:keepNext w:val="0"/>
        <w:keepLines w:val="0"/>
        <w:widowControl w:val="0"/>
        <w:suppressLineNumbers w:val="0"/>
        <w:shd w:val="clear"/>
        <w:spacing w:before="120" w:beforeLines="50" w:beforeAutospacing="0" w:after="120" w:afterLines="50" w:afterAutospacing="0" w:line="440" w:lineRule="exact"/>
        <w:ind w:left="0" w:right="0"/>
        <w:jc w:val="left"/>
        <w:rPr>
          <w:rFonts w:hint="eastAsia" w:ascii="仿宋_GB2312" w:hAnsi="Times New Roman" w:eastAsia="仿宋_GB2312" w:cs="Times New Roman"/>
          <w:color w:val="auto"/>
          <w:sz w:val="30"/>
          <w:szCs w:val="30"/>
          <w:highlight w:val="none"/>
        </w:rPr>
      </w:pPr>
      <w:r>
        <w:rPr>
          <w:rFonts w:hint="eastAsia" w:ascii="仿宋_GB2312" w:hAnsi="Times New Roman" w:eastAsia="仿宋_GB2312" w:cs="仿宋_GB2312"/>
          <w:color w:val="auto"/>
          <w:kern w:val="0"/>
          <w:sz w:val="30"/>
          <w:szCs w:val="30"/>
          <w:highlight w:val="none"/>
          <w:lang w:val="en-US" w:eastAsia="zh-CN" w:bidi="ar"/>
        </w:rPr>
        <w:t>附件1：</w:t>
      </w:r>
    </w:p>
    <w:p w14:paraId="5B73786B">
      <w:pPr>
        <w:keepNext w:val="0"/>
        <w:keepLines w:val="0"/>
        <w:widowControl w:val="0"/>
        <w:suppressLineNumbers w:val="0"/>
        <w:shd w:val="clear"/>
        <w:spacing w:before="120" w:beforeLines="50" w:beforeAutospacing="0" w:after="120" w:afterLines="50" w:afterAutospacing="0" w:line="440" w:lineRule="exact"/>
        <w:ind w:left="0" w:right="0"/>
        <w:jc w:val="center"/>
        <w:rPr>
          <w:rFonts w:hint="default" w:ascii="Times New Roman" w:hAnsi="Times New Roman" w:eastAsia="黑体" w:cs="Times New Roman"/>
          <w:color w:val="auto"/>
          <w:sz w:val="30"/>
          <w:szCs w:val="30"/>
          <w:highlight w:val="none"/>
        </w:rPr>
      </w:pPr>
      <w:r>
        <w:rPr>
          <w:rFonts w:hint="eastAsia" w:ascii="黑体" w:hAnsi="宋体" w:eastAsia="黑体" w:cs="黑体"/>
          <w:color w:val="auto"/>
          <w:kern w:val="0"/>
          <w:sz w:val="30"/>
          <w:szCs w:val="30"/>
          <w:highlight w:val="none"/>
          <w:lang w:val="en-US" w:eastAsia="zh-CN" w:bidi="ar"/>
        </w:rPr>
        <w:t>承包人承揽工程项目一览表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56B0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5E0D17B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单位工程名称</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07B15B1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建设规模</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F0A80E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建筑面积</w:t>
            </w:r>
            <w:r>
              <w:rPr>
                <w:rFonts w:hint="default" w:ascii="Times New Roman" w:hAnsi="Times New Roman" w:eastAsia="仿宋_GB2312" w:cs="Times New Roman"/>
                <w:color w:val="auto"/>
                <w:kern w:val="0"/>
                <w:sz w:val="28"/>
                <w:szCs w:val="28"/>
                <w:highlight w:val="none"/>
                <w:lang w:val="en-US" w:eastAsia="zh-CN" w:bidi="ar"/>
              </w:rPr>
              <w:t>(</w:t>
            </w:r>
            <w:r>
              <w:rPr>
                <w:rFonts w:hint="eastAsia" w:ascii="仿宋_GB2312" w:hAnsi="Times New Roman" w:eastAsia="仿宋_GB2312" w:cs="仿宋_GB2312"/>
                <w:color w:val="auto"/>
                <w:kern w:val="0"/>
                <w:sz w:val="28"/>
                <w:szCs w:val="28"/>
                <w:highlight w:val="none"/>
                <w:lang w:val="en-US" w:eastAsia="zh-CN" w:bidi="ar"/>
              </w:rPr>
              <w:t>平方米</w:t>
            </w:r>
            <w:r>
              <w:rPr>
                <w:rFonts w:hint="default" w:ascii="Times New Roman" w:hAnsi="Times New Roman" w:eastAsia="仿宋_GB2312" w:cs="Times New Roman"/>
                <w:color w:val="auto"/>
                <w:kern w:val="0"/>
                <w:sz w:val="28"/>
                <w:szCs w:val="28"/>
                <w:highlight w:val="none"/>
                <w:lang w:val="en-US" w:eastAsia="zh-CN" w:bidi="ar"/>
              </w:rPr>
              <w:t>)</w:t>
            </w: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043D500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结构形式</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EFFD8B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层数</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D815F5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生产能力</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B80BD7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设备安装内容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FAB11D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合同价格（元）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F1852F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开工日期</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7B4C46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竣工日期</w:t>
            </w:r>
          </w:p>
        </w:tc>
      </w:tr>
      <w:tr w14:paraId="4958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0E28972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2F6F933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D7E541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463E45E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A8381E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3B9448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DCECC7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80A6F4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C08D35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BAEC24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5453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E9F38A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813E65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408976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358EDF4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10EDF8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627755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624D005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ABE31A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30B975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A822DD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4246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7047B6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4448E16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A9CDE7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39379A4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E8C31D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E9ACE5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4AC542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252272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9D8321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013D85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737F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21C4E69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82B690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2A3934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56B3ABB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4EF689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5BFB43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24F4AC1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BFF19E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D6E22D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652BE9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393D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446E464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E53B7E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94A3EE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6EFC6A5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C22249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52861F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944773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2F605D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98287E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E797EB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6477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8574E1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F8586E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A69307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057568B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C36CCF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39EC92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5BAE8A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0F4894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DC1FCB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D87D63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4DB1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001675F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D37FDD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7A970C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285E743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292ECD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56A7AA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4F8A54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CF7722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E59784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201515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4018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BB3102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30B259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BAF0BE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4E70C63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0CECAC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F7E556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D480BB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7CCCEF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070AA8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7B2601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0265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CA40E6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64937A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90194C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630BDCF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92FD2C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037B25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2152176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4989FC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075010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EEDA3B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149B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5B391ED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4F4F07E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8FB9BE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0DD0564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D1DA55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806F91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9D76B4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B6C2EF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B19056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8F8EEA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bl>
    <w:p w14:paraId="47B767FF">
      <w:pPr>
        <w:keepNext w:val="0"/>
        <w:keepLines w:val="0"/>
        <w:widowControl w:val="0"/>
        <w:suppressLineNumbers w:val="0"/>
        <w:shd w:val="clear"/>
        <w:spacing w:before="0" w:beforeAutospacing="0" w:after="0" w:afterAutospacing="0" w:line="460" w:lineRule="exact"/>
        <w:ind w:left="0" w:right="0" w:firstLine="480" w:firstLineChars="20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121F8264">
      <w:pPr>
        <w:keepNext w:val="0"/>
        <w:keepLines w:val="0"/>
        <w:widowControl w:val="0"/>
        <w:suppressLineNumbers w:val="0"/>
        <w:shd w:val="clear"/>
        <w:spacing w:before="0" w:beforeAutospacing="0" w:after="0" w:afterAutospacing="0" w:line="460" w:lineRule="exact"/>
        <w:ind w:left="0" w:right="0" w:firstLine="480" w:firstLineChars="20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6BE86F04">
      <w:pPr>
        <w:shd w:val="clear"/>
        <w:rPr>
          <w:rFonts w:hint="default" w:ascii="Times New Roman" w:hAnsi="Times New Roman" w:eastAsia="宋体" w:cs="Times New Roman"/>
          <w:color w:val="auto"/>
          <w:highlight w:val="none"/>
        </w:rPr>
        <w:sectPr>
          <w:pgSz w:w="16840" w:h="11907" w:orient="landscape"/>
          <w:pgMar w:top="1440" w:right="1440" w:bottom="1440" w:left="1797" w:header="851" w:footer="851" w:gutter="0"/>
          <w:cols w:space="720" w:num="1"/>
          <w:formProt w:val="1"/>
          <w:docGrid w:type="lines" w:linePitch="312" w:charSpace="43007"/>
        </w:sectPr>
      </w:pPr>
    </w:p>
    <w:p w14:paraId="1A3F11C4">
      <w:pPr>
        <w:keepNext w:val="0"/>
        <w:keepLines w:val="0"/>
        <w:widowControl w:val="0"/>
        <w:suppressLineNumbers w:val="0"/>
        <w:shd w:val="clear"/>
        <w:spacing w:before="0" w:beforeAutospacing="0" w:after="0" w:afterAutospacing="0" w:line="440" w:lineRule="exact"/>
        <w:ind w:left="0" w:right="0"/>
        <w:jc w:val="both"/>
        <w:rPr>
          <w:rFonts w:hint="default" w:ascii="Times New Roman" w:hAnsi="Times New Roman" w:eastAsia="宋体" w:cs="Times New Roman"/>
          <w:color w:val="auto"/>
          <w:sz w:val="30"/>
          <w:szCs w:val="30"/>
          <w:highlight w:val="none"/>
        </w:rPr>
      </w:pPr>
      <w:r>
        <w:rPr>
          <w:rFonts w:hint="eastAsia" w:ascii="宋体" w:hAnsi="宋体" w:eastAsia="宋体" w:cs="宋体"/>
          <w:color w:val="auto"/>
          <w:kern w:val="0"/>
          <w:sz w:val="30"/>
          <w:szCs w:val="30"/>
          <w:highlight w:val="none"/>
          <w:lang w:val="en-US" w:eastAsia="zh-CN" w:bidi="ar"/>
        </w:rPr>
        <w:t>附件</w:t>
      </w:r>
      <w:r>
        <w:rPr>
          <w:rFonts w:hint="default" w:ascii="Times New Roman" w:hAnsi="Times New Roman" w:eastAsia="宋体" w:cs="Times New Roman"/>
          <w:color w:val="auto"/>
          <w:kern w:val="0"/>
          <w:sz w:val="30"/>
          <w:szCs w:val="30"/>
          <w:highlight w:val="none"/>
          <w:lang w:val="en-US" w:eastAsia="zh-CN" w:bidi="ar"/>
        </w:rPr>
        <w:t>2</w:t>
      </w:r>
      <w:r>
        <w:rPr>
          <w:rFonts w:hint="eastAsia" w:ascii="宋体" w:hAnsi="宋体" w:eastAsia="宋体" w:cs="宋体"/>
          <w:color w:val="auto"/>
          <w:kern w:val="0"/>
          <w:sz w:val="30"/>
          <w:szCs w:val="30"/>
          <w:highlight w:val="none"/>
          <w:lang w:val="en-US" w:eastAsia="zh-CN" w:bidi="ar"/>
        </w:rPr>
        <w:t>：</w:t>
      </w:r>
    </w:p>
    <w:p w14:paraId="6232C225">
      <w:pPr>
        <w:keepNext w:val="0"/>
        <w:keepLines w:val="0"/>
        <w:widowControl w:val="0"/>
        <w:suppressLineNumbers w:val="0"/>
        <w:shd w:val="clear"/>
        <w:spacing w:before="120" w:beforeLines="50" w:beforeAutospacing="0" w:after="120" w:afterLines="50" w:afterAutospacing="0" w:line="440" w:lineRule="exact"/>
        <w:ind w:left="0" w:right="0"/>
        <w:jc w:val="center"/>
        <w:rPr>
          <w:rFonts w:hint="eastAsia" w:ascii="黑体" w:hAnsi="Times New Roman" w:eastAsia="黑体" w:cs="Times New Roman"/>
          <w:color w:val="auto"/>
          <w:sz w:val="32"/>
          <w:szCs w:val="32"/>
          <w:highlight w:val="none"/>
        </w:rPr>
      </w:pPr>
      <w:r>
        <w:rPr>
          <w:rFonts w:hint="eastAsia" w:ascii="黑体" w:hAnsi="宋体" w:eastAsia="黑体" w:cs="黑体"/>
          <w:color w:val="auto"/>
          <w:kern w:val="0"/>
          <w:sz w:val="32"/>
          <w:szCs w:val="32"/>
          <w:highlight w:val="none"/>
          <w:lang w:val="en-US" w:eastAsia="zh-CN" w:bidi="ar"/>
        </w:rPr>
        <w:t>工程质量保修书</w:t>
      </w:r>
    </w:p>
    <w:p w14:paraId="7E971841">
      <w:pPr>
        <w:keepNext w:val="0"/>
        <w:keepLines w:val="0"/>
        <w:widowControl w:val="0"/>
        <w:suppressLineNumbers w:val="0"/>
        <w:shd w:val="clear"/>
        <w:spacing w:before="0" w:beforeAutospacing="0" w:after="0" w:afterAutospacing="0" w:line="440" w:lineRule="exact"/>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扶绥县生态移民发展中心</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p>
    <w:p w14:paraId="7D8FFB8D">
      <w:pPr>
        <w:keepNext w:val="0"/>
        <w:keepLines w:val="0"/>
        <w:widowControl w:val="0"/>
        <w:suppressLineNumbers w:val="0"/>
        <w:shd w:val="clear"/>
        <w:spacing w:before="0" w:beforeAutospacing="0" w:after="0" w:afterAutospacing="0" w:line="440" w:lineRule="exact"/>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p>
    <w:p w14:paraId="30FE51DD">
      <w:pPr>
        <w:keepNext w:val="0"/>
        <w:keepLines w:val="0"/>
        <w:widowControl w:val="0"/>
        <w:suppressLineNumbers w:val="0"/>
        <w:shd w:val="clear"/>
        <w:spacing w:before="0" w:beforeAutospacing="0" w:after="0" w:afterAutospacing="0" w:line="440" w:lineRule="exact"/>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p>
    <w:p w14:paraId="3563C59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发包人和承包人根据《中华人民共和国建筑法》和《建设工程质量管理条例》，经协商一致就</w:t>
      </w:r>
      <w:r>
        <w:rPr>
          <w:rFonts w:hint="eastAsia" w:cs="Times New Roman"/>
          <w:b/>
          <w:bCs/>
          <w:color w:val="auto"/>
          <w:kern w:val="0"/>
          <w:sz w:val="21"/>
          <w:szCs w:val="21"/>
          <w:highlight w:val="none"/>
          <w:u w:val="single"/>
          <w:lang w:val="en-US" w:eastAsia="zh-CN" w:bidi="ar"/>
        </w:rPr>
        <w:t>扶绥县东罗镇都充村新伯突屯美丽移民村建设项目</w:t>
      </w:r>
      <w:r>
        <w:rPr>
          <w:rFonts w:hint="eastAsia" w:ascii="宋体" w:hAnsi="宋体" w:eastAsia="宋体" w:cs="宋体"/>
          <w:color w:val="auto"/>
          <w:kern w:val="0"/>
          <w:sz w:val="21"/>
          <w:szCs w:val="21"/>
          <w:highlight w:val="none"/>
          <w:lang w:val="en-US" w:eastAsia="zh-CN" w:bidi="ar"/>
        </w:rPr>
        <w:t>（工程全称）签订工程质量保修书。</w:t>
      </w:r>
    </w:p>
    <w:p w14:paraId="7B03B171">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一、工程质量保修范围和内容</w:t>
      </w:r>
    </w:p>
    <w:p w14:paraId="5B8878A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承包人在质量保修期内，按照有关法律规定和合同约定，承担工程质量保修责任。</w:t>
      </w:r>
    </w:p>
    <w:p w14:paraId="37332024">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val="0"/>
          <w:bCs w:val="0"/>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Times New Roman" w:hAnsi="Times New Roman" w:eastAsia="宋体" w:cs="Times New Roman"/>
          <w:b w:val="0"/>
          <w:bCs w:val="0"/>
          <w:color w:val="auto"/>
          <w:kern w:val="0"/>
          <w:sz w:val="21"/>
          <w:szCs w:val="21"/>
          <w:highlight w:val="none"/>
          <w:u w:val="single"/>
          <w:lang w:val="en-US" w:eastAsia="zh-CN" w:bidi="ar"/>
        </w:rPr>
        <w:t xml:space="preserve"> 本工程为扶绥县东罗镇都充村新伯突屯美丽移民村建设项目,包括1个村1个屯，建设内容为场地硬化、人饮、廊架及亭子等设施，以工程量清单和图纸包含的内容为准。</w:t>
      </w:r>
    </w:p>
    <w:p w14:paraId="68AC655D">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二、质量保修期</w:t>
      </w:r>
    </w:p>
    <w:p w14:paraId="76C1B58A">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根据《建设工程质量管理条例》及有关规定，本工程的质量保修期为</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年，质量保修期自工程竣工验收合格之日起计算。</w:t>
      </w:r>
    </w:p>
    <w:p w14:paraId="543EA76D">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三、缺陷责任期</w:t>
      </w:r>
    </w:p>
    <w:p w14:paraId="6E871C85">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工程缺陷责任期为</w:t>
      </w:r>
      <w:r>
        <w:rPr>
          <w:rFonts w:hint="default" w:ascii="Times New Roman" w:hAnsi="Times New Roman" w:eastAsia="宋体" w:cs="Times New Roman"/>
          <w:color w:val="auto"/>
          <w:kern w:val="0"/>
          <w:sz w:val="21"/>
          <w:szCs w:val="21"/>
          <w:highlight w:val="none"/>
          <w:u w:val="single"/>
          <w:lang w:val="en-US" w:eastAsia="zh-CN" w:bidi="ar"/>
        </w:rPr>
        <w:t xml:space="preserve">  12  </w:t>
      </w:r>
      <w:r>
        <w:rPr>
          <w:rFonts w:hint="eastAsia" w:ascii="宋体" w:hAnsi="宋体" w:eastAsia="宋体" w:cs="宋体"/>
          <w:color w:val="auto"/>
          <w:kern w:val="0"/>
          <w:sz w:val="21"/>
          <w:szCs w:val="21"/>
          <w:highlight w:val="none"/>
          <w:lang w:val="en-US" w:eastAsia="zh-CN" w:bidi="ar"/>
        </w:rPr>
        <w:t>个月（最长不超过</w:t>
      </w:r>
      <w:r>
        <w:rPr>
          <w:rFonts w:hint="default" w:ascii="Times New Roman" w:hAnsi="宋体" w:eastAsia="宋体" w:cs="Times New Roman"/>
          <w:color w:val="auto"/>
          <w:kern w:val="0"/>
          <w:sz w:val="21"/>
          <w:szCs w:val="21"/>
          <w:highlight w:val="none"/>
          <w:lang w:val="en-US" w:eastAsia="zh-CN" w:bidi="ar"/>
        </w:rPr>
        <w:t>24</w:t>
      </w:r>
      <w:r>
        <w:rPr>
          <w:rFonts w:hint="eastAsia" w:ascii="宋体" w:hAnsi="宋体" w:eastAsia="宋体" w:cs="宋体"/>
          <w:color w:val="auto"/>
          <w:kern w:val="0"/>
          <w:sz w:val="21"/>
          <w:szCs w:val="21"/>
          <w:highlight w:val="none"/>
          <w:lang w:val="en-US" w:eastAsia="zh-CN" w:bidi="ar"/>
        </w:rPr>
        <w:t>个月），缺陷责任期自工程竣工验收合格之日起计算。单位工程先于全部工程进行验收，单位工程缺陷责任期自单位工程验收合格之日起算。</w:t>
      </w:r>
    </w:p>
    <w:p w14:paraId="1015DCFA">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缺陷责任期满之日起</w:t>
      </w:r>
      <w:r>
        <w:rPr>
          <w:rFonts w:hint="default" w:ascii="Times New Roman" w:hAnsi="Times New Roman" w:eastAsia="宋体" w:cs="Times New Roman"/>
          <w:color w:val="auto"/>
          <w:kern w:val="0"/>
          <w:sz w:val="21"/>
          <w:szCs w:val="21"/>
          <w:highlight w:val="none"/>
          <w:lang w:val="en-US" w:eastAsia="zh-CN" w:bidi="ar"/>
        </w:rPr>
        <w:t>14</w:t>
      </w:r>
      <w:r>
        <w:rPr>
          <w:rFonts w:hint="eastAsia" w:ascii="宋体" w:hAnsi="宋体" w:eastAsia="宋体" w:cs="宋体"/>
          <w:color w:val="auto"/>
          <w:kern w:val="0"/>
          <w:sz w:val="21"/>
          <w:szCs w:val="21"/>
          <w:highlight w:val="none"/>
          <w:lang w:val="en-US" w:eastAsia="zh-CN" w:bidi="ar"/>
        </w:rPr>
        <w:t>天后，由双方书面确认，发包人按照施工合同约定支付剩余工程款。</w:t>
      </w:r>
    </w:p>
    <w:p w14:paraId="19206842">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四、质量保修责任</w:t>
      </w:r>
    </w:p>
    <w:p w14:paraId="322445DE">
      <w:pPr>
        <w:keepNext w:val="0"/>
        <w:keepLines w:val="0"/>
        <w:widowControl w:val="0"/>
        <w:suppressLineNumbers w:val="0"/>
        <w:shd w:val="clear"/>
        <w:spacing w:before="0" w:beforeAutospacing="0" w:after="0" w:afterAutospacing="0" w:line="360" w:lineRule="auto"/>
        <w:ind w:left="100" w:leftChars="50" w:right="0" w:firstLine="428" w:firstLineChars="204"/>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．属于保修范围、内容的项目，承包人应当在接到保修通知之日起</w:t>
      </w:r>
      <w:r>
        <w:rPr>
          <w:rFonts w:hint="default" w:ascii="Times New Roman" w:hAnsi="Times New Roman" w:eastAsia="宋体" w:cs="Times New Roman"/>
          <w:color w:val="auto"/>
          <w:kern w:val="0"/>
          <w:sz w:val="21"/>
          <w:szCs w:val="21"/>
          <w:highlight w:val="none"/>
          <w:u w:val="single"/>
          <w:lang w:val="en-US" w:eastAsia="zh-CN" w:bidi="ar"/>
        </w:rPr>
        <w:t xml:space="preserve">  1  </w:t>
      </w:r>
      <w:r>
        <w:rPr>
          <w:rFonts w:hint="eastAsia" w:ascii="宋体" w:hAnsi="宋体" w:eastAsia="宋体" w:cs="宋体"/>
          <w:color w:val="auto"/>
          <w:kern w:val="0"/>
          <w:sz w:val="21"/>
          <w:szCs w:val="21"/>
          <w:highlight w:val="none"/>
          <w:lang w:val="en-US" w:eastAsia="zh-CN" w:bidi="ar"/>
        </w:rPr>
        <w:t>天内派人保修。承包人不在约定期限内派人保修的，发包人可以委托第三方修理，发生的费用发包人向第三方支付后，发包人优先从未付的工程款中扣除，不足部分发包人有权向承包人追偿。</w:t>
      </w:r>
    </w:p>
    <w:p w14:paraId="31F3C78B">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．发生紧急事故需抢修的，承包人在接到事故通知后，应当立即到达事故现场抢修。</w:t>
      </w:r>
    </w:p>
    <w:p w14:paraId="687E82E4">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19DE534">
      <w:pPr>
        <w:keepNext w:val="0"/>
        <w:keepLines w:val="0"/>
        <w:widowControl w:val="0"/>
        <w:suppressLineNumbers w:val="0"/>
        <w:shd w:val="clear"/>
        <w:spacing w:before="0" w:beforeAutospacing="0" w:after="0" w:afterAutospacing="0" w:line="360" w:lineRule="auto"/>
        <w:ind w:left="0" w:right="0" w:firstLine="420"/>
        <w:jc w:val="both"/>
        <w:rPr>
          <w:rFonts w:hint="default"/>
          <w:color w:val="auto"/>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．质量保修完成后，由发包人组织验收。</w:t>
      </w:r>
    </w:p>
    <w:p w14:paraId="7A9278B8">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五、保修费用</w:t>
      </w:r>
    </w:p>
    <w:p w14:paraId="6267AC8C">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保修费用由造成质量缺陷的责任方承担。</w:t>
      </w:r>
    </w:p>
    <w:p w14:paraId="212AE62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 xml:space="preserve">六、双方约定的其他工程质量保修事项： </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AA53DEB">
      <w:pPr>
        <w:keepNext w:val="0"/>
        <w:keepLines w:val="0"/>
        <w:widowControl w:val="0"/>
        <w:suppressLineNumbers w:val="0"/>
        <w:shd w:val="clear"/>
        <w:spacing w:before="0" w:beforeAutospacing="0" w:after="0" w:afterAutospacing="0" w:line="360" w:lineRule="auto"/>
        <w:ind w:left="0" w:right="0" w:firstLine="399" w:firstLineChars="19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工程质量保修书由发包人、承包人在工程竣工验收前共同签署，作为施工合同附件，其有效期限至保修期满。</w:t>
      </w:r>
    </w:p>
    <w:tbl>
      <w:tblPr>
        <w:tblStyle w:val="24"/>
        <w:tblW w:w="0" w:type="auto"/>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61"/>
        <w:gridCol w:w="4261"/>
      </w:tblGrid>
      <w:tr w14:paraId="5221D25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4CE1615A">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c>
          <w:tcPr>
            <w:tcW w:w="4261" w:type="dxa"/>
            <w:tcBorders>
              <w:top w:val="nil"/>
              <w:left w:val="nil"/>
              <w:bottom w:val="nil"/>
              <w:right w:val="nil"/>
            </w:tcBorders>
            <w:shd w:val="clear" w:color="auto" w:fill="auto"/>
            <w:vAlign w:val="top"/>
          </w:tcPr>
          <w:p w14:paraId="60A4C9D5">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r>
      <w:tr w14:paraId="6BFAB0F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2F6F1D5D">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地  址： </w:t>
            </w:r>
          </w:p>
        </w:tc>
        <w:tc>
          <w:tcPr>
            <w:tcW w:w="4261" w:type="dxa"/>
            <w:tcBorders>
              <w:top w:val="nil"/>
              <w:left w:val="nil"/>
              <w:bottom w:val="nil"/>
              <w:right w:val="nil"/>
            </w:tcBorders>
            <w:shd w:val="clear" w:color="auto" w:fill="auto"/>
            <w:vAlign w:val="top"/>
          </w:tcPr>
          <w:p w14:paraId="4ED6CC4B">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地址：</w:t>
            </w:r>
          </w:p>
        </w:tc>
      </w:tr>
      <w:tr w14:paraId="26338C1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00FF752F">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c>
          <w:tcPr>
            <w:tcW w:w="4261" w:type="dxa"/>
            <w:tcBorders>
              <w:top w:val="nil"/>
              <w:left w:val="nil"/>
              <w:bottom w:val="nil"/>
              <w:right w:val="nil"/>
            </w:tcBorders>
            <w:shd w:val="clear" w:color="auto" w:fill="auto"/>
            <w:vAlign w:val="top"/>
          </w:tcPr>
          <w:p w14:paraId="41ED0899">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r>
      <w:tr w14:paraId="5319989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58B05855">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c>
          <w:tcPr>
            <w:tcW w:w="4261" w:type="dxa"/>
            <w:tcBorders>
              <w:top w:val="nil"/>
              <w:left w:val="nil"/>
              <w:bottom w:val="nil"/>
              <w:right w:val="nil"/>
            </w:tcBorders>
            <w:shd w:val="clear" w:color="auto" w:fill="auto"/>
            <w:vAlign w:val="top"/>
          </w:tcPr>
          <w:p w14:paraId="77B14583">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r>
      <w:tr w14:paraId="0244DA1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4475087A">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c>
          <w:tcPr>
            <w:tcW w:w="4261" w:type="dxa"/>
            <w:tcBorders>
              <w:top w:val="nil"/>
              <w:left w:val="nil"/>
              <w:bottom w:val="nil"/>
              <w:right w:val="nil"/>
            </w:tcBorders>
            <w:shd w:val="clear" w:color="auto" w:fill="auto"/>
            <w:vAlign w:val="top"/>
          </w:tcPr>
          <w:p w14:paraId="4D75183C">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r>
      <w:tr w14:paraId="61E0BE5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6203BEF9">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c>
          <w:tcPr>
            <w:tcW w:w="4261" w:type="dxa"/>
            <w:tcBorders>
              <w:top w:val="nil"/>
              <w:left w:val="nil"/>
              <w:bottom w:val="nil"/>
              <w:right w:val="nil"/>
            </w:tcBorders>
            <w:shd w:val="clear" w:color="auto" w:fill="auto"/>
            <w:vAlign w:val="top"/>
          </w:tcPr>
          <w:p w14:paraId="76B7D91E">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r>
      <w:tr w14:paraId="7F2A423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5EB4C716">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c>
          <w:tcPr>
            <w:tcW w:w="4261" w:type="dxa"/>
            <w:tcBorders>
              <w:top w:val="nil"/>
              <w:left w:val="nil"/>
              <w:bottom w:val="nil"/>
              <w:right w:val="nil"/>
            </w:tcBorders>
            <w:shd w:val="clear" w:color="auto" w:fill="auto"/>
            <w:vAlign w:val="top"/>
          </w:tcPr>
          <w:p w14:paraId="717428CE">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r>
      <w:tr w14:paraId="5ADE9DE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219D6083">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c>
          <w:tcPr>
            <w:tcW w:w="4261" w:type="dxa"/>
            <w:tcBorders>
              <w:top w:val="nil"/>
              <w:left w:val="nil"/>
              <w:bottom w:val="nil"/>
              <w:right w:val="nil"/>
            </w:tcBorders>
            <w:shd w:val="clear" w:color="auto" w:fill="auto"/>
            <w:vAlign w:val="top"/>
          </w:tcPr>
          <w:p w14:paraId="1978BB22">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r w14:paraId="327E48D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12BBC1F3">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c>
          <w:tcPr>
            <w:tcW w:w="4261" w:type="dxa"/>
            <w:tcBorders>
              <w:top w:val="nil"/>
              <w:left w:val="nil"/>
              <w:bottom w:val="nil"/>
              <w:right w:val="nil"/>
            </w:tcBorders>
            <w:shd w:val="clear" w:color="auto" w:fill="auto"/>
            <w:vAlign w:val="top"/>
          </w:tcPr>
          <w:p w14:paraId="32D66C00">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bl>
    <w:p w14:paraId="0C42E19D">
      <w:pPr>
        <w:shd w:val="clear"/>
        <w:rPr>
          <w:rFonts w:hint="eastAsia" w:ascii="宋体" w:hAnsi="宋体" w:eastAsia="宋体" w:cs="Times New Roman"/>
          <w:color w:val="auto"/>
          <w:kern w:val="0"/>
          <w:sz w:val="21"/>
          <w:szCs w:val="21"/>
          <w:highlight w:val="none"/>
          <w:u w:val="single"/>
          <w:lang w:val="en-US" w:eastAsia="zh-CN" w:bidi="ar"/>
        </w:rPr>
      </w:pPr>
    </w:p>
    <w:p w14:paraId="55AD3EBF">
      <w:pPr>
        <w:shd w:val="clear"/>
        <w:rPr>
          <w:rFonts w:hint="eastAsia" w:ascii="宋体" w:hAnsi="宋体" w:eastAsia="宋体" w:cs="Times New Roman"/>
          <w:color w:val="auto"/>
          <w:kern w:val="0"/>
          <w:sz w:val="21"/>
          <w:szCs w:val="21"/>
          <w:highlight w:val="none"/>
          <w:u w:val="single"/>
          <w:lang w:val="en-US" w:eastAsia="zh-CN" w:bidi="ar"/>
        </w:rPr>
      </w:pPr>
    </w:p>
    <w:p w14:paraId="37B78636">
      <w:pPr>
        <w:shd w:val="clear"/>
        <w:rPr>
          <w:rFonts w:hint="eastAsia" w:ascii="宋体" w:hAnsi="宋体" w:eastAsia="宋体" w:cs="Times New Roman"/>
          <w:color w:val="auto"/>
          <w:kern w:val="0"/>
          <w:sz w:val="21"/>
          <w:szCs w:val="21"/>
          <w:highlight w:val="none"/>
          <w:u w:val="single"/>
          <w:lang w:val="en-US" w:eastAsia="zh-CN" w:bidi="ar"/>
        </w:rPr>
      </w:pPr>
    </w:p>
    <w:p w14:paraId="7589F348">
      <w:pPr>
        <w:shd w:val="clear"/>
        <w:rPr>
          <w:rFonts w:hint="eastAsia" w:ascii="宋体" w:hAnsi="宋体" w:eastAsia="宋体" w:cs="Times New Roman"/>
          <w:color w:val="auto"/>
          <w:kern w:val="0"/>
          <w:sz w:val="21"/>
          <w:szCs w:val="21"/>
          <w:highlight w:val="none"/>
          <w:u w:val="single"/>
          <w:lang w:val="en-US" w:eastAsia="zh-CN" w:bidi="ar"/>
        </w:rPr>
      </w:pPr>
    </w:p>
    <w:p w14:paraId="34B15904">
      <w:pPr>
        <w:shd w:val="clear"/>
        <w:rPr>
          <w:rFonts w:hint="eastAsia" w:ascii="宋体" w:hAnsi="宋体" w:eastAsia="宋体" w:cs="Times New Roman"/>
          <w:color w:val="auto"/>
          <w:kern w:val="0"/>
          <w:sz w:val="21"/>
          <w:szCs w:val="21"/>
          <w:highlight w:val="none"/>
          <w:u w:val="single"/>
          <w:lang w:val="en-US" w:eastAsia="zh-CN" w:bidi="ar"/>
        </w:rPr>
      </w:pPr>
    </w:p>
    <w:p w14:paraId="40F1A1EA">
      <w:pPr>
        <w:shd w:val="clear"/>
        <w:rPr>
          <w:rFonts w:hint="eastAsia" w:ascii="宋体" w:hAnsi="宋体" w:eastAsia="宋体" w:cs="Times New Roman"/>
          <w:color w:val="auto"/>
          <w:kern w:val="0"/>
          <w:sz w:val="21"/>
          <w:szCs w:val="21"/>
          <w:highlight w:val="none"/>
          <w:u w:val="single"/>
          <w:lang w:val="en-US" w:eastAsia="zh-CN" w:bidi="ar"/>
        </w:rPr>
      </w:pPr>
    </w:p>
    <w:p w14:paraId="4BE6A1AC">
      <w:pPr>
        <w:shd w:val="clear"/>
        <w:rPr>
          <w:rFonts w:hint="eastAsia" w:ascii="宋体" w:hAnsi="宋体" w:eastAsia="宋体" w:cs="Times New Roman"/>
          <w:color w:val="auto"/>
          <w:kern w:val="0"/>
          <w:sz w:val="21"/>
          <w:szCs w:val="21"/>
          <w:highlight w:val="none"/>
          <w:u w:val="single"/>
          <w:lang w:val="en-US" w:eastAsia="zh-CN" w:bidi="ar"/>
        </w:rPr>
      </w:pPr>
    </w:p>
    <w:p w14:paraId="391F034E">
      <w:pPr>
        <w:shd w:val="clear"/>
        <w:rPr>
          <w:rFonts w:hint="eastAsia" w:ascii="宋体" w:hAnsi="宋体" w:eastAsia="宋体" w:cs="Times New Roman"/>
          <w:color w:val="auto"/>
          <w:kern w:val="0"/>
          <w:sz w:val="21"/>
          <w:szCs w:val="21"/>
          <w:highlight w:val="none"/>
          <w:u w:val="single"/>
          <w:lang w:val="en-US" w:eastAsia="zh-CN" w:bidi="ar"/>
        </w:rPr>
      </w:pPr>
    </w:p>
    <w:p w14:paraId="0CDE5627">
      <w:pPr>
        <w:shd w:val="clear"/>
        <w:rPr>
          <w:rFonts w:hint="eastAsia" w:ascii="宋体" w:hAnsi="宋体" w:eastAsia="宋体" w:cs="Times New Roman"/>
          <w:color w:val="auto"/>
          <w:kern w:val="0"/>
          <w:sz w:val="21"/>
          <w:szCs w:val="21"/>
          <w:highlight w:val="none"/>
          <w:u w:val="single"/>
          <w:lang w:val="en-US" w:eastAsia="zh-CN" w:bidi="ar"/>
        </w:rPr>
      </w:pPr>
    </w:p>
    <w:p w14:paraId="084D5EF7">
      <w:pPr>
        <w:shd w:val="clear"/>
        <w:rPr>
          <w:rFonts w:hint="eastAsia" w:ascii="宋体" w:hAnsi="宋体" w:eastAsia="宋体" w:cs="Times New Roman"/>
          <w:color w:val="auto"/>
          <w:kern w:val="0"/>
          <w:sz w:val="21"/>
          <w:szCs w:val="21"/>
          <w:highlight w:val="none"/>
          <w:u w:val="single"/>
          <w:lang w:val="en-US" w:eastAsia="zh-CN" w:bidi="ar"/>
        </w:rPr>
      </w:pPr>
    </w:p>
    <w:p w14:paraId="4DEBDA30">
      <w:pPr>
        <w:shd w:val="clear"/>
        <w:rPr>
          <w:rFonts w:hint="eastAsia" w:ascii="宋体" w:hAnsi="宋体" w:eastAsia="宋体" w:cs="Times New Roman"/>
          <w:color w:val="auto"/>
          <w:kern w:val="0"/>
          <w:sz w:val="21"/>
          <w:szCs w:val="21"/>
          <w:highlight w:val="none"/>
          <w:u w:val="single"/>
          <w:lang w:val="en-US" w:eastAsia="zh-CN" w:bidi="ar"/>
        </w:rPr>
      </w:pPr>
    </w:p>
    <w:p w14:paraId="7CB10B4D">
      <w:pPr>
        <w:shd w:val="clear"/>
        <w:rPr>
          <w:rFonts w:hint="eastAsia" w:ascii="宋体" w:hAnsi="宋体" w:eastAsia="宋体" w:cs="Times New Roman"/>
          <w:color w:val="auto"/>
          <w:kern w:val="0"/>
          <w:sz w:val="21"/>
          <w:szCs w:val="21"/>
          <w:highlight w:val="none"/>
          <w:u w:val="single"/>
          <w:lang w:val="en-US" w:eastAsia="zh-CN" w:bidi="ar"/>
        </w:rPr>
      </w:pPr>
    </w:p>
    <w:p w14:paraId="50C2E291">
      <w:pPr>
        <w:shd w:val="clear"/>
        <w:rPr>
          <w:rFonts w:hint="eastAsia" w:ascii="宋体" w:hAnsi="宋体" w:eastAsia="宋体" w:cs="Times New Roman"/>
          <w:color w:val="auto"/>
          <w:kern w:val="0"/>
          <w:sz w:val="21"/>
          <w:szCs w:val="21"/>
          <w:highlight w:val="none"/>
          <w:u w:val="single"/>
          <w:lang w:val="en-US" w:eastAsia="zh-CN" w:bidi="ar"/>
        </w:rPr>
      </w:pPr>
    </w:p>
    <w:p w14:paraId="1091798F">
      <w:pPr>
        <w:shd w:val="clear"/>
        <w:rPr>
          <w:rFonts w:hint="eastAsia" w:ascii="宋体" w:hAnsi="宋体" w:eastAsia="宋体" w:cs="Times New Roman"/>
          <w:color w:val="auto"/>
          <w:kern w:val="0"/>
          <w:sz w:val="21"/>
          <w:szCs w:val="21"/>
          <w:highlight w:val="none"/>
          <w:u w:val="single"/>
          <w:lang w:val="en-US" w:eastAsia="zh-CN" w:bidi="ar"/>
        </w:rPr>
      </w:pPr>
    </w:p>
    <w:p w14:paraId="0D245901">
      <w:pPr>
        <w:shd w:val="clear"/>
        <w:rPr>
          <w:rFonts w:hint="eastAsia" w:ascii="宋体" w:hAnsi="宋体" w:eastAsia="宋体" w:cs="Times New Roman"/>
          <w:color w:val="auto"/>
          <w:kern w:val="0"/>
          <w:sz w:val="21"/>
          <w:szCs w:val="21"/>
          <w:highlight w:val="none"/>
          <w:u w:val="single"/>
          <w:lang w:val="en-US" w:eastAsia="zh-CN" w:bidi="ar"/>
        </w:rPr>
      </w:pPr>
    </w:p>
    <w:p w14:paraId="1255FE0A">
      <w:pPr>
        <w:shd w:val="clear"/>
        <w:rPr>
          <w:rFonts w:hint="eastAsia" w:ascii="宋体" w:hAnsi="宋体" w:eastAsia="宋体" w:cs="Times New Roman"/>
          <w:color w:val="auto"/>
          <w:kern w:val="0"/>
          <w:sz w:val="21"/>
          <w:szCs w:val="21"/>
          <w:highlight w:val="none"/>
          <w:u w:val="single"/>
          <w:lang w:val="en-US" w:eastAsia="zh-CN" w:bidi="ar"/>
        </w:rPr>
      </w:pPr>
    </w:p>
    <w:p w14:paraId="7B0E4C0E">
      <w:pPr>
        <w:shd w:val="clear"/>
        <w:rPr>
          <w:rFonts w:hint="eastAsia" w:ascii="宋体" w:hAnsi="宋体" w:eastAsia="宋体" w:cs="Times New Roman"/>
          <w:color w:val="auto"/>
          <w:kern w:val="0"/>
          <w:sz w:val="21"/>
          <w:szCs w:val="21"/>
          <w:highlight w:val="none"/>
          <w:u w:val="single"/>
          <w:lang w:val="en-US" w:eastAsia="zh-CN" w:bidi="ar"/>
        </w:rPr>
      </w:pPr>
    </w:p>
    <w:p w14:paraId="263FEB3B">
      <w:pPr>
        <w:shd w:val="clear"/>
        <w:rPr>
          <w:rFonts w:hint="eastAsia" w:ascii="宋体" w:hAnsi="宋体" w:eastAsia="宋体" w:cs="Times New Roman"/>
          <w:color w:val="auto"/>
          <w:kern w:val="0"/>
          <w:sz w:val="21"/>
          <w:szCs w:val="21"/>
          <w:highlight w:val="none"/>
          <w:u w:val="single"/>
          <w:lang w:val="en-US" w:eastAsia="zh-CN" w:bidi="ar"/>
        </w:rPr>
      </w:pPr>
    </w:p>
    <w:p w14:paraId="4D926B39">
      <w:pPr>
        <w:shd w:val="clear"/>
        <w:rPr>
          <w:rFonts w:hint="eastAsia" w:ascii="宋体" w:hAnsi="宋体" w:eastAsia="宋体" w:cs="Times New Roman"/>
          <w:color w:val="auto"/>
          <w:kern w:val="0"/>
          <w:sz w:val="21"/>
          <w:szCs w:val="21"/>
          <w:highlight w:val="none"/>
          <w:u w:val="single"/>
          <w:lang w:val="en-US" w:eastAsia="zh-CN" w:bidi="ar"/>
        </w:rPr>
      </w:pPr>
    </w:p>
    <w:p w14:paraId="564A1FA7">
      <w:pPr>
        <w:shd w:val="clear"/>
        <w:rPr>
          <w:rFonts w:hint="eastAsia" w:ascii="宋体" w:hAnsi="宋体" w:eastAsia="宋体" w:cs="Times New Roman"/>
          <w:color w:val="auto"/>
          <w:kern w:val="0"/>
          <w:sz w:val="21"/>
          <w:szCs w:val="21"/>
          <w:highlight w:val="none"/>
          <w:u w:val="single"/>
          <w:lang w:val="en-US" w:eastAsia="zh-CN" w:bidi="ar"/>
        </w:rPr>
      </w:pPr>
    </w:p>
    <w:p w14:paraId="7087A6D7">
      <w:pPr>
        <w:shd w:val="clear"/>
        <w:rPr>
          <w:rFonts w:hint="eastAsia" w:ascii="宋体" w:hAnsi="宋体" w:eastAsia="宋体" w:cs="Times New Roman"/>
          <w:color w:val="auto"/>
          <w:kern w:val="0"/>
          <w:sz w:val="21"/>
          <w:szCs w:val="21"/>
          <w:highlight w:val="none"/>
          <w:u w:val="single"/>
          <w:lang w:val="en-US" w:eastAsia="zh-CN" w:bidi="ar"/>
        </w:rPr>
      </w:pPr>
    </w:p>
    <w:p w14:paraId="1A806CCA">
      <w:pPr>
        <w:shd w:val="clear"/>
        <w:rPr>
          <w:rFonts w:hint="eastAsia" w:ascii="宋体" w:hAnsi="宋体" w:eastAsia="宋体" w:cs="Times New Roman"/>
          <w:color w:val="auto"/>
          <w:kern w:val="0"/>
          <w:sz w:val="21"/>
          <w:szCs w:val="21"/>
          <w:highlight w:val="none"/>
          <w:u w:val="single"/>
          <w:lang w:val="en-US" w:eastAsia="zh-CN" w:bidi="ar"/>
        </w:rPr>
      </w:pPr>
    </w:p>
    <w:p w14:paraId="380C4631">
      <w:pPr>
        <w:shd w:val="clear"/>
        <w:rPr>
          <w:rFonts w:hint="eastAsia" w:ascii="宋体" w:hAnsi="宋体" w:eastAsia="宋体" w:cs="Times New Roman"/>
          <w:color w:val="auto"/>
          <w:kern w:val="0"/>
          <w:sz w:val="21"/>
          <w:szCs w:val="21"/>
          <w:highlight w:val="none"/>
          <w:u w:val="single"/>
          <w:lang w:val="en-US" w:eastAsia="zh-CN" w:bidi="ar"/>
        </w:rPr>
      </w:pPr>
    </w:p>
    <w:p w14:paraId="0A4CDC31">
      <w:pPr>
        <w:shd w:val="clear"/>
        <w:rPr>
          <w:rFonts w:hint="eastAsia" w:ascii="宋体" w:hAnsi="宋体" w:eastAsia="宋体" w:cs="Times New Roman"/>
          <w:color w:val="auto"/>
          <w:kern w:val="0"/>
          <w:sz w:val="21"/>
          <w:szCs w:val="21"/>
          <w:highlight w:val="none"/>
          <w:u w:val="single"/>
          <w:lang w:val="en-US" w:eastAsia="zh-CN" w:bidi="ar"/>
        </w:rPr>
      </w:pPr>
    </w:p>
    <w:p w14:paraId="04D1423E">
      <w:pPr>
        <w:shd w:val="clear"/>
        <w:rPr>
          <w:rFonts w:hint="eastAsia" w:ascii="宋体" w:hAnsi="宋体" w:eastAsia="宋体" w:cs="Times New Roman"/>
          <w:color w:val="auto"/>
          <w:kern w:val="0"/>
          <w:sz w:val="21"/>
          <w:szCs w:val="21"/>
          <w:highlight w:val="none"/>
          <w:u w:val="single"/>
          <w:lang w:val="en-US" w:eastAsia="zh-CN" w:bidi="ar"/>
        </w:rPr>
      </w:pPr>
    </w:p>
    <w:p w14:paraId="74781F42">
      <w:pPr>
        <w:shd w:val="clear"/>
        <w:rPr>
          <w:rFonts w:hint="eastAsia" w:ascii="宋体" w:hAnsi="宋体" w:eastAsia="宋体" w:cs="Times New Roman"/>
          <w:color w:val="auto"/>
          <w:kern w:val="0"/>
          <w:sz w:val="21"/>
          <w:szCs w:val="21"/>
          <w:highlight w:val="none"/>
          <w:u w:val="single"/>
          <w:lang w:val="en-US" w:eastAsia="zh-CN" w:bidi="ar"/>
        </w:rPr>
      </w:pPr>
    </w:p>
    <w:p w14:paraId="0360FB1A">
      <w:pPr>
        <w:shd w:val="clear"/>
        <w:rPr>
          <w:rFonts w:hint="eastAsia" w:ascii="宋体" w:hAnsi="宋体" w:eastAsia="宋体" w:cs="Times New Roman"/>
          <w:color w:val="auto"/>
          <w:kern w:val="0"/>
          <w:sz w:val="21"/>
          <w:szCs w:val="21"/>
          <w:highlight w:val="none"/>
          <w:u w:val="single"/>
          <w:lang w:val="en-US" w:eastAsia="zh-CN" w:bidi="ar"/>
        </w:rPr>
      </w:pPr>
    </w:p>
    <w:p w14:paraId="3FE372C9">
      <w:pPr>
        <w:shd w:val="clear"/>
        <w:rPr>
          <w:rFonts w:hint="eastAsia" w:ascii="宋体" w:hAnsi="宋体" w:eastAsia="宋体" w:cs="Times New Roman"/>
          <w:color w:val="auto"/>
          <w:kern w:val="0"/>
          <w:sz w:val="21"/>
          <w:szCs w:val="21"/>
          <w:highlight w:val="none"/>
          <w:u w:val="single"/>
          <w:lang w:val="en-US" w:eastAsia="zh-CN" w:bidi="ar"/>
        </w:rPr>
      </w:pPr>
    </w:p>
    <w:p w14:paraId="7D7758EA">
      <w:pPr>
        <w:shd w:val="clear"/>
        <w:rPr>
          <w:rFonts w:hint="eastAsia" w:ascii="宋体" w:hAnsi="宋体" w:eastAsia="宋体" w:cs="Times New Roman"/>
          <w:color w:val="auto"/>
          <w:kern w:val="0"/>
          <w:sz w:val="21"/>
          <w:szCs w:val="21"/>
          <w:highlight w:val="none"/>
          <w:u w:val="single"/>
          <w:lang w:val="en-US" w:eastAsia="zh-CN" w:bidi="ar"/>
        </w:rPr>
      </w:pPr>
    </w:p>
    <w:p w14:paraId="726889DA">
      <w:pPr>
        <w:shd w:val="clear"/>
        <w:rPr>
          <w:rFonts w:hint="eastAsia" w:ascii="宋体" w:hAnsi="宋体" w:eastAsia="宋体" w:cs="Times New Roman"/>
          <w:color w:val="auto"/>
          <w:kern w:val="0"/>
          <w:sz w:val="21"/>
          <w:szCs w:val="21"/>
          <w:highlight w:val="none"/>
          <w:u w:val="single"/>
          <w:lang w:val="en-US" w:eastAsia="zh-CN" w:bidi="ar"/>
        </w:rPr>
      </w:pPr>
    </w:p>
    <w:p w14:paraId="4FA825DC">
      <w:pPr>
        <w:shd w:val="clear"/>
        <w:rPr>
          <w:rFonts w:hint="eastAsia" w:ascii="宋体" w:hAnsi="宋体" w:eastAsia="宋体" w:cs="Times New Roman"/>
          <w:color w:val="auto"/>
          <w:kern w:val="0"/>
          <w:sz w:val="21"/>
          <w:szCs w:val="21"/>
          <w:highlight w:val="none"/>
          <w:u w:val="single"/>
          <w:lang w:val="en-US" w:eastAsia="zh-CN" w:bidi="ar"/>
        </w:rPr>
      </w:pPr>
    </w:p>
    <w:p w14:paraId="5A8ACE26">
      <w:pPr>
        <w:shd w:val="clear"/>
        <w:rPr>
          <w:rFonts w:hint="eastAsia" w:ascii="宋体" w:hAnsi="宋体" w:eastAsia="宋体" w:cs="Times New Roman"/>
          <w:color w:val="auto"/>
          <w:kern w:val="0"/>
          <w:sz w:val="21"/>
          <w:szCs w:val="21"/>
          <w:highlight w:val="none"/>
          <w:u w:val="single"/>
          <w:lang w:val="en-US" w:eastAsia="zh-CN" w:bidi="ar"/>
        </w:rPr>
      </w:pPr>
    </w:p>
    <w:p w14:paraId="5EDDEC05">
      <w:pPr>
        <w:shd w:val="clear"/>
        <w:rPr>
          <w:rFonts w:hint="eastAsia" w:ascii="宋体" w:hAnsi="宋体" w:eastAsia="宋体" w:cs="Times New Roman"/>
          <w:color w:val="auto"/>
          <w:kern w:val="0"/>
          <w:sz w:val="21"/>
          <w:szCs w:val="21"/>
          <w:highlight w:val="none"/>
          <w:u w:val="single"/>
          <w:lang w:val="en-US" w:eastAsia="zh-CN" w:bidi="ar"/>
        </w:rPr>
      </w:pPr>
    </w:p>
    <w:p w14:paraId="65EFD028">
      <w:pPr>
        <w:pStyle w:val="10"/>
        <w:shd w:val="clear"/>
        <w:rPr>
          <w:rFonts w:hint="eastAsia"/>
          <w:color w:val="auto"/>
          <w:highlight w:val="none"/>
          <w:lang w:val="en-US" w:eastAsia="zh-CN"/>
        </w:rPr>
      </w:pPr>
    </w:p>
    <w:p w14:paraId="459259E2">
      <w:pPr>
        <w:shd w:val="clear"/>
        <w:rPr>
          <w:rFonts w:hint="eastAsia" w:ascii="宋体" w:hAnsi="宋体" w:eastAsia="宋体" w:cs="Times New Roman"/>
          <w:color w:val="auto"/>
          <w:kern w:val="0"/>
          <w:sz w:val="21"/>
          <w:szCs w:val="21"/>
          <w:highlight w:val="none"/>
          <w:u w:val="single"/>
          <w:lang w:val="en-US" w:eastAsia="zh-CN" w:bidi="ar"/>
        </w:rPr>
      </w:pPr>
    </w:p>
    <w:p w14:paraId="4C8239DB">
      <w:pPr>
        <w:pStyle w:val="10"/>
        <w:shd w:val="clear"/>
        <w:rPr>
          <w:rFonts w:hint="eastAsia"/>
          <w:color w:val="auto"/>
          <w:highlight w:val="none"/>
        </w:rPr>
      </w:pPr>
    </w:p>
    <w:p w14:paraId="0FBF099F">
      <w:pPr>
        <w:keepNext w:val="0"/>
        <w:keepLines w:val="0"/>
        <w:widowControl w:val="0"/>
        <w:suppressLineNumbers w:val="0"/>
        <w:shd w:val="clear"/>
        <w:spacing w:before="0" w:beforeAutospacing="0" w:after="0" w:afterAutospacing="0"/>
        <w:ind w:left="0" w:right="0"/>
        <w:jc w:val="center"/>
        <w:rPr>
          <w:rFonts w:hint="eastAsia" w:ascii="Times New Roman" w:hAnsi="Times New Roman" w:eastAsia="宋体" w:cs="Times New Roman"/>
          <w:b/>
          <w:bCs w:val="0"/>
          <w:color w:val="auto"/>
          <w:sz w:val="36"/>
          <w:szCs w:val="36"/>
          <w:highlight w:val="none"/>
        </w:rPr>
      </w:pPr>
      <w:r>
        <w:rPr>
          <w:rFonts w:hint="eastAsia" w:ascii="宋体" w:hAnsi="宋体" w:eastAsia="宋体" w:cs="宋体"/>
          <w:b/>
          <w:bCs w:val="0"/>
          <w:color w:val="auto"/>
          <w:kern w:val="0"/>
          <w:sz w:val="36"/>
          <w:szCs w:val="36"/>
          <w:highlight w:val="none"/>
          <w:lang w:val="en-US" w:eastAsia="zh-CN" w:bidi="ar"/>
        </w:rPr>
        <w:t>附件</w:t>
      </w:r>
      <w:r>
        <w:rPr>
          <w:rFonts w:hint="eastAsia" w:ascii="宋体" w:hAnsi="宋体" w:cs="宋体"/>
          <w:b/>
          <w:bCs w:val="0"/>
          <w:color w:val="auto"/>
          <w:kern w:val="0"/>
          <w:sz w:val="36"/>
          <w:szCs w:val="36"/>
          <w:highlight w:val="none"/>
          <w:lang w:val="en-US" w:eastAsia="zh-CN" w:bidi="ar"/>
        </w:rPr>
        <w:t>4</w:t>
      </w:r>
      <w:r>
        <w:rPr>
          <w:rFonts w:hint="eastAsia" w:ascii="宋体" w:hAnsi="宋体" w:eastAsia="宋体" w:cs="宋体"/>
          <w:b/>
          <w:bCs w:val="0"/>
          <w:color w:val="auto"/>
          <w:kern w:val="0"/>
          <w:sz w:val="36"/>
          <w:szCs w:val="36"/>
          <w:highlight w:val="none"/>
          <w:lang w:val="en-US" w:eastAsia="zh-CN" w:bidi="ar"/>
        </w:rPr>
        <w:t>：预付款支付申请（核准）表</w:t>
      </w:r>
    </w:p>
    <w:p w14:paraId="38F6BA09">
      <w:pPr>
        <w:keepNext w:val="0"/>
        <w:keepLines w:val="0"/>
        <w:widowControl w:val="0"/>
        <w:suppressLineNumbers w:val="0"/>
        <w:shd w:val="clear"/>
        <w:spacing w:before="0" w:beforeAutospacing="0" w:after="0" w:afterAutospacing="0"/>
        <w:ind w:left="0" w:right="0"/>
        <w:jc w:val="both"/>
        <w:rPr>
          <w:rFonts w:hint="eastAsia"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工程名称：</w:t>
      </w:r>
      <w:r>
        <w:rPr>
          <w:rFonts w:hint="eastAsia"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编号：</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494"/>
        <w:gridCol w:w="4691"/>
      </w:tblGrid>
      <w:tr w14:paraId="7B1B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8" w:hRule="atLeast"/>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8AE4971">
            <w:pPr>
              <w:keepNext w:val="0"/>
              <w:keepLines w:val="0"/>
              <w:widowControl w:val="0"/>
              <w:suppressLineNumbers w:val="0"/>
              <w:shd w:val="clear"/>
              <w:spacing w:before="0" w:beforeAutospacing="0" w:after="0" w:afterAutospacing="0" w:line="480" w:lineRule="exact"/>
              <w:ind w:left="540" w:leftChars="149" w:right="0" w:hanging="242" w:hangingChars="101"/>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致：</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（发包人全称）</w:t>
            </w:r>
          </w:p>
          <w:p w14:paraId="27EFFDFF">
            <w:pPr>
              <w:keepNext w:val="0"/>
              <w:keepLines w:val="0"/>
              <w:widowControl w:val="0"/>
              <w:suppressLineNumbers w:val="0"/>
              <w:shd w:val="clear"/>
              <w:spacing w:before="0" w:beforeAutospacing="0" w:after="0" w:afterAutospacing="0" w:line="400" w:lineRule="exact"/>
              <w:ind w:left="-4" w:leftChars="-2" w:right="0" w:firstLine="360" w:firstLineChars="15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我方根据施工合同的约定，现申请支付工程预付款额为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小写</w:t>
            </w:r>
            <w:r>
              <w:rPr>
                <w:rFonts w:hint="default" w:ascii="Times New Roman" w:hAnsi="Times New Roman" w:eastAsia="宋体" w:cs="Times New Roman"/>
                <w:color w:val="auto"/>
                <w:kern w:val="0"/>
                <w:sz w:val="24"/>
                <w:szCs w:val="24"/>
                <w:highlight w:val="none"/>
                <w:lang w:val="en-US" w:eastAsia="zh-CN" w:bidi="ar"/>
              </w:rPr>
              <w:t>)</w:t>
            </w:r>
          </w:p>
          <w:p w14:paraId="06D78496">
            <w:pPr>
              <w:keepNext w:val="0"/>
              <w:keepLines w:val="0"/>
              <w:widowControl w:val="0"/>
              <w:suppressLineNumbers w:val="0"/>
              <w:shd w:val="clear"/>
              <w:spacing w:before="0" w:beforeAutospacing="0" w:after="0" w:afterAutospacing="0" w:line="400" w:lineRule="exact"/>
              <w:ind w:left="0" w:right="0"/>
              <w:jc w:val="both"/>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元，请予核准。</w:t>
            </w:r>
          </w:p>
          <w:tbl>
            <w:tblPr>
              <w:tblStyle w:val="23"/>
              <w:tblW w:w="895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5"/>
              <w:gridCol w:w="3340"/>
              <w:gridCol w:w="1764"/>
              <w:gridCol w:w="2240"/>
              <w:gridCol w:w="1080"/>
            </w:tblGrid>
            <w:tr w14:paraId="0635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4D28D691">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序号</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center"/>
                </w:tcPr>
                <w:p w14:paraId="72185BD4">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名</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称</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15B16962">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申请金额（元）</w:t>
                  </w: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14:paraId="25FFB74C">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复核金额（元）</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C1FC0EC">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备注</w:t>
                  </w:r>
                </w:p>
              </w:tc>
            </w:tr>
            <w:tr w14:paraId="15FA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61F7302B">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1</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32C0AD8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已签约合同价款金额</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0BD54EC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4B6A22F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4A5D533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79D3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8900581">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2</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70225AE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其中：安全文明施工费</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1995BDE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5F7071A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449241A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42D3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CFFF6DF">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3</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63404EA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应支付的预付款</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283A88C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161843C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3668BD2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3D0E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40BF1B5">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5339A2E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应支付的安全文明施工费预付款</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45EE1C3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50838BF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3A2FCDD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3821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19061C3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5</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1F63401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合计应支付的预付款</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2A800FB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262E2C8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230EADE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6679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3FD2615">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57FA6DB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5C92D5D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10E722E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59671D6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bl>
          <w:p w14:paraId="3EBC8DE9">
            <w:pPr>
              <w:keepNext w:val="0"/>
              <w:keepLines w:val="0"/>
              <w:widowControl w:val="0"/>
              <w:suppressLineNumbers w:val="0"/>
              <w:shd w:val="clear"/>
              <w:wordWrap w:val="0"/>
              <w:spacing w:before="0" w:beforeAutospacing="0" w:after="0" w:afterAutospacing="0" w:line="400" w:lineRule="exact"/>
              <w:ind w:left="0" w:right="420"/>
              <w:jc w:val="both"/>
              <w:rPr>
                <w:rFonts w:hint="eastAsia" w:ascii="Times New Roman" w:hAnsi="Times New Roman" w:eastAsia="宋体" w:cs="Times New Roman"/>
                <w:color w:val="auto"/>
                <w:sz w:val="20"/>
                <w:szCs w:val="20"/>
                <w:highlight w:val="none"/>
              </w:rPr>
            </w:pPr>
          </w:p>
          <w:p w14:paraId="1722427E">
            <w:pPr>
              <w:keepNext w:val="0"/>
              <w:keepLines w:val="0"/>
              <w:widowControl w:val="0"/>
              <w:suppressLineNumbers w:val="0"/>
              <w:shd w:val="clear"/>
              <w:wordWrap w:val="0"/>
              <w:spacing w:before="0" w:beforeAutospacing="0" w:after="0" w:afterAutospacing="0" w:line="400" w:lineRule="exact"/>
              <w:ind w:left="0" w:right="420"/>
              <w:jc w:val="both"/>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承包人（章）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16DF2BDB">
            <w:pPr>
              <w:keepNext w:val="0"/>
              <w:keepLines w:val="0"/>
              <w:widowControl w:val="0"/>
              <w:suppressLineNumbers w:val="0"/>
              <w:shd w:val="clear"/>
              <w:spacing w:before="0" w:beforeAutospacing="0" w:after="0" w:afterAutospacing="0" w:line="400" w:lineRule="exact"/>
              <w:ind w:left="0" w:right="42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造价人员</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承包人代表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77F6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2" w:hRule="atLeast"/>
          <w:jc w:val="center"/>
        </w:trPr>
        <w:tc>
          <w:tcPr>
            <w:tcW w:w="4520" w:type="dxa"/>
            <w:tcBorders>
              <w:top w:val="single" w:color="auto" w:sz="4" w:space="0"/>
              <w:left w:val="single" w:color="auto" w:sz="4" w:space="0"/>
              <w:bottom w:val="single" w:color="auto" w:sz="4" w:space="0"/>
              <w:right w:val="single" w:color="auto" w:sz="4" w:space="0"/>
            </w:tcBorders>
            <w:shd w:val="clear" w:color="auto" w:fill="auto"/>
            <w:vAlign w:val="top"/>
          </w:tcPr>
          <w:p w14:paraId="6B9A9959">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6EDB36F6">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□与合同约定不相符，修改意见见附件。</w:t>
            </w:r>
          </w:p>
          <w:p w14:paraId="625DA462">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□与合同约定相符，具体金额由造价工程师复核。</w:t>
            </w:r>
          </w:p>
          <w:p w14:paraId="5E56C9B3">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59E83E0B">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监理工程师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5848F414">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c>
          <w:tcPr>
            <w:tcW w:w="4552" w:type="dxa"/>
            <w:tcBorders>
              <w:top w:val="single" w:color="auto" w:sz="4" w:space="0"/>
              <w:left w:val="single" w:color="auto" w:sz="4" w:space="0"/>
              <w:bottom w:val="single" w:color="auto" w:sz="4" w:space="0"/>
              <w:right w:val="single" w:color="auto" w:sz="4" w:space="0"/>
            </w:tcBorders>
            <w:shd w:val="clear" w:color="auto" w:fill="auto"/>
            <w:vAlign w:val="top"/>
          </w:tcPr>
          <w:p w14:paraId="294A9CAC">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3CEC267C">
            <w:pPr>
              <w:keepNext w:val="0"/>
              <w:keepLines w:val="0"/>
              <w:widowControl w:val="0"/>
              <w:suppressLineNumbers w:val="0"/>
              <w:shd w:val="clear"/>
              <w:spacing w:before="0" w:beforeAutospacing="0" w:after="0" w:afterAutospacing="0" w:line="36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你方提出的支付申请经复核，应支付预付款金额为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p>
          <w:p w14:paraId="2365E92B">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14:paraId="28C65CCC">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u w:val="single"/>
              </w:rPr>
            </w:pPr>
          </w:p>
          <w:p w14:paraId="3F407A2B">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造价工程师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1F8FE9DA">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7FEC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1" w:hRule="atLeast"/>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C87CA78">
            <w:pPr>
              <w:keepNext w:val="0"/>
              <w:keepLines w:val="0"/>
              <w:widowControl w:val="0"/>
              <w:suppressLineNumbers w:val="0"/>
              <w:shd w:val="clear"/>
              <w:spacing w:before="0" w:beforeAutospacing="0" w:after="0" w:afterAutospacing="0" w:line="40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审核意见：</w:t>
            </w:r>
          </w:p>
          <w:p w14:paraId="07E91831">
            <w:pPr>
              <w:keepNext w:val="0"/>
              <w:keepLines w:val="0"/>
              <w:widowControl w:val="0"/>
              <w:suppressLineNumbers w:val="0"/>
              <w:shd w:val="clear"/>
              <w:spacing w:before="0" w:beforeAutospacing="0" w:after="0" w:afterAutospacing="0" w:line="40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□不同意。</w:t>
            </w:r>
          </w:p>
          <w:p w14:paraId="75C3F926">
            <w:pPr>
              <w:keepNext w:val="0"/>
              <w:keepLines w:val="0"/>
              <w:widowControl w:val="0"/>
              <w:suppressLineNumbers w:val="0"/>
              <w:shd w:val="clear"/>
              <w:spacing w:before="0" w:beforeAutospacing="0" w:after="0" w:afterAutospacing="0" w:line="400" w:lineRule="exact"/>
              <w:ind w:left="0" w:right="0" w:firstLine="480" w:firstLineChars="20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□同意，支付时间为本表签发后的</w:t>
            </w:r>
            <w:r>
              <w:rPr>
                <w:rFonts w:hint="default" w:ascii="Times New Roman" w:hAnsi="Times New Roman" w:eastAsia="宋体" w:cs="Times New Roman"/>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天内。</w:t>
            </w:r>
          </w:p>
          <w:p w14:paraId="10D7DA1A">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64B15A45">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发包人代表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12AB0B4E">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bl>
    <w:p w14:paraId="3900545B">
      <w:pPr>
        <w:keepNext w:val="0"/>
        <w:keepLines w:val="0"/>
        <w:widowControl w:val="0"/>
        <w:suppressLineNumbers w:val="0"/>
        <w:shd w:val="clear"/>
        <w:spacing w:before="120" w:beforeLines="50" w:beforeAutospacing="0" w:after="0" w:afterAutospacing="0"/>
        <w:ind w:left="0" w:right="0" w:firstLine="360" w:firstLineChars="200"/>
        <w:jc w:val="both"/>
        <w:rPr>
          <w:rFonts w:hint="eastAsia" w:ascii="Times New Roman"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lang w:val="en-US" w:eastAsia="zh-CN" w:bidi="ar"/>
        </w:rPr>
        <w:t>注：</w:t>
      </w:r>
      <w:r>
        <w:rPr>
          <w:rFonts w:hint="default" w:ascii="Times New Roman" w:hAnsi="Times New Roman" w:eastAsia="宋体" w:cs="Times New Roman"/>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val="en-US" w:eastAsia="zh-CN" w:bidi="ar"/>
        </w:rPr>
        <w:t xml:space="preserve">在选择栏中的“□”内作标识“√”。 </w:t>
      </w:r>
    </w:p>
    <w:p w14:paraId="19ED8135">
      <w:pPr>
        <w:keepNext w:val="0"/>
        <w:keepLines w:val="0"/>
        <w:widowControl w:val="0"/>
        <w:suppressLineNumbers w:val="0"/>
        <w:shd w:val="clear"/>
        <w:spacing w:before="120" w:beforeLines="50" w:beforeAutospacing="0" w:after="0" w:afterAutospacing="0"/>
        <w:ind w:left="720" w:right="0" w:hanging="720" w:hangingChars="400"/>
        <w:jc w:val="both"/>
        <w:rPr>
          <w:rFonts w:hint="eastAsia" w:ascii="Times New Roman" w:hAnsi="Times New Roman" w:eastAsia="仿宋_GB2312" w:cs="Times New Roman"/>
          <w:color w:val="auto"/>
          <w:sz w:val="30"/>
          <w:szCs w:val="30"/>
          <w:highlight w:val="none"/>
        </w:rPr>
      </w:pP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 xml:space="preserve">  </w:t>
      </w: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本表一式四份，由承包人填报，发包人、监理人、造价咨询人、承包人各存一份。</w:t>
      </w:r>
    </w:p>
    <w:p w14:paraId="665DD173">
      <w:pPr>
        <w:keepNext w:val="0"/>
        <w:keepLines w:val="0"/>
        <w:widowControl w:val="0"/>
        <w:suppressLineNumbers w:val="0"/>
        <w:shd w:val="clear"/>
        <w:spacing w:before="0" w:beforeAutospacing="0" w:after="0" w:afterAutospacing="0"/>
        <w:ind w:left="0" w:right="0"/>
        <w:jc w:val="both"/>
        <w:rPr>
          <w:rFonts w:hint="eastAsia" w:ascii="Times New Roman" w:hAnsi="Times New Roman" w:eastAsia="宋体" w:cs="Times New Roman"/>
          <w:color w:val="auto"/>
          <w:highlight w:val="none"/>
        </w:rPr>
      </w:pPr>
      <w:r>
        <w:rPr>
          <w:rFonts w:hint="eastAsia" w:ascii="Times New Roman" w:hAnsi="Times New Roman" w:eastAsia="宋体" w:cs="Times New Roman"/>
          <w:color w:val="auto"/>
          <w:kern w:val="0"/>
          <w:sz w:val="24"/>
          <w:szCs w:val="24"/>
          <w:highlight w:val="none"/>
          <w:lang w:val="en-US" w:eastAsia="zh-CN" w:bidi="ar"/>
        </w:rPr>
        <w:t xml:space="preserve"> </w:t>
      </w:r>
    </w:p>
    <w:p w14:paraId="522A9BE7">
      <w:pPr>
        <w:keepNext w:val="0"/>
        <w:keepLines w:val="0"/>
        <w:widowControl w:val="0"/>
        <w:suppressLineNumbers w:val="0"/>
        <w:shd w:val="clear"/>
        <w:spacing w:before="120" w:beforeLines="50" w:beforeAutospacing="0" w:after="0" w:afterAutospacing="0"/>
        <w:ind w:left="1200" w:right="0" w:hanging="1200" w:hangingChars="400"/>
        <w:jc w:val="both"/>
        <w:rPr>
          <w:rFonts w:hint="eastAsia" w:ascii="仿宋_GB2312" w:hAnsi="Times New Roman" w:eastAsia="仿宋_GB2312" w:cs="仿宋_GB2312"/>
          <w:color w:val="auto"/>
          <w:kern w:val="0"/>
          <w:sz w:val="30"/>
          <w:szCs w:val="30"/>
          <w:highlight w:val="none"/>
          <w:lang w:val="en-US" w:eastAsia="zh-CN" w:bidi="ar"/>
        </w:rPr>
      </w:pPr>
    </w:p>
    <w:p w14:paraId="35A7DCAF">
      <w:pPr>
        <w:keepNext w:val="0"/>
        <w:keepLines w:val="0"/>
        <w:widowControl w:val="0"/>
        <w:suppressLineNumbers w:val="0"/>
        <w:shd w:val="clear"/>
        <w:spacing w:before="120" w:beforeLines="50" w:beforeAutospacing="0" w:after="0" w:afterAutospacing="0"/>
        <w:ind w:left="1200" w:right="0" w:hanging="1200" w:hangingChars="400"/>
        <w:jc w:val="both"/>
        <w:rPr>
          <w:rFonts w:hint="eastAsia" w:ascii="仿宋_GB2312" w:hAnsi="Times New Roman" w:eastAsia="仿宋_GB2312" w:cs="仿宋_GB2312"/>
          <w:color w:val="auto"/>
          <w:kern w:val="0"/>
          <w:sz w:val="30"/>
          <w:szCs w:val="30"/>
          <w:highlight w:val="none"/>
          <w:lang w:val="en-US" w:eastAsia="zh-CN" w:bidi="ar"/>
        </w:rPr>
      </w:pPr>
    </w:p>
    <w:p w14:paraId="13CA06B3">
      <w:pPr>
        <w:keepNext w:val="0"/>
        <w:keepLines w:val="0"/>
        <w:widowControl w:val="0"/>
        <w:suppressLineNumbers w:val="0"/>
        <w:shd w:val="clear"/>
        <w:spacing w:before="120" w:beforeLines="50" w:beforeAutospacing="0" w:after="0" w:afterAutospacing="0"/>
        <w:ind w:left="1200" w:right="0" w:hanging="1200" w:hangingChars="400"/>
        <w:jc w:val="both"/>
        <w:rPr>
          <w:rFonts w:hint="eastAsia" w:ascii="Times New Roman" w:hAnsi="Times New Roman" w:eastAsia="仿宋_GB2312" w:cs="Times New Roman"/>
          <w:color w:val="auto"/>
          <w:sz w:val="30"/>
          <w:szCs w:val="30"/>
          <w:highlight w:val="none"/>
        </w:rPr>
      </w:pPr>
      <w:r>
        <w:rPr>
          <w:rFonts w:hint="eastAsia" w:ascii="仿宋_GB2312" w:hAnsi="Times New Roman" w:eastAsia="仿宋_GB2312" w:cs="仿宋_GB2312"/>
          <w:color w:val="auto"/>
          <w:kern w:val="0"/>
          <w:sz w:val="30"/>
          <w:szCs w:val="30"/>
          <w:highlight w:val="none"/>
          <w:lang w:val="en-US" w:eastAsia="zh-CN" w:bidi="ar"/>
        </w:rPr>
        <w:t>附件</w:t>
      </w:r>
      <w:r>
        <w:rPr>
          <w:rFonts w:hint="eastAsia" w:eastAsia="仿宋_GB2312" w:cs="Times New Roman"/>
          <w:color w:val="auto"/>
          <w:kern w:val="0"/>
          <w:sz w:val="30"/>
          <w:szCs w:val="30"/>
          <w:highlight w:val="none"/>
          <w:lang w:val="en-US" w:eastAsia="zh-CN" w:bidi="ar"/>
        </w:rPr>
        <w:t>5</w:t>
      </w:r>
      <w:r>
        <w:rPr>
          <w:rFonts w:hint="eastAsia" w:ascii="仿宋_GB2312" w:hAnsi="Times New Roman" w:eastAsia="仿宋_GB2312" w:cs="仿宋_GB2312"/>
          <w:color w:val="auto"/>
          <w:kern w:val="0"/>
          <w:sz w:val="30"/>
          <w:szCs w:val="30"/>
          <w:highlight w:val="none"/>
          <w:lang w:val="en-US" w:eastAsia="zh-CN" w:bidi="ar"/>
        </w:rPr>
        <w:t>：</w:t>
      </w:r>
    </w:p>
    <w:p w14:paraId="2B11D6A6">
      <w:pPr>
        <w:keepNext w:val="0"/>
        <w:keepLines w:val="0"/>
        <w:widowControl w:val="0"/>
        <w:suppressLineNumbers w:val="0"/>
        <w:shd w:val="clear"/>
        <w:spacing w:before="0" w:beforeAutospacing="0" w:after="0" w:afterAutospacing="0"/>
        <w:ind w:left="0" w:right="0"/>
        <w:jc w:val="center"/>
        <w:rPr>
          <w:rFonts w:hint="eastAsia" w:ascii="Times New Roman" w:hAnsi="Times New Roman" w:eastAsia="宋体" w:cs="Times New Roman"/>
          <w:b/>
          <w:bCs w:val="0"/>
          <w:color w:val="auto"/>
          <w:sz w:val="36"/>
          <w:szCs w:val="36"/>
          <w:highlight w:val="none"/>
        </w:rPr>
      </w:pPr>
      <w:r>
        <w:rPr>
          <w:rFonts w:hint="eastAsia" w:ascii="宋体" w:hAnsi="宋体" w:eastAsia="宋体" w:cs="宋体"/>
          <w:b/>
          <w:bCs w:val="0"/>
          <w:color w:val="auto"/>
          <w:kern w:val="0"/>
          <w:sz w:val="36"/>
          <w:szCs w:val="36"/>
          <w:highlight w:val="none"/>
          <w:lang w:val="en-US" w:eastAsia="zh-CN" w:bidi="ar"/>
        </w:rPr>
        <w:t>进度款支付申请（核准）表</w:t>
      </w:r>
    </w:p>
    <w:p w14:paraId="53C7181C">
      <w:pPr>
        <w:keepNext w:val="0"/>
        <w:keepLines w:val="0"/>
        <w:widowControl w:val="0"/>
        <w:suppressLineNumbers w:val="0"/>
        <w:shd w:val="clear"/>
        <w:spacing w:before="0" w:beforeAutospacing="0" w:after="0" w:afterAutospacing="0"/>
        <w:ind w:left="0" w:right="0"/>
        <w:jc w:val="both"/>
        <w:rPr>
          <w:rFonts w:hint="eastAsia"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工程名称：</w:t>
      </w:r>
      <w:r>
        <w:rPr>
          <w:rFonts w:hint="eastAsia"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编号：</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20"/>
        <w:gridCol w:w="4552"/>
      </w:tblGrid>
      <w:tr w14:paraId="5EA7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8" w:hRule="atLeast"/>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61AD8CC">
            <w:pPr>
              <w:keepNext w:val="0"/>
              <w:keepLines w:val="0"/>
              <w:widowControl w:val="0"/>
              <w:suppressLineNumbers w:val="0"/>
              <w:shd w:val="clear"/>
              <w:spacing w:before="0" w:beforeAutospacing="0" w:after="0" w:afterAutospacing="0" w:line="480" w:lineRule="exact"/>
              <w:ind w:left="540" w:leftChars="149" w:right="0" w:hanging="242" w:hangingChars="101"/>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致：</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（发包人全称）</w:t>
            </w:r>
          </w:p>
          <w:p w14:paraId="5B74F2F3">
            <w:pPr>
              <w:keepNext w:val="0"/>
              <w:keepLines w:val="0"/>
              <w:widowControl w:val="0"/>
              <w:suppressLineNumbers w:val="0"/>
              <w:shd w:val="clear"/>
              <w:spacing w:before="0" w:beforeAutospacing="0" w:after="0" w:afterAutospacing="0" w:line="400" w:lineRule="exact"/>
              <w:ind w:left="-4" w:leftChars="-2" w:right="0" w:firstLine="360" w:firstLineChars="15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我方于</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至</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期间已完成了</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工作，根据施工合同的约定，现申请支付本期的合同款额为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小写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元，请予核准。</w:t>
            </w:r>
          </w:p>
          <w:tbl>
            <w:tblPr>
              <w:tblStyle w:val="2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4"/>
              <w:gridCol w:w="3258"/>
              <w:gridCol w:w="1328"/>
              <w:gridCol w:w="1424"/>
              <w:gridCol w:w="1250"/>
              <w:gridCol w:w="917"/>
            </w:tblGrid>
            <w:tr w14:paraId="163D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1AC0BC14">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序号</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center"/>
                </w:tcPr>
                <w:p w14:paraId="143EED9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名</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65DFBD50">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实际金额（元）</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0B4DCCB">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申请金额（元）</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E821984">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复核金额（元）</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3483432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备注</w:t>
                  </w:r>
                </w:p>
              </w:tc>
            </w:tr>
            <w:tr w14:paraId="7345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DB01C7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1</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426C52F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累计已完成的工程价款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23B8FFC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5F3BFED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1A45D35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01FCFDC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0F61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CF92D22">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4F644F1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其中：人工费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29DA654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7A05FDE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22C7D01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1646DA3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521B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080C7B8E">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2</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18C3CCA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累计已实际支付的工程价款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0574807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4A65D59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1233BC8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78027CD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026E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748A0CC">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79FA510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其中：人工费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37D4864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3289A62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01C904D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1CA825A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5B06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0C3F5D2">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3</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592F073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本周期已完成的工程价款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75A274B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3486AA2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4799CAA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4A2036E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79ED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0DDD4AE">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0FCF94E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其中：人工费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259A123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59DD72F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76B30B9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0DB37DF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1600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3FDCA78">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7426728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本周期应扣减的金额</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74E3DC6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4E12E53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2B45AC8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01878A6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2AB8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FCB26F6">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4.1</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6324244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本周期实际应抵扣的预付款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536C926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052DE3C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27F85CC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60E5774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62C9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D0379A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4.2</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3600FF9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本周期应扣减的金额</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35FDE8A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29D94CA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749D966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4F035B9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23B5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C99CE6C">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5</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2ABFC2C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本周期应支付的合同价款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214B9EB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10B19BE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055E99B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2011D82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245B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00B81CF3">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5E3F53B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其中：人工费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47A5655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17FD4F4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34AB34F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5839EA9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bl>
          <w:p w14:paraId="20DC6613">
            <w:pPr>
              <w:keepNext w:val="0"/>
              <w:keepLines w:val="0"/>
              <w:widowControl w:val="0"/>
              <w:suppressLineNumbers w:val="0"/>
              <w:shd w:val="clear"/>
              <w:wordWrap w:val="0"/>
              <w:spacing w:before="0" w:beforeAutospacing="0" w:after="0" w:afterAutospacing="0" w:line="400" w:lineRule="exact"/>
              <w:ind w:left="0" w:right="42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附：上述</w:t>
            </w:r>
            <w:r>
              <w:rPr>
                <w:rFonts w:hint="default" w:ascii="Times New Roman" w:hAnsi="Times New Roman" w:eastAsia="宋体" w:cs="Times New Roman"/>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详见附件清单。</w:t>
            </w:r>
          </w:p>
          <w:p w14:paraId="06465B40">
            <w:pPr>
              <w:keepNext w:val="0"/>
              <w:keepLines w:val="0"/>
              <w:widowControl w:val="0"/>
              <w:suppressLineNumbers w:val="0"/>
              <w:shd w:val="clear"/>
              <w:wordWrap w:val="0"/>
              <w:spacing w:before="0" w:beforeAutospacing="0" w:after="0" w:afterAutospacing="0" w:line="400" w:lineRule="exact"/>
              <w:ind w:left="0" w:right="420"/>
              <w:jc w:val="both"/>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承包人（章）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045FE107">
            <w:pPr>
              <w:keepNext w:val="0"/>
              <w:keepLines w:val="0"/>
              <w:widowControl w:val="0"/>
              <w:suppressLineNumbers w:val="0"/>
              <w:shd w:val="clear"/>
              <w:spacing w:before="0" w:beforeAutospacing="0" w:after="0" w:afterAutospacing="0" w:line="400" w:lineRule="exact"/>
              <w:ind w:left="0" w:right="42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造价人员</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承包人代表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3A7F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2" w:hRule="atLeast"/>
          <w:jc w:val="center"/>
        </w:trPr>
        <w:tc>
          <w:tcPr>
            <w:tcW w:w="4520" w:type="dxa"/>
            <w:tcBorders>
              <w:top w:val="single" w:color="auto" w:sz="4" w:space="0"/>
              <w:left w:val="single" w:color="auto" w:sz="4" w:space="0"/>
              <w:bottom w:val="single" w:color="auto" w:sz="4" w:space="0"/>
              <w:right w:val="single" w:color="auto" w:sz="4" w:space="0"/>
            </w:tcBorders>
            <w:shd w:val="clear" w:color="auto" w:fill="auto"/>
            <w:vAlign w:val="top"/>
          </w:tcPr>
          <w:p w14:paraId="640FCD52">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33C8F846">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□与实际施工情况不相符，修改意见见附件。</w:t>
            </w:r>
          </w:p>
          <w:p w14:paraId="426EFB5F">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□与实际施工情况相符，具体金额由造价工程师复核。</w:t>
            </w:r>
          </w:p>
          <w:p w14:paraId="0AECA6D3">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39A991B0">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监理工程师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28053234">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c>
          <w:tcPr>
            <w:tcW w:w="4552" w:type="dxa"/>
            <w:tcBorders>
              <w:top w:val="single" w:color="auto" w:sz="4" w:space="0"/>
              <w:left w:val="single" w:color="auto" w:sz="4" w:space="0"/>
              <w:bottom w:val="single" w:color="auto" w:sz="4" w:space="0"/>
              <w:right w:val="single" w:color="auto" w:sz="4" w:space="0"/>
            </w:tcBorders>
            <w:shd w:val="clear" w:color="auto" w:fill="auto"/>
            <w:vAlign w:val="top"/>
          </w:tcPr>
          <w:p w14:paraId="10CEF046">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093C0E0F">
            <w:pPr>
              <w:keepNext w:val="0"/>
              <w:keepLines w:val="0"/>
              <w:widowControl w:val="0"/>
              <w:suppressLineNumbers w:val="0"/>
              <w:shd w:val="clear"/>
              <w:spacing w:before="0" w:beforeAutospacing="0" w:after="0" w:afterAutospacing="0" w:line="36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你方提出的支付申请经复核，本周期已完成工程价款为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p>
          <w:p w14:paraId="30DADD1E">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元，本期间应支付金额为（大写）</w:t>
            </w:r>
          </w:p>
          <w:p w14:paraId="1D5B03D2">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14:paraId="08A9F085">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造价工程师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0C472014">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5AF4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1" w:hRule="atLeast"/>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2A3F209">
            <w:pPr>
              <w:keepNext w:val="0"/>
              <w:keepLines w:val="0"/>
              <w:widowControl w:val="0"/>
              <w:suppressLineNumbers w:val="0"/>
              <w:shd w:val="clear"/>
              <w:spacing w:before="0" w:beforeAutospacing="0" w:after="0" w:afterAutospacing="0" w:line="40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审核意见：</w:t>
            </w:r>
          </w:p>
          <w:p w14:paraId="128D8E9A">
            <w:pPr>
              <w:keepNext w:val="0"/>
              <w:keepLines w:val="0"/>
              <w:widowControl w:val="0"/>
              <w:suppressLineNumbers w:val="0"/>
              <w:shd w:val="clear"/>
              <w:spacing w:before="0" w:beforeAutospacing="0" w:after="0" w:afterAutospacing="0" w:line="40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□不同意。</w:t>
            </w:r>
          </w:p>
          <w:p w14:paraId="4343509B">
            <w:pPr>
              <w:keepNext w:val="0"/>
              <w:keepLines w:val="0"/>
              <w:widowControl w:val="0"/>
              <w:suppressLineNumbers w:val="0"/>
              <w:shd w:val="clear"/>
              <w:spacing w:before="0" w:beforeAutospacing="0" w:after="0" w:afterAutospacing="0" w:line="400" w:lineRule="exact"/>
              <w:ind w:left="0" w:right="0" w:firstLine="480" w:firstLineChars="20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□同意，支付时间为本表签发后的</w:t>
            </w:r>
            <w:r>
              <w:rPr>
                <w:rFonts w:hint="default" w:ascii="Times New Roman" w:hAnsi="Times New Roman" w:eastAsia="宋体" w:cs="Times New Roman"/>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天内。</w:t>
            </w:r>
          </w:p>
          <w:p w14:paraId="4F3B3C0D">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4795E6BE">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发包人代表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79BD5C0D">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bl>
    <w:p w14:paraId="4E6B07E0">
      <w:pPr>
        <w:keepNext w:val="0"/>
        <w:keepLines w:val="0"/>
        <w:widowControl w:val="0"/>
        <w:suppressLineNumbers w:val="0"/>
        <w:shd w:val="clear"/>
        <w:spacing w:before="120" w:beforeLines="50" w:beforeAutospacing="0" w:after="0" w:afterAutospacing="0"/>
        <w:ind w:left="0" w:right="0" w:firstLine="360" w:firstLineChars="200"/>
        <w:jc w:val="both"/>
        <w:rPr>
          <w:rFonts w:hint="eastAsia" w:ascii="Times New Roman"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lang w:val="en-US" w:eastAsia="zh-CN" w:bidi="ar"/>
        </w:rPr>
        <w:t>注：</w:t>
      </w:r>
      <w:r>
        <w:rPr>
          <w:rFonts w:hint="default" w:ascii="Times New Roman" w:hAnsi="Times New Roman" w:eastAsia="宋体" w:cs="Times New Roman"/>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val="en-US" w:eastAsia="zh-CN" w:bidi="ar"/>
        </w:rPr>
        <w:t xml:space="preserve">在选择栏中的“□”内作标识“√”。 </w:t>
      </w:r>
    </w:p>
    <w:p w14:paraId="1688916C">
      <w:pPr>
        <w:keepNext w:val="0"/>
        <w:keepLines w:val="0"/>
        <w:widowControl w:val="0"/>
        <w:suppressLineNumbers w:val="0"/>
        <w:shd w:val="clear"/>
        <w:spacing w:before="120" w:beforeLines="50" w:beforeAutospacing="0" w:after="0" w:afterAutospacing="0"/>
        <w:ind w:left="720" w:right="0" w:hanging="720" w:hangingChars="400"/>
        <w:jc w:val="both"/>
        <w:rPr>
          <w:rFonts w:hint="eastAsia" w:ascii="Times New Roman" w:hAnsi="Times New Roman" w:eastAsia="宋体" w:cs="Times New Roman"/>
          <w:color w:val="auto"/>
          <w:sz w:val="30"/>
          <w:szCs w:val="30"/>
          <w:highlight w:val="none"/>
        </w:rPr>
      </w:pP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 xml:space="preserve">  </w:t>
      </w: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本表一式四份，由承包人填报，发包人、监理人、造价咨询人、承包人各存一份。</w:t>
      </w:r>
    </w:p>
    <w:p w14:paraId="3F31277B">
      <w:pPr>
        <w:keepNext w:val="0"/>
        <w:keepLines w:val="0"/>
        <w:widowControl w:val="0"/>
        <w:suppressLineNumbers w:val="0"/>
        <w:shd w:val="clear"/>
        <w:spacing w:before="0" w:beforeAutospacing="0" w:after="0" w:afterAutospacing="0"/>
        <w:ind w:left="0" w:right="0"/>
        <w:jc w:val="left"/>
        <w:rPr>
          <w:rFonts w:hint="default" w:ascii="Times New Roman" w:hAnsi="Times New Roman" w:eastAsia="宋体" w:cs="Times New Roman"/>
          <w:color w:val="auto"/>
          <w:sz w:val="30"/>
          <w:szCs w:val="30"/>
          <w:highlight w:val="none"/>
          <w:lang w:val="en-US"/>
        </w:rPr>
      </w:pPr>
      <w:r>
        <w:rPr>
          <w:rFonts w:hint="eastAsia" w:ascii="宋体" w:hAnsi="宋体" w:eastAsia="宋体" w:cs="宋体"/>
          <w:color w:val="auto"/>
          <w:kern w:val="0"/>
          <w:sz w:val="30"/>
          <w:szCs w:val="30"/>
          <w:highlight w:val="none"/>
          <w:lang w:val="en-US" w:eastAsia="zh-CN" w:bidi="ar"/>
        </w:rPr>
        <w:t>附件</w:t>
      </w:r>
      <w:r>
        <w:rPr>
          <w:rFonts w:hint="eastAsia" w:ascii="宋体" w:hAnsi="宋体" w:cs="宋体"/>
          <w:color w:val="auto"/>
          <w:kern w:val="0"/>
          <w:sz w:val="30"/>
          <w:szCs w:val="30"/>
          <w:highlight w:val="none"/>
          <w:lang w:val="en-US" w:eastAsia="zh-CN" w:bidi="ar"/>
        </w:rPr>
        <w:t>6</w:t>
      </w:r>
    </w:p>
    <w:p w14:paraId="33979D88">
      <w:pPr>
        <w:keepNext w:val="0"/>
        <w:keepLines w:val="0"/>
        <w:widowControl w:val="0"/>
        <w:suppressLineNumbers w:val="0"/>
        <w:shd w:val="clear"/>
        <w:spacing w:before="0" w:beforeAutospacing="0" w:after="0" w:afterAutospacing="0"/>
        <w:ind w:left="0" w:right="0"/>
        <w:jc w:val="center"/>
        <w:rPr>
          <w:rFonts w:hint="eastAsia" w:ascii="Times New Roman" w:hAnsi="Times New Roman" w:eastAsia="宋体" w:cs="Times New Roman"/>
          <w:b/>
          <w:bCs w:val="0"/>
          <w:color w:val="auto"/>
          <w:sz w:val="36"/>
          <w:szCs w:val="36"/>
          <w:highlight w:val="none"/>
        </w:rPr>
      </w:pPr>
      <w:r>
        <w:rPr>
          <w:rFonts w:hint="eastAsia" w:ascii="宋体" w:hAnsi="宋体" w:eastAsia="宋体" w:cs="宋体"/>
          <w:b/>
          <w:bCs w:val="0"/>
          <w:color w:val="auto"/>
          <w:kern w:val="0"/>
          <w:sz w:val="36"/>
          <w:szCs w:val="36"/>
          <w:highlight w:val="none"/>
          <w:lang w:val="en-US" w:eastAsia="zh-CN" w:bidi="ar"/>
        </w:rPr>
        <w:t>竣工结算款支付申请（核准）表</w:t>
      </w:r>
    </w:p>
    <w:p w14:paraId="547A12C0">
      <w:pPr>
        <w:keepNext w:val="0"/>
        <w:keepLines w:val="0"/>
        <w:widowControl w:val="0"/>
        <w:suppressLineNumbers w:val="0"/>
        <w:shd w:val="clear"/>
        <w:spacing w:before="0" w:beforeAutospacing="0" w:after="0" w:afterAutospacing="0"/>
        <w:ind w:left="0" w:right="0"/>
        <w:jc w:val="both"/>
        <w:rPr>
          <w:rFonts w:hint="eastAsia"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工程名称：</w:t>
      </w:r>
      <w:r>
        <w:rPr>
          <w:rFonts w:hint="eastAsia"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编号：</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40"/>
        <w:gridCol w:w="4532"/>
      </w:tblGrid>
      <w:tr w14:paraId="3E5B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0" w:hRule="atLeast"/>
          <w:jc w:val="center"/>
        </w:trPr>
        <w:tc>
          <w:tcPr>
            <w:tcW w:w="924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6C1C60C">
            <w:pPr>
              <w:keepNext w:val="0"/>
              <w:keepLines w:val="0"/>
              <w:widowControl w:val="0"/>
              <w:suppressLineNumbers w:val="0"/>
              <w:shd w:val="clear"/>
              <w:spacing w:before="0" w:beforeAutospacing="0" w:after="0" w:afterAutospacing="0" w:line="480" w:lineRule="exact"/>
              <w:ind w:left="540" w:leftChars="149" w:right="0" w:hanging="242" w:hangingChars="101"/>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致：</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（发包人全称）</w:t>
            </w:r>
          </w:p>
          <w:p w14:paraId="192657A5">
            <w:pPr>
              <w:keepNext w:val="0"/>
              <w:keepLines w:val="0"/>
              <w:widowControl w:val="0"/>
              <w:suppressLineNumbers w:val="0"/>
              <w:shd w:val="clear"/>
              <w:spacing w:before="0" w:beforeAutospacing="0" w:after="0" w:afterAutospacing="0" w:line="400" w:lineRule="exact"/>
              <w:ind w:left="-4" w:leftChars="-2" w:right="0" w:firstLine="360" w:firstLineChars="15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我方于</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至</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期间已完成了合同约定的工作，根据施工合同的约定，现申请支付竣工结算的工程款额为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小写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元，请予核准。</w:t>
            </w:r>
          </w:p>
          <w:tbl>
            <w:tblPr>
              <w:tblStyle w:val="2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2"/>
              <w:gridCol w:w="3349"/>
              <w:gridCol w:w="1604"/>
              <w:gridCol w:w="1604"/>
              <w:gridCol w:w="1622"/>
            </w:tblGrid>
            <w:tr w14:paraId="5FE7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1C0B691E">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序号</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14:paraId="42138D11">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名</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称</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E21EEC0">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申请金额（元）</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50CA0CB">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复核金额（元）</w:t>
                  </w: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14:paraId="55B21030">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备注</w:t>
                  </w:r>
                </w:p>
              </w:tc>
            </w:tr>
            <w:tr w14:paraId="730D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F0A8C93">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1</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4535F6A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竣工结算合同价款总额</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CC95D3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DCED56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2321417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3745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A77815C">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2</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3ADC9E5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累计已实际支付的合同价款</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224AE1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1F56C1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75D7619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78BA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0D9AE71F">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3</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2F4CA8A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应预留的质量保证金</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E3E084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AAFC30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087860D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3F63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0EAE30C2">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0CE0182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应支付的竣工结算款金额</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33267B3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9BC233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0117420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044F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C5FB2F7">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4877A76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6BD752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092670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1CF1DFF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6E9E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4D5EF5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396CE7C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6D784A9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67C6910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2440637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5ADE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61AE680">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31C6969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E3CA25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93AD0D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34D0C3D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6079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DF981B3">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0725440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F3CD01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588AC2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6D9097B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12C2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75EF982">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59A5F7C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FE98D2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AC407B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6B5A6CE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bl>
          <w:p w14:paraId="61174E04">
            <w:pPr>
              <w:keepNext w:val="0"/>
              <w:keepLines w:val="0"/>
              <w:widowControl w:val="0"/>
              <w:suppressLineNumbers w:val="0"/>
              <w:shd w:val="clear"/>
              <w:spacing w:before="0" w:beforeAutospacing="0" w:after="0" w:afterAutospacing="0" w:line="400" w:lineRule="exact"/>
              <w:ind w:left="0" w:right="420" w:firstLine="435"/>
              <w:jc w:val="center"/>
              <w:rPr>
                <w:rFonts w:hint="eastAsia" w:ascii="Times New Roman" w:hAnsi="Times New Roman" w:eastAsia="宋体" w:cs="Times New Roman"/>
                <w:color w:val="auto"/>
                <w:sz w:val="20"/>
                <w:szCs w:val="20"/>
                <w:highlight w:val="none"/>
              </w:rPr>
            </w:pPr>
          </w:p>
          <w:p w14:paraId="6E117854">
            <w:pPr>
              <w:keepNext w:val="0"/>
              <w:keepLines w:val="0"/>
              <w:widowControl w:val="0"/>
              <w:suppressLineNumbers w:val="0"/>
              <w:shd w:val="clear"/>
              <w:spacing w:before="0" w:beforeAutospacing="0" w:after="0" w:afterAutospacing="0" w:line="400" w:lineRule="exact"/>
              <w:ind w:left="0" w:right="42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承包人（章）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2D7574AD">
            <w:pPr>
              <w:keepNext w:val="0"/>
              <w:keepLines w:val="0"/>
              <w:widowControl w:val="0"/>
              <w:suppressLineNumbers w:val="0"/>
              <w:shd w:val="clear"/>
              <w:spacing w:before="0" w:beforeAutospacing="0" w:after="0" w:afterAutospacing="0" w:line="400" w:lineRule="exact"/>
              <w:ind w:left="0" w:right="42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造价人员</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承包人代表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4D04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60" w:hRule="atLeast"/>
          <w:jc w:val="center"/>
        </w:trPr>
        <w:tc>
          <w:tcPr>
            <w:tcW w:w="4620" w:type="dxa"/>
            <w:tcBorders>
              <w:top w:val="single" w:color="auto" w:sz="4" w:space="0"/>
              <w:left w:val="single" w:color="auto" w:sz="4" w:space="0"/>
              <w:bottom w:val="single" w:color="auto" w:sz="4" w:space="0"/>
              <w:right w:val="single" w:color="auto" w:sz="4" w:space="0"/>
            </w:tcBorders>
            <w:shd w:val="clear" w:color="auto" w:fill="auto"/>
            <w:vAlign w:val="top"/>
          </w:tcPr>
          <w:p w14:paraId="0AE91958">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185FBB80">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□与实际施工情况不相符，修改意见见附件。</w:t>
            </w:r>
          </w:p>
          <w:p w14:paraId="00DB4C5A">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□与实际施工情况相符，具体金额由造价工程师复核。</w:t>
            </w:r>
          </w:p>
          <w:p w14:paraId="7F917B66">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62A89A6D">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1A60420E">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6C1B7B6A">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监理工程师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3BF7E7A7">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c>
          <w:tcPr>
            <w:tcW w:w="4620" w:type="dxa"/>
            <w:tcBorders>
              <w:top w:val="single" w:color="auto" w:sz="4" w:space="0"/>
              <w:left w:val="single" w:color="auto" w:sz="4" w:space="0"/>
              <w:bottom w:val="single" w:color="auto" w:sz="4" w:space="0"/>
              <w:right w:val="single" w:color="auto" w:sz="4" w:space="0"/>
            </w:tcBorders>
            <w:shd w:val="clear" w:color="auto" w:fill="auto"/>
            <w:vAlign w:val="top"/>
          </w:tcPr>
          <w:p w14:paraId="0C7148EA">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6E6FD824">
            <w:pPr>
              <w:keepNext w:val="0"/>
              <w:keepLines w:val="0"/>
              <w:widowControl w:val="0"/>
              <w:suppressLineNumbers w:val="0"/>
              <w:shd w:val="clear"/>
              <w:spacing w:before="0" w:beforeAutospacing="0" w:after="0" w:afterAutospacing="0" w:line="360" w:lineRule="exact"/>
              <w:ind w:left="0" w:right="0" w:firstLine="435"/>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你方提出的竣工结算支付申请经复核，竣工结算款总额为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元，扣除前期支付以及质量保证金后应支付金额为（大写）</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14:paraId="28D87C33">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1BA85FB3">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造价工程师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6EABADEA">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78BB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1" w:hRule="atLeast"/>
          <w:jc w:val="center"/>
        </w:trPr>
        <w:tc>
          <w:tcPr>
            <w:tcW w:w="924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F6531F3">
            <w:pPr>
              <w:keepNext w:val="0"/>
              <w:keepLines w:val="0"/>
              <w:widowControl w:val="0"/>
              <w:suppressLineNumbers w:val="0"/>
              <w:shd w:val="clear"/>
              <w:spacing w:before="0" w:beforeAutospacing="0" w:after="0" w:afterAutospacing="0" w:line="40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审核意见：</w:t>
            </w:r>
          </w:p>
          <w:p w14:paraId="3DD79A17">
            <w:pPr>
              <w:keepNext w:val="0"/>
              <w:keepLines w:val="0"/>
              <w:widowControl w:val="0"/>
              <w:suppressLineNumbers w:val="0"/>
              <w:shd w:val="clear"/>
              <w:spacing w:before="0" w:beforeAutospacing="0" w:after="0" w:afterAutospacing="0" w:line="40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□不同意。</w:t>
            </w:r>
          </w:p>
          <w:p w14:paraId="0C9AF5A8">
            <w:pPr>
              <w:keepNext w:val="0"/>
              <w:keepLines w:val="0"/>
              <w:widowControl w:val="0"/>
              <w:suppressLineNumbers w:val="0"/>
              <w:shd w:val="clear"/>
              <w:spacing w:before="0" w:beforeAutospacing="0" w:after="0" w:afterAutospacing="0" w:line="400" w:lineRule="exact"/>
              <w:ind w:left="0" w:right="0" w:firstLine="480" w:firstLineChars="20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□同意，支付时间为本表签发后的</w:t>
            </w:r>
            <w:r>
              <w:rPr>
                <w:rFonts w:hint="default" w:ascii="Times New Roman" w:hAnsi="Times New Roman" w:eastAsia="宋体" w:cs="Times New Roman"/>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天内。</w:t>
            </w:r>
          </w:p>
          <w:p w14:paraId="0F2EB736">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6E5E078E">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发包人代表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2BBAB5F4">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bl>
    <w:p w14:paraId="2558EDED">
      <w:pPr>
        <w:keepNext w:val="0"/>
        <w:keepLines w:val="0"/>
        <w:widowControl w:val="0"/>
        <w:suppressLineNumbers w:val="0"/>
        <w:shd w:val="clear"/>
        <w:spacing w:before="120" w:beforeLines="50" w:beforeAutospacing="0" w:after="0" w:afterAutospacing="0"/>
        <w:ind w:left="0" w:right="0" w:firstLine="360" w:firstLineChars="200"/>
        <w:jc w:val="both"/>
        <w:rPr>
          <w:rFonts w:hint="eastAsia" w:ascii="Times New Roman"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lang w:val="en-US" w:eastAsia="zh-CN" w:bidi="ar"/>
        </w:rPr>
        <w:t>注：</w:t>
      </w:r>
      <w:r>
        <w:rPr>
          <w:rFonts w:hint="default" w:ascii="Times New Roman" w:hAnsi="Times New Roman" w:eastAsia="宋体" w:cs="Times New Roman"/>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val="en-US" w:eastAsia="zh-CN" w:bidi="ar"/>
        </w:rPr>
        <w:t xml:space="preserve">在选择栏中的“□”内作标识“√”。 </w:t>
      </w:r>
    </w:p>
    <w:p w14:paraId="28DF1FC0">
      <w:pPr>
        <w:keepNext w:val="0"/>
        <w:keepLines w:val="0"/>
        <w:widowControl w:val="0"/>
        <w:suppressLineNumbers w:val="0"/>
        <w:shd w:val="clear"/>
        <w:spacing w:before="120" w:beforeLines="50" w:beforeAutospacing="0" w:after="0" w:afterAutospacing="0"/>
        <w:ind w:left="720" w:right="0" w:hanging="720" w:hangingChars="400"/>
        <w:jc w:val="both"/>
        <w:rPr>
          <w:rFonts w:hint="eastAsia" w:ascii="Times New Roman" w:hAnsi="宋体" w:eastAsia="宋体" w:cs="宋体"/>
          <w:color w:val="auto"/>
          <w:highlight w:val="none"/>
        </w:rPr>
      </w:pP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 xml:space="preserve">  </w:t>
      </w: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 xml:space="preserve">本表一式四份，由承包人填报，发包人、监理人、造价咨询人、承包人各存一份。                                                                                   </w:t>
      </w:r>
    </w:p>
    <w:p w14:paraId="644C12F3">
      <w:pPr>
        <w:keepNext w:val="0"/>
        <w:keepLines w:val="0"/>
        <w:widowControl w:val="0"/>
        <w:suppressLineNumbers w:val="0"/>
        <w:shd w:val="clear"/>
        <w:spacing w:before="0" w:beforeAutospacing="0" w:after="0" w:afterAutospacing="0"/>
        <w:ind w:left="0" w:right="0"/>
        <w:jc w:val="left"/>
        <w:rPr>
          <w:rFonts w:hint="eastAsia" w:ascii="Times New Roman" w:hAnsi="Times New Roman" w:eastAsia="宋体" w:cs="Times New Roman"/>
          <w:b/>
          <w:bCs w:val="0"/>
          <w:color w:val="auto"/>
          <w:sz w:val="30"/>
          <w:szCs w:val="30"/>
          <w:highlight w:val="none"/>
        </w:rPr>
      </w:pPr>
      <w:r>
        <w:rPr>
          <w:rFonts w:hint="eastAsia" w:ascii="宋体" w:hAnsi="宋体" w:eastAsia="宋体" w:cs="宋体"/>
          <w:color w:val="auto"/>
          <w:kern w:val="0"/>
          <w:sz w:val="30"/>
          <w:szCs w:val="30"/>
          <w:highlight w:val="none"/>
          <w:lang w:val="en-US" w:eastAsia="zh-CN" w:bidi="ar"/>
        </w:rPr>
        <w:t>附件</w:t>
      </w:r>
      <w:r>
        <w:rPr>
          <w:rFonts w:hint="eastAsia" w:ascii="宋体" w:hAnsi="宋体" w:cs="宋体"/>
          <w:color w:val="auto"/>
          <w:kern w:val="0"/>
          <w:sz w:val="30"/>
          <w:szCs w:val="30"/>
          <w:highlight w:val="none"/>
          <w:lang w:val="en-US" w:eastAsia="zh-CN" w:bidi="ar"/>
        </w:rPr>
        <w:t>7</w:t>
      </w:r>
      <w:r>
        <w:rPr>
          <w:rFonts w:hint="eastAsia" w:ascii="宋体" w:hAnsi="宋体" w:eastAsia="宋体" w:cs="宋体"/>
          <w:color w:val="auto"/>
          <w:kern w:val="0"/>
          <w:sz w:val="30"/>
          <w:szCs w:val="30"/>
          <w:highlight w:val="none"/>
          <w:lang w:val="en-US" w:eastAsia="zh-CN" w:bidi="ar"/>
        </w:rPr>
        <w:t>：</w:t>
      </w:r>
    </w:p>
    <w:p w14:paraId="799496B8">
      <w:pPr>
        <w:keepNext w:val="0"/>
        <w:keepLines w:val="0"/>
        <w:widowControl w:val="0"/>
        <w:suppressLineNumbers w:val="0"/>
        <w:shd w:val="clear"/>
        <w:spacing w:before="0" w:beforeAutospacing="0" w:after="0" w:afterAutospacing="0"/>
        <w:ind w:left="0" w:right="0"/>
        <w:jc w:val="center"/>
        <w:rPr>
          <w:rFonts w:hint="eastAsia" w:ascii="Times New Roman" w:hAnsi="Times New Roman" w:eastAsia="宋体" w:cs="Times New Roman"/>
          <w:b/>
          <w:bCs w:val="0"/>
          <w:color w:val="auto"/>
          <w:sz w:val="36"/>
          <w:szCs w:val="36"/>
          <w:highlight w:val="none"/>
        </w:rPr>
      </w:pPr>
      <w:r>
        <w:rPr>
          <w:rFonts w:hint="eastAsia" w:ascii="宋体" w:hAnsi="宋体" w:eastAsia="宋体" w:cs="宋体"/>
          <w:b/>
          <w:bCs w:val="0"/>
          <w:color w:val="auto"/>
          <w:kern w:val="0"/>
          <w:sz w:val="36"/>
          <w:szCs w:val="36"/>
          <w:highlight w:val="none"/>
          <w:lang w:val="en-US" w:eastAsia="zh-CN" w:bidi="ar"/>
        </w:rPr>
        <w:t>最终结算款支付申请（核准）表</w:t>
      </w:r>
    </w:p>
    <w:p w14:paraId="59385FDF">
      <w:pPr>
        <w:keepNext w:val="0"/>
        <w:keepLines w:val="0"/>
        <w:widowControl w:val="0"/>
        <w:suppressLineNumbers w:val="0"/>
        <w:shd w:val="clear"/>
        <w:spacing w:before="0" w:beforeAutospacing="0" w:after="0" w:afterAutospacing="0"/>
        <w:ind w:left="0" w:right="0"/>
        <w:jc w:val="both"/>
        <w:rPr>
          <w:rFonts w:hint="eastAsia"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工程名称：</w:t>
      </w:r>
      <w:r>
        <w:rPr>
          <w:rFonts w:hint="eastAsia"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编号：</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41"/>
        <w:gridCol w:w="4531"/>
      </w:tblGrid>
      <w:tr w14:paraId="2AFF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4" w:hRule="atLeast"/>
          <w:jc w:val="center"/>
        </w:trPr>
        <w:tc>
          <w:tcPr>
            <w:tcW w:w="924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D0E8A8E">
            <w:pPr>
              <w:keepNext w:val="0"/>
              <w:keepLines w:val="0"/>
              <w:widowControl w:val="0"/>
              <w:suppressLineNumbers w:val="0"/>
              <w:shd w:val="clear"/>
              <w:spacing w:before="0" w:beforeAutospacing="0" w:after="0" w:afterAutospacing="0" w:line="480" w:lineRule="exact"/>
              <w:ind w:left="540" w:leftChars="149" w:right="0" w:hanging="242" w:hangingChars="101"/>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致：</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（发包人全称）</w:t>
            </w:r>
          </w:p>
          <w:p w14:paraId="40213274">
            <w:pPr>
              <w:keepNext w:val="0"/>
              <w:keepLines w:val="0"/>
              <w:widowControl w:val="0"/>
              <w:suppressLineNumbers w:val="0"/>
              <w:shd w:val="clear"/>
              <w:spacing w:before="0" w:beforeAutospacing="0" w:after="0" w:afterAutospacing="0" w:line="400" w:lineRule="exact"/>
              <w:ind w:left="-4" w:leftChars="-2" w:right="0" w:firstLine="360" w:firstLineChars="15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我方于</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至</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期间已完成了缺陷修复工作，根据施工合同的约定，现申请支付最终结清合同款额为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小写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元，请予核准。</w:t>
            </w:r>
          </w:p>
          <w:tbl>
            <w:tblPr>
              <w:tblStyle w:val="2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3"/>
              <w:gridCol w:w="3351"/>
              <w:gridCol w:w="1603"/>
              <w:gridCol w:w="1603"/>
              <w:gridCol w:w="1621"/>
            </w:tblGrid>
            <w:tr w14:paraId="690C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389C5FE5">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序号</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14:paraId="2EB5381D">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名</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称</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890C547">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申请金额（元）</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51BECB3">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复核金额（元）</w:t>
                  </w: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14:paraId="2494F88F">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备注</w:t>
                  </w:r>
                </w:p>
              </w:tc>
            </w:tr>
            <w:tr w14:paraId="46A6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0A5F58FA">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1</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2C8CF40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已预留的质量保证金</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1DB337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C62B6C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0C07482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1369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0ED070F">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2</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4E0837D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应增加因发包人原因造成缺陷的修复金额</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6C952D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16DF27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0C74281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31EF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648A3DA8">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3</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57E87D5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应扣减承包人不修复缺陷、发包人组织修复的金额</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A279CB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6FFAF0D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30515A1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558D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B971CDD">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7DE963E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最终应支付的合同价款</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6E76FEC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6033CF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3100F43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0F0D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EEA2638">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6578C67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4606A8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0CC1EB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7370E7A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034A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0AA891BA">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6D0B830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3C3A037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317D88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58111EE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10E8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03DC5B4">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68902B8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E33109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B4049A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7F7D359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3057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804CA40">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03EA3A5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96CF4A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AFCBFD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7FE6DF6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bl>
          <w:p w14:paraId="0B08287A">
            <w:pPr>
              <w:keepNext w:val="0"/>
              <w:keepLines w:val="0"/>
              <w:widowControl w:val="0"/>
              <w:suppressLineNumbers w:val="0"/>
              <w:shd w:val="clear"/>
              <w:spacing w:before="0" w:beforeAutospacing="0" w:after="0" w:afterAutospacing="0" w:line="400" w:lineRule="exact"/>
              <w:ind w:left="0" w:right="42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承包人（章）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27B3F3CC">
            <w:pPr>
              <w:keepNext w:val="0"/>
              <w:keepLines w:val="0"/>
              <w:widowControl w:val="0"/>
              <w:suppressLineNumbers w:val="0"/>
              <w:shd w:val="clear"/>
              <w:spacing w:before="0" w:beforeAutospacing="0" w:after="0" w:afterAutospacing="0" w:line="400" w:lineRule="exact"/>
              <w:ind w:left="0" w:right="42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造价人员</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承包人代表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67E2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60" w:hRule="atLeast"/>
          <w:jc w:val="center"/>
        </w:trPr>
        <w:tc>
          <w:tcPr>
            <w:tcW w:w="4620" w:type="dxa"/>
            <w:tcBorders>
              <w:top w:val="single" w:color="auto" w:sz="4" w:space="0"/>
              <w:left w:val="single" w:color="auto" w:sz="4" w:space="0"/>
              <w:bottom w:val="single" w:color="auto" w:sz="4" w:space="0"/>
              <w:right w:val="single" w:color="auto" w:sz="4" w:space="0"/>
            </w:tcBorders>
            <w:shd w:val="clear" w:color="auto" w:fill="auto"/>
            <w:vAlign w:val="top"/>
          </w:tcPr>
          <w:p w14:paraId="66A42968">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131228F8">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□与实际施工情况不相符，修改意见见附件。</w:t>
            </w:r>
          </w:p>
          <w:p w14:paraId="09C981B3">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□与实际施工情况相符，具体金额由造价工程师复核。</w:t>
            </w:r>
          </w:p>
          <w:p w14:paraId="480355E7">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4086427E">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0B878CF6">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5EE461B8">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监理工程师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3BB5C48B">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c>
          <w:tcPr>
            <w:tcW w:w="4620" w:type="dxa"/>
            <w:tcBorders>
              <w:top w:val="single" w:color="auto" w:sz="4" w:space="0"/>
              <w:left w:val="single" w:color="auto" w:sz="4" w:space="0"/>
              <w:bottom w:val="single" w:color="auto" w:sz="4" w:space="0"/>
              <w:right w:val="single" w:color="auto" w:sz="4" w:space="0"/>
            </w:tcBorders>
            <w:shd w:val="clear" w:color="auto" w:fill="auto"/>
            <w:vAlign w:val="top"/>
          </w:tcPr>
          <w:p w14:paraId="3C20911B">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0A7599F8">
            <w:pPr>
              <w:keepNext w:val="0"/>
              <w:keepLines w:val="0"/>
              <w:widowControl w:val="0"/>
              <w:suppressLineNumbers w:val="0"/>
              <w:shd w:val="clear"/>
              <w:spacing w:before="0" w:beforeAutospacing="0" w:after="0" w:afterAutospacing="0" w:line="360" w:lineRule="exact"/>
              <w:ind w:left="0" w:right="0" w:firstLine="435"/>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你方提出的支付申请经复核，最终应支付金额为（大写）</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14:paraId="72D5FF2A">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35749773">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p>
          <w:p w14:paraId="7170FF99">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p>
          <w:p w14:paraId="37F53220">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p>
          <w:p w14:paraId="27475EDA">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造价工程师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1D5B85BB">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4AC5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1" w:hRule="atLeast"/>
          <w:jc w:val="center"/>
        </w:trPr>
        <w:tc>
          <w:tcPr>
            <w:tcW w:w="924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86E5EB4">
            <w:pPr>
              <w:keepNext w:val="0"/>
              <w:keepLines w:val="0"/>
              <w:widowControl w:val="0"/>
              <w:suppressLineNumbers w:val="0"/>
              <w:shd w:val="clear"/>
              <w:spacing w:before="0" w:beforeAutospacing="0" w:after="0" w:afterAutospacing="0" w:line="40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审核意见：</w:t>
            </w:r>
          </w:p>
          <w:p w14:paraId="7517B9CD">
            <w:pPr>
              <w:keepNext w:val="0"/>
              <w:keepLines w:val="0"/>
              <w:widowControl w:val="0"/>
              <w:suppressLineNumbers w:val="0"/>
              <w:shd w:val="clear"/>
              <w:spacing w:before="0" w:beforeAutospacing="0" w:after="0" w:afterAutospacing="0" w:line="40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□不同意。</w:t>
            </w:r>
          </w:p>
          <w:p w14:paraId="073A24E0">
            <w:pPr>
              <w:keepNext w:val="0"/>
              <w:keepLines w:val="0"/>
              <w:widowControl w:val="0"/>
              <w:suppressLineNumbers w:val="0"/>
              <w:shd w:val="clear"/>
              <w:spacing w:before="0" w:beforeAutospacing="0" w:after="0" w:afterAutospacing="0" w:line="400" w:lineRule="exact"/>
              <w:ind w:left="0" w:right="0" w:firstLine="480" w:firstLineChars="20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□同意，支付时间为本表签发后的</w:t>
            </w:r>
            <w:r>
              <w:rPr>
                <w:rFonts w:hint="default" w:ascii="Times New Roman" w:hAnsi="Times New Roman" w:eastAsia="宋体" w:cs="Times New Roman"/>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天内。</w:t>
            </w:r>
          </w:p>
          <w:p w14:paraId="4E79CA9D">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69B59249">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发包人代表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212DC8A5">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bl>
    <w:p w14:paraId="74B5B078">
      <w:pPr>
        <w:keepNext w:val="0"/>
        <w:keepLines w:val="0"/>
        <w:widowControl w:val="0"/>
        <w:suppressLineNumbers w:val="0"/>
        <w:shd w:val="clear"/>
        <w:spacing w:before="120" w:beforeLines="50" w:beforeAutospacing="0" w:after="0" w:afterAutospacing="0"/>
        <w:ind w:left="0" w:right="0" w:firstLine="360" w:firstLineChars="200"/>
        <w:jc w:val="both"/>
        <w:rPr>
          <w:rFonts w:hint="eastAsia" w:ascii="Times New Roman"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lang w:val="en-US" w:eastAsia="zh-CN" w:bidi="ar"/>
        </w:rPr>
        <w:t>注：</w:t>
      </w:r>
      <w:r>
        <w:rPr>
          <w:rFonts w:hint="default" w:ascii="Times New Roman" w:hAnsi="Times New Roman" w:eastAsia="宋体" w:cs="Times New Roman"/>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val="en-US" w:eastAsia="zh-CN" w:bidi="ar"/>
        </w:rPr>
        <w:t>在选择栏中的“□”内作标识“√”。 如监理人已退场，监理工程师栏可空缺。</w:t>
      </w:r>
    </w:p>
    <w:p w14:paraId="57F39691">
      <w:pPr>
        <w:keepNext w:val="0"/>
        <w:keepLines w:val="0"/>
        <w:widowControl w:val="0"/>
        <w:suppressLineNumbers w:val="0"/>
        <w:shd w:val="clear"/>
        <w:spacing w:before="120" w:beforeLines="50" w:beforeAutospacing="0" w:after="0" w:afterAutospacing="0"/>
        <w:ind w:left="720" w:right="0" w:hanging="720" w:hangingChars="400"/>
        <w:jc w:val="both"/>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 xml:space="preserve">  </w:t>
      </w: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本表一式四份，由承包人填报，发包人、监理人、造价咨询人、承包人各存一份。</w:t>
      </w:r>
    </w:p>
    <w:p w14:paraId="0D579C84">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kern w:val="0"/>
          <w:sz w:val="24"/>
          <w:szCs w:val="24"/>
          <w:highlight w:val="none"/>
          <w:u w:val="single"/>
          <w:lang w:val="en-US" w:eastAsia="zh-CN" w:bidi="ar"/>
        </w:rPr>
        <w:t xml:space="preserve"> </w:t>
      </w:r>
    </w:p>
    <w:p w14:paraId="38D2AAB1">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30"/>
          <w:szCs w:val="30"/>
          <w:highlight w:val="none"/>
        </w:rPr>
      </w:pPr>
      <w:r>
        <w:rPr>
          <w:rFonts w:hint="eastAsia" w:ascii="宋体" w:hAnsi="Courier New" w:eastAsia="宋体" w:cs="Times New Roman"/>
          <w:bCs/>
          <w:color w:val="auto"/>
          <w:spacing w:val="10"/>
          <w:kern w:val="0"/>
          <w:sz w:val="30"/>
          <w:szCs w:val="30"/>
          <w:highlight w:val="none"/>
          <w:lang w:val="en-US" w:eastAsia="zh-CN" w:bidi="ar"/>
        </w:rPr>
        <w:t xml:space="preserve"> </w:t>
      </w:r>
    </w:p>
    <w:p w14:paraId="234583E8">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30"/>
          <w:szCs w:val="30"/>
          <w:highlight w:val="none"/>
        </w:rPr>
      </w:pPr>
      <w:r>
        <w:rPr>
          <w:rFonts w:hint="eastAsia" w:ascii="宋体" w:hAnsi="Courier New" w:eastAsia="宋体" w:cs="Times New Roman"/>
          <w:bCs/>
          <w:color w:val="auto"/>
          <w:spacing w:val="10"/>
          <w:kern w:val="0"/>
          <w:sz w:val="30"/>
          <w:szCs w:val="30"/>
          <w:highlight w:val="none"/>
          <w:lang w:val="en-US" w:eastAsia="zh-CN" w:bidi="ar"/>
        </w:rPr>
        <w:t xml:space="preserve"> </w:t>
      </w:r>
    </w:p>
    <w:p w14:paraId="6900202E">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30"/>
          <w:szCs w:val="30"/>
          <w:highlight w:val="none"/>
        </w:rPr>
      </w:pPr>
      <w:r>
        <w:rPr>
          <w:rFonts w:hint="eastAsia" w:ascii="宋体" w:hAnsi="Courier New" w:eastAsia="宋体" w:cs="Times New Roman"/>
          <w:bCs/>
          <w:color w:val="auto"/>
          <w:spacing w:val="10"/>
          <w:kern w:val="0"/>
          <w:sz w:val="30"/>
          <w:szCs w:val="30"/>
          <w:highlight w:val="none"/>
          <w:lang w:val="en-US" w:eastAsia="zh-CN" w:bidi="ar"/>
        </w:rPr>
        <w:t xml:space="preserve"> </w:t>
      </w:r>
    </w:p>
    <w:p w14:paraId="2EDDB20E">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30"/>
          <w:szCs w:val="30"/>
          <w:highlight w:val="none"/>
        </w:rPr>
      </w:pPr>
      <w:r>
        <w:rPr>
          <w:rFonts w:hint="eastAsia" w:ascii="宋体" w:hAnsi="Courier New" w:eastAsia="宋体" w:cs="Times New Roman"/>
          <w:bCs/>
          <w:color w:val="auto"/>
          <w:spacing w:val="10"/>
          <w:kern w:val="0"/>
          <w:sz w:val="30"/>
          <w:szCs w:val="30"/>
          <w:highlight w:val="none"/>
          <w:lang w:val="en-US" w:eastAsia="zh-CN" w:bidi="ar"/>
        </w:rPr>
        <w:t xml:space="preserve"> </w:t>
      </w:r>
    </w:p>
    <w:p w14:paraId="4FD535D5">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30"/>
          <w:szCs w:val="30"/>
          <w:highlight w:val="none"/>
        </w:rPr>
      </w:pPr>
      <w:r>
        <w:rPr>
          <w:rFonts w:hint="eastAsia" w:ascii="宋体" w:hAnsi="Courier New" w:eastAsia="宋体" w:cs="Times New Roman"/>
          <w:bCs/>
          <w:color w:val="auto"/>
          <w:spacing w:val="10"/>
          <w:kern w:val="0"/>
          <w:sz w:val="30"/>
          <w:szCs w:val="30"/>
          <w:highlight w:val="none"/>
          <w:lang w:val="en-US" w:eastAsia="zh-CN" w:bidi="ar"/>
        </w:rPr>
        <w:t xml:space="preserve"> </w:t>
      </w:r>
    </w:p>
    <w:p w14:paraId="6978A66C">
      <w:pPr>
        <w:keepNext w:val="0"/>
        <w:keepLines w:val="0"/>
        <w:widowControl w:val="0"/>
        <w:suppressLineNumbers w:val="0"/>
        <w:shd w:val="clear"/>
        <w:spacing w:before="0" w:beforeAutospacing="0" w:after="0" w:afterAutospacing="0" w:line="360" w:lineRule="auto"/>
        <w:ind w:left="0" w:right="0"/>
        <w:jc w:val="left"/>
        <w:rPr>
          <w:rFonts w:hint="eastAsia" w:ascii="Times New Roman" w:hAnsi="宋体" w:eastAsia="宋体" w:cs="宋体"/>
          <w:color w:val="auto"/>
          <w:sz w:val="30"/>
          <w:szCs w:val="30"/>
          <w:highlight w:val="none"/>
        </w:rPr>
      </w:pPr>
      <w:r>
        <w:rPr>
          <w:rFonts w:hint="eastAsia" w:ascii="宋体" w:hAnsi="宋体" w:eastAsia="宋体" w:cs="宋体"/>
          <w:color w:val="auto"/>
          <w:kern w:val="0"/>
          <w:sz w:val="30"/>
          <w:szCs w:val="30"/>
          <w:highlight w:val="none"/>
          <w:lang w:val="en-US" w:eastAsia="zh-CN" w:bidi="ar"/>
        </w:rPr>
        <w:t>附件</w:t>
      </w:r>
      <w:r>
        <w:rPr>
          <w:rFonts w:hint="eastAsia" w:ascii="宋体" w:hAnsi="宋体" w:cs="宋体"/>
          <w:color w:val="auto"/>
          <w:kern w:val="0"/>
          <w:sz w:val="30"/>
          <w:szCs w:val="30"/>
          <w:highlight w:val="none"/>
          <w:lang w:val="en-US" w:eastAsia="zh-CN" w:bidi="ar"/>
        </w:rPr>
        <w:t>8</w:t>
      </w:r>
      <w:r>
        <w:rPr>
          <w:rFonts w:hint="eastAsia" w:ascii="宋体" w:hAnsi="宋体" w:eastAsia="宋体" w:cs="宋体"/>
          <w:color w:val="auto"/>
          <w:kern w:val="0"/>
          <w:sz w:val="30"/>
          <w:szCs w:val="30"/>
          <w:highlight w:val="none"/>
          <w:lang w:val="en-US" w:eastAsia="zh-CN" w:bidi="ar"/>
        </w:rPr>
        <w:t>：</w:t>
      </w:r>
    </w:p>
    <w:p w14:paraId="31D4AF96">
      <w:pPr>
        <w:keepNext w:val="0"/>
        <w:keepLines w:val="0"/>
        <w:widowControl w:val="0"/>
        <w:suppressLineNumbers w:val="0"/>
        <w:shd w:val="clear"/>
        <w:spacing w:before="0" w:beforeAutospacing="0" w:after="0" w:afterAutospacing="0" w:line="360" w:lineRule="auto"/>
        <w:ind w:left="0" w:right="0" w:firstLine="720" w:firstLineChars="20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lang w:val="en-US" w:eastAsia="zh-CN" w:bidi="ar"/>
        </w:rPr>
        <w:t>总价合同进度款支付分解表</w:t>
      </w:r>
    </w:p>
    <w:p w14:paraId="1975E207">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0"/>
          <w:highlight w:val="none"/>
        </w:rPr>
      </w:pPr>
      <w:r>
        <w:rPr>
          <w:rFonts w:hint="eastAsia" w:ascii="宋体" w:hAnsi="宋体" w:eastAsia="宋体" w:cs="宋体"/>
          <w:color w:val="auto"/>
          <w:kern w:val="0"/>
          <w:sz w:val="24"/>
          <w:szCs w:val="24"/>
          <w:highlight w:val="none"/>
          <w:lang w:val="en-US" w:eastAsia="zh-CN" w:bidi="ar"/>
        </w:rPr>
        <w:t>工程名称：</w:t>
      </w:r>
    </w:p>
    <w:tbl>
      <w:tblPr>
        <w:tblStyle w:val="23"/>
        <w:tblW w:w="8746"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29"/>
        <w:gridCol w:w="3119"/>
        <w:gridCol w:w="2943"/>
        <w:gridCol w:w="1155"/>
      </w:tblGrid>
      <w:tr w14:paraId="241C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uto"/>
            <w:vAlign w:val="top"/>
          </w:tcPr>
          <w:p w14:paraId="63082790">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进度款期次</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top"/>
          </w:tcPr>
          <w:p w14:paraId="1AD38C5C">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形象进度</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top"/>
          </w:tcPr>
          <w:p w14:paraId="117DC531">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进度款付款金额（元）</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14:paraId="46BCBE5D">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备注</w:t>
            </w:r>
          </w:p>
        </w:tc>
      </w:tr>
      <w:tr w14:paraId="5559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uto"/>
            <w:vAlign w:val="top"/>
          </w:tcPr>
          <w:p w14:paraId="5F5559DF">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第一期</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top"/>
          </w:tcPr>
          <w:p w14:paraId="005B8885">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2943" w:type="dxa"/>
            <w:tcBorders>
              <w:top w:val="single" w:color="auto" w:sz="4" w:space="0"/>
              <w:left w:val="single" w:color="auto" w:sz="4" w:space="0"/>
              <w:bottom w:val="single" w:color="auto" w:sz="4" w:space="0"/>
              <w:right w:val="single" w:color="auto" w:sz="4" w:space="0"/>
            </w:tcBorders>
            <w:shd w:val="clear" w:color="auto" w:fill="auto"/>
            <w:vAlign w:val="top"/>
          </w:tcPr>
          <w:p w14:paraId="38E9DD84">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14:paraId="0E0F0250">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r>
      <w:tr w14:paraId="47A7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uto"/>
            <w:vAlign w:val="top"/>
          </w:tcPr>
          <w:p w14:paraId="5BB23A57">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第二期</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top"/>
          </w:tcPr>
          <w:p w14:paraId="6C94D09C">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2943" w:type="dxa"/>
            <w:tcBorders>
              <w:top w:val="single" w:color="auto" w:sz="4" w:space="0"/>
              <w:left w:val="single" w:color="auto" w:sz="4" w:space="0"/>
              <w:bottom w:val="single" w:color="auto" w:sz="4" w:space="0"/>
              <w:right w:val="single" w:color="auto" w:sz="4" w:space="0"/>
            </w:tcBorders>
            <w:shd w:val="clear" w:color="auto" w:fill="auto"/>
            <w:vAlign w:val="top"/>
          </w:tcPr>
          <w:p w14:paraId="0DEB038E">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14:paraId="114F8808">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r>
      <w:tr w14:paraId="5A80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uto"/>
            <w:vAlign w:val="top"/>
          </w:tcPr>
          <w:p w14:paraId="3BF7FC36">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第三期</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top"/>
          </w:tcPr>
          <w:p w14:paraId="36664EB7">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2943" w:type="dxa"/>
            <w:tcBorders>
              <w:top w:val="single" w:color="auto" w:sz="4" w:space="0"/>
              <w:left w:val="single" w:color="auto" w:sz="4" w:space="0"/>
              <w:bottom w:val="single" w:color="auto" w:sz="4" w:space="0"/>
              <w:right w:val="single" w:color="auto" w:sz="4" w:space="0"/>
            </w:tcBorders>
            <w:shd w:val="clear" w:color="auto" w:fill="auto"/>
            <w:vAlign w:val="top"/>
          </w:tcPr>
          <w:p w14:paraId="0E58C6CB">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14:paraId="241E6E02">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r>
      <w:tr w14:paraId="4B07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0" w:hRule="atLeast"/>
        </w:trPr>
        <w:tc>
          <w:tcPr>
            <w:tcW w:w="4648"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568071A">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发包人代表签字：</w:t>
            </w:r>
          </w:p>
          <w:p w14:paraId="10E00086">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p>
          <w:p w14:paraId="0F3B343C">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发包人（盖公章）</w:t>
            </w:r>
          </w:p>
          <w:p w14:paraId="56746398">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tc>
        <w:tc>
          <w:tcPr>
            <w:tcW w:w="4098"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8C131B3">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承包人代表签字：</w:t>
            </w:r>
          </w:p>
          <w:p w14:paraId="222040F7">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p>
          <w:p w14:paraId="277AE5C4">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承包人（盖公章）</w:t>
            </w:r>
          </w:p>
          <w:p w14:paraId="5597997C">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bl>
    <w:p w14:paraId="797F61C6">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kern w:val="0"/>
          <w:sz w:val="21"/>
          <w:szCs w:val="21"/>
          <w:highlight w:val="none"/>
          <w:u w:val="single"/>
          <w:lang w:val="en-US" w:eastAsia="zh-CN" w:bidi="ar"/>
        </w:rPr>
        <w:t xml:space="preserve"> </w:t>
      </w:r>
    </w:p>
    <w:p w14:paraId="5DF2C1D1">
      <w:pPr>
        <w:keepNext w:val="0"/>
        <w:keepLines w:val="0"/>
        <w:widowControl w:val="0"/>
        <w:suppressLineNumbers w:val="0"/>
        <w:shd w:val="clear"/>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64175EF0">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黑体" w:cs="黑体"/>
          <w:b/>
          <w:bCs/>
          <w:color w:val="auto"/>
          <w:sz w:val="28"/>
          <w:szCs w:val="28"/>
          <w:highlight w:val="none"/>
        </w:rPr>
      </w:pPr>
      <w:r>
        <w:rPr>
          <w:rFonts w:hint="eastAsia" w:ascii="Times New Roman" w:hAnsi="Times New Roman" w:eastAsia="黑体" w:cs="黑体"/>
          <w:b/>
          <w:bCs/>
          <w:color w:val="auto"/>
          <w:kern w:val="0"/>
          <w:sz w:val="28"/>
          <w:szCs w:val="28"/>
          <w:highlight w:val="none"/>
          <w:lang w:val="en-US" w:eastAsia="zh-CN" w:bidi="ar"/>
        </w:rPr>
        <w:t xml:space="preserve"> </w:t>
      </w:r>
    </w:p>
    <w:p w14:paraId="534CFE77">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黑体" w:cs="黑体"/>
          <w:b/>
          <w:bCs/>
          <w:color w:val="auto"/>
          <w:sz w:val="28"/>
          <w:szCs w:val="28"/>
          <w:highlight w:val="none"/>
        </w:rPr>
      </w:pPr>
      <w:r>
        <w:rPr>
          <w:rFonts w:hint="eastAsia" w:ascii="Times New Roman" w:hAnsi="Times New Roman" w:eastAsia="黑体" w:cs="黑体"/>
          <w:b/>
          <w:bCs/>
          <w:color w:val="auto"/>
          <w:kern w:val="0"/>
          <w:sz w:val="28"/>
          <w:szCs w:val="28"/>
          <w:highlight w:val="none"/>
          <w:lang w:val="en-US" w:eastAsia="zh-CN" w:bidi="ar"/>
        </w:rPr>
        <w:t xml:space="preserve"> </w:t>
      </w:r>
    </w:p>
    <w:p w14:paraId="780995FA">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12972DC6">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6ADCC8F4">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09C701F2">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425DC075">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3CBE1F44">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7BE52357">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04D96059">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61606EE9">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w:t>
      </w:r>
    </w:p>
    <w:p w14:paraId="3E3745FD">
      <w:pPr>
        <w:pStyle w:val="10"/>
        <w:shd w:val="clear"/>
        <w:rPr>
          <w:rFonts w:hint="eastAsia" w:ascii="宋体" w:hAnsi="宋体" w:eastAsia="宋体" w:cs="宋体"/>
          <w:color w:val="auto"/>
          <w:kern w:val="0"/>
          <w:sz w:val="21"/>
          <w:szCs w:val="21"/>
          <w:highlight w:val="none"/>
          <w:lang w:val="en-US" w:eastAsia="zh-CN" w:bidi="ar"/>
        </w:rPr>
      </w:pPr>
    </w:p>
    <w:p w14:paraId="445FE052">
      <w:pPr>
        <w:shd w:val="clear"/>
        <w:rPr>
          <w:rFonts w:hint="eastAsia" w:ascii="宋体" w:hAnsi="宋体" w:eastAsia="宋体" w:cs="宋体"/>
          <w:color w:val="auto"/>
          <w:kern w:val="0"/>
          <w:sz w:val="21"/>
          <w:szCs w:val="21"/>
          <w:highlight w:val="none"/>
          <w:lang w:val="en-US" w:eastAsia="zh-CN" w:bidi="ar"/>
        </w:rPr>
      </w:pPr>
    </w:p>
    <w:p w14:paraId="0AF0F895">
      <w:pPr>
        <w:pStyle w:val="10"/>
        <w:shd w:val="clear"/>
        <w:rPr>
          <w:rFonts w:hint="eastAsia" w:ascii="宋体" w:hAnsi="宋体" w:eastAsia="宋体" w:cs="宋体"/>
          <w:color w:val="auto"/>
          <w:kern w:val="0"/>
          <w:sz w:val="21"/>
          <w:szCs w:val="21"/>
          <w:highlight w:val="none"/>
          <w:lang w:val="en-US" w:eastAsia="zh-CN" w:bidi="ar"/>
        </w:rPr>
      </w:pPr>
    </w:p>
    <w:p w14:paraId="5A9194DD">
      <w:pPr>
        <w:shd w:val="clear"/>
        <w:rPr>
          <w:rFonts w:hint="eastAsia" w:ascii="宋体" w:hAnsi="宋体" w:eastAsia="宋体" w:cs="宋体"/>
          <w:color w:val="auto"/>
          <w:kern w:val="0"/>
          <w:sz w:val="21"/>
          <w:szCs w:val="21"/>
          <w:highlight w:val="none"/>
          <w:lang w:val="en-US" w:eastAsia="zh-CN" w:bidi="ar"/>
        </w:rPr>
      </w:pPr>
    </w:p>
    <w:p w14:paraId="10CC06F9">
      <w:pPr>
        <w:pStyle w:val="10"/>
        <w:shd w:val="clear"/>
        <w:rPr>
          <w:rFonts w:hint="eastAsia" w:ascii="宋体" w:hAnsi="宋体" w:eastAsia="宋体" w:cs="宋体"/>
          <w:color w:val="auto"/>
          <w:kern w:val="0"/>
          <w:sz w:val="21"/>
          <w:szCs w:val="21"/>
          <w:highlight w:val="none"/>
          <w:lang w:val="en-US" w:eastAsia="zh-CN" w:bidi="ar"/>
        </w:rPr>
      </w:pPr>
    </w:p>
    <w:p w14:paraId="0DBC6B22">
      <w:pPr>
        <w:shd w:val="clear"/>
        <w:rPr>
          <w:rFonts w:hint="eastAsia" w:ascii="宋体" w:hAnsi="宋体" w:eastAsia="宋体" w:cs="宋体"/>
          <w:color w:val="auto"/>
          <w:kern w:val="0"/>
          <w:sz w:val="21"/>
          <w:szCs w:val="21"/>
          <w:highlight w:val="none"/>
          <w:lang w:val="en-US" w:eastAsia="zh-CN" w:bidi="ar"/>
        </w:rPr>
      </w:pPr>
    </w:p>
    <w:p w14:paraId="51EE247E">
      <w:pPr>
        <w:pStyle w:val="10"/>
        <w:shd w:val="clear"/>
        <w:rPr>
          <w:rFonts w:hint="eastAsia" w:ascii="宋体" w:hAnsi="宋体" w:eastAsia="宋体" w:cs="宋体"/>
          <w:color w:val="auto"/>
          <w:kern w:val="0"/>
          <w:sz w:val="21"/>
          <w:szCs w:val="21"/>
          <w:highlight w:val="none"/>
          <w:lang w:val="en-US" w:eastAsia="zh-CN" w:bidi="ar"/>
        </w:rPr>
      </w:pPr>
    </w:p>
    <w:p w14:paraId="1544E7DB">
      <w:pPr>
        <w:shd w:val="clear"/>
        <w:rPr>
          <w:color w:val="auto"/>
          <w:highlight w:val="none"/>
        </w:rPr>
      </w:pPr>
    </w:p>
    <w:p w14:paraId="3E2060DB">
      <w:pPr>
        <w:shd w:val="clear"/>
        <w:rPr>
          <w:rFonts w:ascii="宋体" w:hAnsi="宋体"/>
          <w:color w:val="auto"/>
          <w:highlight w:val="none"/>
        </w:rPr>
      </w:pPr>
    </w:p>
    <w:p w14:paraId="2F9AB843">
      <w:pPr>
        <w:pStyle w:val="31"/>
        <w:shd w:val="clear"/>
        <w:spacing w:line="360" w:lineRule="auto"/>
        <w:jc w:val="center"/>
        <w:outlineLvl w:val="0"/>
        <w:rPr>
          <w:rFonts w:hint="eastAsia" w:eastAsia="宋体"/>
          <w:color w:val="auto"/>
          <w:szCs w:val="21"/>
          <w:highlight w:val="none"/>
          <w:lang w:eastAsia="zh-CN"/>
        </w:rPr>
      </w:pPr>
      <w:bookmarkStart w:id="1114" w:name="_Toc14935"/>
      <w:r>
        <w:rPr>
          <w:rFonts w:ascii="宋体" w:hAnsi="宋体"/>
          <w:b/>
          <w:color w:val="auto"/>
          <w:sz w:val="32"/>
          <w:szCs w:val="32"/>
          <w:highlight w:val="none"/>
        </w:rPr>
        <w:t xml:space="preserve">第六章   </w:t>
      </w:r>
      <w:bookmarkEnd w:id="1114"/>
      <w:r>
        <w:rPr>
          <w:rFonts w:hint="eastAsia" w:ascii="宋体" w:hAnsi="宋体"/>
          <w:b/>
          <w:color w:val="auto"/>
          <w:sz w:val="32"/>
          <w:szCs w:val="32"/>
          <w:highlight w:val="none"/>
          <w:lang w:eastAsia="zh-CN"/>
        </w:rPr>
        <w:t>评分办法和标准</w:t>
      </w:r>
    </w:p>
    <w:p w14:paraId="4296D8EA">
      <w:pPr>
        <w:pStyle w:val="31"/>
        <w:shd w:val="clear"/>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501286B3">
      <w:pPr>
        <w:pStyle w:val="13"/>
        <w:shd w:val="clear"/>
        <w:spacing w:line="520" w:lineRule="exact"/>
        <w:rPr>
          <w:rFonts w:hint="eastAsia" w:cs="宋体"/>
          <w:b/>
          <w:color w:val="auto"/>
          <w:sz w:val="21"/>
          <w:szCs w:val="21"/>
          <w:highlight w:val="none"/>
        </w:rPr>
      </w:pPr>
      <w:r>
        <w:rPr>
          <w:rFonts w:hint="eastAsia" w:cs="宋体"/>
          <w:bCs/>
          <w:color w:val="auto"/>
          <w:sz w:val="21"/>
          <w:szCs w:val="21"/>
          <w:highlight w:val="none"/>
        </w:rPr>
        <w:t>（一）磋商小组的构成：</w:t>
      </w:r>
      <w:r>
        <w:rPr>
          <w:rFonts w:hint="eastAsia" w:ascii="宋体" w:hAnsi="宋体" w:cs="宋体"/>
          <w:color w:val="auto"/>
          <w:spacing w:val="-4"/>
          <w:sz w:val="21"/>
          <w:szCs w:val="21"/>
          <w:highlight w:val="none"/>
        </w:rPr>
        <w:t>本项目的磋商小组依法由采购人代表及采购招投标专家库中随机抽取的评审专家组成，成员总数为</w:t>
      </w:r>
      <w:r>
        <w:rPr>
          <w:rFonts w:ascii="宋体" w:hAnsi="宋体" w:cs="宋体"/>
          <w:color w:val="auto"/>
          <w:spacing w:val="-4"/>
          <w:sz w:val="21"/>
          <w:szCs w:val="21"/>
          <w:highlight w:val="none"/>
        </w:rPr>
        <w:t>3</w:t>
      </w:r>
      <w:r>
        <w:rPr>
          <w:rFonts w:hint="eastAsia" w:ascii="宋体" w:hAnsi="宋体" w:cs="宋体"/>
          <w:color w:val="auto"/>
          <w:spacing w:val="-4"/>
          <w:sz w:val="21"/>
          <w:szCs w:val="21"/>
          <w:highlight w:val="none"/>
        </w:rPr>
        <w:t>人</w:t>
      </w:r>
      <w:r>
        <w:rPr>
          <w:rFonts w:hint="eastAsia" w:cs="宋体"/>
          <w:bCs/>
          <w:color w:val="auto"/>
          <w:sz w:val="21"/>
          <w:szCs w:val="21"/>
          <w:highlight w:val="none"/>
        </w:rPr>
        <w:t>。</w:t>
      </w:r>
    </w:p>
    <w:p w14:paraId="787F181F">
      <w:pPr>
        <w:pStyle w:val="13"/>
        <w:shd w:val="clear"/>
        <w:spacing w:line="520" w:lineRule="exact"/>
        <w:rPr>
          <w:rFonts w:hint="eastAsia" w:eastAsia="宋体" w:cs="宋体"/>
          <w:bCs/>
          <w:color w:val="auto"/>
          <w:sz w:val="21"/>
          <w:szCs w:val="21"/>
          <w:highlight w:val="none"/>
          <w:lang w:eastAsia="zh-CN"/>
        </w:rPr>
      </w:pPr>
      <w:r>
        <w:rPr>
          <w:rFonts w:hint="eastAsia" w:cs="宋体"/>
          <w:bCs/>
          <w:color w:val="auto"/>
          <w:sz w:val="21"/>
          <w:szCs w:val="21"/>
          <w:highlight w:val="none"/>
        </w:rPr>
        <w:t>（二）评标依据：磋商小组将以磋商文件、磋商响应文件为评标依据，对响应供应商的报价、技术</w:t>
      </w:r>
      <w:r>
        <w:rPr>
          <w:rFonts w:hint="eastAsia" w:cs="宋体"/>
          <w:bCs/>
          <w:color w:val="auto"/>
          <w:sz w:val="21"/>
          <w:szCs w:val="21"/>
          <w:highlight w:val="none"/>
          <w:lang w:eastAsia="zh-CN"/>
        </w:rPr>
        <w:t>标、</w:t>
      </w:r>
      <w:r>
        <w:rPr>
          <w:rFonts w:hint="eastAsia" w:cs="宋体"/>
          <w:bCs/>
          <w:color w:val="auto"/>
          <w:sz w:val="21"/>
          <w:szCs w:val="21"/>
          <w:highlight w:val="none"/>
        </w:rPr>
        <w:t>企业信誉等方面内容</w:t>
      </w:r>
      <w:r>
        <w:rPr>
          <w:rFonts w:hint="eastAsia" w:cs="宋体"/>
          <w:bCs/>
          <w:color w:val="auto"/>
          <w:sz w:val="21"/>
          <w:szCs w:val="21"/>
          <w:highlight w:val="none"/>
          <w:lang w:eastAsia="zh-CN"/>
        </w:rPr>
        <w:t>进行</w:t>
      </w:r>
      <w:r>
        <w:rPr>
          <w:rFonts w:hint="eastAsia" w:cs="宋体"/>
          <w:bCs/>
          <w:color w:val="auto"/>
          <w:sz w:val="21"/>
          <w:szCs w:val="21"/>
          <w:highlight w:val="none"/>
        </w:rPr>
        <w:t>打分</w:t>
      </w:r>
      <w:r>
        <w:rPr>
          <w:rFonts w:hint="eastAsia" w:cs="宋体"/>
          <w:bCs/>
          <w:color w:val="auto"/>
          <w:sz w:val="21"/>
          <w:szCs w:val="21"/>
          <w:highlight w:val="none"/>
          <w:lang w:eastAsia="zh-CN"/>
        </w:rPr>
        <w:t>。</w:t>
      </w:r>
    </w:p>
    <w:p w14:paraId="4014E07C">
      <w:pPr>
        <w:pStyle w:val="13"/>
        <w:shd w:val="clear"/>
        <w:spacing w:line="520" w:lineRule="exact"/>
        <w:rPr>
          <w:rFonts w:hint="eastAsia" w:cs="宋体"/>
          <w:bCs/>
          <w:color w:val="auto"/>
          <w:sz w:val="21"/>
          <w:szCs w:val="21"/>
          <w:highlight w:val="none"/>
        </w:rPr>
      </w:pPr>
      <w:r>
        <w:rPr>
          <w:rFonts w:hint="eastAsia" w:cs="宋体"/>
          <w:bCs/>
          <w:color w:val="auto"/>
          <w:sz w:val="21"/>
          <w:szCs w:val="21"/>
          <w:highlight w:val="none"/>
        </w:rPr>
        <w:t>（三）评标方式：以封闭方式进行。</w:t>
      </w:r>
    </w:p>
    <w:p w14:paraId="228022BF">
      <w:pPr>
        <w:pStyle w:val="13"/>
        <w:shd w:val="clear"/>
        <w:spacing w:line="520" w:lineRule="exact"/>
        <w:contextualSpacing/>
        <w:rPr>
          <w:rFonts w:hint="eastAsia" w:cs="宋体"/>
          <w:bCs/>
          <w:color w:val="auto"/>
          <w:sz w:val="21"/>
          <w:szCs w:val="21"/>
          <w:highlight w:val="none"/>
        </w:rPr>
      </w:pPr>
      <w:r>
        <w:rPr>
          <w:rFonts w:hint="eastAsia" w:cs="宋体"/>
          <w:b/>
          <w:color w:val="auto"/>
          <w:sz w:val="21"/>
          <w:szCs w:val="21"/>
          <w:highlight w:val="none"/>
        </w:rPr>
        <w:t>二、评分标准</w:t>
      </w:r>
    </w:p>
    <w:p w14:paraId="70A96803">
      <w:pPr>
        <w:shd w:val="clear"/>
        <w:spacing w:line="360" w:lineRule="auto"/>
        <w:ind w:firstLine="420" w:firstLineChars="200"/>
        <w:rPr>
          <w:rFonts w:ascii="宋体" w:hAnsi="宋体"/>
          <w:bCs/>
          <w:color w:val="auto"/>
          <w:sz w:val="21"/>
          <w:szCs w:val="21"/>
          <w:highlight w:val="none"/>
        </w:rPr>
      </w:pPr>
      <w:r>
        <w:rPr>
          <w:rFonts w:hint="eastAsia" w:cs="宋体"/>
          <w:bCs/>
          <w:color w:val="auto"/>
          <w:sz w:val="21"/>
          <w:szCs w:val="21"/>
          <w:highlight w:val="none"/>
        </w:rPr>
        <w:t>（一）</w:t>
      </w: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42CB1415">
      <w:pPr>
        <w:pStyle w:val="13"/>
        <w:shd w:val="clear"/>
        <w:spacing w:line="520" w:lineRule="exact"/>
        <w:ind w:firstLine="420" w:firstLineChars="200"/>
        <w:contextualSpacing/>
        <w:rPr>
          <w:rFonts w:hint="eastAsia" w:eastAsia="宋体" w:cs="宋体"/>
          <w:bCs/>
          <w:color w:val="auto"/>
          <w:sz w:val="21"/>
          <w:szCs w:val="21"/>
          <w:highlight w:val="none"/>
          <w:lang w:eastAsia="zh-CN"/>
        </w:rPr>
      </w:pPr>
      <w:r>
        <w:rPr>
          <w:rFonts w:hint="eastAsia" w:cs="宋体"/>
          <w:bCs/>
          <w:color w:val="auto"/>
          <w:sz w:val="21"/>
          <w:szCs w:val="21"/>
          <w:highlight w:val="none"/>
        </w:rPr>
        <w:t>（二）</w:t>
      </w: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r>
        <w:rPr>
          <w:rFonts w:hint="eastAsia"/>
          <w:bCs/>
          <w:color w:val="auto"/>
          <w:sz w:val="21"/>
          <w:szCs w:val="21"/>
          <w:highlight w:val="none"/>
          <w:lang w:eastAsia="zh-CN"/>
        </w:rPr>
        <w:t>。</w:t>
      </w:r>
    </w:p>
    <w:p w14:paraId="4642387F">
      <w:pPr>
        <w:pStyle w:val="31"/>
        <w:shd w:val="clear"/>
        <w:spacing w:line="520" w:lineRule="exact"/>
        <w:jc w:val="left"/>
        <w:rPr>
          <w:rFonts w:hint="eastAsia" w:ascii="宋体" w:hAnsi="宋体" w:cs="宋体"/>
          <w:b/>
          <w:color w:val="auto"/>
          <w:sz w:val="21"/>
          <w:szCs w:val="21"/>
          <w:highlight w:val="none"/>
        </w:rPr>
      </w:pPr>
      <w:bookmarkStart w:id="1115" w:name="_Toc419886414"/>
      <w:r>
        <w:rPr>
          <w:rFonts w:hint="eastAsia" w:ascii="宋体" w:hAnsi="宋体" w:cs="宋体"/>
          <w:b/>
          <w:color w:val="auto"/>
          <w:sz w:val="21"/>
          <w:szCs w:val="21"/>
          <w:highlight w:val="none"/>
        </w:rPr>
        <w:t>三、评定方法</w:t>
      </w:r>
      <w:bookmarkEnd w:id="1115"/>
      <w:r>
        <w:rPr>
          <w:rFonts w:hint="eastAsia" w:ascii="宋体" w:hAnsi="宋体" w:cs="宋体"/>
          <w:b/>
          <w:color w:val="auto"/>
          <w:sz w:val="21"/>
          <w:szCs w:val="21"/>
          <w:highlight w:val="none"/>
        </w:rPr>
        <w:t>（总分=1+2）</w:t>
      </w:r>
    </w:p>
    <w:tbl>
      <w:tblPr>
        <w:tblStyle w:val="23"/>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773"/>
        <w:gridCol w:w="5640"/>
      </w:tblGrid>
      <w:tr w14:paraId="0ABE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697CD08A">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jc w:val="center"/>
              <w:rPr>
                <w:rFonts w:hint="default"/>
                <w:b/>
                <w:bCs/>
                <w:color w:val="auto"/>
                <w:sz w:val="21"/>
                <w:szCs w:val="21"/>
                <w:highlight w:val="none"/>
              </w:rPr>
            </w:pPr>
            <w:r>
              <w:rPr>
                <w:rFonts w:hint="default"/>
                <w:b/>
                <w:bCs/>
                <w:color w:val="auto"/>
                <w:sz w:val="21"/>
                <w:szCs w:val="21"/>
                <w:highlight w:val="none"/>
              </w:rPr>
              <w:t>分值构成</w:t>
            </w:r>
          </w:p>
        </w:tc>
        <w:tc>
          <w:tcPr>
            <w:tcW w:w="1773" w:type="dxa"/>
            <w:vAlign w:val="center"/>
          </w:tcPr>
          <w:p w14:paraId="1F4B4DAF">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rPr>
                <w:rFonts w:hint="default"/>
                <w:color w:val="auto"/>
                <w:sz w:val="21"/>
                <w:szCs w:val="21"/>
                <w:highlight w:val="none"/>
              </w:rPr>
            </w:pPr>
            <w:r>
              <w:rPr>
                <w:rFonts w:hint="default"/>
                <w:color w:val="auto"/>
                <w:sz w:val="21"/>
                <w:szCs w:val="21"/>
                <w:highlight w:val="none"/>
              </w:rPr>
              <w:t>分值构成（总分100分）</w:t>
            </w:r>
          </w:p>
        </w:tc>
        <w:tc>
          <w:tcPr>
            <w:tcW w:w="5640" w:type="dxa"/>
            <w:vAlign w:val="top"/>
          </w:tcPr>
          <w:p w14:paraId="1E585B0A">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rPr>
                <w:rFonts w:hint="default" w:eastAsia="宋体"/>
                <w:color w:val="auto"/>
                <w:sz w:val="21"/>
                <w:szCs w:val="21"/>
                <w:highlight w:val="none"/>
                <w:lang w:val="en-US" w:eastAsia="zh-CN"/>
              </w:rPr>
            </w:pPr>
            <w:r>
              <w:rPr>
                <w:rFonts w:hint="eastAsia"/>
                <w:color w:val="auto"/>
                <w:sz w:val="21"/>
                <w:szCs w:val="21"/>
                <w:highlight w:val="none"/>
                <w:lang w:eastAsia="zh-CN"/>
              </w:rPr>
              <w:t>施工组织设计</w:t>
            </w:r>
            <w:r>
              <w:rPr>
                <w:rFonts w:hint="default"/>
                <w:color w:val="auto"/>
                <w:sz w:val="21"/>
                <w:szCs w:val="21"/>
                <w:highlight w:val="none"/>
              </w:rPr>
              <w:t>：</w:t>
            </w:r>
            <w:r>
              <w:rPr>
                <w:rFonts w:hint="eastAsia"/>
                <w:color w:val="auto"/>
                <w:sz w:val="21"/>
                <w:szCs w:val="21"/>
                <w:highlight w:val="none"/>
                <w:lang w:val="en-US" w:eastAsia="zh-CN"/>
              </w:rPr>
              <w:t>70</w:t>
            </w:r>
            <w:r>
              <w:rPr>
                <w:rFonts w:hint="default"/>
                <w:color w:val="auto"/>
                <w:sz w:val="21"/>
                <w:szCs w:val="21"/>
                <w:highlight w:val="none"/>
              </w:rPr>
              <w:t>分</w:t>
            </w:r>
            <w:r>
              <w:rPr>
                <w:rFonts w:hint="eastAsia"/>
                <w:color w:val="auto"/>
                <w:sz w:val="21"/>
                <w:szCs w:val="21"/>
                <w:highlight w:val="none"/>
              </w:rPr>
              <w:t>；</w:t>
            </w:r>
            <w:r>
              <w:rPr>
                <w:rFonts w:hint="eastAsia"/>
                <w:color w:val="auto"/>
                <w:sz w:val="21"/>
                <w:szCs w:val="21"/>
                <w:highlight w:val="none"/>
                <w:lang w:eastAsia="zh-CN"/>
              </w:rPr>
              <w:t>报价得分</w:t>
            </w:r>
            <w:r>
              <w:rPr>
                <w:rFonts w:hint="default"/>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0</w:t>
            </w:r>
            <w:r>
              <w:rPr>
                <w:rFonts w:hint="default"/>
                <w:color w:val="auto"/>
                <w:sz w:val="21"/>
                <w:szCs w:val="21"/>
                <w:highlight w:val="none"/>
              </w:rPr>
              <w:t>分</w:t>
            </w:r>
          </w:p>
        </w:tc>
      </w:tr>
      <w:tr w14:paraId="3633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50" w:type="dxa"/>
            <w:gridSpan w:val="3"/>
            <w:vAlign w:val="center"/>
          </w:tcPr>
          <w:p w14:paraId="7B7E151C">
            <w:pPr>
              <w:keepNext w:val="0"/>
              <w:keepLines w:val="0"/>
              <w:suppressLineNumbers w:val="0"/>
              <w:spacing w:before="0" w:beforeAutospacing="0" w:after="0" w:afterAutospacing="0" w:line="360" w:lineRule="auto"/>
              <w:ind w:left="0" w:right="0"/>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施工组织设计（满分</w:t>
            </w:r>
            <w:r>
              <w:rPr>
                <w:rFonts w:hint="eastAsia"/>
                <w:color w:val="auto"/>
                <w:sz w:val="21"/>
                <w:szCs w:val="21"/>
                <w:highlight w:val="none"/>
                <w:lang w:val="en-US" w:eastAsia="zh-CN"/>
              </w:rPr>
              <w:t>70分</w:t>
            </w:r>
            <w:r>
              <w:rPr>
                <w:rFonts w:hint="eastAsia"/>
                <w:color w:val="auto"/>
                <w:sz w:val="21"/>
                <w:szCs w:val="21"/>
                <w:highlight w:val="none"/>
                <w:lang w:eastAsia="zh-CN"/>
              </w:rPr>
              <w:t>）</w:t>
            </w:r>
          </w:p>
        </w:tc>
      </w:tr>
      <w:tr w14:paraId="2C98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1DF52A61">
            <w:pPr>
              <w:keepNext w:val="0"/>
              <w:keepLines w:val="0"/>
              <w:suppressLineNumbers w:val="0"/>
              <w:spacing w:before="0" w:beforeAutospacing="0" w:after="0" w:afterAutospacing="0" w:line="360" w:lineRule="auto"/>
              <w:ind w:left="0" w:right="0"/>
              <w:jc w:val="center"/>
              <w:rPr>
                <w:rFonts w:hint="eastAsia" w:eastAsia="宋体" w:cs="宋体"/>
                <w:b/>
                <w:bCs/>
                <w:color w:val="auto"/>
                <w:kern w:val="0"/>
                <w:sz w:val="21"/>
                <w:szCs w:val="21"/>
                <w:highlight w:val="none"/>
                <w:lang w:eastAsia="zh-CN"/>
              </w:rPr>
            </w:pPr>
            <w:r>
              <w:rPr>
                <w:rFonts w:hint="eastAsia" w:cs="宋体"/>
                <w:b/>
                <w:bCs/>
                <w:color w:val="auto"/>
                <w:kern w:val="0"/>
                <w:sz w:val="21"/>
                <w:szCs w:val="21"/>
                <w:highlight w:val="none"/>
                <w:lang w:eastAsia="zh-CN"/>
              </w:rPr>
              <w:t>评分项</w:t>
            </w:r>
          </w:p>
        </w:tc>
        <w:tc>
          <w:tcPr>
            <w:tcW w:w="7413" w:type="dxa"/>
            <w:gridSpan w:val="2"/>
            <w:vAlign w:val="center"/>
          </w:tcPr>
          <w:p w14:paraId="41326CD6">
            <w:pPr>
              <w:keepNext w:val="0"/>
              <w:keepLines w:val="0"/>
              <w:suppressLineNumbers w:val="0"/>
              <w:spacing w:before="0" w:beforeAutospacing="0" w:after="0" w:afterAutospacing="0" w:line="360" w:lineRule="auto"/>
              <w:ind w:left="0" w:right="0"/>
              <w:jc w:val="center"/>
              <w:rPr>
                <w:rFonts w:hint="eastAsia"/>
                <w:b/>
                <w:bCs/>
                <w:color w:val="auto"/>
                <w:sz w:val="21"/>
                <w:szCs w:val="21"/>
                <w:highlight w:val="none"/>
                <w:lang w:eastAsia="zh-CN"/>
              </w:rPr>
            </w:pPr>
            <w:r>
              <w:rPr>
                <w:rFonts w:hint="eastAsia"/>
                <w:b/>
                <w:bCs/>
                <w:color w:val="auto"/>
                <w:sz w:val="21"/>
                <w:szCs w:val="21"/>
                <w:highlight w:val="none"/>
                <w:lang w:eastAsia="zh-CN"/>
              </w:rPr>
              <w:t>评分内容和标准</w:t>
            </w:r>
          </w:p>
        </w:tc>
      </w:tr>
      <w:tr w14:paraId="2368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65EA62AF">
            <w:pPr>
              <w:keepNext w:val="0"/>
              <w:keepLines w:val="0"/>
              <w:suppressLineNumbers w:val="0"/>
              <w:spacing w:before="0" w:beforeAutospacing="0" w:after="0" w:afterAutospacing="0" w:line="360" w:lineRule="auto"/>
              <w:ind w:left="0" w:right="0"/>
              <w:rPr>
                <w:rFonts w:hint="eastAsia" w:eastAsia="宋体"/>
                <w:color w:val="auto"/>
                <w:sz w:val="21"/>
                <w:szCs w:val="21"/>
                <w:highlight w:val="none"/>
                <w:lang w:eastAsia="zh-CN"/>
              </w:rPr>
            </w:pPr>
            <w:r>
              <w:rPr>
                <w:rFonts w:hint="eastAsia" w:cs="宋体"/>
                <w:color w:val="auto"/>
                <w:kern w:val="0"/>
                <w:sz w:val="21"/>
                <w:szCs w:val="21"/>
                <w:highlight w:val="none"/>
              </w:rPr>
              <w:t>主要施工方法（</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3F6E32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评审专家自行对主要施工方法、技术实施方案、施工工艺是否有针对性、齐全、合理进行独立打分。</w:t>
            </w:r>
          </w:p>
          <w:p w14:paraId="0E0E42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default"/>
                <w:color w:val="auto"/>
                <w:sz w:val="21"/>
                <w:szCs w:val="21"/>
                <w:highlight w:val="none"/>
              </w:rPr>
              <w:t>优（</w:t>
            </w:r>
            <w:r>
              <w:rPr>
                <w:rFonts w:hint="eastAsia"/>
                <w:color w:val="auto"/>
                <w:sz w:val="21"/>
                <w:szCs w:val="21"/>
                <w:highlight w:val="none"/>
                <w:lang w:val="en-US" w:eastAsia="zh-CN"/>
              </w:rPr>
              <w:t>8</w:t>
            </w:r>
            <w:r>
              <w:rPr>
                <w:rFonts w:hint="default"/>
                <w:color w:val="auto"/>
                <w:sz w:val="21"/>
                <w:szCs w:val="21"/>
                <w:highlight w:val="none"/>
              </w:rPr>
              <w:t>分）：各主要分部施工方法针对性强，施工技术方案详尽周密</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包括编制依据、原则、范围、工程概况、总体布置、施工方法、应急救援预案、季节性施工保证措施及与甲方、监理、设计间的协调等内容</w:t>
            </w:r>
            <w:r>
              <w:rPr>
                <w:rFonts w:hint="eastAsia"/>
                <w:color w:val="auto"/>
                <w:sz w:val="21"/>
                <w:szCs w:val="21"/>
                <w:highlight w:val="none"/>
                <w:lang w:eastAsia="zh-CN"/>
              </w:rPr>
              <w:t>）</w:t>
            </w:r>
            <w:r>
              <w:rPr>
                <w:rFonts w:hint="default"/>
                <w:color w:val="auto"/>
                <w:sz w:val="21"/>
                <w:szCs w:val="21"/>
                <w:highlight w:val="none"/>
              </w:rPr>
              <w:t>，</w:t>
            </w:r>
            <w:r>
              <w:rPr>
                <w:rFonts w:hint="eastAsia"/>
                <w:color w:val="auto"/>
                <w:sz w:val="21"/>
                <w:szCs w:val="21"/>
                <w:highlight w:val="none"/>
                <w:lang w:val="en-US" w:eastAsia="zh-CN"/>
              </w:rPr>
              <w:t>拟投入的</w:t>
            </w:r>
            <w:r>
              <w:rPr>
                <w:rFonts w:hint="default"/>
                <w:color w:val="auto"/>
                <w:sz w:val="21"/>
                <w:szCs w:val="21"/>
                <w:highlight w:val="none"/>
              </w:rPr>
              <w:t>工艺先进、</w:t>
            </w:r>
            <w:r>
              <w:rPr>
                <w:rFonts w:hint="eastAsia"/>
                <w:color w:val="auto"/>
                <w:sz w:val="21"/>
                <w:szCs w:val="21"/>
                <w:highlight w:val="none"/>
                <w:lang w:val="en-US" w:eastAsia="zh-CN"/>
              </w:rPr>
              <w:t>施工</w:t>
            </w:r>
            <w:r>
              <w:rPr>
                <w:rFonts w:hint="default"/>
                <w:color w:val="auto"/>
                <w:sz w:val="21"/>
                <w:szCs w:val="21"/>
                <w:highlight w:val="none"/>
              </w:rPr>
              <w:t>方法科学、可行</w:t>
            </w:r>
            <w:r>
              <w:rPr>
                <w:rFonts w:hint="eastAsia"/>
                <w:color w:val="auto"/>
                <w:sz w:val="21"/>
                <w:szCs w:val="21"/>
                <w:highlight w:val="none"/>
                <w:lang w:val="en-US" w:eastAsia="zh-CN"/>
              </w:rPr>
              <w:t>，</w:t>
            </w:r>
            <w:r>
              <w:rPr>
                <w:rFonts w:hint="default"/>
                <w:color w:val="auto"/>
                <w:sz w:val="21"/>
                <w:szCs w:val="21"/>
                <w:highlight w:val="none"/>
              </w:rPr>
              <w:t>能很好的指导具体施工合确保安全</w:t>
            </w:r>
            <w:r>
              <w:rPr>
                <w:rFonts w:hint="eastAsia"/>
                <w:color w:val="auto"/>
                <w:sz w:val="21"/>
                <w:szCs w:val="21"/>
                <w:highlight w:val="none"/>
                <w:lang w:eastAsia="zh-CN"/>
              </w:rPr>
              <w:t>，</w:t>
            </w:r>
            <w:r>
              <w:rPr>
                <w:rFonts w:hint="eastAsia"/>
                <w:color w:val="auto"/>
                <w:sz w:val="21"/>
                <w:szCs w:val="21"/>
                <w:highlight w:val="none"/>
                <w:lang w:val="en-US" w:eastAsia="zh-CN"/>
              </w:rPr>
              <w:t>进行科学管理施工现场</w:t>
            </w:r>
            <w:r>
              <w:rPr>
                <w:rFonts w:hint="default"/>
                <w:color w:val="auto"/>
                <w:sz w:val="21"/>
                <w:szCs w:val="21"/>
                <w:highlight w:val="none"/>
              </w:rPr>
              <w:t>。</w:t>
            </w:r>
          </w:p>
          <w:p w14:paraId="128193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：各主要分部施工方法符合项目实际，施工技术方案齐全</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包括编制依据、原则、范围、工程概况、总体布置、施工方法、及与甲方、监理、设计间的协调等内容</w:t>
            </w:r>
            <w:r>
              <w:rPr>
                <w:rFonts w:hint="eastAsia"/>
                <w:color w:val="auto"/>
                <w:sz w:val="21"/>
                <w:szCs w:val="21"/>
                <w:highlight w:val="none"/>
                <w:lang w:eastAsia="zh-CN"/>
              </w:rPr>
              <w:t>）</w:t>
            </w:r>
            <w:r>
              <w:rPr>
                <w:rFonts w:hint="default"/>
                <w:color w:val="auto"/>
                <w:sz w:val="21"/>
                <w:szCs w:val="21"/>
                <w:highlight w:val="none"/>
              </w:rPr>
              <w:t>，</w:t>
            </w:r>
            <w:r>
              <w:rPr>
                <w:rFonts w:hint="eastAsia"/>
                <w:color w:val="auto"/>
                <w:sz w:val="21"/>
                <w:szCs w:val="21"/>
                <w:highlight w:val="none"/>
                <w:lang w:val="en-US" w:eastAsia="zh-CN"/>
              </w:rPr>
              <w:t>拟投入的</w:t>
            </w:r>
            <w:r>
              <w:rPr>
                <w:rFonts w:hint="default"/>
                <w:color w:val="auto"/>
                <w:sz w:val="21"/>
                <w:szCs w:val="21"/>
                <w:highlight w:val="none"/>
              </w:rPr>
              <w:t>工艺成熟、</w:t>
            </w:r>
            <w:r>
              <w:rPr>
                <w:rFonts w:hint="eastAsia"/>
                <w:color w:val="auto"/>
                <w:sz w:val="21"/>
                <w:szCs w:val="21"/>
                <w:highlight w:val="none"/>
                <w:lang w:val="en-US" w:eastAsia="zh-CN"/>
              </w:rPr>
              <w:t>施工</w:t>
            </w:r>
            <w:r>
              <w:rPr>
                <w:rFonts w:hint="default"/>
                <w:color w:val="auto"/>
                <w:sz w:val="21"/>
                <w:szCs w:val="21"/>
                <w:highlight w:val="none"/>
              </w:rPr>
              <w:t>方法合理、可行，能指导具体施工并确保安全。</w:t>
            </w:r>
          </w:p>
          <w:p w14:paraId="27F058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中（4分）</w:t>
            </w:r>
            <w:r>
              <w:rPr>
                <w:rFonts w:hint="default"/>
                <w:color w:val="auto"/>
                <w:sz w:val="21"/>
                <w:szCs w:val="21"/>
                <w:highlight w:val="none"/>
              </w:rPr>
              <w:t>：各主要分部施工方法基本符合项目实际，施工技术方案基本齐全</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包括编制依据、原则、范围、工程概况、总体布置、施工方法、等内容</w:t>
            </w:r>
            <w:r>
              <w:rPr>
                <w:rFonts w:hint="eastAsia"/>
                <w:color w:val="auto"/>
                <w:sz w:val="21"/>
                <w:szCs w:val="21"/>
                <w:highlight w:val="none"/>
                <w:lang w:eastAsia="zh-CN"/>
              </w:rPr>
              <w:t>）</w:t>
            </w:r>
            <w:r>
              <w:rPr>
                <w:rFonts w:hint="default"/>
                <w:color w:val="auto"/>
                <w:sz w:val="21"/>
                <w:szCs w:val="21"/>
                <w:highlight w:val="none"/>
              </w:rPr>
              <w:t xml:space="preserve">，方法基本合理、基本可行，基本能指导具体施 工并确保安全。 </w:t>
            </w:r>
          </w:p>
          <w:p w14:paraId="2D5378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：各主要分部施工方法针对性差，施工技术方案差</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包括编制依据、原则、范围、工程概况、总体布置、施工方法、等内容</w:t>
            </w:r>
            <w:r>
              <w:rPr>
                <w:rFonts w:hint="eastAsia"/>
                <w:color w:val="auto"/>
                <w:sz w:val="21"/>
                <w:szCs w:val="21"/>
                <w:highlight w:val="none"/>
                <w:lang w:eastAsia="zh-CN"/>
              </w:rPr>
              <w:t>）</w:t>
            </w:r>
            <w:r>
              <w:rPr>
                <w:rFonts w:hint="default"/>
                <w:color w:val="auto"/>
                <w:sz w:val="21"/>
                <w:szCs w:val="21"/>
                <w:highlight w:val="none"/>
              </w:rPr>
              <w:t xml:space="preserve">， </w:t>
            </w:r>
            <w:r>
              <w:rPr>
                <w:rFonts w:hint="eastAsia"/>
                <w:color w:val="auto"/>
                <w:sz w:val="21"/>
                <w:szCs w:val="21"/>
                <w:highlight w:val="none"/>
                <w:lang w:val="en-US" w:eastAsia="zh-CN"/>
              </w:rPr>
              <w:t>施工</w:t>
            </w:r>
            <w:r>
              <w:rPr>
                <w:rFonts w:hint="default"/>
                <w:color w:val="auto"/>
                <w:sz w:val="21"/>
                <w:szCs w:val="21"/>
                <w:highlight w:val="none"/>
              </w:rPr>
              <w:t>工艺落后、方法不合理，</w:t>
            </w:r>
            <w:r>
              <w:rPr>
                <w:rFonts w:hint="eastAsia"/>
                <w:color w:val="auto"/>
                <w:sz w:val="21"/>
                <w:szCs w:val="21"/>
                <w:highlight w:val="none"/>
                <w:lang w:val="en-US" w:eastAsia="zh-CN"/>
              </w:rPr>
              <w:t>不能</w:t>
            </w:r>
            <w:r>
              <w:rPr>
                <w:rFonts w:hint="default"/>
                <w:color w:val="auto"/>
                <w:sz w:val="21"/>
                <w:szCs w:val="21"/>
                <w:highlight w:val="none"/>
              </w:rPr>
              <w:t>指导具体施工和确保安全。</w:t>
            </w:r>
          </w:p>
        </w:tc>
      </w:tr>
      <w:tr w14:paraId="2A1F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4B425823">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拟投入的主要物资计划（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120BDC3D">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评审专家自行对物资投入计划是否周密、准确、完整性等各方面进行独立打分。</w:t>
            </w:r>
          </w:p>
          <w:p w14:paraId="6C920638">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优（8分）</w:t>
            </w:r>
            <w:r>
              <w:rPr>
                <w:rFonts w:hint="default"/>
                <w:color w:val="auto"/>
                <w:sz w:val="21"/>
                <w:szCs w:val="21"/>
                <w:highlight w:val="none"/>
              </w:rPr>
              <w:t>：投入的施工材料有详细的组织计划且计划周密，投入计划与进度计划呼应，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施工材料进场前3天进行检查复核并进行最终的检测合格，</w:t>
            </w:r>
            <w:r>
              <w:rPr>
                <w:rFonts w:hint="eastAsia"/>
                <w:color w:val="auto"/>
                <w:sz w:val="21"/>
                <w:szCs w:val="21"/>
                <w:highlight w:val="none"/>
                <w:lang w:eastAsia="zh-CN"/>
              </w:rPr>
              <w:t>完全</w:t>
            </w:r>
            <w:r>
              <w:rPr>
                <w:rFonts w:hint="default"/>
                <w:color w:val="auto"/>
                <w:sz w:val="21"/>
                <w:szCs w:val="21"/>
                <w:highlight w:val="none"/>
              </w:rPr>
              <w:t>满足施工需要，调配投入计划合理、准确</w:t>
            </w:r>
            <w:r>
              <w:rPr>
                <w:rFonts w:hint="eastAsia"/>
                <w:color w:val="auto"/>
                <w:sz w:val="21"/>
                <w:szCs w:val="21"/>
                <w:highlight w:val="none"/>
                <w:lang w:eastAsia="zh-CN"/>
              </w:rPr>
              <w:t>、完整，</w:t>
            </w:r>
            <w:r>
              <w:rPr>
                <w:rFonts w:hint="eastAsia"/>
                <w:color w:val="auto"/>
                <w:sz w:val="21"/>
                <w:szCs w:val="21"/>
                <w:highlight w:val="none"/>
                <w:lang w:val="en-US" w:eastAsia="zh-CN"/>
              </w:rPr>
              <w:t>按照本项目的建设内容和进度</w:t>
            </w:r>
            <w:r>
              <w:rPr>
                <w:rFonts w:hint="default"/>
                <w:color w:val="auto"/>
                <w:sz w:val="21"/>
                <w:szCs w:val="21"/>
                <w:highlight w:val="none"/>
              </w:rPr>
              <w:t>。</w:t>
            </w:r>
          </w:p>
          <w:p w14:paraId="0EBA80A0">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：投入的施工材料有详细的组织计划，投入计划与进度计划呼应，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施工材料进场前2天进行检查复核并进行最终的检测合格，</w:t>
            </w:r>
            <w:r>
              <w:rPr>
                <w:rFonts w:hint="eastAsia"/>
                <w:color w:val="auto"/>
                <w:sz w:val="21"/>
                <w:szCs w:val="21"/>
                <w:highlight w:val="none"/>
                <w:lang w:eastAsia="zh-CN"/>
              </w:rPr>
              <w:t>可以</w:t>
            </w:r>
            <w:r>
              <w:rPr>
                <w:rFonts w:hint="default"/>
                <w:color w:val="auto"/>
                <w:sz w:val="21"/>
                <w:szCs w:val="21"/>
                <w:highlight w:val="none"/>
              </w:rPr>
              <w:t xml:space="preserve">满足施工需要，调配投入计划基本合理、准确。 </w:t>
            </w:r>
          </w:p>
          <w:p w14:paraId="078FC48A">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中（4分）</w:t>
            </w:r>
            <w:r>
              <w:rPr>
                <w:rFonts w:hint="default"/>
                <w:color w:val="auto"/>
                <w:sz w:val="21"/>
                <w:szCs w:val="21"/>
                <w:highlight w:val="none"/>
              </w:rPr>
              <w:t>：投入的施工材料有</w:t>
            </w:r>
            <w:r>
              <w:rPr>
                <w:rFonts w:hint="eastAsia"/>
                <w:color w:val="auto"/>
                <w:sz w:val="21"/>
                <w:szCs w:val="21"/>
                <w:highlight w:val="none"/>
                <w:lang w:eastAsia="zh-CN"/>
              </w:rPr>
              <w:t>完整</w:t>
            </w:r>
            <w:r>
              <w:rPr>
                <w:rFonts w:hint="default"/>
                <w:color w:val="auto"/>
                <w:sz w:val="21"/>
                <w:szCs w:val="21"/>
                <w:highlight w:val="none"/>
              </w:rPr>
              <w:t>的组织计划，</w:t>
            </w:r>
            <w:r>
              <w:rPr>
                <w:rFonts w:hint="eastAsia"/>
                <w:color w:val="auto"/>
                <w:sz w:val="21"/>
                <w:szCs w:val="21"/>
                <w:highlight w:val="none"/>
                <w:lang w:eastAsia="zh-CN"/>
              </w:rPr>
              <w:t>在</w:t>
            </w:r>
            <w:r>
              <w:rPr>
                <w:rFonts w:hint="eastAsia"/>
                <w:color w:val="auto"/>
                <w:sz w:val="21"/>
                <w:szCs w:val="21"/>
                <w:highlight w:val="none"/>
                <w:lang w:val="en-US" w:eastAsia="zh-CN"/>
              </w:rPr>
              <w:t>施工材料进场前1天进行检查复核并进行最终的检测合格，</w:t>
            </w:r>
            <w:r>
              <w:rPr>
                <w:rFonts w:hint="default"/>
                <w:color w:val="auto"/>
                <w:sz w:val="21"/>
                <w:szCs w:val="21"/>
                <w:highlight w:val="none"/>
              </w:rPr>
              <w:t>投入计划与进度计划呼</w:t>
            </w:r>
            <w:r>
              <w:rPr>
                <w:rFonts w:hint="default"/>
                <w:color w:val="auto"/>
                <w:spacing w:val="-10"/>
                <w:sz w:val="21"/>
                <w:szCs w:val="21"/>
                <w:highlight w:val="none"/>
              </w:rPr>
              <w:t>应，基本满足施工需要，</w:t>
            </w:r>
            <w:r>
              <w:rPr>
                <w:rFonts w:hint="default"/>
                <w:color w:val="auto"/>
                <w:sz w:val="21"/>
                <w:szCs w:val="21"/>
                <w:highlight w:val="none"/>
              </w:rPr>
              <w:t xml:space="preserve">调配投入计划基本合理。 </w:t>
            </w:r>
          </w:p>
          <w:p w14:paraId="27557E6B">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：投入的施工材料的组织计划差，</w:t>
            </w:r>
            <w:r>
              <w:rPr>
                <w:rFonts w:hint="eastAsia"/>
                <w:color w:val="auto"/>
                <w:sz w:val="21"/>
                <w:szCs w:val="21"/>
                <w:highlight w:val="none"/>
                <w:lang w:eastAsia="zh-CN"/>
              </w:rPr>
              <w:t>在</w:t>
            </w:r>
            <w:r>
              <w:rPr>
                <w:rFonts w:hint="eastAsia"/>
                <w:color w:val="auto"/>
                <w:sz w:val="21"/>
                <w:szCs w:val="21"/>
                <w:highlight w:val="none"/>
                <w:lang w:val="en-US" w:eastAsia="zh-CN"/>
              </w:rPr>
              <w:t>施工材料进场前1天进行检查复核并进行最终的检测合格，</w:t>
            </w:r>
            <w:r>
              <w:rPr>
                <w:rFonts w:hint="default"/>
                <w:color w:val="auto"/>
                <w:sz w:val="21"/>
                <w:szCs w:val="21"/>
                <w:highlight w:val="none"/>
              </w:rPr>
              <w:t>投入计划与进度计划不呼应，</w:t>
            </w:r>
            <w:r>
              <w:rPr>
                <w:rFonts w:hint="eastAsia"/>
                <w:color w:val="auto"/>
                <w:sz w:val="21"/>
                <w:szCs w:val="21"/>
                <w:highlight w:val="none"/>
                <w:lang w:eastAsia="zh-CN"/>
              </w:rPr>
              <w:t>勉强</w:t>
            </w:r>
            <w:r>
              <w:rPr>
                <w:rFonts w:hint="default"/>
                <w:color w:val="auto"/>
                <w:sz w:val="21"/>
                <w:szCs w:val="21"/>
                <w:highlight w:val="none"/>
              </w:rPr>
              <w:t>满足施工需要。</w:t>
            </w:r>
          </w:p>
        </w:tc>
      </w:tr>
      <w:tr w14:paraId="1F38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5C021E6C">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拟投入的主要施工机械、设备计划（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58446914">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评审专家自行对主要施工机械、设备计划、设备数量，型号配置等是否完整、齐全，满足施工进度需要等各方面进行独立打分。</w:t>
            </w:r>
          </w:p>
          <w:p w14:paraId="17088969">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优（</w:t>
            </w:r>
            <w:r>
              <w:rPr>
                <w:rFonts w:hint="eastAsia"/>
                <w:color w:val="auto"/>
                <w:sz w:val="21"/>
                <w:szCs w:val="21"/>
                <w:highlight w:val="none"/>
                <w:lang w:val="en-US" w:eastAsia="zh-CN"/>
              </w:rPr>
              <w:t>8</w:t>
            </w:r>
            <w:r>
              <w:rPr>
                <w:rFonts w:hint="default"/>
                <w:color w:val="auto"/>
                <w:sz w:val="21"/>
                <w:szCs w:val="21"/>
                <w:highlight w:val="none"/>
              </w:rPr>
              <w:t>分）：</w:t>
            </w:r>
            <w:r>
              <w:rPr>
                <w:rFonts w:hint="eastAsia"/>
                <w:color w:val="auto"/>
                <w:sz w:val="21"/>
                <w:szCs w:val="21"/>
                <w:highlight w:val="none"/>
                <w:lang w:eastAsia="zh-CN"/>
              </w:rPr>
              <w:t>投入的主要施工机械设备</w:t>
            </w:r>
            <w:r>
              <w:rPr>
                <w:rFonts w:hint="default"/>
                <w:color w:val="auto"/>
                <w:sz w:val="21"/>
                <w:szCs w:val="21"/>
                <w:highlight w:val="none"/>
              </w:rPr>
              <w:t>有详细的组织计划且计划周密，</w:t>
            </w:r>
            <w:r>
              <w:rPr>
                <w:rFonts w:hint="eastAsia" w:cs="宋体"/>
                <w:color w:val="auto"/>
                <w:kern w:val="0"/>
                <w:sz w:val="21"/>
                <w:szCs w:val="21"/>
                <w:highlight w:val="none"/>
              </w:rPr>
              <w:t>施工机械设备</w:t>
            </w:r>
            <w:r>
              <w:rPr>
                <w:rFonts w:hint="eastAsia"/>
                <w:color w:val="auto"/>
                <w:sz w:val="21"/>
                <w:szCs w:val="21"/>
                <w:highlight w:val="none"/>
                <w:lang w:val="en-US" w:eastAsia="zh-CN"/>
              </w:rPr>
              <w:t>的</w:t>
            </w:r>
            <w:r>
              <w:rPr>
                <w:rFonts w:hint="default"/>
                <w:color w:val="auto"/>
                <w:sz w:val="21"/>
                <w:szCs w:val="21"/>
                <w:highlight w:val="none"/>
              </w:rPr>
              <w:t>进场时间安排合理</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每个施工节点开始前提供进场计划表，并做好进场前检查、复查工作，确保施工机械、设备能准时进场，保障项目实施进度，</w:t>
            </w:r>
            <w:r>
              <w:rPr>
                <w:rFonts w:hint="eastAsia"/>
                <w:color w:val="auto"/>
                <w:sz w:val="21"/>
                <w:szCs w:val="21"/>
                <w:highlight w:val="none"/>
                <w:lang w:eastAsia="zh-CN"/>
              </w:rPr>
              <w:t>完全</w:t>
            </w:r>
            <w:r>
              <w:rPr>
                <w:rFonts w:hint="default"/>
                <w:color w:val="auto"/>
                <w:sz w:val="21"/>
                <w:szCs w:val="21"/>
                <w:highlight w:val="none"/>
              </w:rPr>
              <w:t xml:space="preserve">满足施工需要。 </w:t>
            </w:r>
          </w:p>
          <w:p w14:paraId="4E40759D">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pacing w:val="-13"/>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w:t>
            </w:r>
            <w:r>
              <w:rPr>
                <w:rFonts w:hint="eastAsia"/>
                <w:color w:val="auto"/>
                <w:sz w:val="21"/>
                <w:szCs w:val="21"/>
                <w:highlight w:val="none"/>
                <w:lang w:eastAsia="zh-CN"/>
              </w:rPr>
              <w:t>投入的主要施工机械设备</w:t>
            </w:r>
            <w:r>
              <w:rPr>
                <w:rFonts w:hint="default"/>
                <w:color w:val="auto"/>
                <w:spacing w:val="-10"/>
                <w:sz w:val="21"/>
                <w:szCs w:val="21"/>
                <w:highlight w:val="none"/>
              </w:rPr>
              <w:t>有详细的组织计划，</w:t>
            </w:r>
            <w:r>
              <w:rPr>
                <w:rFonts w:hint="eastAsia" w:cs="宋体"/>
                <w:color w:val="auto"/>
                <w:kern w:val="0"/>
                <w:sz w:val="21"/>
                <w:szCs w:val="21"/>
                <w:highlight w:val="none"/>
              </w:rPr>
              <w:t>施工机械、设备</w:t>
            </w:r>
            <w:r>
              <w:rPr>
                <w:rFonts w:hint="eastAsia" w:cs="宋体"/>
                <w:color w:val="auto"/>
                <w:kern w:val="0"/>
                <w:sz w:val="21"/>
                <w:szCs w:val="21"/>
                <w:highlight w:val="none"/>
                <w:lang w:eastAsia="zh-CN"/>
              </w:rPr>
              <w:t>的</w:t>
            </w:r>
            <w:r>
              <w:rPr>
                <w:rFonts w:hint="default"/>
                <w:color w:val="auto"/>
                <w:spacing w:val="-10"/>
                <w:sz w:val="21"/>
                <w:szCs w:val="21"/>
                <w:highlight w:val="none"/>
              </w:rPr>
              <w:t>进场投入计划与进度计划呼</w:t>
            </w:r>
            <w:r>
              <w:rPr>
                <w:rFonts w:hint="default"/>
                <w:color w:val="auto"/>
                <w:spacing w:val="-13"/>
                <w:sz w:val="21"/>
                <w:szCs w:val="21"/>
                <w:highlight w:val="none"/>
              </w:rPr>
              <w:t>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每个施工节点开始提供进场计划表，保证施工机械、设备能准时进场，能按照施工要求的进度，</w:t>
            </w:r>
            <w:r>
              <w:rPr>
                <w:rFonts w:hint="default"/>
                <w:color w:val="auto"/>
                <w:spacing w:val="-13"/>
                <w:sz w:val="21"/>
                <w:szCs w:val="21"/>
                <w:highlight w:val="none"/>
              </w:rPr>
              <w:t xml:space="preserve">满足施工需要。 </w:t>
            </w:r>
          </w:p>
          <w:p w14:paraId="289629A9">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101" w:firstLine="368" w:firstLineChars="200"/>
              <w:textAlignment w:val="auto"/>
              <w:rPr>
                <w:rFonts w:hint="default" w:ascii="宋体" w:hAnsi="宋体" w:eastAsia="宋体" w:cs="宋体"/>
                <w:color w:val="auto"/>
                <w:spacing w:val="-3"/>
                <w:sz w:val="21"/>
                <w:szCs w:val="21"/>
                <w:highlight w:val="none"/>
              </w:rPr>
            </w:pPr>
            <w:r>
              <w:rPr>
                <w:rFonts w:hint="eastAsia"/>
                <w:color w:val="auto"/>
                <w:spacing w:val="-13"/>
                <w:sz w:val="21"/>
                <w:szCs w:val="21"/>
                <w:highlight w:val="none"/>
                <w:lang w:eastAsia="zh-CN"/>
              </w:rPr>
              <w:t>中（4分）</w:t>
            </w:r>
            <w:r>
              <w:rPr>
                <w:rFonts w:hint="default"/>
                <w:color w:val="auto"/>
                <w:spacing w:val="-3"/>
                <w:sz w:val="21"/>
                <w:szCs w:val="21"/>
                <w:highlight w:val="none"/>
              </w:rPr>
              <w:t>：</w:t>
            </w:r>
            <w:r>
              <w:rPr>
                <w:rFonts w:hint="eastAsia"/>
                <w:color w:val="auto"/>
                <w:spacing w:val="-3"/>
                <w:sz w:val="21"/>
                <w:szCs w:val="21"/>
                <w:highlight w:val="none"/>
                <w:lang w:eastAsia="zh-CN"/>
              </w:rPr>
              <w:t>投入的主要施工机械设备</w:t>
            </w:r>
            <w:r>
              <w:rPr>
                <w:rFonts w:hint="default" w:ascii="宋体" w:hAnsi="宋体" w:eastAsia="宋体" w:cs="宋体"/>
                <w:color w:val="auto"/>
                <w:spacing w:val="-3"/>
                <w:sz w:val="21"/>
                <w:szCs w:val="21"/>
                <w:highlight w:val="none"/>
              </w:rPr>
              <w:t>有组织计划，</w:t>
            </w:r>
            <w:r>
              <w:rPr>
                <w:rFonts w:hint="eastAsia" w:cs="宋体"/>
                <w:color w:val="auto"/>
                <w:kern w:val="0"/>
                <w:sz w:val="21"/>
                <w:szCs w:val="21"/>
                <w:highlight w:val="none"/>
              </w:rPr>
              <w:t>施工机械、设备</w:t>
            </w:r>
            <w:r>
              <w:rPr>
                <w:rFonts w:hint="default" w:ascii="宋体" w:hAnsi="宋体" w:eastAsia="宋体" w:cs="宋体"/>
                <w:color w:val="auto"/>
                <w:spacing w:val="-3"/>
                <w:sz w:val="21"/>
                <w:szCs w:val="21"/>
                <w:highlight w:val="none"/>
              </w:rPr>
              <w:t>进场投入计划与进度计划呼应，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每个施工节点开始前提供进场计划表，保证施工机械、设备能准时进场，能按照施工要求的进度，</w:t>
            </w:r>
            <w:r>
              <w:rPr>
                <w:rFonts w:hint="default" w:ascii="宋体" w:hAnsi="宋体" w:eastAsia="宋体" w:cs="宋体"/>
                <w:color w:val="auto"/>
                <w:spacing w:val="-3"/>
                <w:sz w:val="21"/>
                <w:szCs w:val="21"/>
                <w:highlight w:val="none"/>
              </w:rPr>
              <w:t xml:space="preserve">基本满足施工需要。 </w:t>
            </w:r>
          </w:p>
          <w:p w14:paraId="2D834AF7">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pacing w:val="-7"/>
                <w:sz w:val="21"/>
                <w:szCs w:val="21"/>
                <w:highlight w:val="none"/>
              </w:rPr>
              <w:t>：</w:t>
            </w:r>
            <w:r>
              <w:rPr>
                <w:rFonts w:hint="eastAsia"/>
                <w:color w:val="auto"/>
                <w:spacing w:val="-7"/>
                <w:sz w:val="21"/>
                <w:szCs w:val="21"/>
                <w:highlight w:val="none"/>
                <w:lang w:eastAsia="zh-CN"/>
              </w:rPr>
              <w:t>投入的主要施工机械设备</w:t>
            </w:r>
            <w:r>
              <w:rPr>
                <w:rFonts w:hint="default"/>
                <w:color w:val="auto"/>
                <w:spacing w:val="-10"/>
                <w:sz w:val="21"/>
                <w:szCs w:val="21"/>
                <w:highlight w:val="none"/>
              </w:rPr>
              <w:t>组织计划差，</w:t>
            </w:r>
            <w:r>
              <w:rPr>
                <w:rFonts w:hint="default"/>
                <w:color w:val="auto"/>
                <w:sz w:val="21"/>
                <w:szCs w:val="21"/>
                <w:highlight w:val="none"/>
              </w:rPr>
              <w:t>投入计划与进度计划不呼应，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每个施工节点开始前开始安排施工机械、设备，勉强</w:t>
            </w:r>
            <w:r>
              <w:rPr>
                <w:rFonts w:hint="default"/>
                <w:color w:val="auto"/>
                <w:sz w:val="21"/>
                <w:szCs w:val="21"/>
                <w:highlight w:val="none"/>
              </w:rPr>
              <w:t>满足施工需要。</w:t>
            </w:r>
          </w:p>
        </w:tc>
      </w:tr>
      <w:tr w14:paraId="1672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2719D1C5">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ascii="宋体" w:hAnsi="宋体" w:eastAsia="宋体" w:cs="宋体"/>
                <w:color w:val="auto"/>
                <w:spacing w:val="-10"/>
                <w:sz w:val="21"/>
                <w:szCs w:val="21"/>
                <w:highlight w:val="none"/>
                <w:lang w:val="en-US" w:eastAsia="zh-CN" w:bidi="zh-CN"/>
              </w:rPr>
              <w:t>确保工程质量的技术组织措施（满分8分）</w:t>
            </w:r>
          </w:p>
        </w:tc>
        <w:tc>
          <w:tcPr>
            <w:tcW w:w="7413" w:type="dxa"/>
            <w:gridSpan w:val="2"/>
            <w:vAlign w:val="center"/>
          </w:tcPr>
          <w:p w14:paraId="6CB0E254">
            <w:pPr>
              <w:pStyle w:val="39"/>
              <w:keepNext w:val="0"/>
              <w:keepLines w:val="0"/>
              <w:pageBreakBefore w:val="0"/>
              <w:widowControl w:val="0"/>
              <w:suppressLineNumbers w:val="0"/>
              <w:kinsoku/>
              <w:wordWrap/>
              <w:overflowPunct/>
              <w:topLinePunct w:val="0"/>
              <w:autoSpaceDE/>
              <w:autoSpaceDN/>
              <w:bidi w:val="0"/>
              <w:adjustRightInd/>
              <w:snapToGrid/>
              <w:spacing w:before="99"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评审专家自行对主要质量技术管理班子和制度、人员配备</w:t>
            </w:r>
            <w:r>
              <w:rPr>
                <w:rFonts w:hint="eastAsia" w:cs="宋体"/>
                <w:color w:val="auto"/>
                <w:spacing w:val="-10"/>
                <w:sz w:val="21"/>
                <w:szCs w:val="21"/>
                <w:highlight w:val="none"/>
                <w:lang w:val="en-US" w:eastAsia="zh-CN" w:bidi="zh-CN"/>
              </w:rPr>
              <w:t>（含项目经理、技术负责人、施工、安全、质量、材料等管理人员）</w:t>
            </w:r>
            <w:r>
              <w:rPr>
                <w:rFonts w:hint="eastAsia" w:ascii="宋体" w:hAnsi="宋体" w:eastAsia="宋体" w:cs="宋体"/>
                <w:color w:val="auto"/>
                <w:spacing w:val="-10"/>
                <w:sz w:val="21"/>
                <w:szCs w:val="21"/>
                <w:highlight w:val="none"/>
                <w:lang w:val="en-US" w:eastAsia="zh-CN" w:bidi="zh-CN"/>
              </w:rPr>
              <w:t>、质量技术保证措施和手段等是否完整、齐全，满足施工进度需要等各方面进行独立打分。</w:t>
            </w:r>
          </w:p>
          <w:p w14:paraId="0C4EBC55">
            <w:pPr>
              <w:pStyle w:val="39"/>
              <w:keepNext w:val="0"/>
              <w:keepLines w:val="0"/>
              <w:pageBreakBefore w:val="0"/>
              <w:widowControl w:val="0"/>
              <w:suppressLineNumbers w:val="0"/>
              <w:kinsoku/>
              <w:wordWrap/>
              <w:overflowPunct/>
              <w:topLinePunct w:val="0"/>
              <w:autoSpaceDE/>
              <w:autoSpaceDN/>
              <w:bidi w:val="0"/>
              <w:adjustRightInd/>
              <w:snapToGrid/>
              <w:spacing w:before="99"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优（8分）：有专门的质量技术管理班子和制度</w:t>
            </w:r>
            <w:r>
              <w:rPr>
                <w:rFonts w:hint="eastAsia" w:cs="宋体"/>
                <w:color w:val="auto"/>
                <w:spacing w:val="-10"/>
                <w:sz w:val="21"/>
                <w:szCs w:val="21"/>
                <w:highlight w:val="none"/>
                <w:lang w:val="en-US" w:eastAsia="zh-CN" w:bidi="zh-CN"/>
              </w:rPr>
              <w:t>且制度健全</w:t>
            </w:r>
            <w:r>
              <w:rPr>
                <w:rFonts w:hint="eastAsia" w:ascii="宋体" w:hAnsi="宋体" w:eastAsia="宋体" w:cs="宋体"/>
                <w:color w:val="auto"/>
                <w:spacing w:val="-10"/>
                <w:sz w:val="21"/>
                <w:szCs w:val="21"/>
                <w:highlight w:val="none"/>
                <w:lang w:val="en-US" w:eastAsia="zh-CN" w:bidi="zh-CN"/>
              </w:rPr>
              <w:t>，拟投入的</w:t>
            </w:r>
            <w:r>
              <w:rPr>
                <w:rFonts w:hint="eastAsia" w:cs="宋体"/>
                <w:color w:val="auto"/>
                <w:spacing w:val="-10"/>
                <w:sz w:val="21"/>
                <w:szCs w:val="21"/>
                <w:highlight w:val="none"/>
                <w:lang w:val="en-US" w:eastAsia="zh-CN" w:bidi="zh-CN"/>
              </w:rPr>
              <w:t>项目管理机构</w:t>
            </w:r>
            <w:r>
              <w:rPr>
                <w:rFonts w:hint="eastAsia" w:ascii="宋体" w:hAnsi="宋体" w:eastAsia="宋体" w:cs="宋体"/>
                <w:color w:val="auto"/>
                <w:spacing w:val="-10"/>
                <w:sz w:val="21"/>
                <w:szCs w:val="21"/>
                <w:highlight w:val="none"/>
                <w:lang w:val="en-US" w:eastAsia="zh-CN" w:bidi="zh-CN"/>
              </w:rPr>
              <w:t>人员配备合理</w:t>
            </w:r>
            <w:r>
              <w:rPr>
                <w:rFonts w:hint="eastAsia" w:cs="宋体"/>
                <w:color w:val="auto"/>
                <w:spacing w:val="-10"/>
                <w:sz w:val="21"/>
                <w:szCs w:val="21"/>
                <w:highlight w:val="none"/>
                <w:lang w:val="en-US" w:eastAsia="zh-CN" w:bidi="zh-CN"/>
              </w:rPr>
              <w:t>（附</w:t>
            </w:r>
            <w:r>
              <w:rPr>
                <w:rFonts w:hint="eastAsia"/>
                <w:color w:val="auto"/>
                <w:spacing w:val="-10"/>
                <w:sz w:val="21"/>
                <w:szCs w:val="21"/>
                <w:highlight w:val="none"/>
                <w:lang w:val="en-US" w:eastAsia="zh-CN"/>
              </w:rPr>
              <w:t>工作职责范围说明等内容</w:t>
            </w:r>
            <w:r>
              <w:rPr>
                <w:rFonts w:hint="eastAsia" w:cs="宋体"/>
                <w:color w:val="auto"/>
                <w:spacing w:val="-10"/>
                <w:sz w:val="21"/>
                <w:szCs w:val="21"/>
                <w:highlight w:val="none"/>
                <w:lang w:val="en-US" w:eastAsia="zh-CN" w:bidi="zh-CN"/>
              </w:rPr>
              <w:t>）</w:t>
            </w:r>
            <w:r>
              <w:rPr>
                <w:rFonts w:hint="eastAsia" w:ascii="宋体" w:hAnsi="宋体" w:eastAsia="宋体" w:cs="宋体"/>
                <w:color w:val="auto"/>
                <w:spacing w:val="-10"/>
                <w:sz w:val="21"/>
                <w:szCs w:val="21"/>
                <w:highlight w:val="none"/>
                <w:lang w:val="en-US" w:eastAsia="zh-CN" w:bidi="zh-CN"/>
              </w:rPr>
              <w:t>。主要工序有质量技术保证措施和手段，且先进、可行、具体，高于采购文件的质量要求及施工验收规范要求，达到承诺的质量标准。</w:t>
            </w:r>
          </w:p>
          <w:p w14:paraId="02DA2E7A">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良（6分）：有专门的质量技术管理班子和制度，拟投入的技术管理班子人员配备合理</w:t>
            </w:r>
            <w:r>
              <w:rPr>
                <w:rFonts w:hint="eastAsia" w:cs="宋体"/>
                <w:color w:val="auto"/>
                <w:spacing w:val="-10"/>
                <w:sz w:val="21"/>
                <w:szCs w:val="21"/>
                <w:highlight w:val="none"/>
                <w:lang w:val="en-US" w:eastAsia="zh-CN" w:bidi="zh-CN"/>
              </w:rPr>
              <w:t>（附</w:t>
            </w:r>
            <w:r>
              <w:rPr>
                <w:rFonts w:hint="eastAsia"/>
                <w:color w:val="auto"/>
                <w:spacing w:val="-10"/>
                <w:sz w:val="21"/>
                <w:szCs w:val="21"/>
                <w:highlight w:val="none"/>
                <w:lang w:val="en-US" w:eastAsia="zh-CN"/>
              </w:rPr>
              <w:t>工作职责范围说明等内容</w:t>
            </w:r>
            <w:r>
              <w:rPr>
                <w:rFonts w:hint="eastAsia" w:cs="宋体"/>
                <w:color w:val="auto"/>
                <w:spacing w:val="-10"/>
                <w:sz w:val="21"/>
                <w:szCs w:val="21"/>
                <w:highlight w:val="none"/>
                <w:lang w:val="en-US" w:eastAsia="zh-CN" w:bidi="zh-CN"/>
              </w:rPr>
              <w:t>）</w:t>
            </w:r>
            <w:r>
              <w:rPr>
                <w:rFonts w:hint="eastAsia" w:ascii="宋体" w:hAnsi="宋体" w:eastAsia="宋体" w:cs="宋体"/>
                <w:color w:val="auto"/>
                <w:spacing w:val="-10"/>
                <w:sz w:val="21"/>
                <w:szCs w:val="21"/>
                <w:highlight w:val="none"/>
                <w:lang w:val="en-US" w:eastAsia="zh-CN" w:bidi="zh-CN"/>
              </w:rPr>
              <w:t>。主要工序有质量技术保证措施和手段，自控体系完整，能有效保证技术质量，可以达到承诺的质量标准。</w:t>
            </w:r>
          </w:p>
          <w:p w14:paraId="6285064A">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 xml:space="preserve"> 中（4分）：质量技术管理班子人员配备基本合理，各制度基本健全。主要工序有质量技术保证措施和手段，能有效保证技术质量，满足采购文件的质量要求。 </w:t>
            </w:r>
          </w:p>
          <w:p w14:paraId="36FFF12B">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380" w:firstLineChars="200"/>
              <w:textAlignment w:val="auto"/>
              <w:rPr>
                <w:rFonts w:hint="default"/>
                <w:color w:val="auto"/>
                <w:sz w:val="21"/>
                <w:szCs w:val="21"/>
                <w:highlight w:val="none"/>
              </w:rPr>
            </w:pPr>
            <w:r>
              <w:rPr>
                <w:rFonts w:hint="eastAsia" w:ascii="宋体" w:hAnsi="宋体" w:eastAsia="宋体" w:cs="宋体"/>
                <w:color w:val="auto"/>
                <w:spacing w:val="-10"/>
                <w:sz w:val="21"/>
                <w:szCs w:val="21"/>
                <w:highlight w:val="none"/>
                <w:lang w:val="en-US" w:eastAsia="zh-CN" w:bidi="zh-CN"/>
              </w:rPr>
              <w:t>一般（1分）：质量技术管理班子人员配备不合理，制度不健全，质量技术保证措施和手段不可行，没有质量违约责任承诺。</w:t>
            </w:r>
          </w:p>
        </w:tc>
      </w:tr>
      <w:tr w14:paraId="5086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6D8E0E09">
            <w:pPr>
              <w:keepNext w:val="0"/>
              <w:keepLines w:val="0"/>
              <w:widowControl/>
              <w:suppressLineNumbers w:val="0"/>
              <w:spacing w:before="0" w:beforeAutospacing="0" w:after="0" w:afterAutospacing="0" w:line="360" w:lineRule="auto"/>
              <w:ind w:left="0" w:right="0"/>
              <w:rPr>
                <w:rFonts w:hint="default"/>
                <w:color w:val="auto"/>
                <w:kern w:val="0"/>
                <w:sz w:val="21"/>
                <w:szCs w:val="21"/>
                <w:highlight w:val="none"/>
              </w:rPr>
            </w:pPr>
            <w:r>
              <w:rPr>
                <w:rFonts w:hint="eastAsia" w:cs="宋体"/>
                <w:color w:val="auto"/>
                <w:kern w:val="0"/>
                <w:sz w:val="21"/>
                <w:szCs w:val="21"/>
                <w:highlight w:val="none"/>
              </w:rPr>
              <w:t>确保安全生产的技术组织措施</w:t>
            </w:r>
          </w:p>
          <w:p w14:paraId="52E9EDA9">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27C2308D">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评审专家自行对安全生产的技术组织措施、安全人员投入、安全制度管理、安全技术标准要求、现场安全防护是否合理、健全、可行性等各方面进行独立打分。 </w:t>
            </w:r>
          </w:p>
          <w:p w14:paraId="3D379261">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8</w:t>
            </w:r>
            <w:r>
              <w:rPr>
                <w:rFonts w:hint="eastAsia"/>
                <w:color w:val="auto"/>
                <w:sz w:val="21"/>
                <w:szCs w:val="21"/>
                <w:highlight w:val="none"/>
                <w:lang w:eastAsia="zh-CN"/>
              </w:rPr>
              <w:t>分）</w:t>
            </w:r>
            <w:r>
              <w:rPr>
                <w:rFonts w:hint="default"/>
                <w:color w:val="auto"/>
                <w:sz w:val="21"/>
                <w:szCs w:val="21"/>
                <w:highlight w:val="none"/>
              </w:rPr>
              <w:t>：有配</w:t>
            </w:r>
            <w:r>
              <w:rPr>
                <w:rFonts w:hint="default" w:ascii="宋体" w:hAnsi="宋体" w:eastAsia="宋体" w:cs="宋体"/>
                <w:color w:val="auto"/>
                <w:sz w:val="21"/>
                <w:szCs w:val="21"/>
                <w:highlight w:val="none"/>
              </w:rPr>
              <w:t xml:space="preserve">备满足项目要求的专职安全员，有健全的安全管理制度， </w:t>
            </w:r>
            <w:r>
              <w:rPr>
                <w:rFonts w:hint="eastAsia"/>
                <w:color w:val="auto"/>
                <w:sz w:val="21"/>
                <w:szCs w:val="21"/>
                <w:highlight w:val="none"/>
                <w:lang w:val="en-US" w:eastAsia="zh-CN"/>
              </w:rPr>
              <w:t>提供的</w:t>
            </w:r>
            <w:r>
              <w:rPr>
                <w:rFonts w:hint="default"/>
                <w:color w:val="auto"/>
                <w:sz w:val="21"/>
                <w:szCs w:val="21"/>
                <w:highlight w:val="none"/>
              </w:rPr>
              <w:t>各道工序安全技术措施</w:t>
            </w:r>
            <w:r>
              <w:rPr>
                <w:rFonts w:hint="default" w:ascii="宋体" w:hAnsi="宋体" w:eastAsia="宋体" w:cs="宋体"/>
                <w:color w:val="auto"/>
                <w:sz w:val="21"/>
                <w:szCs w:val="21"/>
                <w:highlight w:val="none"/>
              </w:rPr>
              <w:t>针对性强，符合实际且高于国家有关安全技术标准要求。现场防火、应急救援、社会治安安全措施得力。</w:t>
            </w:r>
          </w:p>
          <w:p w14:paraId="46494E23">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r>
              <w:rPr>
                <w:rFonts w:hint="default" w:ascii="宋体" w:hAnsi="宋体" w:eastAsia="宋体" w:cs="宋体"/>
                <w:color w:val="auto"/>
                <w:sz w:val="21"/>
                <w:szCs w:val="21"/>
                <w:highlight w:val="none"/>
              </w:rPr>
              <w:t>：有配备满足项目</w:t>
            </w:r>
            <w:r>
              <w:rPr>
                <w:rFonts w:hint="default"/>
                <w:color w:val="auto"/>
                <w:sz w:val="21"/>
                <w:szCs w:val="21"/>
                <w:highlight w:val="none"/>
              </w:rPr>
              <w:t>要求的专职安全员，有健全的安全管理制度，</w:t>
            </w:r>
            <w:r>
              <w:rPr>
                <w:rFonts w:hint="eastAsia"/>
                <w:color w:val="auto"/>
                <w:sz w:val="21"/>
                <w:szCs w:val="21"/>
                <w:highlight w:val="none"/>
                <w:lang w:val="en-US" w:eastAsia="zh-CN"/>
              </w:rPr>
              <w:t>提供的</w:t>
            </w:r>
            <w:r>
              <w:rPr>
                <w:rFonts w:hint="default"/>
                <w:color w:val="auto"/>
                <w:sz w:val="21"/>
                <w:szCs w:val="21"/>
                <w:highlight w:val="none"/>
              </w:rPr>
              <w:t>各道工序安全技术措施符合实际且满足有关安全技术标准要求。现场防火、应急救援、社会治安安全措施合理。</w:t>
            </w:r>
          </w:p>
          <w:p w14:paraId="5D3E8E2A">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 xml:space="preserve"> </w:t>
            </w:r>
            <w:r>
              <w:rPr>
                <w:rFonts w:hint="eastAsia"/>
                <w:color w:val="auto"/>
                <w:sz w:val="21"/>
                <w:szCs w:val="21"/>
                <w:highlight w:val="none"/>
                <w:lang w:eastAsia="zh-CN"/>
              </w:rPr>
              <w:t>中（4分）</w:t>
            </w:r>
            <w:r>
              <w:rPr>
                <w:rFonts w:hint="default"/>
                <w:color w:val="auto"/>
                <w:sz w:val="21"/>
                <w:szCs w:val="21"/>
                <w:highlight w:val="none"/>
              </w:rPr>
              <w:t>：有配备满足项目要求的专职安全员，安全管理制度基本健全，</w:t>
            </w:r>
            <w:r>
              <w:rPr>
                <w:rFonts w:hint="eastAsia"/>
                <w:color w:val="auto"/>
                <w:sz w:val="21"/>
                <w:szCs w:val="21"/>
                <w:highlight w:val="none"/>
                <w:lang w:val="en-US" w:eastAsia="zh-CN"/>
              </w:rPr>
              <w:t>提供的</w:t>
            </w:r>
            <w:r>
              <w:rPr>
                <w:rFonts w:hint="default"/>
                <w:color w:val="auto"/>
                <w:sz w:val="21"/>
                <w:szCs w:val="21"/>
                <w:highlight w:val="none"/>
              </w:rPr>
              <w:t>各道工序安全技术措施基本符合实际，基本满足有关安全技术标准要求。现场防火、应急救援、社会治安安全措施基本合理。</w:t>
            </w:r>
          </w:p>
          <w:p w14:paraId="0BED3939">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：有配备满足项目要求的专职安全员，</w:t>
            </w:r>
            <w:r>
              <w:rPr>
                <w:rFonts w:hint="eastAsia"/>
                <w:color w:val="auto"/>
                <w:sz w:val="21"/>
                <w:szCs w:val="21"/>
                <w:highlight w:val="none"/>
                <w:lang w:eastAsia="zh-CN"/>
              </w:rPr>
              <w:t>无</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rFonts w:hint="default"/>
                <w:color w:val="auto"/>
                <w:sz w:val="21"/>
                <w:szCs w:val="21"/>
                <w:highlight w:val="none"/>
              </w:rPr>
              <w:t>人员</w:t>
            </w:r>
            <w:r>
              <w:rPr>
                <w:rFonts w:hint="eastAsia"/>
                <w:color w:val="auto"/>
                <w:sz w:val="21"/>
                <w:szCs w:val="21"/>
                <w:highlight w:val="none"/>
                <w:lang w:val="en-US" w:eastAsia="zh-CN"/>
              </w:rPr>
              <w:t>成员</w:t>
            </w:r>
            <w:r>
              <w:rPr>
                <w:rFonts w:hint="default"/>
                <w:color w:val="auto"/>
                <w:sz w:val="21"/>
                <w:szCs w:val="21"/>
                <w:highlight w:val="none"/>
              </w:rPr>
              <w:t>，安全管理制度不健全，各道工序安全技术措施基本符合实际，不能满足有关安全技术标准要求。现场防火、应急 救援、社会治安安全措施不合理。</w:t>
            </w:r>
          </w:p>
        </w:tc>
      </w:tr>
      <w:tr w14:paraId="591E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18B418DC">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劳动力安排计划（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75546251">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评审专家对</w:t>
            </w:r>
            <w:r>
              <w:rPr>
                <w:rFonts w:hint="eastAsia" w:ascii="宋体" w:hAnsi="宋体" w:eastAsia="宋体" w:cs="宋体"/>
                <w:color w:val="auto"/>
                <w:sz w:val="21"/>
                <w:szCs w:val="21"/>
                <w:highlight w:val="none"/>
              </w:rPr>
              <w:t>各主要施工工序的劳动力安排计划，有各工种劳动力安排计划，劳动力投入合理</w:t>
            </w:r>
            <w:r>
              <w:rPr>
                <w:rFonts w:hint="eastAsia" w:ascii="宋体" w:hAnsi="宋体" w:eastAsia="宋体" w:cs="宋体"/>
                <w:color w:val="auto"/>
                <w:sz w:val="21"/>
                <w:szCs w:val="21"/>
                <w:highlight w:val="none"/>
                <w:lang w:val="en-US" w:eastAsia="zh-CN"/>
              </w:rPr>
              <w:t>等各方面进行独立打分</w:t>
            </w:r>
            <w:r>
              <w:rPr>
                <w:rFonts w:hint="eastAsia" w:ascii="宋体" w:hAnsi="宋体" w:eastAsia="宋体" w:cs="宋体"/>
                <w:color w:val="auto"/>
                <w:sz w:val="21"/>
                <w:szCs w:val="21"/>
                <w:highlight w:val="none"/>
                <w:lang w:eastAsia="zh-CN"/>
              </w:rPr>
              <w:t>。</w:t>
            </w:r>
          </w:p>
          <w:p w14:paraId="3644AEB2">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优（6分）</w:t>
            </w:r>
            <w:r>
              <w:rPr>
                <w:rFonts w:hint="default" w:ascii="宋体" w:hAnsi="宋体" w:eastAsia="宋体" w:cs="宋体"/>
                <w:color w:val="auto"/>
                <w:sz w:val="21"/>
                <w:szCs w:val="21"/>
                <w:highlight w:val="none"/>
              </w:rPr>
              <w:t>：各主要施工工序有详细周密的劳动力安排计划，各工种劳动力安排计划齐全，</w:t>
            </w:r>
            <w:r>
              <w:rPr>
                <w:rFonts w:hint="default"/>
                <w:color w:val="auto"/>
                <w:sz w:val="21"/>
                <w:szCs w:val="21"/>
                <w:highlight w:val="none"/>
              </w:rPr>
              <w:t>劳动力投入与进度计划呼应合理，</w:t>
            </w:r>
            <w:r>
              <w:rPr>
                <w:rFonts w:hint="eastAsia"/>
                <w:color w:val="auto"/>
                <w:sz w:val="21"/>
                <w:szCs w:val="21"/>
                <w:highlight w:val="none"/>
                <w:lang w:eastAsia="zh-CN"/>
              </w:rPr>
              <w:t>完全</w:t>
            </w:r>
            <w:r>
              <w:rPr>
                <w:rFonts w:hint="default"/>
                <w:color w:val="auto"/>
                <w:sz w:val="21"/>
                <w:szCs w:val="21"/>
                <w:highlight w:val="none"/>
              </w:rPr>
              <w:t>满</w:t>
            </w:r>
            <w:r>
              <w:rPr>
                <w:rFonts w:hint="default" w:ascii="宋体" w:hAnsi="宋体" w:eastAsia="宋体" w:cs="宋体"/>
                <w:color w:val="auto"/>
                <w:sz w:val="21"/>
                <w:szCs w:val="21"/>
                <w:highlight w:val="none"/>
              </w:rPr>
              <w:t xml:space="preserve">足施工需要。 </w:t>
            </w:r>
          </w:p>
          <w:p w14:paraId="0F4EFF96">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hint="default" w:ascii="宋体" w:hAnsi="宋体" w:eastAsia="宋体" w:cs="宋体"/>
                <w:color w:val="auto"/>
                <w:sz w:val="21"/>
                <w:szCs w:val="21"/>
                <w:highlight w:val="none"/>
              </w:rPr>
              <w:t>：各主要施工工序有详细的劳动力安排计划，有各工种劳动力安排计划，劳动力投入合理，</w:t>
            </w:r>
            <w:r>
              <w:rPr>
                <w:rFonts w:hint="eastAsia" w:ascii="宋体" w:hAnsi="宋体" w:eastAsia="宋体" w:cs="宋体"/>
                <w:color w:val="auto"/>
                <w:sz w:val="21"/>
                <w:szCs w:val="21"/>
                <w:highlight w:val="none"/>
                <w:lang w:eastAsia="zh-CN"/>
              </w:rPr>
              <w:t>可以</w:t>
            </w:r>
            <w:r>
              <w:rPr>
                <w:rFonts w:hint="default" w:ascii="宋体" w:hAnsi="宋体" w:eastAsia="宋体" w:cs="宋体"/>
                <w:color w:val="auto"/>
                <w:sz w:val="21"/>
                <w:szCs w:val="21"/>
                <w:highlight w:val="none"/>
              </w:rPr>
              <w:t xml:space="preserve">满足施工需要。 </w:t>
            </w:r>
          </w:p>
          <w:p w14:paraId="1D2FFF86">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cs="宋体"/>
                <w:color w:val="auto"/>
                <w:sz w:val="21"/>
                <w:szCs w:val="21"/>
                <w:highlight w:val="none"/>
                <w:lang w:eastAsia="zh-CN"/>
              </w:rPr>
              <w:t>中（2分）</w:t>
            </w:r>
            <w:r>
              <w:rPr>
                <w:rFonts w:hint="default" w:ascii="宋体" w:hAnsi="宋体" w:eastAsia="宋体" w:cs="宋体"/>
                <w:color w:val="auto"/>
                <w:sz w:val="21"/>
                <w:szCs w:val="21"/>
                <w:highlight w:val="none"/>
              </w:rPr>
              <w:t>： 各主要施工工序应有劳动力安排计划，有各工种劳动力安排计划，劳动力投入基本合理，基本满足施工需要。</w:t>
            </w:r>
          </w:p>
          <w:p w14:paraId="4AD7ED54">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s="宋体"/>
                <w:color w:val="auto"/>
                <w:sz w:val="21"/>
                <w:szCs w:val="21"/>
                <w:highlight w:val="none"/>
                <w:lang w:eastAsia="zh-CN"/>
              </w:rPr>
              <w:t>一般（1分）</w:t>
            </w:r>
            <w:r>
              <w:rPr>
                <w:rFonts w:hint="default" w:ascii="宋体" w:hAnsi="宋体" w:eastAsia="宋体" w:cs="宋体"/>
                <w:color w:val="auto"/>
                <w:sz w:val="21"/>
                <w:szCs w:val="21"/>
                <w:highlight w:val="none"/>
              </w:rPr>
              <w:t>：各主要施工工序劳动力安排计划不全，无各工种劳动力安排计划或计划不全，</w:t>
            </w:r>
            <w:r>
              <w:rPr>
                <w:rFonts w:hint="default"/>
                <w:color w:val="auto"/>
                <w:sz w:val="21"/>
                <w:szCs w:val="21"/>
                <w:highlight w:val="none"/>
              </w:rPr>
              <w:t>劳动力投入不合理，不能满足</w:t>
            </w:r>
            <w:r>
              <w:rPr>
                <w:rFonts w:hint="eastAsia"/>
                <w:color w:val="auto"/>
                <w:sz w:val="21"/>
                <w:szCs w:val="21"/>
                <w:highlight w:val="none"/>
                <w:lang w:eastAsia="zh-CN"/>
              </w:rPr>
              <w:t>施工需求。</w:t>
            </w:r>
          </w:p>
        </w:tc>
      </w:tr>
      <w:tr w14:paraId="4270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7D2DC144">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确保工期的技术组织措施（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1BBF0CD2">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评审专家自行对工期的技术组织措施、工期计划图表是否严谨、合理、可行性等各方面进行独立打分。</w:t>
            </w:r>
          </w:p>
          <w:p w14:paraId="69D21A76">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 xml:space="preserve">：有保证工期的具体措施得力。各项计划图表编制详尽周密，安排科学合理，符合本项目施工实际要求。 </w:t>
            </w:r>
          </w:p>
          <w:p w14:paraId="1E197DBE">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pacing w:val="-12"/>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分）：有保证工期的具体措施得当。各项计划图表编制完善，安排较合理，符合本项目施工</w:t>
            </w:r>
            <w:r>
              <w:rPr>
                <w:rFonts w:hint="default"/>
                <w:color w:val="auto"/>
                <w:spacing w:val="-12"/>
                <w:sz w:val="21"/>
                <w:szCs w:val="21"/>
                <w:highlight w:val="none"/>
              </w:rPr>
              <w:t>实际要求。</w:t>
            </w:r>
          </w:p>
          <w:p w14:paraId="71D1D14C">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72" w:firstLineChars="200"/>
              <w:textAlignment w:val="auto"/>
              <w:rPr>
                <w:rFonts w:hint="default"/>
                <w:color w:val="auto"/>
                <w:sz w:val="21"/>
                <w:szCs w:val="21"/>
                <w:highlight w:val="none"/>
              </w:rPr>
            </w:pPr>
            <w:r>
              <w:rPr>
                <w:rFonts w:hint="default"/>
                <w:color w:val="auto"/>
                <w:spacing w:val="-12"/>
                <w:sz w:val="21"/>
                <w:szCs w:val="21"/>
                <w:highlight w:val="none"/>
              </w:rPr>
              <w:t xml:space="preserve"> </w:t>
            </w:r>
            <w:r>
              <w:rPr>
                <w:rFonts w:hint="eastAsia"/>
                <w:color w:val="auto"/>
                <w:spacing w:val="-12"/>
                <w:sz w:val="21"/>
                <w:szCs w:val="21"/>
                <w:highlight w:val="none"/>
                <w:lang w:eastAsia="zh-CN"/>
              </w:rPr>
              <w:t>中（2分）</w:t>
            </w:r>
            <w:r>
              <w:rPr>
                <w:rFonts w:hint="default"/>
                <w:color w:val="auto"/>
                <w:spacing w:val="-35"/>
                <w:sz w:val="21"/>
                <w:szCs w:val="21"/>
                <w:highlight w:val="none"/>
              </w:rPr>
              <w:t>：</w:t>
            </w:r>
            <w:r>
              <w:rPr>
                <w:rFonts w:hint="default"/>
                <w:color w:val="auto"/>
                <w:sz w:val="21"/>
                <w:szCs w:val="21"/>
                <w:highlight w:val="none"/>
              </w:rPr>
              <w:t xml:space="preserve">有保证工期的具体措施基本得当。各项计划图表编制基本齐全，安排基本合理，基本符合本项目施工实际要求。 </w:t>
            </w:r>
          </w:p>
          <w:p w14:paraId="68E05B8E">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：有保证工期的具体措施基本得当。各项计划图表编制不完善，安排不合理，不能满足本项目施工实际要求。</w:t>
            </w:r>
          </w:p>
        </w:tc>
      </w:tr>
      <w:tr w14:paraId="4150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50732CE7">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确保文明施工的技术组织措施（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1BAD2032">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评审专家自行对文明施工的技术组织措施、现场施工文明管理是否符合要求、健全、合理有效等各方面进行独立打分。 </w:t>
            </w:r>
          </w:p>
          <w:p w14:paraId="3C7809E4">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：现场文明施工、环境保护措施和内容</w:t>
            </w:r>
            <w:r>
              <w:rPr>
                <w:rFonts w:hint="eastAsia"/>
                <w:color w:val="auto"/>
                <w:sz w:val="21"/>
                <w:szCs w:val="21"/>
                <w:highlight w:val="none"/>
                <w:lang w:val="en-US" w:eastAsia="zh-CN"/>
              </w:rPr>
              <w:t>完全能</w:t>
            </w:r>
            <w:r>
              <w:rPr>
                <w:rFonts w:hint="default"/>
                <w:color w:val="auto"/>
                <w:sz w:val="21"/>
                <w:szCs w:val="21"/>
                <w:highlight w:val="none"/>
              </w:rPr>
              <w:t>达到</w:t>
            </w:r>
            <w:r>
              <w:rPr>
                <w:rFonts w:hint="eastAsia"/>
                <w:color w:val="auto"/>
                <w:sz w:val="21"/>
                <w:szCs w:val="21"/>
                <w:highlight w:val="none"/>
                <w:lang w:eastAsia="zh-CN"/>
              </w:rPr>
              <w:t>相关施工安全生产标准或文明施工等</w:t>
            </w:r>
            <w:r>
              <w:rPr>
                <w:rFonts w:hint="default"/>
                <w:color w:val="auto"/>
                <w:sz w:val="21"/>
                <w:szCs w:val="21"/>
                <w:highlight w:val="none"/>
              </w:rPr>
              <w:t>要求；</w:t>
            </w:r>
            <w:r>
              <w:rPr>
                <w:rFonts w:hint="eastAsia"/>
                <w:color w:val="auto"/>
                <w:sz w:val="21"/>
                <w:szCs w:val="21"/>
                <w:highlight w:val="none"/>
                <w:lang w:eastAsia="zh-CN"/>
              </w:rPr>
              <w:t>现场施工围挡、安全警示标志牌、文明施工牌图设置合理、现场办公生活设置划分明确、材料堆放安排符合《建筑施工现场安全技术规程》（</w:t>
            </w:r>
            <w:r>
              <w:rPr>
                <w:rFonts w:hint="eastAsia"/>
                <w:color w:val="auto"/>
                <w:sz w:val="21"/>
                <w:szCs w:val="21"/>
                <w:highlight w:val="none"/>
                <w:lang w:val="en-US" w:eastAsia="zh-CN"/>
              </w:rPr>
              <w:t>GB50348-2011</w:t>
            </w:r>
            <w:r>
              <w:rPr>
                <w:rFonts w:hint="eastAsia"/>
                <w:color w:val="auto"/>
                <w:sz w:val="21"/>
                <w:szCs w:val="21"/>
                <w:highlight w:val="none"/>
                <w:lang w:eastAsia="zh-CN"/>
              </w:rPr>
              <w:t>）的要求</w:t>
            </w:r>
            <w:r>
              <w:rPr>
                <w:rFonts w:hint="eastAsia"/>
                <w:color w:val="auto"/>
                <w:spacing w:val="-10"/>
                <w:sz w:val="21"/>
                <w:szCs w:val="21"/>
                <w:highlight w:val="none"/>
                <w:lang w:val="en-US" w:eastAsia="zh-CN"/>
              </w:rPr>
              <w:t>，能在施工过程中全面解决各种紧急异常问题，</w:t>
            </w:r>
            <w:r>
              <w:rPr>
                <w:rFonts w:hint="default"/>
                <w:color w:val="auto"/>
                <w:spacing w:val="-10"/>
                <w:sz w:val="21"/>
                <w:szCs w:val="21"/>
                <w:highlight w:val="none"/>
              </w:rPr>
              <w:t>各项措施周全、</w:t>
            </w:r>
            <w:r>
              <w:rPr>
                <w:rFonts w:hint="default"/>
                <w:color w:val="auto"/>
                <w:sz w:val="21"/>
                <w:szCs w:val="21"/>
                <w:highlight w:val="none"/>
              </w:rPr>
              <w:t>具体、有效的</w:t>
            </w:r>
            <w:r>
              <w:rPr>
                <w:rFonts w:hint="eastAsia"/>
                <w:color w:val="auto"/>
                <w:sz w:val="21"/>
                <w:szCs w:val="21"/>
                <w:highlight w:val="none"/>
                <w:lang w:eastAsia="zh-CN"/>
              </w:rPr>
              <w:t>，</w:t>
            </w:r>
            <w:r>
              <w:rPr>
                <w:rFonts w:hint="eastAsia"/>
                <w:color w:val="auto"/>
                <w:sz w:val="21"/>
                <w:szCs w:val="21"/>
                <w:highlight w:val="none"/>
                <w:lang w:val="en-US" w:eastAsia="zh-CN"/>
              </w:rPr>
              <w:t>可行性强</w:t>
            </w:r>
            <w:r>
              <w:rPr>
                <w:rFonts w:hint="default"/>
                <w:color w:val="auto"/>
                <w:sz w:val="21"/>
                <w:szCs w:val="21"/>
                <w:highlight w:val="none"/>
              </w:rPr>
              <w:t xml:space="preserve">。 </w:t>
            </w:r>
          </w:p>
          <w:p w14:paraId="0B7501E5">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分）：现场文明施工、环境保护措施和内容达到</w:t>
            </w:r>
            <w:r>
              <w:rPr>
                <w:rFonts w:hint="eastAsia"/>
                <w:color w:val="auto"/>
                <w:sz w:val="21"/>
                <w:szCs w:val="21"/>
                <w:highlight w:val="none"/>
                <w:lang w:eastAsia="zh-CN"/>
              </w:rPr>
              <w:t>相关施工安全生产标准或文明施工要求的</w:t>
            </w:r>
            <w:r>
              <w:rPr>
                <w:rFonts w:hint="default"/>
                <w:color w:val="auto"/>
                <w:sz w:val="21"/>
                <w:szCs w:val="21"/>
                <w:highlight w:val="none"/>
              </w:rPr>
              <w:t>；</w:t>
            </w:r>
            <w:r>
              <w:rPr>
                <w:rFonts w:hint="eastAsia"/>
                <w:color w:val="auto"/>
                <w:spacing w:val="-10"/>
                <w:sz w:val="21"/>
                <w:szCs w:val="21"/>
                <w:highlight w:val="none"/>
                <w:lang w:val="en-US" w:eastAsia="zh-CN"/>
              </w:rPr>
              <w:t>能在施工过程中解决各种紧急异常问题，</w:t>
            </w:r>
            <w:r>
              <w:rPr>
                <w:rFonts w:hint="default"/>
                <w:color w:val="auto"/>
                <w:sz w:val="21"/>
                <w:szCs w:val="21"/>
                <w:highlight w:val="none"/>
              </w:rPr>
              <w:t>而且各项措施</w:t>
            </w:r>
            <w:r>
              <w:rPr>
                <w:rFonts w:hint="eastAsia"/>
                <w:color w:val="auto"/>
                <w:sz w:val="21"/>
                <w:szCs w:val="21"/>
                <w:highlight w:val="none"/>
                <w:lang w:val="en-US" w:eastAsia="zh-CN"/>
              </w:rPr>
              <w:t>具体、有效</w:t>
            </w:r>
            <w:r>
              <w:rPr>
                <w:rFonts w:hint="default"/>
                <w:color w:val="auto"/>
                <w:sz w:val="21"/>
                <w:szCs w:val="21"/>
                <w:highlight w:val="none"/>
              </w:rPr>
              <w:t xml:space="preserve">。 </w:t>
            </w:r>
          </w:p>
          <w:p w14:paraId="726D7E93">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中（2分）</w:t>
            </w:r>
            <w:r>
              <w:rPr>
                <w:rFonts w:hint="default"/>
                <w:color w:val="auto"/>
                <w:sz w:val="21"/>
                <w:szCs w:val="21"/>
                <w:highlight w:val="none"/>
              </w:rPr>
              <w:t>：现场文明施工、环境保护措施和内容基本达到</w:t>
            </w:r>
            <w:r>
              <w:rPr>
                <w:rFonts w:hint="eastAsia"/>
                <w:color w:val="auto"/>
                <w:sz w:val="21"/>
                <w:szCs w:val="21"/>
                <w:highlight w:val="none"/>
                <w:lang w:eastAsia="zh-CN"/>
              </w:rPr>
              <w:t>相关施工安全生产标准或文明施工要求的</w:t>
            </w:r>
            <w:r>
              <w:rPr>
                <w:rFonts w:hint="default"/>
                <w:color w:val="auto"/>
                <w:sz w:val="21"/>
                <w:szCs w:val="21"/>
                <w:highlight w:val="none"/>
              </w:rPr>
              <w:t>；有具体实现现场文明施工目标的承诺，</w:t>
            </w:r>
            <w:r>
              <w:rPr>
                <w:rFonts w:hint="eastAsia"/>
                <w:color w:val="auto"/>
                <w:spacing w:val="-10"/>
                <w:sz w:val="21"/>
                <w:szCs w:val="21"/>
                <w:highlight w:val="none"/>
                <w:lang w:val="en-US" w:eastAsia="zh-CN"/>
              </w:rPr>
              <w:t>能在施工过程中解决各种紧急异常问题，</w:t>
            </w:r>
            <w:r>
              <w:rPr>
                <w:rFonts w:hint="default"/>
                <w:color w:val="auto"/>
                <w:sz w:val="21"/>
                <w:szCs w:val="21"/>
                <w:highlight w:val="none"/>
              </w:rPr>
              <w:t>而且各项措施基本有效的。</w:t>
            </w:r>
          </w:p>
          <w:p w14:paraId="570161FD">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 xml:space="preserve"> </w:t>
            </w:r>
            <w:r>
              <w:rPr>
                <w:rFonts w:hint="eastAsia"/>
                <w:color w:val="auto"/>
                <w:sz w:val="21"/>
                <w:szCs w:val="21"/>
                <w:highlight w:val="none"/>
                <w:lang w:eastAsia="zh-CN"/>
              </w:rPr>
              <w:t>：</w:t>
            </w:r>
            <w:r>
              <w:rPr>
                <w:rFonts w:hint="default"/>
                <w:color w:val="auto"/>
                <w:sz w:val="21"/>
                <w:szCs w:val="21"/>
                <w:highlight w:val="none"/>
              </w:rPr>
              <w:t>现场文明施工、环境保护措施和内容与</w:t>
            </w:r>
            <w:r>
              <w:rPr>
                <w:rFonts w:hint="eastAsia"/>
                <w:color w:val="auto"/>
                <w:sz w:val="21"/>
                <w:szCs w:val="21"/>
                <w:highlight w:val="none"/>
                <w:lang w:eastAsia="zh-CN"/>
              </w:rPr>
              <w:t>相关施工安全生产标准或文明施工要求的</w:t>
            </w:r>
            <w:r>
              <w:rPr>
                <w:rFonts w:hint="default"/>
                <w:color w:val="auto"/>
                <w:sz w:val="21"/>
                <w:szCs w:val="21"/>
                <w:highlight w:val="none"/>
              </w:rPr>
              <w:t>的要求偏差大，</w:t>
            </w:r>
            <w:r>
              <w:rPr>
                <w:rFonts w:hint="eastAsia"/>
                <w:color w:val="auto"/>
                <w:spacing w:val="-10"/>
                <w:sz w:val="21"/>
                <w:szCs w:val="21"/>
                <w:highlight w:val="none"/>
                <w:lang w:val="en-US" w:eastAsia="zh-CN"/>
              </w:rPr>
              <w:t>在施工过程中解决各种紧急异常问题的能力欠佳</w:t>
            </w:r>
            <w:r>
              <w:rPr>
                <w:rFonts w:hint="default"/>
                <w:color w:val="auto"/>
                <w:sz w:val="21"/>
                <w:szCs w:val="21"/>
                <w:highlight w:val="none"/>
              </w:rPr>
              <w:t>。</w:t>
            </w:r>
          </w:p>
        </w:tc>
      </w:tr>
      <w:tr w14:paraId="5DC8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53B3C0A7">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工程施工的重点和难点及保证措施（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37973C40">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leftChars="0" w:right="101" w:righ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评审专家自行对重点和难点、现场保证措施、施工衔接是否分析到位、合理有效等各方面进行独立打分。 </w:t>
            </w:r>
          </w:p>
          <w:p w14:paraId="7879661C">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优（6分）</w:t>
            </w:r>
            <w:r>
              <w:rPr>
                <w:rFonts w:hint="default"/>
                <w:color w:val="auto"/>
                <w:sz w:val="21"/>
                <w:szCs w:val="21"/>
                <w:highlight w:val="none"/>
              </w:rPr>
              <w:t>：针对该项目的</w:t>
            </w:r>
            <w:r>
              <w:rPr>
                <w:rFonts w:hint="eastAsia"/>
                <w:color w:val="auto"/>
                <w:sz w:val="21"/>
                <w:szCs w:val="21"/>
                <w:highlight w:val="none"/>
                <w:lang w:val="en-US" w:eastAsia="zh-CN"/>
              </w:rPr>
              <w:t>重点和</w:t>
            </w:r>
            <w:r>
              <w:rPr>
                <w:rFonts w:hint="default"/>
                <w:color w:val="auto"/>
                <w:sz w:val="21"/>
                <w:szCs w:val="21"/>
                <w:highlight w:val="none"/>
              </w:rPr>
              <w:t>难点</w:t>
            </w:r>
            <w:r>
              <w:rPr>
                <w:rFonts w:hint="eastAsia"/>
                <w:color w:val="auto"/>
                <w:sz w:val="21"/>
                <w:szCs w:val="21"/>
                <w:highlight w:val="none"/>
                <w:lang w:val="en-US" w:eastAsia="zh-CN"/>
              </w:rPr>
              <w:t>分析全面</w:t>
            </w:r>
            <w:r>
              <w:rPr>
                <w:rFonts w:hint="eastAsia"/>
                <w:color w:val="auto"/>
                <w:sz w:val="21"/>
                <w:szCs w:val="21"/>
                <w:highlight w:val="none"/>
                <w:lang w:eastAsia="zh-CN"/>
              </w:rPr>
              <w:t>（</w:t>
            </w:r>
            <w:r>
              <w:rPr>
                <w:rFonts w:hint="eastAsia"/>
                <w:color w:val="auto"/>
                <w:sz w:val="21"/>
                <w:szCs w:val="21"/>
                <w:highlight w:val="none"/>
                <w:lang w:val="en-US" w:eastAsia="zh-CN"/>
              </w:rPr>
              <w:t>且包含但不限于：有重点和难点分析、重点和难点解决措施、重点和难点各部分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措施、重点和难点科学合理可行的优化措施等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，以保证施工质量效果和设计效果的完美统一。 </w:t>
            </w:r>
          </w:p>
          <w:p w14:paraId="20C4EA3C">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分）：针对该项目的难点、重点分析到位</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，未重点考虑各部分施工如何相互交叉和衔接，施工质量效果基本达到设计效果。</w:t>
            </w:r>
          </w:p>
          <w:p w14:paraId="11CA4B0F">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中（2分）</w:t>
            </w:r>
            <w:r>
              <w:rPr>
                <w:rFonts w:hint="eastAsia" w:ascii="宋体" w:hAnsi="宋体" w:eastAsia="宋体" w:cs="宋体"/>
                <w:color w:val="auto"/>
                <w:sz w:val="21"/>
                <w:szCs w:val="21"/>
                <w:highlight w:val="none"/>
                <w:lang w:eastAsia="zh-CN"/>
              </w:rPr>
              <w:t>：针对该项目的难点、重点分析</w:t>
            </w:r>
            <w:r>
              <w:rPr>
                <w:rFonts w:hint="eastAsia" w:cs="宋体"/>
                <w:color w:val="auto"/>
                <w:sz w:val="21"/>
                <w:szCs w:val="21"/>
                <w:highlight w:val="none"/>
                <w:lang w:val="en-US" w:eastAsia="zh-CN"/>
              </w:rPr>
              <w:t>简单</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，各部分施工如何相互交叉和衔接不合理， 施工质量效果和设计效果有较大差距。 </w:t>
            </w:r>
          </w:p>
          <w:p w14:paraId="790FB328">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leftChars="0" w:right="101" w:rightChars="0" w:firstLine="420" w:firstLineChars="200"/>
              <w:textAlignment w:val="auto"/>
              <w:rPr>
                <w:rFonts w:hint="default"/>
                <w:color w:val="auto"/>
                <w:sz w:val="21"/>
                <w:szCs w:val="21"/>
                <w:highlight w:val="none"/>
              </w:rPr>
            </w:pPr>
            <w:r>
              <w:rPr>
                <w:rFonts w:hint="eastAsia" w:cs="宋体"/>
                <w:color w:val="auto"/>
                <w:sz w:val="21"/>
                <w:szCs w:val="21"/>
                <w:highlight w:val="none"/>
                <w:lang w:eastAsia="zh-CN"/>
              </w:rPr>
              <w:t>一般（1分）</w:t>
            </w:r>
            <w:r>
              <w:rPr>
                <w:rFonts w:hint="eastAsia" w:ascii="宋体" w:hAnsi="宋体" w:eastAsia="宋体" w:cs="宋体"/>
                <w:color w:val="auto"/>
                <w:sz w:val="21"/>
                <w:szCs w:val="21"/>
                <w:highlight w:val="none"/>
                <w:lang w:eastAsia="zh-CN"/>
              </w:rPr>
              <w:t>：未针对该项目的难点、重点进行分</w:t>
            </w:r>
            <w:r>
              <w:rPr>
                <w:rFonts w:hint="default"/>
                <w:color w:val="auto"/>
                <w:sz w:val="21"/>
                <w:szCs w:val="21"/>
                <w:highlight w:val="none"/>
              </w:rPr>
              <w:t>析</w:t>
            </w:r>
            <w:r>
              <w:rPr>
                <w:rFonts w:hint="eastAsia"/>
                <w:color w:val="auto"/>
                <w:sz w:val="21"/>
                <w:szCs w:val="21"/>
                <w:highlight w:val="none"/>
                <w:lang w:val="en-US" w:eastAsia="zh-CN"/>
              </w:rPr>
              <w:t>欠缺实战经验，措施简单只包含有重点和难点分析、重点和难点解决措等</w:t>
            </w:r>
            <w:r>
              <w:rPr>
                <w:rFonts w:hint="default"/>
                <w:color w:val="auto"/>
                <w:sz w:val="21"/>
                <w:szCs w:val="21"/>
                <w:highlight w:val="none"/>
              </w:rPr>
              <w:t>，未考虑各部分施工如何相互交叉和衔接，施工质量效果和设计效果的无法统一。</w:t>
            </w:r>
          </w:p>
        </w:tc>
      </w:tr>
      <w:tr w14:paraId="68CC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105D87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s="宋体"/>
                <w:color w:val="auto"/>
                <w:kern w:val="0"/>
                <w:sz w:val="21"/>
                <w:szCs w:val="21"/>
                <w:highlight w:val="none"/>
              </w:rPr>
              <w:t>施工总平面布置图（</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047521CD">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评审专家自行对施工总平面图是否有针对性、满足施工要求、完整合理性等各方面进行独立打分。 </w:t>
            </w:r>
          </w:p>
          <w:p w14:paraId="473A2E09">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：总体布置有针对性、合理，</w:t>
            </w:r>
            <w:r>
              <w:rPr>
                <w:rFonts w:hint="eastAsia"/>
                <w:color w:val="auto"/>
                <w:sz w:val="21"/>
                <w:szCs w:val="21"/>
                <w:highlight w:val="none"/>
                <w:lang w:eastAsia="zh-CN"/>
              </w:rPr>
              <w:t>完全</w:t>
            </w:r>
            <w:r>
              <w:rPr>
                <w:rFonts w:hint="default"/>
                <w:color w:val="auto"/>
                <w:sz w:val="21"/>
                <w:szCs w:val="21"/>
                <w:highlight w:val="none"/>
              </w:rPr>
              <w:t>满足施工需要，符合安全、文明生产要求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 xml:space="preserve">。 </w:t>
            </w:r>
          </w:p>
          <w:p w14:paraId="6DE32CCA">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 xml:space="preserve">分）：总体布置合理，能满足施工需要， </w:t>
            </w:r>
            <w:r>
              <w:rPr>
                <w:rFonts w:hint="eastAsia"/>
                <w:color w:val="auto"/>
                <w:sz w:val="21"/>
                <w:szCs w:val="21"/>
                <w:highlight w:val="none"/>
                <w:lang w:eastAsia="zh-CN"/>
              </w:rPr>
              <w:t>可以</w:t>
            </w:r>
            <w:r>
              <w:rPr>
                <w:rFonts w:hint="default"/>
                <w:color w:val="auto"/>
                <w:sz w:val="21"/>
                <w:szCs w:val="21"/>
                <w:highlight w:val="none"/>
              </w:rPr>
              <w:t>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w:t>
            </w:r>
          </w:p>
          <w:p w14:paraId="23C6B871">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中（2分）</w:t>
            </w:r>
            <w:r>
              <w:rPr>
                <w:rFonts w:hint="default"/>
                <w:color w:val="auto"/>
                <w:sz w:val="21"/>
                <w:szCs w:val="21"/>
                <w:highlight w:val="none"/>
              </w:rPr>
              <w:t>：总体布置基本合理，基本满足施工需要</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w:t>
            </w:r>
          </w:p>
          <w:p w14:paraId="00790BEB">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：总体布置不合理，</w:t>
            </w:r>
            <w:r>
              <w:rPr>
                <w:rFonts w:hint="eastAsia"/>
                <w:color w:val="auto"/>
                <w:sz w:val="21"/>
                <w:szCs w:val="21"/>
                <w:highlight w:val="none"/>
                <w:lang w:val="en-US" w:eastAsia="zh-CN"/>
              </w:rPr>
              <w:t>每部分的区域管理</w:t>
            </w:r>
            <w:r>
              <w:rPr>
                <w:rFonts w:hint="default"/>
                <w:color w:val="auto"/>
                <w:sz w:val="21"/>
                <w:szCs w:val="21"/>
                <w:highlight w:val="none"/>
              </w:rPr>
              <w:t>不符合安全、文明生产要求。</w:t>
            </w:r>
          </w:p>
        </w:tc>
      </w:tr>
      <w:tr w14:paraId="30A5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507F2708">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both"/>
              <w:rPr>
                <w:rFonts w:hint="default"/>
                <w:b/>
                <w:bCs/>
                <w:color w:val="auto"/>
                <w:sz w:val="21"/>
                <w:szCs w:val="21"/>
                <w:highlight w:val="none"/>
              </w:rPr>
            </w:pPr>
            <w:r>
              <w:rPr>
                <w:rFonts w:hint="eastAsia"/>
                <w:b/>
                <w:bCs/>
                <w:color w:val="auto"/>
                <w:sz w:val="21"/>
                <w:szCs w:val="21"/>
                <w:highlight w:val="none"/>
                <w:lang w:val="en-US" w:eastAsia="zh-CN"/>
              </w:rPr>
              <w:t>2、报价文件</w:t>
            </w:r>
            <w:r>
              <w:rPr>
                <w:rFonts w:hint="default"/>
                <w:b/>
                <w:bCs/>
                <w:color w:val="auto"/>
                <w:sz w:val="21"/>
                <w:szCs w:val="21"/>
                <w:highlight w:val="none"/>
              </w:rPr>
              <w:t>（满分</w:t>
            </w:r>
            <w:r>
              <w:rPr>
                <w:rFonts w:hint="eastAsia"/>
                <w:b/>
                <w:bCs/>
                <w:color w:val="auto"/>
                <w:sz w:val="21"/>
                <w:szCs w:val="21"/>
                <w:highlight w:val="none"/>
                <w:lang w:val="en-US" w:eastAsia="zh-CN"/>
              </w:rPr>
              <w:t>3</w:t>
            </w:r>
            <w:r>
              <w:rPr>
                <w:rFonts w:hint="eastAsia"/>
                <w:b/>
                <w:bCs/>
                <w:color w:val="auto"/>
                <w:sz w:val="21"/>
                <w:szCs w:val="21"/>
                <w:highlight w:val="none"/>
              </w:rPr>
              <w:t>0</w:t>
            </w:r>
            <w:r>
              <w:rPr>
                <w:rFonts w:hint="default"/>
                <w:b/>
                <w:bCs/>
                <w:color w:val="auto"/>
                <w:sz w:val="21"/>
                <w:szCs w:val="21"/>
                <w:highlight w:val="none"/>
              </w:rPr>
              <w:t>分）</w:t>
            </w:r>
          </w:p>
        </w:tc>
        <w:tc>
          <w:tcPr>
            <w:tcW w:w="7413" w:type="dxa"/>
            <w:gridSpan w:val="2"/>
            <w:vAlign w:val="top"/>
          </w:tcPr>
          <w:p w14:paraId="1BE0B3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宋体"/>
                <w:color w:val="auto"/>
                <w:kern w:val="2"/>
                <w:sz w:val="21"/>
                <w:szCs w:val="21"/>
                <w:highlight w:val="none"/>
                <w:lang w:val="zh-CN" w:eastAsia="zh-CN" w:bidi="zh-CN"/>
              </w:rPr>
            </w:pPr>
            <w:r>
              <w:rPr>
                <w:rFonts w:hint="default" w:ascii="宋体" w:hAnsi="宋体" w:eastAsia="宋体" w:cs="宋体"/>
                <w:color w:val="auto"/>
                <w:kern w:val="2"/>
                <w:sz w:val="21"/>
                <w:szCs w:val="21"/>
                <w:highlight w:val="none"/>
                <w:lang w:val="zh-CN" w:eastAsia="zh-CN" w:bidi="zh-CN"/>
              </w:rPr>
              <w:t>综合评分法中的价格分统一采用低价优先法计算，即满足磋商文件要求且最后报价最低的供应商的价格为磋商基准价，其价格分为满分。其他供应商的价格分统一按照下列公式计算:</w:t>
            </w:r>
          </w:p>
          <w:p w14:paraId="08AE39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eastAsia="宋体"/>
                <w:color w:val="auto"/>
                <w:sz w:val="21"/>
                <w:szCs w:val="21"/>
                <w:highlight w:val="none"/>
                <w:lang w:val="en-US" w:eastAsia="zh-CN"/>
              </w:rPr>
            </w:pPr>
            <w:r>
              <w:rPr>
                <w:rFonts w:hint="default" w:ascii="宋体" w:hAnsi="宋体" w:eastAsia="宋体" w:cs="宋体"/>
                <w:color w:val="auto"/>
                <w:kern w:val="2"/>
                <w:sz w:val="21"/>
                <w:szCs w:val="21"/>
                <w:highlight w:val="none"/>
                <w:lang w:val="zh-CN" w:eastAsia="zh-CN" w:bidi="zh-CN"/>
              </w:rPr>
              <w:t>磋商报价得分=(磋商基准价/最后磋商报价)×</w:t>
            </w:r>
            <w:r>
              <w:rPr>
                <w:rFonts w:hint="eastAsia" w:ascii="宋体" w:hAnsi="宋体" w:eastAsia="宋体" w:cs="宋体"/>
                <w:color w:val="auto"/>
                <w:kern w:val="2"/>
                <w:sz w:val="21"/>
                <w:szCs w:val="21"/>
                <w:highlight w:val="none"/>
                <w:lang w:val="en-US" w:eastAsia="zh-CN" w:bidi="zh-CN"/>
              </w:rPr>
              <w:t>30分</w:t>
            </w:r>
          </w:p>
        </w:tc>
      </w:tr>
    </w:tbl>
    <w:p w14:paraId="4FB08E39">
      <w:pPr>
        <w:numPr>
          <w:ilvl w:val="0"/>
          <w:numId w:val="7"/>
        </w:numPr>
        <w:shd w:val="clear"/>
        <w:spacing w:line="360" w:lineRule="auto"/>
        <w:ind w:left="-73" w:leftChars="0" w:firstLine="482"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评标报告</w:t>
      </w:r>
    </w:p>
    <w:p w14:paraId="3721F619">
      <w:pPr>
        <w:numPr>
          <w:ilvl w:val="0"/>
          <w:numId w:val="0"/>
        </w:num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14:paraId="3CA9BCF7">
      <w:pPr>
        <w:keepNext w:val="0"/>
        <w:keepLines w:val="0"/>
        <w:pageBreakBefore w:val="0"/>
        <w:shd w:val="clea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小组根据综合评分情况，按照评审得分由高到低顺序推荐3名以上成交候选供应商,并在线编写电子评审报告。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4819777">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14:paraId="68FA1621">
      <w:pPr>
        <w:pStyle w:val="43"/>
        <w:shd w:val="clear"/>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98E6433">
      <w:pPr>
        <w:pStyle w:val="3"/>
        <w:shd w:val="clear"/>
        <w:spacing w:before="0" w:after="0" w:line="360" w:lineRule="auto"/>
        <w:ind w:firstLine="482" w:firstLineChars="200"/>
        <w:jc w:val="both"/>
        <w:rPr>
          <w:rFonts w:hint="eastAsia" w:ascii="宋体" w:hAnsi="宋体" w:eastAsia="宋体" w:cs="宋体"/>
          <w:b/>
          <w:bCs/>
          <w:color w:val="auto"/>
          <w:sz w:val="24"/>
          <w:highlight w:val="none"/>
          <w:lang w:val="en-US" w:eastAsia="zh-CN" w:bidi="hi-IN"/>
        </w:rPr>
      </w:pPr>
      <w:bookmarkStart w:id="1116" w:name="_Toc80886940"/>
      <w:bookmarkStart w:id="1117" w:name="_Toc80205936"/>
      <w:r>
        <w:rPr>
          <w:rFonts w:hint="eastAsia" w:ascii="宋体" w:hAnsi="宋体" w:eastAsia="宋体" w:cs="宋体"/>
          <w:b/>
          <w:bCs/>
          <w:color w:val="auto"/>
          <w:sz w:val="24"/>
          <w:highlight w:val="none"/>
          <w:lang w:val="en-US" w:eastAsia="zh-CN" w:bidi="hi-IN"/>
        </w:rPr>
        <w:t>五、 评审过程的保密与录像</w:t>
      </w:r>
      <w:bookmarkEnd w:id="1116"/>
      <w:bookmarkEnd w:id="1117"/>
    </w:p>
    <w:p w14:paraId="1886C245">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14:paraId="6DA0517D">
      <w:pPr>
        <w:widowControl/>
        <w:shd w:val="clear"/>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13E533F">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14:paraId="70249F9D">
      <w:pPr>
        <w:widowControl/>
        <w:shd w:val="clear"/>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采购代理机构对评审工作现场及操作屏幕进行全过程录音录像，录音录像资料作为采购项目文件随其他文件一并存档。</w:t>
      </w:r>
    </w:p>
    <w:p w14:paraId="32250B56">
      <w:pPr>
        <w:pStyle w:val="32"/>
        <w:shd w:val="clear"/>
        <w:rPr>
          <w:rFonts w:hint="eastAsia" w:ascii="宋体" w:hAnsi="宋体" w:cs="宋体"/>
          <w:bCs/>
          <w:color w:val="auto"/>
          <w:sz w:val="21"/>
          <w:szCs w:val="21"/>
          <w:highlight w:val="none"/>
        </w:rPr>
      </w:pPr>
    </w:p>
    <w:p w14:paraId="260214C8">
      <w:pPr>
        <w:pStyle w:val="31"/>
        <w:shd w:val="clear"/>
        <w:rPr>
          <w:rFonts w:hint="eastAsia"/>
          <w:color w:val="auto"/>
          <w:highlight w:val="none"/>
        </w:rPr>
      </w:pPr>
    </w:p>
    <w:p w14:paraId="3C29FAE1">
      <w:pPr>
        <w:pStyle w:val="32"/>
        <w:rPr>
          <w:rFonts w:hint="eastAsia"/>
          <w:color w:val="auto"/>
          <w:highlight w:val="none"/>
        </w:rPr>
      </w:pPr>
    </w:p>
    <w:p w14:paraId="30E9BE93">
      <w:pPr>
        <w:pStyle w:val="31"/>
        <w:rPr>
          <w:rFonts w:hint="eastAsia"/>
          <w:color w:val="auto"/>
          <w:highlight w:val="none"/>
        </w:rPr>
      </w:pPr>
    </w:p>
    <w:p w14:paraId="497D8EF8">
      <w:pPr>
        <w:pStyle w:val="32"/>
        <w:shd w:val="clear"/>
        <w:rPr>
          <w:rFonts w:hint="eastAsia"/>
          <w:color w:val="auto"/>
          <w:highlight w:val="none"/>
        </w:rPr>
      </w:pPr>
    </w:p>
    <w:p w14:paraId="7FF45EF0">
      <w:pPr>
        <w:pStyle w:val="31"/>
        <w:rPr>
          <w:rFonts w:hint="eastAsia"/>
          <w:color w:val="auto"/>
          <w:highlight w:val="none"/>
        </w:rPr>
      </w:pPr>
    </w:p>
    <w:p w14:paraId="2C6D36CA">
      <w:pPr>
        <w:pStyle w:val="32"/>
        <w:rPr>
          <w:rFonts w:hint="eastAsia"/>
          <w:color w:val="auto"/>
          <w:highlight w:val="none"/>
        </w:rPr>
      </w:pPr>
    </w:p>
    <w:p w14:paraId="1141C40F">
      <w:pPr>
        <w:pStyle w:val="31"/>
        <w:rPr>
          <w:rFonts w:hint="eastAsia"/>
          <w:color w:val="auto"/>
          <w:highlight w:val="none"/>
        </w:rPr>
      </w:pPr>
    </w:p>
    <w:p w14:paraId="7C3C1E54">
      <w:pPr>
        <w:pStyle w:val="32"/>
        <w:rPr>
          <w:rFonts w:hint="eastAsia"/>
          <w:color w:val="auto"/>
          <w:highlight w:val="none"/>
        </w:rPr>
      </w:pPr>
    </w:p>
    <w:p w14:paraId="296BEAEE">
      <w:pPr>
        <w:pStyle w:val="31"/>
        <w:rPr>
          <w:rFonts w:hint="eastAsia"/>
          <w:color w:val="auto"/>
          <w:highlight w:val="none"/>
        </w:rPr>
      </w:pPr>
    </w:p>
    <w:p w14:paraId="42CC49DE">
      <w:pPr>
        <w:pStyle w:val="32"/>
        <w:rPr>
          <w:rFonts w:hint="eastAsia"/>
          <w:color w:val="auto"/>
          <w:highlight w:val="none"/>
        </w:rPr>
      </w:pPr>
    </w:p>
    <w:p w14:paraId="1B5DF60A">
      <w:pPr>
        <w:pStyle w:val="31"/>
        <w:rPr>
          <w:rFonts w:hint="eastAsia"/>
          <w:color w:val="auto"/>
          <w:highlight w:val="none"/>
        </w:rPr>
      </w:pPr>
    </w:p>
    <w:p w14:paraId="34AB8A4A">
      <w:pPr>
        <w:pStyle w:val="32"/>
        <w:rPr>
          <w:rFonts w:hint="eastAsia"/>
          <w:color w:val="auto"/>
          <w:highlight w:val="none"/>
        </w:rPr>
      </w:pPr>
    </w:p>
    <w:p w14:paraId="598437E7">
      <w:pPr>
        <w:pStyle w:val="31"/>
        <w:rPr>
          <w:rFonts w:hint="eastAsia"/>
          <w:color w:val="auto"/>
          <w:highlight w:val="none"/>
        </w:rPr>
      </w:pPr>
    </w:p>
    <w:p w14:paraId="32F64E5B">
      <w:pPr>
        <w:pStyle w:val="32"/>
        <w:rPr>
          <w:rFonts w:hint="eastAsia"/>
          <w:color w:val="auto"/>
          <w:highlight w:val="none"/>
        </w:rPr>
      </w:pPr>
    </w:p>
    <w:p w14:paraId="57832ABD">
      <w:pPr>
        <w:pStyle w:val="31"/>
        <w:rPr>
          <w:rFonts w:hint="eastAsia"/>
          <w:color w:val="auto"/>
          <w:highlight w:val="none"/>
        </w:rPr>
      </w:pPr>
    </w:p>
    <w:p w14:paraId="20081B9F">
      <w:pPr>
        <w:pStyle w:val="32"/>
        <w:rPr>
          <w:rFonts w:hint="eastAsia"/>
          <w:color w:val="auto"/>
          <w:highlight w:val="none"/>
        </w:rPr>
      </w:pPr>
    </w:p>
    <w:p w14:paraId="1580D734">
      <w:pPr>
        <w:pStyle w:val="31"/>
        <w:rPr>
          <w:rFonts w:hint="eastAsia"/>
          <w:color w:val="auto"/>
          <w:highlight w:val="none"/>
        </w:rPr>
      </w:pPr>
    </w:p>
    <w:p w14:paraId="7FBA6715">
      <w:pPr>
        <w:pStyle w:val="32"/>
        <w:rPr>
          <w:rFonts w:hint="eastAsia"/>
          <w:color w:val="auto"/>
          <w:highlight w:val="none"/>
        </w:rPr>
      </w:pPr>
    </w:p>
    <w:p w14:paraId="0E14153C">
      <w:pPr>
        <w:pStyle w:val="31"/>
        <w:rPr>
          <w:rFonts w:hint="eastAsia"/>
          <w:color w:val="auto"/>
          <w:highlight w:val="none"/>
        </w:rPr>
      </w:pPr>
    </w:p>
    <w:p w14:paraId="2693CB31">
      <w:pPr>
        <w:pStyle w:val="32"/>
        <w:rPr>
          <w:rFonts w:hint="eastAsia"/>
          <w:color w:val="auto"/>
          <w:highlight w:val="none"/>
        </w:rPr>
      </w:pPr>
    </w:p>
    <w:p w14:paraId="1710CB92">
      <w:pPr>
        <w:pStyle w:val="31"/>
        <w:rPr>
          <w:rFonts w:hint="eastAsia"/>
          <w:color w:val="auto"/>
          <w:highlight w:val="none"/>
        </w:rPr>
      </w:pPr>
    </w:p>
    <w:p w14:paraId="2C4D0EFC">
      <w:pPr>
        <w:pStyle w:val="32"/>
        <w:rPr>
          <w:rFonts w:hint="eastAsia"/>
        </w:rPr>
      </w:pPr>
    </w:p>
    <w:p w14:paraId="2442DC1B">
      <w:pPr>
        <w:pStyle w:val="32"/>
        <w:shd w:val="clear"/>
        <w:rPr>
          <w:rFonts w:hint="eastAsia" w:ascii="宋体" w:hAnsi="宋体" w:cs="宋体"/>
          <w:bCs/>
          <w:color w:val="auto"/>
          <w:sz w:val="21"/>
          <w:szCs w:val="21"/>
          <w:highlight w:val="none"/>
        </w:rPr>
      </w:pPr>
    </w:p>
    <w:p w14:paraId="26932BF5">
      <w:pPr>
        <w:shd w:val="clear"/>
        <w:spacing w:line="360" w:lineRule="auto"/>
        <w:ind w:firstLine="632" w:firstLineChars="300"/>
        <w:jc w:val="center"/>
        <w:rPr>
          <w:rFonts w:ascii="宋体" w:hAnsi="宋体"/>
          <w:b/>
          <w:bCs/>
          <w:color w:val="auto"/>
          <w:sz w:val="21"/>
          <w:szCs w:val="21"/>
          <w:highlight w:val="none"/>
        </w:rPr>
      </w:pPr>
      <w:r>
        <w:rPr>
          <w:rFonts w:hint="eastAsia" w:ascii="宋体" w:hAnsi="宋体"/>
          <w:b/>
          <w:bCs/>
          <w:color w:val="auto"/>
          <w:sz w:val="21"/>
          <w:szCs w:val="21"/>
          <w:highlight w:val="none"/>
        </w:rPr>
        <w:t>附件：评分细则</w:t>
      </w:r>
    </w:p>
    <w:p w14:paraId="1950640A">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1.初步评审</w:t>
      </w:r>
    </w:p>
    <w:p w14:paraId="41CF2FEE">
      <w:pPr>
        <w:shd w:val="clea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2A3B0E5C">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2.磋商</w:t>
      </w:r>
    </w:p>
    <w:p w14:paraId="74ECF4C7">
      <w:pPr>
        <w:shd w:val="clea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磋商小组将与通过</w:t>
      </w:r>
      <w:r>
        <w:rPr>
          <w:rFonts w:hint="eastAsia" w:ascii="宋体" w:hAnsi="宋体"/>
          <w:bCs/>
          <w:color w:val="auto"/>
          <w:sz w:val="21"/>
          <w:szCs w:val="21"/>
          <w:highlight w:val="none"/>
          <w:lang w:eastAsia="zh-CN"/>
        </w:rPr>
        <w:t>初步审查</w:t>
      </w:r>
      <w:r>
        <w:rPr>
          <w:rFonts w:hint="eastAsia" w:ascii="宋体" w:hAnsi="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14:paraId="6A8B087A">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（1）供应商在磋商小组规定的时间内按要求再次以书面形式报价，并由法定代表人或授权代理人签字确认。</w:t>
      </w:r>
    </w:p>
    <w:p w14:paraId="47A836B0">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14:paraId="12DBE9CD">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（3）如出现供应商达不到法定数量，供应商最终报价均超出采购预算，磋商小组有权否决所有报价，采购人报请监督管理机构批准后另行采购。</w:t>
      </w:r>
    </w:p>
    <w:p w14:paraId="4B8C2E12">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3、确定成交供应商</w:t>
      </w:r>
    </w:p>
    <w:p w14:paraId="353A042B">
      <w:pPr>
        <w:shd w:val="clea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p>
    <w:p w14:paraId="522EE6F2">
      <w:pPr>
        <w:shd w:val="clear"/>
        <w:spacing w:line="360" w:lineRule="auto"/>
        <w:outlineLvl w:val="0"/>
        <w:rPr>
          <w:rFonts w:ascii="宋体" w:hAnsi="宋体"/>
          <w:bCs/>
          <w:color w:val="auto"/>
          <w:sz w:val="21"/>
          <w:szCs w:val="21"/>
          <w:highlight w:val="none"/>
        </w:rPr>
      </w:pPr>
      <w:r>
        <w:rPr>
          <w:rFonts w:hint="eastAsia" w:ascii="宋体" w:hAnsi="宋体"/>
          <w:bCs/>
          <w:color w:val="auto"/>
          <w:sz w:val="21"/>
          <w:szCs w:val="21"/>
          <w:highlight w:val="none"/>
        </w:rPr>
        <w:t>4、磋商纪律</w:t>
      </w:r>
    </w:p>
    <w:p w14:paraId="674955BE">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（1）磋商小组内部讨论的情况和意见必须保密，任何人不得以任何形式透露给供应商或与供应商有关的单位或个人。</w:t>
      </w:r>
    </w:p>
    <w:p w14:paraId="6F88FBE0">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（2）磋商小组成员在磋商期间不得与供应商进行私下接触，不得私自离开磋商现场，如确需离开现场须在监督员监督下进行，并按时返回。</w:t>
      </w:r>
    </w:p>
    <w:p w14:paraId="55732E7E">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（3）在磋商过程中，供应商不得以任何形式对磋商小组成员进行旨在影响磋商及结果的任何行为，否则取消其磋商资格。</w:t>
      </w:r>
    </w:p>
    <w:p w14:paraId="400C1422">
      <w:pPr>
        <w:shd w:val="clear"/>
        <w:spacing w:line="360" w:lineRule="auto"/>
        <w:ind w:firstLine="315" w:firstLineChars="150"/>
        <w:rPr>
          <w:rFonts w:hint="eastAsia" w:ascii="宋体" w:hAnsi="宋体"/>
          <w:bCs/>
          <w:color w:val="auto"/>
          <w:sz w:val="21"/>
          <w:szCs w:val="21"/>
          <w:highlight w:val="none"/>
        </w:rPr>
      </w:pPr>
      <w:r>
        <w:rPr>
          <w:rFonts w:hint="eastAsia" w:ascii="宋体" w:hAnsi="宋体"/>
          <w:bCs/>
          <w:color w:val="auto"/>
          <w:sz w:val="21"/>
          <w:szCs w:val="21"/>
          <w:highlight w:val="none"/>
        </w:rPr>
        <w:t>（4）在磋商过程中，供应商对竞争性磋商响应文件的内容在符合竞争性磋商文件的前提下可进行修改，但最终报价必须以书面形式确认。</w:t>
      </w:r>
    </w:p>
    <w:p w14:paraId="1755950E">
      <w:pPr>
        <w:shd w:val="clear"/>
        <w:spacing w:line="360" w:lineRule="auto"/>
        <w:ind w:firstLine="315" w:firstLineChars="150"/>
        <w:rPr>
          <w:color w:val="auto"/>
          <w:sz w:val="21"/>
          <w:szCs w:val="21"/>
          <w:highlight w:val="none"/>
        </w:rPr>
      </w:pPr>
      <w:r>
        <w:rPr>
          <w:rFonts w:hint="eastAsia" w:ascii="宋体" w:hAnsi="宋体"/>
          <w:bCs/>
          <w:color w:val="auto"/>
          <w:sz w:val="21"/>
          <w:szCs w:val="21"/>
          <w:highlight w:val="none"/>
          <w:lang w:val="en-US" w:eastAsia="zh-CN"/>
        </w:rPr>
        <w:t>5、以上评审方法按照竞争性磋商采购文件要求和相关法律法规进行。</w:t>
      </w:r>
    </w:p>
    <w:p w14:paraId="29D2D1B5">
      <w:pPr>
        <w:pStyle w:val="31"/>
        <w:shd w:val="clear"/>
        <w:rPr>
          <w:rFonts w:hint="eastAsia"/>
          <w:color w:val="auto"/>
          <w:sz w:val="21"/>
          <w:szCs w:val="21"/>
          <w:highlight w:val="none"/>
        </w:rPr>
        <w:sectPr>
          <w:pgSz w:w="11906" w:h="16838"/>
          <w:pgMar w:top="1134" w:right="1134" w:bottom="1134" w:left="1417" w:header="851" w:footer="851" w:gutter="0"/>
          <w:cols w:space="720" w:num="1"/>
          <w:formProt w:val="1"/>
          <w:docGrid w:linePitch="312" w:charSpace="43007"/>
        </w:sectPr>
      </w:pPr>
    </w:p>
    <w:p w14:paraId="79D32D05">
      <w:pPr>
        <w:pStyle w:val="31"/>
        <w:shd w:val="clear"/>
        <w:spacing w:line="360" w:lineRule="auto"/>
        <w:jc w:val="center"/>
        <w:rPr>
          <w:rFonts w:hint="eastAsia" w:ascii="宋体" w:hAnsi="宋体"/>
          <w:b/>
          <w:color w:val="auto"/>
          <w:sz w:val="32"/>
          <w:szCs w:val="32"/>
          <w:highlight w:val="none"/>
        </w:rPr>
      </w:pPr>
    </w:p>
    <w:p w14:paraId="41F56D5B">
      <w:pPr>
        <w:pStyle w:val="32"/>
        <w:shd w:val="clear"/>
        <w:rPr>
          <w:rFonts w:hint="eastAsia" w:ascii="宋体" w:hAnsi="宋体" w:eastAsia="宋体"/>
          <w:color w:val="auto"/>
          <w:sz w:val="32"/>
          <w:szCs w:val="32"/>
          <w:highlight w:val="none"/>
        </w:rPr>
      </w:pPr>
    </w:p>
    <w:p w14:paraId="7F613687">
      <w:pPr>
        <w:pStyle w:val="31"/>
        <w:shd w:val="clear"/>
        <w:rPr>
          <w:rFonts w:hint="eastAsia" w:ascii="宋体" w:hAnsi="宋体"/>
          <w:b/>
          <w:color w:val="auto"/>
          <w:sz w:val="32"/>
          <w:szCs w:val="32"/>
          <w:highlight w:val="none"/>
        </w:rPr>
      </w:pPr>
    </w:p>
    <w:p w14:paraId="26C3B92E">
      <w:pPr>
        <w:pStyle w:val="32"/>
        <w:shd w:val="clear"/>
        <w:rPr>
          <w:rFonts w:hint="eastAsia"/>
          <w:color w:val="auto"/>
          <w:highlight w:val="none"/>
        </w:rPr>
      </w:pPr>
    </w:p>
    <w:p w14:paraId="0E7A6D12">
      <w:pPr>
        <w:pStyle w:val="32"/>
        <w:shd w:val="clear"/>
        <w:rPr>
          <w:rFonts w:hint="eastAsia" w:ascii="宋体" w:hAnsi="宋体" w:eastAsia="宋体"/>
          <w:color w:val="auto"/>
          <w:sz w:val="32"/>
          <w:szCs w:val="32"/>
          <w:highlight w:val="none"/>
        </w:rPr>
      </w:pPr>
    </w:p>
    <w:p w14:paraId="11F994A7">
      <w:pPr>
        <w:pStyle w:val="31"/>
        <w:shd w:val="clear"/>
        <w:rPr>
          <w:rFonts w:hint="eastAsia" w:ascii="宋体" w:hAnsi="宋体"/>
          <w:b/>
          <w:color w:val="auto"/>
          <w:sz w:val="32"/>
          <w:szCs w:val="32"/>
          <w:highlight w:val="none"/>
        </w:rPr>
      </w:pPr>
    </w:p>
    <w:p w14:paraId="2E307321">
      <w:pPr>
        <w:pStyle w:val="32"/>
        <w:shd w:val="clear"/>
        <w:rPr>
          <w:rFonts w:hint="eastAsia"/>
          <w:color w:val="auto"/>
          <w:highlight w:val="none"/>
        </w:rPr>
      </w:pPr>
    </w:p>
    <w:p w14:paraId="4BC852A5">
      <w:pPr>
        <w:pStyle w:val="31"/>
        <w:shd w:val="clear"/>
        <w:spacing w:line="360" w:lineRule="auto"/>
        <w:jc w:val="center"/>
        <w:outlineLvl w:val="0"/>
        <w:rPr>
          <w:rFonts w:hint="eastAsia" w:ascii="宋体" w:hAnsi="宋体"/>
          <w:b/>
          <w:color w:val="auto"/>
          <w:sz w:val="32"/>
          <w:szCs w:val="32"/>
          <w:highlight w:val="none"/>
        </w:rPr>
      </w:pPr>
      <w:bookmarkStart w:id="1118" w:name="_Toc5706"/>
      <w:r>
        <w:rPr>
          <w:rFonts w:hint="eastAsia" w:ascii="宋体" w:hAnsi="宋体"/>
          <w:b/>
          <w:color w:val="auto"/>
          <w:sz w:val="32"/>
          <w:szCs w:val="32"/>
          <w:highlight w:val="none"/>
        </w:rPr>
        <w:t>第七章   施工图纸及工程量清单</w:t>
      </w:r>
      <w:bookmarkEnd w:id="1118"/>
    </w:p>
    <w:p w14:paraId="4D5B086F">
      <w:pPr>
        <w:pStyle w:val="32"/>
        <w:shd w:val="clear"/>
        <w:jc w:val="center"/>
        <w:rPr>
          <w:color w:val="auto"/>
          <w:highlight w:val="none"/>
        </w:rPr>
      </w:pPr>
      <w:r>
        <w:rPr>
          <w:rFonts w:hint="eastAsia"/>
          <w:color w:val="auto"/>
          <w:highlight w:val="none"/>
        </w:rPr>
        <w:t>另册</w:t>
      </w:r>
    </w:p>
    <w:p w14:paraId="205DCC5D">
      <w:pPr>
        <w:shd w:val="clear"/>
        <w:rPr>
          <w:color w:val="auto"/>
          <w:highlight w:val="none"/>
        </w:rPr>
      </w:pPr>
    </w:p>
    <w:p w14:paraId="2F286C7B">
      <w:pPr>
        <w:rPr>
          <w:color w:val="auto"/>
        </w:rPr>
      </w:pPr>
    </w:p>
    <w:sectPr>
      <w:headerReference r:id="rId12" w:type="default"/>
      <w:footerReference r:id="rId13" w:type="default"/>
      <w:pgSz w:w="11906" w:h="16838"/>
      <w:pgMar w:top="1134" w:right="1134" w:bottom="1134" w:left="1417" w:header="851" w:footer="851" w:gutter="0"/>
      <w:cols w:space="720" w:num="1"/>
      <w:formProt w:val="1"/>
      <w:docGrid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7311B81-580E-4192-A9F9-00B469863659}"/>
  </w:font>
  <w:font w:name="黑体">
    <w:panose1 w:val="02010609060101010101"/>
    <w:charset w:val="86"/>
    <w:family w:val="auto"/>
    <w:pitch w:val="default"/>
    <w:sig w:usb0="800002BF" w:usb1="38CF7CFA" w:usb2="00000016" w:usb3="00000000" w:csb0="00040001" w:csb1="00000000"/>
    <w:embedRegular r:id="rId2" w:fontKey="{6D026C4B-0179-4726-A914-0D34FF9C6FFC}"/>
  </w:font>
  <w:font w:name="Courier New">
    <w:panose1 w:val="02070309020205020404"/>
    <w:charset w:val="01"/>
    <w:family w:val="modern"/>
    <w:pitch w:val="default"/>
    <w:sig w:usb0="E0002AFF" w:usb1="C0007843" w:usb2="00000009" w:usb3="00000000" w:csb0="400001FF" w:csb1="FFFF0000"/>
    <w:embedRegular r:id="rId3" w:fontKey="{AB5D6639-7246-4A5A-B689-39005D88CB1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E4208EBE-CCF4-40A1-A567-9CF1FB0CD8FB}"/>
  </w:font>
  <w:font w:name="Mangal">
    <w:panose1 w:val="02040503050203030202"/>
    <w:charset w:val="00"/>
    <w:family w:val="roman"/>
    <w:pitch w:val="default"/>
    <w:sig w:usb0="00008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金山简黑体">
    <w:altName w:val="黑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embedRegular r:id="rId5" w:fontKey="{91893F86-E73F-4559-A685-9FBCD4AA1216}"/>
  </w:font>
  <w:font w:name="仿宋_GB2312">
    <w:panose1 w:val="02010609030101010101"/>
    <w:charset w:val="86"/>
    <w:family w:val="modern"/>
    <w:pitch w:val="default"/>
    <w:sig w:usb0="00000001" w:usb1="080E0000" w:usb2="00000000" w:usb3="00000000" w:csb0="00040000" w:csb1="00000000"/>
    <w:embedRegular r:id="rId6" w:fontKey="{33A6BF73-9169-44BE-A966-320EAE01B5B9}"/>
  </w:font>
  <w:font w:name="方正隶书简体">
    <w:altName w:val="宋体"/>
    <w:panose1 w:val="00000000000000000000"/>
    <w:charset w:val="86"/>
    <w:family w:val="roman"/>
    <w:pitch w:val="default"/>
    <w:sig w:usb0="00000000" w:usb1="00000000" w:usb2="00000000" w:usb3="00000000" w:csb0="00040001" w:csb1="00000000"/>
    <w:embedRegular r:id="rId7" w:fontKey="{232F765D-F174-43CC-9D55-3DDC3A23A39D}"/>
  </w:font>
  <w:font w:name="楷体_GB2312">
    <w:panose1 w:val="02010609030101010101"/>
    <w:charset w:val="86"/>
    <w:family w:val="modern"/>
    <w:pitch w:val="default"/>
    <w:sig w:usb0="00000001" w:usb1="080E0000" w:usb2="00000000" w:usb3="00000000" w:csb0="00040000" w:csb1="00000000"/>
    <w:embedRegular r:id="rId8" w:fontKey="{E2A1ECE5-D1AA-4A3A-A6A7-2B2D02F3827B}"/>
  </w:font>
  <w:font w:name="MingLiU_HKSCS">
    <w:panose1 w:val="02020500000000000000"/>
    <w:charset w:val="88"/>
    <w:family w:val="auto"/>
    <w:pitch w:val="default"/>
    <w:sig w:usb0="A00002FF" w:usb1="38CFFCFA" w:usb2="00000016" w:usb3="00000000" w:csb0="00100001" w:csb1="00000000"/>
    <w:embedRegular r:id="rId9" w:fontKey="{B47DDF89-F436-4F7B-AF21-4A5B31EF53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DFC8E">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0AB06">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Fonts w:hint="eastAsia"/>
      </w:rPr>
      <w:t>６</w:t>
    </w:r>
    <w:r>
      <w:rPr>
        <w:rStyle w:val="26"/>
      </w:rPr>
      <w:fldChar w:fldCharType="end"/>
    </w:r>
  </w:p>
  <w:p w14:paraId="57E7A0DB">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0BD26">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AE488">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5DEF60">
                          <w:pPr>
                            <w:pStyle w:val="15"/>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C5DEF60">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0D3AC">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5C6DB3">
                          <w:pPr>
                            <w:pStyle w:val="15"/>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55C6DB3">
                    <w:pPr>
                      <w:pStyle w:val="1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5F134">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547681">
                          <w:pPr>
                            <w:pStyle w:val="15"/>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E547681">
                    <w:pPr>
                      <w:pStyle w:val="1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CDF05">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5CD7D">
    <w:pPr>
      <w:pStyle w:val="16"/>
      <w:pBdr>
        <w:bottom w:val="none" w:color="auto" w:sz="0" w:space="0"/>
      </w:pBdr>
    </w:pPr>
  </w:p>
  <w:p w14:paraId="3081AC28">
    <w:pPr>
      <w:pStyle w:val="16"/>
      <w:pBdr>
        <w:bottom w:val="none" w:color="auto" w:sz="0" w:space="0"/>
      </w:pBdr>
    </w:pPr>
  </w:p>
  <w:p w14:paraId="6865A989">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132B2">
    <w:pPr>
      <w:pStyle w:val="40"/>
      <w:jc w:val="righ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3AC1E">
    <w:pPr>
      <w:pStyle w:val="16"/>
      <w:pBdr>
        <w:bottom w:val="single" w:color="auto" w:sz="4" w:space="1"/>
      </w:pBdr>
      <w:rPr>
        <w:rFonts w:hint="default" w:ascii="宋体" w:hAnsi="宋体" w:eastAsia="宋体" w:cs="宋体"/>
        <w:sz w:val="28"/>
        <w:szCs w:val="28"/>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2FC1F">
    <w:pPr>
      <w:pStyle w:val="16"/>
      <w:pBdr>
        <w:bottom w:val="single" w:color="auto" w:sz="4" w:space="1"/>
      </w:pBdr>
      <w:rPr>
        <w:rFonts w:hint="default" w:ascii="宋体" w:hAnsi="宋体" w:eastAsia="宋体" w:cs="宋体"/>
        <w:sz w:val="28"/>
        <w:szCs w:val="2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8B3B9"/>
    <w:multiLevelType w:val="singleLevel"/>
    <w:tmpl w:val="8E88B3B9"/>
    <w:lvl w:ilvl="0" w:tentative="0">
      <w:start w:val="8"/>
      <w:numFmt w:val="decimal"/>
      <w:suff w:val="nothing"/>
      <w:lvlText w:val="%1、"/>
      <w:lvlJc w:val="left"/>
    </w:lvl>
  </w:abstractNum>
  <w:abstractNum w:abstractNumId="1">
    <w:nsid w:val="AA34FD10"/>
    <w:multiLevelType w:val="singleLevel"/>
    <w:tmpl w:val="AA34FD10"/>
    <w:lvl w:ilvl="0" w:tentative="0">
      <w:start w:val="1"/>
      <w:numFmt w:val="chineseCounting"/>
      <w:suff w:val="space"/>
      <w:lvlText w:val="第%1章"/>
      <w:lvlJc w:val="left"/>
      <w:rPr>
        <w:rFonts w:hint="eastAsia"/>
      </w:rPr>
    </w:lvl>
  </w:abstractNum>
  <w:abstractNum w:abstractNumId="2">
    <w:nsid w:val="D347C309"/>
    <w:multiLevelType w:val="multilevel"/>
    <w:tmpl w:val="D347C30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EF18EC1F"/>
    <w:multiLevelType w:val="singleLevel"/>
    <w:tmpl w:val="EF18EC1F"/>
    <w:lvl w:ilvl="0" w:tentative="0">
      <w:start w:val="4"/>
      <w:numFmt w:val="chineseCounting"/>
      <w:suff w:val="nothing"/>
      <w:lvlText w:val="%1、"/>
      <w:lvlJc w:val="left"/>
      <w:pPr>
        <w:ind w:left="-73"/>
      </w:pPr>
      <w:rPr>
        <w:rFonts w:hint="eastAsia"/>
      </w:rPr>
    </w:lvl>
  </w:abstractNum>
  <w:abstractNum w:abstractNumId="4">
    <w:nsid w:val="3B19DE67"/>
    <w:multiLevelType w:val="multilevel"/>
    <w:tmpl w:val="3B19DE67"/>
    <w:lvl w:ilvl="0" w:tentative="0">
      <w:start w:val="1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697E4BDF"/>
    <w:multiLevelType w:val="singleLevel"/>
    <w:tmpl w:val="697E4BDF"/>
    <w:lvl w:ilvl="0" w:tentative="0">
      <w:start w:val="5"/>
      <w:numFmt w:val="decimal"/>
      <w:suff w:val="nothing"/>
      <w:lvlText w:val="%1、"/>
      <w:lvlJc w:val="left"/>
    </w:lvl>
  </w:abstractNum>
  <w:abstractNum w:abstractNumId="6">
    <w:nsid w:val="76D49BAE"/>
    <w:multiLevelType w:val="singleLevel"/>
    <w:tmpl w:val="76D49BAE"/>
    <w:lvl w:ilvl="0" w:tentative="0">
      <w:start w:val="5"/>
      <w:numFmt w:val="chineseCounting"/>
      <w:suff w:val="nothing"/>
      <w:lvlText w:val="%1、"/>
      <w:lvlJc w:val="left"/>
      <w:rPr>
        <w:rFonts w:hint="eastAsia"/>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forms" w:formatting="1" w:enforcement="1" w:cryptProviderType="rsaFull" w:cryptAlgorithmClass="hash" w:cryptAlgorithmType="typeAny" w:cryptAlgorithmSid="4" w:cryptSpinCount="0" w:hash="PxqV0HHmSjrN6zTDsxcKRMcvQW8=" w:salt="dUDndlI+ajBmEGN5BcrZfA=="/>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N2Q2N2Q5ZGNhOWFlMDAwOWM1NjNjZjA2MzQ0ZGUifQ=="/>
  </w:docVars>
  <w:rsids>
    <w:rsidRoot w:val="54F246F3"/>
    <w:rsid w:val="002027AF"/>
    <w:rsid w:val="01B34312"/>
    <w:rsid w:val="02E01C47"/>
    <w:rsid w:val="030C4C45"/>
    <w:rsid w:val="034C267B"/>
    <w:rsid w:val="055F58C5"/>
    <w:rsid w:val="06731F0E"/>
    <w:rsid w:val="06CB57BF"/>
    <w:rsid w:val="071F55C0"/>
    <w:rsid w:val="08AE0E4A"/>
    <w:rsid w:val="08DF474E"/>
    <w:rsid w:val="090745A8"/>
    <w:rsid w:val="09176EE3"/>
    <w:rsid w:val="091E79DC"/>
    <w:rsid w:val="09593447"/>
    <w:rsid w:val="0AD457D5"/>
    <w:rsid w:val="0B005F5D"/>
    <w:rsid w:val="0BB02781"/>
    <w:rsid w:val="0BB50C28"/>
    <w:rsid w:val="0BFB2792"/>
    <w:rsid w:val="0C3A0683"/>
    <w:rsid w:val="0C536B2D"/>
    <w:rsid w:val="0C9F1A9A"/>
    <w:rsid w:val="0E3D4936"/>
    <w:rsid w:val="0E6049DB"/>
    <w:rsid w:val="0F025C80"/>
    <w:rsid w:val="0FF27563"/>
    <w:rsid w:val="101A7939"/>
    <w:rsid w:val="109F51B3"/>
    <w:rsid w:val="10D25C88"/>
    <w:rsid w:val="117429AC"/>
    <w:rsid w:val="11C11B68"/>
    <w:rsid w:val="12123139"/>
    <w:rsid w:val="128424D9"/>
    <w:rsid w:val="12F35C08"/>
    <w:rsid w:val="1324110B"/>
    <w:rsid w:val="13500F2D"/>
    <w:rsid w:val="16024CD6"/>
    <w:rsid w:val="17716417"/>
    <w:rsid w:val="19A1391A"/>
    <w:rsid w:val="19B56C9A"/>
    <w:rsid w:val="1C7E55CF"/>
    <w:rsid w:val="1D9864DE"/>
    <w:rsid w:val="1E836F11"/>
    <w:rsid w:val="1FE77392"/>
    <w:rsid w:val="20CF3CE7"/>
    <w:rsid w:val="20DD2CF7"/>
    <w:rsid w:val="21EB5A51"/>
    <w:rsid w:val="22385AFF"/>
    <w:rsid w:val="225D7B60"/>
    <w:rsid w:val="2477778F"/>
    <w:rsid w:val="253D2794"/>
    <w:rsid w:val="257E3626"/>
    <w:rsid w:val="26612BE0"/>
    <w:rsid w:val="277F6CFA"/>
    <w:rsid w:val="284D6D68"/>
    <w:rsid w:val="29DD1C30"/>
    <w:rsid w:val="2A28618B"/>
    <w:rsid w:val="2A37190A"/>
    <w:rsid w:val="2AA77BC3"/>
    <w:rsid w:val="2ABC734E"/>
    <w:rsid w:val="2B88422F"/>
    <w:rsid w:val="2B952D9C"/>
    <w:rsid w:val="2D67115C"/>
    <w:rsid w:val="2D683E6D"/>
    <w:rsid w:val="2DA955AB"/>
    <w:rsid w:val="2E884DBD"/>
    <w:rsid w:val="2F21435D"/>
    <w:rsid w:val="2FF73BA9"/>
    <w:rsid w:val="30D0400A"/>
    <w:rsid w:val="33B67FF6"/>
    <w:rsid w:val="35993D6C"/>
    <w:rsid w:val="35B83119"/>
    <w:rsid w:val="362D624A"/>
    <w:rsid w:val="378676A1"/>
    <w:rsid w:val="38282C21"/>
    <w:rsid w:val="39467D8B"/>
    <w:rsid w:val="3A477BE0"/>
    <w:rsid w:val="3A9657FF"/>
    <w:rsid w:val="3CAE03B6"/>
    <w:rsid w:val="3D296FD1"/>
    <w:rsid w:val="3D91058D"/>
    <w:rsid w:val="3E304B29"/>
    <w:rsid w:val="3E36702A"/>
    <w:rsid w:val="3EEA1A03"/>
    <w:rsid w:val="3F530122"/>
    <w:rsid w:val="413C678F"/>
    <w:rsid w:val="41952473"/>
    <w:rsid w:val="420C5218"/>
    <w:rsid w:val="429D4387"/>
    <w:rsid w:val="432F233E"/>
    <w:rsid w:val="449F74D0"/>
    <w:rsid w:val="459E6943"/>
    <w:rsid w:val="46291052"/>
    <w:rsid w:val="46571466"/>
    <w:rsid w:val="46A40FA9"/>
    <w:rsid w:val="46E37CCC"/>
    <w:rsid w:val="471368FC"/>
    <w:rsid w:val="47202054"/>
    <w:rsid w:val="47212364"/>
    <w:rsid w:val="483A6747"/>
    <w:rsid w:val="489C2ECF"/>
    <w:rsid w:val="49B542D6"/>
    <w:rsid w:val="4A1009F7"/>
    <w:rsid w:val="4B650E36"/>
    <w:rsid w:val="4BFE2ECA"/>
    <w:rsid w:val="4E1A46AB"/>
    <w:rsid w:val="4F52428A"/>
    <w:rsid w:val="4F5F78A0"/>
    <w:rsid w:val="506E408B"/>
    <w:rsid w:val="50EA2026"/>
    <w:rsid w:val="5155508B"/>
    <w:rsid w:val="517D2C22"/>
    <w:rsid w:val="51885E41"/>
    <w:rsid w:val="51BA49DD"/>
    <w:rsid w:val="52FC4970"/>
    <w:rsid w:val="53E76A21"/>
    <w:rsid w:val="54342B51"/>
    <w:rsid w:val="54F246F3"/>
    <w:rsid w:val="552D4E0B"/>
    <w:rsid w:val="55604FD5"/>
    <w:rsid w:val="56C5399A"/>
    <w:rsid w:val="57511389"/>
    <w:rsid w:val="57CF589D"/>
    <w:rsid w:val="5A3F1DEC"/>
    <w:rsid w:val="5A4D2FA3"/>
    <w:rsid w:val="5AFE55D9"/>
    <w:rsid w:val="5B334B73"/>
    <w:rsid w:val="5B823F90"/>
    <w:rsid w:val="5C55629B"/>
    <w:rsid w:val="5D480DFC"/>
    <w:rsid w:val="5DDA108E"/>
    <w:rsid w:val="5EA3255D"/>
    <w:rsid w:val="5EC734CA"/>
    <w:rsid w:val="60D77618"/>
    <w:rsid w:val="64A930CD"/>
    <w:rsid w:val="65B35CAB"/>
    <w:rsid w:val="65BF7472"/>
    <w:rsid w:val="65CD5006"/>
    <w:rsid w:val="663544CE"/>
    <w:rsid w:val="68443284"/>
    <w:rsid w:val="68920B0B"/>
    <w:rsid w:val="69EB0AAC"/>
    <w:rsid w:val="6AFB6ED0"/>
    <w:rsid w:val="6C070D0B"/>
    <w:rsid w:val="6D8B497C"/>
    <w:rsid w:val="6DC13221"/>
    <w:rsid w:val="6DE06E27"/>
    <w:rsid w:val="6E273A79"/>
    <w:rsid w:val="6EBD2F41"/>
    <w:rsid w:val="6FF0068F"/>
    <w:rsid w:val="70E84778"/>
    <w:rsid w:val="71781C4C"/>
    <w:rsid w:val="727644F9"/>
    <w:rsid w:val="72C46C87"/>
    <w:rsid w:val="72F943F2"/>
    <w:rsid w:val="73C03FFE"/>
    <w:rsid w:val="741D4694"/>
    <w:rsid w:val="74736BDD"/>
    <w:rsid w:val="7599649C"/>
    <w:rsid w:val="765A6170"/>
    <w:rsid w:val="768C3D6E"/>
    <w:rsid w:val="77154DBA"/>
    <w:rsid w:val="7727635A"/>
    <w:rsid w:val="77DF12DF"/>
    <w:rsid w:val="77E17995"/>
    <w:rsid w:val="795443BD"/>
    <w:rsid w:val="79CF730C"/>
    <w:rsid w:val="7A160FF1"/>
    <w:rsid w:val="7ADC3C75"/>
    <w:rsid w:val="7B6F1D5A"/>
    <w:rsid w:val="7CCB2423"/>
    <w:rsid w:val="7E9C48E7"/>
    <w:rsid w:val="7EA83C75"/>
    <w:rsid w:val="7F5D730F"/>
    <w:rsid w:val="7F863749"/>
    <w:rsid w:val="7FA04BD5"/>
    <w:rsid w:val="7FA4628C"/>
    <w:rsid w:val="7FBA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hi-IN"/>
    </w:rPr>
  </w:style>
  <w:style w:type="paragraph" w:styleId="2">
    <w:name w:val="heading 1"/>
    <w:basedOn w:val="1"/>
    <w:next w:val="1"/>
    <w:autoRedefine/>
    <w:qFormat/>
    <w:uiPriority w:val="99"/>
    <w:pPr>
      <w:keepNext/>
      <w:keepLines/>
      <w:spacing w:line="400" w:lineRule="exact"/>
      <w:outlineLvl w:val="0"/>
    </w:pPr>
    <w:rPr>
      <w:b/>
      <w:kern w:val="0"/>
      <w:sz w:val="44"/>
    </w:rPr>
  </w:style>
  <w:style w:type="paragraph" w:styleId="3">
    <w:name w:val="heading 2"/>
    <w:basedOn w:val="1"/>
    <w:next w:val="1"/>
    <w:autoRedefine/>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6" w:lineRule="auto"/>
      <w:jc w:val="both"/>
      <w:outlineLvl w:val="2"/>
    </w:pPr>
    <w:rPr>
      <w:b/>
      <w:bCs/>
      <w:kern w:val="2"/>
      <w:sz w:val="32"/>
      <w:szCs w:val="32"/>
    </w:rPr>
  </w:style>
  <w:style w:type="paragraph" w:styleId="5">
    <w:name w:val="heading 4"/>
    <w:basedOn w:val="1"/>
    <w:next w:val="1"/>
    <w:autoRedefine/>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widowControl/>
      <w:ind w:firstLine="420"/>
      <w:jc w:val="left"/>
    </w:pPr>
    <w:rPr>
      <w:kern w:val="0"/>
      <w:sz w:val="20"/>
    </w:rPr>
  </w:style>
  <w:style w:type="paragraph" w:styleId="7">
    <w:name w:val="toa heading"/>
    <w:basedOn w:val="1"/>
    <w:next w:val="1"/>
    <w:autoRedefine/>
    <w:qFormat/>
    <w:uiPriority w:val="0"/>
    <w:rPr>
      <w:rFonts w:ascii="Arial" w:hAnsi="Arial" w:eastAsia="宋体" w:cs="Times New Roman"/>
      <w:sz w:val="24"/>
    </w:rPr>
  </w:style>
  <w:style w:type="paragraph" w:styleId="8">
    <w:name w:val="annotation text"/>
    <w:basedOn w:val="1"/>
    <w:autoRedefine/>
    <w:qFormat/>
    <w:uiPriority w:val="0"/>
    <w:pPr>
      <w:jc w:val="left"/>
    </w:pPr>
  </w:style>
  <w:style w:type="paragraph" w:styleId="9">
    <w:name w:val="index 6"/>
    <w:basedOn w:val="1"/>
    <w:next w:val="1"/>
    <w:autoRedefine/>
    <w:qFormat/>
    <w:uiPriority w:val="0"/>
    <w:pPr>
      <w:ind w:left="1000" w:leftChars="1000"/>
    </w:pPr>
  </w:style>
  <w:style w:type="paragraph" w:styleId="10">
    <w:name w:val="Body Text"/>
    <w:basedOn w:val="1"/>
    <w:next w:val="1"/>
    <w:autoRedefine/>
    <w:semiHidden/>
    <w:qFormat/>
    <w:uiPriority w:val="0"/>
    <w:pPr>
      <w:spacing w:after="120"/>
    </w:pPr>
  </w:style>
  <w:style w:type="paragraph" w:styleId="11">
    <w:name w:val="Body Text Indent"/>
    <w:basedOn w:val="1"/>
    <w:next w:val="12"/>
    <w:autoRedefine/>
    <w:qFormat/>
    <w:uiPriority w:val="0"/>
    <w:pPr>
      <w:spacing w:line="200" w:lineRule="exact"/>
      <w:ind w:firstLine="301"/>
    </w:pPr>
    <w:rPr>
      <w:rFonts w:ascii="宋体" w:hAnsi="Courier New"/>
      <w:spacing w:val="-4"/>
      <w:sz w:val="18"/>
    </w:rPr>
  </w:style>
  <w:style w:type="paragraph" w:customStyle="1" w:styleId="1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3">
    <w:name w:val="Plain Text"/>
    <w:basedOn w:val="1"/>
    <w:next w:val="5"/>
    <w:autoRedefine/>
    <w:qFormat/>
    <w:uiPriority w:val="99"/>
    <w:rPr>
      <w:rFonts w:ascii="宋体" w:hAnsi="宋体"/>
    </w:rPr>
  </w:style>
  <w:style w:type="paragraph" w:styleId="14">
    <w:name w:val="Date"/>
    <w:basedOn w:val="1"/>
    <w:next w:val="1"/>
    <w:autoRedefine/>
    <w:qFormat/>
    <w:uiPriority w:val="0"/>
    <w:rPr>
      <w:rFonts w:ascii="宋体"/>
      <w:color w:val="000000"/>
      <w:kern w:val="0"/>
      <w:sz w:val="30"/>
    </w:rPr>
  </w:style>
  <w:style w:type="paragraph" w:styleId="15">
    <w:name w:val="footer"/>
    <w:basedOn w:val="1"/>
    <w:next w:val="1"/>
    <w:autoRedefine/>
    <w:qFormat/>
    <w:uiPriority w:val="99"/>
    <w:pPr>
      <w:tabs>
        <w:tab w:val="center" w:pos="4153"/>
        <w:tab w:val="right" w:pos="8306"/>
      </w:tabs>
      <w:snapToGrid w:val="0"/>
      <w:jc w:val="left"/>
    </w:pPr>
    <w:rPr>
      <w:rFonts w:cs="Mangal"/>
      <w:sz w:val="18"/>
      <w:szCs w:val="16"/>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autoRedefine/>
    <w:qFormat/>
    <w:uiPriority w:val="39"/>
  </w:style>
  <w:style w:type="paragraph" w:styleId="18">
    <w:name w:val="toc 2"/>
    <w:basedOn w:val="1"/>
    <w:next w:val="1"/>
    <w:autoRedefine/>
    <w:qFormat/>
    <w:uiPriority w:val="0"/>
    <w:pPr>
      <w:tabs>
        <w:tab w:val="right" w:leader="dot" w:pos="9060"/>
      </w:tabs>
      <w:ind w:left="210"/>
      <w:jc w:val="left"/>
    </w:pPr>
    <w:rPr>
      <w:rFonts w:ascii="宋体" w:hAnsi="宋体"/>
      <w:smallCaps/>
      <w:kern w:val="0"/>
      <w:sz w:val="24"/>
    </w:rPr>
  </w:style>
  <w:style w:type="paragraph" w:styleId="1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autoRedefine/>
    <w:qFormat/>
    <w:uiPriority w:val="99"/>
  </w:style>
  <w:style w:type="paragraph" w:styleId="21">
    <w:name w:val="Title"/>
    <w:basedOn w:val="1"/>
    <w:next w:val="1"/>
    <w:autoRedefine/>
    <w:qFormat/>
    <w:uiPriority w:val="10"/>
    <w:pPr>
      <w:spacing w:before="240" w:after="60"/>
      <w:jc w:val="center"/>
      <w:outlineLvl w:val="0"/>
    </w:pPr>
    <w:rPr>
      <w:rFonts w:ascii="Cambria" w:hAnsi="Cambria"/>
      <w:b/>
      <w:bCs/>
      <w:sz w:val="32"/>
      <w:szCs w:val="32"/>
    </w:rPr>
  </w:style>
  <w:style w:type="paragraph" w:styleId="22">
    <w:name w:val="Body Text First Indent 2"/>
    <w:basedOn w:val="11"/>
    <w:autoRedefine/>
    <w:unhideWhenUsed/>
    <w:qFormat/>
    <w:uiPriority w:val="99"/>
    <w:pPr>
      <w:ind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99"/>
    <w:rPr>
      <w:rFonts w:cs="Times New Roman"/>
    </w:rPr>
  </w:style>
  <w:style w:type="character" w:styleId="27">
    <w:name w:val="FollowedHyperlink"/>
    <w:basedOn w:val="25"/>
    <w:autoRedefine/>
    <w:qFormat/>
    <w:uiPriority w:val="0"/>
    <w:rPr>
      <w:color w:val="800080"/>
      <w:u w:val="none"/>
    </w:rPr>
  </w:style>
  <w:style w:type="paragraph" w:customStyle="1" w:styleId="28">
    <w:name w:val="表格文字"/>
    <w:basedOn w:val="11"/>
    <w:autoRedefine/>
    <w:qFormat/>
    <w:uiPriority w:val="0"/>
    <w:pPr>
      <w:jc w:val="left"/>
    </w:pPr>
    <w:rPr>
      <w:bCs/>
      <w:spacing w:val="10"/>
      <w:sz w:val="24"/>
    </w:rPr>
  </w:style>
  <w:style w:type="paragraph" w:customStyle="1" w:styleId="29">
    <w:name w:val="BodyText1I2"/>
    <w:basedOn w:val="30"/>
    <w:autoRedefine/>
    <w:qFormat/>
    <w:uiPriority w:val="0"/>
    <w:pPr>
      <w:ind w:firstLine="200" w:firstLineChars="200"/>
    </w:pPr>
  </w:style>
  <w:style w:type="paragraph" w:customStyle="1" w:styleId="30">
    <w:name w:val="BodyTextIndent"/>
    <w:basedOn w:val="1"/>
    <w:autoRedefine/>
    <w:qFormat/>
    <w:uiPriority w:val="0"/>
    <w:pPr>
      <w:spacing w:after="120"/>
      <w:ind w:left="420" w:leftChars="200"/>
    </w:pPr>
  </w:style>
  <w:style w:type="paragraph" w:customStyle="1" w:styleId="31">
    <w:name w:val="正文1"/>
    <w:next w:val="3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文本1"/>
    <w:basedOn w:val="31"/>
    <w:next w:val="31"/>
    <w:autoRedefine/>
    <w:qFormat/>
    <w:uiPriority w:val="0"/>
    <w:rPr>
      <w:rFonts w:ascii="金山简黑体" w:hAnsi="金山简黑体" w:eastAsia="金山简黑体"/>
      <w:b/>
      <w:spacing w:val="-8"/>
      <w:sz w:val="44"/>
      <w:szCs w:val="20"/>
    </w:rPr>
  </w:style>
  <w:style w:type="paragraph" w:customStyle="1" w:styleId="33">
    <w:name w:val="目录 11"/>
    <w:basedOn w:val="31"/>
    <w:next w:val="31"/>
    <w:autoRedefine/>
    <w:qFormat/>
    <w:uiPriority w:val="39"/>
    <w:pPr>
      <w:tabs>
        <w:tab w:val="right" w:leader="dot" w:pos="9628"/>
      </w:tabs>
    </w:pPr>
    <w:rPr>
      <w:rFonts w:ascii="宋体" w:hAnsi="宋体"/>
      <w:b/>
      <w:color w:val="000000"/>
      <w:sz w:val="32"/>
      <w:szCs w:val="32"/>
    </w:rPr>
  </w:style>
  <w:style w:type="paragraph" w:customStyle="1" w:styleId="34">
    <w:name w:val="正文缩进1"/>
    <w:basedOn w:val="31"/>
    <w:autoRedefine/>
    <w:qFormat/>
    <w:uiPriority w:val="0"/>
    <w:pPr>
      <w:spacing w:line="200" w:lineRule="exact"/>
      <w:ind w:firstLine="301"/>
    </w:pPr>
    <w:rPr>
      <w:rFonts w:ascii="宋体" w:hAnsi="宋体"/>
      <w:spacing w:val="-4"/>
      <w:sz w:val="18"/>
      <w:szCs w:val="20"/>
    </w:rPr>
  </w:style>
  <w:style w:type="paragraph" w:customStyle="1" w:styleId="35">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标题 31"/>
    <w:basedOn w:val="31"/>
    <w:next w:val="31"/>
    <w:autoRedefine/>
    <w:qFormat/>
    <w:uiPriority w:val="0"/>
    <w:pPr>
      <w:keepNext/>
      <w:keepLines/>
      <w:spacing w:before="260" w:after="260" w:line="415" w:lineRule="auto"/>
      <w:outlineLvl w:val="2"/>
    </w:pPr>
    <w:rPr>
      <w:b/>
      <w:bCs/>
      <w:sz w:val="32"/>
      <w:szCs w:val="32"/>
    </w:rPr>
  </w:style>
  <w:style w:type="paragraph" w:customStyle="1" w:styleId="38">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Table Paragraph"/>
    <w:basedOn w:val="31"/>
    <w:autoRedefine/>
    <w:qFormat/>
    <w:uiPriority w:val="1"/>
    <w:rPr>
      <w:rFonts w:ascii="宋体" w:hAnsi="宋体" w:eastAsia="宋体" w:cs="宋体"/>
      <w:lang w:val="zh-CN" w:eastAsia="zh-CN" w:bidi="zh-CN"/>
    </w:rPr>
  </w:style>
  <w:style w:type="paragraph" w:customStyle="1" w:styleId="40">
    <w:name w:val="页眉1"/>
    <w:basedOn w:val="31"/>
    <w:autoRedefine/>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41">
    <w:name w:val="页脚1"/>
    <w:basedOn w:val="31"/>
    <w:autoRedefine/>
    <w:qFormat/>
    <w:uiPriority w:val="99"/>
    <w:pPr>
      <w:tabs>
        <w:tab w:val="center" w:pos="4153"/>
        <w:tab w:val="right" w:pos="8306"/>
      </w:tabs>
      <w:snapToGrid w:val="0"/>
      <w:jc w:val="left"/>
    </w:pPr>
    <w:rPr>
      <w:rFonts w:ascii="宋体" w:hAnsi="宋体"/>
      <w:sz w:val="18"/>
      <w:szCs w:val="20"/>
    </w:rPr>
  </w:style>
  <w:style w:type="paragraph" w:customStyle="1" w:styleId="42">
    <w:name w:val="段落2"/>
    <w:basedOn w:val="1"/>
    <w:autoRedefine/>
    <w:qFormat/>
    <w:uiPriority w:val="0"/>
    <w:pPr>
      <w:spacing w:line="360" w:lineRule="auto"/>
      <w:ind w:firstLine="480" w:firstLineChars="200"/>
    </w:pPr>
    <w:rPr>
      <w:rFonts w:ascii="Calibri" w:hAnsi="Calibri" w:eastAsia="宋体" w:cs="Courier New"/>
      <w:sz w:val="24"/>
      <w:szCs w:val="21"/>
    </w:rPr>
  </w:style>
  <w:style w:type="paragraph" w:customStyle="1" w:styleId="43">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44">
    <w:name w:val="目录 21"/>
    <w:basedOn w:val="31"/>
    <w:next w:val="31"/>
    <w:autoRedefine/>
    <w:qFormat/>
    <w:uiPriority w:val="0"/>
    <w:pPr>
      <w:ind w:left="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18962</Words>
  <Characters>20148</Characters>
  <Lines>0</Lines>
  <Paragraphs>0</Paragraphs>
  <TotalTime>1</TotalTime>
  <ScaleCrop>false</ScaleCrop>
  <LinksUpToDate>false</LinksUpToDate>
  <CharactersWithSpaces>20461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2022-01-17T14:56:00Z</dcterms:created>
  <dc:creator>吴先森</dc:creator>
  <cp:lastModifiedBy>Administrator</cp:lastModifiedBy>
  <dcterms:modified xsi:type="dcterms:W3CDTF">2025-06-17T08:09:07Z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98996C95C14E4B4A846AE109F8D0CAFA_13</vt:lpwstr>
  </property>
  <property fmtid="{D5CDD505-2E9C-101B-9397-08002B2CF9AE}" pid="4" name="commondata">
    <vt:lpwstr>eyJoZGlkIjoiMDMxMGZjOWUzMGUxMmI4NzRjODAzZDBkNzM1YzcyY2UifQ==</vt:lpwstr>
  </property>
  <property fmtid="{D5CDD505-2E9C-101B-9397-08002B2CF9AE}" pid="5" name="KSOTemplateDocerSaveRecord">
    <vt:lpwstr>eyJoZGlkIjoiOTAzMzY0MDMwMTU3Y2U5MDQ0NGNmMjZlNjcwMTM3YjEiLCJ1c2VySWQiOiI1MjI1OTQxMDYifQ==</vt:lpwstr>
  </property>
</Properties>
</file>