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12DE4">
      <w:pPr>
        <w:pStyle w:val="4"/>
        <w:tabs>
          <w:tab w:val="left" w:pos="993"/>
          <w:tab w:val="left" w:pos="1134"/>
          <w:tab w:val="left" w:pos="1418"/>
        </w:tabs>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2E4A8358">
      <w:pPr>
        <w:pStyle w:val="4"/>
        <w:tabs>
          <w:tab w:val="left" w:pos="993"/>
          <w:tab w:val="left" w:pos="1134"/>
          <w:tab w:val="left" w:pos="1418"/>
        </w:tabs>
        <w:spacing w:line="560" w:lineRule="exact"/>
        <w:rPr>
          <w:rFonts w:ascii="Times New Roman" w:hAnsi="Times New Roman" w:eastAsia="黑体" w:cs="Times New Roman"/>
          <w:sz w:val="32"/>
          <w:szCs w:val="32"/>
        </w:rPr>
      </w:pPr>
    </w:p>
    <w:p w14:paraId="7A03B273">
      <w:pPr>
        <w:pStyle w:val="4"/>
        <w:tabs>
          <w:tab w:val="left" w:pos="993"/>
          <w:tab w:val="left" w:pos="1134"/>
          <w:tab w:val="left" w:pos="1418"/>
        </w:tabs>
        <w:spacing w:line="560" w:lineRule="exact"/>
        <w:jc w:val="center"/>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lang w:eastAsia="zh-CN"/>
        </w:rPr>
        <w:t>龙州县彬桥乡人民政府</w:t>
      </w:r>
      <w:r>
        <w:rPr>
          <w:rFonts w:hint="eastAsia" w:ascii="方正小标宋简体" w:hAnsi="方正小标宋简体" w:eastAsia="方正小标宋简体" w:cs="方正小标宋简体"/>
          <w:sz w:val="44"/>
          <w:szCs w:val="44"/>
          <w:u w:val="none"/>
          <w:lang w:val="en-US" w:eastAsia="zh-CN"/>
        </w:rPr>
        <w:t>2025</w:t>
      </w:r>
      <w:r>
        <w:rPr>
          <w:rFonts w:hint="eastAsia" w:ascii="方正小标宋简体" w:hAnsi="方正小标宋简体" w:eastAsia="方正小标宋简体" w:cs="方正小标宋简体"/>
          <w:sz w:val="44"/>
          <w:szCs w:val="44"/>
          <w:u w:val="none"/>
        </w:rPr>
        <w:t>年</w:t>
      </w:r>
      <w:r>
        <w:rPr>
          <w:rFonts w:hint="eastAsia" w:ascii="方正小标宋简体" w:hAnsi="方正小标宋简体" w:eastAsia="方正小标宋简体" w:cs="方正小标宋简体"/>
          <w:sz w:val="44"/>
          <w:szCs w:val="44"/>
          <w:u w:val="none"/>
          <w:lang w:val="en-US" w:eastAsia="zh-CN"/>
        </w:rPr>
        <w:t>10</w:t>
      </w:r>
      <w:r>
        <w:rPr>
          <w:rFonts w:hint="eastAsia" w:ascii="方正小标宋简体" w:hAnsi="方正小标宋简体" w:eastAsia="方正小标宋简体" w:cs="方正小标宋简体"/>
          <w:sz w:val="44"/>
          <w:szCs w:val="44"/>
          <w:u w:val="none"/>
          <w:lang w:eastAsia="zh-CN"/>
        </w:rPr>
        <w:t>月</w:t>
      </w:r>
    </w:p>
    <w:p w14:paraId="775E75F2">
      <w:pPr>
        <w:pStyle w:val="4"/>
        <w:tabs>
          <w:tab w:val="left" w:pos="993"/>
          <w:tab w:val="left" w:pos="1134"/>
          <w:tab w:val="left" w:pos="1418"/>
        </w:tabs>
        <w:spacing w:line="560" w:lineRule="exact"/>
        <w:jc w:val="center"/>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政府采购意向</w:t>
      </w:r>
    </w:p>
    <w:p w14:paraId="212C9101">
      <w:pPr>
        <w:pStyle w:val="4"/>
        <w:tabs>
          <w:tab w:val="left" w:pos="993"/>
          <w:tab w:val="left" w:pos="1134"/>
          <w:tab w:val="left" w:pos="1418"/>
        </w:tabs>
        <w:spacing w:line="560" w:lineRule="exact"/>
        <w:rPr>
          <w:rFonts w:ascii="Times New Roman" w:hAnsi="Times New Roman" w:eastAsia="仿宋_GB2312" w:cs="Times New Roman"/>
          <w:sz w:val="32"/>
          <w:szCs w:val="32"/>
        </w:rPr>
      </w:pPr>
    </w:p>
    <w:p w14:paraId="3BFBADB0">
      <w:pPr>
        <w:pStyle w:val="4"/>
        <w:tabs>
          <w:tab w:val="left" w:pos="993"/>
          <w:tab w:val="left" w:pos="1134"/>
          <w:tab w:val="left" w:pos="1418"/>
        </w:tabs>
        <w:spacing w:line="560" w:lineRule="exact"/>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rPr>
        <w:t>为便于供应商及时了解政府采购信息，根据《财政部关于开展政府采购意向公开工作的通知》（财库〔2020〕10号）</w:t>
      </w:r>
      <w:r>
        <w:rPr>
          <w:rFonts w:hint="eastAsia" w:ascii="Times New Roman" w:hAnsi="Times New Roman" w:eastAsia="仿宋_GB2312" w:cs="Times New Roman"/>
          <w:sz w:val="32"/>
          <w:szCs w:val="32"/>
          <w:lang w:val="en-US" w:eastAsia="zh-CN"/>
        </w:rPr>
        <w:t>和《广西壮族自治区财政厅关于进一步规范政府采购意向公开工作的通知》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桂财采</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84</w:t>
      </w:r>
      <w:r>
        <w:rPr>
          <w:rFonts w:ascii="Times New Roman" w:hAnsi="Times New Roman" w:eastAsia="仿宋_GB2312" w:cs="Times New Roman"/>
          <w:sz w:val="32"/>
          <w:szCs w:val="32"/>
        </w:rPr>
        <w:t>号）等有关规定，</w:t>
      </w:r>
      <w:r>
        <w:rPr>
          <w:rFonts w:ascii="Times New Roman" w:hAnsi="Times New Roman" w:eastAsia="仿宋_GB2312" w:cs="Times New Roman"/>
          <w:sz w:val="32"/>
          <w:szCs w:val="32"/>
          <w:u w:val="none"/>
        </w:rPr>
        <w:t xml:space="preserve">现将龙州县彬桥乡人民政府 </w:t>
      </w:r>
      <w:r>
        <w:rPr>
          <w:rFonts w:ascii="Times New Roman" w:hAnsi="Times New Roman" w:eastAsia="仿宋_GB2312" w:cs="Times New Roman"/>
          <w:sz w:val="32"/>
          <w:szCs w:val="32"/>
          <w:u w:val="none"/>
          <w:lang w:val="en-US" w:eastAsia="zh-CN"/>
        </w:rPr>
        <w:t>20</w:t>
      </w:r>
      <w:r>
        <w:rPr>
          <w:rFonts w:hint="eastAsia" w:ascii="Times New Roman" w:hAnsi="Times New Roman" w:eastAsia="仿宋_GB2312" w:cs="Times New Roman"/>
          <w:sz w:val="32"/>
          <w:szCs w:val="32"/>
          <w:u w:val="none"/>
          <w:lang w:val="en-US" w:eastAsia="zh-CN"/>
        </w:rPr>
        <w:t>25</w:t>
      </w:r>
      <w:r>
        <w:rPr>
          <w:rFonts w:ascii="Times New Roman" w:hAnsi="Times New Roman" w:eastAsia="仿宋_GB2312" w:cs="Times New Roman"/>
          <w:sz w:val="32"/>
          <w:szCs w:val="32"/>
          <w:u w:val="none"/>
        </w:rPr>
        <w:t>年</w:t>
      </w:r>
      <w:r>
        <w:rPr>
          <w:rFonts w:hint="eastAsia" w:ascii="Times New Roman" w:hAnsi="Times New Roman" w:eastAsia="仿宋_GB2312" w:cs="Times New Roman"/>
          <w:color w:val="auto"/>
          <w:kern w:val="2"/>
          <w:sz w:val="32"/>
          <w:szCs w:val="32"/>
          <w:u w:val="none"/>
          <w:lang w:val="en-US" w:eastAsia="zh-CN" w:bidi="ar-SA"/>
        </w:rPr>
        <w:t>10</w:t>
      </w:r>
      <w:r>
        <w:rPr>
          <w:rFonts w:ascii="Times New Roman" w:hAnsi="Times New Roman" w:eastAsia="仿宋_GB2312" w:cs="Times New Roman"/>
          <w:sz w:val="32"/>
          <w:szCs w:val="32"/>
          <w:u w:val="none"/>
        </w:rPr>
        <w:t>月政府采购意向公开如下：</w:t>
      </w:r>
    </w:p>
    <w:tbl>
      <w:tblPr>
        <w:tblStyle w:val="2"/>
        <w:tblW w:w="9713" w:type="dxa"/>
        <w:tblInd w:w="-118" w:type="dxa"/>
        <w:tblLayout w:type="fixed"/>
        <w:tblCellMar>
          <w:top w:w="0" w:type="dxa"/>
          <w:left w:w="108" w:type="dxa"/>
          <w:bottom w:w="0" w:type="dxa"/>
          <w:right w:w="108" w:type="dxa"/>
        </w:tblCellMar>
      </w:tblPr>
      <w:tblGrid>
        <w:gridCol w:w="533"/>
        <w:gridCol w:w="1276"/>
        <w:gridCol w:w="3001"/>
        <w:gridCol w:w="1470"/>
        <w:gridCol w:w="1260"/>
        <w:gridCol w:w="1229"/>
        <w:gridCol w:w="944"/>
      </w:tblGrid>
      <w:tr w14:paraId="5ADFCF37">
        <w:tblPrEx>
          <w:tblCellMar>
            <w:top w:w="0" w:type="dxa"/>
            <w:left w:w="108" w:type="dxa"/>
            <w:bottom w:w="0" w:type="dxa"/>
            <w:right w:w="108"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688B3FBE">
            <w:pPr>
              <w:pStyle w:val="4"/>
              <w:widowControl w:val="0"/>
              <w:tabs>
                <w:tab w:val="left" w:pos="993"/>
                <w:tab w:val="left" w:pos="1134"/>
                <w:tab w:val="left" w:pos="1418"/>
              </w:tabs>
              <w:spacing w:line="440" w:lineRule="exact"/>
              <w:jc w:val="center"/>
              <w:rPr>
                <w:rFonts w:ascii="Times New Roman" w:hAnsi="Times New Roman" w:cs="Times New Roman"/>
                <w:b/>
                <w:bCs/>
                <w:kern w:val="0"/>
                <w:sz w:val="24"/>
                <w:szCs w:val="32"/>
              </w:rPr>
            </w:pPr>
            <w:r>
              <w:rPr>
                <w:rFonts w:ascii="Times New Roman" w:hAnsi="Times New Roman" w:cs="Times New Roman"/>
                <w:b/>
                <w:bCs/>
                <w:kern w:val="0"/>
                <w:sz w:val="24"/>
                <w:szCs w:val="32"/>
              </w:rPr>
              <w:t>序号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1F3A5FEB">
            <w:pPr>
              <w:pStyle w:val="4"/>
              <w:widowControl w:val="0"/>
              <w:tabs>
                <w:tab w:val="left" w:pos="993"/>
                <w:tab w:val="left" w:pos="1134"/>
                <w:tab w:val="left" w:pos="1418"/>
              </w:tabs>
              <w:spacing w:line="440" w:lineRule="exact"/>
              <w:jc w:val="center"/>
              <w:rPr>
                <w:rFonts w:ascii="Times New Roman" w:hAnsi="Times New Roman" w:cs="Times New Roman"/>
                <w:b/>
                <w:bCs/>
                <w:kern w:val="0"/>
                <w:sz w:val="24"/>
                <w:szCs w:val="32"/>
              </w:rPr>
            </w:pPr>
            <w:r>
              <w:rPr>
                <w:rFonts w:ascii="Times New Roman" w:hAnsi="Times New Roman" w:cs="Times New Roman"/>
                <w:b/>
                <w:bCs/>
                <w:kern w:val="0"/>
                <w:sz w:val="24"/>
                <w:szCs w:val="32"/>
              </w:rPr>
              <w:t>采购项目</w:t>
            </w:r>
          </w:p>
          <w:p w14:paraId="1454E476">
            <w:pPr>
              <w:pStyle w:val="4"/>
              <w:widowControl w:val="0"/>
              <w:tabs>
                <w:tab w:val="left" w:pos="993"/>
                <w:tab w:val="left" w:pos="1134"/>
                <w:tab w:val="left" w:pos="1418"/>
              </w:tabs>
              <w:spacing w:line="440" w:lineRule="exact"/>
              <w:jc w:val="center"/>
              <w:rPr>
                <w:rFonts w:ascii="Times New Roman" w:hAnsi="Times New Roman" w:cs="Times New Roman"/>
                <w:b/>
                <w:bCs/>
                <w:kern w:val="0"/>
                <w:sz w:val="24"/>
                <w:szCs w:val="32"/>
              </w:rPr>
            </w:pPr>
            <w:r>
              <w:rPr>
                <w:rFonts w:ascii="Times New Roman" w:hAnsi="Times New Roman" w:cs="Times New Roman"/>
                <w:b/>
                <w:bCs/>
                <w:kern w:val="0"/>
                <w:sz w:val="24"/>
                <w:szCs w:val="32"/>
              </w:rPr>
              <w:t>名称</w:t>
            </w:r>
          </w:p>
        </w:tc>
        <w:tc>
          <w:tcPr>
            <w:tcW w:w="3001" w:type="dxa"/>
            <w:tcBorders>
              <w:top w:val="single" w:color="000000" w:sz="4" w:space="0"/>
              <w:left w:val="single" w:color="000000" w:sz="4" w:space="0"/>
              <w:bottom w:val="single" w:color="000000" w:sz="4" w:space="0"/>
              <w:right w:val="single" w:color="000000" w:sz="4" w:space="0"/>
            </w:tcBorders>
            <w:vAlign w:val="center"/>
          </w:tcPr>
          <w:p w14:paraId="44797E0B">
            <w:pPr>
              <w:pStyle w:val="4"/>
              <w:widowControl w:val="0"/>
              <w:tabs>
                <w:tab w:val="left" w:pos="993"/>
                <w:tab w:val="left" w:pos="1134"/>
                <w:tab w:val="left" w:pos="1418"/>
              </w:tabs>
              <w:spacing w:line="440" w:lineRule="exact"/>
              <w:jc w:val="center"/>
              <w:rPr>
                <w:rFonts w:ascii="Times New Roman" w:hAnsi="Times New Roman" w:cs="Times New Roman"/>
                <w:b/>
                <w:bCs/>
                <w:kern w:val="0"/>
                <w:sz w:val="24"/>
                <w:szCs w:val="32"/>
              </w:rPr>
            </w:pPr>
            <w:r>
              <w:rPr>
                <w:rFonts w:ascii="Times New Roman" w:hAnsi="Times New Roman" w:cs="Times New Roman"/>
                <w:b/>
                <w:bCs/>
                <w:kern w:val="0"/>
                <w:sz w:val="24"/>
                <w:szCs w:val="32"/>
              </w:rPr>
              <w:t>采购需求概况</w:t>
            </w:r>
          </w:p>
        </w:tc>
        <w:tc>
          <w:tcPr>
            <w:tcW w:w="1470" w:type="dxa"/>
            <w:tcBorders>
              <w:top w:val="single" w:color="000000" w:sz="4" w:space="0"/>
              <w:left w:val="single" w:color="000000" w:sz="4" w:space="0"/>
              <w:bottom w:val="single" w:color="000000" w:sz="4" w:space="0"/>
              <w:right w:val="single" w:color="000000" w:sz="4" w:space="0"/>
            </w:tcBorders>
            <w:vAlign w:val="center"/>
          </w:tcPr>
          <w:p w14:paraId="6A142292">
            <w:pPr>
              <w:pStyle w:val="4"/>
              <w:widowControl w:val="0"/>
              <w:tabs>
                <w:tab w:val="left" w:pos="993"/>
                <w:tab w:val="left" w:pos="1134"/>
                <w:tab w:val="left" w:pos="1418"/>
              </w:tabs>
              <w:spacing w:line="440" w:lineRule="exact"/>
              <w:jc w:val="center"/>
              <w:rPr>
                <w:rFonts w:ascii="Times New Roman" w:hAnsi="Times New Roman" w:cs="Times New Roman"/>
                <w:b/>
                <w:bCs/>
                <w:kern w:val="0"/>
                <w:sz w:val="24"/>
                <w:szCs w:val="32"/>
              </w:rPr>
            </w:pPr>
            <w:r>
              <w:rPr>
                <w:rFonts w:ascii="Times New Roman" w:hAnsi="Times New Roman" w:cs="Times New Roman"/>
                <w:b/>
                <w:bCs/>
                <w:kern w:val="0"/>
                <w:sz w:val="24"/>
                <w:szCs w:val="32"/>
              </w:rPr>
              <w:t>预算金额</w:t>
            </w:r>
          </w:p>
          <w:p w14:paraId="729C67CF">
            <w:pPr>
              <w:pStyle w:val="4"/>
              <w:widowControl w:val="0"/>
              <w:tabs>
                <w:tab w:val="left" w:pos="993"/>
                <w:tab w:val="left" w:pos="1134"/>
                <w:tab w:val="left" w:pos="1418"/>
              </w:tabs>
              <w:spacing w:line="440" w:lineRule="exact"/>
              <w:jc w:val="center"/>
              <w:rPr>
                <w:rFonts w:ascii="Times New Roman" w:hAnsi="Times New Roman" w:cs="Times New Roman"/>
                <w:b/>
                <w:bCs/>
                <w:kern w:val="0"/>
                <w:sz w:val="24"/>
                <w:szCs w:val="32"/>
              </w:rPr>
            </w:pPr>
            <w:r>
              <w:rPr>
                <w:rFonts w:ascii="Times New Roman" w:hAnsi="Times New Roman" w:cs="Times New Roman"/>
                <w:b/>
                <w:bCs/>
                <w:kern w:val="0"/>
                <w:sz w:val="24"/>
                <w:szCs w:val="32"/>
              </w:rPr>
              <w:t>（万元）</w:t>
            </w:r>
          </w:p>
        </w:tc>
        <w:tc>
          <w:tcPr>
            <w:tcW w:w="1260" w:type="dxa"/>
            <w:tcBorders>
              <w:top w:val="single" w:color="000000" w:sz="4" w:space="0"/>
              <w:left w:val="single" w:color="000000" w:sz="4" w:space="0"/>
              <w:bottom w:val="single" w:color="000000" w:sz="4" w:space="0"/>
              <w:right w:val="single" w:color="000000" w:sz="4" w:space="0"/>
            </w:tcBorders>
            <w:vAlign w:val="center"/>
          </w:tcPr>
          <w:p w14:paraId="6BF67BE0">
            <w:pPr>
              <w:pStyle w:val="4"/>
              <w:widowControl w:val="0"/>
              <w:tabs>
                <w:tab w:val="left" w:pos="993"/>
                <w:tab w:val="left" w:pos="1134"/>
                <w:tab w:val="left" w:pos="1418"/>
              </w:tabs>
              <w:spacing w:line="440" w:lineRule="exact"/>
              <w:jc w:val="center"/>
              <w:rPr>
                <w:rFonts w:ascii="Times New Roman" w:hAnsi="Times New Roman" w:cs="Times New Roman"/>
                <w:b/>
                <w:bCs/>
                <w:kern w:val="0"/>
                <w:sz w:val="24"/>
                <w:szCs w:val="32"/>
              </w:rPr>
            </w:pPr>
            <w:r>
              <w:rPr>
                <w:rFonts w:ascii="Times New Roman" w:hAnsi="Times New Roman" w:cs="Times New Roman"/>
                <w:b/>
                <w:bCs/>
                <w:kern w:val="0"/>
                <w:sz w:val="24"/>
                <w:szCs w:val="32"/>
              </w:rPr>
              <w:t>预计采购时间（填写到月）</w:t>
            </w:r>
          </w:p>
        </w:tc>
        <w:tc>
          <w:tcPr>
            <w:tcW w:w="1229" w:type="dxa"/>
            <w:tcBorders>
              <w:top w:val="single" w:color="000000" w:sz="4" w:space="0"/>
              <w:left w:val="single" w:color="000000" w:sz="4" w:space="0"/>
              <w:bottom w:val="single" w:color="000000" w:sz="4" w:space="0"/>
              <w:right w:val="single" w:color="000000" w:sz="4" w:space="0"/>
            </w:tcBorders>
            <w:vAlign w:val="center"/>
          </w:tcPr>
          <w:p w14:paraId="7061BB61">
            <w:pPr>
              <w:pStyle w:val="4"/>
              <w:widowControl w:val="0"/>
              <w:tabs>
                <w:tab w:val="left" w:pos="993"/>
                <w:tab w:val="left" w:pos="1134"/>
                <w:tab w:val="left" w:pos="1418"/>
              </w:tabs>
              <w:spacing w:line="440" w:lineRule="exact"/>
              <w:jc w:val="center"/>
              <w:rPr>
                <w:rFonts w:hint="default" w:ascii="Times New Roman" w:hAnsi="Times New Roman" w:eastAsia="宋体" w:cs="Times New Roman"/>
                <w:b/>
                <w:bCs/>
                <w:kern w:val="0"/>
                <w:sz w:val="24"/>
                <w:szCs w:val="32"/>
                <w:lang w:val="en-US" w:eastAsia="zh-CN"/>
              </w:rPr>
            </w:pPr>
            <w:r>
              <w:rPr>
                <w:rFonts w:hint="eastAsia" w:ascii="Times New Roman" w:hAnsi="Times New Roman" w:cs="Times New Roman"/>
                <w:b/>
                <w:bCs/>
                <w:kern w:val="0"/>
                <w:sz w:val="24"/>
                <w:szCs w:val="32"/>
                <w:lang w:val="en-US" w:eastAsia="zh-CN"/>
              </w:rPr>
              <w:t>落实政府采</w:t>
            </w:r>
            <w:bookmarkStart w:id="1" w:name="_GoBack"/>
            <w:bookmarkEnd w:id="1"/>
            <w:r>
              <w:rPr>
                <w:rFonts w:hint="eastAsia" w:ascii="Times New Roman" w:hAnsi="Times New Roman" w:cs="Times New Roman"/>
                <w:b/>
                <w:bCs/>
                <w:kern w:val="0"/>
                <w:sz w:val="24"/>
                <w:szCs w:val="32"/>
                <w:lang w:val="en-US" w:eastAsia="zh-CN"/>
              </w:rPr>
              <w:t>购政策功能情况</w:t>
            </w:r>
          </w:p>
        </w:tc>
        <w:tc>
          <w:tcPr>
            <w:tcW w:w="944" w:type="dxa"/>
            <w:tcBorders>
              <w:top w:val="single" w:color="000000" w:sz="4" w:space="0"/>
              <w:left w:val="single" w:color="000000" w:sz="4" w:space="0"/>
              <w:bottom w:val="single" w:color="000000" w:sz="4" w:space="0"/>
              <w:right w:val="single" w:color="000000" w:sz="4" w:space="0"/>
            </w:tcBorders>
            <w:vAlign w:val="center"/>
          </w:tcPr>
          <w:p w14:paraId="6A45C46D">
            <w:pPr>
              <w:pStyle w:val="4"/>
              <w:widowControl w:val="0"/>
              <w:tabs>
                <w:tab w:val="left" w:pos="993"/>
                <w:tab w:val="left" w:pos="1134"/>
                <w:tab w:val="left" w:pos="1418"/>
              </w:tabs>
              <w:spacing w:line="440" w:lineRule="exact"/>
              <w:jc w:val="center"/>
              <w:rPr>
                <w:rFonts w:ascii="Times New Roman" w:hAnsi="Times New Roman" w:cs="Times New Roman"/>
                <w:b/>
                <w:bCs/>
                <w:kern w:val="0"/>
                <w:sz w:val="24"/>
                <w:szCs w:val="32"/>
              </w:rPr>
            </w:pPr>
            <w:r>
              <w:rPr>
                <w:rFonts w:ascii="Times New Roman" w:hAnsi="Times New Roman" w:cs="Times New Roman"/>
                <w:b/>
                <w:bCs/>
                <w:kern w:val="0"/>
                <w:sz w:val="24"/>
                <w:szCs w:val="32"/>
              </w:rPr>
              <w:t>备注</w:t>
            </w:r>
          </w:p>
        </w:tc>
      </w:tr>
      <w:tr w14:paraId="249B2B60">
        <w:tblPrEx>
          <w:tblCellMar>
            <w:top w:w="0" w:type="dxa"/>
            <w:left w:w="108" w:type="dxa"/>
            <w:bottom w:w="0" w:type="dxa"/>
            <w:right w:w="108" w:type="dxa"/>
          </w:tblCellMar>
        </w:tblPrEx>
        <w:tc>
          <w:tcPr>
            <w:tcW w:w="533" w:type="dxa"/>
            <w:tcBorders>
              <w:top w:val="single" w:color="000000" w:sz="4" w:space="0"/>
              <w:left w:val="single" w:color="000000" w:sz="4" w:space="0"/>
              <w:bottom w:val="single" w:color="000000" w:sz="4" w:space="0"/>
              <w:right w:val="single" w:color="000000" w:sz="4" w:space="0"/>
            </w:tcBorders>
            <w:vAlign w:val="center"/>
          </w:tcPr>
          <w:p w14:paraId="458BD2EB">
            <w:pPr>
              <w:pStyle w:val="4"/>
              <w:widowControl w:val="0"/>
              <w:tabs>
                <w:tab w:val="left" w:pos="993"/>
                <w:tab w:val="left" w:pos="1134"/>
                <w:tab w:val="left" w:pos="1418"/>
              </w:tabs>
              <w:snapToGrid w:val="0"/>
              <w:spacing w:line="440" w:lineRule="exact"/>
              <w:jc w:val="center"/>
              <w:rPr>
                <w:rFonts w:hint="default" w:ascii="Times New Roman" w:hAnsi="Times New Roman" w:eastAsia="仿宋_GB2312" w:cs="Times New Roman"/>
                <w:b/>
                <w:bCs/>
                <w:kern w:val="0"/>
                <w:sz w:val="24"/>
                <w:szCs w:val="32"/>
                <w:lang w:val="en-US" w:eastAsia="zh-CN"/>
              </w:rPr>
            </w:pPr>
            <w:r>
              <w:rPr>
                <w:rFonts w:hint="eastAsia" w:ascii="Times New Roman" w:hAnsi="Times New Roman" w:eastAsia="仿宋_GB2312" w:cs="Times New Roman"/>
                <w:b/>
                <w:bCs/>
                <w:kern w:val="0"/>
                <w:sz w:val="24"/>
                <w:szCs w:val="32"/>
                <w:lang w:val="en-US" w:eastAsia="zh-CN"/>
              </w:rPr>
              <w:t>1</w:t>
            </w:r>
          </w:p>
        </w:tc>
        <w:tc>
          <w:tcPr>
            <w:tcW w:w="1276" w:type="dxa"/>
            <w:tcBorders>
              <w:top w:val="single" w:color="000000" w:sz="4" w:space="0"/>
              <w:left w:val="single" w:color="000000" w:sz="4" w:space="0"/>
              <w:bottom w:val="single" w:color="000000" w:sz="4" w:space="0"/>
              <w:right w:val="single" w:color="000000" w:sz="4" w:space="0"/>
            </w:tcBorders>
            <w:vAlign w:val="center"/>
          </w:tcPr>
          <w:p w14:paraId="20E16CDC">
            <w:pPr>
              <w:pStyle w:val="4"/>
              <w:widowControl w:val="0"/>
              <w:tabs>
                <w:tab w:val="left" w:pos="993"/>
                <w:tab w:val="left" w:pos="1134"/>
                <w:tab w:val="left" w:pos="1418"/>
              </w:tabs>
              <w:spacing w:line="440" w:lineRule="exact"/>
              <w:jc w:val="center"/>
              <w:rPr>
                <w:rFonts w:hint="eastAsia" w:ascii="Times New Roman" w:hAnsi="Times New Roman" w:eastAsia="仿宋_GB2312" w:cs="Times New Roman"/>
                <w:color w:val="auto"/>
                <w:kern w:val="0"/>
                <w:sz w:val="24"/>
                <w:szCs w:val="32"/>
                <w:lang w:val="en-US" w:eastAsia="zh-CN" w:bidi="ar-SA"/>
              </w:rPr>
            </w:pPr>
            <w:r>
              <w:rPr>
                <w:rFonts w:hint="eastAsia" w:ascii="Times New Roman" w:hAnsi="Times New Roman" w:eastAsia="仿宋_GB2312" w:cs="Times New Roman"/>
                <w:color w:val="auto"/>
                <w:kern w:val="0"/>
                <w:sz w:val="24"/>
                <w:szCs w:val="32"/>
                <w:lang w:val="en-US" w:eastAsia="zh-CN" w:bidi="ar-SA"/>
              </w:rPr>
              <w:t>龙州县彬桥乡绕秀村那曳屯水毁道路建设项目</w:t>
            </w:r>
          </w:p>
        </w:tc>
        <w:tc>
          <w:tcPr>
            <w:tcW w:w="3001" w:type="dxa"/>
            <w:tcBorders>
              <w:top w:val="single" w:color="000000" w:sz="4" w:space="0"/>
              <w:left w:val="single" w:color="000000" w:sz="4" w:space="0"/>
              <w:bottom w:val="single" w:color="000000" w:sz="4" w:space="0"/>
              <w:right w:val="single" w:color="000000" w:sz="4" w:space="0"/>
            </w:tcBorders>
            <w:vAlign w:val="center"/>
          </w:tcPr>
          <w:p w14:paraId="11AD5CD5">
            <w:pPr>
              <w:pStyle w:val="4"/>
              <w:widowControl w:val="0"/>
              <w:tabs>
                <w:tab w:val="left" w:pos="993"/>
                <w:tab w:val="left" w:pos="1134"/>
                <w:tab w:val="left" w:pos="1418"/>
              </w:tabs>
              <w:spacing w:line="440" w:lineRule="exact"/>
              <w:jc w:val="center"/>
              <w:rPr>
                <w:rFonts w:hint="eastAsia" w:ascii="Times New Roman" w:hAnsi="Times New Roman" w:eastAsia="仿宋_GB2312" w:cs="Times New Roman"/>
                <w:color w:val="auto"/>
                <w:kern w:val="0"/>
                <w:sz w:val="24"/>
                <w:szCs w:val="32"/>
                <w:lang w:val="en-US" w:eastAsia="zh-CN" w:bidi="ar-SA"/>
              </w:rPr>
            </w:pPr>
            <w:bookmarkStart w:id="0" w:name="OLE_LINK1"/>
            <w:r>
              <w:rPr>
                <w:rFonts w:hint="eastAsia" w:ascii="Times New Roman" w:hAnsi="Times New Roman" w:eastAsia="仿宋_GB2312" w:cs="Times New Roman"/>
                <w:color w:val="auto"/>
                <w:kern w:val="0"/>
                <w:sz w:val="24"/>
                <w:szCs w:val="32"/>
                <w:lang w:val="en-US" w:eastAsia="zh-CN" w:bidi="ar-SA"/>
              </w:rPr>
              <w:t>需建设挡土墙长约100米、平均高7米，平均宽1.5米。</w:t>
            </w:r>
            <w:bookmarkEnd w:id="0"/>
          </w:p>
        </w:tc>
        <w:tc>
          <w:tcPr>
            <w:tcW w:w="1470" w:type="dxa"/>
            <w:tcBorders>
              <w:top w:val="single" w:color="000000" w:sz="4" w:space="0"/>
              <w:left w:val="single" w:color="000000" w:sz="4" w:space="0"/>
              <w:bottom w:val="single" w:color="000000" w:sz="4" w:space="0"/>
              <w:right w:val="single" w:color="000000" w:sz="4" w:space="0"/>
            </w:tcBorders>
            <w:vAlign w:val="center"/>
          </w:tcPr>
          <w:p w14:paraId="06199533">
            <w:pPr>
              <w:pStyle w:val="4"/>
              <w:widowControl w:val="0"/>
              <w:tabs>
                <w:tab w:val="left" w:pos="993"/>
                <w:tab w:val="left" w:pos="1134"/>
                <w:tab w:val="left" w:pos="1418"/>
              </w:tabs>
              <w:spacing w:line="440" w:lineRule="exact"/>
              <w:jc w:val="center"/>
              <w:rPr>
                <w:rFonts w:hint="default" w:ascii="Times New Roman" w:hAnsi="Times New Roman" w:eastAsia="仿宋_GB2312" w:cs="Times New Roman"/>
                <w:color w:val="auto"/>
                <w:kern w:val="0"/>
                <w:sz w:val="24"/>
                <w:szCs w:val="32"/>
                <w:lang w:val="en-US" w:eastAsia="zh-CN" w:bidi="ar-SA"/>
              </w:rPr>
            </w:pPr>
            <w:r>
              <w:rPr>
                <w:rFonts w:hint="eastAsia" w:ascii="Times New Roman" w:hAnsi="Times New Roman" w:eastAsia="仿宋_GB2312" w:cs="Times New Roman"/>
                <w:color w:val="auto"/>
                <w:kern w:val="0"/>
                <w:sz w:val="24"/>
                <w:szCs w:val="32"/>
                <w:lang w:val="en-US" w:eastAsia="zh-CN" w:bidi="ar-SA"/>
              </w:rPr>
              <w:t>59.9009</w:t>
            </w:r>
          </w:p>
        </w:tc>
        <w:tc>
          <w:tcPr>
            <w:tcW w:w="1260" w:type="dxa"/>
            <w:tcBorders>
              <w:top w:val="single" w:color="000000" w:sz="4" w:space="0"/>
              <w:left w:val="single" w:color="000000" w:sz="4" w:space="0"/>
              <w:bottom w:val="single" w:color="000000" w:sz="4" w:space="0"/>
              <w:right w:val="single" w:color="000000" w:sz="4" w:space="0"/>
            </w:tcBorders>
            <w:vAlign w:val="center"/>
          </w:tcPr>
          <w:p w14:paraId="0262FE93">
            <w:pPr>
              <w:pStyle w:val="4"/>
              <w:widowControl w:val="0"/>
              <w:tabs>
                <w:tab w:val="left" w:pos="993"/>
                <w:tab w:val="left" w:pos="1134"/>
                <w:tab w:val="left" w:pos="1418"/>
              </w:tabs>
              <w:spacing w:line="440" w:lineRule="exact"/>
              <w:jc w:val="center"/>
              <w:rPr>
                <w:rFonts w:ascii="Times New Roman" w:hAnsi="Times New Roman" w:eastAsia="仿宋_GB2312" w:cs="Times New Roman"/>
                <w:color w:val="auto"/>
                <w:kern w:val="0"/>
                <w:sz w:val="24"/>
                <w:szCs w:val="32"/>
                <w:lang w:val="en-US" w:eastAsia="zh-CN" w:bidi="ar-SA"/>
              </w:rPr>
            </w:pPr>
            <w:r>
              <w:rPr>
                <w:rFonts w:ascii="Times New Roman" w:hAnsi="Times New Roman" w:eastAsia="仿宋_GB2312" w:cs="Times New Roman"/>
                <w:color w:val="auto"/>
                <w:kern w:val="0"/>
                <w:sz w:val="24"/>
                <w:szCs w:val="32"/>
                <w:lang w:val="en-US" w:eastAsia="zh-CN" w:bidi="ar-SA"/>
              </w:rPr>
              <w:t>202</w:t>
            </w:r>
            <w:r>
              <w:rPr>
                <w:rFonts w:hint="eastAsia" w:ascii="Times New Roman" w:hAnsi="Times New Roman" w:eastAsia="仿宋_GB2312" w:cs="Times New Roman"/>
                <w:color w:val="auto"/>
                <w:kern w:val="0"/>
                <w:sz w:val="24"/>
                <w:szCs w:val="32"/>
                <w:lang w:val="en-US" w:eastAsia="zh-CN" w:bidi="ar-SA"/>
              </w:rPr>
              <w:t>5</w:t>
            </w:r>
            <w:r>
              <w:rPr>
                <w:rFonts w:ascii="Times New Roman" w:hAnsi="Times New Roman" w:eastAsia="仿宋_GB2312" w:cs="Times New Roman"/>
                <w:color w:val="auto"/>
                <w:kern w:val="0"/>
                <w:sz w:val="24"/>
                <w:szCs w:val="32"/>
                <w:lang w:val="en-US" w:eastAsia="zh-CN" w:bidi="ar-SA"/>
              </w:rPr>
              <w:t>年</w:t>
            </w:r>
            <w:r>
              <w:rPr>
                <w:rFonts w:hint="eastAsia" w:ascii="Times New Roman" w:hAnsi="Times New Roman" w:eastAsia="仿宋_GB2312" w:cs="Times New Roman"/>
                <w:color w:val="auto"/>
                <w:kern w:val="0"/>
                <w:sz w:val="24"/>
                <w:szCs w:val="32"/>
                <w:lang w:val="en-US" w:eastAsia="zh-CN" w:bidi="ar-SA"/>
              </w:rPr>
              <w:t>11</w:t>
            </w:r>
            <w:r>
              <w:rPr>
                <w:rFonts w:ascii="Times New Roman" w:hAnsi="Times New Roman" w:eastAsia="仿宋_GB2312" w:cs="Times New Roman"/>
                <w:color w:val="auto"/>
                <w:kern w:val="0"/>
                <w:sz w:val="24"/>
                <w:szCs w:val="32"/>
                <w:lang w:val="en-US" w:eastAsia="zh-CN" w:bidi="ar-SA"/>
              </w:rPr>
              <w:t>月</w:t>
            </w:r>
          </w:p>
        </w:tc>
        <w:tc>
          <w:tcPr>
            <w:tcW w:w="1229" w:type="dxa"/>
            <w:tcBorders>
              <w:top w:val="single" w:color="000000" w:sz="4" w:space="0"/>
              <w:left w:val="single" w:color="000000" w:sz="4" w:space="0"/>
              <w:bottom w:val="single" w:color="000000" w:sz="4" w:space="0"/>
              <w:right w:val="single" w:color="000000" w:sz="4" w:space="0"/>
            </w:tcBorders>
            <w:vAlign w:val="center"/>
          </w:tcPr>
          <w:p w14:paraId="06B881D3">
            <w:pPr>
              <w:pStyle w:val="4"/>
              <w:widowControl w:val="0"/>
              <w:tabs>
                <w:tab w:val="left" w:pos="993"/>
                <w:tab w:val="left" w:pos="1134"/>
                <w:tab w:val="left" w:pos="1418"/>
              </w:tabs>
              <w:spacing w:line="440" w:lineRule="exact"/>
              <w:jc w:val="center"/>
              <w:rPr>
                <w:rFonts w:hint="eastAsia" w:ascii="Times New Roman" w:hAnsi="Times New Roman" w:eastAsia="仿宋_GB2312" w:cs="Times New Roman"/>
                <w:color w:val="auto"/>
                <w:kern w:val="0"/>
                <w:sz w:val="24"/>
                <w:szCs w:val="32"/>
                <w:lang w:val="en-US" w:eastAsia="zh-CN" w:bidi="ar-SA"/>
              </w:rPr>
            </w:pPr>
            <w:r>
              <w:rPr>
                <w:rFonts w:hint="eastAsia" w:ascii="Times New Roman" w:hAnsi="Times New Roman" w:eastAsia="仿宋_GB2312" w:cs="Times New Roman"/>
                <w:color w:val="auto"/>
                <w:kern w:val="0"/>
                <w:sz w:val="24"/>
                <w:szCs w:val="32"/>
                <w:lang w:val="en-US" w:eastAsia="zh-CN" w:bidi="ar-SA"/>
              </w:rPr>
              <w:t>面向中小型企业预留份额100%</w:t>
            </w:r>
          </w:p>
        </w:tc>
        <w:tc>
          <w:tcPr>
            <w:tcW w:w="944" w:type="dxa"/>
            <w:tcBorders>
              <w:top w:val="single" w:color="000000" w:sz="4" w:space="0"/>
              <w:left w:val="single" w:color="000000" w:sz="4" w:space="0"/>
              <w:bottom w:val="single" w:color="000000" w:sz="4" w:space="0"/>
              <w:right w:val="single" w:color="000000" w:sz="4" w:space="0"/>
            </w:tcBorders>
            <w:vAlign w:val="center"/>
          </w:tcPr>
          <w:p w14:paraId="4D38C8BC">
            <w:pPr>
              <w:pStyle w:val="4"/>
              <w:widowControl w:val="0"/>
              <w:tabs>
                <w:tab w:val="left" w:pos="993"/>
                <w:tab w:val="left" w:pos="1134"/>
                <w:tab w:val="left" w:pos="1418"/>
              </w:tabs>
              <w:spacing w:line="440" w:lineRule="exact"/>
              <w:jc w:val="center"/>
              <w:rPr>
                <w:rFonts w:ascii="Times New Roman" w:hAnsi="Times New Roman" w:eastAsia="仿宋_GB2312" w:cs="Times New Roman"/>
                <w:kern w:val="0"/>
                <w:sz w:val="24"/>
                <w:szCs w:val="32"/>
              </w:rPr>
            </w:pPr>
          </w:p>
        </w:tc>
      </w:tr>
    </w:tbl>
    <w:p w14:paraId="4E1C6EE8">
      <w:pPr>
        <w:pStyle w:val="4"/>
        <w:tabs>
          <w:tab w:val="left" w:pos="993"/>
          <w:tab w:val="left" w:pos="1134"/>
          <w:tab w:val="left" w:pos="1418"/>
        </w:tabs>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本次公开的政府采购意向是本单位政府采购工作的初步安排，具体采购项目情况以相关采购公告和采购文件为准。</w:t>
      </w:r>
      <w:r>
        <w:rPr>
          <w:rFonts w:ascii="Times New Roman" w:hAnsi="Times New Roman" w:eastAsia="Times New Roman" w:cs="Times New Roman"/>
          <w:sz w:val="32"/>
          <w:szCs w:val="32"/>
        </w:rPr>
        <w:t xml:space="preserve">                                                             </w:t>
      </w:r>
    </w:p>
    <w:p w14:paraId="2CFD3DED">
      <w:pPr>
        <w:pStyle w:val="4"/>
        <w:tabs>
          <w:tab w:val="left" w:pos="993"/>
          <w:tab w:val="left" w:pos="1134"/>
          <w:tab w:val="left" w:pos="1418"/>
        </w:tabs>
        <w:spacing w:line="560" w:lineRule="exact"/>
        <w:jc w:val="left"/>
        <w:rPr>
          <w:rFonts w:ascii="Times New Roman" w:hAnsi="Times New Roman" w:eastAsia="仿宋_GB2312" w:cs="Times New Roman"/>
          <w:sz w:val="32"/>
          <w:szCs w:val="32"/>
        </w:rPr>
      </w:pPr>
    </w:p>
    <w:p w14:paraId="07FC20D5">
      <w:pPr>
        <w:pStyle w:val="4"/>
        <w:tabs>
          <w:tab w:val="left" w:pos="993"/>
          <w:tab w:val="left" w:pos="1134"/>
          <w:tab w:val="left" w:pos="1418"/>
        </w:tabs>
        <w:spacing w:line="560" w:lineRule="exact"/>
        <w:jc w:val="left"/>
        <w:rPr>
          <w:rFonts w:ascii="Times New Roman" w:hAnsi="Times New Roman" w:eastAsia="仿宋_GB2312" w:cs="Times New Roman"/>
          <w:sz w:val="32"/>
          <w:szCs w:val="32"/>
        </w:rPr>
      </w:pPr>
    </w:p>
    <w:p w14:paraId="4586E7BA">
      <w:pPr>
        <w:pStyle w:val="4"/>
        <w:tabs>
          <w:tab w:val="left" w:pos="993"/>
          <w:tab w:val="left" w:pos="1134"/>
          <w:tab w:val="left" w:pos="1418"/>
        </w:tabs>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龙州县彬桥乡人民政府</w:t>
      </w:r>
    </w:p>
    <w:p w14:paraId="5137E6E1">
      <w:pPr>
        <w:pStyle w:val="4"/>
        <w:tabs>
          <w:tab w:val="left" w:pos="993"/>
          <w:tab w:val="left" w:pos="1134"/>
          <w:tab w:val="left" w:pos="1418"/>
        </w:tabs>
        <w:spacing w:line="560" w:lineRule="exact"/>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2025年10月16日</w:t>
      </w:r>
    </w:p>
    <w:p w14:paraId="235F540A">
      <w:pPr>
        <w:pStyle w:val="4"/>
        <w:tabs>
          <w:tab w:val="left" w:pos="993"/>
          <w:tab w:val="left" w:pos="1134"/>
          <w:tab w:val="left" w:pos="1418"/>
        </w:tabs>
        <w:spacing w:line="560" w:lineRule="exact"/>
        <w:ind w:right="481" w:rightChars="229"/>
        <w:jc w:val="center"/>
        <w:rPr>
          <w:rFonts w:hint="default"/>
          <w:lang w:val="en-US"/>
        </w:rPr>
      </w:pPr>
      <w:r>
        <w:rPr>
          <w:rFonts w:ascii="Times New Roman" w:hAnsi="Times New Roman" w:eastAsia="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hint="eastAsia" w:ascii="Times New Roman" w:hAnsi="Times New Roman" w:eastAsia="Times New Roman" w:cs="Times New Roman"/>
          <w:color w:val="auto"/>
          <w:kern w:val="2"/>
          <w:sz w:val="32"/>
          <w:szCs w:val="32"/>
          <w:lang w:val="en-US" w:eastAsia="zh-CN" w:bidi="ar-SA"/>
        </w:rPr>
        <w:t xml:space="preserve"> </w:t>
      </w:r>
    </w:p>
    <w:sectPr>
      <w:footerReference r:id="rId3" w:type="default"/>
      <w:pgSz w:w="11906" w:h="16838"/>
      <w:pgMar w:top="1928" w:right="1474" w:bottom="1814" w:left="1587" w:header="0" w:footer="1134" w:gutter="0"/>
      <w:pgNumType w:fmt="decimal"/>
      <w:cols w:space="720" w:num="1"/>
      <w:formProt w:val="0"/>
      <w:docGrid w:linePitch="312" w:charSpace="919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roman"/>
    <w:pitch w:val="default"/>
    <w:sig w:usb0="00000203" w:usb1="288F0000" w:usb2="0000000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D3180">
    <w:pPr>
      <w:pStyle w:val="5"/>
      <w:tabs>
        <w:tab w:val="center" w:pos="4423"/>
      </w:tabs>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561975" cy="247650"/>
              <wp:effectExtent l="0" t="0" r="0" b="0"/>
              <wp:wrapNone/>
              <wp:docPr id="1" name="框架1"/>
              <wp:cNvGraphicFramePr/>
              <a:graphic xmlns:a="http://schemas.openxmlformats.org/drawingml/2006/main">
                <a:graphicData uri="http://schemas.microsoft.com/office/word/2010/wordprocessingShape">
                  <wps:wsp>
                    <wps:cNvSpPr/>
                    <wps:spPr>
                      <a:xfrm>
                        <a:off x="0" y="0"/>
                        <a:ext cx="561240" cy="246960"/>
                      </a:xfrm>
                      <a:prstGeom prst="rect">
                        <a:avLst/>
                      </a:prstGeom>
                      <a:noFill/>
                      <a:ln w="0">
                        <a:noFill/>
                      </a:ln>
                    </wps:spPr>
                    <wps:style>
                      <a:lnRef idx="0">
                        <a:srgbClr val="FFFFFF"/>
                      </a:lnRef>
                      <a:fillRef idx="0">
                        <a:srgbClr val="FFFFFF"/>
                      </a:fillRef>
                      <a:effectRef idx="0">
                        <a:srgbClr val="FFFFFF"/>
                      </a:effectRef>
                      <a:fontRef idx="minor"/>
                    </wps:style>
                    <wps:txbx>
                      <w:txbxContent>
                        <w:p w14:paraId="278EC73C">
                          <w:pPr>
                            <w:pStyle w:val="5"/>
                            <w:rPr>
                              <w:color w:val="000000"/>
                            </w:rPr>
                          </w:pPr>
                          <w:r>
                            <w:rPr>
                              <w:rFonts w:ascii="新宋体" w:hAnsi="新宋体" w:eastAsia="新宋体" w:cs="新宋体"/>
                              <w:color w:val="000000"/>
                              <w:sz w:val="30"/>
                              <w:szCs w:val="30"/>
                            </w:rPr>
                            <w:t>－</w:t>
                          </w:r>
                          <w:r>
                            <w:rPr>
                              <w:rFonts w:ascii="新宋体" w:hAnsi="新宋体" w:eastAsia="新宋体" w:cs="新宋体"/>
                              <w:color w:val="000000"/>
                              <w:sz w:val="13"/>
                              <w:szCs w:val="13"/>
                            </w:rPr>
                            <w:t xml:space="preserve"> </w:t>
                          </w:r>
                          <w:r>
                            <w:rPr>
                              <w:rFonts w:ascii="仿宋_GB2312" w:hAnsi="仿宋_GB2312" w:eastAsia="仿宋_GB2312" w:cs="仿宋_GB2312"/>
                              <w:color w:val="000000"/>
                              <w:sz w:val="30"/>
                              <w:szCs w:val="30"/>
                            </w:rPr>
                            <w:fldChar w:fldCharType="begin"/>
                          </w:r>
                          <w:r>
                            <w:rPr>
                              <w:rFonts w:ascii="仿宋_GB2312" w:hAnsi="仿宋_GB2312" w:eastAsia="仿宋_GB2312" w:cs="仿宋_GB2312"/>
                              <w:color w:val="000000"/>
                              <w:sz w:val="30"/>
                              <w:szCs w:val="30"/>
                            </w:rPr>
                            <w:instrText xml:space="preserve">PAGE</w:instrText>
                          </w:r>
                          <w:r>
                            <w:rPr>
                              <w:rFonts w:ascii="仿宋_GB2312" w:hAnsi="仿宋_GB2312" w:eastAsia="仿宋_GB2312" w:cs="仿宋_GB2312"/>
                              <w:color w:val="000000"/>
                              <w:sz w:val="30"/>
                              <w:szCs w:val="30"/>
                            </w:rPr>
                            <w:fldChar w:fldCharType="separate"/>
                          </w:r>
                          <w:r>
                            <w:rPr>
                              <w:rFonts w:ascii="仿宋_GB2312" w:hAnsi="仿宋_GB2312" w:eastAsia="仿宋_GB2312" w:cs="仿宋_GB2312"/>
                              <w:color w:val="000000"/>
                              <w:sz w:val="30"/>
                              <w:szCs w:val="30"/>
                            </w:rPr>
                            <w:t>1</w:t>
                          </w:r>
                          <w:r>
                            <w:rPr>
                              <w:rFonts w:ascii="仿宋_GB2312" w:hAnsi="仿宋_GB2312" w:eastAsia="仿宋_GB2312" w:cs="仿宋_GB2312"/>
                              <w:color w:val="000000"/>
                              <w:sz w:val="30"/>
                              <w:szCs w:val="30"/>
                            </w:rPr>
                            <w:fldChar w:fldCharType="end"/>
                          </w:r>
                          <w:r>
                            <w:rPr>
                              <w:rFonts w:ascii="新宋体" w:hAnsi="新宋体" w:eastAsia="新宋体" w:cs="新宋体"/>
                              <w:color w:val="000000"/>
                              <w:sz w:val="13"/>
                              <w:szCs w:val="13"/>
                            </w:rPr>
                            <w:t xml:space="preserve"> </w:t>
                          </w:r>
                          <w:r>
                            <w:rPr>
                              <w:rFonts w:ascii="新宋体" w:hAnsi="新宋体" w:eastAsia="新宋体" w:cs="新宋体"/>
                              <w:color w:val="000000"/>
                              <w:sz w:val="30"/>
                              <w:szCs w:val="30"/>
                            </w:rPr>
                            <w:t>－</w:t>
                          </w:r>
                        </w:p>
                      </w:txbxContent>
                    </wps:txbx>
                    <wps:bodyPr lIns="720" tIns="720" rIns="720" bIns="720">
                      <a:spAutoFit/>
                    </wps:bodyPr>
                  </wps:wsp>
                </a:graphicData>
              </a:graphic>
            </wp:anchor>
          </w:drawing>
        </mc:Choice>
        <mc:Fallback>
          <w:pict>
            <v:rect id="框架1" o:spid="_x0000_s1026" o:spt="1" style="position:absolute;left:0pt;margin-top:0.05pt;height:19.5pt;width:44.25pt;mso-position-horizontal:right;mso-position-horizontal-relative:margin;z-index:-251657216;mso-width-relative:page;mso-height-relative:page;" filled="f" stroked="f" coordsize="21600,21600" o:allowincell="f" o:gfxdata="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KxbftUAAAADAQAADwAAAAAAAAABACAAAAAiAAAAZHJzL2Rvd25yZXYueG1sUEsBAhQAFAAA&#10;AAgAh07iQML0znq5AQAAfwMAAA4AAAAAAAAAAQAgAAAAJAEAAGRycy9lMm9Eb2MueG1sUEsFBgAA&#10;AAAGAAYAWQEAAE8FAAAAAA==&#10;">
              <v:fill on="f" focussize="0,0"/>
              <v:stroke on="f" weight="0pt"/>
              <v:imagedata o:title=""/>
              <o:lock v:ext="edit" aspectratio="f"/>
              <v:textbox inset="0.02mm,0.02mm,0.02mm,0.02mm" style="mso-fit-shape-to-text:t;">
                <w:txbxContent>
                  <w:p w14:paraId="278EC73C">
                    <w:pPr>
                      <w:pStyle w:val="5"/>
                      <w:rPr>
                        <w:color w:val="000000"/>
                      </w:rPr>
                    </w:pPr>
                    <w:r>
                      <w:rPr>
                        <w:rFonts w:ascii="新宋体" w:hAnsi="新宋体" w:eastAsia="新宋体" w:cs="新宋体"/>
                        <w:color w:val="000000"/>
                        <w:sz w:val="30"/>
                        <w:szCs w:val="30"/>
                      </w:rPr>
                      <w:t>－</w:t>
                    </w:r>
                    <w:r>
                      <w:rPr>
                        <w:rFonts w:ascii="新宋体" w:hAnsi="新宋体" w:eastAsia="新宋体" w:cs="新宋体"/>
                        <w:color w:val="000000"/>
                        <w:sz w:val="13"/>
                        <w:szCs w:val="13"/>
                      </w:rPr>
                      <w:t xml:space="preserve"> </w:t>
                    </w:r>
                    <w:r>
                      <w:rPr>
                        <w:rFonts w:ascii="仿宋_GB2312" w:hAnsi="仿宋_GB2312" w:eastAsia="仿宋_GB2312" w:cs="仿宋_GB2312"/>
                        <w:color w:val="000000"/>
                        <w:sz w:val="30"/>
                        <w:szCs w:val="30"/>
                      </w:rPr>
                      <w:fldChar w:fldCharType="begin"/>
                    </w:r>
                    <w:r>
                      <w:rPr>
                        <w:rFonts w:ascii="仿宋_GB2312" w:hAnsi="仿宋_GB2312" w:eastAsia="仿宋_GB2312" w:cs="仿宋_GB2312"/>
                        <w:color w:val="000000"/>
                        <w:sz w:val="30"/>
                        <w:szCs w:val="30"/>
                      </w:rPr>
                      <w:instrText xml:space="preserve">PAGE</w:instrText>
                    </w:r>
                    <w:r>
                      <w:rPr>
                        <w:rFonts w:ascii="仿宋_GB2312" w:hAnsi="仿宋_GB2312" w:eastAsia="仿宋_GB2312" w:cs="仿宋_GB2312"/>
                        <w:color w:val="000000"/>
                        <w:sz w:val="30"/>
                        <w:szCs w:val="30"/>
                      </w:rPr>
                      <w:fldChar w:fldCharType="separate"/>
                    </w:r>
                    <w:r>
                      <w:rPr>
                        <w:rFonts w:ascii="仿宋_GB2312" w:hAnsi="仿宋_GB2312" w:eastAsia="仿宋_GB2312" w:cs="仿宋_GB2312"/>
                        <w:color w:val="000000"/>
                        <w:sz w:val="30"/>
                        <w:szCs w:val="30"/>
                      </w:rPr>
                      <w:t>1</w:t>
                    </w:r>
                    <w:r>
                      <w:rPr>
                        <w:rFonts w:ascii="仿宋_GB2312" w:hAnsi="仿宋_GB2312" w:eastAsia="仿宋_GB2312" w:cs="仿宋_GB2312"/>
                        <w:color w:val="000000"/>
                        <w:sz w:val="30"/>
                        <w:szCs w:val="30"/>
                      </w:rPr>
                      <w:fldChar w:fldCharType="end"/>
                    </w:r>
                    <w:r>
                      <w:rPr>
                        <w:rFonts w:ascii="新宋体" w:hAnsi="新宋体" w:eastAsia="新宋体" w:cs="新宋体"/>
                        <w:color w:val="000000"/>
                        <w:sz w:val="13"/>
                        <w:szCs w:val="13"/>
                      </w:rPr>
                      <w:t xml:space="preserve"> </w:t>
                    </w:r>
                    <w:r>
                      <w:rPr>
                        <w:rFonts w:ascii="新宋体" w:hAnsi="新宋体" w:eastAsia="新宋体" w:cs="新宋体"/>
                        <w:color w:val="000000"/>
                        <w:sz w:val="30"/>
                        <w:szCs w:val="30"/>
                      </w:rPr>
                      <w:t>－</w:t>
                    </w:r>
                  </w:p>
                </w:txbxContent>
              </v:textbox>
            </v:rect>
          </w:pict>
        </mc:Fallback>
      </mc:AlternateContent>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5"/>
  <w:autoHyphenation/>
  <w:compat>
    <w:balanceSingleByteDoubleByteWidth/>
    <w:ulTrailSpace/>
    <w:doNotExpandShiftReturn/>
    <w:useFELayout/>
    <w:compatSetting w:name="compatibilityMode" w:uri="http://schemas.microsoft.com/office/word" w:val="15"/>
  </w:compat>
  <w:docVars>
    <w:docVar w:name="commondata" w:val="eyJoZGlkIjoiNWYyM2VlZjk4NmYxOGUwZGYzMjU0ZDA2ZGUzYjE2MmQifQ=="/>
  </w:docVars>
  <w:rsids>
    <w:rsidRoot w:val="00000000"/>
    <w:rsid w:val="00E84814"/>
    <w:rsid w:val="1535498A"/>
    <w:rsid w:val="169F12A9"/>
    <w:rsid w:val="16DC147A"/>
    <w:rsid w:val="172D33A1"/>
    <w:rsid w:val="34DF0332"/>
    <w:rsid w:val="35C9120E"/>
    <w:rsid w:val="362134A8"/>
    <w:rsid w:val="3A7A3D7E"/>
    <w:rsid w:val="48C642AB"/>
    <w:rsid w:val="62226C56"/>
    <w:rsid w:val="68FD066F"/>
    <w:rsid w:val="691342D6"/>
    <w:rsid w:val="6D687BEE"/>
    <w:rsid w:val="6E1933BF"/>
    <w:rsid w:val="70C13E57"/>
    <w:rsid w:val="749D29D3"/>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新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新宋体" w:cs="Times New Roman"/>
      <w:sz w:val="21"/>
      <w:szCs w:val="24"/>
      <w:lang w:val="en-US" w:eastAsia="zh-CN" w:bidi="hi-I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1"/>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1"/>
      <w:szCs w:val="20"/>
      <w:lang w:val="en-US" w:eastAsia="zh-CN" w:bidi="ar-SA"/>
    </w:rPr>
  </w:style>
  <w:style w:type="paragraph" w:customStyle="1" w:styleId="5">
    <w:name w:val="页脚1"/>
    <w:basedOn w:val="4"/>
    <w:qFormat/>
    <w:uiPriority w:val="0"/>
    <w:pPr>
      <w:tabs>
        <w:tab w:val="center" w:pos="4153"/>
        <w:tab w:val="right" w:pos="8306"/>
      </w:tabs>
      <w:snapToGrid w:val="0"/>
      <w:jc w:val="left"/>
    </w:pPr>
    <w:rPr>
      <w:rFonts w:ascii="Calibri" w:hAnsi="Calibri" w:cs="Calibri"/>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桂冠下行文模板.dot</Template>
  <Pages>1</Pages>
  <Words>325</Words>
  <Characters>363</Characters>
  <Paragraphs>22</Paragraphs>
  <TotalTime>37</TotalTime>
  <ScaleCrop>false</ScaleCrop>
  <LinksUpToDate>false</LinksUpToDate>
  <CharactersWithSpaces>529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2004-06-25T11:09:00Z</dcterms:created>
  <dc:creator>系统管理员</dc:creator>
  <cp:lastModifiedBy>lenovo</cp:lastModifiedBy>
  <cp:lastPrinted>2021-09-27T17:46:00Z</cp:lastPrinted>
  <dcterms:modified xsi:type="dcterms:W3CDTF">2025-10-21T01:25:53Z</dcterms:modified>
  <dc:title>关于申请办理“广西桂冠电力股份有限公司</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0859EC4E87BE4359A49CD60700666022_13</vt:lpwstr>
  </property>
  <property fmtid="{D5CDD505-2E9C-101B-9397-08002B2CF9AE}" pid="3" name="KSOProductBuildVer">
    <vt:lpwstr>2052-12.1.0.23125</vt:lpwstr>
  </property>
  <property fmtid="{D5CDD505-2E9C-101B-9397-08002B2CF9AE}" pid="4" name="KSOTemplateDocerSaveRecord">
    <vt:lpwstr>eyJoZGlkIjoiODRlYmVjNWRjNGZlZTQyMmE5ZmJjNWVmYTRlOGMzOGEifQ==</vt:lpwstr>
  </property>
</Properties>
</file>