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r>
        <w:rPr>
          <w:rFonts w:hint="eastAsia" w:ascii="方正小标宋简体" w:hAnsi="方正小标宋简体" w:eastAsia="方正小标宋简体" w:cs="方正小标宋简体"/>
          <w:b/>
          <w:color w:val="auto"/>
          <w:sz w:val="44"/>
          <w:szCs w:val="44"/>
          <w:highlight w:val="none"/>
          <w:lang w:eastAsia="zh-CN"/>
        </w:rPr>
        <w:drawing>
          <wp:inline distT="0" distB="0" distL="114300" distR="114300">
            <wp:extent cx="5635625" cy="1050290"/>
            <wp:effectExtent l="0" t="0" r="0" b="0"/>
            <wp:docPr id="4" name="图片 1" descr="900b284d9d752616ddbde50079fc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900b284d9d752616ddbde50079fced2"/>
                    <pic:cNvPicPr>
                      <a:picLocks noChangeAspect="1"/>
                    </pic:cNvPicPr>
                  </pic:nvPicPr>
                  <pic:blipFill>
                    <a:blip r:embed="rId15"/>
                    <a:stretch>
                      <a:fillRect/>
                    </a:stretch>
                  </pic:blipFill>
                  <pic:spPr>
                    <a:xfrm>
                      <a:off x="0" y="0"/>
                      <a:ext cx="5635625" cy="1050290"/>
                    </a:xfrm>
                    <a:prstGeom prst="rect">
                      <a:avLst/>
                    </a:prstGeom>
                    <a:noFill/>
                    <a:ln>
                      <a:noFill/>
                    </a:ln>
                  </pic:spPr>
                </pic:pic>
              </a:graphicData>
            </a:graphic>
          </wp:inline>
        </w:drawing>
      </w:r>
    </w:p>
    <w:p>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kern w:val="0"/>
          <w:sz w:val="56"/>
          <w:szCs w:val="24"/>
          <w:highlight w:val="none"/>
        </w:rPr>
      </w:pPr>
    </w:p>
    <w:p>
      <w:pPr>
        <w:pStyle w:val="27"/>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pPr>
        <w:autoSpaceDE w:val="0"/>
        <w:autoSpaceDN w:val="0"/>
        <w:adjustRightInd w:val="0"/>
        <w:spacing w:line="360" w:lineRule="auto"/>
        <w:ind w:firstLine="1120" w:firstLineChars="4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天等县进结镇进结社区洞宁养殖小区产业基地配套项目</w:t>
      </w:r>
    </w:p>
    <w:p>
      <w:pPr>
        <w:autoSpaceDE w:val="0"/>
        <w:autoSpaceDN w:val="0"/>
        <w:adjustRightInd w:val="0"/>
        <w:spacing w:line="360" w:lineRule="auto"/>
        <w:ind w:firstLine="1120" w:firstLineChars="4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CZZC2024-C2-250176-GXCS</w:t>
      </w:r>
    </w:p>
    <w:p>
      <w:pPr>
        <w:spacing w:line="360" w:lineRule="auto"/>
        <w:rPr>
          <w:rFonts w:hint="eastAsia" w:ascii="宋体" w:hAnsi="宋体" w:eastAsia="宋体" w:cs="宋体"/>
          <w:b w:val="0"/>
          <w:bCs w:val="0"/>
          <w:color w:val="auto"/>
          <w:sz w:val="18"/>
          <w:szCs w:val="20"/>
          <w:highlight w:val="none"/>
        </w:rPr>
      </w:pPr>
    </w:p>
    <w:p>
      <w:pPr>
        <w:pStyle w:val="27"/>
        <w:rPr>
          <w:rFonts w:hint="eastAsia" w:ascii="宋体" w:hAnsi="宋体" w:eastAsia="宋体" w:cs="宋体"/>
          <w:b w:val="0"/>
          <w:bCs w:val="0"/>
          <w:color w:val="auto"/>
          <w:sz w:val="18"/>
          <w:szCs w:val="20"/>
          <w:highlight w:val="none"/>
        </w:rPr>
      </w:pPr>
    </w:p>
    <w:p>
      <w:pPr>
        <w:pStyle w:val="27"/>
        <w:rPr>
          <w:rFonts w:hint="eastAsia" w:ascii="宋体" w:hAnsi="宋体" w:eastAsia="宋体" w:cs="宋体"/>
          <w:b w:val="0"/>
          <w:bCs w:val="0"/>
          <w:color w:val="auto"/>
          <w:sz w:val="18"/>
          <w:szCs w:val="20"/>
          <w:highlight w:val="none"/>
        </w:rPr>
      </w:pPr>
    </w:p>
    <w:p>
      <w:pPr>
        <w:pStyle w:val="27"/>
        <w:rPr>
          <w:rFonts w:hint="eastAsia" w:ascii="宋体" w:hAnsi="宋体" w:eastAsia="宋体" w:cs="宋体"/>
          <w:b w:val="0"/>
          <w:bCs w:val="0"/>
          <w:color w:val="auto"/>
          <w:sz w:val="18"/>
          <w:szCs w:val="20"/>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highlight w:val="none"/>
        </w:rPr>
      </w:pPr>
    </w:p>
    <w:p>
      <w:pPr>
        <w:pStyle w:val="27"/>
        <w:rPr>
          <w:rFonts w:hint="eastAsia" w:ascii="宋体" w:hAnsi="宋体" w:eastAsia="宋体" w:cs="宋体"/>
          <w:color w:val="auto"/>
          <w:kern w:val="0"/>
          <w:sz w:val="36"/>
          <w:szCs w:val="24"/>
          <w:highlight w:val="none"/>
        </w:rPr>
      </w:pPr>
    </w:p>
    <w:p>
      <w:pPr>
        <w:pStyle w:val="27"/>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天等县民族宗教服务中心</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广西崇善项目咨询有限公司</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titlePg/>
          <w:docGrid w:type="lines" w:linePitch="312" w:charSpace="0"/>
        </w:sectPr>
      </w:pPr>
      <w:r>
        <w:rPr>
          <w:rFonts w:hint="eastAsia" w:ascii="宋体" w:hAnsi="宋体" w:cs="宋体"/>
          <w:b/>
          <w:color w:val="auto"/>
          <w:kern w:val="0"/>
          <w:sz w:val="30"/>
          <w:szCs w:val="30"/>
          <w:highlight w:val="none"/>
          <w:lang w:eastAsia="zh-CN"/>
        </w:rPr>
        <w:t>2024年3月</w:t>
      </w:r>
    </w:p>
    <w:p>
      <w:pPr>
        <w:pStyle w:val="28"/>
        <w:spacing w:line="360" w:lineRule="auto"/>
        <w:jc w:val="center"/>
        <w:rPr>
          <w:rFonts w:ascii="宋体" w:hAnsi="宋体"/>
          <w:color w:val="auto"/>
          <w:highlight w:val="none"/>
        </w:rPr>
      </w:pPr>
    </w:p>
    <w:p>
      <w:pPr>
        <w:pStyle w:val="28"/>
        <w:spacing w:line="360" w:lineRule="auto"/>
        <w:jc w:val="center"/>
        <w:rPr>
          <w:rFonts w:ascii="宋体" w:hAnsi="宋体"/>
          <w:b/>
          <w:color w:val="auto"/>
          <w:sz w:val="48"/>
          <w:szCs w:val="48"/>
          <w:highlight w:val="none"/>
        </w:rPr>
      </w:pPr>
    </w:p>
    <w:p>
      <w:pPr>
        <w:pStyle w:val="28"/>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pPr>
        <w:pStyle w:val="30"/>
        <w:spacing w:line="360" w:lineRule="auto"/>
        <w:rPr>
          <w:color w:val="auto"/>
          <w:highlight w:val="none"/>
        </w:rPr>
      </w:pPr>
      <w:r>
        <w:rPr>
          <w:color w:val="auto"/>
          <w:sz w:val="28"/>
          <w:szCs w:val="28"/>
          <w:highlight w:val="none"/>
        </w:rPr>
        <w:fldChar w:fldCharType="end"/>
      </w:r>
    </w:p>
    <w:p>
      <w:pPr>
        <w:pStyle w:val="28"/>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pPr>
        <w:pStyle w:val="29"/>
        <w:rPr>
          <w:color w:val="auto"/>
          <w:highlight w:val="none"/>
        </w:rPr>
      </w:pPr>
    </w:p>
    <w:p>
      <w:pPr>
        <w:pStyle w:val="28"/>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广西崇善项目咨询有限公司</w:t>
      </w:r>
    </w:p>
    <w:p>
      <w:pPr>
        <w:pStyle w:val="3"/>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天等县进结镇进结社区洞宁养殖小区产业基地配套项目（项目编号：CZZC2024-C2-250176-GXCS）</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天等县进结镇进结社区洞宁养殖小区产业基地配套项目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2024年4月16日10时30分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pPr>
        <w:spacing w:line="360" w:lineRule="auto"/>
        <w:rPr>
          <w:b/>
          <w:bCs/>
          <w:color w:val="auto"/>
          <w:sz w:val="21"/>
          <w:szCs w:val="21"/>
          <w:highlight w:val="none"/>
        </w:rPr>
      </w:pPr>
      <w:bookmarkStart w:id="4" w:name="_Toc28359012"/>
      <w:bookmarkStart w:id="5" w:name="_Toc28359089"/>
      <w:bookmarkStart w:id="6" w:name="_Toc35393798"/>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eastAsia="zh-CN"/>
        </w:rPr>
        <w:t>CZZC2024-C2-250176-GXCS</w:t>
      </w:r>
      <w:r>
        <w:rPr>
          <w:rFonts w:hint="eastAsia" w:ascii="Times New Roman" w:hAnsi="Times New Roman"/>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天等县进结镇进结社区洞宁养殖小区产业基地配套项目</w:t>
      </w:r>
      <w:r>
        <w:rPr>
          <w:rFonts w:hint="eastAsia" w:ascii="Times New Roman" w:hAnsi="Times New Roman"/>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4.招标控制价：</w:t>
      </w:r>
      <w:r>
        <w:rPr>
          <w:rFonts w:hint="eastAsia"/>
          <w:color w:val="auto"/>
          <w:sz w:val="21"/>
          <w:szCs w:val="21"/>
          <w:highlight w:val="none"/>
          <w:lang w:eastAsia="zh-CN"/>
        </w:rPr>
        <w:t>人民币陆拾贰万壹仟玖佰捌拾叁元玖角贰分（¥621983.92）。</w:t>
      </w:r>
    </w:p>
    <w:p>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lang w:eastAsia="zh-CN"/>
        </w:rPr>
        <w:t>5.最高限价：人民币陆拾贰万壹仟玖佰捌拾叁元玖角贰分（¥621983.92）</w:t>
      </w:r>
      <w:r>
        <w:rPr>
          <w:rFonts w:hint="eastAsia" w:ascii="Times New Roman" w:hAnsi="Times New Roman"/>
          <w:color w:val="auto"/>
          <w:sz w:val="21"/>
          <w:szCs w:val="21"/>
          <w:highlight w:val="none"/>
        </w:rPr>
        <w:t>。</w:t>
      </w:r>
    </w:p>
    <w:p>
      <w:pPr>
        <w:widowControl/>
        <w:spacing w:line="360" w:lineRule="auto"/>
        <w:ind w:firstLine="420" w:firstLineChars="200"/>
        <w:rPr>
          <w:color w:val="auto"/>
          <w:sz w:val="21"/>
          <w:szCs w:val="21"/>
          <w:highlight w:val="none"/>
        </w:rPr>
      </w:pPr>
      <w:r>
        <w:rPr>
          <w:rFonts w:hint="eastAsia"/>
          <w:color w:val="auto"/>
          <w:sz w:val="21"/>
          <w:szCs w:val="21"/>
          <w:highlight w:val="none"/>
        </w:rPr>
        <w:t>6.采购需求</w:t>
      </w:r>
      <w:r>
        <w:rPr>
          <w:rFonts w:hint="eastAsia"/>
          <w:color w:val="auto"/>
          <w:sz w:val="21"/>
          <w:szCs w:val="21"/>
          <w:highlight w:val="none"/>
          <w:lang w:eastAsia="zh-CN"/>
        </w:rPr>
        <w:t>：天等县进结镇进结社区洞宁养殖小区产业基地配套项目建设内容包含养殖大棚围栏、新建配水工程等，以施工图和工程量清单包含的内容为准。</w:t>
      </w:r>
      <w:r>
        <w:rPr>
          <w:rFonts w:hint="eastAsia"/>
          <w:color w:val="auto"/>
          <w:sz w:val="21"/>
          <w:szCs w:val="21"/>
          <w:highlight w:val="none"/>
        </w:rPr>
        <w:t xml:space="preserve"> </w:t>
      </w:r>
    </w:p>
    <w:p>
      <w:pPr>
        <w:spacing w:line="360" w:lineRule="auto"/>
        <w:ind w:firstLine="420" w:firstLineChars="200"/>
        <w:rPr>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8.本项目不接受联合体。</w:t>
      </w:r>
    </w:p>
    <w:p>
      <w:pPr>
        <w:spacing w:line="360" w:lineRule="auto"/>
        <w:rPr>
          <w:b/>
          <w:bCs/>
          <w:color w:val="auto"/>
          <w:sz w:val="21"/>
          <w:szCs w:val="21"/>
          <w:highlight w:val="none"/>
        </w:rPr>
      </w:pPr>
      <w:bookmarkStart w:id="8" w:name="_Toc28359090"/>
      <w:bookmarkStart w:id="9" w:name="_Toc35393630"/>
      <w:bookmarkStart w:id="10" w:name="_Toc35393799"/>
      <w:bookmarkStart w:id="11" w:name="_Toc28359013"/>
      <w:r>
        <w:rPr>
          <w:rFonts w:hint="eastAsia"/>
          <w:b/>
          <w:bCs/>
          <w:color w:val="auto"/>
          <w:sz w:val="21"/>
          <w:szCs w:val="21"/>
          <w:highlight w:val="none"/>
        </w:rPr>
        <w:t>二、申请人的资格要求：</w:t>
      </w:r>
      <w:bookmarkEnd w:id="8"/>
      <w:bookmarkEnd w:id="9"/>
      <w:bookmarkEnd w:id="10"/>
      <w:bookmarkEnd w:id="11"/>
    </w:p>
    <w:p>
      <w:pPr>
        <w:spacing w:line="360" w:lineRule="auto"/>
        <w:ind w:firstLine="420" w:firstLineChars="200"/>
        <w:rPr>
          <w:rFonts w:hint="eastAsia"/>
          <w:color w:val="auto"/>
          <w:sz w:val="21"/>
          <w:szCs w:val="21"/>
          <w:highlight w:val="none"/>
        </w:rPr>
      </w:pPr>
      <w:bookmarkStart w:id="12" w:name="_Toc28359014"/>
      <w:bookmarkStart w:id="13" w:name="_Toc28359091"/>
      <w:r>
        <w:rPr>
          <w:rFonts w:hint="eastAsia"/>
          <w:color w:val="auto"/>
          <w:sz w:val="21"/>
          <w:szCs w:val="21"/>
          <w:highlight w:val="none"/>
        </w:rPr>
        <w:t>1.满足《中华人民共和国政府采购法》第二十二条规定；</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631"/>
      <w:bookmarkStart w:id="15" w:name="_Toc35393800"/>
      <w:r>
        <w:rPr>
          <w:rFonts w:hint="eastAsia"/>
          <w:color w:val="auto"/>
          <w:sz w:val="21"/>
          <w:szCs w:val="21"/>
          <w:highlight w:val="none"/>
          <w:lang w:eastAsia="zh-CN"/>
        </w:rPr>
        <w:t>具备建筑工程施工总承包叁级及以上资质，并在人员、设备、资金等方面具有相应的施工能力</w:t>
      </w:r>
      <w:r>
        <w:rPr>
          <w:rFonts w:hint="eastAsia"/>
          <w:color w:val="auto"/>
          <w:sz w:val="21"/>
          <w:szCs w:val="21"/>
          <w:highlight w:val="none"/>
        </w:rPr>
        <w:t>；</w:t>
      </w:r>
      <w:r>
        <w:rPr>
          <w:rFonts w:hint="eastAsia"/>
          <w:color w:val="auto"/>
          <w:sz w:val="21"/>
          <w:szCs w:val="21"/>
          <w:highlight w:val="none"/>
          <w:lang w:eastAsia="zh-CN"/>
        </w:rPr>
        <w:t>拟派驻的项目经理须具备建筑工程专业贰级及以上注册建造师执业资格，具备有效的安全生产考核合格证书（B类），且为本单位在职员工。</w:t>
      </w:r>
    </w:p>
    <w:p>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2024年3月27日起至2024年4月3日。</w:t>
      </w:r>
    </w:p>
    <w:p>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pPr>
        <w:spacing w:line="360" w:lineRule="auto"/>
        <w:rPr>
          <w:rFonts w:hint="eastAsia"/>
          <w:b/>
          <w:bCs/>
          <w:color w:val="auto"/>
          <w:sz w:val="21"/>
          <w:szCs w:val="21"/>
          <w:highlight w:val="none"/>
        </w:rPr>
      </w:pPr>
      <w:bookmarkStart w:id="16" w:name="_Toc35393632"/>
      <w:bookmarkStart w:id="17" w:name="_Toc28359015"/>
      <w:bookmarkStart w:id="18" w:name="_Toc28359092"/>
      <w:bookmarkStart w:id="19" w:name="_Toc35393801"/>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2024年4月16日10时30分</w:t>
      </w:r>
      <w:r>
        <w:rPr>
          <w:rFonts w:hint="eastAsia"/>
          <w:color w:val="auto"/>
          <w:sz w:val="21"/>
          <w:szCs w:val="21"/>
          <w:highlight w:val="none"/>
        </w:rPr>
        <w:t>（北京时间）</w:t>
      </w:r>
    </w:p>
    <w:p>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r>
        <w:rPr>
          <w:rFonts w:hint="eastAsia"/>
          <w:color w:val="auto"/>
          <w:sz w:val="21"/>
          <w:szCs w:val="21"/>
          <w:highlight w:val="none"/>
        </w:rPr>
        <w:t xml:space="preserve"> </w:t>
      </w:r>
    </w:p>
    <w:p>
      <w:pPr>
        <w:numPr>
          <w:ilvl w:val="0"/>
          <w:numId w:val="2"/>
        </w:numPr>
        <w:spacing w:line="360" w:lineRule="auto"/>
        <w:rPr>
          <w:rFonts w:hint="eastAsia"/>
          <w:color w:val="auto"/>
          <w:sz w:val="21"/>
          <w:szCs w:val="21"/>
          <w:highlight w:val="none"/>
        </w:rPr>
      </w:pPr>
      <w:bookmarkStart w:id="20" w:name="_Toc35393802"/>
      <w:bookmarkStart w:id="21" w:name="_Toc28359093"/>
      <w:bookmarkStart w:id="22" w:name="_Toc35393633"/>
      <w:bookmarkStart w:id="23" w:name="_Toc28359016"/>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2024年4月16日10时30分</w:t>
      </w:r>
      <w:r>
        <w:rPr>
          <w:rFonts w:hint="eastAsia"/>
          <w:color w:val="auto"/>
          <w:sz w:val="21"/>
          <w:szCs w:val="21"/>
          <w:highlight w:val="none"/>
        </w:rPr>
        <w:t>（北京时间）</w:t>
      </w:r>
    </w:p>
    <w:p>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副会场在广西崇善项目咨询有限公司南宁办事处【南宁市西乡塘区高新二路2号艺龙玺程国际酒店1楼】</w:t>
      </w:r>
      <w:r>
        <w:rPr>
          <w:rFonts w:hint="eastAsia" w:ascii="宋体" w:hAnsi="宋体" w:cs="宋体"/>
          <w:color w:val="auto"/>
          <w:sz w:val="21"/>
          <w:szCs w:val="21"/>
          <w:highlight w:val="none"/>
          <w:lang w:eastAsia="zh-CN"/>
        </w:rPr>
        <w:t>。</w:t>
      </w:r>
    </w:p>
    <w:p>
      <w:pPr>
        <w:spacing w:line="360" w:lineRule="auto"/>
        <w:rPr>
          <w:color w:val="auto"/>
          <w:sz w:val="21"/>
          <w:szCs w:val="21"/>
          <w:highlight w:val="none"/>
        </w:rPr>
      </w:pPr>
      <w:bookmarkStart w:id="24" w:name="_Toc28359094"/>
      <w:bookmarkStart w:id="25" w:name="_Toc35393634"/>
      <w:bookmarkStart w:id="26" w:name="_Toc35393803"/>
      <w:bookmarkStart w:id="27" w:name="_Toc28359017"/>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3</w:t>
      </w:r>
      <w:r>
        <w:rPr>
          <w:rFonts w:hint="eastAsia"/>
          <w:color w:val="auto"/>
          <w:sz w:val="21"/>
          <w:szCs w:val="21"/>
          <w:highlight w:val="none"/>
        </w:rPr>
        <w:t>个工作日。</w:t>
      </w:r>
    </w:p>
    <w:p>
      <w:pPr>
        <w:spacing w:line="360" w:lineRule="auto"/>
        <w:rPr>
          <w:rFonts w:hint="eastAsia"/>
          <w:b/>
          <w:bCs/>
          <w:color w:val="auto"/>
          <w:sz w:val="21"/>
          <w:szCs w:val="21"/>
          <w:highlight w:val="none"/>
        </w:rPr>
      </w:pPr>
      <w:bookmarkStart w:id="28" w:name="_Toc35393635"/>
      <w:bookmarkStart w:id="29" w:name="_Toc35393804"/>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0" w:name="_Toc35393805"/>
      <w:bookmarkStart w:id="31" w:name="_Toc28359018"/>
      <w:bookmarkStart w:id="32" w:name="_Toc28359095"/>
      <w:bookmarkStart w:id="33" w:name="_Toc35393636"/>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本次招标公告同时在中国政府采购网（http://pub.ccgp.gov.cn/）、广西壮族自治区政府采购网（http://www.ccgp-guangxi.gov.cn/）上发布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本项目通过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实行在线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标），供应商需要先安装“政采云电子交易客户端”，并按照本</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文件和</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的要求，通过“政采云电子交易客户端”编制并加密</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pPr>
        <w:keepNext w:val="0"/>
        <w:keepLines w:val="0"/>
        <w:pageBreakBefore w:val="0"/>
        <w:kinsoku/>
        <w:wordWrap w:val="0"/>
        <w:overflowPunct/>
        <w:topLinePunct w:val="0"/>
        <w:bidi w:val="0"/>
        <w:spacing w:line="36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本项目采用远程异地评审，主会场在广西崇善项目咨询有限公司【崇左市江州区城南区新城路西段南侧（阳光名邸）第C4栋103号】，副会场在广西崇善项目咨询有限公司南宁办事处【南宁市西乡塘区高新二路2号艺龙玺程国际酒店1楼】。</w:t>
      </w:r>
    </w:p>
    <w:p>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pPr>
        <w:keepNext w:val="0"/>
        <w:keepLines w:val="0"/>
        <w:pageBreakBefore w:val="0"/>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34" w:name="_Toc543"/>
      <w:r>
        <w:rPr>
          <w:rFonts w:hint="eastAsia" w:ascii="宋体" w:hAnsi="宋体" w:cs="宋体"/>
          <w:color w:val="auto"/>
          <w:sz w:val="21"/>
          <w:szCs w:val="21"/>
          <w:highlight w:val="none"/>
        </w:rPr>
        <w:t>1.采购人信息</w:t>
      </w:r>
      <w:bookmarkEnd w:id="34"/>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天等县民族宗教服务中心　　　　　　　　　　　　</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w:t>
      </w:r>
      <w:bookmarkStart w:id="35" w:name="_Toc32216"/>
      <w:bookmarkStart w:id="36" w:name="_Toc28359086"/>
      <w:bookmarkStart w:id="37" w:name="_Toc28359009"/>
      <w:r>
        <w:rPr>
          <w:rFonts w:hint="eastAsia" w:ascii="宋体" w:hAnsi="宋体" w:cs="宋体"/>
          <w:color w:val="auto"/>
          <w:sz w:val="21"/>
          <w:szCs w:val="21"/>
          <w:highlight w:val="none"/>
          <w:lang w:eastAsia="zh-CN"/>
        </w:rPr>
        <w:t xml:space="preserve">天等县天等镇天桃路76号(县政务服务中心对面) </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项目联系人：苏春想</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 xml:space="preserve">项目联系人方式: </w:t>
      </w:r>
      <w:r>
        <w:rPr>
          <w:rFonts w:hint="eastAsia" w:ascii="宋体" w:hAnsi="宋体" w:cs="宋体"/>
          <w:color w:val="auto"/>
          <w:sz w:val="21"/>
          <w:szCs w:val="21"/>
          <w:highlight w:val="none"/>
          <w:lang w:val="en-US" w:eastAsia="zh-CN"/>
        </w:rPr>
        <w:t>0771-3530558</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35"/>
      <w:bookmarkEnd w:id="36"/>
      <w:bookmarkEnd w:id="37"/>
      <w:r>
        <w:rPr>
          <w:rFonts w:hint="eastAsia" w:ascii="宋体" w:hAnsi="宋体" w:cs="宋体"/>
          <w:color w:val="auto"/>
          <w:sz w:val="21"/>
          <w:szCs w:val="21"/>
          <w:highlight w:val="none"/>
        </w:rPr>
        <w:t xml:space="preserve"> </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38" w:name="_Toc28359010"/>
      <w:bookmarkStart w:id="39" w:name="_Toc28359087"/>
      <w:r>
        <w:rPr>
          <w:rFonts w:hint="eastAsia" w:ascii="宋体" w:hAnsi="宋体" w:cs="宋体"/>
          <w:color w:val="auto"/>
          <w:sz w:val="21"/>
          <w:szCs w:val="21"/>
          <w:highlight w:val="none"/>
          <w:lang w:eastAsia="zh-CN"/>
        </w:rPr>
        <w:t>广西崇善项目咨询有限公司</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崇左市江州区城南区新城路西段南侧（阳光名邸）第C4栋103号</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pPr>
        <w:keepNext w:val="0"/>
        <w:keepLines w:val="0"/>
        <w:pageBreakBefore w:val="0"/>
        <w:numPr>
          <w:ilvl w:val="0"/>
          <w:numId w:val="3"/>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40" w:name="_Toc17394"/>
      <w:r>
        <w:rPr>
          <w:rFonts w:hint="eastAsia" w:ascii="宋体" w:hAnsi="宋体" w:cs="宋体"/>
          <w:color w:val="auto"/>
          <w:sz w:val="21"/>
          <w:szCs w:val="21"/>
          <w:highlight w:val="none"/>
        </w:rPr>
        <w:t>项目联系方式</w:t>
      </w:r>
      <w:bookmarkEnd w:id="38"/>
      <w:bookmarkEnd w:id="39"/>
      <w:r>
        <w:rPr>
          <w:rFonts w:hint="eastAsia" w:ascii="宋体" w:hAnsi="宋体" w:cs="宋体"/>
          <w:color w:val="auto"/>
          <w:sz w:val="21"/>
          <w:szCs w:val="21"/>
          <w:highlight w:val="none"/>
        </w:rPr>
        <w:t>：</w:t>
      </w:r>
      <w:bookmarkEnd w:id="40"/>
    </w:p>
    <w:p>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庞青青</w:t>
      </w:r>
      <w:r>
        <w:rPr>
          <w:rFonts w:hint="eastAsia" w:ascii="宋体" w:hAnsi="宋体" w:cs="宋体"/>
          <w:color w:val="auto"/>
          <w:sz w:val="21"/>
          <w:szCs w:val="21"/>
          <w:highlight w:val="none"/>
        </w:rPr>
        <w:t xml:space="preserve">  　</w:t>
      </w:r>
    </w:p>
    <w:p>
      <w:pPr>
        <w:keepNext w:val="0"/>
        <w:keepLines w:val="0"/>
        <w:pageBreakBefore w:val="0"/>
        <w:numPr>
          <w:ilvl w:val="0"/>
          <w:numId w:val="0"/>
        </w:numPr>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项目联系人方式</w:t>
      </w:r>
      <w:r>
        <w:rPr>
          <w:rFonts w:hint="eastAsia" w:ascii="宋体" w:hAnsi="宋体" w:cs="宋体"/>
          <w:color w:val="auto"/>
          <w:sz w:val="21"/>
          <w:szCs w:val="21"/>
          <w:highlight w:val="none"/>
        </w:rPr>
        <w:t>：0771-</w:t>
      </w:r>
      <w:r>
        <w:rPr>
          <w:rFonts w:hint="eastAsia" w:ascii="宋体" w:hAnsi="宋体" w:cs="宋体"/>
          <w:color w:val="auto"/>
          <w:sz w:val="21"/>
          <w:szCs w:val="21"/>
          <w:highlight w:val="none"/>
          <w:lang w:eastAsia="zh-CN"/>
        </w:rPr>
        <w:t>5945100</w:t>
      </w:r>
      <w:r>
        <w:rPr>
          <w:rFonts w:hint="eastAsia" w:ascii="宋体" w:hAnsi="宋体" w:cs="宋体"/>
          <w:color w:val="auto"/>
          <w:sz w:val="21"/>
          <w:szCs w:val="21"/>
          <w:highlight w:val="none"/>
        </w:rPr>
        <w:t>　</w:t>
      </w:r>
    </w:p>
    <w:p>
      <w:pPr>
        <w:keepNext w:val="0"/>
        <w:keepLines w:val="0"/>
        <w:pageBreakBefore w:val="0"/>
        <w:numPr>
          <w:ilvl w:val="0"/>
          <w:numId w:val="3"/>
        </w:numPr>
        <w:kinsoku/>
        <w:overflowPunct/>
        <w:topLinePunct w:val="0"/>
        <w:autoSpaceDE/>
        <w:autoSpaceDN/>
        <w:bidi w:val="0"/>
        <w:adjustRightInd/>
        <w:spacing w:line="360" w:lineRule="auto"/>
        <w:textAlignment w:val="auto"/>
        <w:outlineLvl w:val="0"/>
        <w:rPr>
          <w:rFonts w:hint="eastAsia"/>
          <w:color w:val="auto"/>
        </w:rPr>
      </w:pPr>
      <w:bookmarkStart w:id="41" w:name="_Toc17345"/>
      <w:r>
        <w:rPr>
          <w:rFonts w:hint="eastAsia" w:ascii="宋体" w:hAnsi="宋体" w:cs="宋体"/>
          <w:color w:val="auto"/>
          <w:sz w:val="21"/>
          <w:szCs w:val="21"/>
          <w:highlight w:val="none"/>
        </w:rPr>
        <w:t>监督单位：</w:t>
      </w:r>
      <w:bookmarkEnd w:id="41"/>
      <w:r>
        <w:rPr>
          <w:rFonts w:hint="eastAsia" w:ascii="宋体" w:hAnsi="宋体" w:cs="宋体"/>
          <w:color w:val="auto"/>
          <w:sz w:val="21"/>
          <w:szCs w:val="21"/>
          <w:highlight w:val="none"/>
          <w:lang w:eastAsia="zh-CN"/>
        </w:rPr>
        <w:t>天等县财政局政府采购监督管理股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0771-3530890</w:t>
      </w:r>
    </w:p>
    <w:p>
      <w:pPr>
        <w:pStyle w:val="6"/>
        <w:spacing w:line="360" w:lineRule="auto"/>
        <w:rPr>
          <w:rFonts w:hint="eastAsia"/>
          <w:color w:val="auto"/>
        </w:rPr>
      </w:pPr>
    </w:p>
    <w:p>
      <w:pPr>
        <w:keepNext w:val="0"/>
        <w:keepLines w:val="0"/>
        <w:pageBreakBefore w:val="0"/>
        <w:kinsoku/>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天等县民族宗教服务中心</w:t>
      </w:r>
    </w:p>
    <w:p>
      <w:pPr>
        <w:keepNext w:val="0"/>
        <w:keepLines w:val="0"/>
        <w:pageBreakBefore w:val="0"/>
        <w:kinsoku/>
        <w:overflowPunct/>
        <w:topLinePunct w:val="0"/>
        <w:autoSpaceDE/>
        <w:autoSpaceDN/>
        <w:bidi w:val="0"/>
        <w:adjustRightInd/>
        <w:spacing w:line="360"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广西崇善项目咨询有限公司</w:t>
      </w:r>
    </w:p>
    <w:p>
      <w:pPr>
        <w:spacing w:line="360" w:lineRule="auto"/>
        <w:rPr>
          <w:rFonts w:hint="eastAsia" w:eastAsia="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 期： 2024年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3</w:t>
      </w:r>
      <w:bookmarkStart w:id="153" w:name="_GoBack"/>
      <w:bookmarkEnd w:id="153"/>
      <w:r>
        <w:rPr>
          <w:rFonts w:hint="eastAsia" w:ascii="宋体" w:hAnsi="宋体" w:cs="宋体"/>
          <w:color w:val="auto"/>
          <w:sz w:val="21"/>
          <w:szCs w:val="21"/>
          <w:highlight w:val="none"/>
          <w:lang w:eastAsia="zh-CN"/>
        </w:rPr>
        <w:t>日</w:t>
      </w:r>
    </w:p>
    <w:p>
      <w:pPr>
        <w:pStyle w:val="28"/>
        <w:snapToGrid w:val="0"/>
        <w:spacing w:line="360" w:lineRule="auto"/>
        <w:ind w:left="4603" w:right="840"/>
        <w:rPr>
          <w:rFonts w:ascii="宋体" w:hAnsi="宋体"/>
          <w:color w:val="auto"/>
          <w:szCs w:val="21"/>
          <w:highlight w:val="none"/>
        </w:rPr>
      </w:pPr>
    </w:p>
    <w:p>
      <w:pPr>
        <w:pStyle w:val="29"/>
        <w:rPr>
          <w:color w:val="auto"/>
        </w:rPr>
      </w:pPr>
    </w:p>
    <w:p>
      <w:pPr>
        <w:pStyle w:val="28"/>
        <w:rPr>
          <w:color w:val="auto"/>
        </w:rPr>
      </w:pPr>
    </w:p>
    <w:p>
      <w:pPr>
        <w:pStyle w:val="29"/>
        <w:rPr>
          <w:color w:val="auto"/>
        </w:rPr>
      </w:pPr>
    </w:p>
    <w:p>
      <w:pPr>
        <w:pStyle w:val="28"/>
        <w:rPr>
          <w:color w:val="auto"/>
        </w:rPr>
      </w:pPr>
    </w:p>
    <w:p>
      <w:pPr>
        <w:pStyle w:val="29"/>
        <w:rPr>
          <w:color w:val="auto"/>
        </w:rPr>
      </w:pPr>
    </w:p>
    <w:p>
      <w:pPr>
        <w:pStyle w:val="28"/>
        <w:rPr>
          <w:color w:val="auto"/>
        </w:rPr>
      </w:pPr>
    </w:p>
    <w:p>
      <w:pPr>
        <w:pStyle w:val="29"/>
        <w:rPr>
          <w:color w:val="auto"/>
        </w:rPr>
      </w:pPr>
    </w:p>
    <w:p>
      <w:pPr>
        <w:pStyle w:val="28"/>
        <w:rPr>
          <w:color w:val="auto"/>
        </w:rPr>
      </w:pPr>
    </w:p>
    <w:p>
      <w:pPr>
        <w:pStyle w:val="29"/>
        <w:rPr>
          <w:color w:val="auto"/>
        </w:rPr>
      </w:pPr>
    </w:p>
    <w:p>
      <w:pPr>
        <w:pStyle w:val="28"/>
        <w:rPr>
          <w:color w:val="auto"/>
        </w:rPr>
      </w:pPr>
    </w:p>
    <w:p>
      <w:pPr>
        <w:pStyle w:val="29"/>
        <w:rPr>
          <w:color w:val="auto"/>
        </w:rPr>
      </w:pPr>
    </w:p>
    <w:p>
      <w:pPr>
        <w:pStyle w:val="28"/>
        <w:rPr>
          <w:color w:val="auto"/>
        </w:rPr>
      </w:pPr>
    </w:p>
    <w:p>
      <w:pPr>
        <w:pStyle w:val="29"/>
        <w:rPr>
          <w:color w:val="auto"/>
        </w:rPr>
      </w:pPr>
    </w:p>
    <w:p>
      <w:pPr>
        <w:pStyle w:val="28"/>
        <w:rPr>
          <w:color w:val="auto"/>
        </w:rPr>
      </w:pPr>
    </w:p>
    <w:p>
      <w:pPr>
        <w:pStyle w:val="29"/>
        <w:rPr>
          <w:color w:val="auto"/>
        </w:rPr>
      </w:pPr>
    </w:p>
    <w:p>
      <w:pPr>
        <w:pStyle w:val="29"/>
        <w:rPr>
          <w:color w:val="auto"/>
        </w:rPr>
      </w:pPr>
    </w:p>
    <w:p>
      <w:pPr>
        <w:pStyle w:val="28"/>
        <w:rPr>
          <w:color w:val="auto"/>
        </w:rPr>
      </w:pPr>
    </w:p>
    <w:p>
      <w:pPr>
        <w:pStyle w:val="29"/>
        <w:rPr>
          <w:color w:val="auto"/>
        </w:rPr>
      </w:pPr>
    </w:p>
    <w:p>
      <w:pPr>
        <w:pStyle w:val="28"/>
        <w:rPr>
          <w:color w:val="auto"/>
        </w:rPr>
      </w:pPr>
    </w:p>
    <w:p>
      <w:pPr>
        <w:pStyle w:val="28"/>
        <w:spacing w:line="360" w:lineRule="auto"/>
        <w:jc w:val="center"/>
        <w:outlineLvl w:val="0"/>
        <w:rPr>
          <w:color w:val="auto"/>
          <w:highlight w:val="none"/>
        </w:rPr>
      </w:pPr>
      <w:bookmarkStart w:id="42" w:name="_Toc7350"/>
      <w:r>
        <w:rPr>
          <w:rFonts w:ascii="宋体" w:hAnsi="宋体"/>
          <w:b/>
          <w:color w:val="auto"/>
          <w:sz w:val="32"/>
          <w:szCs w:val="32"/>
          <w:highlight w:val="none"/>
        </w:rPr>
        <w:t>第二章  供应商须知</w:t>
      </w:r>
      <w:bookmarkEnd w:id="42"/>
    </w:p>
    <w:p>
      <w:pPr>
        <w:pStyle w:val="28"/>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28"/>
        <w:rPr>
          <w:color w:val="auto"/>
          <w:highlight w:val="none"/>
        </w:rPr>
      </w:pP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天等县进结镇进结社区洞宁养殖小区产业基地配套项目</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color w:val="auto"/>
                <w:sz w:val="21"/>
                <w:szCs w:val="21"/>
                <w:highlight w:val="none"/>
                <w:lang w:eastAsia="zh-CN"/>
              </w:rPr>
              <w:t>CZZC2024-C2-250176-GXCS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天等县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宋体" w:hAnsi="宋体" w:cs="宋体"/>
                <w:color w:val="auto"/>
                <w:sz w:val="21"/>
                <w:szCs w:val="21"/>
                <w:highlight w:val="none"/>
                <w:lang w:eastAsia="zh-CN"/>
              </w:rPr>
              <w:t>人民币陆拾贰万壹仟玖佰捌拾叁元玖角贰分（¥621983.92）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color w:val="auto"/>
                <w:sz w:val="21"/>
                <w:szCs w:val="21"/>
                <w:highlight w:val="none"/>
                <w:lang w:eastAsia="zh-CN"/>
              </w:rPr>
              <w:t>天等县进结镇进结社区洞宁养殖小区产业基地配套项目建设内容包含养殖大棚围栏、新建配水工程等，以施工图和工程量清单包含的内容为准。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桂整合【2023】35号 区财政厅关于提前下达2024年中央和自治区财政衔接推进乡村振兴补助资金预算指标的通知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pPr>
              <w:keepNext w:val="0"/>
              <w:keepLines w:val="0"/>
              <w:pageBreakBefore w:val="0"/>
              <w:kinsoku/>
              <w:wordWrap/>
              <w:overflowPunct/>
              <w:topLinePunct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cs="宋体"/>
                <w:color w:val="auto"/>
                <w:sz w:val="21"/>
                <w:szCs w:val="21"/>
                <w:highlight w:val="none"/>
                <w:lang w:eastAsia="zh-CN"/>
              </w:rPr>
              <w:t>具备</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w:t>
            </w:r>
            <w:r>
              <w:rPr>
                <w:rFonts w:hint="eastAsia" w:ascii="宋体" w:hAnsi="宋体" w:cs="宋体"/>
                <w:color w:val="auto"/>
                <w:sz w:val="21"/>
                <w:szCs w:val="21"/>
                <w:highlight w:val="none"/>
                <w:lang w:val="en-US" w:eastAsia="zh-CN"/>
              </w:rPr>
              <w:t>建筑</w:t>
            </w:r>
            <w:r>
              <w:rPr>
                <w:rFonts w:hint="eastAsia" w:ascii="宋体" w:hAnsi="宋体" w:cs="宋体"/>
                <w:color w:val="auto"/>
                <w:sz w:val="21"/>
                <w:szCs w:val="21"/>
                <w:highlight w:val="none"/>
                <w:lang w:eastAsia="zh-CN"/>
              </w:rPr>
              <w:t>工程专业贰级及以上注册建造师执业资格，具备有效的安全生产考核合格证书（B类），且为本单位在职员工</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pPr>
              <w:pStyle w:val="27"/>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lang w:val="en-US" w:eastAsia="zh-CN"/>
              </w:rPr>
            </w:pPr>
            <w:r>
              <w:rPr>
                <w:rFonts w:hint="eastAsia"/>
                <w:color w:val="auto"/>
                <w:sz w:val="21"/>
                <w:szCs w:val="21"/>
                <w:lang w:eastAsia="zh-CN"/>
              </w:rPr>
              <w:t>缴纳磋商保证金金额：否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2024年4月16日10时30分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rPr>
              <w:t>地点：</w:t>
            </w:r>
            <w:r>
              <w:rPr>
                <w:rFonts w:hint="eastAsia" w:ascii="宋体" w:hAnsi="宋体" w:cs="宋体"/>
                <w:b w:val="0"/>
                <w:bCs w:val="0"/>
                <w:color w:val="auto"/>
                <w:sz w:val="21"/>
                <w:szCs w:val="21"/>
                <w:highlight w:val="none"/>
                <w:lang w:eastAsia="zh-CN"/>
              </w:rPr>
              <w:t>本项目采用远程异地评审，主会场在广西崇善项目咨询有限公司【崇左市江州区城南区新城路西段南侧（阳光名邸）第C4栋103号】，副会场在广西崇善项目咨询有限公司南宁办事处【南宁市西乡塘区高新二路2号艺龙玺程国际酒店1楼】。</w:t>
            </w:r>
          </w:p>
          <w:p>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2024年4月16日10时30分</w:t>
            </w:r>
            <w:r>
              <w:rPr>
                <w:rFonts w:hint="eastAsia"/>
                <w:color w:val="auto"/>
                <w:sz w:val="21"/>
                <w:szCs w:val="21"/>
                <w:highlight w:val="none"/>
                <w:lang w:eastAsia="zh-CN"/>
              </w:rPr>
              <w:t>后</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金额：</w:t>
            </w:r>
            <w:r>
              <w:rPr>
                <w:rFonts w:hint="eastAsia"/>
                <w:color w:val="auto"/>
                <w:sz w:val="21"/>
                <w:szCs w:val="21"/>
                <w:highlight w:val="none"/>
                <w:lang w:val="en-US" w:eastAsia="zh-CN"/>
              </w:rPr>
              <w:t>合同价款的1%</w:t>
            </w:r>
          </w:p>
          <w:p>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val="en-US" w:eastAsia="zh-CN"/>
              </w:rPr>
              <w:t>要求：</w:t>
            </w:r>
            <w:r>
              <w:rPr>
                <w:rFonts w:hint="eastAsia"/>
                <w:color w:val="auto"/>
                <w:sz w:val="21"/>
                <w:szCs w:val="21"/>
                <w:highlight w:val="none"/>
                <w:lang w:eastAsia="zh-CN"/>
              </w:rPr>
              <w:t>农民工</w:t>
            </w:r>
            <w:r>
              <w:rPr>
                <w:rFonts w:hint="eastAsia"/>
                <w:color w:val="auto"/>
                <w:sz w:val="21"/>
                <w:szCs w:val="21"/>
                <w:highlight w:val="none"/>
              </w:rPr>
              <w:t xml:space="preserve">工资保证金按工程建设项目施工合同额(或年度合同额)的比例存储，工资保证金存储比例为1%,房屋市政(单个项目)等工程的存储金额不超过60万元；交通运输(单个项目)等工程的存储金额不超过500万元；水利(单个项目)等工程的存储金额不超过200万元) </w:t>
            </w:r>
            <w:r>
              <w:rPr>
                <w:rFonts w:hint="eastAsia"/>
                <w:color w:val="auto"/>
                <w:sz w:val="21"/>
                <w:szCs w:val="21"/>
                <w:highlight w:val="none"/>
                <w:lang w:eastAsia="zh-CN"/>
              </w:rPr>
              <w:t>，本项目执行农民工工资保证金</w:t>
            </w:r>
            <w:r>
              <w:rPr>
                <w:rFonts w:hint="eastAsia"/>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采购代理服务费参照原国家发展计划委员会计价格[2002]1980号《招标代理服务费管理暂行办法》、原发改办价格[2003]857号、原发改价格[2011]534号按照标准进行收取。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2"/>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（1）响应文件提交方式：本项目为崇左市全流程电子化项目，通过</w:t>
            </w:r>
            <w:r>
              <w:rPr>
                <w:rFonts w:hint="eastAsia" w:ascii="宋体" w:hAnsi="宋体"/>
                <w:color w:val="auto"/>
                <w:sz w:val="21"/>
                <w:szCs w:val="21"/>
                <w:highlight w:val="none"/>
                <w:lang w:eastAsia="zh-CN"/>
              </w:rPr>
              <w:t>广西政府采购云平台（https://www.gcy.zfcg.gxzf.gov.cn/）</w:t>
            </w:r>
            <w:r>
              <w:rPr>
                <w:rFonts w:hint="eastAsia" w:ascii="宋体" w:hAnsi="宋体"/>
                <w:color w:val="auto"/>
                <w:sz w:val="21"/>
                <w:szCs w:val="21"/>
                <w:highlight w:val="none"/>
              </w:rPr>
              <w:t>实行在线电子响应，供应商应先安装“政采云电子交易客户端”（请自行前往</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进行下载），并按照本项目采购文件和</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的要求编制、加密后在投标截止时间前通过网络上传至</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，供应商在</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提交电子版响应文件时，请填写参加远程采购活动经办人联系方式，电子响应文件具体操作流程</w:t>
            </w:r>
            <w:r>
              <w:rPr>
                <w:rFonts w:hint="eastAsia" w:ascii="宋体" w:hAnsi="宋体"/>
                <w:color w:val="auto"/>
                <w:sz w:val="21"/>
                <w:szCs w:val="21"/>
                <w:highlight w:val="none"/>
                <w:lang w:val="en-US" w:eastAsia="zh-CN"/>
              </w:rPr>
              <w:t>供应商自行登录网址下载</w:t>
            </w:r>
            <w:r>
              <w:rPr>
                <w:rFonts w:hint="eastAsia" w:ascii="宋体" w:hAnsi="宋体"/>
                <w:color w:val="auto"/>
                <w:sz w:val="21"/>
                <w:szCs w:val="21"/>
                <w:highlight w:val="none"/>
              </w:rPr>
              <w:t>《政府采购项目电子交易管理操作指南-供应商》</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电子开标大厅现场按规定时间对加密的响应文件进行解密，否则后果自负。</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远程开标大厅参与本次磋商，否则后果自负。</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olor w:val="auto"/>
                <w:sz w:val="21"/>
                <w:szCs w:val="21"/>
                <w:highlight w:val="none"/>
              </w:rPr>
              <w:t>4、若对项目采购电子交易系统操作有疑问，可登陆</w:t>
            </w:r>
            <w:r>
              <w:rPr>
                <w:rFonts w:hint="eastAsia" w:ascii="宋体" w:hAnsi="宋体"/>
                <w:color w:val="auto"/>
                <w:sz w:val="21"/>
                <w:szCs w:val="21"/>
                <w:highlight w:val="none"/>
                <w:lang w:eastAsia="zh-CN"/>
              </w:rPr>
              <w:t>广西政府采购云平台（https://www.gcy.zfcg.gxzf.gov.cn/）</w:t>
            </w:r>
            <w:r>
              <w:rPr>
                <w:rFonts w:hint="eastAsia" w:ascii="宋体" w:hAnsi="宋体"/>
                <w:color w:val="auto"/>
                <w:sz w:val="21"/>
                <w:szCs w:val="21"/>
                <w:highlight w:val="none"/>
              </w:rPr>
              <w:t>，点击右侧咨询小采，获取采小蜜智能服务管家帮助，或拨打政采云服务热线400-881-7190获取热线服务帮助。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8"/>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pPr>
        <w:pStyle w:val="28"/>
        <w:spacing w:line="360" w:lineRule="auto"/>
        <w:jc w:val="center"/>
        <w:rPr>
          <w:rFonts w:ascii="宋体" w:hAnsi="宋体"/>
          <w:color w:val="auto"/>
          <w:highlight w:val="none"/>
        </w:rPr>
      </w:pPr>
    </w:p>
    <w:p>
      <w:pPr>
        <w:pStyle w:val="28"/>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天等县民族宗教服务中心</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广西崇善项目咨询有限公司</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广西崇善项目咨询有限公司</w:t>
      </w:r>
      <w:r>
        <w:rPr>
          <w:rFonts w:ascii="宋体" w:hAnsi="宋体"/>
          <w:color w:val="auto"/>
          <w:szCs w:val="21"/>
          <w:highlight w:val="none"/>
        </w:rPr>
        <w:t>在任何情况下无义务和责任承担此类费用。</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供应商为中小企业</w:t>
      </w:r>
      <w:r>
        <w:rPr>
          <w:rFonts w:hint="eastAsia" w:ascii="宋体" w:hAnsi="宋体"/>
          <w:b/>
          <w:bCs/>
          <w:color w:val="auto"/>
          <w:szCs w:val="21"/>
          <w:highlight w:val="none"/>
          <w:lang w:eastAsia="zh-CN"/>
        </w:rPr>
        <w:t>（必须提供中小企业声明函或《政府采购促进中小企业发展管理办法 财库〔2020〕46号》要求提供的证明文件，否则响应文件按无效响应处理）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pPr>
        <w:pStyle w:val="32"/>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29"/>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28"/>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2"/>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广西崇善项目咨询有限公司</w:t>
      </w:r>
      <w:r>
        <w:rPr>
          <w:rFonts w:ascii="宋体" w:hAnsi="宋体"/>
          <w:color w:val="auto"/>
          <w:szCs w:val="21"/>
          <w:highlight w:val="none"/>
        </w:rPr>
        <w:t>将拒绝或原封退回在其规定的递交竞争性磋商响应文件截止时间之后收到的任何竞争性磋商响应文件。</w:t>
      </w:r>
    </w:p>
    <w:p>
      <w:pPr>
        <w:pStyle w:val="28"/>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2"/>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2"/>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2"/>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pPr>
        <w:pStyle w:val="12"/>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2"/>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2"/>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pPr>
        <w:pStyle w:val="12"/>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28"/>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pPr>
        <w:pStyle w:val="28"/>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5日历日内持成交通知书等材料与采购人签订施工合同，否则采购人将取消其成交资格。</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pPr>
        <w:pStyle w:val="40"/>
        <w:ind w:firstLine="480"/>
        <w:rPr>
          <w:rFonts w:hint="eastAsia"/>
          <w:color w:val="auto"/>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pPr>
        <w:spacing w:line="360" w:lineRule="auto"/>
        <w:ind w:firstLine="400" w:firstLineChars="200"/>
        <w:rPr>
          <w:rFonts w:hint="eastAsia" w:ascii="宋体" w:hAnsi="宋体" w:cs="宋体"/>
          <w:color w:val="auto"/>
          <w:szCs w:val="21"/>
          <w:highlight w:val="none"/>
        </w:rPr>
      </w:pP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4"/>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pPr>
        <w:pStyle w:val="40"/>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pStyle w:val="40"/>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0"/>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40"/>
        <w:ind w:firstLine="420"/>
        <w:rPr>
          <w:rFonts w:hint="eastAsia" w:ascii="宋体" w:hAnsi="宋体" w:cs="宋体"/>
          <w:color w:val="auto"/>
          <w:sz w:val="21"/>
          <w:szCs w:val="21"/>
          <w:highlight w:val="none"/>
        </w:rPr>
      </w:pPr>
    </w:p>
    <w:p>
      <w:pPr>
        <w:spacing w:line="360" w:lineRule="auto"/>
        <w:rPr>
          <w:rFonts w:hint="eastAsia" w:ascii="宋体" w:hAnsi="宋体" w:cs="宋体"/>
          <w:color w:val="auto"/>
          <w:szCs w:val="21"/>
          <w:highlight w:val="none"/>
        </w:rPr>
      </w:pPr>
    </w:p>
    <w:p>
      <w:pPr>
        <w:pStyle w:val="40"/>
        <w:ind w:firstLine="420"/>
        <w:rPr>
          <w:rFonts w:hint="eastAsia" w:ascii="宋体" w:hAnsi="宋体" w:cs="宋体"/>
          <w:color w:val="auto"/>
          <w:sz w:val="21"/>
          <w:szCs w:val="21"/>
          <w:highlight w:val="none"/>
        </w:rPr>
      </w:pPr>
    </w:p>
    <w:p>
      <w:pPr>
        <w:rPr>
          <w:rFonts w:hint="eastAsia" w:ascii="黑体" w:hAnsi="黑体" w:eastAsia="黑体" w:cs="黑体"/>
          <w:color w:val="auto"/>
          <w:szCs w:val="32"/>
          <w:highlight w:val="none"/>
        </w:rPr>
      </w:pPr>
    </w:p>
    <w:p>
      <w:pPr>
        <w:pStyle w:val="40"/>
        <w:ind w:firstLine="480"/>
        <w:rPr>
          <w:rFonts w:hint="eastAsia" w:ascii="黑体" w:hAnsi="黑体" w:eastAsia="黑体" w:cs="黑体"/>
          <w:color w:val="auto"/>
          <w:szCs w:val="32"/>
          <w:highlight w:val="none"/>
        </w:rPr>
      </w:pPr>
    </w:p>
    <w:p>
      <w:pPr>
        <w:rPr>
          <w:rFonts w:hint="eastAsia" w:ascii="黑体" w:hAnsi="黑体" w:eastAsia="黑体" w:cs="黑体"/>
          <w:color w:val="auto"/>
          <w:szCs w:val="32"/>
          <w:highlight w:val="none"/>
        </w:rPr>
      </w:pPr>
    </w:p>
    <w:p>
      <w:pPr>
        <w:pStyle w:val="4"/>
        <w:rPr>
          <w:rFonts w:hint="eastAsia" w:ascii="黑体" w:hAnsi="黑体" w:cs="黑体"/>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pPr>
        <w:pStyle w:val="40"/>
        <w:ind w:firstLine="480"/>
        <w:rPr>
          <w:color w:val="auto"/>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pPr>
        <w:widowControl/>
        <w:ind w:firstLine="400" w:firstLineChars="200"/>
        <w:rPr>
          <w:rFonts w:hint="eastAsia"/>
          <w:color w:val="auto"/>
          <w:highlight w:val="none"/>
        </w:rPr>
      </w:pPr>
    </w:p>
    <w:p>
      <w:pPr>
        <w:pStyle w:val="40"/>
        <w:ind w:firstLine="480"/>
        <w:rPr>
          <w:rFonts w:hint="eastAsia"/>
          <w:color w:val="auto"/>
          <w:highlight w:val="none"/>
        </w:rPr>
      </w:pPr>
    </w:p>
    <w:p>
      <w:pPr>
        <w:rPr>
          <w:rFonts w:hint="eastAsia"/>
          <w:color w:val="auto"/>
          <w:highlight w:val="none"/>
        </w:rPr>
      </w:pPr>
    </w:p>
    <w:p>
      <w:pPr>
        <w:rPr>
          <w:rFonts w:hint="eastAsia"/>
          <w:color w:val="auto"/>
          <w:highlight w:val="none"/>
        </w:rPr>
      </w:pPr>
    </w:p>
    <w:p>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pPr>
        <w:pStyle w:val="40"/>
        <w:ind w:firstLine="480"/>
        <w:rPr>
          <w:color w:val="auto"/>
          <w:highlight w:val="none"/>
        </w:rPr>
      </w:pPr>
    </w:p>
    <w:p>
      <w:pPr>
        <w:pStyle w:val="40"/>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pPr>
        <w:pStyle w:val="29"/>
        <w:rPr>
          <w:color w:val="auto"/>
          <w:highlight w:val="none"/>
        </w:rPr>
      </w:pPr>
    </w:p>
    <w:p>
      <w:pPr>
        <w:pStyle w:val="28"/>
        <w:rPr>
          <w:color w:val="auto"/>
          <w:highlight w:val="none"/>
        </w:rPr>
      </w:pPr>
    </w:p>
    <w:p>
      <w:pPr>
        <w:pStyle w:val="29"/>
        <w:rPr>
          <w:color w:val="auto"/>
        </w:rPr>
        <w:sectPr>
          <w:pgSz w:w="11906" w:h="16838"/>
          <w:pgMar w:top="1134" w:right="1134" w:bottom="1134" w:left="1417" w:header="851" w:footer="851" w:gutter="0"/>
          <w:cols w:space="720" w:num="1"/>
          <w:formProt w:val="1"/>
          <w:docGrid w:linePitch="312" w:charSpace="43007"/>
        </w:sectPr>
      </w:pPr>
    </w:p>
    <w:p>
      <w:pPr>
        <w:pStyle w:val="29"/>
        <w:rPr>
          <w:color w:val="auto"/>
          <w:highlight w:val="none"/>
        </w:rPr>
      </w:pPr>
    </w:p>
    <w:p>
      <w:pPr>
        <w:pStyle w:val="28"/>
        <w:spacing w:line="360" w:lineRule="auto"/>
        <w:rPr>
          <w:rFonts w:ascii="宋体" w:hAnsi="宋体"/>
          <w:color w:val="auto"/>
          <w:szCs w:val="21"/>
          <w:highlight w:val="none"/>
        </w:rPr>
      </w:pPr>
    </w:p>
    <w:p>
      <w:pPr>
        <w:pStyle w:val="28"/>
        <w:spacing w:line="360" w:lineRule="auto"/>
        <w:rPr>
          <w:rFonts w:ascii="宋体" w:hAnsi="宋体"/>
          <w:b/>
          <w:color w:val="auto"/>
          <w:sz w:val="32"/>
          <w:szCs w:val="32"/>
          <w:highlight w:val="none"/>
        </w:rPr>
      </w:pPr>
    </w:p>
    <w:p>
      <w:pPr>
        <w:pStyle w:val="28"/>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pPr>
        <w:pStyle w:val="28"/>
        <w:spacing w:line="360" w:lineRule="auto"/>
        <w:jc w:val="center"/>
        <w:rPr>
          <w:rFonts w:ascii="宋体" w:hAnsi="宋体"/>
          <w:b/>
          <w:color w:val="auto"/>
          <w:sz w:val="32"/>
          <w:szCs w:val="32"/>
          <w:highlight w:val="none"/>
        </w:rPr>
      </w:pPr>
    </w:p>
    <w:p>
      <w:pPr>
        <w:pStyle w:val="12"/>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12"/>
        <w:spacing w:line="360" w:lineRule="auto"/>
        <w:rPr>
          <w:b/>
          <w:color w:val="auto"/>
          <w:sz w:val="32"/>
          <w:szCs w:val="32"/>
          <w:highlight w:val="none"/>
        </w:rPr>
      </w:pPr>
    </w:p>
    <w:p>
      <w:pPr>
        <w:pStyle w:val="28"/>
        <w:rPr>
          <w:b/>
          <w:color w:val="auto"/>
          <w:sz w:val="32"/>
          <w:szCs w:val="32"/>
          <w:highlight w:val="none"/>
        </w:rPr>
      </w:pPr>
    </w:p>
    <w:p>
      <w:pPr>
        <w:pStyle w:val="29"/>
        <w:rPr>
          <w:color w:val="auto"/>
          <w:sz w:val="32"/>
          <w:szCs w:val="32"/>
          <w:highlight w:val="none"/>
        </w:rPr>
      </w:pPr>
    </w:p>
    <w:p>
      <w:pPr>
        <w:pStyle w:val="28"/>
        <w:rPr>
          <w:b/>
          <w:color w:val="auto"/>
          <w:sz w:val="32"/>
          <w:szCs w:val="32"/>
          <w:highlight w:val="none"/>
        </w:rPr>
      </w:pPr>
    </w:p>
    <w:p>
      <w:pPr>
        <w:pStyle w:val="28"/>
        <w:rPr>
          <w:b/>
          <w:color w:val="auto"/>
          <w:sz w:val="32"/>
          <w:szCs w:val="32"/>
          <w:highlight w:val="none"/>
        </w:rPr>
      </w:pPr>
    </w:p>
    <w:p>
      <w:pPr>
        <w:pStyle w:val="29"/>
        <w:rPr>
          <w:color w:val="auto"/>
          <w:highlight w:val="none"/>
        </w:rPr>
      </w:pPr>
    </w:p>
    <w:p>
      <w:pPr>
        <w:pStyle w:val="28"/>
        <w:rPr>
          <w:color w:val="auto"/>
          <w:highlight w:val="none"/>
        </w:rPr>
      </w:pPr>
    </w:p>
    <w:p>
      <w:pPr>
        <w:pStyle w:val="12"/>
        <w:spacing w:line="360" w:lineRule="auto"/>
        <w:jc w:val="center"/>
        <w:rPr>
          <w:b/>
          <w:color w:val="auto"/>
          <w:sz w:val="32"/>
          <w:szCs w:val="32"/>
          <w:highlight w:val="none"/>
        </w:rPr>
      </w:pPr>
    </w:p>
    <w:p>
      <w:pPr>
        <w:pStyle w:val="12"/>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pPr>
        <w:pStyle w:val="12"/>
        <w:spacing w:line="360" w:lineRule="auto"/>
        <w:jc w:val="center"/>
        <w:rPr>
          <w:b/>
          <w:color w:val="auto"/>
          <w:sz w:val="32"/>
          <w:szCs w:val="32"/>
          <w:highlight w:val="none"/>
        </w:rPr>
      </w:pPr>
    </w:p>
    <w:p>
      <w:pPr>
        <w:pStyle w:val="12"/>
        <w:spacing w:line="360" w:lineRule="auto"/>
        <w:jc w:val="center"/>
        <w:rPr>
          <w:b/>
          <w:color w:val="auto"/>
          <w:sz w:val="32"/>
          <w:szCs w:val="32"/>
          <w:highlight w:val="none"/>
        </w:rPr>
      </w:pPr>
    </w:p>
    <w:p>
      <w:pPr>
        <w:pStyle w:val="28"/>
        <w:rPr>
          <w:b/>
          <w:color w:val="auto"/>
          <w:sz w:val="32"/>
          <w:szCs w:val="32"/>
          <w:highlight w:val="none"/>
        </w:rPr>
      </w:pPr>
    </w:p>
    <w:p>
      <w:pPr>
        <w:pStyle w:val="29"/>
        <w:rPr>
          <w:color w:val="auto"/>
          <w:highlight w:val="none"/>
        </w:rPr>
      </w:pPr>
    </w:p>
    <w:p>
      <w:pPr>
        <w:pStyle w:val="28"/>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pPr>
        <w:pStyle w:val="28"/>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28"/>
        <w:spacing w:line="360" w:lineRule="auto"/>
        <w:ind w:left="413"/>
        <w:jc w:val="left"/>
        <w:rPr>
          <w:rFonts w:ascii="宋体" w:hAnsi="宋体"/>
          <w:color w:val="auto"/>
          <w:szCs w:val="21"/>
          <w:highlight w:val="none"/>
        </w:rPr>
      </w:pPr>
    </w:p>
    <w:p>
      <w:pPr>
        <w:pStyle w:val="12"/>
        <w:spacing w:line="360" w:lineRule="auto"/>
        <w:jc w:val="center"/>
        <w:rPr>
          <w:rFonts w:ascii="方正隶书简体" w:hAnsi="方正隶书简体" w:eastAsia="方正隶书简体"/>
          <w:b/>
          <w:color w:val="auto"/>
          <w:sz w:val="30"/>
          <w:szCs w:val="30"/>
          <w:highlight w:val="none"/>
        </w:rPr>
      </w:pPr>
    </w:p>
    <w:p>
      <w:pPr>
        <w:pStyle w:val="12"/>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pPr>
        <w:pStyle w:val="12"/>
        <w:spacing w:line="360" w:lineRule="auto"/>
        <w:rPr>
          <w:rFonts w:ascii="Times New Roman" w:hAnsi="Times New Roman" w:eastAsia="方正隶书简体"/>
          <w:b/>
          <w:color w:val="auto"/>
          <w:sz w:val="30"/>
          <w:szCs w:val="30"/>
          <w:highlight w:val="none"/>
        </w:rPr>
      </w:pPr>
    </w:p>
    <w:p>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pPr>
        <w:pStyle w:val="12"/>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pPr>
        <w:pStyle w:val="12"/>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pPr>
        <w:pStyle w:val="12"/>
        <w:spacing w:line="360" w:lineRule="auto"/>
        <w:rPr>
          <w:color w:val="auto"/>
          <w:szCs w:val="21"/>
          <w:highlight w:val="none"/>
        </w:rPr>
      </w:pPr>
    </w:p>
    <w:p>
      <w:pPr>
        <w:pStyle w:val="12"/>
        <w:spacing w:line="360" w:lineRule="auto"/>
        <w:rPr>
          <w:color w:val="auto"/>
          <w:szCs w:val="21"/>
          <w:highlight w:val="none"/>
        </w:rPr>
      </w:pPr>
    </w:p>
    <w:p>
      <w:pPr>
        <w:pStyle w:val="12"/>
        <w:spacing w:line="360" w:lineRule="auto"/>
        <w:rPr>
          <w:color w:val="auto"/>
          <w:szCs w:val="21"/>
          <w:highlight w:val="none"/>
        </w:rPr>
      </w:pPr>
    </w:p>
    <w:p>
      <w:pPr>
        <w:pStyle w:val="12"/>
        <w:spacing w:line="360" w:lineRule="auto"/>
        <w:rPr>
          <w:color w:val="auto"/>
          <w:szCs w:val="21"/>
          <w:highlight w:val="none"/>
        </w:rPr>
      </w:pPr>
    </w:p>
    <w:p>
      <w:pPr>
        <w:pStyle w:val="12"/>
        <w:spacing w:line="360" w:lineRule="auto"/>
        <w:rPr>
          <w:color w:val="auto"/>
          <w:szCs w:val="21"/>
          <w:highlight w:val="none"/>
        </w:rPr>
      </w:pPr>
    </w:p>
    <w:p>
      <w:pPr>
        <w:pStyle w:val="12"/>
        <w:spacing w:line="360" w:lineRule="auto"/>
        <w:rPr>
          <w:color w:val="auto"/>
          <w:szCs w:val="21"/>
          <w:highlight w:val="none"/>
        </w:rPr>
      </w:pPr>
    </w:p>
    <w:p>
      <w:pPr>
        <w:pStyle w:val="12"/>
        <w:spacing w:line="360" w:lineRule="auto"/>
        <w:rPr>
          <w:color w:val="auto"/>
          <w:szCs w:val="21"/>
          <w:highlight w:val="none"/>
        </w:rPr>
      </w:pPr>
    </w:p>
    <w:p>
      <w:pPr>
        <w:pStyle w:val="28"/>
        <w:spacing w:line="360" w:lineRule="auto"/>
        <w:ind w:left="481"/>
        <w:jc w:val="center"/>
        <w:rPr>
          <w:rFonts w:ascii="宋体" w:hAnsi="宋体"/>
          <w:b/>
          <w:color w:val="auto"/>
          <w:sz w:val="48"/>
          <w:szCs w:val="48"/>
          <w:highlight w:val="none"/>
        </w:rPr>
      </w:pPr>
    </w:p>
    <w:p>
      <w:pPr>
        <w:pStyle w:val="28"/>
        <w:spacing w:line="360" w:lineRule="auto"/>
        <w:rPr>
          <w:rFonts w:ascii="宋体" w:hAnsi="宋体"/>
          <w:b/>
          <w:color w:val="auto"/>
          <w:sz w:val="48"/>
          <w:szCs w:val="48"/>
          <w:highlight w:val="none"/>
        </w:rPr>
      </w:pPr>
    </w:p>
    <w:p>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4"/>
        <w:spacing w:line="360" w:lineRule="auto"/>
        <w:jc w:val="center"/>
        <w:rPr>
          <w:rFonts w:ascii="宋体" w:hAnsi="宋体" w:eastAsia="宋体" w:cs="宋体"/>
          <w:color w:val="auto"/>
          <w:kern w:val="0"/>
          <w:highlight w:val="none"/>
        </w:rPr>
      </w:pPr>
      <w:bookmarkStart w:id="45" w:name="_Toc247301829"/>
      <w:bookmarkStart w:id="46" w:name="_Toc18079"/>
      <w:bookmarkStart w:id="47" w:name="_Toc24704"/>
      <w:bookmarkStart w:id="48" w:name="_Toc243630952"/>
      <w:bookmarkStart w:id="49" w:name="_Toc28199"/>
      <w:bookmarkStart w:id="50" w:name="_Toc193089296"/>
      <w:bookmarkStart w:id="51" w:name="_Toc247292436"/>
      <w:bookmarkStart w:id="52" w:name="_Toc29414"/>
      <w:bookmarkStart w:id="53" w:name="_Toc255977433"/>
      <w:bookmarkStart w:id="54" w:name="_Toc243584342"/>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21"/>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7"/>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5"/>
          </w:p>
          <w:p>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8"/>
        <w:spacing w:line="360" w:lineRule="auto"/>
        <w:jc w:val="center"/>
        <w:rPr>
          <w:rFonts w:ascii="宋体" w:hAnsi="宋体"/>
          <w:b/>
          <w:color w:val="auto"/>
          <w:sz w:val="28"/>
          <w:szCs w:val="28"/>
          <w:highlight w:val="none"/>
        </w:rPr>
      </w:pP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供应商为中小企业</w:t>
      </w:r>
      <w:r>
        <w:rPr>
          <w:rFonts w:hint="eastAsia" w:ascii="宋体" w:hAnsi="宋体"/>
          <w:b/>
          <w:bCs/>
          <w:color w:val="auto"/>
          <w:szCs w:val="21"/>
          <w:highlight w:val="none"/>
          <w:lang w:eastAsia="zh-CN"/>
        </w:rPr>
        <w:t>（必须提供中小企业声明函或《政府采购促进中小企业发展管理办法 财库〔2020〕46号》要求提供的证明文件，否则响应文件按无效响应处理）</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color w:val="auto"/>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color w:val="auto"/>
        </w:rPr>
      </w:pPr>
    </w:p>
    <w:p>
      <w:pPr>
        <w:pStyle w:val="28"/>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项目（项目编号：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pPr>
        <w:pStyle w:val="1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pPr>
        <w:numPr>
          <w:ilvl w:val="0"/>
          <w:numId w:val="0"/>
        </w:numPr>
        <w:snapToGrid w:val="0"/>
        <w:spacing w:beforeLines="50" w:after="50"/>
        <w:ind w:leftChars="0"/>
        <w:jc w:val="left"/>
        <w:rPr>
          <w:rFonts w:hint="eastAsia" w:ascii="宋体" w:hAnsi="宋体" w:eastAsia="宋体" w:cs="宋体"/>
          <w:b/>
          <w:color w:val="auto"/>
          <w:sz w:val="22"/>
          <w:szCs w:val="22"/>
        </w:rPr>
      </w:pPr>
    </w:p>
    <w:p>
      <w:pPr>
        <w:pStyle w:val="2"/>
        <w:rPr>
          <w:rFonts w:hint="eastAsia"/>
          <w:color w:val="auto"/>
        </w:rPr>
      </w:pPr>
    </w:p>
    <w:p>
      <w:pPr>
        <w:numPr>
          <w:ilvl w:val="0"/>
          <w:numId w:val="0"/>
        </w:numPr>
        <w:snapToGrid w:val="0"/>
        <w:spacing w:beforeLines="50" w:after="50"/>
        <w:ind w:leftChars="0"/>
        <w:jc w:val="left"/>
        <w:rPr>
          <w:rFonts w:hint="eastAsia" w:ascii="宋体" w:hAnsi="宋体" w:eastAsia="宋体" w:cs="宋体"/>
          <w:b/>
          <w:color w:val="auto"/>
          <w:sz w:val="22"/>
          <w:szCs w:val="22"/>
        </w:rPr>
      </w:pPr>
    </w:p>
    <w:p>
      <w:pPr>
        <w:pStyle w:val="28"/>
        <w:spacing w:line="360" w:lineRule="auto"/>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color w:val="auto"/>
        </w:rPr>
      </w:pPr>
    </w:p>
    <w:p>
      <w:pPr>
        <w:pStyle w:val="28"/>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或根据广西壮族自治区人民政府办公厅印发《关于支持建筑业企业增信心稳增长促转型若干措施》的通知（桂政办发〔2023〕62号）中“推动互跨专业承接业务”要求的证明材料复印件及有效的安全生产许可证副本复印件</w:t>
      </w:r>
      <w:r>
        <w:rPr>
          <w:rFonts w:hint="eastAsia" w:ascii="宋体" w:hAnsi="宋体"/>
          <w:b/>
          <w:color w:val="auto"/>
          <w:sz w:val="24"/>
          <w:highlight w:val="none"/>
        </w:rPr>
        <w:t>；</w:t>
      </w:r>
    </w:p>
    <w:p>
      <w:pPr>
        <w:pStyle w:val="29"/>
        <w:rPr>
          <w:color w:val="auto"/>
          <w:highlight w:val="none"/>
        </w:rPr>
      </w:pPr>
    </w:p>
    <w:p>
      <w:pPr>
        <w:pStyle w:val="28"/>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pPr>
        <w:pStyle w:val="28"/>
        <w:rPr>
          <w:rFonts w:hint="eastAsia" w:ascii="宋体" w:hAnsi="宋体"/>
          <w:b/>
          <w:color w:val="auto"/>
          <w:sz w:val="24"/>
          <w:highlight w:val="none"/>
          <w:lang w:eastAsia="zh-CN"/>
        </w:rPr>
      </w:pPr>
    </w:p>
    <w:p>
      <w:pPr>
        <w:pStyle w:val="29"/>
        <w:rPr>
          <w:rFonts w:hint="eastAsia" w:ascii="宋体" w:hAnsi="宋体"/>
          <w:b/>
          <w:color w:val="auto"/>
          <w:sz w:val="24"/>
          <w:highlight w:val="none"/>
          <w:lang w:eastAsia="zh-CN"/>
        </w:rPr>
      </w:pPr>
    </w:p>
    <w:p>
      <w:pPr>
        <w:pStyle w:val="28"/>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28"/>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8"/>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28"/>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8"/>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2"/>
        <w:spacing w:line="460" w:lineRule="exact"/>
        <w:ind w:firstLine="420"/>
        <w:rPr>
          <w:rFonts w:hint="eastAsia"/>
          <w:color w:val="auto"/>
          <w:szCs w:val="21"/>
          <w:highlight w:val="none"/>
          <w:u w:val="singl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9"/>
        <w:rPr>
          <w:rFonts w:hint="eastAsia"/>
          <w:color w:val="auto"/>
          <w:highlight w:val="none"/>
        </w:rPr>
      </w:pPr>
    </w:p>
    <w:p>
      <w:pPr>
        <w:pStyle w:val="28"/>
        <w:rPr>
          <w:rFonts w:hint="eastAsia"/>
          <w:color w:val="auto"/>
          <w:highlight w:val="none"/>
        </w:rPr>
      </w:pPr>
    </w:p>
    <w:p>
      <w:pPr>
        <w:pStyle w:val="28"/>
        <w:numPr>
          <w:ilvl w:val="0"/>
          <w:numId w:val="4"/>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供应商为中小企业（必须提供中小企业声明函或《政府采购促进中小企业发展管理办法 财库〔2020〕46号》要求提供的证明文件，否则响应文件按无效响应处理）。</w:t>
      </w:r>
    </w:p>
    <w:p>
      <w:pPr>
        <w:pStyle w:val="29"/>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7"/>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7"/>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7"/>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7"/>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7"/>
        <w:shd w:val="clear" w:color="auto" w:fill="FFFFFF"/>
        <w:spacing w:before="0" w:beforeAutospacing="0" w:after="0" w:afterAutospacing="0" w:line="460" w:lineRule="exact"/>
        <w:ind w:firstLine="539"/>
        <w:rPr>
          <w:rFonts w:hint="eastAsia"/>
          <w:color w:val="auto"/>
          <w:sz w:val="21"/>
          <w:szCs w:val="21"/>
          <w:highlight w:val="none"/>
        </w:rPr>
      </w:pPr>
    </w:p>
    <w:p>
      <w:pPr>
        <w:pStyle w:val="17"/>
        <w:shd w:val="clear" w:color="auto" w:fill="FFFFFF"/>
        <w:spacing w:before="0" w:beforeAutospacing="0" w:after="0" w:afterAutospacing="0" w:line="460" w:lineRule="exact"/>
        <w:ind w:firstLine="539"/>
        <w:rPr>
          <w:rFonts w:hint="eastAsia"/>
          <w:color w:val="auto"/>
          <w:sz w:val="21"/>
          <w:szCs w:val="21"/>
          <w:highlight w:val="none"/>
        </w:rPr>
      </w:pPr>
    </w:p>
    <w:p>
      <w:pPr>
        <w:pStyle w:val="17"/>
        <w:shd w:val="clear" w:color="auto" w:fill="FFFFFF"/>
        <w:spacing w:before="0" w:beforeAutospacing="0" w:after="0" w:afterAutospacing="0" w:line="460" w:lineRule="exact"/>
        <w:ind w:firstLine="539"/>
        <w:rPr>
          <w:rFonts w:hint="eastAsia"/>
          <w:color w:val="auto"/>
          <w:sz w:val="21"/>
          <w:szCs w:val="21"/>
          <w:highlight w:val="none"/>
        </w:rPr>
      </w:pPr>
    </w:p>
    <w:p>
      <w:pPr>
        <w:pStyle w:val="17"/>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pPr>
        <w:pStyle w:val="29"/>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pPr>
        <w:rPr>
          <w:rFonts w:hint="eastAsia"/>
          <w:color w:val="auto"/>
          <w:highlight w:val="none"/>
        </w:rPr>
      </w:pPr>
    </w:p>
    <w:p>
      <w:pPr>
        <w:pStyle w:val="33"/>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7"/>
        <w:shd w:val="clear" w:color="auto" w:fill="FFFFFF"/>
        <w:spacing w:before="0" w:beforeAutospacing="0" w:after="0" w:afterAutospacing="0" w:line="460" w:lineRule="exact"/>
        <w:ind w:firstLine="539"/>
        <w:rPr>
          <w:rFonts w:hint="eastAsia"/>
          <w:color w:val="auto"/>
          <w:highlight w:val="none"/>
        </w:rPr>
      </w:pPr>
    </w:p>
    <w:p>
      <w:pPr>
        <w:pStyle w:val="17"/>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7"/>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7"/>
        <w:shd w:val="clear" w:color="auto" w:fill="FFFFFF"/>
        <w:spacing w:before="0" w:beforeAutospacing="0" w:after="0" w:afterAutospacing="0" w:line="460" w:lineRule="exact"/>
        <w:ind w:firstLine="539"/>
        <w:rPr>
          <w:rFonts w:hint="eastAsia"/>
          <w:color w:val="auto"/>
          <w:sz w:val="21"/>
          <w:szCs w:val="21"/>
          <w:highlight w:val="none"/>
        </w:rPr>
      </w:pPr>
    </w:p>
    <w:p>
      <w:pPr>
        <w:pStyle w:val="17"/>
        <w:shd w:val="clear" w:color="auto" w:fill="FFFFFF"/>
        <w:spacing w:before="0" w:beforeAutospacing="0" w:after="0" w:afterAutospacing="0" w:line="460" w:lineRule="exact"/>
        <w:ind w:firstLine="539"/>
        <w:rPr>
          <w:rFonts w:hint="eastAsia"/>
          <w:color w:val="auto"/>
          <w:sz w:val="21"/>
          <w:szCs w:val="21"/>
          <w:highlight w:val="none"/>
        </w:rPr>
      </w:pPr>
    </w:p>
    <w:p>
      <w:pPr>
        <w:pStyle w:val="17"/>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7"/>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28"/>
        <w:spacing w:line="360" w:lineRule="auto"/>
        <w:rPr>
          <w:rFonts w:ascii="宋体" w:hAnsi="宋体"/>
          <w:b/>
          <w:color w:val="auto"/>
          <w:sz w:val="48"/>
          <w:szCs w:val="48"/>
          <w:highlight w:val="none"/>
        </w:rPr>
      </w:pPr>
    </w:p>
    <w:p>
      <w:pPr>
        <w:pStyle w:val="29"/>
        <w:rPr>
          <w:rFonts w:ascii="宋体" w:hAnsi="宋体"/>
          <w:b/>
          <w:color w:val="auto"/>
          <w:sz w:val="48"/>
          <w:szCs w:val="48"/>
          <w:highlight w:val="none"/>
        </w:rPr>
      </w:pPr>
    </w:p>
    <w:p>
      <w:pPr>
        <w:pStyle w:val="28"/>
        <w:rPr>
          <w:rFonts w:ascii="宋体" w:hAnsi="宋体"/>
          <w:b/>
          <w:color w:val="auto"/>
          <w:sz w:val="48"/>
          <w:szCs w:val="48"/>
          <w:highlight w:val="none"/>
        </w:rPr>
      </w:pPr>
    </w:p>
    <w:p>
      <w:pPr>
        <w:pStyle w:val="29"/>
        <w:rPr>
          <w:rFonts w:ascii="宋体" w:hAnsi="宋体"/>
          <w:b/>
          <w:color w:val="auto"/>
          <w:sz w:val="48"/>
          <w:szCs w:val="48"/>
          <w:highlight w:val="none"/>
        </w:rPr>
      </w:pP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pPr>
        <w:pStyle w:val="28"/>
        <w:rPr>
          <w:rFonts w:ascii="宋体" w:hAnsi="宋体"/>
          <w:b/>
          <w:color w:val="auto"/>
          <w:sz w:val="48"/>
          <w:szCs w:val="48"/>
          <w:highlight w:val="none"/>
        </w:rPr>
      </w:pPr>
    </w:p>
    <w:p>
      <w:pPr>
        <w:pStyle w:val="29"/>
        <w:rPr>
          <w:rFonts w:ascii="宋体" w:hAnsi="宋体"/>
          <w:b/>
          <w:color w:val="auto"/>
          <w:sz w:val="48"/>
          <w:szCs w:val="48"/>
          <w:highlight w:val="none"/>
        </w:rPr>
      </w:pPr>
    </w:p>
    <w:p>
      <w:pPr>
        <w:pStyle w:val="28"/>
        <w:rPr>
          <w:rFonts w:ascii="宋体" w:hAnsi="宋体"/>
          <w:b/>
          <w:color w:val="auto"/>
          <w:sz w:val="48"/>
          <w:szCs w:val="48"/>
          <w:highlight w:val="none"/>
        </w:rPr>
      </w:pPr>
    </w:p>
    <w:p>
      <w:pPr>
        <w:pStyle w:val="29"/>
        <w:rPr>
          <w:rFonts w:ascii="宋体" w:hAnsi="宋体"/>
          <w:b/>
          <w:color w:val="auto"/>
          <w:sz w:val="48"/>
          <w:szCs w:val="48"/>
          <w:highlight w:val="none"/>
        </w:rPr>
      </w:pPr>
    </w:p>
    <w:p>
      <w:pPr>
        <w:pStyle w:val="28"/>
        <w:rPr>
          <w:rFonts w:ascii="宋体" w:hAnsi="宋体"/>
          <w:b/>
          <w:color w:val="auto"/>
          <w:sz w:val="48"/>
          <w:szCs w:val="48"/>
          <w:highlight w:val="none"/>
        </w:rPr>
      </w:pPr>
    </w:p>
    <w:p>
      <w:pPr>
        <w:pStyle w:val="29"/>
        <w:rPr>
          <w:color w:val="auto"/>
        </w:rPr>
      </w:pPr>
    </w:p>
    <w:p>
      <w:pPr>
        <w:pStyle w:val="29"/>
        <w:rPr>
          <w:rFonts w:ascii="宋体" w:hAnsi="宋体"/>
          <w:b/>
          <w:color w:val="auto"/>
          <w:sz w:val="48"/>
          <w:szCs w:val="48"/>
          <w:highlight w:val="none"/>
        </w:rPr>
      </w:pPr>
    </w:p>
    <w:p>
      <w:pPr>
        <w:pStyle w:val="28"/>
        <w:rPr>
          <w:color w:val="auto"/>
          <w:highlight w:val="none"/>
        </w:rPr>
      </w:pPr>
    </w:p>
    <w:p>
      <w:pPr>
        <w:pStyle w:val="2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pPr>
        <w:pStyle w:val="28"/>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pPr>
        <w:pStyle w:val="29"/>
        <w:rPr>
          <w:rFonts w:hint="eastAsia"/>
          <w:color w:val="auto"/>
          <w:highlight w:val="none"/>
          <w:lang w:eastAsia="zh-CN"/>
        </w:rPr>
      </w:pPr>
    </w:p>
    <w:p>
      <w:pPr>
        <w:pStyle w:val="28"/>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pPr>
        <w:pStyle w:val="2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pPr>
        <w:pStyle w:val="28"/>
        <w:spacing w:line="360" w:lineRule="auto"/>
        <w:rPr>
          <w:rFonts w:hint="eastAsia" w:ascii="宋体" w:hAnsi="宋体" w:eastAsia="宋体" w:cs="宋体"/>
          <w:color w:val="auto"/>
          <w:sz w:val="21"/>
          <w:szCs w:val="21"/>
          <w:highlight w:val="none"/>
          <w:lang w:eastAsia="zh-CN"/>
        </w:rPr>
      </w:pPr>
    </w:p>
    <w:p>
      <w:pPr>
        <w:pStyle w:val="41"/>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highlight w:val="none"/>
        </w:rPr>
      </w:pPr>
    </w:p>
    <w:p>
      <w:pPr>
        <w:pStyle w:val="29"/>
        <w:rPr>
          <w:color w:val="auto"/>
          <w:highlight w:val="none"/>
        </w:rPr>
      </w:pPr>
    </w:p>
    <w:p>
      <w:pPr>
        <w:pStyle w:val="28"/>
        <w:rPr>
          <w:color w:val="auto"/>
        </w:rPr>
      </w:pPr>
    </w:p>
    <w:p>
      <w:pPr>
        <w:pStyle w:val="29"/>
        <w:rPr>
          <w:rFonts w:ascii="宋体" w:hAnsi="宋体"/>
          <w:b/>
          <w:color w:val="auto"/>
          <w:sz w:val="48"/>
          <w:szCs w:val="48"/>
          <w:highlight w:val="none"/>
        </w:rPr>
      </w:pPr>
    </w:p>
    <w:p>
      <w:pPr>
        <w:pStyle w:val="3"/>
        <w:spacing w:line="360" w:lineRule="auto"/>
        <w:jc w:val="center"/>
        <w:rPr>
          <w:rFonts w:ascii="宋体" w:cs="宋体"/>
          <w:color w:val="auto"/>
          <w:sz w:val="36"/>
          <w:highlight w:val="none"/>
        </w:rPr>
      </w:pPr>
      <w:bookmarkStart w:id="58" w:name="_Toc16635"/>
      <w:bookmarkStart w:id="59" w:name="_Toc24800"/>
      <w:bookmarkStart w:id="60" w:name="_Toc24872"/>
      <w:bookmarkStart w:id="61" w:name="_Toc247292448"/>
      <w:bookmarkStart w:id="62" w:name="_Toc243630963"/>
      <w:bookmarkStart w:id="63" w:name="_Toc243584363"/>
      <w:bookmarkStart w:id="64" w:name="_Toc247301841"/>
      <w:bookmarkStart w:id="65" w:name="_Toc255977446"/>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8"/>
      <w:bookmarkEnd w:id="59"/>
      <w:bookmarkEnd w:id="60"/>
      <w:bookmarkEnd w:id="61"/>
      <w:bookmarkEnd w:id="62"/>
      <w:bookmarkEnd w:id="63"/>
      <w:bookmarkEnd w:id="64"/>
      <w:bookmarkEnd w:id="65"/>
    </w:p>
    <w:p>
      <w:pPr>
        <w:pStyle w:val="4"/>
        <w:spacing w:line="360" w:lineRule="auto"/>
        <w:jc w:val="center"/>
        <w:rPr>
          <w:rFonts w:ascii="宋体" w:hAnsi="宋体" w:eastAsia="宋体" w:cs="宋体"/>
          <w:color w:val="auto"/>
          <w:kern w:val="0"/>
          <w:highlight w:val="none"/>
        </w:rPr>
      </w:pPr>
      <w:bookmarkStart w:id="66" w:name="_Toc11962"/>
      <w:bookmarkStart w:id="67" w:name="_Toc27920"/>
      <w:bookmarkStart w:id="68" w:name="_Toc247292449"/>
      <w:bookmarkStart w:id="69" w:name="_Toc32493"/>
      <w:bookmarkStart w:id="70" w:name="_Toc247301842"/>
      <w:bookmarkStart w:id="71" w:name="_Toc255977447"/>
      <w:bookmarkStart w:id="72" w:name="_Toc2585"/>
      <w:bookmarkStart w:id="73" w:name="_Toc27322"/>
      <w:r>
        <w:rPr>
          <w:rFonts w:hint="eastAsia" w:ascii="宋体" w:hAnsi="宋体" w:eastAsia="宋体" w:cs="宋体"/>
          <w:color w:val="auto"/>
          <w:kern w:val="0"/>
          <w:highlight w:val="none"/>
        </w:rPr>
        <w:t>封面格式</w:t>
      </w:r>
      <w:bookmarkEnd w:id="66"/>
      <w:bookmarkEnd w:id="67"/>
      <w:bookmarkEnd w:id="68"/>
      <w:bookmarkEnd w:id="69"/>
      <w:bookmarkEnd w:id="70"/>
      <w:bookmarkEnd w:id="71"/>
      <w:bookmarkEnd w:id="72"/>
      <w:bookmarkEnd w:id="73"/>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bookmarkStart w:id="74" w:name="_Toc32370"/>
            <w:r>
              <w:rPr>
                <w:rFonts w:hint="eastAsia" w:ascii="宋体" w:hAnsi="宋体" w:cs="宋体"/>
                <w:b/>
                <w:color w:val="auto"/>
                <w:kern w:val="0"/>
                <w:sz w:val="32"/>
                <w:szCs w:val="21"/>
                <w:highlight w:val="none"/>
                <w:lang w:val="en-US" w:eastAsia="zh-CN"/>
              </w:rPr>
              <w:t>（项目名称）</w:t>
            </w:r>
            <w:bookmarkEnd w:id="74"/>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75"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5"/>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8065"/>
            <w:bookmarkStart w:id="77" w:name="_Toc243584368"/>
            <w:r>
              <w:rPr>
                <w:rFonts w:hint="eastAsia" w:ascii="宋体" w:hAnsi="宋体" w:cs="宋体"/>
                <w:color w:val="auto"/>
                <w:kern w:val="0"/>
                <w:sz w:val="24"/>
                <w:szCs w:val="21"/>
                <w:highlight w:val="none"/>
              </w:rPr>
              <w:t>项目名称：</w:t>
            </w:r>
            <w:bookmarkEnd w:id="76"/>
            <w:bookmarkEnd w:id="77"/>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243584369"/>
            <w:bookmarkStart w:id="79"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bookmarkEnd w:id="79"/>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0" w:name="_Toc243584370"/>
            <w:bookmarkStart w:id="81"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0"/>
            <w:bookmarkEnd w:id="81"/>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rPr>
          <w:rFonts w:ascii="宋体" w:hAnsi="宋体"/>
          <w:b/>
          <w:color w:val="auto"/>
          <w:sz w:val="28"/>
          <w:szCs w:val="28"/>
          <w:highlight w:val="none"/>
        </w:rPr>
      </w:pP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8"/>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9"/>
        <w:rPr>
          <w:color w:val="auto"/>
          <w:highlight w:val="none"/>
        </w:rPr>
      </w:pPr>
    </w:p>
    <w:p>
      <w:pPr>
        <w:pStyle w:val="28"/>
        <w:spacing w:line="360" w:lineRule="auto"/>
        <w:rPr>
          <w:rFonts w:hint="eastAsia" w:ascii="宋体" w:hAnsi="宋体"/>
          <w:color w:val="auto"/>
          <w:szCs w:val="21"/>
          <w:highlight w:val="none"/>
        </w:rPr>
      </w:pPr>
    </w:p>
    <w:p>
      <w:pPr>
        <w:pStyle w:val="29"/>
        <w:rPr>
          <w:color w:val="auto"/>
          <w:highlight w:val="none"/>
        </w:rPr>
      </w:pPr>
    </w:p>
    <w:p>
      <w:pPr>
        <w:pStyle w:val="28"/>
        <w:spacing w:line="360" w:lineRule="auto"/>
        <w:rPr>
          <w:rFonts w:ascii="宋体" w:hAnsi="宋体"/>
          <w:b/>
          <w:color w:val="auto"/>
          <w:sz w:val="28"/>
          <w:szCs w:val="28"/>
          <w:highlight w:val="none"/>
        </w:rPr>
      </w:pPr>
    </w:p>
    <w:p>
      <w:pPr>
        <w:pStyle w:val="28"/>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pPr>
        <w:pStyle w:val="28"/>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pPr>
        <w:pStyle w:val="28"/>
        <w:snapToGrid w:val="0"/>
        <w:spacing w:line="360" w:lineRule="auto"/>
        <w:jc w:val="center"/>
        <w:rPr>
          <w:rFonts w:ascii="宋体" w:hAnsi="宋体"/>
          <w:b/>
          <w:color w:val="auto"/>
          <w:sz w:val="24"/>
          <w:highlight w:val="none"/>
        </w:rPr>
      </w:pPr>
    </w:p>
    <w:p>
      <w:pPr>
        <w:pStyle w:val="28"/>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pPr>
        <w:pStyle w:val="28"/>
        <w:spacing w:line="360" w:lineRule="auto"/>
        <w:ind w:right="97"/>
        <w:rPr>
          <w:rFonts w:ascii="宋体" w:hAnsi="宋体" w:cs="宋体"/>
          <w:color w:val="auto"/>
          <w:sz w:val="21"/>
          <w:szCs w:val="21"/>
          <w:highlight w:val="none"/>
        </w:rPr>
      </w:pPr>
    </w:p>
    <w:p>
      <w:pPr>
        <w:pStyle w:val="28"/>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28"/>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28"/>
        <w:spacing w:line="360" w:lineRule="auto"/>
        <w:rPr>
          <w:rFonts w:ascii="宋体" w:hAnsi="宋体"/>
          <w:b/>
          <w:color w:val="auto"/>
          <w:sz w:val="28"/>
          <w:szCs w:val="28"/>
          <w:highlight w:val="none"/>
        </w:rPr>
      </w:pPr>
    </w:p>
    <w:p>
      <w:pPr>
        <w:pStyle w:val="27"/>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pStyle w:val="2"/>
        <w:rPr>
          <w:rFonts w:ascii="宋体" w:hAnsi="宋体" w:cs="宋体"/>
          <w:color w:val="auto"/>
          <w:sz w:val="36"/>
          <w:highlight w:val="none"/>
        </w:rPr>
      </w:pPr>
    </w:p>
    <w:p>
      <w:pPr>
        <w:rPr>
          <w:rFonts w:ascii="宋体" w:hAnsi="宋体" w:cs="宋体"/>
          <w:color w:val="auto"/>
          <w:sz w:val="36"/>
          <w:highlight w:val="none"/>
        </w:rPr>
      </w:pPr>
    </w:p>
    <w:p>
      <w:pPr>
        <w:pStyle w:val="2"/>
        <w:rPr>
          <w:color w:val="auto"/>
        </w:rPr>
      </w:pPr>
    </w:p>
    <w:p>
      <w:pPr>
        <w:rPr>
          <w:rFonts w:ascii="宋体" w:hAnsi="宋体" w:cs="宋体"/>
          <w:color w:val="auto"/>
          <w:sz w:val="36"/>
          <w:highlight w:val="none"/>
        </w:rPr>
      </w:pPr>
    </w:p>
    <w:p>
      <w:pPr>
        <w:pStyle w:val="28"/>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pPr>
        <w:pStyle w:val="28"/>
        <w:snapToGrid w:val="0"/>
        <w:spacing w:line="360" w:lineRule="auto"/>
        <w:jc w:val="center"/>
        <w:rPr>
          <w:rFonts w:ascii="宋体" w:hAnsi="宋体"/>
          <w:b/>
          <w:color w:val="auto"/>
          <w:sz w:val="24"/>
          <w:highlight w:val="none"/>
        </w:rPr>
      </w:pPr>
    </w:p>
    <w:p>
      <w:pPr>
        <w:pStyle w:val="29"/>
        <w:rPr>
          <w:color w:val="auto"/>
        </w:rPr>
      </w:pPr>
    </w:p>
    <w:p>
      <w:pPr>
        <w:pStyle w:val="28"/>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pPr>
        <w:pStyle w:val="28"/>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8"/>
        <w:autoSpaceDE w:val="0"/>
        <w:autoSpaceDN w:val="0"/>
        <w:spacing w:line="360" w:lineRule="auto"/>
        <w:ind w:left="480" w:hanging="480"/>
        <w:rPr>
          <w:rFonts w:ascii="宋体" w:hAnsi="宋体"/>
          <w:color w:val="auto"/>
          <w:szCs w:val="21"/>
          <w:highlight w:val="none"/>
        </w:rPr>
      </w:pPr>
    </w:p>
    <w:p>
      <w:pPr>
        <w:pStyle w:val="28"/>
        <w:spacing w:line="360" w:lineRule="auto"/>
        <w:rPr>
          <w:rFonts w:ascii="宋体" w:hAnsi="宋体"/>
          <w:b/>
          <w:color w:val="auto"/>
          <w:sz w:val="24"/>
          <w:highlight w:val="none"/>
        </w:rPr>
      </w:pPr>
      <w:r>
        <w:rPr>
          <w:rFonts w:ascii="宋体" w:hAnsi="宋体"/>
          <w:b/>
          <w:color w:val="auto"/>
          <w:sz w:val="24"/>
          <w:highlight w:val="none"/>
        </w:rPr>
        <w:t>附：代理人身份证复印件</w:t>
      </w: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pStyle w:val="2"/>
        <w:rPr>
          <w:color w:val="auto"/>
        </w:rPr>
      </w:pPr>
    </w:p>
    <w:p>
      <w:pPr>
        <w:rPr>
          <w:rFonts w:ascii="宋体" w:hAnsi="宋体" w:cs="宋体"/>
          <w:color w:val="auto"/>
          <w:sz w:val="36"/>
          <w:highlight w:val="none"/>
        </w:rPr>
      </w:pPr>
    </w:p>
    <w:p>
      <w:pPr>
        <w:pStyle w:val="28"/>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pPr>
        <w:pStyle w:val="29"/>
        <w:numPr>
          <w:ilvl w:val="0"/>
          <w:numId w:val="0"/>
        </w:numPr>
        <w:ind w:leftChars="0"/>
        <w:rPr>
          <w:rFonts w:hint="eastAsia"/>
          <w:color w:val="auto"/>
          <w:highlight w:val="none"/>
          <w:lang w:val="en-US" w:eastAsia="zh-CN"/>
        </w:rPr>
      </w:pPr>
    </w:p>
    <w:p>
      <w:pPr>
        <w:pStyle w:val="28"/>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28"/>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28"/>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28"/>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28"/>
        <w:spacing w:line="360" w:lineRule="auto"/>
        <w:rPr>
          <w:rFonts w:ascii="宋体" w:hAnsi="宋体" w:cs="仿宋_GB2312"/>
          <w:color w:val="auto"/>
          <w:sz w:val="21"/>
          <w:szCs w:val="21"/>
          <w:highlight w:val="none"/>
        </w:rPr>
      </w:pPr>
    </w:p>
    <w:p>
      <w:pPr>
        <w:pStyle w:val="28"/>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28"/>
        <w:spacing w:line="360" w:lineRule="auto"/>
        <w:rPr>
          <w:rFonts w:ascii="宋体" w:hAnsi="宋体" w:cs="仿宋_GB2312"/>
          <w:color w:val="auto"/>
          <w:sz w:val="21"/>
          <w:szCs w:val="21"/>
          <w:highlight w:val="none"/>
        </w:rPr>
      </w:pPr>
    </w:p>
    <w:p>
      <w:pPr>
        <w:pStyle w:val="28"/>
        <w:spacing w:line="360" w:lineRule="auto"/>
        <w:rPr>
          <w:rFonts w:ascii="宋体" w:hAnsi="宋体" w:cs="仿宋_GB2312"/>
          <w:color w:val="auto"/>
          <w:sz w:val="21"/>
          <w:szCs w:val="21"/>
          <w:highlight w:val="none"/>
        </w:rPr>
      </w:pPr>
    </w:p>
    <w:p>
      <w:pPr>
        <w:pStyle w:val="28"/>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28"/>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hint="eastAsia" w:ascii="宋体" w:hAnsi="宋体"/>
          <w:b/>
          <w:color w:val="auto"/>
          <w:sz w:val="28"/>
          <w:szCs w:val="28"/>
          <w:highlight w:val="none"/>
          <w:lang w:val="en-US" w:eastAsia="zh-CN"/>
        </w:rPr>
      </w:pPr>
    </w:p>
    <w:p>
      <w:pPr>
        <w:pStyle w:val="28"/>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28"/>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8"/>
        <w:spacing w:line="360" w:lineRule="auto"/>
        <w:ind w:right="97"/>
        <w:rPr>
          <w:rFonts w:ascii="宋体" w:hAnsi="宋体" w:cs="宋体"/>
          <w:color w:val="auto"/>
          <w:szCs w:val="21"/>
          <w:highlight w:val="none"/>
        </w:rPr>
      </w:pPr>
    </w:p>
    <w:p>
      <w:pPr>
        <w:pStyle w:val="28"/>
        <w:spacing w:line="360" w:lineRule="auto"/>
        <w:rPr>
          <w:rFonts w:ascii="宋体" w:hAnsi="宋体"/>
          <w:b/>
          <w:color w:val="auto"/>
          <w:sz w:val="28"/>
          <w:szCs w:val="28"/>
          <w:highlight w:val="none"/>
        </w:rPr>
      </w:pPr>
    </w:p>
    <w:p>
      <w:pPr>
        <w:pStyle w:val="29"/>
        <w:rPr>
          <w:color w:val="auto"/>
          <w:highlight w:val="none"/>
        </w:rPr>
      </w:pPr>
    </w:p>
    <w:p>
      <w:pPr>
        <w:pStyle w:val="28"/>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pPr>
        <w:pStyle w:val="28"/>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pPr>
        <w:pStyle w:val="34"/>
        <w:spacing w:line="360" w:lineRule="auto"/>
        <w:jc w:val="center"/>
        <w:rPr>
          <w:color w:val="auto"/>
          <w:sz w:val="32"/>
          <w:szCs w:val="32"/>
          <w:highlight w:val="none"/>
        </w:rPr>
      </w:pPr>
      <w:bookmarkStart w:id="82" w:name="_Toc1106"/>
      <w:bookmarkStart w:id="83" w:name="_Toc514605589"/>
      <w:bookmarkStart w:id="84" w:name="_Toc514607588"/>
      <w:bookmarkStart w:id="85" w:name="_Toc31318"/>
      <w:bookmarkStart w:id="86" w:name="_Toc514605322"/>
      <w:bookmarkStart w:id="87" w:name="_Toc514606977"/>
      <w:r>
        <w:rPr>
          <w:color w:val="auto"/>
          <w:sz w:val="30"/>
          <w:szCs w:val="30"/>
          <w:highlight w:val="none"/>
        </w:rPr>
        <w:t>磋商函附录</w:t>
      </w:r>
      <w:bookmarkEnd w:id="82"/>
      <w:bookmarkEnd w:id="83"/>
      <w:bookmarkEnd w:id="84"/>
      <w:bookmarkEnd w:id="85"/>
      <w:bookmarkEnd w:id="86"/>
      <w:bookmarkEnd w:id="87"/>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合同条款号</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约定内容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28"/>
        <w:snapToGrid w:val="0"/>
        <w:spacing w:line="360" w:lineRule="auto"/>
        <w:rPr>
          <w:rFonts w:hint="eastAsia" w:ascii="宋体" w:hAnsi="宋体" w:eastAsia="宋体"/>
          <w:color w:val="auto"/>
          <w:sz w:val="22"/>
          <w:szCs w:val="22"/>
          <w:highlight w:val="none"/>
          <w:lang w:eastAsia="zh-CN"/>
        </w:rPr>
      </w:pPr>
    </w:p>
    <w:p>
      <w:pPr>
        <w:pStyle w:val="12"/>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2"/>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2"/>
        <w:spacing w:line="360" w:lineRule="auto"/>
        <w:rPr>
          <w:color w:val="auto"/>
          <w:sz w:val="21"/>
          <w:szCs w:val="22"/>
          <w:highlight w:val="none"/>
        </w:rPr>
      </w:pPr>
      <w:r>
        <w:rPr>
          <w:color w:val="auto"/>
          <w:sz w:val="21"/>
          <w:szCs w:val="22"/>
          <w:highlight w:val="none"/>
        </w:rPr>
        <w:t xml:space="preserve">时间：   年  月  日 </w:t>
      </w:r>
    </w:p>
    <w:p>
      <w:pPr>
        <w:pStyle w:val="12"/>
        <w:spacing w:line="360" w:lineRule="auto"/>
        <w:rPr>
          <w:b/>
          <w:color w:val="auto"/>
          <w:sz w:val="32"/>
          <w:szCs w:val="32"/>
          <w:highlight w:val="none"/>
        </w:rPr>
      </w:pPr>
    </w:p>
    <w:p>
      <w:pPr>
        <w:pStyle w:val="28"/>
        <w:rPr>
          <w:b/>
          <w:color w:val="auto"/>
          <w:sz w:val="28"/>
          <w:szCs w:val="28"/>
          <w:highlight w:val="none"/>
        </w:rPr>
      </w:pPr>
    </w:p>
    <w:p>
      <w:pPr>
        <w:pStyle w:val="12"/>
        <w:spacing w:line="360" w:lineRule="auto"/>
        <w:rPr>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pPr>
        <w:pStyle w:val="12"/>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pPr>
        <w:pStyle w:val="34"/>
        <w:spacing w:line="360" w:lineRule="auto"/>
        <w:jc w:val="center"/>
        <w:rPr>
          <w:rFonts w:ascii="宋体" w:hAnsi="宋体"/>
          <w:color w:val="auto"/>
          <w:sz w:val="36"/>
          <w:szCs w:val="22"/>
          <w:highlight w:val="none"/>
        </w:rPr>
      </w:pPr>
      <w:bookmarkStart w:id="88" w:name="_Toc435"/>
      <w:bookmarkStart w:id="89" w:name="_Toc514605590"/>
      <w:bookmarkStart w:id="90" w:name="_Toc514606978"/>
      <w:bookmarkStart w:id="91" w:name="_Toc32185"/>
      <w:bookmarkStart w:id="92" w:name="_Toc514607589"/>
      <w:bookmarkStart w:id="93" w:name="_Toc514605323"/>
      <w:r>
        <w:rPr>
          <w:rFonts w:ascii="宋体" w:hAnsi="宋体"/>
          <w:color w:val="auto"/>
          <w:szCs w:val="21"/>
          <w:highlight w:val="none"/>
        </w:rPr>
        <w:t>磋商报价表</w:t>
      </w:r>
      <w:bookmarkEnd w:id="88"/>
      <w:bookmarkEnd w:id="89"/>
      <w:bookmarkEnd w:id="90"/>
      <w:bookmarkEnd w:id="91"/>
      <w:bookmarkEnd w:id="92"/>
      <w:bookmarkEnd w:id="93"/>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18"/>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rPr>
          <w:rFonts w:hint="eastAsia"/>
          <w:color w:val="auto"/>
        </w:rPr>
      </w:pPr>
    </w:p>
    <w:p>
      <w:pPr>
        <w:pStyle w:val="27"/>
        <w:rPr>
          <w:rFonts w:hint="eastAsia" w:ascii="宋体" w:hAnsi="宋体" w:cs="宋体"/>
          <w:color w:val="auto"/>
          <w:szCs w:val="21"/>
          <w:highlight w:val="none"/>
        </w:rPr>
      </w:pPr>
    </w:p>
    <w:p>
      <w:pPr>
        <w:numPr>
          <w:ilvl w:val="0"/>
          <w:numId w:val="0"/>
        </w:numPr>
        <w:spacing w:line="360" w:lineRule="auto"/>
        <w:rPr>
          <w:rFonts w:hint="eastAsia"/>
          <w:b/>
          <w:color w:val="auto"/>
          <w:sz w:val="28"/>
          <w:szCs w:val="28"/>
          <w:highlight w:val="none"/>
          <w:lang w:eastAsia="zh-CN"/>
        </w:rPr>
      </w:pPr>
      <w:bookmarkStart w:id="94" w:name="_Toc502737803"/>
      <w:bookmarkEnd w:id="94"/>
      <w:bookmarkStart w:id="95" w:name="_Toc392941016"/>
      <w:bookmarkEnd w:id="95"/>
      <w:bookmarkStart w:id="96" w:name="_Toc458689680"/>
      <w:bookmarkEnd w:id="96"/>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3"/>
        <w:numPr>
          <w:ilvl w:val="0"/>
          <w:numId w:val="0"/>
        </w:numPr>
        <w:spacing w:line="360" w:lineRule="auto"/>
        <w:ind w:firstLine="2168" w:firstLineChars="600"/>
        <w:jc w:val="both"/>
        <w:rPr>
          <w:rFonts w:hint="eastAsia" w:ascii="宋体" w:hAnsi="宋体" w:cs="宋体"/>
          <w:color w:val="auto"/>
          <w:sz w:val="36"/>
          <w:highlight w:val="none"/>
        </w:rPr>
      </w:pPr>
    </w:p>
    <w:p>
      <w:pPr>
        <w:rPr>
          <w:rFonts w:hint="eastAsia" w:ascii="宋体" w:hAnsi="宋体" w:cs="宋体"/>
          <w:color w:val="auto"/>
          <w:sz w:val="36"/>
          <w:highlight w:val="none"/>
        </w:rPr>
      </w:pPr>
    </w:p>
    <w:p>
      <w:pPr>
        <w:pStyle w:val="2"/>
        <w:rPr>
          <w:rFonts w:hint="eastAsia" w:ascii="宋体" w:hAnsi="宋体" w:cs="宋体"/>
          <w:color w:val="auto"/>
          <w:sz w:val="36"/>
          <w:highlight w:val="none"/>
        </w:rPr>
      </w:pPr>
    </w:p>
    <w:p>
      <w:pPr>
        <w:pStyle w:val="3"/>
        <w:numPr>
          <w:ilvl w:val="0"/>
          <w:numId w:val="5"/>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pPr>
        <w:pStyle w:val="28"/>
        <w:spacing w:line="360" w:lineRule="auto"/>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rFonts w:ascii="宋体" w:hAnsi="宋体"/>
          <w:b/>
          <w:bCs/>
          <w:color w:val="auto"/>
          <w:sz w:val="24"/>
          <w:highlight w:val="none"/>
        </w:rPr>
      </w:pPr>
    </w:p>
    <w:p>
      <w:pPr>
        <w:pStyle w:val="28"/>
        <w:rPr>
          <w:rFonts w:ascii="宋体" w:hAnsi="宋体"/>
          <w:b/>
          <w:bCs/>
          <w:color w:val="auto"/>
          <w:sz w:val="24"/>
          <w:highlight w:val="none"/>
        </w:rPr>
      </w:pPr>
    </w:p>
    <w:p>
      <w:pPr>
        <w:pStyle w:val="29"/>
        <w:rPr>
          <w:color w:val="auto"/>
        </w:rPr>
      </w:pPr>
    </w:p>
    <w:p>
      <w:pPr>
        <w:pStyle w:val="3"/>
        <w:spacing w:line="360" w:lineRule="auto"/>
        <w:jc w:val="center"/>
        <w:rPr>
          <w:rFonts w:ascii="宋体" w:cs="宋体"/>
          <w:color w:val="auto"/>
          <w:sz w:val="36"/>
          <w:highlight w:val="none"/>
        </w:rPr>
      </w:pPr>
      <w:bookmarkStart w:id="97" w:name="_Toc22137"/>
      <w:bookmarkStart w:id="98" w:name="_Toc16105"/>
      <w:bookmarkStart w:id="99"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7"/>
      <w:bookmarkEnd w:id="98"/>
      <w:bookmarkEnd w:id="99"/>
    </w:p>
    <w:p>
      <w:pPr>
        <w:pStyle w:val="4"/>
        <w:spacing w:line="360" w:lineRule="auto"/>
        <w:jc w:val="center"/>
        <w:rPr>
          <w:rFonts w:ascii="宋体" w:hAnsi="宋体" w:eastAsia="宋体" w:cs="宋体"/>
          <w:color w:val="auto"/>
          <w:kern w:val="0"/>
          <w:highlight w:val="none"/>
        </w:rPr>
      </w:pPr>
      <w:bookmarkStart w:id="100" w:name="_Toc9540"/>
      <w:bookmarkStart w:id="101" w:name="_Toc13855"/>
      <w:bookmarkStart w:id="102" w:name="_Toc9157"/>
      <w:r>
        <w:rPr>
          <w:rFonts w:hint="eastAsia" w:ascii="宋体" w:hAnsi="宋体" w:eastAsia="宋体" w:cs="宋体"/>
          <w:color w:val="auto"/>
          <w:kern w:val="0"/>
          <w:highlight w:val="none"/>
        </w:rPr>
        <w:t>封面格式</w:t>
      </w:r>
      <w:bookmarkEnd w:id="100"/>
      <w:bookmarkEnd w:id="101"/>
      <w:bookmarkEnd w:id="102"/>
    </w:p>
    <w:p>
      <w:pPr>
        <w:pStyle w:val="28"/>
        <w:spacing w:line="360" w:lineRule="auto"/>
        <w:rPr>
          <w:rFonts w:ascii="宋体" w:hAnsi="宋体"/>
          <w:b/>
          <w:bCs/>
          <w:color w:val="auto"/>
          <w:sz w:val="24"/>
          <w:highlight w:val="none"/>
        </w:rPr>
      </w:pPr>
    </w:p>
    <w:p>
      <w:pPr>
        <w:pStyle w:val="28"/>
        <w:rPr>
          <w:color w:val="auto"/>
          <w:highlight w:val="none"/>
        </w:rPr>
      </w:pPr>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3" w:name="_Toc31228"/>
            <w:r>
              <w:rPr>
                <w:rFonts w:hint="eastAsia" w:ascii="宋体" w:hAnsi="宋体" w:cs="宋体"/>
                <w:b/>
                <w:color w:val="auto"/>
                <w:kern w:val="0"/>
                <w:sz w:val="32"/>
                <w:szCs w:val="21"/>
                <w:highlight w:val="none"/>
                <w:lang w:eastAsia="zh-CN"/>
              </w:rPr>
              <w:t>（项目名称）</w:t>
            </w:r>
            <w:bookmarkEnd w:id="103"/>
          </w:p>
          <w:p>
            <w:pPr>
              <w:autoSpaceDE w:val="0"/>
              <w:autoSpaceDN w:val="0"/>
              <w:adjustRightInd w:val="0"/>
              <w:spacing w:line="360" w:lineRule="auto"/>
              <w:jc w:val="center"/>
              <w:outlineLvl w:val="0"/>
              <w:rPr>
                <w:rFonts w:ascii="宋体" w:cs="宋体"/>
                <w:color w:val="auto"/>
                <w:kern w:val="0"/>
                <w:sz w:val="22"/>
                <w:szCs w:val="21"/>
                <w:highlight w:val="none"/>
              </w:rPr>
            </w:pPr>
          </w:p>
          <w:p>
            <w:pPr>
              <w:pStyle w:val="27"/>
              <w:rPr>
                <w:rFonts w:ascii="宋体" w:cs="宋体"/>
                <w:color w:val="auto"/>
                <w:kern w:val="0"/>
                <w:sz w:val="22"/>
                <w:szCs w:val="21"/>
                <w:highlight w:val="none"/>
              </w:rPr>
            </w:pPr>
          </w:p>
          <w:p>
            <w:pPr>
              <w:pStyle w:val="27"/>
              <w:rPr>
                <w:rFonts w:ascii="宋体" w:cs="宋体"/>
                <w:color w:val="auto"/>
                <w:kern w:val="0"/>
                <w:sz w:val="22"/>
                <w:szCs w:val="21"/>
                <w:highlight w:val="none"/>
              </w:rPr>
            </w:pPr>
          </w:p>
          <w:p>
            <w:pPr>
              <w:pStyle w:val="27"/>
              <w:rPr>
                <w:rFonts w:ascii="宋体" w:cs="宋体"/>
                <w:color w:val="auto"/>
                <w:kern w:val="0"/>
                <w:sz w:val="22"/>
                <w:szCs w:val="21"/>
                <w:highlight w:val="none"/>
              </w:rPr>
            </w:pPr>
          </w:p>
          <w:p>
            <w:pPr>
              <w:pStyle w:val="27"/>
              <w:rPr>
                <w:rFonts w:ascii="宋体" w:cs="宋体"/>
                <w:color w:val="auto"/>
                <w:kern w:val="0"/>
                <w:sz w:val="22"/>
                <w:szCs w:val="21"/>
                <w:highlight w:val="none"/>
              </w:rPr>
            </w:pPr>
          </w:p>
          <w:p>
            <w:pPr>
              <w:pStyle w:val="27"/>
              <w:rPr>
                <w:rFonts w:ascii="宋体" w:cs="宋体"/>
                <w:color w:val="auto"/>
                <w:kern w:val="0"/>
                <w:sz w:val="22"/>
                <w:szCs w:val="21"/>
                <w:highlight w:val="none"/>
              </w:rPr>
            </w:pPr>
          </w:p>
          <w:p>
            <w:pPr>
              <w:pStyle w:val="27"/>
              <w:rPr>
                <w:rFonts w:ascii="宋体" w:cs="宋体"/>
                <w:color w:val="auto"/>
                <w:kern w:val="0"/>
                <w:sz w:val="22"/>
                <w:szCs w:val="21"/>
                <w:highlight w:val="none"/>
              </w:rPr>
            </w:pPr>
          </w:p>
          <w:p>
            <w:pPr>
              <w:pStyle w:val="27"/>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104"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4"/>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7"/>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5" w:name="_Toc20289"/>
            <w:r>
              <w:rPr>
                <w:rFonts w:hint="eastAsia" w:ascii="宋体" w:hAnsi="宋体" w:cs="宋体"/>
                <w:color w:val="auto"/>
                <w:kern w:val="0"/>
                <w:sz w:val="24"/>
                <w:szCs w:val="21"/>
                <w:highlight w:val="none"/>
              </w:rPr>
              <w:t>项目名称：</w:t>
            </w:r>
            <w:bookmarkEnd w:id="105"/>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6"/>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7"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7"/>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8"/>
        <w:spacing w:line="360" w:lineRule="auto"/>
        <w:rPr>
          <w:rFonts w:ascii="宋体" w:hAnsi="宋体" w:cs="宋体"/>
          <w:color w:val="auto"/>
          <w:sz w:val="24"/>
          <w:highlight w:val="none"/>
        </w:rPr>
      </w:pPr>
    </w:p>
    <w:p>
      <w:pPr>
        <w:pStyle w:val="28"/>
        <w:spacing w:line="360" w:lineRule="auto"/>
        <w:rPr>
          <w:rFonts w:ascii="宋体" w:hAnsi="宋体" w:cs="宋体"/>
          <w:color w:val="auto"/>
          <w:sz w:val="24"/>
          <w:highlight w:val="none"/>
        </w:rPr>
      </w:pPr>
    </w:p>
    <w:p>
      <w:pPr>
        <w:pStyle w:val="28"/>
        <w:spacing w:line="360" w:lineRule="auto"/>
        <w:rPr>
          <w:rFonts w:ascii="宋体" w:hAnsi="宋体" w:cs="宋体"/>
          <w:color w:val="auto"/>
          <w:sz w:val="24"/>
          <w:highlight w:val="none"/>
        </w:rPr>
      </w:pPr>
    </w:p>
    <w:p>
      <w:pPr>
        <w:pStyle w:val="29"/>
        <w:rPr>
          <w:rFonts w:ascii="宋体" w:hAnsi="宋体" w:cs="宋体"/>
          <w:color w:val="auto"/>
          <w:sz w:val="24"/>
          <w:highlight w:val="none"/>
        </w:rPr>
      </w:pPr>
    </w:p>
    <w:p>
      <w:pPr>
        <w:pStyle w:val="28"/>
        <w:rPr>
          <w:rFonts w:ascii="宋体" w:hAnsi="宋体" w:cs="宋体"/>
          <w:color w:val="auto"/>
          <w:sz w:val="24"/>
          <w:highlight w:val="none"/>
        </w:rPr>
      </w:pPr>
    </w:p>
    <w:p>
      <w:pPr>
        <w:pStyle w:val="29"/>
        <w:rPr>
          <w:color w:val="auto"/>
          <w:highlight w:val="none"/>
        </w:rPr>
      </w:pPr>
    </w:p>
    <w:p>
      <w:pPr>
        <w:pStyle w:val="28"/>
        <w:spacing w:line="360" w:lineRule="auto"/>
        <w:jc w:val="center"/>
        <w:rPr>
          <w:rFonts w:ascii="宋体" w:hAnsi="宋体" w:cs="宋体"/>
          <w:color w:val="auto"/>
          <w:sz w:val="24"/>
          <w:highlight w:val="none"/>
        </w:rPr>
      </w:pP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8"/>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8"/>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pPr>
        <w:pStyle w:val="32"/>
        <w:spacing w:line="460" w:lineRule="exact"/>
        <w:rPr>
          <w:color w:val="auto"/>
          <w:highlight w:val="none"/>
        </w:rPr>
      </w:pPr>
      <w:r>
        <w:rPr>
          <w:rFonts w:hint="eastAsia"/>
          <w:color w:val="auto"/>
          <w:highlight w:val="none"/>
        </w:rPr>
        <w:t>（1）</w:t>
      </w:r>
      <w:r>
        <w:rPr>
          <w:color w:val="auto"/>
          <w:highlight w:val="none"/>
        </w:rPr>
        <w:t>项目管理机构配备情况表；</w:t>
      </w:r>
    </w:p>
    <w:p>
      <w:pPr>
        <w:pStyle w:val="32"/>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32"/>
        <w:spacing w:line="460" w:lineRule="exact"/>
        <w:rPr>
          <w:color w:val="auto"/>
          <w:highlight w:val="none"/>
        </w:rPr>
      </w:pPr>
      <w:r>
        <w:rPr>
          <w:rFonts w:hint="eastAsia"/>
          <w:color w:val="auto"/>
          <w:highlight w:val="none"/>
        </w:rPr>
        <w:t>（3）</w:t>
      </w:r>
      <w:r>
        <w:rPr>
          <w:color w:val="auto"/>
          <w:highlight w:val="none"/>
        </w:rPr>
        <w:t>项目技术负责人简历表。</w:t>
      </w:r>
    </w:p>
    <w:p>
      <w:pPr>
        <w:pStyle w:val="32"/>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pPr>
        <w:spacing w:line="460" w:lineRule="exact"/>
        <w:ind w:firstLine="400" w:firstLineChars="200"/>
        <w:rPr>
          <w:color w:val="auto"/>
          <w:szCs w:val="28"/>
          <w:highlight w:val="none"/>
        </w:rPr>
      </w:pPr>
    </w:p>
    <w:p>
      <w:pPr>
        <w:pStyle w:val="27"/>
        <w:rPr>
          <w:color w:val="auto"/>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2"/>
        <w:rPr>
          <w:rFonts w:ascii="宋体" w:hAnsi="宋体" w:cs="宋体"/>
          <w:color w:val="auto"/>
          <w:sz w:val="36"/>
          <w:highlight w:val="none"/>
        </w:rPr>
      </w:pPr>
    </w:p>
    <w:p>
      <w:pPr>
        <w:rPr>
          <w:rFonts w:ascii="宋体" w:hAnsi="宋体" w:cs="宋体"/>
          <w:color w:val="auto"/>
          <w:sz w:val="36"/>
          <w:highlight w:val="none"/>
        </w:rPr>
      </w:pPr>
    </w:p>
    <w:p>
      <w:pPr>
        <w:pStyle w:val="2"/>
        <w:rPr>
          <w:rFonts w:ascii="宋体" w:hAnsi="宋体" w:cs="宋体"/>
          <w:color w:val="auto"/>
          <w:sz w:val="36"/>
          <w:highlight w:val="none"/>
        </w:rPr>
      </w:pPr>
    </w:p>
    <w:p>
      <w:pPr>
        <w:rPr>
          <w:rFonts w:ascii="宋体" w:hAnsi="宋体" w:cs="宋体"/>
          <w:color w:val="auto"/>
          <w:sz w:val="36"/>
          <w:highlight w:val="none"/>
        </w:rPr>
      </w:pPr>
    </w:p>
    <w:p>
      <w:pPr>
        <w:pStyle w:val="2"/>
        <w:rPr>
          <w:color w:val="auto"/>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pStyle w:val="2"/>
        <w:rPr>
          <w:color w:val="auto"/>
        </w:rPr>
      </w:pPr>
    </w:p>
    <w:p>
      <w:pPr>
        <w:rPr>
          <w:color w:val="auto"/>
          <w:sz w:val="21"/>
          <w:szCs w:val="21"/>
          <w:highlight w:val="none"/>
        </w:rPr>
      </w:pPr>
    </w:p>
    <w:p>
      <w:pPr>
        <w:pStyle w:val="27"/>
        <w:rPr>
          <w:color w:val="auto"/>
          <w:sz w:val="21"/>
          <w:szCs w:val="21"/>
          <w:highlight w:val="none"/>
        </w:rPr>
      </w:pPr>
    </w:p>
    <w:p>
      <w:pPr>
        <w:pStyle w:val="27"/>
        <w:rPr>
          <w:color w:val="auto"/>
          <w:sz w:val="21"/>
          <w:szCs w:val="21"/>
          <w:highlight w:val="none"/>
        </w:rPr>
      </w:pPr>
    </w:p>
    <w:p>
      <w:pPr>
        <w:pStyle w:val="27"/>
        <w:rPr>
          <w:color w:val="auto"/>
          <w:sz w:val="28"/>
          <w:szCs w:val="21"/>
          <w:highlight w:val="none"/>
        </w:rPr>
      </w:pPr>
    </w:p>
    <w:p>
      <w:pPr>
        <w:pStyle w:val="27"/>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docGrid w:linePitch="312" w:charSpace="0"/>
        </w:sectPr>
      </w:pPr>
    </w:p>
    <w:p>
      <w:pPr>
        <w:pStyle w:val="32"/>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pPr>
        <w:pStyle w:val="32"/>
        <w:jc w:val="center"/>
        <w:rPr>
          <w:b/>
          <w:color w:val="auto"/>
          <w:sz w:val="28"/>
          <w:szCs w:val="28"/>
          <w:highlight w:val="none"/>
        </w:rPr>
      </w:pPr>
      <w:bookmarkStart w:id="108" w:name="_Toc172364025"/>
      <w:bookmarkStart w:id="109" w:name="_Toc173579005"/>
      <w:bookmarkStart w:id="110" w:name="_Toc153274947"/>
      <w:bookmarkStart w:id="111" w:name="_Toc251052184"/>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8"/>
      <w:bookmarkEnd w:id="109"/>
      <w:bookmarkEnd w:id="110"/>
      <w:bookmarkEnd w:id="111"/>
    </w:p>
    <w:p>
      <w:pPr>
        <w:pStyle w:val="32"/>
        <w:rPr>
          <w:color w:val="auto"/>
          <w:sz w:val="22"/>
          <w:szCs w:val="22"/>
          <w:highlight w:val="none"/>
          <w:u w:val="single"/>
        </w:rPr>
      </w:pPr>
    </w:p>
    <w:p>
      <w:pPr>
        <w:pStyle w:val="32"/>
        <w:rPr>
          <w:color w:val="auto"/>
          <w:sz w:val="22"/>
          <w:szCs w:val="22"/>
          <w:highlight w:val="none"/>
        </w:rPr>
      </w:pPr>
      <w:bookmarkStart w:id="11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2"/>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pPr>
              <w:ind w:left="223" w:hanging="222" w:hangingChars="106"/>
              <w:jc w:val="center"/>
              <w:rPr>
                <w:color w:val="auto"/>
                <w:sz w:val="21"/>
                <w:szCs w:val="21"/>
                <w:highlight w:val="none"/>
              </w:rPr>
            </w:pPr>
            <w:bookmarkStart w:id="113" w:name="_Toc251052187"/>
            <w:r>
              <w:rPr>
                <w:color w:val="auto"/>
                <w:sz w:val="21"/>
                <w:szCs w:val="21"/>
                <w:highlight w:val="none"/>
              </w:rPr>
              <w:t>姓名</w:t>
            </w:r>
            <w:bookmarkEnd w:id="113"/>
          </w:p>
        </w:tc>
        <w:tc>
          <w:tcPr>
            <w:tcW w:w="816" w:type="dxa"/>
            <w:vMerge w:val="restart"/>
            <w:vAlign w:val="center"/>
          </w:tcPr>
          <w:p>
            <w:pPr>
              <w:ind w:left="223" w:hanging="222" w:hangingChars="106"/>
              <w:jc w:val="center"/>
              <w:rPr>
                <w:color w:val="auto"/>
                <w:sz w:val="21"/>
                <w:szCs w:val="21"/>
                <w:highlight w:val="none"/>
              </w:rPr>
            </w:pPr>
            <w:bookmarkStart w:id="114" w:name="_Toc251052188"/>
            <w:r>
              <w:rPr>
                <w:color w:val="auto"/>
                <w:sz w:val="21"/>
                <w:szCs w:val="21"/>
                <w:highlight w:val="none"/>
              </w:rPr>
              <w:t>职称</w:t>
            </w:r>
            <w:bookmarkEnd w:id="114"/>
          </w:p>
        </w:tc>
        <w:tc>
          <w:tcPr>
            <w:tcW w:w="4592" w:type="dxa"/>
            <w:gridSpan w:val="4"/>
            <w:vAlign w:val="center"/>
          </w:tcPr>
          <w:p>
            <w:pPr>
              <w:ind w:left="223" w:hanging="222" w:hangingChars="106"/>
              <w:jc w:val="center"/>
              <w:rPr>
                <w:color w:val="auto"/>
                <w:sz w:val="21"/>
                <w:szCs w:val="21"/>
                <w:highlight w:val="none"/>
              </w:rPr>
            </w:pPr>
            <w:bookmarkStart w:id="115" w:name="_Toc251052189"/>
            <w:r>
              <w:rPr>
                <w:color w:val="auto"/>
                <w:sz w:val="21"/>
                <w:szCs w:val="21"/>
                <w:highlight w:val="none"/>
              </w:rPr>
              <w:t>执业或职业资格证明</w:t>
            </w:r>
            <w:bookmarkEnd w:id="115"/>
          </w:p>
        </w:tc>
        <w:tc>
          <w:tcPr>
            <w:tcW w:w="2126" w:type="dxa"/>
            <w:gridSpan w:val="2"/>
            <w:vAlign w:val="center"/>
          </w:tcPr>
          <w:p>
            <w:pPr>
              <w:ind w:left="223" w:hanging="222" w:hangingChars="106"/>
              <w:jc w:val="center"/>
              <w:rPr>
                <w:color w:val="auto"/>
                <w:sz w:val="21"/>
                <w:szCs w:val="21"/>
                <w:highlight w:val="none"/>
              </w:rPr>
            </w:pPr>
            <w:bookmarkStart w:id="116" w:name="_Toc251052190"/>
            <w:r>
              <w:rPr>
                <w:color w:val="auto"/>
                <w:sz w:val="21"/>
                <w:szCs w:val="21"/>
                <w:highlight w:val="none"/>
              </w:rPr>
              <w:t>承担完工</w:t>
            </w:r>
            <w:bookmarkEnd w:id="116"/>
            <w:bookmarkStart w:id="117" w:name="_Toc251052191"/>
            <w:r>
              <w:rPr>
                <w:color w:val="auto"/>
                <w:sz w:val="21"/>
                <w:szCs w:val="21"/>
                <w:highlight w:val="none"/>
              </w:rPr>
              <w:t>工程情况</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118" w:name="_Toc251052192"/>
            <w:r>
              <w:rPr>
                <w:color w:val="auto"/>
                <w:sz w:val="21"/>
                <w:szCs w:val="21"/>
                <w:highlight w:val="none"/>
              </w:rPr>
              <w:t>证书名称</w:t>
            </w:r>
            <w:bookmarkEnd w:id="118"/>
          </w:p>
        </w:tc>
        <w:tc>
          <w:tcPr>
            <w:tcW w:w="1148" w:type="dxa"/>
            <w:vAlign w:val="center"/>
          </w:tcPr>
          <w:p>
            <w:pPr>
              <w:ind w:left="223" w:hanging="222" w:hangingChars="106"/>
              <w:jc w:val="center"/>
              <w:rPr>
                <w:color w:val="auto"/>
                <w:sz w:val="21"/>
                <w:szCs w:val="21"/>
                <w:highlight w:val="none"/>
              </w:rPr>
            </w:pPr>
            <w:bookmarkStart w:id="119" w:name="_Toc251052193"/>
            <w:r>
              <w:rPr>
                <w:color w:val="auto"/>
                <w:sz w:val="21"/>
                <w:szCs w:val="21"/>
                <w:highlight w:val="none"/>
              </w:rPr>
              <w:t>级别</w:t>
            </w:r>
            <w:bookmarkEnd w:id="119"/>
          </w:p>
        </w:tc>
        <w:tc>
          <w:tcPr>
            <w:tcW w:w="1148" w:type="dxa"/>
            <w:vAlign w:val="center"/>
          </w:tcPr>
          <w:p>
            <w:pPr>
              <w:ind w:left="223" w:hanging="222" w:hangingChars="106"/>
              <w:jc w:val="center"/>
              <w:rPr>
                <w:color w:val="auto"/>
                <w:sz w:val="21"/>
                <w:szCs w:val="21"/>
                <w:highlight w:val="none"/>
              </w:rPr>
            </w:pPr>
            <w:bookmarkStart w:id="120" w:name="_Toc251052194"/>
            <w:r>
              <w:rPr>
                <w:color w:val="auto"/>
                <w:sz w:val="21"/>
                <w:szCs w:val="21"/>
                <w:highlight w:val="none"/>
              </w:rPr>
              <w:t>证号</w:t>
            </w:r>
            <w:bookmarkEnd w:id="120"/>
          </w:p>
        </w:tc>
        <w:tc>
          <w:tcPr>
            <w:tcW w:w="1148" w:type="dxa"/>
            <w:vAlign w:val="center"/>
          </w:tcPr>
          <w:p>
            <w:pPr>
              <w:ind w:left="223" w:hanging="222" w:hangingChars="106"/>
              <w:jc w:val="center"/>
              <w:rPr>
                <w:color w:val="auto"/>
                <w:sz w:val="21"/>
                <w:szCs w:val="21"/>
                <w:highlight w:val="none"/>
              </w:rPr>
            </w:pPr>
            <w:bookmarkStart w:id="121" w:name="_Toc251052195"/>
            <w:r>
              <w:rPr>
                <w:color w:val="auto"/>
                <w:sz w:val="21"/>
                <w:szCs w:val="21"/>
                <w:highlight w:val="none"/>
              </w:rPr>
              <w:t>专业</w:t>
            </w:r>
            <w:bookmarkEnd w:id="121"/>
          </w:p>
        </w:tc>
        <w:tc>
          <w:tcPr>
            <w:tcW w:w="850" w:type="dxa"/>
            <w:vAlign w:val="center"/>
          </w:tcPr>
          <w:p>
            <w:pPr>
              <w:ind w:left="223" w:hanging="222" w:hangingChars="106"/>
              <w:jc w:val="center"/>
              <w:rPr>
                <w:color w:val="auto"/>
                <w:sz w:val="21"/>
                <w:szCs w:val="21"/>
                <w:highlight w:val="none"/>
              </w:rPr>
            </w:pPr>
            <w:bookmarkStart w:id="122" w:name="_Toc251052197"/>
            <w:r>
              <w:rPr>
                <w:color w:val="auto"/>
                <w:sz w:val="21"/>
                <w:szCs w:val="21"/>
                <w:highlight w:val="none"/>
              </w:rPr>
              <w:t>项目数</w:t>
            </w:r>
            <w:bookmarkEnd w:id="122"/>
          </w:p>
        </w:tc>
        <w:tc>
          <w:tcPr>
            <w:tcW w:w="1276" w:type="dxa"/>
            <w:vAlign w:val="center"/>
          </w:tcPr>
          <w:p>
            <w:pPr>
              <w:ind w:left="223" w:hanging="222" w:hangingChars="106"/>
              <w:jc w:val="center"/>
              <w:rPr>
                <w:color w:val="auto"/>
                <w:sz w:val="21"/>
                <w:szCs w:val="21"/>
                <w:highlight w:val="none"/>
              </w:rPr>
            </w:pPr>
            <w:bookmarkStart w:id="123"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pStyle w:val="36"/>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2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4"/>
          </w:p>
        </w:tc>
      </w:tr>
    </w:tbl>
    <w:p>
      <w:pPr>
        <w:tabs>
          <w:tab w:val="left" w:pos="0"/>
        </w:tabs>
        <w:spacing w:line="360" w:lineRule="auto"/>
        <w:ind w:right="-210"/>
        <w:rPr>
          <w:color w:val="auto"/>
          <w:sz w:val="21"/>
          <w:szCs w:val="21"/>
          <w:highlight w:val="none"/>
        </w:rPr>
      </w:pPr>
    </w:p>
    <w:p>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pPr>
        <w:pStyle w:val="32"/>
        <w:jc w:val="center"/>
        <w:outlineLvl w:val="0"/>
        <w:rPr>
          <w:b/>
          <w:color w:val="auto"/>
          <w:sz w:val="24"/>
          <w:highlight w:val="none"/>
        </w:rPr>
      </w:pPr>
      <w:bookmarkStart w:id="125" w:name="_Toc389065364"/>
      <w:bookmarkStart w:id="126" w:name="_Toc153274948"/>
      <w:bookmarkStart w:id="127" w:name="_Toc251052200"/>
      <w:bookmarkStart w:id="128" w:name="_Toc172364026"/>
      <w:bookmarkStart w:id="129" w:name="_Toc7001"/>
      <w:bookmarkStart w:id="130" w:name="_Toc173579006"/>
      <w:r>
        <w:rPr>
          <w:b/>
          <w:color w:val="auto"/>
          <w:sz w:val="24"/>
          <w:highlight w:val="none"/>
        </w:rPr>
        <w:t>2、项目经理（注册建造师）简历表</w:t>
      </w:r>
      <w:bookmarkEnd w:id="125"/>
      <w:bookmarkEnd w:id="126"/>
      <w:bookmarkEnd w:id="127"/>
      <w:bookmarkEnd w:id="128"/>
      <w:bookmarkEnd w:id="129"/>
      <w:bookmarkEnd w:id="130"/>
    </w:p>
    <w:p>
      <w:pPr>
        <w:pStyle w:val="32"/>
        <w:rPr>
          <w:color w:val="auto"/>
          <w:sz w:val="22"/>
          <w:szCs w:val="22"/>
          <w:highlight w:val="none"/>
          <w:u w:val="single"/>
        </w:rPr>
      </w:pPr>
    </w:p>
    <w:p>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pPr>
        <w:spacing w:line="360" w:lineRule="auto"/>
        <w:ind w:firstLine="500" w:firstLineChars="250"/>
        <w:rPr>
          <w:color w:val="auto"/>
          <w:highlight w:val="none"/>
        </w:rPr>
      </w:pPr>
    </w:p>
    <w:p>
      <w:pPr>
        <w:pStyle w:val="32"/>
        <w:jc w:val="center"/>
        <w:outlineLvl w:val="0"/>
        <w:rPr>
          <w:b/>
          <w:color w:val="auto"/>
          <w:sz w:val="24"/>
          <w:highlight w:val="none"/>
        </w:rPr>
      </w:pPr>
      <w:bookmarkStart w:id="131" w:name="_Toc153274949"/>
      <w:bookmarkStart w:id="132" w:name="_Toc8504"/>
      <w:bookmarkStart w:id="133" w:name="_Toc173579007"/>
      <w:bookmarkStart w:id="134" w:name="_Toc251052219"/>
      <w:bookmarkStart w:id="135" w:name="_Toc389065365"/>
      <w:bookmarkStart w:id="136" w:name="_Toc172364027"/>
      <w:r>
        <w:rPr>
          <w:rFonts w:hint="eastAsia"/>
          <w:b/>
          <w:color w:val="auto"/>
          <w:sz w:val="24"/>
          <w:highlight w:val="none"/>
          <w:lang w:val="en-US" w:eastAsia="zh-CN"/>
        </w:rPr>
        <w:t>三</w:t>
      </w:r>
      <w:r>
        <w:rPr>
          <w:b/>
          <w:color w:val="auto"/>
          <w:sz w:val="24"/>
          <w:highlight w:val="none"/>
        </w:rPr>
        <w:t>、项目技术负责人简历表</w:t>
      </w:r>
      <w:bookmarkEnd w:id="131"/>
      <w:bookmarkEnd w:id="132"/>
      <w:bookmarkEnd w:id="133"/>
      <w:bookmarkEnd w:id="134"/>
      <w:bookmarkEnd w:id="135"/>
      <w:bookmarkEnd w:id="136"/>
    </w:p>
    <w:p>
      <w:pPr>
        <w:pStyle w:val="32"/>
        <w:rPr>
          <w:color w:val="auto"/>
          <w:highlight w:val="none"/>
          <w:u w:val="single"/>
        </w:rPr>
      </w:pPr>
    </w:p>
    <w:p>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eastAsia="楷体_GB2312"/>
          <w:color w:val="auto"/>
          <w:sz w:val="21"/>
          <w:szCs w:val="21"/>
          <w:highlight w:val="none"/>
        </w:rPr>
      </w:pPr>
      <w:r>
        <w:rPr>
          <w:rFonts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28"/>
        <w:spacing w:line="360" w:lineRule="auto"/>
        <w:rPr>
          <w:rFonts w:ascii="宋体" w:hAnsi="宋体"/>
          <w:b/>
          <w:color w:val="auto"/>
          <w:sz w:val="32"/>
          <w:szCs w:val="32"/>
          <w:highlight w:val="none"/>
        </w:rPr>
      </w:pPr>
    </w:p>
    <w:p>
      <w:pPr>
        <w:pStyle w:val="28"/>
        <w:spacing w:line="360" w:lineRule="auto"/>
        <w:jc w:val="center"/>
        <w:rPr>
          <w:rFonts w:ascii="宋体" w:hAnsi="宋体"/>
          <w:b/>
          <w:color w:val="auto"/>
          <w:sz w:val="32"/>
          <w:szCs w:val="32"/>
          <w:highlight w:val="none"/>
        </w:rPr>
      </w:pPr>
    </w:p>
    <w:p>
      <w:pPr>
        <w:pStyle w:val="29"/>
        <w:rPr>
          <w:rFonts w:ascii="宋体" w:hAnsi="宋体"/>
          <w:b/>
          <w:color w:val="auto"/>
          <w:sz w:val="32"/>
          <w:szCs w:val="32"/>
          <w:highlight w:val="none"/>
        </w:rPr>
      </w:pPr>
    </w:p>
    <w:p>
      <w:pPr>
        <w:pStyle w:val="28"/>
        <w:rPr>
          <w:rFonts w:ascii="宋体" w:hAnsi="宋体"/>
          <w:b/>
          <w:color w:val="auto"/>
          <w:sz w:val="28"/>
          <w:szCs w:val="28"/>
          <w:highlight w:val="none"/>
        </w:rPr>
      </w:pPr>
    </w:p>
    <w:p>
      <w:pPr>
        <w:pStyle w:val="28"/>
        <w:rPr>
          <w:rFonts w:ascii="宋体" w:hAnsi="宋体"/>
          <w:b/>
          <w:color w:val="auto"/>
          <w:sz w:val="28"/>
          <w:szCs w:val="28"/>
          <w:highlight w:val="none"/>
        </w:rPr>
      </w:pPr>
    </w:p>
    <w:p>
      <w:pPr>
        <w:pStyle w:val="29"/>
        <w:rPr>
          <w:color w:val="auto"/>
          <w:highlight w:val="none"/>
        </w:rPr>
      </w:pPr>
    </w:p>
    <w:p>
      <w:pPr>
        <w:pStyle w:val="2"/>
        <w:rPr>
          <w:color w:val="auto"/>
          <w:highlight w:val="none"/>
        </w:rPr>
      </w:pPr>
    </w:p>
    <w:p>
      <w:pPr>
        <w:spacing w:line="360" w:lineRule="auto"/>
        <w:jc w:val="center"/>
        <w:outlineLvl w:val="0"/>
        <w:rPr>
          <w:rFonts w:ascii="宋体" w:hAnsi="宋体"/>
          <w:b/>
          <w:color w:val="auto"/>
          <w:sz w:val="36"/>
          <w:highlight w:val="none"/>
        </w:rPr>
      </w:pPr>
      <w:bookmarkStart w:id="13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7"/>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highlight w:val="none"/>
        </w:rPr>
      </w:pPr>
      <w:bookmarkStart w:id="138" w:name="_Toc514759061"/>
      <w:bookmarkStart w:id="139" w:name="_Toc517163148"/>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color w:val="auto"/>
        </w:rPr>
      </w:pPr>
    </w:p>
    <w:p>
      <w:pPr>
        <w:pStyle w:val="14"/>
        <w:rPr>
          <w:rFonts w:hint="eastAsia" w:ascii="宋体" w:hAnsi="宋体" w:cs="宋体"/>
          <w:color w:val="auto"/>
          <w:highlight w:val="none"/>
        </w:rPr>
      </w:pPr>
    </w:p>
    <w:p>
      <w:pPr>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27"/>
        <w:rPr>
          <w:rFonts w:hint="eastAsia" w:ascii="宋体" w:hAnsi="宋体" w:cs="宋体"/>
          <w:color w:val="auto"/>
          <w:highlight w:val="none"/>
        </w:rPr>
      </w:pPr>
    </w:p>
    <w:p>
      <w:pPr>
        <w:pStyle w:val="14"/>
        <w:rPr>
          <w:rFonts w:hint="eastAsia"/>
          <w:color w:val="auto"/>
          <w:highlight w:val="none"/>
        </w:rPr>
      </w:pPr>
    </w:p>
    <w:bookmarkEnd w:id="138"/>
    <w:bookmarkEnd w:id="139"/>
    <w:p>
      <w:pPr>
        <w:jc w:val="center"/>
        <w:rPr>
          <w:rFonts w:hint="eastAsia" w:ascii="宋体" w:hAnsi="宋体" w:eastAsia="宋体" w:cs="宋体"/>
          <w:color w:val="auto"/>
          <w:w w:val="90"/>
          <w:sz w:val="21"/>
          <w:szCs w:val="21"/>
          <w:highlight w:val="none"/>
        </w:rPr>
      </w:pPr>
      <w:r>
        <w:rPr>
          <w:rFonts w:hint="eastAsia" w:ascii="宋体" w:hAnsi="宋体" w:eastAsia="宋体" w:cs="宋体"/>
          <w:color w:val="auto"/>
          <w:w w:val="90"/>
          <w:sz w:val="32"/>
          <w:szCs w:val="32"/>
          <w:highlight w:val="none"/>
          <w:u w:val="single"/>
          <w:lang w:eastAsia="zh-CN"/>
        </w:rPr>
        <w:t>天等县202</w:t>
      </w:r>
      <w:r>
        <w:rPr>
          <w:rFonts w:hint="eastAsia" w:ascii="宋体" w:hAnsi="宋体" w:cs="宋体"/>
          <w:color w:val="auto"/>
          <w:w w:val="90"/>
          <w:sz w:val="32"/>
          <w:szCs w:val="32"/>
          <w:highlight w:val="none"/>
          <w:u w:val="single"/>
          <w:lang w:val="en-US" w:eastAsia="zh-CN"/>
        </w:rPr>
        <w:t>4</w:t>
      </w:r>
      <w:r>
        <w:rPr>
          <w:rFonts w:hint="eastAsia" w:ascii="宋体" w:hAnsi="宋体" w:eastAsia="宋体" w:cs="宋体"/>
          <w:color w:val="auto"/>
          <w:w w:val="90"/>
          <w:sz w:val="32"/>
          <w:szCs w:val="32"/>
          <w:highlight w:val="none"/>
          <w:u w:val="single"/>
          <w:lang w:eastAsia="zh-CN"/>
        </w:rPr>
        <w:t>年衔接资金建设项目</w:t>
      </w:r>
    </w:p>
    <w:p>
      <w:pPr>
        <w:jc w:val="center"/>
        <w:rPr>
          <w:rFonts w:hint="eastAsia" w:ascii="宋体" w:hAnsi="宋体" w:eastAsia="宋体" w:cs="宋体"/>
          <w:color w:val="auto"/>
          <w:w w:val="90"/>
          <w:sz w:val="21"/>
          <w:szCs w:val="21"/>
          <w:highlight w:val="none"/>
        </w:rPr>
      </w:pPr>
    </w:p>
    <w:p>
      <w:pPr>
        <w:jc w:val="center"/>
        <w:rPr>
          <w:rFonts w:hint="eastAsia" w:ascii="宋体" w:hAnsi="宋体" w:eastAsia="宋体" w:cs="宋体"/>
          <w:b/>
          <w:color w:val="auto"/>
          <w:w w:val="90"/>
          <w:sz w:val="52"/>
          <w:szCs w:val="52"/>
          <w:highlight w:val="none"/>
        </w:rPr>
      </w:pPr>
    </w:p>
    <w:p>
      <w:pPr>
        <w:jc w:val="center"/>
        <w:rPr>
          <w:rFonts w:hint="eastAsia" w:ascii="宋体" w:hAnsi="宋体" w:eastAsia="宋体" w:cs="宋体"/>
          <w:b/>
          <w:color w:val="auto"/>
          <w:w w:val="90"/>
          <w:sz w:val="52"/>
          <w:szCs w:val="52"/>
          <w:highlight w:val="none"/>
        </w:rPr>
      </w:pPr>
      <w:r>
        <w:rPr>
          <w:rFonts w:hint="eastAsia" w:ascii="宋体" w:hAnsi="宋体" w:eastAsia="宋体" w:cs="宋体"/>
          <w:b/>
          <w:color w:val="auto"/>
          <w:w w:val="90"/>
          <w:sz w:val="52"/>
          <w:szCs w:val="52"/>
          <w:highlight w:val="none"/>
        </w:rPr>
        <w:t>施工合同文件</w:t>
      </w:r>
    </w:p>
    <w:p>
      <w:pPr>
        <w:pStyle w:val="6"/>
        <w:rPr>
          <w:rFonts w:hint="eastAsia" w:ascii="宋体" w:hAnsi="宋体" w:eastAsia="宋体" w:cs="宋体"/>
          <w:b/>
          <w:color w:val="auto"/>
          <w:w w:val="90"/>
          <w:sz w:val="52"/>
          <w:szCs w:val="52"/>
          <w:highlight w:val="none"/>
        </w:rPr>
      </w:pPr>
    </w:p>
    <w:p>
      <w:pPr>
        <w:rPr>
          <w:rFonts w:hint="eastAsia"/>
          <w:color w:val="auto"/>
        </w:rPr>
      </w:pPr>
    </w:p>
    <w:p>
      <w:pPr>
        <w:jc w:val="center"/>
        <w:rPr>
          <w:rFonts w:hint="eastAsia" w:ascii="宋体" w:hAnsi="宋体" w:eastAsia="宋体" w:cs="宋体"/>
          <w:color w:val="auto"/>
          <w:w w:val="90"/>
          <w:sz w:val="21"/>
          <w:szCs w:val="21"/>
          <w:highlight w:val="none"/>
        </w:rPr>
      </w:pPr>
    </w:p>
    <w:p>
      <w:pPr>
        <w:jc w:val="center"/>
        <w:rPr>
          <w:rFonts w:hint="eastAsia" w:ascii="宋体" w:hAnsi="宋体" w:eastAsia="宋体" w:cs="宋体"/>
          <w:b/>
          <w:bCs/>
          <w:color w:val="auto"/>
          <w:w w:val="90"/>
          <w:sz w:val="40"/>
          <w:szCs w:val="40"/>
          <w:highlight w:val="none"/>
          <w:lang w:val="en-US" w:eastAsia="zh-CN"/>
        </w:rPr>
      </w:pPr>
      <w:r>
        <w:rPr>
          <w:rFonts w:hint="eastAsia" w:ascii="宋体" w:hAnsi="宋体" w:eastAsia="宋体" w:cs="宋体"/>
          <w:b/>
          <w:bCs/>
          <w:color w:val="auto"/>
          <w:w w:val="90"/>
          <w:sz w:val="40"/>
          <w:szCs w:val="40"/>
          <w:highlight w:val="none"/>
          <w:lang w:val="en-US" w:eastAsia="zh-CN"/>
        </w:rPr>
        <w:t>天民宗施合同【202</w:t>
      </w:r>
      <w:r>
        <w:rPr>
          <w:rFonts w:hint="eastAsia" w:ascii="宋体" w:hAnsi="宋体" w:cs="宋体"/>
          <w:b/>
          <w:bCs/>
          <w:color w:val="auto"/>
          <w:w w:val="90"/>
          <w:sz w:val="40"/>
          <w:szCs w:val="40"/>
          <w:highlight w:val="none"/>
          <w:lang w:val="en-US" w:eastAsia="zh-CN"/>
        </w:rPr>
        <w:t>4</w:t>
      </w:r>
      <w:r>
        <w:rPr>
          <w:rFonts w:hint="eastAsia" w:ascii="宋体" w:hAnsi="宋体" w:eastAsia="宋体" w:cs="宋体"/>
          <w:b/>
          <w:bCs/>
          <w:color w:val="auto"/>
          <w:w w:val="90"/>
          <w:sz w:val="40"/>
          <w:szCs w:val="40"/>
          <w:highlight w:val="none"/>
          <w:lang w:val="en-US" w:eastAsia="zh-CN"/>
        </w:rPr>
        <w:t>】</w:t>
      </w:r>
      <w:r>
        <w:rPr>
          <w:rFonts w:hint="eastAsia" w:ascii="宋体" w:hAnsi="宋体" w:eastAsia="宋体" w:cs="宋体"/>
          <w:b/>
          <w:bCs/>
          <w:color w:val="auto"/>
          <w:w w:val="90"/>
          <w:sz w:val="40"/>
          <w:szCs w:val="40"/>
          <w:highlight w:val="none"/>
          <w:u w:val="single"/>
          <w:lang w:val="en-US" w:eastAsia="zh-CN"/>
        </w:rPr>
        <w:t xml:space="preserve">  </w:t>
      </w:r>
      <w:r>
        <w:rPr>
          <w:rFonts w:hint="eastAsia" w:ascii="宋体" w:hAnsi="宋体" w:eastAsia="宋体" w:cs="宋体"/>
          <w:b/>
          <w:bCs/>
          <w:color w:val="auto"/>
          <w:w w:val="90"/>
          <w:sz w:val="40"/>
          <w:szCs w:val="40"/>
          <w:highlight w:val="none"/>
          <w:lang w:val="en-US" w:eastAsia="zh-CN"/>
        </w:rPr>
        <w:t>号</w:t>
      </w:r>
    </w:p>
    <w:p>
      <w:pPr>
        <w:jc w:val="center"/>
        <w:rPr>
          <w:rFonts w:hint="eastAsia" w:ascii="宋体" w:hAnsi="宋体" w:eastAsia="宋体" w:cs="宋体"/>
          <w:color w:val="auto"/>
          <w:w w:val="90"/>
          <w:sz w:val="21"/>
          <w:szCs w:val="21"/>
          <w:highlight w:val="none"/>
        </w:rPr>
      </w:pPr>
    </w:p>
    <w:p>
      <w:pPr>
        <w:jc w:val="center"/>
        <w:rPr>
          <w:rFonts w:hint="eastAsia" w:ascii="宋体" w:hAnsi="宋体" w:eastAsia="宋体" w:cs="宋体"/>
          <w:color w:val="auto"/>
          <w:w w:val="90"/>
          <w:sz w:val="21"/>
          <w:szCs w:val="21"/>
          <w:highlight w:val="none"/>
        </w:rPr>
      </w:pPr>
    </w:p>
    <w:p>
      <w:pPr>
        <w:jc w:val="center"/>
        <w:rPr>
          <w:rFonts w:hint="eastAsia" w:ascii="宋体" w:hAnsi="宋体" w:eastAsia="宋体" w:cs="宋体"/>
          <w:color w:val="auto"/>
          <w:w w:val="90"/>
          <w:sz w:val="21"/>
          <w:szCs w:val="21"/>
          <w:highlight w:val="none"/>
        </w:rPr>
      </w:pPr>
    </w:p>
    <w:p>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pPr>
        <w:pStyle w:val="6"/>
        <w:rPr>
          <w:rFonts w:hint="eastAsia" w:ascii="宋体" w:hAnsi="宋体" w:eastAsia="宋体" w:cs="宋体"/>
          <w:color w:val="auto"/>
          <w:w w:val="90"/>
          <w:sz w:val="22"/>
          <w:szCs w:val="22"/>
          <w:highlight w:val="none"/>
          <w:lang w:val="en-US" w:eastAsia="zh-CN"/>
        </w:rPr>
      </w:pPr>
    </w:p>
    <w:p>
      <w:pPr>
        <w:rPr>
          <w:rFonts w:hint="eastAsia" w:ascii="宋体" w:hAnsi="宋体" w:eastAsia="宋体" w:cs="宋体"/>
          <w:color w:val="auto"/>
          <w:w w:val="90"/>
          <w:sz w:val="22"/>
          <w:szCs w:val="22"/>
          <w:highlight w:val="none"/>
          <w:lang w:val="en-US" w:eastAsia="zh-CN"/>
        </w:rPr>
      </w:pPr>
    </w:p>
    <w:p>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pPr>
        <w:autoSpaceDE w:val="0"/>
        <w:autoSpaceDN w:val="0"/>
        <w:adjustRightInd w:val="0"/>
        <w:spacing w:line="600" w:lineRule="auto"/>
        <w:ind w:firstLine="759" w:firstLineChars="300"/>
        <w:jc w:val="both"/>
        <w:rPr>
          <w:rFonts w:hint="eastAsia" w:ascii="宋体" w:hAnsi="宋体" w:eastAsia="宋体" w:cs="宋体"/>
          <w:b/>
          <w:bCs/>
          <w:color w:val="auto"/>
          <w:w w:val="90"/>
          <w:sz w:val="28"/>
          <w:szCs w:val="28"/>
          <w:highlight w:val="none"/>
          <w:u w:val="single"/>
          <w:lang w:val="en-US" w:eastAsia="zh-CN"/>
        </w:rPr>
      </w:pPr>
      <w:r>
        <w:rPr>
          <w:rFonts w:hint="eastAsia" w:ascii="宋体" w:hAnsi="宋体" w:eastAsia="宋体" w:cs="宋体"/>
          <w:b/>
          <w:bCs/>
          <w:color w:val="auto"/>
          <w:w w:val="90"/>
          <w:sz w:val="28"/>
          <w:szCs w:val="28"/>
          <w:highlight w:val="none"/>
          <w:lang w:val="en-US" w:eastAsia="zh-CN"/>
        </w:rPr>
        <w:t>项目名称：</w:t>
      </w:r>
      <w:r>
        <w:rPr>
          <w:rFonts w:hint="eastAsia" w:ascii="宋体" w:hAnsi="宋体" w:cs="宋体"/>
          <w:b/>
          <w:bCs/>
          <w:color w:val="auto"/>
          <w:w w:val="90"/>
          <w:sz w:val="28"/>
          <w:szCs w:val="28"/>
          <w:highlight w:val="none"/>
          <w:u w:val="single"/>
          <w:lang w:val="en-US" w:eastAsia="zh-CN"/>
        </w:rPr>
        <w:t>天等县进结镇进结社区洞宁养殖小区产业基地配套项目</w:t>
      </w:r>
      <w:r>
        <w:rPr>
          <w:rFonts w:hint="eastAsia" w:ascii="宋体" w:hAnsi="宋体" w:eastAsia="宋体" w:cs="宋体"/>
          <w:b/>
          <w:bCs/>
          <w:color w:val="auto"/>
          <w:w w:val="90"/>
          <w:sz w:val="28"/>
          <w:szCs w:val="28"/>
          <w:highlight w:val="none"/>
          <w:u w:val="single"/>
          <w:lang w:val="en-US" w:eastAsia="zh-CN"/>
        </w:rPr>
        <w:t xml:space="preserve"> </w:t>
      </w:r>
    </w:p>
    <w:p>
      <w:pPr>
        <w:spacing w:line="600" w:lineRule="auto"/>
        <w:ind w:firstLine="759" w:firstLineChars="300"/>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rPr>
        <w:t>发</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包</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人：天等县民族宗教服务中心</w:t>
      </w:r>
    </w:p>
    <w:p>
      <w:pPr>
        <w:spacing w:line="600" w:lineRule="auto"/>
        <w:ind w:firstLine="759" w:firstLineChars="300"/>
        <w:rPr>
          <w:rFonts w:hint="eastAsia" w:ascii="宋体" w:hAnsi="宋体" w:eastAsia="宋体" w:cs="宋体"/>
          <w:b/>
          <w:bCs/>
          <w:color w:val="auto"/>
          <w:w w:val="90"/>
          <w:sz w:val="28"/>
          <w:szCs w:val="28"/>
          <w:highlight w:val="none"/>
          <w:lang w:val="en-US" w:eastAsia="zh-CN"/>
        </w:rPr>
      </w:pPr>
      <w:r>
        <w:rPr>
          <w:rFonts w:hint="eastAsia" w:ascii="宋体" w:hAnsi="宋体" w:eastAsia="宋体" w:cs="宋体"/>
          <w:b/>
          <w:bCs/>
          <w:color w:val="auto"/>
          <w:w w:val="90"/>
          <w:sz w:val="28"/>
          <w:szCs w:val="28"/>
          <w:highlight w:val="none"/>
        </w:rPr>
        <w:t>承</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包</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人：</w:t>
      </w:r>
      <w:r>
        <w:rPr>
          <w:rFonts w:hint="eastAsia" w:ascii="宋体" w:hAnsi="宋体" w:eastAsia="宋体" w:cs="宋体"/>
          <w:b/>
          <w:bCs/>
          <w:color w:val="auto"/>
          <w:w w:val="90"/>
          <w:sz w:val="28"/>
          <w:szCs w:val="28"/>
          <w:highlight w:val="none"/>
          <w:lang w:val="en-US" w:eastAsia="zh-CN"/>
        </w:rPr>
        <w:t xml:space="preserve">     </w:t>
      </w:r>
    </w:p>
    <w:p>
      <w:pPr>
        <w:spacing w:line="600" w:lineRule="auto"/>
        <w:ind w:firstLine="759" w:firstLineChars="300"/>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28"/>
          <w:szCs w:val="28"/>
          <w:highlight w:val="none"/>
        </w:rPr>
        <w:t xml:space="preserve">日  </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期：</w:t>
      </w:r>
      <w:r>
        <w:rPr>
          <w:rFonts w:hint="eastAsia" w:ascii="宋体" w:hAnsi="宋体" w:eastAsia="宋体" w:cs="宋体"/>
          <w:b/>
          <w:bCs/>
          <w:color w:val="auto"/>
          <w:w w:val="90"/>
          <w:sz w:val="28"/>
          <w:szCs w:val="28"/>
          <w:highlight w:val="none"/>
          <w:lang w:val="en-US" w:eastAsia="zh-CN"/>
        </w:rPr>
        <w:t>202</w:t>
      </w:r>
      <w:r>
        <w:rPr>
          <w:rFonts w:hint="eastAsia" w:ascii="宋体" w:hAnsi="宋体" w:cs="宋体"/>
          <w:b/>
          <w:bCs/>
          <w:color w:val="auto"/>
          <w:w w:val="90"/>
          <w:sz w:val="28"/>
          <w:szCs w:val="28"/>
          <w:highlight w:val="none"/>
          <w:lang w:val="en-US" w:eastAsia="zh-CN"/>
        </w:rPr>
        <w:t>4</w:t>
      </w:r>
      <w:r>
        <w:rPr>
          <w:rFonts w:hint="eastAsia" w:ascii="宋体" w:hAnsi="宋体" w:eastAsia="宋体" w:cs="宋体"/>
          <w:b/>
          <w:bCs/>
          <w:color w:val="auto"/>
          <w:w w:val="90"/>
          <w:sz w:val="28"/>
          <w:szCs w:val="28"/>
          <w:highlight w:val="none"/>
        </w:rPr>
        <w:t>年</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月</w:t>
      </w:r>
      <w:r>
        <w:rPr>
          <w:rFonts w:hint="eastAsia" w:ascii="宋体" w:hAnsi="宋体" w:eastAsia="宋体" w:cs="宋体"/>
          <w:b/>
          <w:bCs/>
          <w:color w:val="auto"/>
          <w:w w:val="90"/>
          <w:sz w:val="28"/>
          <w:szCs w:val="28"/>
          <w:highlight w:val="none"/>
          <w:lang w:val="en-US" w:eastAsia="zh-CN"/>
        </w:rPr>
        <w:t xml:space="preserve">  </w:t>
      </w:r>
      <w:r>
        <w:rPr>
          <w:rFonts w:hint="eastAsia" w:ascii="宋体" w:hAnsi="宋体" w:eastAsia="宋体" w:cs="宋体"/>
          <w:b/>
          <w:bCs/>
          <w:color w:val="auto"/>
          <w:w w:val="90"/>
          <w:sz w:val="28"/>
          <w:szCs w:val="28"/>
          <w:highlight w:val="none"/>
        </w:rPr>
        <w:t>日</w:t>
      </w:r>
    </w:p>
    <w:p>
      <w:pPr>
        <w:rPr>
          <w:rFonts w:hint="eastAsia" w:ascii="宋体" w:hAnsi="宋体" w:eastAsia="宋体" w:cs="宋体"/>
          <w:color w:val="auto"/>
          <w:w w:val="90"/>
          <w:sz w:val="15"/>
          <w:szCs w:val="15"/>
          <w:highlight w:val="none"/>
        </w:rPr>
      </w:pPr>
    </w:p>
    <w:p>
      <w:pPr>
        <w:jc w:val="center"/>
        <w:rPr>
          <w:rFonts w:hint="eastAsia" w:ascii="宋体" w:hAnsi="宋体" w:eastAsia="宋体" w:cs="宋体"/>
          <w:b/>
          <w:color w:val="auto"/>
          <w:w w:val="90"/>
          <w:sz w:val="32"/>
          <w:szCs w:val="32"/>
          <w:highlight w:val="none"/>
        </w:rPr>
        <w:sectPr>
          <w:headerReference r:id="rId10" w:type="default"/>
          <w:footerReference r:id="rId11" w:type="default"/>
          <w:pgSz w:w="11906" w:h="16838"/>
          <w:pgMar w:top="1134" w:right="1134" w:bottom="1134" w:left="1418" w:header="851" w:footer="992" w:gutter="0"/>
          <w:pgNumType w:fmt="decimal"/>
          <w:cols w:space="720" w:num="1"/>
          <w:docGrid w:type="lines" w:linePitch="312" w:charSpace="0"/>
        </w:sectPr>
      </w:pPr>
    </w:p>
    <w:p>
      <w:pPr>
        <w:jc w:val="center"/>
        <w:rPr>
          <w:rFonts w:hint="eastAsia" w:ascii="宋体" w:hAnsi="宋体" w:eastAsia="宋体" w:cs="宋体"/>
          <w:b/>
          <w:color w:val="auto"/>
          <w:w w:val="90"/>
          <w:sz w:val="32"/>
          <w:szCs w:val="32"/>
          <w:highlight w:val="none"/>
        </w:rPr>
      </w:pPr>
    </w:p>
    <w:p>
      <w:pPr>
        <w:jc w:val="center"/>
        <w:rPr>
          <w:rFonts w:hint="eastAsia" w:ascii="宋体" w:hAnsi="宋体" w:eastAsia="宋体" w:cs="宋体"/>
          <w:b/>
          <w:color w:val="auto"/>
          <w:w w:val="90"/>
          <w:sz w:val="32"/>
          <w:szCs w:val="32"/>
          <w:highlight w:val="none"/>
        </w:rPr>
      </w:pPr>
      <w:r>
        <w:rPr>
          <w:rFonts w:hint="eastAsia" w:ascii="宋体" w:hAnsi="宋体" w:eastAsia="宋体" w:cs="宋体"/>
          <w:b/>
          <w:color w:val="auto"/>
          <w:w w:val="90"/>
          <w:sz w:val="32"/>
          <w:szCs w:val="32"/>
          <w:highlight w:val="none"/>
        </w:rPr>
        <w:t>合同文件目录</w:t>
      </w:r>
    </w:p>
    <w:p>
      <w:pPr>
        <w:rPr>
          <w:rFonts w:hint="eastAsia" w:ascii="宋体" w:hAnsi="宋体" w:eastAsia="宋体" w:cs="宋体"/>
          <w:color w:val="auto"/>
          <w:w w:val="90"/>
          <w:sz w:val="22"/>
          <w:szCs w:val="22"/>
          <w:highlight w:val="none"/>
        </w:rPr>
      </w:pPr>
    </w:p>
    <w:p>
      <w:pP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一</w:t>
      </w:r>
      <w:r>
        <w:rPr>
          <w:rFonts w:hint="eastAsia" w:ascii="宋体" w:hAnsi="宋体" w:eastAsia="宋体" w:cs="宋体"/>
          <w:color w:val="auto"/>
          <w:w w:val="90"/>
          <w:sz w:val="22"/>
          <w:szCs w:val="22"/>
          <w:highlight w:val="none"/>
        </w:rPr>
        <w:t>、合同协议书</w:t>
      </w:r>
    </w:p>
    <w:p>
      <w:pP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二、工程质量保修书</w:t>
      </w:r>
    </w:p>
    <w:p>
      <w:pP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三</w:t>
      </w:r>
      <w:r>
        <w:rPr>
          <w:rFonts w:hint="eastAsia" w:ascii="宋体" w:hAnsi="宋体" w:eastAsia="宋体" w:cs="宋体"/>
          <w:color w:val="auto"/>
          <w:w w:val="90"/>
          <w:sz w:val="22"/>
          <w:szCs w:val="22"/>
          <w:highlight w:val="none"/>
        </w:rPr>
        <w:t>、廉政合同</w:t>
      </w:r>
    </w:p>
    <w:p>
      <w:pP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lang w:val="en-US" w:eastAsia="zh-CN"/>
        </w:rPr>
        <w:t>四</w:t>
      </w:r>
      <w:r>
        <w:rPr>
          <w:rFonts w:hint="eastAsia" w:ascii="宋体" w:hAnsi="宋体" w:eastAsia="宋体" w:cs="宋体"/>
          <w:color w:val="auto"/>
          <w:w w:val="90"/>
          <w:sz w:val="22"/>
          <w:szCs w:val="22"/>
          <w:highlight w:val="none"/>
        </w:rPr>
        <w:t>、安全生产合同</w:t>
      </w:r>
    </w:p>
    <w:p>
      <w:pP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五</w:t>
      </w:r>
      <w:r>
        <w:rPr>
          <w:rFonts w:hint="eastAsia" w:ascii="宋体" w:hAnsi="宋体" w:eastAsia="宋体" w:cs="宋体"/>
          <w:color w:val="auto"/>
          <w:w w:val="90"/>
          <w:sz w:val="22"/>
          <w:szCs w:val="22"/>
          <w:highlight w:val="none"/>
        </w:rPr>
        <w:t>、</w:t>
      </w:r>
      <w:r>
        <w:rPr>
          <w:rFonts w:hint="eastAsia" w:ascii="宋体" w:hAnsi="宋体" w:eastAsia="宋体" w:cs="宋体"/>
          <w:color w:val="auto"/>
          <w:w w:val="90"/>
          <w:sz w:val="22"/>
          <w:szCs w:val="22"/>
          <w:highlight w:val="none"/>
          <w:lang w:val="en-US" w:eastAsia="zh-CN"/>
        </w:rPr>
        <w:t>成交通知书</w:t>
      </w:r>
    </w:p>
    <w:p>
      <w:pP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六、农民工工资保证金的账号</w:t>
      </w:r>
    </w:p>
    <w:p>
      <w:pPr>
        <w:pStyle w:val="6"/>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w w:val="90"/>
          <w:sz w:val="15"/>
          <w:szCs w:val="15"/>
          <w:highlight w:val="none"/>
        </w:rPr>
      </w:pPr>
      <w:r>
        <w:rPr>
          <w:rFonts w:hint="eastAsia" w:ascii="宋体" w:hAnsi="宋体" w:eastAsia="宋体" w:cs="宋体"/>
          <w:color w:val="auto"/>
          <w:w w:val="90"/>
          <w:sz w:val="15"/>
          <w:szCs w:val="15"/>
          <w:highlight w:val="none"/>
        </w:rPr>
        <w:br w:type="page"/>
      </w:r>
    </w:p>
    <w:p>
      <w:pPr>
        <w:jc w:val="center"/>
        <w:rPr>
          <w:rFonts w:hint="eastAsia" w:ascii="宋体" w:hAnsi="宋体" w:eastAsia="宋体" w:cs="宋体"/>
          <w:color w:val="auto"/>
          <w:w w:val="90"/>
          <w:sz w:val="21"/>
          <w:szCs w:val="21"/>
          <w:highlight w:val="none"/>
        </w:rPr>
      </w:pPr>
      <w:r>
        <w:rPr>
          <w:rFonts w:hint="eastAsia" w:ascii="宋体" w:hAnsi="宋体" w:eastAsia="宋体" w:cs="宋体"/>
          <w:b/>
          <w:color w:val="auto"/>
          <w:w w:val="90"/>
          <w:sz w:val="32"/>
          <w:szCs w:val="32"/>
          <w:highlight w:val="none"/>
        </w:rPr>
        <w:t>一、施工合同协议书</w:t>
      </w:r>
    </w:p>
    <w:p>
      <w:pPr>
        <w:rPr>
          <w:rFonts w:hint="eastAsia" w:ascii="宋体" w:hAnsi="宋体" w:eastAsia="宋体" w:cs="宋体"/>
          <w:color w:val="auto"/>
          <w:w w:val="90"/>
          <w:sz w:val="21"/>
          <w:szCs w:val="21"/>
          <w:highlight w:val="none"/>
          <w:lang w:val="en-US" w:eastAsia="zh-CN"/>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发包人（全称）：天等县民族宗教服务中心（简称甲方）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承包方（全称）：                    （简称乙方）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为贯彻“以人为本、安全第一、质量第一、预防为主”的方针，加强对工程项目安全、质量、工期、文明施工等方面的综合管理，优质、高效、低耗、顺利的完成工程施工任务。根据《中华人民共和国民法典》、《中华人民共和国建筑法》、《中华人民共和国安全生产管理法》、《建设工程安全生产管理条例》等有关法律法规的规定及甲方的工程管理制度和办法，结合本工程条件和实际情况，双方本着自愿、平等、互利、互惠的原则，经双方协商一致，特签订本协议书，以示双方共同遵守、执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1.项目名称：天等县进结镇进结社区洞宁养殖小区产业基地配套项目 （其中建设内容包括：天等县进结镇进结社区洞宁养殖小区产业基地配套项目新建长0.9公里的水利渠道，以工程量清单和图纸包含的内容为准)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2．下列文件应视为构成合同文件的组成部分：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（1）采购公告或招投标、公示相关文件（另册）；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（2）本协议书、工程质量保修书、廉政合同、安全生产合同；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（3）成交通知书（招投标项目需附函附表）；</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（4）财评报告(如有、另册)；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（5）设计成果文件（另册）；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（6）施工技术组织管理报告（另册）；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（7）其他（指国家最新规范、标准、强制性条约等）。</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上述合同文件互相补充和解释。如果合同文件之间存在矛盾或不一致之处，以上述文件的排列顺序在先者为准。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3．合同价款与支付</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签约总合同价：人民币                （¥            元），合同价款采用固定综合单价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综合单价计价；无投标单价、有财评综合单价的项目，审计结算、变更单价以财政评审综合单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4．承包人项目经理：      （身份证号码：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承包人项目总工：       （身份证号码：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承包人项目安全员：       （身份证号码：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5．工程质量达到或符合合格标准等级以上。工程安全目标：无生产安全事故。</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6．承包人承诺按合同约定承担工程的实施、完成及缺陷修复，缺陷责任期为壹年。</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自双方签订合同后发包人在承包人开具等额增值税发票后支付合同价款的30%，第二次付款时按工程进度支付并抵扣首笔款直至扣完为止；工程竣工验收合格后发包人在承包人开具发票后拨付进度款至不高于合同价款的90%；经结算审计后，发包人在承包人开具发票后30日内拨付至不高于工程结算价的97%，余下3%做为工程质量保修金，待质保期满后按规定办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8．项目完工之日起7日内，承包人向发包人提供完整的竣工资料，竣工验收合格之日起14日内，承包人向发包人提交施工结算资料，承包人逾期未提供上述资料，发包人有权委托第三方收集并整理上述资料，所产生的费用由承包人全额承担。</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9．合同工期</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计划开工日期：2024年  月  日，计划竣工日期：2024年  月  日，合同工期为90日历天。</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10．本协议书由双方法定代表人或其委托代理人签署并加盖单位章后生效。项目工程完工后经交工验收合格、缺陷责任期满经复验合格后失效。</w:t>
      </w:r>
    </w:p>
    <w:p>
      <w:pPr>
        <w:autoSpaceDE w:val="0"/>
        <w:autoSpaceDN w:val="0"/>
        <w:adjustRightInd w:val="0"/>
        <w:spacing w:line="360" w:lineRule="auto"/>
        <w:ind w:firstLine="420" w:firstLineChars="200"/>
        <w:jc w:val="both"/>
        <w:rPr>
          <w:rFonts w:hint="default"/>
          <w:color w:val="auto"/>
          <w:sz w:val="21"/>
          <w:szCs w:val="21"/>
          <w:highlight w:val="none"/>
          <w:u w:val="single"/>
          <w:lang w:val="en-US" w:eastAsia="zh-CN"/>
        </w:rPr>
      </w:pPr>
      <w:r>
        <w:rPr>
          <w:rFonts w:hint="eastAsia"/>
          <w:color w:val="auto"/>
          <w:sz w:val="21"/>
          <w:szCs w:val="21"/>
          <w:highlight w:val="none"/>
          <w:lang w:val="en-US" w:eastAsia="zh-CN"/>
        </w:rPr>
        <w:t>11．农民工工资金额：</w:t>
      </w:r>
      <w:r>
        <w:rPr>
          <w:rFonts w:hint="eastAsia"/>
          <w:color w:val="auto"/>
          <w:sz w:val="21"/>
          <w:szCs w:val="21"/>
          <w:highlight w:val="none"/>
          <w:u w:val="single"/>
          <w:lang w:val="en-US" w:eastAsia="zh-CN"/>
        </w:rPr>
        <w:t xml:space="preserve">                。</w:t>
      </w:r>
    </w:p>
    <w:p>
      <w:pPr>
        <w:autoSpaceDE w:val="0"/>
        <w:autoSpaceDN w:val="0"/>
        <w:adjustRightInd w:val="0"/>
        <w:spacing w:line="360" w:lineRule="auto"/>
        <w:ind w:firstLine="840" w:firstLineChars="400"/>
        <w:jc w:val="both"/>
        <w:rPr>
          <w:rFonts w:hint="eastAsia"/>
          <w:color w:val="auto"/>
          <w:sz w:val="21"/>
          <w:szCs w:val="21"/>
          <w:highlight w:val="none"/>
          <w:lang w:val="en-US" w:eastAsia="zh-CN"/>
        </w:rPr>
      </w:pPr>
      <w:r>
        <w:rPr>
          <w:rFonts w:hint="eastAsia" w:ascii="宋体" w:hAnsi="宋体" w:cs="宋体"/>
          <w:color w:val="auto"/>
          <w:sz w:val="21"/>
          <w:szCs w:val="21"/>
          <w:highlight w:val="none"/>
          <w:lang w:eastAsia="zh-CN"/>
        </w:rPr>
        <w:t>本项目执行农民工工资保证金</w:t>
      </w:r>
      <w:r>
        <w:rPr>
          <w:rFonts w:hint="eastAsia" w:ascii="宋体" w:hAnsi="宋体" w:cs="宋体"/>
          <w:color w:val="auto"/>
          <w:sz w:val="21"/>
          <w:szCs w:val="21"/>
          <w:highlight w:val="none"/>
          <w:lang w:val="en-US" w:eastAsia="zh-CN"/>
        </w:rPr>
        <w:t>管理制度，按照桂人社规〔2021〕16号广西壮族自治区人力资源和社会保障厅广西壮族自治区住房和城乡建设厅广西壮族自治区交通运输厅广西壮族自治区水利厅 中国银行保险监督管理委员会广西监管局关于印发广西壮族自治区工程建设领域农民工工资保证金规定实施办法的通知要求进行</w:t>
      </w:r>
      <w:r>
        <w:rPr>
          <w:rFonts w:hint="eastAsia"/>
          <w:color w:val="auto"/>
          <w:sz w:val="21"/>
          <w:szCs w:val="21"/>
          <w:highlight w:val="none"/>
          <w:lang w:val="en-US" w:eastAsia="zh-CN"/>
        </w:rPr>
        <w:t>。</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12.本工程除关键岗位、工种外，其余岗位适量使用脱贫户、边缘户劳动力完成实施，施工单位应根据《中华人民共和国劳动法》、《劳动合同法实施条例》等有关法律法规规定，与脱贫户、边缘户劳动力双方平等协商一致，订立劳动合同，共同遵守签订合同所列条款。发放的脱贫户、边缘户劳务报酬应占本工程一定的劳务费用。脱贫户、边缘户劳动力用工花名册、银行转账工资发放清单（全部）等材料按时送达建设单位存档备检壹份，无备案材料的或材料缺失的应完善相关材料后方能支付项目后续资金。</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13、有关工程违约、责任处理按照现行国家法律、规范、规定、标准执行。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14．本协议书正本二份、副本四份，甲方执正本一份，副本三份，乙方执正本一份，副本一份，当正本与副本的内容不一致时，以正本为准。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15．合同未尽事宜，双方按照招投标文件、《通用条款、专用条款》、国务院令712号文件、《建设工程工程量清单计价规范》（GB50500-2013）、《建设工程施工合同（示范文本）GF-2017-0201》、国家最新规范、规定、标准执行或另行签订补充协议。补充协议是合同的组成部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bookmarkStart w:id="140" w:name="_Toc516566872"/>
      <w:bookmarkStart w:id="141" w:name="_Toc459738629"/>
      <w:bookmarkStart w:id="142" w:name="_Toc12337"/>
      <w:bookmarkStart w:id="143" w:name="_Toc32607"/>
      <w:r>
        <w:rPr>
          <w:rFonts w:hint="eastAsia"/>
          <w:color w:val="auto"/>
          <w:sz w:val="21"/>
          <w:szCs w:val="21"/>
          <w:highlight w:val="none"/>
          <w:lang w:val="en-US" w:eastAsia="zh-CN"/>
        </w:rPr>
        <w:t>16. 合同生效</w:t>
      </w:r>
      <w:bookmarkEnd w:id="140"/>
      <w:bookmarkEnd w:id="141"/>
      <w:r>
        <w:rPr>
          <w:rFonts w:hint="eastAsia"/>
          <w:color w:val="auto"/>
          <w:sz w:val="21"/>
          <w:szCs w:val="21"/>
          <w:highlight w:val="none"/>
          <w:lang w:val="en-US" w:eastAsia="zh-CN"/>
        </w:rPr>
        <w:t>及附件</w:t>
      </w:r>
      <w:bookmarkEnd w:id="142"/>
      <w:bookmarkEnd w:id="143"/>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合同订立时间：2024年 月  日</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合同订立地点：天等县民族宗教服务中心</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本合同双方约定双方法定代表人或其授权代理人签字或盖章并加盖单位公章后生效。</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本协议书附件1、附件2、附件3为合同双方协议重要内容之一，其效力同等，缺一不可。</w:t>
      </w:r>
    </w:p>
    <w:p>
      <w:pPr>
        <w:keepNext w:val="0"/>
        <w:keepLines w:val="0"/>
        <w:pageBreakBefore w:val="0"/>
        <w:widowControl w:val="0"/>
        <w:kinsoku/>
        <w:wordWrap/>
        <w:overflowPunct/>
        <w:topLinePunct w:val="0"/>
        <w:autoSpaceDE/>
        <w:autoSpaceDN/>
        <w:bidi w:val="0"/>
        <w:adjustRightInd/>
        <w:snapToGrid/>
        <w:spacing w:line="360" w:lineRule="auto"/>
        <w:ind w:firstLine="520"/>
        <w:textAlignment w:val="auto"/>
        <w:rPr>
          <w:rFonts w:hint="eastAsia" w:ascii="宋体" w:hAnsi="宋体" w:eastAsia="宋体" w:cs="宋体"/>
          <w:color w:val="auto"/>
          <w:w w:val="90"/>
          <w:sz w:val="21"/>
          <w:szCs w:val="21"/>
          <w:highlight w:val="none"/>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发包人：（公章）天等县民族宗教服务中心   承包人：（公章）</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地址：崇左市天等县天等镇天桃路76号      住址：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或授权委托代理人：                      或授权委托代理人：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电话：</w:t>
      </w:r>
      <w:r>
        <w:rPr>
          <w:rFonts w:hint="eastAsia" w:ascii="宋体" w:hAnsi="宋体" w:cs="宋体"/>
          <w:color w:val="auto"/>
          <w:sz w:val="21"/>
          <w:szCs w:val="21"/>
          <w:highlight w:val="none"/>
          <w:lang w:val="en-US" w:eastAsia="zh-CN"/>
        </w:rPr>
        <w:t xml:space="preserve">           </w:t>
      </w:r>
      <w:r>
        <w:rPr>
          <w:rFonts w:hint="eastAsia"/>
          <w:color w:val="auto"/>
          <w:sz w:val="21"/>
          <w:szCs w:val="21"/>
          <w:highlight w:val="none"/>
          <w:lang w:val="en-US" w:eastAsia="zh-CN"/>
        </w:rPr>
        <w:t xml:space="preserve">                     电话：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开户银行：                            开户银行：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账号：                               账号：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邮政编号：                          邮政编号：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bookmarkStart w:id="144" w:name="_Toc356809807"/>
      <w:bookmarkStart w:id="145" w:name="_Toc456782668"/>
      <w:bookmarkStart w:id="146" w:name="_Toc390076637"/>
      <w:r>
        <w:rPr>
          <w:rFonts w:hint="eastAsia"/>
          <w:color w:val="auto"/>
          <w:sz w:val="21"/>
          <w:szCs w:val="21"/>
          <w:highlight w:val="none"/>
          <w:lang w:val="en-US" w:eastAsia="zh-CN"/>
        </w:rPr>
        <w:br w:type="page"/>
      </w:r>
    </w:p>
    <w:p>
      <w:pPr>
        <w:pStyle w:val="4"/>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color w:val="auto"/>
          <w:w w:val="90"/>
          <w:sz w:val="20"/>
          <w:szCs w:val="20"/>
          <w:highlight w:val="none"/>
        </w:rPr>
      </w:pPr>
      <w:r>
        <w:rPr>
          <w:rFonts w:hint="eastAsia" w:ascii="宋体" w:hAnsi="宋体" w:eastAsia="宋体" w:cs="宋体"/>
          <w:b w:val="0"/>
          <w:color w:val="auto"/>
          <w:w w:val="90"/>
          <w:sz w:val="20"/>
          <w:szCs w:val="20"/>
          <w:highlight w:val="none"/>
        </w:rPr>
        <w:t>附件1：</w:t>
      </w:r>
    </w:p>
    <w:p>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val="0"/>
          <w:color w:val="auto"/>
          <w:w w:val="90"/>
          <w:sz w:val="24"/>
          <w:szCs w:val="24"/>
          <w:highlight w:val="none"/>
          <w:lang w:eastAsia="zh-CN"/>
        </w:rPr>
      </w:pPr>
      <w:r>
        <w:rPr>
          <w:rFonts w:hint="eastAsia" w:ascii="宋体" w:hAnsi="宋体" w:eastAsia="宋体" w:cs="宋体"/>
          <w:b/>
          <w:bCs w:val="0"/>
          <w:color w:val="auto"/>
          <w:w w:val="90"/>
          <w:sz w:val="24"/>
          <w:szCs w:val="24"/>
          <w:highlight w:val="none"/>
          <w:lang w:val="en-US" w:eastAsia="zh-CN"/>
        </w:rPr>
        <w:t xml:space="preserve">二 </w:t>
      </w:r>
      <w:r>
        <w:rPr>
          <w:rFonts w:hint="eastAsia" w:ascii="宋体" w:hAnsi="宋体" w:eastAsia="宋体" w:cs="宋体"/>
          <w:b/>
          <w:bCs w:val="0"/>
          <w:color w:val="auto"/>
          <w:w w:val="90"/>
          <w:sz w:val="24"/>
          <w:szCs w:val="24"/>
          <w:highlight w:val="none"/>
        </w:rPr>
        <w:t>工程质量保修书</w:t>
      </w:r>
      <w:bookmarkEnd w:id="144"/>
      <w:bookmarkEnd w:id="145"/>
      <w:bookmarkEnd w:id="146"/>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天等县民族宗教服务中心  （以下简称“甲方”）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承包人（全称）：</w:t>
      </w:r>
      <w:r>
        <w:rPr>
          <w:rFonts w:hint="eastAsia"/>
          <w:color w:val="auto"/>
          <w:sz w:val="21"/>
          <w:szCs w:val="21"/>
          <w:highlight w:val="none"/>
          <w:u w:val="single"/>
          <w:lang w:val="en-US" w:eastAsia="zh-CN"/>
        </w:rPr>
        <w:t xml:space="preserve">                     （以下简称“乙方”）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为保证 </w:t>
      </w:r>
      <w:r>
        <w:rPr>
          <w:rFonts w:hint="eastAsia"/>
          <w:color w:val="auto"/>
          <w:sz w:val="21"/>
          <w:szCs w:val="21"/>
          <w:highlight w:val="none"/>
          <w:u w:val="single"/>
          <w:lang w:val="en-US" w:eastAsia="zh-CN"/>
        </w:rPr>
        <w:t>天等县进结镇进结社区洞宁养殖小区产业基地配套项目  （工程名称）</w:t>
      </w:r>
      <w:r>
        <w:rPr>
          <w:rFonts w:hint="eastAsia"/>
          <w:color w:val="auto"/>
          <w:sz w:val="21"/>
          <w:szCs w:val="21"/>
          <w:highlight w:val="none"/>
          <w:lang w:val="en-US" w:eastAsia="zh-CN"/>
        </w:rPr>
        <w:t>在合理使用期限内正常使用，发包人承包人协商一致签订工程质量保修书。承包人在质量保修期内按照有关管理规定及双方约定承担工程质量保修责任。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第一条  工程质量保修范围和内容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承包人在质量保修期内，按照有关法律、法规、规章的管理规定和双方约定，承担本工程质量保修责任。</w:t>
      </w:r>
    </w:p>
    <w:p>
      <w:pPr>
        <w:autoSpaceDE w:val="0"/>
        <w:autoSpaceDN w:val="0"/>
        <w:adjustRightInd w:val="0"/>
        <w:spacing w:line="360" w:lineRule="auto"/>
        <w:ind w:firstLine="420" w:firstLineChars="200"/>
        <w:jc w:val="both"/>
        <w:rPr>
          <w:rFonts w:hint="eastAsia"/>
          <w:color w:val="auto"/>
          <w:sz w:val="21"/>
          <w:szCs w:val="21"/>
          <w:highlight w:val="none"/>
          <w:u w:val="single"/>
          <w:lang w:val="en-US" w:eastAsia="zh-CN"/>
        </w:rPr>
      </w:pPr>
      <w:r>
        <w:rPr>
          <w:rFonts w:hint="eastAsia"/>
          <w:color w:val="auto"/>
          <w:sz w:val="21"/>
          <w:szCs w:val="21"/>
          <w:highlight w:val="none"/>
          <w:lang w:val="en-US" w:eastAsia="zh-CN"/>
        </w:rPr>
        <w:t xml:space="preserve">工程质量保修范围包括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以及双方约定的其他项目工程。具体保修的内容，双方约定如下</w:t>
      </w:r>
      <w:r>
        <w:rPr>
          <w:rFonts w:hint="eastAsia"/>
          <w:color w:val="auto"/>
          <w:sz w:val="21"/>
          <w:szCs w:val="21"/>
          <w:highlight w:val="none"/>
          <w:u w:val="single"/>
          <w:lang w:val="en-US" w:eastAsia="zh-CN"/>
        </w:rPr>
        <w:t>：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第二条  质量保修期</w:t>
      </w:r>
    </w:p>
    <w:p>
      <w:pPr>
        <w:autoSpaceDE w:val="0"/>
        <w:autoSpaceDN w:val="0"/>
        <w:adjustRightInd w:val="0"/>
        <w:spacing w:line="360" w:lineRule="auto"/>
        <w:ind w:firstLine="420" w:firstLineChars="200"/>
        <w:jc w:val="both"/>
        <w:rPr>
          <w:rFonts w:hint="eastAsia"/>
          <w:color w:val="auto"/>
          <w:sz w:val="21"/>
          <w:szCs w:val="21"/>
          <w:highlight w:val="none"/>
          <w:u w:val="single"/>
          <w:lang w:val="en-US" w:eastAsia="zh-CN"/>
        </w:rPr>
      </w:pPr>
      <w:r>
        <w:rPr>
          <w:rFonts w:hint="eastAsia"/>
          <w:color w:val="auto"/>
          <w:sz w:val="21"/>
          <w:szCs w:val="21"/>
          <w:highlight w:val="none"/>
          <w:lang w:val="en-US" w:eastAsia="zh-CN"/>
        </w:rPr>
        <w:t>质量保修期自交工验收合格与发包方签定”工程交接证明之日起计算。分单项竣工验收的工程按单项工程分别计算质量保修期。双方根据《建设工程质量管理条例》及广西扶贫基础设施管理办法有关规定，约定本工程的质量保修范围、保修期如下：</w:t>
      </w:r>
      <w:r>
        <w:rPr>
          <w:rFonts w:hint="eastAsia"/>
          <w:color w:val="auto"/>
          <w:sz w:val="21"/>
          <w:szCs w:val="21"/>
          <w:highlight w:val="none"/>
          <w:u w:val="single"/>
          <w:lang w:val="en-US" w:eastAsia="zh-CN"/>
        </w:rPr>
        <w:t xml:space="preserve">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1、保修范围、保修期为</w:t>
      </w:r>
      <w:r>
        <w:rPr>
          <w:rFonts w:hint="eastAsia"/>
          <w:color w:val="auto"/>
          <w:sz w:val="21"/>
          <w:szCs w:val="21"/>
          <w:highlight w:val="none"/>
          <w:u w:val="single"/>
          <w:lang w:val="en-US" w:eastAsia="zh-CN"/>
        </w:rPr>
        <w:t>壹年</w:t>
      </w:r>
      <w:r>
        <w:rPr>
          <w:rFonts w:hint="eastAsia"/>
          <w:color w:val="auto"/>
          <w:sz w:val="21"/>
          <w:szCs w:val="21"/>
          <w:highlight w:val="none"/>
          <w:lang w:val="en-US" w:eastAsia="zh-CN"/>
        </w:rPr>
        <w:t>；</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2. 其他项目保修期限约定如下：</w:t>
      </w:r>
      <w:r>
        <w:rPr>
          <w:rFonts w:hint="eastAsia"/>
          <w:color w:val="auto"/>
          <w:sz w:val="21"/>
          <w:szCs w:val="21"/>
          <w:highlight w:val="none"/>
          <w:u w:val="single"/>
          <w:lang w:val="en-US" w:eastAsia="zh-CN"/>
        </w:rPr>
        <w:t>按国家现行有关规定进行；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二、质量保修责任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    1、属于保修范围和内容的项目，承包人应在接到保修通知之日后7天内派人保修。承包人不在约定期限内派人保修，发包人可以委托他人修理，保修费用从质量保修金内扣除。</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2、发生紧急抢修事故（如塌方、水毁、沉降、损坏等），承包人接到事故通知后，应立即到达事故现场抢修。非承包人施工质量引起的事故，抢修费用由发包人承担。</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3、在国家规定的工程合理使用期限内，因承包人原因致使工程合理使用期限内造成人身和财产损害的，承包人应承担损害赔偿责任。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三、质量保修金的支付</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本工程约定的工程质量保修金为工程结算审定价的3%，质量保修金银行利率为零。</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四、质量保修金的返还</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方在应付款中扣出的工程质量保修金，在工程竣工保修期满壹年后对保修内容进行验收合格的，经承包人提交申请28天内将结算审定价3%的保修金退还给承包方（不计利息）。在保修期内承包方应按保修内容进行保修，若承包方接到甲方保修通知书在二天内未派人进行修理的，发包方方则安排其它公司修理，在保修期内发生的修理费用由承包方负责或由发包方从保修金中扣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五、其他</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双方约定的其他工程质量保修事项：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本工程质量保修书作为施工合同附件，由施工合同发包人承包人双方共同签署。</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发包方（单位公章)：天等县民族宗教服务中心         承包方(单位公章)：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或授权代理人：                                  或授权代理人：</w:t>
      </w:r>
    </w:p>
    <w:p>
      <w:pPr>
        <w:pStyle w:val="39"/>
        <w:spacing w:line="360" w:lineRule="auto"/>
        <w:ind w:firstLine="0" w:firstLineChars="0"/>
        <w:rPr>
          <w:rFonts w:hint="eastAsia" w:ascii="宋体" w:hAnsi="宋体" w:eastAsia="宋体" w:cs="宋体"/>
          <w:color w:val="auto"/>
          <w:w w:val="90"/>
          <w:sz w:val="20"/>
          <w:szCs w:val="20"/>
          <w:highlight w:val="none"/>
        </w:rPr>
      </w:pPr>
    </w:p>
    <w:p>
      <w:pPr>
        <w:pStyle w:val="39"/>
        <w:spacing w:line="360" w:lineRule="auto"/>
        <w:ind w:firstLine="0" w:firstLineChars="0"/>
        <w:rPr>
          <w:rFonts w:hint="eastAsia" w:ascii="宋体" w:hAnsi="宋体" w:eastAsia="宋体" w:cs="宋体"/>
          <w:color w:val="auto"/>
          <w:w w:val="90"/>
          <w:sz w:val="20"/>
          <w:szCs w:val="20"/>
          <w:highlight w:val="none"/>
        </w:rPr>
      </w:pPr>
    </w:p>
    <w:p>
      <w:pPr>
        <w:pStyle w:val="39"/>
        <w:spacing w:line="360" w:lineRule="auto"/>
        <w:ind w:firstLine="0" w:firstLineChars="0"/>
        <w:rPr>
          <w:rFonts w:hint="eastAsia" w:ascii="宋体" w:hAnsi="宋体" w:eastAsia="宋体" w:cs="宋体"/>
          <w:color w:val="auto"/>
          <w:w w:val="90"/>
          <w:sz w:val="20"/>
          <w:szCs w:val="20"/>
          <w:highlight w:val="none"/>
        </w:rPr>
      </w:pPr>
      <w:r>
        <w:rPr>
          <w:rFonts w:hint="eastAsia" w:ascii="宋体" w:hAnsi="宋体" w:eastAsia="宋体" w:cs="宋体"/>
          <w:color w:val="auto"/>
          <w:w w:val="90"/>
          <w:sz w:val="20"/>
          <w:szCs w:val="20"/>
          <w:highlight w:val="none"/>
        </w:rPr>
        <w:br w:type="page"/>
      </w:r>
      <w:r>
        <w:rPr>
          <w:rFonts w:hint="eastAsia" w:ascii="宋体" w:hAnsi="宋体" w:eastAsia="宋体" w:cs="宋体"/>
          <w:color w:val="auto"/>
          <w:w w:val="90"/>
          <w:sz w:val="20"/>
          <w:szCs w:val="20"/>
          <w:highlight w:val="none"/>
        </w:rPr>
        <w:t>附件2：</w:t>
      </w:r>
    </w:p>
    <w:p>
      <w:pPr>
        <w:pStyle w:val="39"/>
        <w:spacing w:line="360" w:lineRule="auto"/>
        <w:ind w:firstLine="2386" w:firstLineChars="1100"/>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lang w:val="en-US" w:eastAsia="zh-CN"/>
        </w:rPr>
        <w:t xml:space="preserve">三 </w:t>
      </w:r>
      <w:r>
        <w:rPr>
          <w:rFonts w:hint="eastAsia" w:ascii="宋体" w:hAnsi="宋体" w:eastAsia="宋体" w:cs="宋体"/>
          <w:b/>
          <w:color w:val="auto"/>
          <w:w w:val="90"/>
          <w:sz w:val="24"/>
          <w:szCs w:val="24"/>
          <w:highlight w:val="none"/>
        </w:rPr>
        <w:t>廉政合同</w:t>
      </w:r>
    </w:p>
    <w:p>
      <w:pPr>
        <w:pStyle w:val="39"/>
        <w:spacing w:line="360" w:lineRule="auto"/>
        <w:ind w:firstLine="431"/>
        <w:rPr>
          <w:rFonts w:hint="eastAsia" w:ascii="宋体" w:hAnsi="宋体" w:eastAsia="宋体" w:cs="宋体"/>
          <w:color w:val="auto"/>
          <w:w w:val="90"/>
          <w:sz w:val="20"/>
          <w:szCs w:val="20"/>
          <w:highlight w:val="none"/>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天等县民族宗教服务中心  （以下简称“甲方”）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承包人（全称）：</w:t>
      </w:r>
      <w:r>
        <w:rPr>
          <w:rFonts w:hint="eastAsia"/>
          <w:color w:val="auto"/>
          <w:sz w:val="21"/>
          <w:szCs w:val="21"/>
          <w:highlight w:val="none"/>
          <w:u w:val="single"/>
          <w:lang w:val="en-US" w:eastAsia="zh-CN"/>
        </w:rPr>
        <w:t xml:space="preserve">                     （以下简称“乙方”）</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为做好工程党风廉政建设，保证工程建设高效优质，保证建设资金的安全和有效使用以及投资效益，根据《中华人民共和国民法典》等有关法律规定，特订立如下合同。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1．甲乙双方的权利和义务</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（1）严格遵守党的政策规定和国家有关法律法规及交通部的有关规定。</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（2）严格执行 天等县进结镇进结社区洞宁养殖小区产业基地配套项目   合同标段合同文件，自觉按合同办事。</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（4）建立健全廉政制度，开展廉政教育，设立廉政告示牌，公布举报电话，监督并认真查处违法违纪行为。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（5）发现对方在业务活动中有违反廉政规定的行为，有及时提醒对方纠正的权利和义务。</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（6）发现对方严重违反本合同义务条款的行为，有向其上级有关部门举报、建议给予处理并要求告知处理结果的权利。</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2．甲方的义务</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（1）甲方及其工作人员不得索要或接受乙方的礼金、有价证券和贵重物品，不得在乙方报销任何应由甲方或甲方工作人员个人支付的费用等。</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（2）甲方工作人员不得参加乙方安排的超标准宴请和娱乐活动；不得接受乙方提供的通讯工具、交通工具和高档办公用品等。</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（3）甲方及其工作人员不得要求或者接受乙方为其住房装修、婚丧嫁娶活动、配偶子女的工作安排以及出国出境、旅游等提供方便等。</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（4）甲方工作人员及其配偶、子女不得从事与甲方工程有关的材料设备供应、工程分包、劳务等经济活动等。</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（5）甲方及其工作人员不得以任何理由向乙方推荐分包单位或推销材料，不得要求乙方购买合同规定外的材料和设备。</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（6）甲方工作人员要秉公办事，不准营私舞弊，不准利用职权从事各种个人有偿中介活动和安排个人施工队伍。</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3．乙方义务</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（1）乙方不得以任何理由向甲方及其工作人员行贿或馈赠礼金、有价证券、贵重礼品。</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（2）乙方不得以任何名义为甲方及其工作人员报销应由甲方单位或个人支付的任何费用。</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（3）乙方不得以任何理由安排甲方工作人员参加超标准宴请及娱乐活动。</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（4）乙方不得为甲方单位和个人购买或提供通讯工具、交通工具和高档办公用品等。</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4．违约责任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乙方及其工作人员违反本合同第一、三条，按管理权限，依据有关规定给予党纪、政纪或组织处理；给甲方单位造成经济损失的，应予以赔偿；情节严重的，甲方建议建设工程主管部门给予乙方一至三年内不得进入其主管的建设工程市场的处罚。</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6．本合同有效期为甲乙双方签署之日起至该工程项目竣工验收后止。</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7．本合同作为建设工程施工合同的附件，与工程施工合同具有同等的法律效力，经合同双方签署立即生效。</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8．本合同一式陆份，由甲乙双方各执一份，其余送甲乙双方的监督单位各一份。</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甲方（单位公章)：天等县民族宗教服务中心         乙方(单位公章)： </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或授权代理人：                                  或授权代理人：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br w:type="page"/>
      </w:r>
    </w:p>
    <w:p>
      <w:pPr>
        <w:pStyle w:val="39"/>
        <w:spacing w:line="360" w:lineRule="auto"/>
        <w:rPr>
          <w:rFonts w:hint="eastAsia" w:ascii="宋体" w:hAnsi="宋体" w:eastAsia="宋体" w:cs="宋体"/>
          <w:b w:val="0"/>
          <w:bCs w:val="0"/>
          <w:color w:val="auto"/>
          <w:w w:val="90"/>
          <w:sz w:val="20"/>
          <w:szCs w:val="20"/>
          <w:highlight w:val="none"/>
        </w:rPr>
      </w:pPr>
      <w:bookmarkStart w:id="147" w:name="_Toc24289"/>
      <w:r>
        <w:rPr>
          <w:rFonts w:hint="eastAsia" w:ascii="宋体" w:hAnsi="宋体" w:eastAsia="宋体" w:cs="宋体"/>
          <w:color w:val="auto"/>
          <w:w w:val="90"/>
          <w:sz w:val="20"/>
          <w:szCs w:val="20"/>
          <w:highlight w:val="none"/>
        </w:rPr>
        <w:t>附件3：</w:t>
      </w:r>
      <w:bookmarkEnd w:id="147"/>
    </w:p>
    <w:p>
      <w:pPr>
        <w:spacing w:before="120" w:after="120" w:line="360" w:lineRule="auto"/>
        <w:jc w:val="center"/>
        <w:rPr>
          <w:rFonts w:hint="eastAsia" w:ascii="宋体" w:hAnsi="宋体" w:eastAsia="宋体" w:cs="宋体"/>
          <w:b/>
          <w:bCs w:val="0"/>
          <w:color w:val="auto"/>
          <w:w w:val="90"/>
          <w:sz w:val="24"/>
          <w:szCs w:val="24"/>
          <w:highlight w:val="none"/>
        </w:rPr>
      </w:pPr>
      <w:r>
        <w:rPr>
          <w:rFonts w:hint="eastAsia" w:ascii="宋体" w:hAnsi="宋体" w:eastAsia="宋体" w:cs="宋体"/>
          <w:b/>
          <w:bCs w:val="0"/>
          <w:color w:val="auto"/>
          <w:w w:val="90"/>
          <w:sz w:val="24"/>
          <w:szCs w:val="24"/>
          <w:highlight w:val="none"/>
          <w:lang w:val="en-US" w:eastAsia="zh-CN"/>
        </w:rPr>
        <w:t xml:space="preserve">四 </w:t>
      </w:r>
      <w:r>
        <w:rPr>
          <w:rFonts w:hint="eastAsia" w:ascii="宋体" w:hAnsi="宋体" w:eastAsia="宋体" w:cs="宋体"/>
          <w:b/>
          <w:bCs w:val="0"/>
          <w:color w:val="auto"/>
          <w:w w:val="90"/>
          <w:sz w:val="24"/>
          <w:szCs w:val="24"/>
          <w:highlight w:val="none"/>
        </w:rPr>
        <w:t>安全生产合同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天等县民族宗教服务中心  （以下简称“发包人”）</w:t>
      </w:r>
    </w:p>
    <w:p>
      <w:pPr>
        <w:autoSpaceDE w:val="0"/>
        <w:autoSpaceDN w:val="0"/>
        <w:adjustRightInd w:val="0"/>
        <w:spacing w:line="360" w:lineRule="auto"/>
        <w:ind w:firstLine="420" w:firstLineChars="200"/>
        <w:jc w:val="both"/>
        <w:rPr>
          <w:rFonts w:hint="eastAsia"/>
          <w:color w:val="auto"/>
          <w:sz w:val="21"/>
          <w:szCs w:val="21"/>
          <w:highlight w:val="none"/>
          <w:u w:val="single"/>
          <w:lang w:val="en-US" w:eastAsia="zh-CN"/>
        </w:rPr>
      </w:pPr>
      <w:r>
        <w:rPr>
          <w:rFonts w:hint="eastAsia"/>
          <w:color w:val="auto"/>
          <w:sz w:val="21"/>
          <w:szCs w:val="21"/>
          <w:highlight w:val="none"/>
          <w:lang w:val="en-US" w:eastAsia="zh-CN"/>
        </w:rPr>
        <w:t>承包人（全称）：</w:t>
      </w:r>
      <w:r>
        <w:rPr>
          <w:rFonts w:hint="eastAsia"/>
          <w:color w:val="auto"/>
          <w:sz w:val="21"/>
          <w:szCs w:val="21"/>
          <w:highlight w:val="none"/>
          <w:u w:val="single"/>
          <w:lang w:val="en-US" w:eastAsia="zh-CN"/>
        </w:rPr>
        <w:t xml:space="preserve">                     （以下简称“承包人”）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为在</w:t>
      </w:r>
      <w:r>
        <w:rPr>
          <w:rFonts w:hint="eastAsia"/>
          <w:color w:val="auto"/>
          <w:sz w:val="21"/>
          <w:szCs w:val="21"/>
          <w:highlight w:val="none"/>
          <w:u w:val="single"/>
          <w:lang w:val="en-US" w:eastAsia="zh-CN"/>
        </w:rPr>
        <w:t xml:space="preserve">  天等县进结镇进结社区洞宁养殖小区产业基地配套项目   </w:t>
      </w:r>
      <w:r>
        <w:rPr>
          <w:rFonts w:hint="eastAsia"/>
          <w:color w:val="auto"/>
          <w:sz w:val="21"/>
          <w:szCs w:val="21"/>
          <w:highlight w:val="none"/>
          <w:lang w:val="en-US" w:eastAsia="zh-CN"/>
        </w:rPr>
        <w:t>施工合同的实施过程中创造安全、高效的施工环境，切实搞好本项目的安全管理工作，根据《中华人民共和国民法典》、《安全生产管理法》等有关法律、法规规定，特签订安全生产合同：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1.发包人职责</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（1）严格遵守国家有关安全生产的法律法规，认真执行工程承包合同中的有关安全要求。</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（2）按照“安全第一、预防为主”和坚持“管生产必须管安全”的原则进行安全生产管理，做到生产与安全工作同时计划、布置、检查、总结和评比。</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（3）重要的安全设施必须坚持与主体工程“三同时”的原则，即：同时设计、审批，同时施工，同时验收，投入使用。</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（4）定期召开安全生产调度会，及时传达中央及地方有关安全生产的精神。</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（5）组织对承包人施工现场安全生产检查，监督承包人及时处理发现的各种安全隐患。</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2.承包人职责</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（1）严格遵守《中华人民共和国安全生产法》、《建设工程安全生产管理条例》等国家有关安全生产的法律法规等有关安全生产的规定。认真执行工程承包合同中的有关安全要求。</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（4）承包人在任何时候都应采取各种合理的预防措施，防止其员工发生任何违法、违禁、暴力或妨碍治安的行为。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（8）所有施工机具设备和高空作业的设备均应定期检查，并有安全员的签字记录，保证其经常处于完好状态；不合格的机具、设备和劳动保护用品严禁使用：</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（9）施工中采用新技术、新工艺、新设备、新材料时，必须制定相应的安全技术措施，施工现场必须具有相关的安全标志牌。</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（11）安全生产费用按照《建设工程安全生产监督管理办法》的相关规定使用和管理。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（12）签订合同后1个月内，承包人必须为现场施工和管理人员购买人身意外保险。</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3.违约责任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如因发包人或承包人违约造成安全事故，将依法追究责任。</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4.本合同由双方法定代表人签署并加盖单位章后生效，全部工程竣工验收后失效。</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5.本合同正本一式贰份，副本 肆 份，合同双方各执正本壹份，其余送有关单位存档，当正本与副本的内容不一致时，以正本为准。</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甲方（单位公章)： 天等县民族宗教服务中心        乙方(单位公章)：</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法定代表人（签字或签章）：                        法定代表人（签字或签章）：</w:t>
      </w:r>
    </w:p>
    <w:p>
      <w:pPr>
        <w:autoSpaceDE w:val="0"/>
        <w:autoSpaceDN w:val="0"/>
        <w:adjustRightInd w:val="0"/>
        <w:spacing w:line="360" w:lineRule="auto"/>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或授权代理人：                                    或授权代理人：</w:t>
      </w: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b/>
          <w:color w:val="auto"/>
          <w:sz w:val="24"/>
          <w:szCs w:val="24"/>
          <w:highlight w:val="none"/>
          <w:lang w:val="en-US" w:eastAsia="zh-CN"/>
        </w:rPr>
      </w:pPr>
    </w:p>
    <w:p>
      <w:pPr>
        <w:pStyle w:val="8"/>
        <w:rPr>
          <w:rFonts w:ascii="宋体" w:hAnsi="宋体"/>
          <w:color w:val="auto"/>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成交通知书、投标函和投标函附</w:t>
      </w:r>
    </w:p>
    <w:p>
      <w:pPr>
        <w:rPr>
          <w:rFonts w:ascii="宋体" w:hAnsi="宋体"/>
          <w:color w:val="auto"/>
          <w:highlight w:val="none"/>
        </w:rPr>
      </w:pPr>
    </w:p>
    <w:p>
      <w:pPr>
        <w:pStyle w:val="27"/>
        <w:rPr>
          <w:rFonts w:ascii="宋体" w:hAnsi="宋体"/>
          <w:color w:val="auto"/>
          <w:highlight w:val="none"/>
        </w:rPr>
      </w:pPr>
    </w:p>
    <w:p>
      <w:pPr>
        <w:pStyle w:val="27"/>
        <w:rPr>
          <w:rFonts w:ascii="宋体" w:hAnsi="宋体"/>
          <w:color w:val="auto"/>
          <w:highlight w:val="none"/>
        </w:rPr>
      </w:pPr>
    </w:p>
    <w:p>
      <w:pPr>
        <w:pStyle w:val="27"/>
        <w:rPr>
          <w:rFonts w:ascii="宋体" w:hAnsi="宋体"/>
          <w:color w:val="auto"/>
          <w:highlight w:val="none"/>
        </w:rPr>
      </w:pPr>
    </w:p>
    <w:p>
      <w:pPr>
        <w:pStyle w:val="27"/>
        <w:rPr>
          <w:rFonts w:ascii="宋体" w:hAnsi="宋体"/>
          <w:color w:val="auto"/>
          <w:highlight w:val="none"/>
        </w:rPr>
      </w:pPr>
    </w:p>
    <w:p>
      <w:pPr>
        <w:rPr>
          <w:rFonts w:ascii="宋体" w:hAnsi="宋体"/>
          <w:color w:val="auto"/>
          <w:highlight w:val="none"/>
        </w:rPr>
      </w:pPr>
    </w:p>
    <w:p>
      <w:pPr>
        <w:pStyle w:val="28"/>
        <w:spacing w:line="360" w:lineRule="auto"/>
        <w:jc w:val="center"/>
        <w:outlineLvl w:val="0"/>
        <w:rPr>
          <w:rFonts w:hint="eastAsia" w:eastAsia="宋体"/>
          <w:color w:val="auto"/>
          <w:szCs w:val="21"/>
          <w:highlight w:val="none"/>
          <w:lang w:eastAsia="zh-CN"/>
        </w:rPr>
      </w:pPr>
      <w:bookmarkStart w:id="148" w:name="_Toc14935"/>
      <w:r>
        <w:rPr>
          <w:rFonts w:ascii="宋体" w:hAnsi="宋体"/>
          <w:b/>
          <w:color w:val="auto"/>
          <w:sz w:val="32"/>
          <w:szCs w:val="32"/>
          <w:highlight w:val="none"/>
        </w:rPr>
        <w:t xml:space="preserve">第六章   </w:t>
      </w:r>
      <w:bookmarkEnd w:id="148"/>
      <w:r>
        <w:rPr>
          <w:rFonts w:hint="eastAsia" w:ascii="宋体" w:hAnsi="宋体"/>
          <w:b/>
          <w:color w:val="auto"/>
          <w:sz w:val="32"/>
          <w:szCs w:val="32"/>
          <w:highlight w:val="none"/>
          <w:lang w:eastAsia="zh-CN"/>
        </w:rPr>
        <w:t>评分办法和标准</w:t>
      </w:r>
    </w:p>
    <w:p>
      <w:pPr>
        <w:pStyle w:val="28"/>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2"/>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pPr>
        <w:pStyle w:val="12"/>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2"/>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2"/>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2"/>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28"/>
        <w:spacing w:line="520" w:lineRule="exact"/>
        <w:jc w:val="left"/>
        <w:rPr>
          <w:rFonts w:hint="eastAsia" w:ascii="宋体" w:hAnsi="宋体" w:cs="宋体"/>
          <w:b/>
          <w:color w:val="auto"/>
          <w:sz w:val="21"/>
          <w:szCs w:val="21"/>
          <w:highlight w:val="none"/>
        </w:rPr>
      </w:pPr>
      <w:bookmarkStart w:id="149" w:name="_Toc419886414"/>
      <w:r>
        <w:rPr>
          <w:rFonts w:hint="eastAsia" w:ascii="宋体" w:hAnsi="宋体" w:cs="宋体"/>
          <w:b/>
          <w:color w:val="auto"/>
          <w:sz w:val="21"/>
          <w:szCs w:val="21"/>
          <w:highlight w:val="none"/>
        </w:rPr>
        <w:t>三、评定方法</w:t>
      </w:r>
      <w:bookmarkEnd w:id="149"/>
      <w:r>
        <w:rPr>
          <w:rFonts w:hint="eastAsia" w:ascii="宋体" w:hAnsi="宋体" w:cs="宋体"/>
          <w:b/>
          <w:color w:val="auto"/>
          <w:sz w:val="21"/>
          <w:szCs w:val="21"/>
          <w:highlight w:val="none"/>
        </w:rPr>
        <w:t>（总分=1+2+3）</w:t>
      </w:r>
    </w:p>
    <w:tbl>
      <w:tblPr>
        <w:tblStyle w:val="2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拟对施工现场进行踏勘，能有效掌握地形地理因素，对</w:t>
            </w:r>
            <w:r>
              <w:rPr>
                <w:color w:val="auto"/>
                <w:sz w:val="21"/>
                <w:szCs w:val="21"/>
                <w:highlight w:val="none"/>
              </w:rPr>
              <w:t>各主要分部施工方法针对性强，施工技术方案详尽周密，工艺先进、方法科学、可行，能很好的指导具体施工合确保安全。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拟对施工现场进行踏勘，能了解实施地点的基本情况，</w:t>
            </w:r>
            <w:r>
              <w:rPr>
                <w:color w:val="auto"/>
                <w:sz w:val="21"/>
                <w:szCs w:val="21"/>
                <w:highlight w:val="none"/>
              </w:rPr>
              <w:t>各主要分部施工方法符合项目实际，施工技术方案齐全，工艺成熟、方法合理、可行，能指导具体施工并确保安全。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w:t>
            </w:r>
            <w:r>
              <w:rPr>
                <w:rFonts w:hint="eastAsia"/>
                <w:color w:val="auto"/>
                <w:sz w:val="21"/>
                <w:szCs w:val="21"/>
                <w:highlight w:val="none"/>
                <w:lang w:eastAsia="zh-CN"/>
              </w:rPr>
              <w:t>拟对施工现场进行踏勘，能掌握实施地点的基本情况，</w:t>
            </w:r>
            <w:r>
              <w:rPr>
                <w:color w:val="auto"/>
                <w:sz w:val="21"/>
                <w:szCs w:val="21"/>
                <w:highlight w:val="none"/>
              </w:rPr>
              <w:t xml:space="preserve">各主要分部施工方法基本符合项目实际，施工技术方案基本齐全，方法基本合理、基本可行，基本能指导具体施 工并确保安全。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w:t>
            </w:r>
            <w:r>
              <w:rPr>
                <w:rFonts w:hint="eastAsia"/>
                <w:color w:val="auto"/>
                <w:sz w:val="21"/>
                <w:szCs w:val="21"/>
                <w:highlight w:val="none"/>
                <w:lang w:eastAsia="zh-CN"/>
              </w:rPr>
              <w:t>拟对施工现场进行踏勘，能简单了解实施地点的基本情况，</w:t>
            </w:r>
            <w:r>
              <w:rPr>
                <w:color w:val="auto"/>
                <w:sz w:val="21"/>
                <w:szCs w:val="21"/>
                <w:highlight w:val="none"/>
              </w:rPr>
              <w:t>各主要分部施工方法针对性差，施工技术方案差， 工艺落后、方法不合理， 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w:t>
            </w:r>
            <w:r>
              <w:rPr>
                <w:rFonts w:hint="eastAsia"/>
                <w:color w:val="auto"/>
                <w:sz w:val="21"/>
                <w:szCs w:val="21"/>
                <w:highlight w:val="none"/>
                <w:lang w:eastAsia="zh-CN"/>
              </w:rPr>
              <w:t>完全</w:t>
            </w:r>
            <w:r>
              <w:rPr>
                <w:color w:val="auto"/>
                <w:sz w:val="21"/>
                <w:szCs w:val="21"/>
                <w:highlight w:val="none"/>
              </w:rPr>
              <w:t>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color w:val="auto"/>
                <w:sz w:val="21"/>
                <w:szCs w:val="21"/>
                <w:highlight w:val="none"/>
              </w:rPr>
              <w:t>。</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w:t>
            </w:r>
            <w:r>
              <w:rPr>
                <w:rFonts w:hint="eastAsia"/>
                <w:color w:val="auto"/>
                <w:sz w:val="21"/>
                <w:szCs w:val="21"/>
                <w:highlight w:val="none"/>
                <w:lang w:eastAsia="zh-CN"/>
              </w:rPr>
              <w:t>同步</w:t>
            </w:r>
            <w:r>
              <w:rPr>
                <w:color w:val="auto"/>
                <w:sz w:val="21"/>
                <w:szCs w:val="21"/>
                <w:highlight w:val="none"/>
              </w:rPr>
              <w:t>，</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w:t>
            </w:r>
            <w:r>
              <w:rPr>
                <w:rFonts w:hint="eastAsia"/>
                <w:color w:val="auto"/>
                <w:sz w:val="21"/>
                <w:szCs w:val="21"/>
                <w:highlight w:val="none"/>
                <w:lang w:eastAsia="zh-CN"/>
              </w:rPr>
              <w:t>基本同步</w:t>
            </w:r>
            <w:r>
              <w:rPr>
                <w:color w:val="auto"/>
                <w:spacing w:val="-10"/>
                <w:sz w:val="21"/>
                <w:szCs w:val="21"/>
                <w:highlight w:val="none"/>
              </w:rPr>
              <w:t>，基本满足施工需要，</w:t>
            </w:r>
            <w:r>
              <w:rPr>
                <w:color w:val="auto"/>
                <w:sz w:val="21"/>
                <w:szCs w:val="21"/>
                <w:highlight w:val="none"/>
              </w:rPr>
              <w:t xml:space="preserve">调配投入计划基本合理。 </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对本项目的建设进行详细分析，对拟</w:t>
            </w:r>
            <w:r>
              <w:rPr>
                <w:color w:val="auto"/>
                <w:sz w:val="21"/>
                <w:szCs w:val="21"/>
                <w:highlight w:val="none"/>
              </w:rPr>
              <w:t>投入的施工机械、设备、机具有详细的组织计划且计划周密，设备数量、选型配置、进场</w:t>
            </w:r>
            <w:r>
              <w:rPr>
                <w:rFonts w:hint="eastAsia"/>
                <w:color w:val="auto"/>
                <w:sz w:val="21"/>
                <w:szCs w:val="21"/>
                <w:highlight w:val="none"/>
                <w:lang w:eastAsia="zh-CN"/>
              </w:rPr>
              <w:t>退场</w:t>
            </w:r>
            <w:r>
              <w:rPr>
                <w:color w:val="auto"/>
                <w:sz w:val="21"/>
                <w:szCs w:val="21"/>
                <w:highlight w:val="none"/>
              </w:rPr>
              <w:t>时间安排合理，</w:t>
            </w:r>
            <w:r>
              <w:rPr>
                <w:rFonts w:hint="eastAsia"/>
                <w:color w:val="auto"/>
                <w:sz w:val="21"/>
                <w:szCs w:val="21"/>
                <w:highlight w:val="none"/>
                <w:lang w:eastAsia="zh-CN"/>
              </w:rPr>
              <w:t>完全</w:t>
            </w:r>
            <w:r>
              <w:rPr>
                <w:color w:val="auto"/>
                <w:sz w:val="21"/>
                <w:szCs w:val="21"/>
                <w:highlight w:val="none"/>
              </w:rPr>
              <w:t xml:space="preserve">满足施工需要。 </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对本项目的建设进行合理分析，对拟</w:t>
            </w:r>
            <w:r>
              <w:rPr>
                <w:color w:val="auto"/>
                <w:sz w:val="21"/>
                <w:szCs w:val="21"/>
                <w:highlight w:val="none"/>
              </w:rPr>
              <w:t>投入的施工</w:t>
            </w:r>
            <w:r>
              <w:rPr>
                <w:color w:val="auto"/>
                <w:spacing w:val="-10"/>
                <w:sz w:val="21"/>
                <w:szCs w:val="21"/>
                <w:highlight w:val="none"/>
              </w:rPr>
              <w:t>机械、设备、 机具有详细的组织计划，设备数量、选型配置、进场投入计划与进度计划呼</w:t>
            </w:r>
            <w:r>
              <w:rPr>
                <w:color w:val="auto"/>
                <w:spacing w:val="-13"/>
                <w:sz w:val="21"/>
                <w:szCs w:val="21"/>
                <w:highlight w:val="none"/>
              </w:rPr>
              <w:t xml:space="preserve">应，满足施工需要。 </w:t>
            </w:r>
          </w:p>
          <w:p>
            <w:pPr>
              <w:pStyle w:val="36"/>
              <w:keepNext w:val="0"/>
              <w:keepLines w:val="0"/>
              <w:pageBreakBefore w:val="0"/>
              <w:widowControl w:val="0"/>
              <w:kinsoku/>
              <w:wordWrap/>
              <w:overflowPunct/>
              <w:topLinePunct w:val="0"/>
              <w:autoSpaceDE/>
              <w:autoSpaceDN/>
              <w:bidi w:val="0"/>
              <w:adjustRightInd/>
              <w:snapToGrid/>
              <w:spacing w:line="360" w:lineRule="auto"/>
              <w:ind w:left="107" w:right="101" w:firstLine="368" w:firstLineChars="200"/>
              <w:textAlignment w:val="auto"/>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w:t>
            </w:r>
            <w:r>
              <w:rPr>
                <w:rFonts w:hint="eastAsia"/>
                <w:color w:val="auto"/>
                <w:sz w:val="21"/>
                <w:szCs w:val="21"/>
                <w:highlight w:val="none"/>
                <w:lang w:eastAsia="zh-CN"/>
              </w:rPr>
              <w:t>对本项目的建设分析到位，对拟</w:t>
            </w:r>
            <w:r>
              <w:rPr>
                <w:color w:val="auto"/>
                <w:spacing w:val="-3"/>
                <w:sz w:val="21"/>
                <w:szCs w:val="21"/>
                <w:highlight w:val="none"/>
              </w:rPr>
              <w:t>投入</w:t>
            </w:r>
            <w:r>
              <w:rPr>
                <w:rFonts w:ascii="宋体" w:hAnsi="宋体" w:eastAsia="宋体" w:cs="宋体"/>
                <w:color w:val="auto"/>
                <w:spacing w:val="-3"/>
                <w:sz w:val="21"/>
                <w:szCs w:val="21"/>
                <w:highlight w:val="none"/>
              </w:rPr>
              <w:t>的施工机械、设备、机具有组织计划，设备数量、选型配置、进场投入计划与进度计划</w:t>
            </w:r>
            <w:r>
              <w:rPr>
                <w:rFonts w:hint="eastAsia" w:ascii="宋体" w:hAnsi="宋体" w:eastAsia="宋体" w:cs="宋体"/>
                <w:color w:val="auto"/>
                <w:spacing w:val="-3"/>
                <w:sz w:val="21"/>
                <w:szCs w:val="21"/>
                <w:highlight w:val="none"/>
                <w:lang w:eastAsia="zh-CN"/>
              </w:rPr>
              <w:t>基本</w:t>
            </w:r>
            <w:r>
              <w:rPr>
                <w:rFonts w:ascii="宋体" w:hAnsi="宋体" w:eastAsia="宋体" w:cs="宋体"/>
                <w:color w:val="auto"/>
                <w:spacing w:val="-3"/>
                <w:sz w:val="21"/>
                <w:szCs w:val="21"/>
                <w:highlight w:val="none"/>
              </w:rPr>
              <w:t>呼应，</w:t>
            </w:r>
            <w:r>
              <w:rPr>
                <w:rFonts w:hint="eastAsia" w:ascii="宋体" w:hAnsi="宋体" w:eastAsia="宋体" w:cs="宋体"/>
                <w:color w:val="auto"/>
                <w:spacing w:val="-3"/>
                <w:sz w:val="21"/>
                <w:szCs w:val="21"/>
                <w:highlight w:val="none"/>
                <w:lang w:eastAsia="zh-CN"/>
              </w:rPr>
              <w:t>能</w:t>
            </w:r>
            <w:r>
              <w:rPr>
                <w:rFonts w:ascii="宋体" w:hAnsi="宋体" w:eastAsia="宋体" w:cs="宋体"/>
                <w:color w:val="auto"/>
                <w:spacing w:val="-3"/>
                <w:sz w:val="21"/>
                <w:szCs w:val="21"/>
                <w:highlight w:val="none"/>
              </w:rPr>
              <w:t xml:space="preserve">满足施工需要。 </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pacing w:val="-7"/>
                <w:sz w:val="21"/>
                <w:szCs w:val="21"/>
                <w:highlight w:val="none"/>
              </w:rPr>
              <w:t>：</w:t>
            </w:r>
            <w:r>
              <w:rPr>
                <w:rFonts w:hint="eastAsia"/>
                <w:color w:val="auto"/>
                <w:sz w:val="21"/>
                <w:szCs w:val="21"/>
                <w:highlight w:val="none"/>
                <w:lang w:eastAsia="zh-CN"/>
              </w:rPr>
              <w:t>对本项目的建设进行简单分析，对拟</w:t>
            </w:r>
            <w:r>
              <w:rPr>
                <w:color w:val="auto"/>
                <w:spacing w:val="-7"/>
                <w:sz w:val="21"/>
                <w:szCs w:val="21"/>
                <w:highlight w:val="none"/>
              </w:rPr>
              <w:t>投入的施工机械、</w:t>
            </w:r>
            <w:r>
              <w:rPr>
                <w:color w:val="auto"/>
                <w:spacing w:val="-10"/>
                <w:sz w:val="21"/>
                <w:szCs w:val="21"/>
                <w:highlight w:val="none"/>
              </w:rPr>
              <w:t>设备、机具组织计划差，</w:t>
            </w:r>
            <w:r>
              <w:rPr>
                <w:color w:val="auto"/>
                <w:sz w:val="21"/>
                <w:szCs w:val="21"/>
                <w:highlight w:val="none"/>
              </w:rPr>
              <w:t>投入计划与进度计划</w:t>
            </w:r>
            <w:r>
              <w:rPr>
                <w:rFonts w:hint="eastAsia"/>
                <w:color w:val="auto"/>
                <w:sz w:val="21"/>
                <w:szCs w:val="21"/>
                <w:highlight w:val="none"/>
                <w:lang w:eastAsia="zh-CN"/>
              </w:rPr>
              <w:t>难以</w:t>
            </w:r>
            <w:r>
              <w:rPr>
                <w:color w:val="auto"/>
                <w:sz w:val="21"/>
                <w:szCs w:val="21"/>
                <w:highlight w:val="none"/>
              </w:rPr>
              <w:t>呼应，</w:t>
            </w:r>
            <w:r>
              <w:rPr>
                <w:rFonts w:hint="eastAsia"/>
                <w:color w:val="auto"/>
                <w:sz w:val="21"/>
                <w:szCs w:val="21"/>
                <w:highlight w:val="none"/>
                <w:lang w:eastAsia="zh-CN"/>
              </w:rPr>
              <w:t>勉强</w:t>
            </w:r>
            <w:r>
              <w:rPr>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确保工程质量的技术组织措施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before="99" w:line="360" w:lineRule="auto"/>
              <w:ind w:left="107" w:firstLine="420" w:firstLineChars="200"/>
              <w:textAlignment w:val="auto"/>
              <w:rPr>
                <w:rFonts w:hint="eastAsia"/>
                <w:color w:val="auto"/>
                <w:sz w:val="21"/>
                <w:szCs w:val="21"/>
                <w:highlight w:val="none"/>
              </w:rPr>
            </w:pPr>
            <w:r>
              <w:rPr>
                <w:rFonts w:hint="eastAsia"/>
                <w:color w:val="auto"/>
                <w:sz w:val="21"/>
                <w:szCs w:val="21"/>
                <w:highlight w:val="none"/>
              </w:rPr>
              <w:t>评审专家自行对</w:t>
            </w:r>
            <w:r>
              <w:rPr>
                <w:color w:val="auto"/>
                <w:sz w:val="21"/>
                <w:szCs w:val="21"/>
                <w:highlight w:val="none"/>
              </w:rPr>
              <w:t>质量技术管理班子和制度</w:t>
            </w:r>
            <w:r>
              <w:rPr>
                <w:rFonts w:hint="eastAsia"/>
                <w:color w:val="auto"/>
                <w:sz w:val="21"/>
                <w:szCs w:val="21"/>
                <w:highlight w:val="none"/>
              </w:rPr>
              <w:t>是否完整、齐全，满足施工进度需要等各方面进行独立打分。</w:t>
            </w:r>
          </w:p>
          <w:p>
            <w:pPr>
              <w:pStyle w:val="36"/>
              <w:keepNext w:val="0"/>
              <w:keepLines w:val="0"/>
              <w:pageBreakBefore w:val="0"/>
              <w:widowControl w:val="0"/>
              <w:kinsoku/>
              <w:wordWrap/>
              <w:overflowPunct/>
              <w:topLinePunct w:val="0"/>
              <w:autoSpaceDE/>
              <w:autoSpaceDN/>
              <w:bidi w:val="0"/>
              <w:adjustRightInd/>
              <w:snapToGrid/>
              <w:spacing w:before="99"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分）：有</w:t>
            </w:r>
            <w:r>
              <w:rPr>
                <w:rFonts w:hint="eastAsia"/>
                <w:color w:val="auto"/>
                <w:sz w:val="21"/>
                <w:szCs w:val="21"/>
                <w:highlight w:val="none"/>
                <w:lang w:eastAsia="zh-CN"/>
              </w:rPr>
              <w:t>健全有效</w:t>
            </w:r>
            <w:r>
              <w:rPr>
                <w:color w:val="auto"/>
                <w:sz w:val="21"/>
                <w:szCs w:val="21"/>
                <w:highlight w:val="none"/>
              </w:rPr>
              <w:t>的质量技术管理班子和制度且</w:t>
            </w:r>
            <w:r>
              <w:rPr>
                <w:rFonts w:hint="eastAsia"/>
                <w:color w:val="auto"/>
                <w:sz w:val="21"/>
                <w:szCs w:val="21"/>
                <w:highlight w:val="none"/>
                <w:lang w:eastAsia="zh-CN"/>
              </w:rPr>
              <w:t>各质量管理</w:t>
            </w:r>
            <w:r>
              <w:rPr>
                <w:color w:val="auto"/>
                <w:sz w:val="21"/>
                <w:szCs w:val="21"/>
                <w:highlight w:val="none"/>
              </w:rPr>
              <w:t>人员配备合理。主要工序有先进、可行、具体</w:t>
            </w:r>
            <w:r>
              <w:rPr>
                <w:rFonts w:hint="eastAsia"/>
                <w:color w:val="auto"/>
                <w:sz w:val="21"/>
                <w:szCs w:val="21"/>
                <w:highlight w:val="none"/>
                <w:lang w:eastAsia="zh-CN"/>
              </w:rPr>
              <w:t>的</w:t>
            </w:r>
            <w:r>
              <w:rPr>
                <w:color w:val="auto"/>
                <w:sz w:val="21"/>
                <w:szCs w:val="21"/>
                <w:highlight w:val="none"/>
              </w:rPr>
              <w:t>质量技术保证措施和手段</w:t>
            </w:r>
            <w:r>
              <w:rPr>
                <w:rFonts w:hint="eastAsia"/>
                <w:color w:val="auto"/>
                <w:sz w:val="21"/>
                <w:szCs w:val="21"/>
                <w:highlight w:val="none"/>
                <w:lang w:eastAsia="zh-CN"/>
              </w:rPr>
              <w:t>，</w:t>
            </w:r>
            <w:r>
              <w:rPr>
                <w:color w:val="auto"/>
                <w:sz w:val="21"/>
                <w:szCs w:val="21"/>
                <w:highlight w:val="none"/>
              </w:rPr>
              <w:t>自控体系</w:t>
            </w:r>
            <w:r>
              <w:rPr>
                <w:rFonts w:hint="eastAsia"/>
                <w:color w:val="auto"/>
                <w:sz w:val="21"/>
                <w:szCs w:val="21"/>
                <w:highlight w:val="none"/>
                <w:lang w:eastAsia="zh-CN"/>
              </w:rPr>
              <w:t>完善，能完全达到采购文件的质量</w:t>
            </w:r>
            <w:r>
              <w:rPr>
                <w:color w:val="auto"/>
                <w:sz w:val="21"/>
                <w:szCs w:val="21"/>
                <w:highlight w:val="none"/>
              </w:rPr>
              <w:t>要求及</w:t>
            </w:r>
            <w:r>
              <w:rPr>
                <w:rFonts w:hint="eastAsia"/>
                <w:color w:val="auto"/>
                <w:sz w:val="21"/>
                <w:szCs w:val="21"/>
                <w:highlight w:val="none"/>
                <w:lang w:eastAsia="zh-CN"/>
              </w:rPr>
              <w:t>国家的</w:t>
            </w:r>
            <w:r>
              <w:rPr>
                <w:color w:val="auto"/>
                <w:sz w:val="21"/>
                <w:szCs w:val="21"/>
                <w:highlight w:val="none"/>
              </w:rPr>
              <w:t>施工验收规范要求。</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：有</w:t>
            </w:r>
            <w:r>
              <w:rPr>
                <w:rFonts w:hint="eastAsia"/>
                <w:color w:val="auto"/>
                <w:sz w:val="21"/>
                <w:szCs w:val="21"/>
                <w:highlight w:val="none"/>
                <w:lang w:eastAsia="zh-CN"/>
              </w:rPr>
              <w:t>完善</w:t>
            </w:r>
            <w:r>
              <w:rPr>
                <w:color w:val="auto"/>
                <w:sz w:val="21"/>
                <w:szCs w:val="21"/>
                <w:highlight w:val="none"/>
              </w:rPr>
              <w:t>的质量技术管理班子和制度，且</w:t>
            </w:r>
            <w:r>
              <w:rPr>
                <w:rFonts w:hint="eastAsia"/>
                <w:color w:val="auto"/>
                <w:sz w:val="21"/>
                <w:szCs w:val="21"/>
                <w:highlight w:val="none"/>
                <w:lang w:eastAsia="zh-CN"/>
              </w:rPr>
              <w:t>质量管理</w:t>
            </w:r>
            <w:r>
              <w:rPr>
                <w:color w:val="auto"/>
                <w:sz w:val="21"/>
                <w:szCs w:val="21"/>
                <w:highlight w:val="none"/>
              </w:rPr>
              <w:t>人员配备合理。主要工序有质量技术保证措施和手段，自控体系完整，能有效保证技术质量。</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 xml:space="preserve">：质量技术管理班子人员配备基本合理，制度基本健全。主要工序有质量技术保证措施和手段，能有效保证技术质量，满足招标文件的质量要求。 </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：质量技术管理班子人员配备不合理，制度不健全。质量技术保证措施和手段不可行，没有质量违约责任诺。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确保安全生产的技术组织措施（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w:t>
            </w:r>
            <w:r>
              <w:rPr>
                <w:rFonts w:hint="eastAsia" w:ascii="宋体" w:hAnsi="宋体" w:eastAsia="宋体" w:cs="宋体"/>
                <w:color w:val="auto"/>
                <w:sz w:val="21"/>
                <w:szCs w:val="21"/>
                <w:highlight w:val="none"/>
                <w:lang w:eastAsia="zh-CN"/>
              </w:rPr>
              <w:t>经验丰富的</w:t>
            </w:r>
            <w:r>
              <w:rPr>
                <w:rFonts w:ascii="宋体" w:hAnsi="宋体" w:eastAsia="宋体" w:cs="宋体"/>
                <w:color w:val="auto"/>
                <w:sz w:val="21"/>
                <w:szCs w:val="21"/>
                <w:highlight w:val="none"/>
              </w:rPr>
              <w:t>专职安全员，</w:t>
            </w:r>
            <w:r>
              <w:rPr>
                <w:rFonts w:hint="eastAsia" w:cs="宋体"/>
                <w:color w:val="auto"/>
                <w:sz w:val="21"/>
                <w:szCs w:val="21"/>
                <w:highlight w:val="none"/>
                <w:lang w:eastAsia="zh-CN"/>
              </w:rPr>
              <w:t>各管理</w:t>
            </w:r>
            <w:r>
              <w:rPr>
                <w:rFonts w:ascii="宋体" w:hAnsi="宋体" w:eastAsia="宋体" w:cs="宋体"/>
                <w:color w:val="auto"/>
                <w:sz w:val="21"/>
                <w:szCs w:val="21"/>
                <w:highlight w:val="none"/>
              </w:rPr>
              <w:t>人员配备</w:t>
            </w:r>
            <w:r>
              <w:rPr>
                <w:rFonts w:hint="eastAsia" w:cs="宋体"/>
                <w:color w:val="auto"/>
                <w:sz w:val="21"/>
                <w:szCs w:val="21"/>
                <w:highlight w:val="none"/>
                <w:lang w:eastAsia="zh-CN"/>
              </w:rPr>
              <w:t>完善</w:t>
            </w:r>
            <w:r>
              <w:rPr>
                <w:rFonts w:ascii="宋体" w:hAnsi="宋体" w:eastAsia="宋体" w:cs="宋体"/>
                <w:color w:val="auto"/>
                <w:sz w:val="21"/>
                <w:szCs w:val="21"/>
                <w:highlight w:val="none"/>
              </w:rPr>
              <w:t>合理。有健全的安全管理制度，各道工序安全技术措施针对性强，符合实际且高于国家有关安全技术标准要求。现场防火、应急救援、社会治安安全措施得力</w:t>
            </w:r>
            <w:r>
              <w:rPr>
                <w:rFonts w:hint="eastAsia" w:ascii="宋体" w:hAnsi="宋体" w:eastAsia="宋体" w:cs="宋体"/>
                <w:color w:val="auto"/>
                <w:sz w:val="21"/>
                <w:szCs w:val="21"/>
                <w:highlight w:val="none"/>
                <w:lang w:eastAsia="zh-CN"/>
              </w:rPr>
              <w:t>，能全面保障施工期内安全生产</w:t>
            </w:r>
            <w:r>
              <w:rPr>
                <w:rFonts w:ascii="宋体" w:hAnsi="宋体" w:eastAsia="宋体" w:cs="宋体"/>
                <w:color w:val="auto"/>
                <w:sz w:val="21"/>
                <w:szCs w:val="21"/>
                <w:highlight w:val="none"/>
              </w:rPr>
              <w:t>。</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eastAsia="zh-CN"/>
              </w:rPr>
              <w:t>各管理</w:t>
            </w:r>
            <w:r>
              <w:rPr>
                <w:rFonts w:ascii="宋体" w:hAnsi="宋体" w:eastAsia="宋体" w:cs="宋体"/>
                <w:color w:val="auto"/>
                <w:sz w:val="21"/>
                <w:szCs w:val="21"/>
                <w:highlight w:val="none"/>
              </w:rPr>
              <w:t>人员</w:t>
            </w:r>
            <w:r>
              <w:rPr>
                <w:color w:val="auto"/>
                <w:sz w:val="21"/>
                <w:szCs w:val="21"/>
                <w:highlight w:val="none"/>
              </w:rPr>
              <w:t>配备合理，有</w:t>
            </w:r>
            <w:r>
              <w:rPr>
                <w:rFonts w:hint="eastAsia"/>
                <w:color w:val="auto"/>
                <w:sz w:val="21"/>
                <w:szCs w:val="21"/>
                <w:highlight w:val="none"/>
                <w:lang w:eastAsia="zh-CN"/>
              </w:rPr>
              <w:t>完整</w:t>
            </w:r>
            <w:r>
              <w:rPr>
                <w:color w:val="auto"/>
                <w:sz w:val="21"/>
                <w:szCs w:val="21"/>
                <w:highlight w:val="none"/>
              </w:rPr>
              <w:t>的安全管理制度，各道工序安全技术措施符合实际有关安全技术标准要求。现场防火、应急救援、社会治安安全措施合理</w:t>
            </w:r>
            <w:r>
              <w:rPr>
                <w:rFonts w:hint="eastAsia"/>
                <w:color w:val="auto"/>
                <w:sz w:val="21"/>
                <w:szCs w:val="21"/>
                <w:highlight w:val="none"/>
                <w:lang w:eastAsia="zh-CN"/>
              </w:rPr>
              <w:t>，在施工期内进行安全生产工作</w:t>
            </w:r>
            <w:r>
              <w:rPr>
                <w:color w:val="auto"/>
                <w:sz w:val="21"/>
                <w:szCs w:val="21"/>
                <w:highlight w:val="none"/>
              </w:rPr>
              <w:t>。</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w:t>
            </w:r>
            <w:r>
              <w:rPr>
                <w:rFonts w:hint="eastAsia" w:cs="宋体"/>
                <w:color w:val="auto"/>
                <w:sz w:val="21"/>
                <w:szCs w:val="21"/>
                <w:highlight w:val="none"/>
                <w:lang w:eastAsia="zh-CN"/>
              </w:rPr>
              <w:t>各管理</w:t>
            </w:r>
            <w:r>
              <w:rPr>
                <w:color w:val="auto"/>
                <w:sz w:val="21"/>
                <w:szCs w:val="21"/>
                <w:highlight w:val="none"/>
              </w:rPr>
              <w:t>人员配备基本合理，安全管理制度基本健全，各道工序安全技术措施基本符合实际，基本满足有关安全技术标准要求。现场防火、应急救援、社会治安安全措施基本合理。</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：有配备满足项目要求的专职安全员，</w:t>
            </w:r>
            <w:r>
              <w:rPr>
                <w:rFonts w:hint="eastAsia" w:cs="宋体"/>
                <w:color w:val="auto"/>
                <w:sz w:val="21"/>
                <w:szCs w:val="21"/>
                <w:highlight w:val="none"/>
                <w:lang w:eastAsia="zh-CN"/>
              </w:rPr>
              <w:t>各管理</w:t>
            </w:r>
            <w:r>
              <w:rPr>
                <w:color w:val="auto"/>
                <w:sz w:val="21"/>
                <w:szCs w:val="21"/>
                <w:highlight w:val="none"/>
              </w:rPr>
              <w:t>人员配备基本</w:t>
            </w:r>
            <w:r>
              <w:rPr>
                <w:rFonts w:hint="eastAsia"/>
                <w:color w:val="auto"/>
                <w:sz w:val="21"/>
                <w:szCs w:val="21"/>
                <w:highlight w:val="none"/>
                <w:lang w:eastAsia="zh-CN"/>
              </w:rPr>
              <w:t>合理</w:t>
            </w:r>
            <w:r>
              <w:rPr>
                <w:color w:val="auto"/>
                <w:sz w:val="21"/>
                <w:szCs w:val="21"/>
                <w:highlight w:val="none"/>
              </w:rPr>
              <w:t>，安全管理制度不</w:t>
            </w:r>
            <w:r>
              <w:rPr>
                <w:rFonts w:hint="eastAsia"/>
                <w:color w:val="auto"/>
                <w:sz w:val="21"/>
                <w:szCs w:val="21"/>
                <w:highlight w:val="none"/>
                <w:lang w:eastAsia="zh-CN"/>
              </w:rPr>
              <w:t>完整</w:t>
            </w:r>
            <w:r>
              <w:rPr>
                <w:color w:val="auto"/>
                <w:sz w:val="21"/>
                <w:szCs w:val="21"/>
                <w:highlight w:val="none"/>
              </w:rPr>
              <w:t>，各道工序安全技术措施基本符合实际，不能满足有关安全技术标准要求。现场防火、应急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w:t>
            </w:r>
            <w:r>
              <w:rPr>
                <w:color w:val="auto"/>
                <w:sz w:val="21"/>
                <w:szCs w:val="21"/>
                <w:highlight w:val="none"/>
              </w:rPr>
              <w:t>工种劳动力安排计划</w:t>
            </w:r>
            <w:r>
              <w:rPr>
                <w:rFonts w:hint="eastAsia"/>
                <w:color w:val="auto"/>
                <w:sz w:val="21"/>
                <w:szCs w:val="21"/>
                <w:highlight w:val="none"/>
                <w:lang w:eastAsia="zh-CN"/>
              </w:rPr>
              <w:t>、</w:t>
            </w:r>
            <w:r>
              <w:rPr>
                <w:color w:val="auto"/>
                <w:sz w:val="21"/>
                <w:szCs w:val="21"/>
                <w:highlight w:val="none"/>
              </w:rPr>
              <w:t>劳动力投入与进度计划</w:t>
            </w:r>
            <w:r>
              <w:rPr>
                <w:rFonts w:hint="eastAsia"/>
                <w:color w:val="auto"/>
                <w:sz w:val="21"/>
                <w:szCs w:val="21"/>
                <w:highlight w:val="none"/>
                <w:lang w:eastAsia="zh-CN"/>
              </w:rPr>
              <w:t>是否合理、健全、可行性等各方面进行独立打分。</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优（6分）</w:t>
            </w:r>
            <w:r>
              <w:rPr>
                <w:color w:val="auto"/>
                <w:sz w:val="21"/>
                <w:szCs w:val="21"/>
                <w:highlight w:val="none"/>
              </w:rPr>
              <w:t>：各主要施工工序有详细周密的劳动力安排计划，各工种劳动力安排计划齐全，</w:t>
            </w:r>
            <w:r>
              <w:rPr>
                <w:rFonts w:hint="eastAsia"/>
                <w:color w:val="auto"/>
                <w:sz w:val="21"/>
                <w:szCs w:val="21"/>
                <w:highlight w:val="none"/>
                <w:lang w:eastAsia="zh-CN"/>
              </w:rPr>
              <w:t>拟投入的</w:t>
            </w:r>
            <w:r>
              <w:rPr>
                <w:color w:val="auto"/>
                <w:sz w:val="21"/>
                <w:szCs w:val="21"/>
                <w:highlight w:val="none"/>
              </w:rPr>
              <w:t>劳动力与进度计划呼应合理</w:t>
            </w:r>
            <w:r>
              <w:rPr>
                <w:rFonts w:hint="eastAsia"/>
                <w:color w:val="auto"/>
                <w:sz w:val="21"/>
                <w:szCs w:val="21"/>
                <w:highlight w:val="none"/>
                <w:lang w:eastAsia="zh-CN"/>
              </w:rPr>
              <w:t>且丰富，能完全</w:t>
            </w:r>
            <w:r>
              <w:rPr>
                <w:color w:val="auto"/>
                <w:sz w:val="21"/>
                <w:szCs w:val="21"/>
                <w:highlight w:val="none"/>
              </w:rPr>
              <w:t>满</w:t>
            </w:r>
            <w:r>
              <w:rPr>
                <w:rFonts w:ascii="宋体" w:hAnsi="宋体" w:eastAsia="宋体" w:cs="宋体"/>
                <w:color w:val="auto"/>
                <w:sz w:val="21"/>
                <w:szCs w:val="21"/>
                <w:highlight w:val="none"/>
              </w:rPr>
              <w:t>足施工需要</w:t>
            </w:r>
            <w:r>
              <w:rPr>
                <w:rFonts w:hint="eastAsia" w:ascii="宋体" w:hAnsi="宋体" w:eastAsia="宋体" w:cs="宋体"/>
                <w:color w:val="auto"/>
                <w:sz w:val="21"/>
                <w:szCs w:val="21"/>
                <w:highlight w:val="none"/>
                <w:lang w:eastAsia="zh-CN"/>
              </w:rPr>
              <w:t>，能有效保证施工计划顺利运行</w:t>
            </w:r>
            <w:r>
              <w:rPr>
                <w:rFonts w:ascii="宋体" w:hAnsi="宋体" w:eastAsia="宋体" w:cs="宋体"/>
                <w:color w:val="auto"/>
                <w:sz w:val="21"/>
                <w:szCs w:val="21"/>
                <w:highlight w:val="none"/>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w:t>
            </w:r>
            <w:r>
              <w:rPr>
                <w:rFonts w:hint="eastAsia" w:ascii="宋体" w:hAnsi="宋体" w:eastAsia="宋体" w:cs="宋体"/>
                <w:color w:val="auto"/>
                <w:sz w:val="21"/>
                <w:szCs w:val="21"/>
                <w:highlight w:val="none"/>
                <w:lang w:eastAsia="zh-CN"/>
              </w:rPr>
              <w:t>完整</w:t>
            </w:r>
            <w:r>
              <w:rPr>
                <w:rFonts w:ascii="宋体" w:hAnsi="宋体" w:eastAsia="宋体" w:cs="宋体"/>
                <w:color w:val="auto"/>
                <w:sz w:val="21"/>
                <w:szCs w:val="21"/>
                <w:highlight w:val="none"/>
              </w:rPr>
              <w:t>的劳动力安排计划，各工种劳动力安排计划投入合理，</w:t>
            </w:r>
            <w:r>
              <w:rPr>
                <w:rFonts w:hint="eastAsia" w:ascii="宋体" w:hAnsi="宋体" w:eastAsia="宋体" w:cs="宋体"/>
                <w:color w:val="auto"/>
                <w:sz w:val="21"/>
                <w:szCs w:val="21"/>
                <w:highlight w:val="none"/>
                <w:lang w:eastAsia="zh-CN"/>
              </w:rPr>
              <w:t>能</w:t>
            </w:r>
            <w:r>
              <w:rPr>
                <w:rFonts w:ascii="宋体" w:hAnsi="宋体" w:eastAsia="宋体" w:cs="宋体"/>
                <w:color w:val="auto"/>
                <w:sz w:val="21"/>
                <w:szCs w:val="21"/>
                <w:highlight w:val="none"/>
              </w:rPr>
              <w:t>满足施工</w:t>
            </w:r>
            <w:r>
              <w:rPr>
                <w:rFonts w:hint="eastAsia" w:ascii="宋体" w:hAnsi="宋体" w:eastAsia="宋体" w:cs="宋体"/>
                <w:color w:val="auto"/>
                <w:sz w:val="21"/>
                <w:szCs w:val="21"/>
                <w:highlight w:val="none"/>
                <w:lang w:eastAsia="zh-CN"/>
              </w:rPr>
              <w:t>内容的要求，保证施工计划正常运行</w:t>
            </w:r>
            <w:r>
              <w:rPr>
                <w:rFonts w:ascii="宋体" w:hAnsi="宋体" w:eastAsia="宋体" w:cs="宋体"/>
                <w:color w:val="auto"/>
                <w:sz w:val="21"/>
                <w:szCs w:val="21"/>
                <w:highlight w:val="none"/>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：有保证工期的具体措施且措施得力。各项计划图表编制详尽周密，安排科学合理，</w:t>
            </w:r>
            <w:r>
              <w:rPr>
                <w:rFonts w:hint="eastAsia"/>
                <w:color w:val="auto"/>
                <w:sz w:val="21"/>
                <w:szCs w:val="21"/>
                <w:highlight w:val="none"/>
                <w:lang w:eastAsia="zh-CN"/>
              </w:rPr>
              <w:t>能完全</w:t>
            </w:r>
            <w:r>
              <w:rPr>
                <w:color w:val="auto"/>
                <w:sz w:val="21"/>
                <w:szCs w:val="21"/>
                <w:highlight w:val="none"/>
              </w:rPr>
              <w:t>符合本项目施工实际要求</w:t>
            </w:r>
            <w:r>
              <w:rPr>
                <w:rFonts w:hint="eastAsia"/>
                <w:color w:val="auto"/>
                <w:sz w:val="21"/>
                <w:szCs w:val="21"/>
                <w:highlight w:val="none"/>
                <w:lang w:eastAsia="zh-CN"/>
              </w:rPr>
              <w:t>，对项目施工进度有良好的推动作用</w:t>
            </w:r>
            <w:r>
              <w:rPr>
                <w:color w:val="auto"/>
                <w:sz w:val="21"/>
                <w:szCs w:val="21"/>
                <w:highlight w:val="none"/>
              </w:rPr>
              <w:t xml:space="preserve">。 </w:t>
            </w:r>
          </w:p>
          <w:p>
            <w:pPr>
              <w:pStyle w:val="36"/>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分）：有保证工期的具体措施且措施得当。各项计划图表编制完善，安排合理，</w:t>
            </w:r>
            <w:r>
              <w:rPr>
                <w:rFonts w:hint="eastAsia"/>
                <w:color w:val="auto"/>
                <w:sz w:val="21"/>
                <w:szCs w:val="21"/>
                <w:highlight w:val="none"/>
                <w:lang w:eastAsia="zh-CN"/>
              </w:rPr>
              <w:t>能</w:t>
            </w:r>
            <w:r>
              <w:rPr>
                <w:color w:val="auto"/>
                <w:sz w:val="21"/>
                <w:szCs w:val="21"/>
                <w:highlight w:val="none"/>
              </w:rPr>
              <w:t>符合本项目施工</w:t>
            </w:r>
            <w:r>
              <w:rPr>
                <w:color w:val="auto"/>
                <w:spacing w:val="-12"/>
                <w:sz w:val="21"/>
                <w:szCs w:val="21"/>
                <w:highlight w:val="none"/>
              </w:rPr>
              <w:t>实际要求</w:t>
            </w:r>
            <w:r>
              <w:rPr>
                <w:rFonts w:hint="eastAsia"/>
                <w:color w:val="auto"/>
                <w:spacing w:val="-12"/>
                <w:sz w:val="21"/>
                <w:szCs w:val="21"/>
                <w:highlight w:val="none"/>
                <w:lang w:eastAsia="zh-CN"/>
              </w:rPr>
              <w:t>，能保证施工工期顺利进行</w:t>
            </w:r>
            <w:r>
              <w:rPr>
                <w:color w:val="auto"/>
                <w:spacing w:val="-12"/>
                <w:sz w:val="21"/>
                <w:szCs w:val="21"/>
                <w:highlight w:val="none"/>
              </w:rPr>
              <w:t>。</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372" w:firstLineChars="200"/>
              <w:textAlignment w:val="auto"/>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保证工期措施基本得当。各项计划图表编制基本齐全，安排基本合理，</w:t>
            </w:r>
            <w:r>
              <w:rPr>
                <w:rFonts w:hint="eastAsia"/>
                <w:color w:val="auto"/>
                <w:sz w:val="21"/>
                <w:szCs w:val="21"/>
                <w:highlight w:val="none"/>
                <w:lang w:eastAsia="zh-CN"/>
              </w:rPr>
              <w:t>能在保证要求的工期内</w:t>
            </w:r>
            <w:r>
              <w:rPr>
                <w:color w:val="auto"/>
                <w:sz w:val="21"/>
                <w:szCs w:val="21"/>
                <w:highlight w:val="none"/>
              </w:rPr>
              <w:t xml:space="preserve">符合施工要求。 </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w:t>
            </w:r>
            <w:r>
              <w:rPr>
                <w:rFonts w:hint="eastAsia"/>
                <w:color w:val="auto"/>
                <w:sz w:val="21"/>
                <w:szCs w:val="21"/>
                <w:highlight w:val="none"/>
                <w:lang w:eastAsia="zh-CN"/>
              </w:rPr>
              <w:t>简单的</w:t>
            </w:r>
            <w:r>
              <w:rPr>
                <w:color w:val="auto"/>
                <w:sz w:val="21"/>
                <w:szCs w:val="21"/>
                <w:highlight w:val="none"/>
              </w:rPr>
              <w:t>保证工期措施。各项计划图表编制</w:t>
            </w:r>
            <w:r>
              <w:rPr>
                <w:rFonts w:hint="eastAsia"/>
                <w:color w:val="auto"/>
                <w:sz w:val="21"/>
                <w:szCs w:val="21"/>
                <w:highlight w:val="none"/>
                <w:lang w:eastAsia="zh-CN"/>
              </w:rPr>
              <w:t>简单</w:t>
            </w:r>
            <w:r>
              <w:rPr>
                <w:color w:val="auto"/>
                <w:sz w:val="21"/>
                <w:szCs w:val="21"/>
                <w:highlight w:val="none"/>
              </w:rPr>
              <w:t>，安排不合理，</w:t>
            </w:r>
            <w:r>
              <w:rPr>
                <w:rFonts w:hint="eastAsia"/>
                <w:color w:val="auto"/>
                <w:sz w:val="21"/>
                <w:szCs w:val="21"/>
                <w:highlight w:val="none"/>
                <w:lang w:eastAsia="zh-CN"/>
              </w:rPr>
              <w:t>勉强能</w:t>
            </w:r>
            <w:r>
              <w:rPr>
                <w:color w:val="auto"/>
                <w:sz w:val="21"/>
                <w:szCs w:val="21"/>
                <w:highlight w:val="none"/>
              </w:rPr>
              <w:t>满足本项目施工</w:t>
            </w:r>
            <w:r>
              <w:rPr>
                <w:rFonts w:hint="eastAsia"/>
                <w:color w:val="auto"/>
                <w:sz w:val="21"/>
                <w:szCs w:val="21"/>
                <w:highlight w:val="none"/>
                <w:lang w:eastAsia="zh-CN"/>
              </w:rPr>
              <w:t>基本</w:t>
            </w:r>
            <w:r>
              <w:rPr>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pPr>
              <w:pStyle w:val="36"/>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：现场文明施工、环境保护措施和内容</w:t>
            </w:r>
            <w:r>
              <w:rPr>
                <w:color w:val="auto"/>
                <w:spacing w:val="-10"/>
                <w:sz w:val="21"/>
                <w:szCs w:val="21"/>
                <w:highlight w:val="none"/>
              </w:rPr>
              <w:t>周全、</w:t>
            </w:r>
            <w:r>
              <w:rPr>
                <w:color w:val="auto"/>
                <w:sz w:val="21"/>
                <w:szCs w:val="21"/>
                <w:highlight w:val="none"/>
              </w:rPr>
              <w:t>具体、有效的</w:t>
            </w:r>
            <w:r>
              <w:rPr>
                <w:rFonts w:hint="eastAsia"/>
                <w:color w:val="auto"/>
                <w:sz w:val="21"/>
                <w:szCs w:val="21"/>
                <w:highlight w:val="none"/>
                <w:lang w:eastAsia="zh-CN"/>
              </w:rPr>
              <w:t>，能全面</w:t>
            </w:r>
            <w:r>
              <w:rPr>
                <w:color w:val="auto"/>
                <w:sz w:val="21"/>
                <w:szCs w:val="21"/>
                <w:highlight w:val="none"/>
              </w:rPr>
              <w:t>达到</w:t>
            </w:r>
            <w:r>
              <w:rPr>
                <w:rFonts w:hint="eastAsia"/>
                <w:color w:val="auto"/>
                <w:sz w:val="21"/>
                <w:szCs w:val="21"/>
                <w:highlight w:val="none"/>
                <w:lang w:eastAsia="zh-CN"/>
              </w:rPr>
              <w:t>相关施工安全生产标准或文明施工等</w:t>
            </w:r>
            <w:r>
              <w:rPr>
                <w:color w:val="auto"/>
                <w:sz w:val="21"/>
                <w:szCs w:val="21"/>
                <w:highlight w:val="none"/>
              </w:rPr>
              <w:t xml:space="preserve">要求。 </w:t>
            </w:r>
          </w:p>
          <w:p>
            <w:pPr>
              <w:pStyle w:val="36"/>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w:t>
            </w:r>
            <w:r>
              <w:rPr>
                <w:rFonts w:hint="eastAsia"/>
                <w:color w:val="auto"/>
                <w:sz w:val="21"/>
                <w:szCs w:val="21"/>
                <w:highlight w:val="none"/>
                <w:lang w:eastAsia="zh-CN"/>
              </w:rPr>
              <w:t>具体，可以</w:t>
            </w:r>
            <w:r>
              <w:rPr>
                <w:color w:val="auto"/>
                <w:sz w:val="21"/>
                <w:szCs w:val="21"/>
                <w:highlight w:val="none"/>
              </w:rPr>
              <w:t>达到</w:t>
            </w:r>
            <w:r>
              <w:rPr>
                <w:rFonts w:hint="eastAsia"/>
                <w:color w:val="auto"/>
                <w:sz w:val="21"/>
                <w:szCs w:val="21"/>
                <w:highlight w:val="none"/>
                <w:lang w:eastAsia="zh-CN"/>
              </w:rPr>
              <w:t>相关施工安全生产标准或文明施工要求的</w:t>
            </w:r>
            <w:r>
              <w:rPr>
                <w:color w:val="auto"/>
                <w:sz w:val="21"/>
                <w:szCs w:val="21"/>
                <w:highlight w:val="none"/>
              </w:rPr>
              <w:t xml:space="preserve">。 </w:t>
            </w:r>
          </w:p>
          <w:p>
            <w:pPr>
              <w:pStyle w:val="36"/>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w:t>
            </w:r>
          </w:p>
          <w:p>
            <w:pPr>
              <w:pStyle w:val="36"/>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z w:val="21"/>
                <w:szCs w:val="21"/>
                <w:highlight w:val="none"/>
                <w:lang w:eastAsia="zh-CN"/>
              </w:rPr>
              <w:t>有监督的</w:t>
            </w:r>
            <w:r>
              <w:rPr>
                <w:color w:val="auto"/>
                <w:sz w:val="21"/>
                <w:szCs w:val="21"/>
                <w:highlight w:val="none"/>
              </w:rPr>
              <w:t>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pPr>
              <w:pStyle w:val="36"/>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color w:val="auto"/>
                <w:sz w:val="21"/>
                <w:szCs w:val="21"/>
                <w:highlight w:val="none"/>
              </w:rPr>
              <w:t>：针对该项目的难点、重点</w:t>
            </w:r>
            <w:r>
              <w:rPr>
                <w:rFonts w:hint="eastAsia"/>
                <w:color w:val="auto"/>
                <w:sz w:val="21"/>
                <w:szCs w:val="21"/>
                <w:highlight w:val="none"/>
                <w:lang w:eastAsia="zh-CN"/>
              </w:rPr>
              <w:t>进行深入</w:t>
            </w:r>
            <w:r>
              <w:rPr>
                <w:color w:val="auto"/>
                <w:sz w:val="21"/>
                <w:szCs w:val="21"/>
                <w:highlight w:val="none"/>
              </w:rPr>
              <w:t>详细分析，</w:t>
            </w:r>
            <w:r>
              <w:rPr>
                <w:rFonts w:hint="eastAsia"/>
                <w:color w:val="auto"/>
                <w:sz w:val="21"/>
                <w:szCs w:val="21"/>
                <w:highlight w:val="none"/>
                <w:lang w:eastAsia="zh-CN"/>
              </w:rPr>
              <w:t>提出有效合理的措施，对</w:t>
            </w:r>
            <w:r>
              <w:rPr>
                <w:color w:val="auto"/>
                <w:sz w:val="21"/>
                <w:szCs w:val="21"/>
                <w:highlight w:val="none"/>
              </w:rPr>
              <w:t>重点考虑各部分施工如何相互</w:t>
            </w:r>
            <w:r>
              <w:rPr>
                <w:rFonts w:hint="eastAsia" w:ascii="宋体" w:hAnsi="宋体" w:eastAsia="宋体" w:cs="宋体"/>
                <w:color w:val="auto"/>
                <w:sz w:val="21"/>
                <w:szCs w:val="21"/>
                <w:highlight w:val="none"/>
                <w:lang w:eastAsia="zh-CN"/>
              </w:rPr>
              <w:t xml:space="preserve">交叉和衔接，以保证施工质量效果和设计效果的完美统一。 </w:t>
            </w:r>
          </w:p>
          <w:p>
            <w:pPr>
              <w:pStyle w:val="36"/>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提出合理的措施，</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pPr>
              <w:pStyle w:val="36"/>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 xml:space="preserve">：针对该项目的难点、重点分析不具体，各部分施工如何相互交叉和衔接不合理， 施工质量效果和设计效果有较大差距。 </w:t>
            </w:r>
          </w:p>
          <w:p>
            <w:pPr>
              <w:pStyle w:val="36"/>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w:t>
            </w:r>
            <w:r>
              <w:rPr>
                <w:rFonts w:hint="eastAsia"/>
                <w:color w:val="auto"/>
                <w:sz w:val="21"/>
                <w:szCs w:val="21"/>
                <w:highlight w:val="none"/>
                <w:lang w:eastAsia="zh-CN"/>
              </w:rPr>
              <w:t>施工总平面图</w:t>
            </w:r>
            <w:r>
              <w:rPr>
                <w:color w:val="auto"/>
                <w:sz w:val="21"/>
                <w:szCs w:val="21"/>
                <w:highlight w:val="none"/>
              </w:rPr>
              <w:t>总体布置有针对性，</w:t>
            </w:r>
            <w:r>
              <w:rPr>
                <w:rFonts w:hint="eastAsia"/>
                <w:color w:val="auto"/>
                <w:sz w:val="21"/>
                <w:szCs w:val="21"/>
                <w:highlight w:val="none"/>
                <w:lang w:eastAsia="zh-CN"/>
              </w:rPr>
              <w:t>对施工期内工作、休息、生活、仓储、检测等各区域进行科学、合理分配，完全有效能进行安全施工，文明生产等要求</w:t>
            </w:r>
            <w:r>
              <w:rPr>
                <w:color w:val="auto"/>
                <w:sz w:val="21"/>
                <w:szCs w:val="21"/>
                <w:highlight w:val="none"/>
              </w:rPr>
              <w:t xml:space="preserve">。 </w:t>
            </w:r>
          </w:p>
          <w:p>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w:t>
            </w:r>
            <w:r>
              <w:rPr>
                <w:rFonts w:hint="eastAsia"/>
                <w:color w:val="auto"/>
                <w:sz w:val="21"/>
                <w:szCs w:val="21"/>
                <w:highlight w:val="none"/>
                <w:lang w:eastAsia="zh-CN"/>
              </w:rPr>
              <w:t>施工总平面图</w:t>
            </w:r>
            <w:r>
              <w:rPr>
                <w:color w:val="auto"/>
                <w:sz w:val="21"/>
                <w:szCs w:val="21"/>
                <w:highlight w:val="none"/>
              </w:rPr>
              <w:t>总体布置</w:t>
            </w:r>
            <w:r>
              <w:rPr>
                <w:rFonts w:hint="eastAsia"/>
                <w:color w:val="auto"/>
                <w:sz w:val="21"/>
                <w:szCs w:val="21"/>
                <w:highlight w:val="none"/>
                <w:lang w:eastAsia="zh-CN"/>
              </w:rPr>
              <w:t>完整</w:t>
            </w:r>
            <w:r>
              <w:rPr>
                <w:color w:val="auto"/>
                <w:sz w:val="21"/>
                <w:szCs w:val="21"/>
                <w:highlight w:val="none"/>
              </w:rPr>
              <w:t xml:space="preserve">，能满足施工需要， </w:t>
            </w:r>
            <w:r>
              <w:rPr>
                <w:rFonts w:hint="eastAsia"/>
                <w:color w:val="auto"/>
                <w:sz w:val="21"/>
                <w:szCs w:val="21"/>
                <w:highlight w:val="none"/>
                <w:lang w:eastAsia="zh-CN"/>
              </w:rPr>
              <w:t>对施工期内工作、休息、生活、仓储、检测等各区域合理分配，可以</w:t>
            </w:r>
            <w:r>
              <w:rPr>
                <w:color w:val="auto"/>
                <w:sz w:val="21"/>
                <w:szCs w:val="21"/>
                <w:highlight w:val="none"/>
              </w:rPr>
              <w:t>符合安全、文明生产要求。</w:t>
            </w:r>
          </w:p>
          <w:p>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w:t>
            </w:r>
            <w:r>
              <w:rPr>
                <w:rFonts w:hint="eastAsia"/>
                <w:color w:val="auto"/>
                <w:sz w:val="21"/>
                <w:szCs w:val="21"/>
                <w:highlight w:val="none"/>
                <w:lang w:eastAsia="zh-CN"/>
              </w:rPr>
              <w:t>对施工期内工作、休息、生活、仓储、检测等各区域进行分配基本合理，</w:t>
            </w:r>
            <w:r>
              <w:rPr>
                <w:color w:val="auto"/>
                <w:sz w:val="21"/>
                <w:szCs w:val="21"/>
                <w:highlight w:val="none"/>
              </w:rPr>
              <w:t>基本满足施工需要。</w:t>
            </w:r>
          </w:p>
          <w:p>
            <w:pPr>
              <w:pStyle w:val="36"/>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pPr>
        <w:numPr>
          <w:ilvl w:val="0"/>
          <w:numId w:val="6"/>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pPr>
        <w:pStyle w:val="4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50" w:name="_Toc80886940"/>
      <w:bookmarkStart w:id="151" w:name="_Toc80205936"/>
      <w:r>
        <w:rPr>
          <w:rFonts w:hint="eastAsia" w:ascii="宋体" w:hAnsi="宋体" w:eastAsia="宋体" w:cs="宋体"/>
          <w:b/>
          <w:bCs/>
          <w:color w:val="auto"/>
          <w:sz w:val="24"/>
          <w:highlight w:val="none"/>
          <w:lang w:val="en-US" w:eastAsia="zh-CN" w:bidi="hi-IN"/>
        </w:rPr>
        <w:t>五、 评审过程的保密与录像</w:t>
      </w:r>
      <w:bookmarkEnd w:id="150"/>
      <w:bookmarkEnd w:id="151"/>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pPr>
        <w:pStyle w:val="6"/>
        <w:rPr>
          <w:rFonts w:hint="eastAsia" w:ascii="宋体" w:hAnsi="宋体" w:eastAsia="宋体" w:cs="宋体"/>
          <w:color w:val="auto"/>
          <w:lang w:val="en-US" w:eastAsia="zh-CN"/>
        </w:rPr>
      </w:pPr>
    </w:p>
    <w:p>
      <w:pPr>
        <w:pStyle w:val="29"/>
        <w:rPr>
          <w:rFonts w:hint="eastAsia" w:ascii="宋体" w:hAnsi="宋体" w:cs="宋体"/>
          <w:bCs/>
          <w:color w:val="auto"/>
          <w:sz w:val="21"/>
          <w:szCs w:val="21"/>
          <w:highlight w:val="none"/>
        </w:rPr>
      </w:pPr>
    </w:p>
    <w:p>
      <w:pPr>
        <w:pStyle w:val="28"/>
        <w:rPr>
          <w:rFonts w:hint="eastAsia" w:ascii="宋体" w:hAnsi="宋体" w:cs="宋体"/>
          <w:bCs/>
          <w:color w:val="auto"/>
          <w:sz w:val="21"/>
          <w:szCs w:val="21"/>
          <w:highlight w:val="none"/>
        </w:rPr>
      </w:pPr>
    </w:p>
    <w:p>
      <w:pPr>
        <w:pStyle w:val="29"/>
        <w:rPr>
          <w:rFonts w:hint="eastAsia" w:ascii="宋体" w:hAnsi="宋体" w:cs="宋体"/>
          <w:bCs/>
          <w:color w:val="auto"/>
          <w:sz w:val="21"/>
          <w:szCs w:val="21"/>
          <w:highlight w:val="none"/>
        </w:rPr>
      </w:pPr>
    </w:p>
    <w:p>
      <w:pPr>
        <w:pStyle w:val="28"/>
        <w:rPr>
          <w:rFonts w:hint="eastAsia" w:ascii="宋体" w:hAnsi="宋体" w:cs="宋体"/>
          <w:bCs/>
          <w:color w:val="auto"/>
          <w:sz w:val="21"/>
          <w:szCs w:val="21"/>
          <w:highlight w:val="none"/>
        </w:rPr>
      </w:pPr>
    </w:p>
    <w:p>
      <w:pPr>
        <w:pStyle w:val="29"/>
        <w:rPr>
          <w:rFonts w:hint="eastAsia" w:ascii="宋体" w:hAnsi="宋体" w:cs="宋体"/>
          <w:bCs/>
          <w:color w:val="auto"/>
          <w:sz w:val="21"/>
          <w:szCs w:val="21"/>
          <w:highlight w:val="none"/>
        </w:rPr>
      </w:pPr>
    </w:p>
    <w:p>
      <w:pPr>
        <w:pStyle w:val="29"/>
        <w:rPr>
          <w:rFonts w:hint="eastAsia" w:ascii="宋体" w:hAnsi="宋体" w:cs="宋体"/>
          <w:bCs/>
          <w:color w:val="auto"/>
          <w:sz w:val="21"/>
          <w:szCs w:val="21"/>
          <w:highlight w:val="none"/>
        </w:rPr>
      </w:pPr>
    </w:p>
    <w:p>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28"/>
        <w:rPr>
          <w:rFonts w:hint="eastAsia"/>
          <w:color w:val="auto"/>
          <w:sz w:val="21"/>
          <w:szCs w:val="21"/>
          <w:highlight w:val="none"/>
        </w:rPr>
        <w:sectPr>
          <w:headerReference r:id="rId12" w:type="default"/>
          <w:footerReference r:id="rId13" w:type="default"/>
          <w:pgSz w:w="11906" w:h="16838"/>
          <w:pgMar w:top="1134" w:right="1134" w:bottom="1134" w:left="1417" w:header="851" w:footer="851" w:gutter="0"/>
          <w:cols w:space="720" w:num="1"/>
          <w:formProt w:val="1"/>
          <w:docGrid w:linePitch="312" w:charSpace="43007"/>
        </w:sectPr>
      </w:pPr>
    </w:p>
    <w:p>
      <w:pPr>
        <w:pStyle w:val="28"/>
        <w:spacing w:line="360" w:lineRule="auto"/>
        <w:jc w:val="center"/>
        <w:rPr>
          <w:rFonts w:hint="eastAsia" w:ascii="宋体" w:hAnsi="宋体"/>
          <w:b/>
          <w:color w:val="auto"/>
          <w:sz w:val="32"/>
          <w:szCs w:val="32"/>
          <w:highlight w:val="none"/>
        </w:rPr>
      </w:pPr>
    </w:p>
    <w:p>
      <w:pPr>
        <w:pStyle w:val="29"/>
        <w:rPr>
          <w:rFonts w:hint="eastAsia" w:ascii="宋体" w:hAnsi="宋体" w:eastAsia="宋体"/>
          <w:color w:val="auto"/>
          <w:sz w:val="32"/>
          <w:szCs w:val="32"/>
          <w:highlight w:val="none"/>
        </w:rPr>
      </w:pPr>
    </w:p>
    <w:p>
      <w:pPr>
        <w:pStyle w:val="28"/>
        <w:rPr>
          <w:rFonts w:hint="eastAsia" w:ascii="宋体" w:hAnsi="宋体"/>
          <w:b/>
          <w:color w:val="auto"/>
          <w:sz w:val="32"/>
          <w:szCs w:val="32"/>
          <w:highlight w:val="none"/>
        </w:rPr>
      </w:pPr>
    </w:p>
    <w:p>
      <w:pPr>
        <w:pStyle w:val="29"/>
        <w:rPr>
          <w:rFonts w:hint="eastAsia"/>
          <w:color w:val="auto"/>
          <w:highlight w:val="none"/>
        </w:rPr>
      </w:pPr>
    </w:p>
    <w:p>
      <w:pPr>
        <w:pStyle w:val="29"/>
        <w:rPr>
          <w:rFonts w:hint="eastAsia" w:ascii="宋体" w:hAnsi="宋体" w:eastAsia="宋体"/>
          <w:color w:val="auto"/>
          <w:sz w:val="32"/>
          <w:szCs w:val="32"/>
          <w:highlight w:val="none"/>
        </w:rPr>
      </w:pPr>
    </w:p>
    <w:p>
      <w:pPr>
        <w:pStyle w:val="28"/>
        <w:rPr>
          <w:rFonts w:hint="eastAsia" w:ascii="宋体" w:hAnsi="宋体"/>
          <w:b/>
          <w:color w:val="auto"/>
          <w:sz w:val="32"/>
          <w:szCs w:val="32"/>
          <w:highlight w:val="none"/>
        </w:rPr>
      </w:pPr>
    </w:p>
    <w:p>
      <w:pPr>
        <w:pStyle w:val="29"/>
        <w:rPr>
          <w:rFonts w:hint="eastAsia"/>
          <w:color w:val="auto"/>
          <w:highlight w:val="none"/>
        </w:rPr>
      </w:pPr>
    </w:p>
    <w:p>
      <w:pPr>
        <w:pStyle w:val="28"/>
        <w:spacing w:line="360" w:lineRule="auto"/>
        <w:jc w:val="center"/>
        <w:outlineLvl w:val="0"/>
        <w:rPr>
          <w:rFonts w:hint="eastAsia" w:ascii="宋体" w:hAnsi="宋体"/>
          <w:b/>
          <w:color w:val="auto"/>
          <w:sz w:val="32"/>
          <w:szCs w:val="32"/>
          <w:highlight w:val="none"/>
        </w:rPr>
      </w:pPr>
      <w:bookmarkStart w:id="152" w:name="_Toc5706"/>
      <w:r>
        <w:rPr>
          <w:rFonts w:hint="eastAsia" w:ascii="宋体" w:hAnsi="宋体"/>
          <w:b/>
          <w:color w:val="auto"/>
          <w:sz w:val="32"/>
          <w:szCs w:val="32"/>
          <w:highlight w:val="none"/>
        </w:rPr>
        <w:t>第七章   施工图纸及工程量清单</w:t>
      </w:r>
      <w:bookmarkEnd w:id="152"/>
    </w:p>
    <w:p>
      <w:pPr>
        <w:pStyle w:val="29"/>
        <w:jc w:val="center"/>
        <w:rPr>
          <w:color w:val="auto"/>
          <w:highlight w:val="none"/>
        </w:rPr>
      </w:pPr>
      <w:r>
        <w:rPr>
          <w:rFonts w:hint="eastAsia"/>
          <w:color w:val="auto"/>
          <w:highlight w:val="none"/>
        </w:rPr>
        <w:t>另册</w:t>
      </w:r>
    </w:p>
    <w:p>
      <w:pPr>
        <w:rPr>
          <w:color w:val="auto"/>
        </w:rPr>
      </w:pPr>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31EC8-4EA0-4818-904F-FB156C0A2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12EF5E-6BC8-4201-8BDB-51CF3DDA3AB7}"/>
  </w:font>
  <w:font w:name="Mangal">
    <w:altName w:val="Segoe Print"/>
    <w:panose1 w:val="02040503050203030202"/>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FB21CE8D-A724-4C5E-A9AC-97754F04B98B}"/>
  </w:font>
  <w:font w:name="仿宋_GB2312">
    <w:panose1 w:val="02010609030101010101"/>
    <w:charset w:val="86"/>
    <w:family w:val="modern"/>
    <w:pitch w:val="default"/>
    <w:sig w:usb0="00000001" w:usb1="080E0000" w:usb2="00000000" w:usb3="00000000" w:csb0="00040000" w:csb1="00000000"/>
    <w:embedRegular r:id="rId4" w:fontKey="{C9743822-CE6E-4E59-BF06-4C332C1ED6DE}"/>
  </w:font>
  <w:font w:name="方正隶书简体">
    <w:altName w:val="宋体"/>
    <w:panose1 w:val="00000000000000000000"/>
    <w:charset w:val="86"/>
    <w:family w:val="roman"/>
    <w:pitch w:val="default"/>
    <w:sig w:usb0="00000000" w:usb1="00000000" w:usb2="00000000" w:usb3="00000000" w:csb0="00040001" w:csb1="00000000"/>
    <w:embedRegular r:id="rId5" w:fontKey="{4038C99B-DBE9-4A49-A730-E9BE02CAAE21}"/>
  </w:font>
  <w:font w:name="楷体_GB2312">
    <w:panose1 w:val="02010609030101010101"/>
    <w:charset w:val="86"/>
    <w:family w:val="modern"/>
    <w:pitch w:val="default"/>
    <w:sig w:usb0="00000001" w:usb1="080E0000" w:usb2="00000000" w:usb3="00000000" w:csb0="00040000" w:csb1="00000000"/>
    <w:embedRegular r:id="rId6" w:fontKey="{37289D47-B8C9-454D-9F23-463DACFAF74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Fonts w:hint="eastAsia"/>
      </w:rPr>
      <w:t>６</w:t>
    </w:r>
    <w:r>
      <w:rPr>
        <w:rStyle w:val="23"/>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pPr>
      <w:pStyle w:val="15"/>
      <w:pBdr>
        <w:bottom w:val="none" w:color="auto" w:sz="0" w:space="0"/>
      </w:pBdr>
    </w:pPr>
  </w:p>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w w:val="90"/>
        <w:sz w:val="28"/>
        <w:szCs w:val="28"/>
        <w:lang w:val="en-US" w:eastAsia="zh-CN"/>
      </w:rPr>
      <w:t>天等县民族宗教服务中心</w:t>
    </w:r>
    <w:r>
      <w:rPr>
        <w:rFonts w:hint="eastAsia" w:ascii="宋体" w:hAnsi="宋体" w:cs="宋体"/>
        <w:w w:val="90"/>
        <w:sz w:val="28"/>
        <w:szCs w:val="28"/>
        <w:lang w:val="en-US" w:eastAsia="zh-CN"/>
      </w:rPr>
      <w:t>2024</w:t>
    </w:r>
    <w:r>
      <w:rPr>
        <w:rFonts w:hint="eastAsia" w:ascii="宋体" w:hAnsi="宋体" w:eastAsia="宋体" w:cs="宋体"/>
        <w:w w:val="90"/>
        <w:sz w:val="28"/>
        <w:szCs w:val="28"/>
        <w:lang w:val="en-US" w:eastAsia="zh-CN"/>
      </w:rPr>
      <w:t>年</w:t>
    </w:r>
    <w:r>
      <w:rPr>
        <w:rFonts w:hint="eastAsia" w:ascii="宋体" w:hAnsi="宋体" w:cs="宋体"/>
        <w:w w:val="90"/>
        <w:sz w:val="28"/>
        <w:szCs w:val="28"/>
        <w:lang w:val="en-US" w:eastAsia="zh-CN"/>
      </w:rPr>
      <w:t>衔接资金建设项目</w:t>
    </w:r>
    <w:r>
      <w:rPr>
        <w:rFonts w:hint="eastAsia" w:ascii="宋体" w:hAnsi="宋体" w:eastAsia="宋体" w:cs="宋体"/>
        <w:sz w:val="28"/>
        <w:szCs w:val="28"/>
        <w:lang w:val="en-US"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3">
    <w:nsid w:val="44E742F2"/>
    <w:multiLevelType w:val="singleLevel"/>
    <w:tmpl w:val="44E742F2"/>
    <w:lvl w:ilvl="0" w:tentative="0">
      <w:start w:val="3"/>
      <w:numFmt w:val="decimal"/>
      <w:lvlText w:val="%1."/>
      <w:lvlJc w:val="left"/>
      <w:pPr>
        <w:tabs>
          <w:tab w:val="left" w:pos="312"/>
        </w:tabs>
      </w:pPr>
    </w:lvl>
  </w:abstractNum>
  <w:abstractNum w:abstractNumId="4">
    <w:nsid w:val="697E4BDF"/>
    <w:multiLevelType w:val="singleLevel"/>
    <w:tmpl w:val="697E4BDF"/>
    <w:lvl w:ilvl="0" w:tentative="0">
      <w:start w:val="5"/>
      <w:numFmt w:val="decimal"/>
      <w:suff w:val="nothing"/>
      <w:lvlText w:val="%1、"/>
      <w:lvlJc w:val="left"/>
    </w:lvl>
  </w:abstractNum>
  <w:abstractNum w:abstractNumId="5">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TDAqUEDmA7Zc+Nvuc0P6ZguSvDY=" w:salt="PL1R3VwgpDiFaclq6YUOdw=="/>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54F246F3"/>
    <w:rsid w:val="001113BD"/>
    <w:rsid w:val="002027AF"/>
    <w:rsid w:val="01B34312"/>
    <w:rsid w:val="01B72023"/>
    <w:rsid w:val="030C4C45"/>
    <w:rsid w:val="036208AE"/>
    <w:rsid w:val="041A2F36"/>
    <w:rsid w:val="055F58C5"/>
    <w:rsid w:val="071F55C0"/>
    <w:rsid w:val="07F33A93"/>
    <w:rsid w:val="090745A8"/>
    <w:rsid w:val="09176EE3"/>
    <w:rsid w:val="09593447"/>
    <w:rsid w:val="0A1032EC"/>
    <w:rsid w:val="0AD457D5"/>
    <w:rsid w:val="0B005F5D"/>
    <w:rsid w:val="0BB02781"/>
    <w:rsid w:val="0BB50C28"/>
    <w:rsid w:val="0BFB2792"/>
    <w:rsid w:val="0C3A0683"/>
    <w:rsid w:val="0C9870EE"/>
    <w:rsid w:val="0E3D4936"/>
    <w:rsid w:val="0E6049DB"/>
    <w:rsid w:val="0E792F4F"/>
    <w:rsid w:val="10172A20"/>
    <w:rsid w:val="109F51B3"/>
    <w:rsid w:val="10D25C88"/>
    <w:rsid w:val="11C11B68"/>
    <w:rsid w:val="11F53491"/>
    <w:rsid w:val="12123139"/>
    <w:rsid w:val="128424D9"/>
    <w:rsid w:val="12F35C08"/>
    <w:rsid w:val="1324110B"/>
    <w:rsid w:val="13500F2D"/>
    <w:rsid w:val="16024CD6"/>
    <w:rsid w:val="160F7A1C"/>
    <w:rsid w:val="17716417"/>
    <w:rsid w:val="177C13BA"/>
    <w:rsid w:val="19B56C9A"/>
    <w:rsid w:val="1D9864DE"/>
    <w:rsid w:val="1FE77392"/>
    <w:rsid w:val="20CF3CE7"/>
    <w:rsid w:val="20DD2CF7"/>
    <w:rsid w:val="21A25EC1"/>
    <w:rsid w:val="22385AFF"/>
    <w:rsid w:val="253D2794"/>
    <w:rsid w:val="257E3626"/>
    <w:rsid w:val="26612BE0"/>
    <w:rsid w:val="284D6D68"/>
    <w:rsid w:val="29DD1C30"/>
    <w:rsid w:val="2A28618B"/>
    <w:rsid w:val="2AA77BC3"/>
    <w:rsid w:val="2ABC734E"/>
    <w:rsid w:val="2B88422F"/>
    <w:rsid w:val="2B952D9C"/>
    <w:rsid w:val="2D67115C"/>
    <w:rsid w:val="2D683E6D"/>
    <w:rsid w:val="2DBD38BB"/>
    <w:rsid w:val="2FE04785"/>
    <w:rsid w:val="2FF73BA9"/>
    <w:rsid w:val="30D0400A"/>
    <w:rsid w:val="33B67FF6"/>
    <w:rsid w:val="35B83119"/>
    <w:rsid w:val="378676A1"/>
    <w:rsid w:val="38282C21"/>
    <w:rsid w:val="39467D8B"/>
    <w:rsid w:val="396B1563"/>
    <w:rsid w:val="3A477BE0"/>
    <w:rsid w:val="3A9657FF"/>
    <w:rsid w:val="3CAE03B6"/>
    <w:rsid w:val="3E304B29"/>
    <w:rsid w:val="3E36702A"/>
    <w:rsid w:val="3EEA1A03"/>
    <w:rsid w:val="3F530122"/>
    <w:rsid w:val="413C678F"/>
    <w:rsid w:val="41952473"/>
    <w:rsid w:val="420C5218"/>
    <w:rsid w:val="429D4387"/>
    <w:rsid w:val="42B613F1"/>
    <w:rsid w:val="432F233E"/>
    <w:rsid w:val="43394480"/>
    <w:rsid w:val="449F74D0"/>
    <w:rsid w:val="456F4189"/>
    <w:rsid w:val="459E6943"/>
    <w:rsid w:val="46291052"/>
    <w:rsid w:val="46571466"/>
    <w:rsid w:val="46A40FA9"/>
    <w:rsid w:val="46E37CCC"/>
    <w:rsid w:val="47212364"/>
    <w:rsid w:val="483A6747"/>
    <w:rsid w:val="489C2ECF"/>
    <w:rsid w:val="49B542D6"/>
    <w:rsid w:val="4A1009F7"/>
    <w:rsid w:val="4AE20F59"/>
    <w:rsid w:val="4B650E36"/>
    <w:rsid w:val="4BFE2ECA"/>
    <w:rsid w:val="4C2C4B82"/>
    <w:rsid w:val="4C567E51"/>
    <w:rsid w:val="4F52428A"/>
    <w:rsid w:val="4F5F78A0"/>
    <w:rsid w:val="506E408B"/>
    <w:rsid w:val="50EA2026"/>
    <w:rsid w:val="5155508B"/>
    <w:rsid w:val="517D2C22"/>
    <w:rsid w:val="51885E41"/>
    <w:rsid w:val="52FC4970"/>
    <w:rsid w:val="53E76A21"/>
    <w:rsid w:val="54342B51"/>
    <w:rsid w:val="54EF0E42"/>
    <w:rsid w:val="54F246F3"/>
    <w:rsid w:val="552D4E0B"/>
    <w:rsid w:val="55604FD5"/>
    <w:rsid w:val="56A86F71"/>
    <w:rsid w:val="56C5399A"/>
    <w:rsid w:val="57511389"/>
    <w:rsid w:val="58917C05"/>
    <w:rsid w:val="5A4D2FA3"/>
    <w:rsid w:val="5AFE55D9"/>
    <w:rsid w:val="5B334B73"/>
    <w:rsid w:val="5B823F90"/>
    <w:rsid w:val="5D480DFC"/>
    <w:rsid w:val="5DDA108E"/>
    <w:rsid w:val="5EC734CA"/>
    <w:rsid w:val="60D77618"/>
    <w:rsid w:val="63DA0F0F"/>
    <w:rsid w:val="64A930CD"/>
    <w:rsid w:val="65BF7472"/>
    <w:rsid w:val="65CD5006"/>
    <w:rsid w:val="663544CE"/>
    <w:rsid w:val="67F0485E"/>
    <w:rsid w:val="68162BA8"/>
    <w:rsid w:val="69EB0AAC"/>
    <w:rsid w:val="6AFB6ED0"/>
    <w:rsid w:val="6C070D0B"/>
    <w:rsid w:val="6DE06E27"/>
    <w:rsid w:val="6E273A79"/>
    <w:rsid w:val="6EBD2F41"/>
    <w:rsid w:val="6EBD7464"/>
    <w:rsid w:val="6F4D07E7"/>
    <w:rsid w:val="70E84778"/>
    <w:rsid w:val="71781C4C"/>
    <w:rsid w:val="727644F9"/>
    <w:rsid w:val="72933AD3"/>
    <w:rsid w:val="72F943F2"/>
    <w:rsid w:val="73C03FFE"/>
    <w:rsid w:val="741D4694"/>
    <w:rsid w:val="74736BDD"/>
    <w:rsid w:val="7513602F"/>
    <w:rsid w:val="7599649C"/>
    <w:rsid w:val="762D3121"/>
    <w:rsid w:val="768C3D6E"/>
    <w:rsid w:val="76974303"/>
    <w:rsid w:val="7727635A"/>
    <w:rsid w:val="77DF12DF"/>
    <w:rsid w:val="77E17995"/>
    <w:rsid w:val="78B43685"/>
    <w:rsid w:val="795443BD"/>
    <w:rsid w:val="7A160FF1"/>
    <w:rsid w:val="7A1A1C0E"/>
    <w:rsid w:val="7A6F5AB6"/>
    <w:rsid w:val="7ADC3C75"/>
    <w:rsid w:val="7B6F1D5A"/>
    <w:rsid w:val="7CCB2423"/>
    <w:rsid w:val="7D6E64F9"/>
    <w:rsid w:val="7E9C48E7"/>
    <w:rsid w:val="7F5D730F"/>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autoRedefine/>
    <w:qFormat/>
    <w:uiPriority w:val="99"/>
    <w:pPr>
      <w:keepNext/>
      <w:keepLines/>
      <w:spacing w:line="400" w:lineRule="exact"/>
      <w:outlineLvl w:val="0"/>
    </w:pPr>
    <w:rPr>
      <w:b/>
      <w:kern w:val="0"/>
      <w:sz w:val="44"/>
    </w:rPr>
  </w:style>
  <w:style w:type="paragraph" w:styleId="4">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pPr>
      <w:spacing w:after="120"/>
    </w:pPr>
  </w:style>
  <w:style w:type="paragraph" w:styleId="7">
    <w:name w:val="Normal Indent"/>
    <w:basedOn w:val="1"/>
    <w:autoRedefine/>
    <w:qFormat/>
    <w:uiPriority w:val="0"/>
    <w:pPr>
      <w:widowControl/>
      <w:ind w:firstLine="420"/>
      <w:jc w:val="left"/>
    </w:pPr>
    <w:rPr>
      <w:kern w:val="0"/>
      <w:sz w:val="20"/>
    </w:rPr>
  </w:style>
  <w:style w:type="paragraph" w:styleId="8">
    <w:name w:val="toa heading"/>
    <w:basedOn w:val="1"/>
    <w:next w:val="1"/>
    <w:autoRedefine/>
    <w:qFormat/>
    <w:uiPriority w:val="0"/>
    <w:rPr>
      <w:rFonts w:ascii="Arial" w:hAnsi="Arial" w:eastAsia="宋体" w:cs="Times New Roman"/>
      <w:sz w:val="24"/>
    </w:rPr>
  </w:style>
  <w:style w:type="paragraph" w:styleId="9">
    <w:name w:val="index 6"/>
    <w:basedOn w:val="1"/>
    <w:next w:val="1"/>
    <w:autoRedefine/>
    <w:qFormat/>
    <w:uiPriority w:val="0"/>
    <w:pPr>
      <w:ind w:left="1000" w:leftChars="1000"/>
    </w:pPr>
  </w:style>
  <w:style w:type="paragraph" w:styleId="10">
    <w:name w:val="Body Text Indent"/>
    <w:basedOn w:val="1"/>
    <w:next w:val="11"/>
    <w:autoRedefine/>
    <w:qFormat/>
    <w:uiPriority w:val="0"/>
    <w:pPr>
      <w:spacing w:line="200" w:lineRule="exact"/>
      <w:ind w:firstLine="301"/>
    </w:pPr>
    <w:rPr>
      <w:rFonts w:ascii="宋体" w:hAnsi="Courier New"/>
      <w:spacing w:val="-4"/>
      <w:sz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Plain Text"/>
    <w:basedOn w:val="1"/>
    <w:next w:val="6"/>
    <w:autoRedefine/>
    <w:qFormat/>
    <w:uiPriority w:val="99"/>
    <w:rPr>
      <w:rFonts w:ascii="宋体" w:hAnsi="宋体"/>
    </w:rPr>
  </w:style>
  <w:style w:type="paragraph" w:styleId="13">
    <w:name w:val="Date"/>
    <w:basedOn w:val="1"/>
    <w:next w:val="1"/>
    <w:autoRedefine/>
    <w:qFormat/>
    <w:uiPriority w:val="0"/>
    <w:rPr>
      <w:rFonts w:ascii="宋体"/>
      <w:color w:val="000000"/>
      <w:kern w:val="0"/>
      <w:sz w:val="30"/>
    </w:rPr>
  </w:style>
  <w:style w:type="paragraph" w:styleId="14">
    <w:name w:val="footer"/>
    <w:basedOn w:val="1"/>
    <w:next w:val="1"/>
    <w:autoRedefine/>
    <w:qFormat/>
    <w:uiPriority w:val="99"/>
    <w:pPr>
      <w:tabs>
        <w:tab w:val="center" w:pos="4153"/>
        <w:tab w:val="right" w:pos="8306"/>
      </w:tabs>
      <w:snapToGrid w:val="0"/>
      <w:jc w:val="left"/>
    </w:pPr>
    <w:rPr>
      <w:rFonts w:cs="Mangal"/>
      <w:sz w:val="18"/>
      <w:szCs w:val="16"/>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autoRedefine/>
    <w:qFormat/>
    <w:uiPriority w:val="99"/>
  </w:style>
  <w:style w:type="paragraph" w:styleId="19">
    <w:name w:val="Title"/>
    <w:basedOn w:val="1"/>
    <w:next w:val="1"/>
    <w:autoRedefine/>
    <w:qFormat/>
    <w:uiPriority w:val="10"/>
    <w:pPr>
      <w:spacing w:before="240" w:after="60"/>
      <w:jc w:val="center"/>
      <w:outlineLvl w:val="0"/>
    </w:pPr>
    <w:rPr>
      <w:rFonts w:ascii="Cambria" w:hAnsi="Cambria"/>
      <w:b/>
      <w:bCs/>
      <w:sz w:val="32"/>
      <w:szCs w:val="32"/>
    </w:rPr>
  </w:style>
  <w:style w:type="paragraph" w:styleId="20">
    <w:name w:val="Body Text First Indent 2"/>
    <w:basedOn w:val="1"/>
    <w:autoRedefine/>
    <w:unhideWhenUsed/>
    <w:qFormat/>
    <w:uiPriority w:val="99"/>
    <w:pPr>
      <w:ind w:firstLine="420" w:firstLineChars="200"/>
    </w:pPr>
  </w:style>
  <w:style w:type="character" w:styleId="23">
    <w:name w:val="page number"/>
    <w:basedOn w:val="22"/>
    <w:autoRedefine/>
    <w:qFormat/>
    <w:uiPriority w:val="99"/>
    <w:rPr>
      <w:rFonts w:cs="Times New Roman"/>
    </w:rPr>
  </w:style>
  <w:style w:type="character" w:styleId="24">
    <w:name w:val="FollowedHyperlink"/>
    <w:basedOn w:val="22"/>
    <w:autoRedefine/>
    <w:qFormat/>
    <w:uiPriority w:val="0"/>
    <w:rPr>
      <w:color w:val="800080"/>
      <w:u w:val="none"/>
    </w:rPr>
  </w:style>
  <w:style w:type="paragraph" w:customStyle="1" w:styleId="25">
    <w:name w:val="BodyText1I2"/>
    <w:basedOn w:val="26"/>
    <w:autoRedefine/>
    <w:qFormat/>
    <w:uiPriority w:val="0"/>
    <w:pPr>
      <w:ind w:firstLine="200" w:firstLineChars="200"/>
    </w:pPr>
  </w:style>
  <w:style w:type="paragraph" w:customStyle="1" w:styleId="26">
    <w:name w:val="BodyTextIndent"/>
    <w:basedOn w:val="1"/>
    <w:autoRedefine/>
    <w:qFormat/>
    <w:uiPriority w:val="0"/>
    <w:pPr>
      <w:spacing w:after="120"/>
      <w:ind w:left="420" w:leftChars="200"/>
    </w:pPr>
  </w:style>
  <w:style w:type="paragraph" w:customStyle="1" w:styleId="27">
    <w:name w:val="表格文字"/>
    <w:basedOn w:val="10"/>
    <w:autoRedefine/>
    <w:qFormat/>
    <w:uiPriority w:val="0"/>
    <w:pPr>
      <w:jc w:val="left"/>
    </w:pPr>
    <w:rPr>
      <w:bCs/>
      <w:spacing w:val="10"/>
      <w:sz w:val="24"/>
    </w:rPr>
  </w:style>
  <w:style w:type="paragraph" w:customStyle="1" w:styleId="28">
    <w:name w:val="正文1"/>
    <w:next w:val="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1"/>
    <w:basedOn w:val="28"/>
    <w:next w:val="28"/>
    <w:autoRedefine/>
    <w:qFormat/>
    <w:uiPriority w:val="0"/>
    <w:rPr>
      <w:rFonts w:ascii="金山简黑体" w:hAnsi="金山简黑体" w:eastAsia="金山简黑体"/>
      <w:b/>
      <w:spacing w:val="-8"/>
      <w:sz w:val="44"/>
      <w:szCs w:val="20"/>
    </w:rPr>
  </w:style>
  <w:style w:type="paragraph" w:customStyle="1" w:styleId="30">
    <w:name w:val="目录 11"/>
    <w:basedOn w:val="28"/>
    <w:next w:val="28"/>
    <w:autoRedefine/>
    <w:qFormat/>
    <w:uiPriority w:val="39"/>
    <w:pPr>
      <w:tabs>
        <w:tab w:val="right" w:leader="dot" w:pos="9628"/>
      </w:tabs>
    </w:pPr>
    <w:rPr>
      <w:rFonts w:ascii="宋体" w:hAnsi="宋体"/>
      <w:b/>
      <w:color w:val="000000"/>
      <w:sz w:val="32"/>
      <w:szCs w:val="32"/>
    </w:rPr>
  </w:style>
  <w:style w:type="paragraph" w:customStyle="1" w:styleId="31">
    <w:name w:val="正文缩进1"/>
    <w:basedOn w:val="28"/>
    <w:autoRedefine/>
    <w:qFormat/>
    <w:uiPriority w:val="0"/>
    <w:pPr>
      <w:spacing w:line="200" w:lineRule="exact"/>
      <w:ind w:firstLine="301"/>
    </w:pPr>
    <w:rPr>
      <w:rFonts w:ascii="宋体" w:hAnsi="宋体"/>
      <w:spacing w:val="-4"/>
      <w:sz w:val="18"/>
      <w:szCs w:val="20"/>
    </w:rPr>
  </w:style>
  <w:style w:type="paragraph" w:customStyle="1" w:styleId="3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标题 31"/>
    <w:basedOn w:val="28"/>
    <w:next w:val="28"/>
    <w:autoRedefine/>
    <w:qFormat/>
    <w:uiPriority w:val="0"/>
    <w:pPr>
      <w:keepNext/>
      <w:keepLines/>
      <w:spacing w:before="260" w:after="260" w:line="415" w:lineRule="auto"/>
      <w:outlineLvl w:val="2"/>
    </w:pPr>
    <w:rPr>
      <w:b/>
      <w:bCs/>
      <w:sz w:val="32"/>
      <w:szCs w:val="32"/>
    </w:rPr>
  </w:style>
  <w:style w:type="paragraph" w:customStyle="1" w:styleId="3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28"/>
    <w:autoRedefine/>
    <w:qFormat/>
    <w:uiPriority w:val="1"/>
    <w:rPr>
      <w:rFonts w:ascii="宋体" w:hAnsi="宋体" w:eastAsia="宋体" w:cs="宋体"/>
      <w:lang w:val="zh-CN" w:eastAsia="zh-CN" w:bidi="zh-CN"/>
    </w:rPr>
  </w:style>
  <w:style w:type="paragraph" w:customStyle="1" w:styleId="37">
    <w:name w:val="页眉1"/>
    <w:basedOn w:val="28"/>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8">
    <w:name w:val="页脚1"/>
    <w:basedOn w:val="28"/>
    <w:autoRedefine/>
    <w:qFormat/>
    <w:uiPriority w:val="99"/>
    <w:pPr>
      <w:tabs>
        <w:tab w:val="center" w:pos="4153"/>
        <w:tab w:val="right" w:pos="8306"/>
      </w:tabs>
      <w:snapToGrid w:val="0"/>
      <w:jc w:val="left"/>
    </w:pPr>
    <w:rPr>
      <w:rFonts w:ascii="宋体" w:hAnsi="宋体"/>
      <w:sz w:val="18"/>
      <w:szCs w:val="20"/>
    </w:rPr>
  </w:style>
  <w:style w:type="paragraph" w:customStyle="1" w:styleId="39">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0">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1">
    <w:name w:val="目录 21"/>
    <w:basedOn w:val="28"/>
    <w:next w:val="28"/>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41158</Words>
  <Characters>43481</Characters>
  <Lines>0</Lines>
  <Paragraphs>0</Paragraphs>
  <TotalTime>44</TotalTime>
  <ScaleCrop>false</ScaleCrop>
  <LinksUpToDate>false</LinksUpToDate>
  <CharactersWithSpaces>45320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WPS_1602497377</cp:lastModifiedBy>
  <dcterms:modified xsi:type="dcterms:W3CDTF">2024-04-03T02:54:01Z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BAFC16D73FC54F6A92C6D80E16084AD4</vt:lpwstr>
  </property>
  <property fmtid="{D5CDD505-2E9C-101B-9397-08002B2CF9AE}" pid="4" name="commondata">
    <vt:lpwstr>eyJoZGlkIjoiMDMxMGZjOWUzMGUxMmI4NzRjODAzZDBkNzM1YzcyY2UifQ==</vt:lpwstr>
  </property>
</Properties>
</file>