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33CA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关于象州县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农业农村局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动物检疫电子出证设备升级及维护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询价报价公告</w:t>
      </w:r>
    </w:p>
    <w:p w14:paraId="56A708D7"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1D29DDA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现以询价采购的方式，对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" w:eastAsia="仿宋_GB2312" w:cs="方正小标宋简体"/>
          <w:sz w:val="32"/>
          <w:szCs w:val="32"/>
        </w:rPr>
        <w:t>象州县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农业农村局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动物检疫电子出证设备升级及维护</w:t>
      </w:r>
      <w:r>
        <w:rPr>
          <w:rFonts w:hint="eastAsia" w:ascii="仿宋" w:hAnsi="仿宋" w:eastAsia="仿宋" w:cs="仿宋"/>
          <w:sz w:val="32"/>
          <w:szCs w:val="32"/>
        </w:rPr>
        <w:t>进行询价，询价文件经采购单位象州县农业农村局审核、确认，欢迎符合资格条件的供应商参加投标报价。</w:t>
      </w:r>
    </w:p>
    <w:p w14:paraId="62C112D5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574812AF"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（一）项目名称：</w:t>
      </w:r>
      <w:r>
        <w:rPr>
          <w:rFonts w:hint="eastAsia" w:ascii="仿宋" w:hAnsi="仿宋" w:eastAsia="仿宋" w:cs="仿宋"/>
          <w:sz w:val="32"/>
          <w:szCs w:val="32"/>
        </w:rPr>
        <w:t>象州县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动物检疫电子出证设备升级及维护</w:t>
      </w:r>
    </w:p>
    <w:p w14:paraId="3F6DC3E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（二）采购方式：</w:t>
      </w:r>
      <w:r>
        <w:rPr>
          <w:rFonts w:hint="eastAsia" w:ascii="仿宋" w:hAnsi="仿宋" w:eastAsia="仿宋" w:cs="仿宋"/>
          <w:sz w:val="32"/>
          <w:szCs w:val="32"/>
        </w:rPr>
        <w:t>☑询价，该服务项目至少3家公司以上（含3家）参与竞价投标，否则无效。</w:t>
      </w:r>
    </w:p>
    <w:p w14:paraId="17412159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（三）预算金额及最高限价：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人民币贰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万肆仟元整。</w:t>
      </w:r>
      <w:r>
        <w:rPr>
          <w:rFonts w:hint="eastAsia" w:ascii="仿宋" w:hAnsi="仿宋" w:eastAsia="仿宋" w:cs="仿宋"/>
          <w:sz w:val="32"/>
          <w:szCs w:val="32"/>
        </w:rPr>
        <w:t>（￥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24000</w:t>
      </w:r>
      <w:r>
        <w:rPr>
          <w:rFonts w:hint="eastAsia" w:ascii="仿宋" w:hAnsi="仿宋" w:eastAsia="仿宋" w:cs="仿宋"/>
          <w:sz w:val="32"/>
          <w:szCs w:val="32"/>
        </w:rPr>
        <w:t>.00元） </w:t>
      </w:r>
    </w:p>
    <w:p w14:paraId="735B9F22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设备升级及维护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需求及要求</w:t>
      </w:r>
    </w:p>
    <w:p w14:paraId="38454074">
      <w:pPr>
        <w:pStyle w:val="18"/>
        <w:spacing w:before="120" w:after="120"/>
        <w:ind w:firstLine="640"/>
        <w:rPr>
          <w:rFonts w:hint="default" w:ascii="仿宋_GB2312" w:eastAsia="仿宋_GB2312" w:hAnsiTheme="minorEastAsia" w:cstheme="minorBid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sz w:val="32"/>
          <w:szCs w:val="32"/>
        </w:rPr>
        <w:t>1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升级及维护需求：</w:t>
      </w:r>
      <w:r>
        <w:rPr>
          <w:rFonts w:hint="eastAsia" w:ascii="仿宋_GB2312" w:eastAsia="仿宋_GB2312" w:hAnsiTheme="minorEastAsia" w:cstheme="minorBidi"/>
          <w:b w:val="0"/>
          <w:bCs w:val="0"/>
          <w:sz w:val="32"/>
          <w:szCs w:val="32"/>
          <w:lang w:val="en-US" w:eastAsia="zh-CN"/>
        </w:rPr>
        <w:t>（1）象州县内各乡镇26台动物检疫电子出证设备（电脑及打印机）；</w:t>
      </w:r>
    </w:p>
    <w:p w14:paraId="2C367AAC">
      <w:pPr>
        <w:pStyle w:val="18"/>
        <w:spacing w:before="120" w:after="120"/>
        <w:ind w:firstLine="640"/>
        <w:rPr>
          <w:rFonts w:hint="default" w:ascii="仿宋_GB2312" w:eastAsia="仿宋_GB2312" w:hAnsiTheme="minorEastAsia" w:cstheme="minorBidi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sz w:val="32"/>
          <w:szCs w:val="32"/>
          <w:lang w:val="en-US" w:eastAsia="zh-CN"/>
        </w:rPr>
        <w:t>2、质量与合规要求：</w:t>
      </w:r>
    </w:p>
    <w:p w14:paraId="63166E24">
      <w:pPr>
        <w:pStyle w:val="19"/>
        <w:spacing w:before="120" w:after="120"/>
        <w:ind w:firstLine="640"/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1）电脑升级服务：硬件升级：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根据现有电脑配置（需供应商现场勘查确认），针对性升级CPU、内存（≥8GB/台）、硬盘（≥512GB SSD/台）、显卡（适配业务软件运行需求）等核心部件，确保升级后设备能流畅运行新版业务系统及办公软件，完全兼容牧运通-桂系统出证要求。</w:t>
      </w:r>
    </w:p>
    <w:p w14:paraId="472E0315">
      <w:pPr>
        <w:pStyle w:val="19"/>
        <w:spacing w:before="120" w:after="120"/>
        <w:ind w:left="0" w:leftChars="0" w:firstLine="0" w:firstLineChars="0"/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系统优化：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安装正版Windows 10及以上操作系统，优化系统配置，清理冗余数据，安装必要的办公软件（如Office、PDF阅读器）及业务专用软件，确保系统稳定、无病毒。</w:t>
      </w: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数据迁移：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安全迁移原有电脑中的业务数据、办公文件，确保数据完整、无丢失，迁移后需进行数据校验。</w:t>
      </w:r>
    </w:p>
    <w:p w14:paraId="23C0F786">
      <w:pPr>
        <w:pStyle w:val="19"/>
        <w:numPr>
          <w:ilvl w:val="0"/>
          <w:numId w:val="1"/>
        </w:numPr>
        <w:spacing w:before="120" w:after="120"/>
        <w:ind w:firstLine="640"/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打印机维护服务：全面检修：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对现有打印机（含激光、针式等类型）进行全面检测，排查硬件故障（如卡纸、漏墨、打印模糊等），更换老化部件（如硒鼓、墨粉、针头、搓纸轮等易损件）。</w:t>
      </w: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性能优化：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调试打印机参数，确保打印速度、分辨率符合业务需求（如针式打印机需支持票据连续打印，激光打印机打印分辨率≥1200dpi），解决打印队列堵塞、连接不稳定等问题。</w:t>
      </w: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驱动更新：</w:t>
      </w:r>
      <w:r>
        <w:rPr>
          <w:rFonts w:hint="eastAsia" w:ascii="仿宋_GB2312" w:eastAsia="仿宋_GB2312" w:hAnsiTheme="minorEastAsia" w:cstheme="minorBidi"/>
          <w:color w:val="auto"/>
          <w:sz w:val="32"/>
          <w:szCs w:val="32"/>
          <w:highlight w:val="none"/>
          <w:lang w:val="en-US" w:eastAsia="zh-CN"/>
        </w:rPr>
        <w:t>安装或更新打印机驱动程序，确保与升级后的电脑系统及业务软件（如动物检疫出证系统）完全兼容，支持正常打印、扫描、复印功能。</w:t>
      </w:r>
      <w:bookmarkStart w:id="4" w:name="_GoBack"/>
      <w:bookmarkEnd w:id="4"/>
    </w:p>
    <w:p w14:paraId="5536BA1E">
      <w:pPr>
        <w:pStyle w:val="19"/>
        <w:numPr>
          <w:ilvl w:val="0"/>
          <w:numId w:val="1"/>
        </w:numPr>
        <w:spacing w:before="120" w:after="120"/>
        <w:ind w:firstLine="640"/>
        <w:rPr>
          <w:rFonts w:hint="default" w:ascii="仿宋_GB2312" w:eastAsia="仿宋_GB2312" w:hAnsiTheme="minorEastAsia" w:cstheme="minorBidi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后续保障服务</w:t>
      </w:r>
      <w:r>
        <w:rPr>
          <w:rFonts w:hint="eastAsia" w:ascii="仿宋_GB2312" w:eastAsia="仿宋_GB2312" w:hAnsiTheme="minorEastAsia" w:cstheme="minorBidi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eastAsia="仿宋_GB2312" w:hAnsiTheme="minorEastAsia" w:cstheme="minorBidi"/>
          <w:b w:val="0"/>
          <w:bCs w:val="0"/>
          <w:color w:val="auto"/>
          <w:sz w:val="32"/>
          <w:szCs w:val="32"/>
          <w:highlight w:val="none"/>
          <w:lang w:val="en-US" w:eastAsia="zh-CN"/>
        </w:rPr>
        <w:t>升级后的硬件部件及维护服务提供不少于1年免费质保，质保期内非人为损坏的部件免费更换、故障免费维修。</w:t>
      </w:r>
    </w:p>
    <w:p w14:paraId="7EE7959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（五）合同履约期限：</w:t>
      </w:r>
      <w:r>
        <w:rPr>
          <w:rFonts w:hint="eastAsia" w:ascii="仿宋" w:hAnsi="仿宋" w:eastAsia="仿宋" w:cs="仿宋"/>
          <w:sz w:val="32"/>
          <w:szCs w:val="32"/>
        </w:rPr>
        <w:t>合同签订后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个工作日</w:t>
      </w:r>
      <w:r>
        <w:rPr>
          <w:rFonts w:hint="eastAsia" w:ascii="仿宋" w:hAnsi="仿宋" w:eastAsia="仿宋" w:cs="仿宋"/>
          <w:sz w:val="32"/>
          <w:szCs w:val="32"/>
        </w:rPr>
        <w:t>内完成所有设备的升级、维护工作。</w:t>
      </w:r>
    </w:p>
    <w:p w14:paraId="1968B6A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0" w:name="_Toc35393799"/>
      <w:bookmarkEnd w:id="0"/>
      <w:bookmarkStart w:id="1" w:name="_Toc28359013"/>
      <w:bookmarkEnd w:id="1"/>
      <w:bookmarkStart w:id="2" w:name="_Toc35393630"/>
      <w:bookmarkEnd w:id="2"/>
      <w:bookmarkStart w:id="3" w:name="_Toc28359090"/>
      <w:bookmarkEnd w:id="3"/>
      <w:r>
        <w:rPr>
          <w:rFonts w:hint="eastAsia" w:ascii="黑体" w:hAnsi="黑体" w:eastAsia="黑体" w:cs="黑体"/>
          <w:sz w:val="32"/>
          <w:szCs w:val="32"/>
        </w:rPr>
        <w:t>二、供应商的资格要求：</w:t>
      </w:r>
    </w:p>
    <w:p w14:paraId="5BF7FE46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具有独立承担民事责任的能力，具备独立法人资格，营业执照经营范围包含计算机软硬件销售、电子设备维修、信息技术服务等相关业务、且无不良行为记录。（提交报价材料时附相应营业执照复印件并加盖公章）。</w:t>
      </w:r>
    </w:p>
    <w:p w14:paraId="6327FAE5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（二）供应商拥有3年以上电脑、打印机设备升级及维护服务经验。</w:t>
      </w:r>
    </w:p>
    <w:p w14:paraId="385D8A21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（三）具有良好的商业信誉和健全的财务会计制度。</w:t>
      </w:r>
    </w:p>
    <w:p w14:paraId="2892190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（四）报价人未处于财产被接管、冻结、破产状态，未处于投标禁入期内。参加本次采购活动前3年内在经营活动中没有重大违法记录。</w:t>
      </w:r>
    </w:p>
    <w:p w14:paraId="3D79CB8F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三、递交报价文件截止及询价时间</w:t>
      </w:r>
    </w:p>
    <w:p w14:paraId="507C4D63">
      <w:pPr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一）递交报价文件及截止时间：自本公告发布之日起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个工作日，202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时止（北京时间）。</w:t>
      </w:r>
    </w:p>
    <w:p w14:paraId="126146B7">
      <w:pPr>
        <w:spacing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（二）供应商应于递交响应文件截止时间之前将响应文件送达询价地点，逾期送达或没有盖章的将被拒绝。</w:t>
      </w:r>
    </w:p>
    <w:p w14:paraId="09926BD5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（三）本次询价报价人必须一次性提供完整的报价及资格等相关材料，否则视为无效报价。</w:t>
      </w:r>
    </w:p>
    <w:p w14:paraId="544CC8C4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、递交报价文件及询价地点</w:t>
      </w:r>
    </w:p>
    <w:p w14:paraId="23C93C87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广西来宾市象州县象州镇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温泉大道614</w:t>
      </w:r>
      <w:r>
        <w:rPr>
          <w:rFonts w:hint="eastAsia" w:ascii="仿宋" w:hAnsi="仿宋" w:eastAsia="仿宋" w:cs="仿宋"/>
          <w:sz w:val="32"/>
          <w:szCs w:val="32"/>
        </w:rPr>
        <w:t>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农业执法大队3楼畜牧兽医执法中队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530200C6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五、评审方式</w:t>
      </w:r>
    </w:p>
    <w:p w14:paraId="7B269DB2">
      <w:pPr>
        <w:spacing w:line="5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先询价小组成员对参与询价采购的供应商进行资格审查，对审查合格的供应商逐一检查是否符合询价采购需求中的技术、服务等要求，是否符合相关法律、行政法规和政府采购政策的规定。通过核查，所有参与询价的供应商在技术、质量和服务等方面均能满足要求，最后按报价最低的原则确定成交供应商。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组成员</w:t>
      </w:r>
      <w:r>
        <w:rPr>
          <w:rFonts w:hint="eastAsia" w:ascii="仿宋" w:hAnsi="仿宋" w:eastAsia="仿宋" w:cs="仿宋"/>
          <w:sz w:val="32"/>
          <w:szCs w:val="32"/>
        </w:rPr>
        <w:t>初步确定中标候选人，然后提交局领导班子会讨论决定中标人。</w:t>
      </w:r>
    </w:p>
    <w:p w14:paraId="4397C900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 w14:paraId="53B105B2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本询价文件由</w:t>
      </w:r>
      <w:r>
        <w:rPr>
          <w:rFonts w:hint="eastAsia" w:ascii="仿宋" w:hAnsi="仿宋" w:eastAsia="仿宋" w:cs="仿宋"/>
          <w:sz w:val="32"/>
          <w:szCs w:val="32"/>
        </w:rPr>
        <w:t>象州县农业农村局</w:t>
      </w:r>
      <w:r>
        <w:rPr>
          <w:rFonts w:ascii="仿宋" w:hAnsi="仿宋" w:eastAsia="仿宋" w:cs="仿宋"/>
          <w:sz w:val="32"/>
          <w:szCs w:val="32"/>
        </w:rPr>
        <w:t>负责解释。</w:t>
      </w:r>
    </w:p>
    <w:p w14:paraId="3874490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（二）询价人联系方式</w:t>
      </w:r>
    </w:p>
    <w:p w14:paraId="45FDAE55">
      <w:pPr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覃长宣</w:t>
      </w:r>
    </w:p>
    <w:p w14:paraId="7388FF0C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18648852795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D98E72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</w:rPr>
        <w:t>广西来宾市象州县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象州镇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温泉大道614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71ABC6B6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"https://ditu.so.com/?pid=da75240635c8dc1a&amp;new=1&amp;src=onebox"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4.邮政编码：545800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1232B74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C1BB8B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191E0A14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</w:p>
    <w:p w14:paraId="5D0B08EC">
      <w:pPr>
        <w:rPr>
          <w:rFonts w:ascii="仿宋" w:hAnsi="仿宋" w:eastAsia="仿宋" w:cs="仿宋"/>
          <w:sz w:val="32"/>
          <w:szCs w:val="32"/>
        </w:rPr>
      </w:pPr>
    </w:p>
    <w:p w14:paraId="4D92FEB5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象州县农业农村局</w:t>
      </w:r>
    </w:p>
    <w:p w14:paraId="4A2DC489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D2FE1AF">
      <w:pPr>
        <w:rPr>
          <w:rFonts w:ascii="仿宋" w:hAnsi="仿宋" w:eastAsia="仿宋" w:cs="仿宋"/>
          <w:sz w:val="32"/>
          <w:szCs w:val="32"/>
        </w:rPr>
      </w:pPr>
    </w:p>
    <w:p w14:paraId="7516B650">
      <w:pPr>
        <w:pStyle w:val="2"/>
        <w:spacing w:line="0" w:lineRule="atLeast"/>
        <w:jc w:val="center"/>
        <w:rPr>
          <w:rFonts w:hint="eastAsia"/>
        </w:rPr>
      </w:pPr>
    </w:p>
    <w:p w14:paraId="1B31F85F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endnotePr>
        <w:numFmt w:val="decimal"/>
      </w:endnotePr>
      <w:pgSz w:w="11906" w:h="16838"/>
      <w:pgMar w:top="1417" w:right="1531" w:bottom="1417" w:left="1531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247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A5533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D2LV9IAAAAEAQAADwAAAAAAAAABACAAAAAiAAAAZHJzL2Rvd25yZXYu&#10;eG1sUEsBAhQAFAAAAAgAh07iQHbbFmXIAQAAj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7A5533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F3E00"/>
    <w:multiLevelType w:val="singleLevel"/>
    <w:tmpl w:val="A1FF3E0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hdrShapeDefaults>
    <o:shapelayout v:ext="edit">
      <o:idmap v:ext="edit" data="3"/>
    </o:shapelayout>
  </w:hdrShapeDefaults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C7"/>
    <w:rsid w:val="00071D1C"/>
    <w:rsid w:val="00171DE6"/>
    <w:rsid w:val="00223211"/>
    <w:rsid w:val="002C26DE"/>
    <w:rsid w:val="002E3F2C"/>
    <w:rsid w:val="00396D1B"/>
    <w:rsid w:val="005F163B"/>
    <w:rsid w:val="00655DB5"/>
    <w:rsid w:val="00743296"/>
    <w:rsid w:val="00754514"/>
    <w:rsid w:val="007674EC"/>
    <w:rsid w:val="00896737"/>
    <w:rsid w:val="00940407"/>
    <w:rsid w:val="009E3E6D"/>
    <w:rsid w:val="009F03ED"/>
    <w:rsid w:val="00A622C7"/>
    <w:rsid w:val="00A757CA"/>
    <w:rsid w:val="00AE7B20"/>
    <w:rsid w:val="00B24937"/>
    <w:rsid w:val="00C41550"/>
    <w:rsid w:val="00CC2CE9"/>
    <w:rsid w:val="00CE0F63"/>
    <w:rsid w:val="00DD0F05"/>
    <w:rsid w:val="00DF297E"/>
    <w:rsid w:val="00DF54E1"/>
    <w:rsid w:val="00E2510F"/>
    <w:rsid w:val="00F7247B"/>
    <w:rsid w:val="01723055"/>
    <w:rsid w:val="02E940EF"/>
    <w:rsid w:val="0BC27F81"/>
    <w:rsid w:val="0C5C01E8"/>
    <w:rsid w:val="0D2D5218"/>
    <w:rsid w:val="0E014FBF"/>
    <w:rsid w:val="0F42027C"/>
    <w:rsid w:val="12DA094D"/>
    <w:rsid w:val="1355249F"/>
    <w:rsid w:val="18484573"/>
    <w:rsid w:val="187B5569"/>
    <w:rsid w:val="18B32DF3"/>
    <w:rsid w:val="1B981CC6"/>
    <w:rsid w:val="1FD772FF"/>
    <w:rsid w:val="23614F24"/>
    <w:rsid w:val="27CF6716"/>
    <w:rsid w:val="27E274DA"/>
    <w:rsid w:val="287D5AE2"/>
    <w:rsid w:val="296A0D24"/>
    <w:rsid w:val="29C14D24"/>
    <w:rsid w:val="2A375121"/>
    <w:rsid w:val="2D865F98"/>
    <w:rsid w:val="36A97057"/>
    <w:rsid w:val="37560049"/>
    <w:rsid w:val="396A03DB"/>
    <w:rsid w:val="39F23A32"/>
    <w:rsid w:val="3E9F787F"/>
    <w:rsid w:val="3F633632"/>
    <w:rsid w:val="40E5458A"/>
    <w:rsid w:val="45972537"/>
    <w:rsid w:val="477E4B57"/>
    <w:rsid w:val="4A325639"/>
    <w:rsid w:val="4C1C260D"/>
    <w:rsid w:val="4D903399"/>
    <w:rsid w:val="4DDF49AA"/>
    <w:rsid w:val="4FF17E5A"/>
    <w:rsid w:val="522456E9"/>
    <w:rsid w:val="540B7773"/>
    <w:rsid w:val="542E5C12"/>
    <w:rsid w:val="5491574D"/>
    <w:rsid w:val="550B6279"/>
    <w:rsid w:val="56504A75"/>
    <w:rsid w:val="584C7E9A"/>
    <w:rsid w:val="59C72542"/>
    <w:rsid w:val="5B4D6A19"/>
    <w:rsid w:val="63D97B34"/>
    <w:rsid w:val="65246ADE"/>
    <w:rsid w:val="67953F5D"/>
    <w:rsid w:val="6B455844"/>
    <w:rsid w:val="6BA47608"/>
    <w:rsid w:val="6D1910F9"/>
    <w:rsid w:val="6D8A6E72"/>
    <w:rsid w:val="708E6519"/>
    <w:rsid w:val="75176D92"/>
    <w:rsid w:val="774F57AB"/>
    <w:rsid w:val="79DE1203"/>
    <w:rsid w:val="7A601D17"/>
    <w:rsid w:val="7F7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1"/>
      <w:sz w:val="32"/>
      <w:szCs w:val="32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="280" w:after="290" w:line="377" w:lineRule="auto"/>
      <w:jc w:val="both"/>
      <w:outlineLvl w:val="3"/>
    </w:pPr>
    <w:rPr>
      <w:rFonts w:ascii="Arial" w:hAnsi="Arial" w:eastAsia="黑体" w:cs="Times New Roman"/>
      <w:b/>
      <w:bCs/>
      <w:kern w:val="1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next w:val="3"/>
    <w:qFormat/>
    <w:uiPriority w:val="0"/>
    <w:pPr>
      <w:widowControl w:val="0"/>
      <w:jc w:val="both"/>
    </w:pPr>
    <w:rPr>
      <w:rFonts w:ascii="宋体" w:hAnsi="宋体" w:cs="Times New Roman" w:eastAsiaTheme="minorEastAsia"/>
      <w:kern w:val="1"/>
      <w:sz w:val="21"/>
      <w:szCs w:val="20"/>
      <w:lang w:val="en-US" w:eastAsia="zh-CN" w:bidi="ar-SA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cs="Times New Roman" w:eastAsiaTheme="minorEastAsia"/>
      <w:kern w:val="1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customStyle="1" w:styleId="13">
    <w:name w:val="Header"/>
    <w:qFormat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enter" w:pos="4153"/>
        <w:tab w:val="right" w:pos="8306"/>
      </w:tabs>
      <w:jc w:val="both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styleId="14">
    <w:name w:val="List Paragraph"/>
    <w:qFormat/>
    <w:uiPriority w:val="0"/>
    <w:pPr>
      <w:widowControl w:val="0"/>
      <w:ind w:firstLine="42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格式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宋体" w:cs="Times New Roman"/>
      <w:kern w:val="0"/>
      <w:sz w:val="28"/>
      <w:szCs w:val="24"/>
      <w:lang w:val="en-GB" w:eastAsia="zh-CN" w:bidi="ar-SA"/>
    </w:rPr>
  </w:style>
  <w:style w:type="paragraph" w:customStyle="1" w:styleId="19">
    <w:name w:val="样式22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黑体" w:cs="Times New Roman"/>
      <w:color w:val="FF0000"/>
      <w:kern w:val="2"/>
      <w:sz w:val="28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Times New Roman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1674</Characters>
  <Lines>24</Lines>
  <Paragraphs>6</Paragraphs>
  <TotalTime>16</TotalTime>
  <ScaleCrop>false</ScaleCrop>
  <LinksUpToDate>false</LinksUpToDate>
  <CharactersWithSpaces>1679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2022-03-16T06:30:00Z</dcterms:created>
  <dc:creator>易安永乐</dc:creator>
  <cp:lastModifiedBy>A bit handsome.</cp:lastModifiedBy>
  <cp:lastPrinted>2022-03-08T01:42:00Z</cp:lastPrinted>
  <dcterms:modified xsi:type="dcterms:W3CDTF">2025-11-12T01:34:25Z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12AF05656212425EB611A344D7D5751A_13</vt:lpwstr>
  </property>
  <property fmtid="{D5CDD505-2E9C-101B-9397-08002B2CF9AE}" pid="4" name="KSOTemplateDocerSaveRecord">
    <vt:lpwstr>eyJoZGlkIjoiZDIxMTk1ODIyN2Q2OTdhMWI3MzljMTcyZDMzYzJhNTgiLCJ1c2VySWQiOiI0NDQ0NTM3MjgifQ==</vt:lpwstr>
  </property>
</Properties>
</file>